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80" w:rightFromText="180" w:vertAnchor="text" w:horzAnchor="page" w:tblpX="8154" w:tblpY="-188"/>
        <w:tblOverlap w:val="never"/>
        <w:tblW w:w="2200" w:type="dxa"/>
        <w:tblInd w:w="0" w:type="dxa"/>
        <w:shd w:val="clear" w:color="auto" w:fill="F1F1F1" w:themeFill="background1" w:themeFillShade="F2"/>
        <w:tblLayout w:type="fixed"/>
        <w:tblCellMar>
          <w:top w:w="0" w:type="dxa"/>
          <w:left w:w="108" w:type="dxa"/>
          <w:bottom w:w="0" w:type="dxa"/>
          <w:right w:w="108" w:type="dxa"/>
        </w:tblCellMar>
      </w:tblPr>
      <w:tblGrid>
        <w:gridCol w:w="2200"/>
      </w:tblGrid>
      <w:tr w14:paraId="6BCFF90B">
        <w:tblPrEx>
          <w:shd w:val="clear" w:color="auto" w:fill="F1F1F1" w:themeFill="background1" w:themeFillShade="F2"/>
          <w:tblCellMar>
            <w:top w:w="0" w:type="dxa"/>
            <w:left w:w="108" w:type="dxa"/>
            <w:bottom w:w="0" w:type="dxa"/>
            <w:right w:w="108" w:type="dxa"/>
          </w:tblCellMar>
        </w:tblPrEx>
        <w:trPr>
          <w:trHeight w:val="615" w:hRule="atLeast"/>
        </w:trPr>
        <w:tc>
          <w:tcPr>
            <w:tcW w:w="2200" w:type="dxa"/>
            <w:tcBorders>
              <w:tl2br w:val="nil"/>
              <w:tr2bl w:val="nil"/>
            </w:tcBorders>
            <w:shd w:val="clear" w:color="auto" w:fill="F1F1F1" w:themeFill="background1" w:themeFillShade="F2"/>
          </w:tcPr>
          <w:p w14:paraId="185988D5">
            <w:pPr>
              <w:spacing w:line="360" w:lineRule="auto"/>
              <w:rPr>
                <w:rFonts w:ascii="Arial Black" w:hAnsi="Arial Black" w:eastAsia="仿宋" w:cs="Arial Black"/>
                <w:b/>
                <w:color w:val="auto"/>
                <w:sz w:val="32"/>
                <w:szCs w:val="32"/>
              </w:rPr>
            </w:pPr>
            <w:r>
              <w:rPr>
                <w:rFonts w:ascii="Arial Black" w:hAnsi="Arial Black" w:eastAsia="仿宋" w:cs="Arial Black"/>
                <w:b/>
                <w:color w:val="auto"/>
                <w:sz w:val="32"/>
                <w:szCs w:val="32"/>
              </w:rPr>
              <w:t>政府采购项目</w:t>
            </w:r>
          </w:p>
        </w:tc>
      </w:tr>
    </w:tbl>
    <w:p w14:paraId="35BDA72C">
      <w:pPr>
        <w:snapToGrid w:val="0"/>
        <w:spacing w:before="156" w:beforeLines="50" w:line="360" w:lineRule="auto"/>
        <w:jc w:val="center"/>
        <w:rPr>
          <w:rFonts w:ascii="宋体" w:hAnsi="宋体" w:cs="宋体"/>
          <w:b/>
          <w:color w:val="auto"/>
          <w:sz w:val="44"/>
          <w:szCs w:val="44"/>
        </w:rPr>
      </w:pPr>
    </w:p>
    <w:p w14:paraId="6071FE6F">
      <w:pPr>
        <w:snapToGrid w:val="0"/>
        <w:spacing w:before="156" w:beforeLines="50" w:line="360" w:lineRule="auto"/>
        <w:jc w:val="center"/>
        <w:rPr>
          <w:rFonts w:ascii="宋体" w:hAnsi="宋体" w:cs="宋体"/>
          <w:bCs/>
          <w:color w:val="auto"/>
          <w:sz w:val="44"/>
          <w:szCs w:val="44"/>
        </w:rPr>
      </w:pPr>
    </w:p>
    <w:p w14:paraId="77443038">
      <w:pPr>
        <w:snapToGrid w:val="0"/>
        <w:spacing w:before="156" w:beforeLines="50" w:line="360" w:lineRule="auto"/>
        <w:jc w:val="center"/>
        <w:rPr>
          <w:rFonts w:hint="eastAsia" w:ascii="宋体" w:hAnsi="宋体" w:eastAsia="宋体" w:cs="宋体"/>
          <w:b/>
          <w:color w:val="auto"/>
          <w:spacing w:val="20"/>
          <w:sz w:val="44"/>
          <w:szCs w:val="44"/>
          <w:lang w:eastAsia="zh-CN"/>
        </w:rPr>
      </w:pPr>
      <w:r>
        <w:rPr>
          <w:rFonts w:hint="eastAsia" w:ascii="宋体" w:hAnsi="宋体" w:cs="宋体"/>
          <w:b/>
          <w:color w:val="auto"/>
          <w:spacing w:val="20"/>
          <w:sz w:val="44"/>
          <w:szCs w:val="44"/>
          <w:lang w:eastAsia="zh-CN"/>
        </w:rPr>
        <w:t>浙江省嘉兴市消防救援支队2024年度装备器材采购项目(救生、警戒、堵漏和水域救援类）</w:t>
      </w:r>
    </w:p>
    <w:p w14:paraId="20B093E9">
      <w:pPr>
        <w:pStyle w:val="3"/>
        <w:spacing w:line="360" w:lineRule="auto"/>
        <w:jc w:val="center"/>
        <w:rPr>
          <w:rFonts w:hint="eastAsia" w:eastAsia="宋体"/>
          <w:b/>
          <w:bCs w:val="0"/>
          <w:color w:val="auto"/>
          <w:lang w:eastAsia="zh-CN"/>
        </w:rPr>
      </w:pPr>
      <w:r>
        <w:rPr>
          <w:rFonts w:hint="eastAsia" w:ascii="宋体" w:hAnsi="宋体" w:cs="宋体"/>
          <w:b/>
          <w:bCs w:val="0"/>
          <w:color w:val="auto"/>
          <w:kern w:val="2"/>
          <w:sz w:val="28"/>
          <w:szCs w:val="28"/>
        </w:rPr>
        <w:t>项目编号：</w:t>
      </w:r>
      <w:r>
        <w:rPr>
          <w:rFonts w:hint="eastAsia" w:ascii="仿宋_GB2312" w:eastAsia="仿宋_GB2312"/>
          <w:b/>
          <w:bCs w:val="0"/>
          <w:sz w:val="32"/>
          <w:szCs w:val="32"/>
        </w:rPr>
        <w:t>嘉消采-GK20240</w:t>
      </w:r>
      <w:r>
        <w:rPr>
          <w:rFonts w:hint="eastAsia" w:ascii="仿宋_GB2312" w:eastAsia="仿宋_GB2312"/>
          <w:b/>
          <w:bCs w:val="0"/>
          <w:sz w:val="32"/>
          <w:szCs w:val="32"/>
          <w:lang w:val="en-US" w:eastAsia="zh-CN"/>
        </w:rPr>
        <w:t>17</w:t>
      </w:r>
      <w:r>
        <w:rPr>
          <w:rFonts w:hint="eastAsia" w:ascii="宋体" w:hAnsi="宋体" w:cs="宋体"/>
          <w:b/>
          <w:bCs w:val="0"/>
          <w:color w:val="FF0000"/>
          <w:kern w:val="2"/>
          <w:sz w:val="28"/>
          <w:szCs w:val="28"/>
          <w:lang w:val="en-US" w:eastAsia="zh-CN"/>
        </w:rPr>
        <w:t xml:space="preserve"> </w:t>
      </w:r>
    </w:p>
    <w:p w14:paraId="1025B43A">
      <w:pPr>
        <w:pStyle w:val="3"/>
        <w:spacing w:line="360" w:lineRule="auto"/>
        <w:rPr>
          <w:color w:val="auto"/>
        </w:rPr>
      </w:pPr>
    </w:p>
    <w:p w14:paraId="7240B625">
      <w:pPr>
        <w:snapToGrid w:val="0"/>
        <w:spacing w:before="156" w:beforeLines="50" w:line="360" w:lineRule="auto"/>
        <w:ind w:left="1"/>
        <w:jc w:val="center"/>
        <w:rPr>
          <w:rFonts w:ascii="宋体" w:hAnsi="宋体" w:cs="宋体"/>
          <w:b/>
          <w:bCs/>
          <w:color w:val="auto"/>
          <w:sz w:val="30"/>
          <w:szCs w:val="30"/>
        </w:rPr>
      </w:pPr>
      <w:r>
        <w:rPr>
          <w:rFonts w:hint="eastAsia" w:ascii="宋体" w:hAnsi="宋体" w:cs="宋体"/>
          <w:b/>
          <w:color w:val="auto"/>
          <w:sz w:val="72"/>
          <w:szCs w:val="72"/>
        </w:rPr>
        <w:t>招标文件</w:t>
      </w:r>
    </w:p>
    <w:p w14:paraId="15AE58CC">
      <w:pPr>
        <w:pStyle w:val="17"/>
        <w:snapToGrid w:val="0"/>
        <w:spacing w:before="156" w:after="156" w:line="360" w:lineRule="auto"/>
        <w:rPr>
          <w:rFonts w:hAnsi="宋体" w:cs="宋体"/>
          <w:b/>
          <w:bCs/>
          <w:color w:val="auto"/>
          <w:sz w:val="32"/>
          <w:szCs w:val="32"/>
        </w:rPr>
      </w:pPr>
    </w:p>
    <w:p w14:paraId="143106D4">
      <w:pPr>
        <w:pStyle w:val="17"/>
        <w:snapToGrid w:val="0"/>
        <w:spacing w:before="156" w:after="156" w:line="360" w:lineRule="auto"/>
        <w:ind w:firstLine="1285" w:firstLineChars="400"/>
        <w:rPr>
          <w:rFonts w:hAnsi="宋体" w:cs="宋体"/>
          <w:b/>
          <w:bCs/>
          <w:color w:val="auto"/>
          <w:sz w:val="32"/>
          <w:szCs w:val="32"/>
        </w:rPr>
      </w:pPr>
    </w:p>
    <w:p w14:paraId="77B72222">
      <w:pPr>
        <w:pStyle w:val="17"/>
        <w:snapToGrid w:val="0"/>
        <w:spacing w:before="156" w:after="156" w:line="360" w:lineRule="auto"/>
        <w:ind w:firstLine="1285" w:firstLineChars="400"/>
        <w:rPr>
          <w:rFonts w:hAnsi="宋体" w:cs="宋体"/>
          <w:b/>
          <w:bCs/>
          <w:color w:val="auto"/>
          <w:sz w:val="32"/>
          <w:szCs w:val="32"/>
        </w:rPr>
      </w:pPr>
    </w:p>
    <w:p w14:paraId="5BF36994">
      <w:pPr>
        <w:pStyle w:val="17"/>
        <w:snapToGrid w:val="0"/>
        <w:spacing w:before="156" w:after="156" w:line="360" w:lineRule="auto"/>
        <w:ind w:firstLine="1285" w:firstLineChars="400"/>
        <w:rPr>
          <w:rFonts w:hAnsi="宋体" w:cs="宋体"/>
          <w:b/>
          <w:bCs/>
          <w:color w:val="auto"/>
          <w:sz w:val="32"/>
          <w:szCs w:val="32"/>
        </w:rPr>
      </w:pPr>
      <w:r>
        <w:rPr>
          <w:rFonts w:hint="eastAsia" w:hAnsi="宋体" w:cs="宋体"/>
          <w:b/>
          <w:bCs/>
          <w:color w:val="auto"/>
          <w:sz w:val="32"/>
          <w:szCs w:val="32"/>
        </w:rPr>
        <w:t>采购人：嘉兴市消防救援支队</w:t>
      </w:r>
    </w:p>
    <w:p w14:paraId="4D8E9E0A">
      <w:pPr>
        <w:pStyle w:val="17"/>
        <w:snapToGrid w:val="0"/>
        <w:spacing w:before="156" w:after="156" w:line="360" w:lineRule="auto"/>
        <w:ind w:firstLine="1285" w:firstLineChars="400"/>
        <w:rPr>
          <w:rFonts w:hAnsi="宋体" w:cs="宋体"/>
          <w:b/>
          <w:bCs/>
          <w:color w:val="auto"/>
          <w:w w:val="95"/>
          <w:sz w:val="32"/>
          <w:szCs w:val="32"/>
        </w:rPr>
      </w:pPr>
      <w:r>
        <w:rPr>
          <w:rFonts w:hint="eastAsia" w:hAnsi="宋体" w:cs="宋体"/>
          <w:b/>
          <w:bCs/>
          <w:color w:val="auto"/>
          <w:sz w:val="32"/>
          <w:szCs w:val="32"/>
        </w:rPr>
        <w:t>采购代理机构：杭州意信招标代理有限公司</w:t>
      </w:r>
    </w:p>
    <w:p w14:paraId="2D27D38E">
      <w:pPr>
        <w:pStyle w:val="110"/>
        <w:widowControl w:val="0"/>
        <w:snapToGrid w:val="0"/>
        <w:spacing w:line="360" w:lineRule="auto"/>
        <w:ind w:firstLine="0"/>
        <w:jc w:val="center"/>
        <w:rPr>
          <w:rFonts w:ascii="宋体" w:hAnsi="宋体" w:cs="宋体"/>
          <w:color w:val="auto"/>
        </w:rPr>
      </w:pPr>
      <w:r>
        <w:rPr>
          <w:rFonts w:hint="eastAsia" w:ascii="宋体" w:hAnsi="宋体" w:cs="宋体"/>
          <w:bCs/>
          <w:color w:val="auto"/>
          <w:sz w:val="32"/>
          <w:szCs w:val="32"/>
        </w:rPr>
        <w:t>二〇二四年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p>
    <w:p w14:paraId="37E2C24F">
      <w:pPr>
        <w:snapToGrid w:val="0"/>
        <w:spacing w:line="360" w:lineRule="auto"/>
        <w:rPr>
          <w:rFonts w:ascii="宋体" w:hAnsi="宋体" w:cs="宋体"/>
          <w:color w:val="auto"/>
          <w:sz w:val="28"/>
          <w:szCs w:val="28"/>
        </w:rPr>
      </w:pPr>
    </w:p>
    <w:p w14:paraId="28DDC407">
      <w:pPr>
        <w:spacing w:line="360" w:lineRule="auto"/>
        <w:jc w:val="center"/>
        <w:rPr>
          <w:rFonts w:ascii="宋体" w:hAnsi="宋体" w:cs="宋体"/>
          <w:b/>
          <w:bCs/>
          <w:color w:val="auto"/>
          <w:sz w:val="28"/>
          <w:szCs w:val="28"/>
        </w:rPr>
        <w:sectPr>
          <w:headerReference r:id="rId5" w:type="first"/>
          <w:headerReference r:id="rId3"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sdt>
      <w:sdtPr>
        <w:rPr>
          <w:rFonts w:hint="eastAsia" w:ascii="宋体" w:hAnsi="宋体" w:cs="宋体"/>
          <w:b/>
          <w:color w:val="auto"/>
          <w:spacing w:val="-6"/>
          <w:sz w:val="32"/>
          <w:szCs w:val="32"/>
        </w:rPr>
        <w:id w:val="147482180"/>
      </w:sdtPr>
      <w:sdtEndPr>
        <w:rPr>
          <w:rFonts w:hint="eastAsia" w:ascii="宋体" w:hAnsi="宋体" w:cs="宋体"/>
          <w:b/>
          <w:color w:val="auto"/>
          <w:spacing w:val="-6"/>
          <w:sz w:val="32"/>
          <w:szCs w:val="32"/>
        </w:rPr>
      </w:sdtEndPr>
      <w:sdtContent>
        <w:p w14:paraId="4E45C3F2">
          <w:pPr>
            <w:shd w:val="clear" w:color="auto" w:fill="FFFFFF" w:themeFill="background1"/>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特别提示</w:t>
          </w:r>
        </w:p>
        <w:p w14:paraId="1E7439D5">
          <w:pPr>
            <w:shd w:val="clear" w:color="auto" w:fill="FFFFFF" w:themeFill="background1"/>
            <w:spacing w:line="360" w:lineRule="auto"/>
            <w:jc w:val="left"/>
            <w:rPr>
              <w:rFonts w:ascii="宋体" w:hAnsi="宋体" w:cs="宋体"/>
              <w:color w:val="auto"/>
              <w:sz w:val="24"/>
            </w:rPr>
          </w:pPr>
          <w:r>
            <w:rPr>
              <w:rFonts w:hint="eastAsia" w:ascii="宋体" w:hAnsi="宋体" w:cs="宋体"/>
              <w:color w:val="auto"/>
              <w:sz w:val="24"/>
            </w:rPr>
            <w:t>各投标人：</w:t>
          </w:r>
        </w:p>
        <w:p w14:paraId="34DB0F7A">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为确保您投标顺利，在此郑重提醒您务必注意以下事项：</w:t>
          </w:r>
        </w:p>
        <w:p w14:paraId="269D407E">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一、关于投标</w:t>
          </w:r>
        </w:p>
        <w:p w14:paraId="7BC0E3FC">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1.请您仔细阅读招标文件并正确理解招标文件中各项具体要求。如您对招标文件有疑问，请在招标文件规定的时间内以书面形式提出，逾期将被拒绝受理。</w:t>
          </w:r>
        </w:p>
        <w:p w14:paraId="5200C5C8">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2.请您严格按照招标文件载明的格式要求编制、装订、提交投标文件。</w:t>
          </w:r>
        </w:p>
        <w:p w14:paraId="3E419C3F">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3.请您仔细核对您的投标文件是否已按照招标文件的要求签字、盖章和加盖单位公章等，您的实质性条款是否满足招标文件要求，您的投标文件中所附资格证明等资料是否齐全、有效且是否满足招标文件要求。</w:t>
          </w:r>
        </w:p>
        <w:p w14:paraId="65638268">
          <w:pPr>
            <w:widowControl/>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highlight w:val="none"/>
            </w:rPr>
            <w:t>本次采购为专门面向中小企业</w:t>
          </w:r>
          <w:r>
            <w:rPr>
              <w:rFonts w:hint="eastAsia" w:ascii="宋体" w:hAnsi="宋体" w:cs="宋体"/>
              <w:color w:val="auto"/>
              <w:sz w:val="24"/>
            </w:rPr>
            <w:t>的采购项目。投标文件中须提供投标人出具的《政府采购促进中小企业发展管理办法》【财库202</w:t>
          </w:r>
          <w:r>
            <w:rPr>
              <w:rFonts w:hint="eastAsia" w:ascii="宋体" w:hAnsi="宋体" w:cs="宋体"/>
              <w:color w:val="auto"/>
              <w:sz w:val="24"/>
              <w:lang w:val="en-US" w:eastAsia="zh-CN"/>
            </w:rPr>
            <w:t>0</w:t>
          </w:r>
          <w:r>
            <w:rPr>
              <w:rFonts w:hint="eastAsia" w:ascii="宋体" w:hAnsi="宋体" w:cs="宋体"/>
              <w:color w:val="auto"/>
              <w:sz w:val="24"/>
            </w:rPr>
            <w:t>年</w:t>
          </w:r>
          <w:r>
            <w:rPr>
              <w:rFonts w:hint="eastAsia" w:ascii="宋体" w:hAnsi="宋体" w:cs="宋体"/>
              <w:color w:val="auto"/>
              <w:sz w:val="24"/>
              <w:lang w:val="en-US" w:eastAsia="zh-CN"/>
            </w:rPr>
            <w:t>46</w:t>
          </w:r>
          <w:r>
            <w:rPr>
              <w:rFonts w:hint="eastAsia" w:ascii="宋体" w:hAnsi="宋体" w:cs="宋体"/>
              <w:color w:val="auto"/>
              <w:sz w:val="24"/>
            </w:rPr>
            <w:t>号文件】规定的《中小企业声明函》，</w:t>
          </w:r>
          <w:r>
            <w:rPr>
              <w:rFonts w:hint="eastAsia" w:ascii="宋体" w:hAnsi="宋体" w:cs="宋体"/>
              <w:b/>
              <w:bCs/>
              <w:color w:val="auto"/>
              <w:sz w:val="24"/>
            </w:rPr>
            <w:t>所投标项涉及多种标的物的，其所有货物制造商的相关信息应全部列入《中小企业声明函》。未按要求提供的将视为无效投标。</w:t>
          </w:r>
        </w:p>
        <w:p w14:paraId="6A3EFDE2">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5.请确保您所投标项产品型号、响应参数等与检测报告内容保持完全一致，如有前后不相符的情况，会影响您最终的投标结果。</w:t>
          </w:r>
        </w:p>
        <w:p w14:paraId="696867A3">
          <w:pPr>
            <w:widowControl/>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6.请您仔细核对报价一览表、明细表等，有无大小写不一致、单价与总价不相符等情况。</w:t>
          </w:r>
        </w:p>
        <w:p w14:paraId="50DC7721">
          <w:pPr>
            <w:shd w:val="clear" w:color="auto" w:fill="FFFFFF" w:themeFill="background1"/>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7.请您按照招标文件要求密封投标文件，并正确标记。</w:t>
          </w:r>
        </w:p>
        <w:p w14:paraId="51063371">
          <w:pPr>
            <w:shd w:val="clear" w:color="auto" w:fill="FFFFFF"/>
            <w:spacing w:line="360" w:lineRule="auto"/>
            <w:ind w:firstLine="482" w:firstLineChars="200"/>
            <w:jc w:val="left"/>
            <w:rPr>
              <w:rFonts w:hint="eastAsia" w:ascii="宋体" w:hAnsi="宋体" w:cs="宋体"/>
              <w:color w:val="auto"/>
              <w:sz w:val="24"/>
            </w:rPr>
          </w:pPr>
          <w:r>
            <w:rPr>
              <w:rFonts w:hint="eastAsia" w:ascii="宋体" w:hAnsi="宋体"/>
              <w:b/>
              <w:color w:val="auto"/>
              <w:sz w:val="24"/>
            </w:rPr>
            <w:t>8.请您仔细核对商务响应表、技术偏离表等，有无存在</w:t>
          </w:r>
          <w:r>
            <w:rPr>
              <w:rFonts w:hint="eastAsia" w:ascii="宋体" w:hAnsi="宋体"/>
              <w:b/>
              <w:bCs/>
              <w:color w:val="auto"/>
              <w:sz w:val="24"/>
            </w:rPr>
            <w:t>负偏离</w:t>
          </w:r>
          <w:r>
            <w:rPr>
              <w:rFonts w:hint="eastAsia" w:ascii="宋体" w:hAnsi="宋体"/>
              <w:b/>
              <w:color w:val="auto"/>
              <w:sz w:val="24"/>
            </w:rPr>
            <w:t>却没有明确或声明无偏离的，验收时，投标文件中声明无偏离的，将按照招标文件参数进行验收。</w:t>
          </w:r>
        </w:p>
        <w:p w14:paraId="2364BEFE">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提示：您的投标文件若不满足以上条件将有被否决的风险。</w:t>
          </w:r>
        </w:p>
        <w:p w14:paraId="0A0B0B0E">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二、关于开标</w:t>
          </w:r>
        </w:p>
        <w:p w14:paraId="5F93F789">
          <w:pPr>
            <w:shd w:val="clear" w:color="auto" w:fill="FFFFFF"/>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.请您务必考虑天气、交通等情况以及您对开标地址的路线熟悉等情况，于招标公告规定的时间及地点递交投标文件，投标文件逾期到达，将被拒绝接收。</w:t>
          </w:r>
        </w:p>
        <w:p w14:paraId="472D1198">
          <w:pPr>
            <w:shd w:val="clear" w:color="auto" w:fill="FFFFFF" w:themeFill="background1"/>
            <w:spacing w:line="360" w:lineRule="auto"/>
            <w:ind w:firstLine="480" w:firstLineChars="200"/>
            <w:jc w:val="both"/>
            <w:rPr>
              <w:rFonts w:ascii="宋体" w:hAnsi="宋体" w:cs="宋体"/>
              <w:b/>
              <w:bCs/>
              <w:color w:val="auto"/>
              <w:sz w:val="24"/>
            </w:rPr>
          </w:pPr>
          <w:r>
            <w:rPr>
              <w:rFonts w:hint="eastAsia" w:ascii="宋体" w:hAnsi="宋体"/>
              <w:sz w:val="24"/>
            </w:rPr>
            <w:t>2</w:t>
          </w:r>
          <w:r>
            <w:rPr>
              <w:rFonts w:ascii="宋体" w:hAnsi="宋体"/>
              <w:sz w:val="24"/>
            </w:rPr>
            <w:t>.因标项较多，请您严格按招标文件要求进行投标登记。</w:t>
          </w:r>
        </w:p>
        <w:p w14:paraId="2CF8A2BA">
          <w:pPr>
            <w:shd w:val="clear" w:color="auto" w:fill="FFFFFF" w:themeFill="background1"/>
            <w:spacing w:line="360" w:lineRule="auto"/>
            <w:jc w:val="center"/>
            <w:rPr>
              <w:rFonts w:ascii="宋体" w:hAnsi="宋体" w:cs="宋体"/>
              <w:b/>
              <w:bCs/>
              <w:color w:val="auto"/>
              <w:sz w:val="28"/>
              <w:szCs w:val="28"/>
            </w:rPr>
          </w:pPr>
        </w:p>
        <w:p w14:paraId="021CC90C">
          <w:pPr>
            <w:shd w:val="clear" w:color="auto" w:fill="FFFFFF" w:themeFill="background1"/>
            <w:spacing w:line="360" w:lineRule="auto"/>
            <w:jc w:val="center"/>
            <w:rPr>
              <w:rFonts w:ascii="宋体" w:hAnsi="宋体" w:cs="宋体"/>
              <w:b/>
              <w:bCs/>
              <w:color w:val="auto"/>
              <w:sz w:val="28"/>
              <w:szCs w:val="28"/>
            </w:rPr>
          </w:pPr>
        </w:p>
        <w:p w14:paraId="1C763125">
          <w:pPr>
            <w:shd w:val="clear" w:color="auto" w:fill="FFFFFF" w:themeFill="background1"/>
            <w:spacing w:line="360" w:lineRule="auto"/>
            <w:jc w:val="center"/>
            <w:rPr>
              <w:rFonts w:ascii="宋体" w:hAnsi="宋体" w:cs="宋体"/>
              <w:b/>
              <w:bCs/>
              <w:color w:val="auto"/>
              <w:sz w:val="52"/>
              <w:szCs w:val="52"/>
            </w:rPr>
          </w:pPr>
          <w:r>
            <w:rPr>
              <w:rFonts w:hint="eastAsia" w:ascii="宋体" w:hAnsi="宋体" w:cs="宋体"/>
              <w:b/>
              <w:bCs/>
              <w:color w:val="auto"/>
              <w:sz w:val="52"/>
              <w:szCs w:val="52"/>
            </w:rPr>
            <w:t>目</w:t>
          </w:r>
          <w:r>
            <w:rPr>
              <w:rFonts w:hint="eastAsia" w:ascii="宋体" w:hAnsi="宋体" w:cs="宋体"/>
              <w:b/>
              <w:bCs/>
              <w:color w:val="auto"/>
              <w:sz w:val="52"/>
              <w:szCs w:val="52"/>
              <w:lang w:val="en-US" w:eastAsia="zh-CN"/>
            </w:rPr>
            <w:t xml:space="preserve"> </w:t>
          </w:r>
          <w:r>
            <w:rPr>
              <w:rFonts w:hint="eastAsia" w:ascii="宋体" w:hAnsi="宋体" w:cs="宋体"/>
              <w:b/>
              <w:bCs/>
              <w:color w:val="auto"/>
              <w:sz w:val="52"/>
              <w:szCs w:val="52"/>
            </w:rPr>
            <w:t>录</w:t>
          </w:r>
        </w:p>
        <w:p w14:paraId="2385D1DD">
          <w:pPr>
            <w:pStyle w:val="24"/>
            <w:shd w:val="clear" w:color="auto" w:fill="FFFFFF" w:themeFill="background1"/>
            <w:tabs>
              <w:tab w:val="right" w:leader="dot" w:pos="8306"/>
            </w:tabs>
            <w:spacing w:line="360" w:lineRule="auto"/>
            <w:ind w:firstLine="640"/>
            <w:jc w:val="left"/>
            <w:rPr>
              <w:rFonts w:ascii="宋体" w:hAnsi="宋体" w:cs="宋体"/>
              <w:b/>
              <w:bCs/>
              <w:color w:val="auto"/>
              <w:sz w:val="32"/>
              <w:szCs w:val="32"/>
            </w:rPr>
          </w:pP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TOC \o "1-1" \h \u </w:instrText>
          </w:r>
          <w:r>
            <w:rPr>
              <w:rFonts w:hint="eastAsia" w:ascii="宋体" w:hAnsi="宋体" w:cs="宋体"/>
              <w:b/>
              <w:bCs/>
              <w:color w:val="auto"/>
              <w:sz w:val="28"/>
              <w:szCs w:val="28"/>
            </w:rPr>
            <w:fldChar w:fldCharType="separate"/>
          </w:r>
          <w:r>
            <w:rPr>
              <w:color w:val="auto"/>
            </w:rPr>
            <w:fldChar w:fldCharType="begin"/>
          </w:r>
          <w:r>
            <w:rPr>
              <w:color w:val="auto"/>
            </w:rPr>
            <w:instrText xml:space="preserve"> HYPERLINK \l "_Toc5008" </w:instrText>
          </w:r>
          <w:r>
            <w:rPr>
              <w:color w:val="auto"/>
            </w:rPr>
            <w:fldChar w:fldCharType="separate"/>
          </w:r>
          <w:r>
            <w:rPr>
              <w:rFonts w:hint="eastAsia" w:ascii="宋体" w:hAnsi="宋体" w:cs="宋体"/>
              <w:b/>
              <w:bCs/>
              <w:color w:val="auto"/>
              <w:spacing w:val="-6"/>
              <w:sz w:val="32"/>
              <w:szCs w:val="32"/>
            </w:rPr>
            <w:t>第一部分  招标公告</w:t>
          </w:r>
          <w:r>
            <w:rPr>
              <w:rFonts w:hint="eastAsia" w:ascii="宋体" w:hAnsi="宋体" w:cs="宋体"/>
              <w:b/>
              <w:bCs/>
              <w:color w:val="auto"/>
              <w:spacing w:val="-6"/>
              <w:sz w:val="32"/>
              <w:szCs w:val="32"/>
            </w:rPr>
            <w:fldChar w:fldCharType="end"/>
          </w:r>
          <w:r>
            <w:rPr>
              <w:rFonts w:hint="eastAsia" w:ascii="宋体" w:hAnsi="宋体" w:cs="宋体"/>
              <w:b/>
              <w:bCs/>
              <w:color w:val="auto"/>
              <w:sz w:val="28"/>
              <w:szCs w:val="28"/>
            </w:rPr>
            <w:tab/>
          </w:r>
          <w:r>
            <w:rPr>
              <w:rFonts w:hint="eastAsia" w:ascii="宋体" w:hAnsi="宋体" w:cs="宋体"/>
              <w:b/>
              <w:bCs/>
              <w:color w:val="auto"/>
              <w:sz w:val="28"/>
              <w:szCs w:val="28"/>
            </w:rPr>
            <w:t>3</w:t>
          </w:r>
        </w:p>
        <w:p w14:paraId="318B4F65">
          <w:pPr>
            <w:pStyle w:val="24"/>
            <w:shd w:val="clear" w:color="auto" w:fill="FFFFFF" w:themeFill="background1"/>
            <w:tabs>
              <w:tab w:val="right" w:leader="dot" w:pos="8306"/>
            </w:tabs>
            <w:spacing w:line="360" w:lineRule="auto"/>
            <w:ind w:firstLine="640"/>
            <w:jc w:val="left"/>
            <w:rPr>
              <w:rFonts w:ascii="宋体" w:hAnsi="宋体" w:cs="宋体"/>
              <w:b/>
              <w:bCs/>
              <w:color w:val="auto"/>
              <w:sz w:val="32"/>
              <w:szCs w:val="32"/>
            </w:rPr>
          </w:pPr>
          <w:r>
            <w:rPr>
              <w:color w:val="auto"/>
            </w:rPr>
            <w:fldChar w:fldCharType="begin"/>
          </w:r>
          <w:r>
            <w:rPr>
              <w:color w:val="auto"/>
            </w:rPr>
            <w:instrText xml:space="preserve"> HYPERLINK \l "_Toc30575" </w:instrText>
          </w:r>
          <w:r>
            <w:rPr>
              <w:color w:val="auto"/>
            </w:rPr>
            <w:fldChar w:fldCharType="separate"/>
          </w:r>
          <w:r>
            <w:rPr>
              <w:rFonts w:hint="eastAsia" w:ascii="宋体" w:hAnsi="宋体" w:cs="宋体"/>
              <w:b/>
              <w:bCs/>
              <w:color w:val="auto"/>
              <w:sz w:val="32"/>
              <w:szCs w:val="32"/>
            </w:rPr>
            <w:t>第二部分  投标人须知</w:t>
          </w:r>
          <w:r>
            <w:rPr>
              <w:rFonts w:hint="eastAsia" w:ascii="宋体" w:hAnsi="宋体" w:cs="宋体"/>
              <w:b/>
              <w:bCs/>
              <w:color w:val="auto"/>
              <w:sz w:val="32"/>
              <w:szCs w:val="32"/>
            </w:rPr>
            <w:fldChar w:fldCharType="end"/>
          </w:r>
          <w:r>
            <w:rPr>
              <w:rFonts w:hint="eastAsia" w:ascii="宋体" w:hAnsi="宋体" w:cs="宋体"/>
              <w:b/>
              <w:bCs/>
              <w:color w:val="auto"/>
              <w:sz w:val="28"/>
              <w:szCs w:val="28"/>
            </w:rPr>
            <w:tab/>
          </w:r>
          <w:r>
            <w:rPr>
              <w:rFonts w:hint="eastAsia" w:ascii="宋体" w:hAnsi="宋体" w:cs="宋体"/>
              <w:b/>
              <w:bCs/>
              <w:color w:val="auto"/>
              <w:sz w:val="28"/>
              <w:szCs w:val="28"/>
            </w:rPr>
            <w:t>8</w:t>
          </w:r>
        </w:p>
        <w:p w14:paraId="5574B1C7">
          <w:pPr>
            <w:pStyle w:val="24"/>
            <w:shd w:val="clear" w:color="auto" w:fill="FFFFFF" w:themeFill="background1"/>
            <w:tabs>
              <w:tab w:val="right" w:leader="dot" w:pos="8306"/>
            </w:tabs>
            <w:spacing w:line="360" w:lineRule="auto"/>
            <w:ind w:firstLine="640"/>
            <w:jc w:val="left"/>
            <w:rPr>
              <w:rFonts w:ascii="宋体" w:hAnsi="宋体" w:cs="宋体"/>
              <w:b/>
              <w:bCs/>
              <w:color w:val="auto"/>
              <w:sz w:val="32"/>
              <w:szCs w:val="32"/>
            </w:rPr>
          </w:pPr>
          <w:r>
            <w:rPr>
              <w:color w:val="auto"/>
            </w:rPr>
            <w:fldChar w:fldCharType="begin"/>
          </w:r>
          <w:r>
            <w:rPr>
              <w:color w:val="auto"/>
            </w:rPr>
            <w:instrText xml:space="preserve"> HYPERLINK \l "_Toc32093" </w:instrText>
          </w:r>
          <w:r>
            <w:rPr>
              <w:color w:val="auto"/>
            </w:rPr>
            <w:fldChar w:fldCharType="separate"/>
          </w:r>
          <w:r>
            <w:rPr>
              <w:rFonts w:hint="eastAsia" w:ascii="宋体" w:hAnsi="宋体" w:cs="宋体"/>
              <w:b/>
              <w:bCs/>
              <w:color w:val="auto"/>
              <w:sz w:val="32"/>
              <w:szCs w:val="32"/>
            </w:rPr>
            <w:t>第三部分  采购需求</w:t>
          </w:r>
          <w:r>
            <w:rPr>
              <w:rFonts w:hint="eastAsia" w:ascii="宋体" w:hAnsi="宋体" w:cs="宋体"/>
              <w:b/>
              <w:bCs/>
              <w:color w:val="auto"/>
              <w:sz w:val="32"/>
              <w:szCs w:val="32"/>
            </w:rPr>
            <w:fldChar w:fldCharType="end"/>
          </w:r>
          <w:r>
            <w:rPr>
              <w:rFonts w:hint="eastAsia" w:ascii="宋体" w:hAnsi="宋体" w:cs="宋体"/>
              <w:b/>
              <w:bCs/>
              <w:color w:val="auto"/>
              <w:sz w:val="28"/>
              <w:szCs w:val="28"/>
            </w:rPr>
            <w:tab/>
          </w:r>
          <w:r>
            <w:rPr>
              <w:rFonts w:hint="eastAsia" w:ascii="宋体" w:hAnsi="宋体" w:cs="宋体"/>
              <w:b/>
              <w:bCs/>
              <w:color w:val="auto"/>
              <w:sz w:val="28"/>
              <w:szCs w:val="28"/>
            </w:rPr>
            <w:t>25</w:t>
          </w:r>
        </w:p>
        <w:p w14:paraId="5F1D81A1">
          <w:pPr>
            <w:pStyle w:val="24"/>
            <w:shd w:val="clear" w:color="auto" w:fill="FFFFFF" w:themeFill="background1"/>
            <w:tabs>
              <w:tab w:val="right" w:leader="dot" w:pos="8306"/>
            </w:tabs>
            <w:spacing w:line="360" w:lineRule="auto"/>
            <w:ind w:firstLine="640"/>
            <w:jc w:val="left"/>
            <w:rPr>
              <w:rFonts w:ascii="宋体" w:hAnsi="宋体" w:cs="宋体"/>
              <w:b/>
              <w:bCs/>
              <w:color w:val="auto"/>
              <w:sz w:val="32"/>
              <w:szCs w:val="32"/>
            </w:rPr>
          </w:pPr>
          <w:r>
            <w:rPr>
              <w:color w:val="auto"/>
            </w:rPr>
            <w:fldChar w:fldCharType="begin"/>
          </w:r>
          <w:r>
            <w:rPr>
              <w:color w:val="auto"/>
            </w:rPr>
            <w:instrText xml:space="preserve"> HYPERLINK \l "_Toc5762" </w:instrText>
          </w:r>
          <w:r>
            <w:rPr>
              <w:color w:val="auto"/>
            </w:rPr>
            <w:fldChar w:fldCharType="separate"/>
          </w:r>
          <w:r>
            <w:rPr>
              <w:rFonts w:hint="eastAsia" w:ascii="宋体" w:hAnsi="宋体" w:cs="宋体"/>
              <w:b/>
              <w:bCs/>
              <w:color w:val="auto"/>
              <w:spacing w:val="-6"/>
              <w:sz w:val="32"/>
              <w:szCs w:val="32"/>
            </w:rPr>
            <w:t>第四部分  评分办法及评分标准</w:t>
          </w:r>
          <w:r>
            <w:rPr>
              <w:rFonts w:hint="eastAsia" w:ascii="宋体" w:hAnsi="宋体" w:cs="宋体"/>
              <w:b/>
              <w:bCs/>
              <w:color w:val="auto"/>
              <w:spacing w:val="-6"/>
              <w:sz w:val="32"/>
              <w:szCs w:val="32"/>
            </w:rPr>
            <w:fldChar w:fldCharType="end"/>
          </w:r>
          <w:r>
            <w:rPr>
              <w:rFonts w:hint="eastAsia" w:ascii="宋体" w:hAnsi="宋体" w:cs="宋体"/>
              <w:b/>
              <w:bCs/>
              <w:color w:val="auto"/>
              <w:sz w:val="28"/>
              <w:szCs w:val="28"/>
            </w:rPr>
            <w:tab/>
          </w:r>
          <w:r>
            <w:rPr>
              <w:rFonts w:hint="eastAsia" w:ascii="宋体" w:hAnsi="宋体" w:cs="宋体"/>
              <w:b/>
              <w:bCs/>
              <w:color w:val="auto"/>
              <w:sz w:val="28"/>
              <w:szCs w:val="28"/>
            </w:rPr>
            <w:t>41</w:t>
          </w:r>
        </w:p>
        <w:p w14:paraId="494A5F40">
          <w:pPr>
            <w:pStyle w:val="24"/>
            <w:shd w:val="clear" w:color="auto" w:fill="FFFFFF" w:themeFill="background1"/>
            <w:tabs>
              <w:tab w:val="right" w:leader="dot" w:pos="8306"/>
            </w:tabs>
            <w:spacing w:line="360" w:lineRule="auto"/>
            <w:ind w:firstLine="640"/>
            <w:jc w:val="left"/>
            <w:rPr>
              <w:rFonts w:ascii="宋体" w:hAnsi="宋体" w:cs="宋体"/>
              <w:b/>
              <w:bCs/>
              <w:color w:val="auto"/>
              <w:sz w:val="32"/>
              <w:szCs w:val="32"/>
            </w:rPr>
          </w:pPr>
          <w:r>
            <w:rPr>
              <w:color w:val="auto"/>
            </w:rPr>
            <w:fldChar w:fldCharType="begin"/>
          </w:r>
          <w:r>
            <w:rPr>
              <w:color w:val="auto"/>
            </w:rPr>
            <w:instrText xml:space="preserve"> HYPERLINK \l "_Toc31754" </w:instrText>
          </w:r>
          <w:r>
            <w:rPr>
              <w:color w:val="auto"/>
            </w:rPr>
            <w:fldChar w:fldCharType="separate"/>
          </w:r>
          <w:r>
            <w:rPr>
              <w:rFonts w:hint="eastAsia" w:ascii="宋体" w:hAnsi="宋体" w:cs="宋体"/>
              <w:b/>
              <w:bCs/>
              <w:color w:val="auto"/>
              <w:sz w:val="32"/>
              <w:szCs w:val="32"/>
            </w:rPr>
            <w:t>第五部分  合同主要条款</w:t>
          </w:r>
          <w:r>
            <w:rPr>
              <w:rFonts w:hint="eastAsia" w:ascii="宋体" w:hAnsi="宋体" w:cs="宋体"/>
              <w:b/>
              <w:bCs/>
              <w:color w:val="auto"/>
              <w:sz w:val="32"/>
              <w:szCs w:val="32"/>
            </w:rPr>
            <w:fldChar w:fldCharType="end"/>
          </w:r>
          <w:r>
            <w:rPr>
              <w:rFonts w:hint="eastAsia" w:ascii="宋体" w:hAnsi="宋体" w:cs="宋体"/>
              <w:b/>
              <w:bCs/>
              <w:color w:val="auto"/>
              <w:sz w:val="28"/>
              <w:szCs w:val="28"/>
            </w:rPr>
            <w:tab/>
          </w:r>
          <w:r>
            <w:rPr>
              <w:rFonts w:hint="eastAsia" w:ascii="宋体" w:hAnsi="宋体" w:cs="宋体"/>
              <w:b/>
              <w:bCs/>
              <w:color w:val="auto"/>
              <w:sz w:val="28"/>
              <w:szCs w:val="28"/>
            </w:rPr>
            <w:t>47</w:t>
          </w:r>
        </w:p>
        <w:p w14:paraId="2319B9EF">
          <w:pPr>
            <w:pStyle w:val="24"/>
            <w:shd w:val="clear" w:color="auto" w:fill="FFFFFF" w:themeFill="background1"/>
            <w:tabs>
              <w:tab w:val="right" w:leader="dot" w:pos="8306"/>
            </w:tabs>
            <w:spacing w:line="360" w:lineRule="auto"/>
            <w:ind w:firstLine="640"/>
            <w:jc w:val="left"/>
            <w:rPr>
              <w:rFonts w:ascii="宋体" w:hAnsi="宋体" w:cs="宋体"/>
              <w:b/>
              <w:bCs/>
              <w:color w:val="auto"/>
              <w:sz w:val="32"/>
              <w:szCs w:val="32"/>
            </w:rPr>
          </w:pPr>
          <w:r>
            <w:rPr>
              <w:color w:val="auto"/>
            </w:rPr>
            <w:fldChar w:fldCharType="begin"/>
          </w:r>
          <w:r>
            <w:rPr>
              <w:color w:val="auto"/>
            </w:rPr>
            <w:instrText xml:space="preserve"> HYPERLINK \l "_Toc28239" </w:instrText>
          </w:r>
          <w:r>
            <w:rPr>
              <w:color w:val="auto"/>
            </w:rPr>
            <w:fldChar w:fldCharType="separate"/>
          </w:r>
          <w:r>
            <w:rPr>
              <w:rFonts w:hint="eastAsia" w:ascii="宋体" w:hAnsi="宋体" w:cs="宋体"/>
              <w:b/>
              <w:bCs/>
              <w:color w:val="auto"/>
              <w:sz w:val="32"/>
              <w:szCs w:val="32"/>
            </w:rPr>
            <w:t>第六部分  投标文件格式</w:t>
          </w:r>
          <w:r>
            <w:rPr>
              <w:rFonts w:hint="eastAsia" w:ascii="宋体" w:hAnsi="宋体" w:cs="宋体"/>
              <w:b/>
              <w:bCs/>
              <w:color w:val="auto"/>
              <w:sz w:val="32"/>
              <w:szCs w:val="32"/>
            </w:rPr>
            <w:fldChar w:fldCharType="end"/>
          </w:r>
          <w:r>
            <w:rPr>
              <w:rFonts w:hint="eastAsia" w:ascii="宋体" w:hAnsi="宋体" w:cs="宋体"/>
              <w:b/>
              <w:bCs/>
              <w:color w:val="auto"/>
              <w:sz w:val="28"/>
              <w:szCs w:val="28"/>
            </w:rPr>
            <w:tab/>
          </w:r>
          <w:r>
            <w:rPr>
              <w:rFonts w:hint="eastAsia" w:ascii="宋体" w:hAnsi="宋体" w:cs="宋体"/>
              <w:b/>
              <w:bCs/>
              <w:color w:val="auto"/>
              <w:sz w:val="28"/>
              <w:szCs w:val="28"/>
            </w:rPr>
            <w:t>61</w:t>
          </w:r>
        </w:p>
        <w:p w14:paraId="7FDA2ED8">
          <w:pPr>
            <w:pStyle w:val="24"/>
            <w:shd w:val="clear" w:color="auto" w:fill="FFFFFF" w:themeFill="background1"/>
            <w:tabs>
              <w:tab w:val="right" w:leader="dot" w:pos="8306"/>
            </w:tabs>
            <w:spacing w:line="360" w:lineRule="auto"/>
            <w:rPr>
              <w:rFonts w:ascii="宋体" w:hAnsi="宋体" w:cs="宋体"/>
              <w:color w:val="auto"/>
            </w:rPr>
          </w:pPr>
        </w:p>
        <w:p w14:paraId="2186B416">
          <w:pPr>
            <w:shd w:val="clear" w:color="auto" w:fill="FFFFFF" w:themeFill="background1"/>
            <w:snapToGrid w:val="0"/>
            <w:spacing w:line="360" w:lineRule="auto"/>
            <w:rPr>
              <w:rFonts w:ascii="宋体" w:hAnsi="宋体" w:cs="宋体"/>
              <w:color w:val="auto"/>
              <w:sz w:val="28"/>
              <w:szCs w:val="28"/>
            </w:rPr>
          </w:pPr>
          <w:r>
            <w:rPr>
              <w:rFonts w:hint="eastAsia" w:ascii="宋体" w:hAnsi="宋体" w:cs="宋体"/>
              <w:bCs/>
              <w:color w:val="auto"/>
              <w:szCs w:val="28"/>
            </w:rPr>
            <w:fldChar w:fldCharType="end"/>
          </w:r>
        </w:p>
      </w:sdtContent>
    </w:sdt>
    <w:p w14:paraId="7DD6D978">
      <w:pPr>
        <w:pStyle w:val="17"/>
        <w:snapToGrid w:val="0"/>
        <w:spacing w:beforeLines="0" w:afterLines="0" w:line="360" w:lineRule="auto"/>
        <w:jc w:val="center"/>
        <w:rPr>
          <w:rFonts w:hAnsi="宋体" w:cs="宋体"/>
          <w:b/>
          <w:color w:val="auto"/>
          <w:spacing w:val="-6"/>
          <w:sz w:val="32"/>
          <w:szCs w:val="32"/>
        </w:rPr>
      </w:pPr>
    </w:p>
    <w:p w14:paraId="5989F34C">
      <w:pPr>
        <w:spacing w:line="360" w:lineRule="auto"/>
        <w:rPr>
          <w:rFonts w:ascii="宋体" w:hAnsi="宋体" w:cs="宋体"/>
          <w:b/>
          <w:color w:val="auto"/>
          <w:spacing w:val="-6"/>
          <w:sz w:val="32"/>
          <w:szCs w:val="32"/>
        </w:rPr>
      </w:pPr>
    </w:p>
    <w:p w14:paraId="456EE75D">
      <w:pPr>
        <w:tabs>
          <w:tab w:val="left" w:pos="5628"/>
        </w:tabs>
        <w:spacing w:line="360" w:lineRule="auto"/>
        <w:jc w:val="left"/>
        <w:rPr>
          <w:color w:val="auto"/>
        </w:rPr>
        <w:sectPr>
          <w:footerReference r:id="rId8" w:type="first"/>
          <w:footerReference r:id="rId7"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cs="宋体"/>
          <w:b/>
          <w:color w:val="auto"/>
          <w:spacing w:val="-6"/>
          <w:sz w:val="32"/>
          <w:szCs w:val="32"/>
        </w:rPr>
        <w:tab/>
      </w:r>
    </w:p>
    <w:p w14:paraId="519BF200">
      <w:pPr>
        <w:pStyle w:val="17"/>
        <w:snapToGrid w:val="0"/>
        <w:spacing w:beforeLines="0" w:afterLines="0" w:line="360" w:lineRule="auto"/>
        <w:jc w:val="center"/>
        <w:outlineLvl w:val="0"/>
        <w:rPr>
          <w:rFonts w:hAnsi="宋体" w:cs="宋体"/>
          <w:b/>
          <w:color w:val="auto"/>
          <w:sz w:val="32"/>
          <w:szCs w:val="32"/>
        </w:rPr>
      </w:pPr>
      <w:bookmarkStart w:id="0" w:name="_Toc5008"/>
      <w:r>
        <w:rPr>
          <w:rFonts w:hint="eastAsia" w:hAnsi="宋体" w:cs="宋体"/>
          <w:b/>
          <w:color w:val="auto"/>
          <w:spacing w:val="-6"/>
          <w:sz w:val="32"/>
          <w:szCs w:val="32"/>
        </w:rPr>
        <w:t>第一部分  招标公告</w:t>
      </w:r>
      <w:bookmarkEnd w:id="0"/>
    </w:p>
    <w:tbl>
      <w:tblPr>
        <w:tblStyle w:val="3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00C6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9540" w:type="dxa"/>
            <w:vAlign w:val="center"/>
          </w:tcPr>
          <w:p w14:paraId="0C1397E5">
            <w:pPr>
              <w:pStyle w:val="14"/>
              <w:spacing w:after="0" w:line="360" w:lineRule="auto"/>
              <w:ind w:left="0" w:leftChars="0"/>
              <w:jc w:val="left"/>
              <w:rPr>
                <w:rFonts w:ascii="宋体" w:hAnsi="宋体" w:cs="宋体"/>
                <w:b/>
                <w:bCs/>
                <w:color w:val="auto"/>
                <w:sz w:val="24"/>
                <w:u w:val="single"/>
              </w:rPr>
            </w:pPr>
            <w:bookmarkStart w:id="1" w:name="_Toc30575"/>
            <w:r>
              <w:rPr>
                <w:rFonts w:hint="eastAsia" w:ascii="宋体" w:hAnsi="宋体" w:cs="宋体"/>
                <w:b/>
                <w:color w:val="auto"/>
                <w:sz w:val="24"/>
              </w:rPr>
              <w:t>项目概况</w:t>
            </w:r>
          </w:p>
          <w:p w14:paraId="1BA8092A">
            <w:pPr>
              <w:pStyle w:val="14"/>
              <w:spacing w:after="0" w:line="360" w:lineRule="auto"/>
              <w:ind w:left="0" w:leftChars="0" w:firstLine="482" w:firstLineChars="200"/>
              <w:jc w:val="left"/>
              <w:rPr>
                <w:rFonts w:ascii="宋体" w:hAnsi="宋体" w:cs="宋体"/>
                <w:b/>
                <w:color w:val="auto"/>
                <w:sz w:val="24"/>
              </w:rPr>
            </w:pPr>
            <w:r>
              <w:rPr>
                <w:rFonts w:hint="eastAsia" w:ascii="宋体" w:hAnsi="宋体" w:cs="宋体"/>
                <w:b/>
                <w:bCs/>
                <w:color w:val="auto"/>
                <w:sz w:val="24"/>
                <w:u w:val="single"/>
                <w:lang w:eastAsia="zh-CN"/>
              </w:rPr>
              <w:t>浙江省嘉兴市消防救援支队2024年度装备器材采购项目(救生、警戒、堵漏和水域救援类）</w:t>
            </w:r>
            <w:r>
              <w:rPr>
                <w:rFonts w:hint="eastAsia" w:ascii="宋体" w:hAnsi="宋体" w:cs="宋体"/>
                <w:color w:val="auto"/>
                <w:sz w:val="24"/>
              </w:rPr>
              <w:t>的潜在投标人应在</w:t>
            </w:r>
            <w:r>
              <w:rPr>
                <w:rFonts w:hint="eastAsia" w:ascii="宋体" w:hAnsi="宋体" w:cs="宋体"/>
                <w:b/>
                <w:bCs/>
                <w:color w:val="auto"/>
                <w:sz w:val="24"/>
                <w:u w:val="single"/>
              </w:rPr>
              <w:t>杭州意信招标代理有限公司</w:t>
            </w:r>
            <w:r>
              <w:rPr>
                <w:rFonts w:hint="eastAsia" w:ascii="宋体" w:hAnsi="宋体" w:cs="宋体"/>
                <w:color w:val="auto"/>
                <w:sz w:val="24"/>
              </w:rPr>
              <w:t>获取招标文件，并于</w:t>
            </w:r>
            <w:r>
              <w:rPr>
                <w:rFonts w:hint="eastAsia" w:ascii="宋体" w:hAnsi="宋体" w:cs="宋体"/>
                <w:b/>
                <w:color w:val="auto"/>
                <w:sz w:val="24"/>
                <w:u w:val="single"/>
              </w:rPr>
              <w:t>202</w:t>
            </w:r>
            <w:r>
              <w:rPr>
                <w:rFonts w:hint="eastAsia" w:ascii="宋体" w:hAnsi="宋体" w:cs="宋体"/>
                <w:b/>
                <w:color w:val="auto"/>
                <w:sz w:val="24"/>
                <w:u w:val="single"/>
                <w:lang w:val="en-US" w:eastAsia="zh-CN"/>
              </w:rPr>
              <w:t>5</w:t>
            </w:r>
            <w:r>
              <w:rPr>
                <w:rFonts w:hint="eastAsia" w:ascii="宋体" w:hAnsi="宋体" w:cs="宋体"/>
                <w:b/>
                <w:color w:val="auto"/>
                <w:sz w:val="24"/>
                <w:u w:val="single"/>
              </w:rPr>
              <w:t>年</w:t>
            </w:r>
            <w:r>
              <w:rPr>
                <w:rFonts w:hint="eastAsia" w:ascii="宋体" w:hAnsi="宋体" w:cs="宋体"/>
                <w:b/>
                <w:color w:val="auto"/>
                <w:sz w:val="24"/>
                <w:u w:val="single"/>
                <w:lang w:val="en-US" w:eastAsia="zh-CN"/>
              </w:rPr>
              <w:t>1</w:t>
            </w:r>
            <w:r>
              <w:rPr>
                <w:rFonts w:hint="eastAsia" w:ascii="宋体" w:hAnsi="宋体" w:cs="宋体"/>
                <w:b/>
                <w:color w:val="auto"/>
                <w:sz w:val="24"/>
                <w:u w:val="single"/>
              </w:rPr>
              <w:t>月</w:t>
            </w:r>
            <w:r>
              <w:rPr>
                <w:rFonts w:hint="eastAsia" w:ascii="宋体" w:hAnsi="宋体" w:cs="宋体"/>
                <w:b/>
                <w:color w:val="auto"/>
                <w:sz w:val="24"/>
                <w:u w:val="single"/>
                <w:lang w:val="en-US" w:eastAsia="zh-CN"/>
              </w:rPr>
              <w:t>17</w:t>
            </w:r>
            <w:r>
              <w:rPr>
                <w:rFonts w:hint="eastAsia" w:ascii="宋体" w:hAnsi="宋体" w:cs="宋体"/>
                <w:b/>
                <w:color w:val="auto"/>
                <w:sz w:val="24"/>
                <w:u w:val="single"/>
              </w:rPr>
              <w:t>日</w:t>
            </w:r>
            <w:r>
              <w:rPr>
                <w:rFonts w:hint="eastAsia" w:ascii="宋体" w:hAnsi="宋体" w:cs="宋体"/>
                <w:b/>
                <w:bCs/>
                <w:color w:val="auto"/>
                <w:kern w:val="0"/>
                <w:sz w:val="24"/>
                <w:u w:val="single"/>
                <w:lang w:val="en-US" w:eastAsia="zh-CN"/>
              </w:rPr>
              <w:t>9：00</w:t>
            </w:r>
            <w:r>
              <w:rPr>
                <w:rFonts w:hint="eastAsia" w:ascii="宋体" w:hAnsi="宋体" w:cs="宋体"/>
                <w:bCs/>
                <w:color w:val="auto"/>
                <w:sz w:val="24"/>
              </w:rPr>
              <w:t>（北京时间）前递交投标文件。</w:t>
            </w:r>
          </w:p>
        </w:tc>
      </w:tr>
    </w:tbl>
    <w:p w14:paraId="455E9B96">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根据《中华人民共和国政府采购法》等有关规定，</w:t>
      </w:r>
      <w:r>
        <w:rPr>
          <w:rFonts w:hint="eastAsia" w:ascii="宋体" w:hAnsi="宋体" w:cs="宋体"/>
          <w:b/>
          <w:bCs/>
          <w:color w:val="auto"/>
          <w:sz w:val="24"/>
          <w:u w:val="single"/>
        </w:rPr>
        <w:t>杭州意信招标代理有限公司</w:t>
      </w:r>
      <w:r>
        <w:rPr>
          <w:rFonts w:hint="eastAsia" w:ascii="宋体" w:hAnsi="宋体" w:cs="宋体"/>
          <w:color w:val="auto"/>
          <w:sz w:val="24"/>
        </w:rPr>
        <w:t>受</w:t>
      </w:r>
      <w:r>
        <w:rPr>
          <w:rFonts w:hint="eastAsia" w:ascii="宋体" w:hAnsi="宋体" w:cs="宋体"/>
          <w:b/>
          <w:bCs/>
          <w:color w:val="auto"/>
          <w:sz w:val="24"/>
          <w:u w:val="single"/>
        </w:rPr>
        <w:t>嘉兴市消防救援支队</w:t>
      </w:r>
      <w:r>
        <w:rPr>
          <w:rFonts w:hint="eastAsia" w:ascii="宋体" w:hAnsi="宋体" w:cs="宋体"/>
          <w:color w:val="auto"/>
          <w:sz w:val="24"/>
        </w:rPr>
        <w:t>委托，就</w:t>
      </w:r>
      <w:r>
        <w:rPr>
          <w:rFonts w:hint="eastAsia" w:ascii="宋体" w:hAnsi="宋体" w:cs="宋体"/>
          <w:b/>
          <w:bCs/>
          <w:color w:val="auto"/>
          <w:sz w:val="24"/>
          <w:u w:val="single"/>
          <w:lang w:eastAsia="zh-CN"/>
        </w:rPr>
        <w:t>浙江省嘉兴市消防救援支队2024年度装备器材采购项目(救生、警戒、堵漏和水域救援类）</w:t>
      </w:r>
      <w:r>
        <w:rPr>
          <w:rFonts w:hint="eastAsia" w:ascii="宋体" w:hAnsi="宋体" w:cs="宋体"/>
          <w:color w:val="auto"/>
          <w:sz w:val="24"/>
        </w:rPr>
        <w:t>进行公开招标，欢迎国内合格的供应商前来投标。</w:t>
      </w:r>
    </w:p>
    <w:p w14:paraId="23623D96">
      <w:pPr>
        <w:widowControl/>
        <w:spacing w:line="360" w:lineRule="auto"/>
        <w:jc w:val="left"/>
        <w:rPr>
          <w:rFonts w:ascii="宋体" w:hAnsi="宋体" w:cs="宋体"/>
          <w:b/>
          <w:color w:val="auto"/>
          <w:sz w:val="24"/>
        </w:rPr>
      </w:pPr>
      <w:r>
        <w:rPr>
          <w:rFonts w:hint="eastAsia" w:ascii="宋体" w:hAnsi="宋体" w:cs="宋体"/>
          <w:b/>
          <w:color w:val="auto"/>
          <w:sz w:val="24"/>
        </w:rPr>
        <w:t>一、项目基本情况</w:t>
      </w:r>
    </w:p>
    <w:p w14:paraId="7B2F4A9D">
      <w:pPr>
        <w:widowControl/>
        <w:spacing w:line="360" w:lineRule="auto"/>
        <w:ind w:firstLine="482" w:firstLineChars="200"/>
        <w:jc w:val="left"/>
        <w:rPr>
          <w:rFonts w:hint="eastAsia" w:ascii="宋体" w:hAnsi="宋体" w:eastAsia="宋体" w:cs="宋体"/>
          <w:bCs/>
          <w:color w:val="auto"/>
          <w:sz w:val="24"/>
          <w:lang w:eastAsia="zh-CN"/>
        </w:rPr>
      </w:pPr>
      <w:r>
        <w:rPr>
          <w:rFonts w:hint="eastAsia" w:ascii="宋体" w:hAnsi="宋体" w:cs="宋体"/>
          <w:b/>
          <w:color w:val="auto"/>
          <w:sz w:val="24"/>
        </w:rPr>
        <w:t>项目编号：</w:t>
      </w:r>
      <w:r>
        <w:rPr>
          <w:rFonts w:hint="eastAsia" w:ascii="宋体" w:hAnsi="宋体" w:cs="宋体"/>
          <w:bCs/>
          <w:color w:val="auto"/>
          <w:sz w:val="24"/>
          <w:lang w:eastAsia="zh-CN"/>
        </w:rPr>
        <w:t>嘉消采-GK20240</w:t>
      </w:r>
      <w:r>
        <w:rPr>
          <w:rFonts w:hint="eastAsia" w:ascii="宋体" w:hAnsi="宋体" w:cs="宋体"/>
          <w:bCs/>
          <w:color w:val="auto"/>
          <w:sz w:val="24"/>
          <w:lang w:val="en-US" w:eastAsia="zh-CN"/>
        </w:rPr>
        <w:t>17</w:t>
      </w:r>
    </w:p>
    <w:p w14:paraId="40924AA6">
      <w:pPr>
        <w:widowControl/>
        <w:spacing w:line="360" w:lineRule="auto"/>
        <w:ind w:firstLine="482" w:firstLineChars="200"/>
        <w:jc w:val="left"/>
        <w:rPr>
          <w:rFonts w:hint="eastAsia" w:ascii="宋体" w:hAnsi="宋体" w:eastAsia="宋体" w:cs="宋体"/>
          <w:bCs/>
          <w:color w:val="auto"/>
          <w:sz w:val="24"/>
          <w:lang w:eastAsia="zh-CN"/>
        </w:rPr>
      </w:pPr>
      <w:r>
        <w:rPr>
          <w:rFonts w:hint="eastAsia" w:ascii="宋体" w:hAnsi="宋体" w:cs="宋体"/>
          <w:b/>
          <w:color w:val="auto"/>
          <w:sz w:val="24"/>
        </w:rPr>
        <w:t>项目名称：</w:t>
      </w:r>
      <w:r>
        <w:rPr>
          <w:rFonts w:hint="eastAsia" w:ascii="宋体" w:hAnsi="宋体" w:cs="宋体"/>
          <w:bCs/>
          <w:color w:val="auto"/>
          <w:sz w:val="24"/>
          <w:lang w:eastAsia="zh-CN"/>
        </w:rPr>
        <w:t>浙江省嘉兴市消防救援支队2024年度装备器材采购项目(救生、警戒、堵漏和水域救援类）</w:t>
      </w:r>
    </w:p>
    <w:p w14:paraId="6F38D9B0">
      <w:pPr>
        <w:widowControl/>
        <w:spacing w:line="360" w:lineRule="auto"/>
        <w:ind w:firstLine="482" w:firstLineChars="200"/>
        <w:jc w:val="left"/>
        <w:rPr>
          <w:rFonts w:ascii="宋体" w:hAnsi="宋体" w:cs="宋体"/>
          <w:bCs/>
          <w:color w:val="auto"/>
          <w:sz w:val="24"/>
        </w:rPr>
      </w:pPr>
      <w:r>
        <w:rPr>
          <w:rFonts w:hint="eastAsia" w:ascii="宋体" w:hAnsi="宋体" w:cs="宋体"/>
          <w:b/>
          <w:color w:val="auto"/>
          <w:sz w:val="24"/>
        </w:rPr>
        <w:t>采购总预算：</w:t>
      </w:r>
      <w:r>
        <w:rPr>
          <w:rFonts w:hint="eastAsia" w:ascii="宋体" w:hAnsi="宋体" w:cs="宋体"/>
          <w:bCs/>
          <w:color w:val="auto"/>
          <w:sz w:val="24"/>
        </w:rPr>
        <w:t>140</w:t>
      </w:r>
      <w:r>
        <w:rPr>
          <w:rFonts w:hint="eastAsia" w:ascii="宋体" w:hAnsi="宋体" w:cs="宋体"/>
          <w:bCs/>
          <w:color w:val="auto"/>
          <w:sz w:val="24"/>
          <w:lang w:val="en-US" w:eastAsia="zh-CN"/>
        </w:rPr>
        <w:t>.</w:t>
      </w:r>
      <w:r>
        <w:rPr>
          <w:rFonts w:hint="eastAsia" w:ascii="宋体" w:hAnsi="宋体" w:cs="宋体"/>
          <w:bCs/>
          <w:color w:val="auto"/>
          <w:sz w:val="24"/>
        </w:rPr>
        <w:t>6255万元（人民币）</w:t>
      </w:r>
    </w:p>
    <w:p w14:paraId="425837E6">
      <w:pPr>
        <w:widowControl/>
        <w:spacing w:line="360" w:lineRule="auto"/>
        <w:ind w:firstLine="482" w:firstLineChars="200"/>
        <w:jc w:val="left"/>
        <w:rPr>
          <w:rFonts w:ascii="宋体" w:hAnsi="宋体" w:cs="宋体"/>
          <w:bCs/>
          <w:color w:val="auto"/>
          <w:sz w:val="24"/>
        </w:rPr>
      </w:pPr>
      <w:r>
        <w:rPr>
          <w:rFonts w:hint="eastAsia" w:ascii="宋体" w:hAnsi="宋体" w:cs="宋体"/>
          <w:b/>
          <w:color w:val="auto"/>
          <w:sz w:val="24"/>
        </w:rPr>
        <w:t>最高总限价：</w:t>
      </w:r>
      <w:r>
        <w:rPr>
          <w:rFonts w:hint="eastAsia" w:ascii="宋体" w:hAnsi="宋体" w:cs="宋体"/>
          <w:bCs/>
          <w:color w:val="auto"/>
          <w:sz w:val="24"/>
        </w:rPr>
        <w:t>140</w:t>
      </w:r>
      <w:r>
        <w:rPr>
          <w:rFonts w:hint="eastAsia" w:ascii="宋体" w:hAnsi="宋体" w:cs="宋体"/>
          <w:bCs/>
          <w:color w:val="auto"/>
          <w:sz w:val="24"/>
          <w:lang w:val="en-US" w:eastAsia="zh-CN"/>
        </w:rPr>
        <w:t>.</w:t>
      </w:r>
      <w:r>
        <w:rPr>
          <w:rFonts w:hint="eastAsia" w:ascii="宋体" w:hAnsi="宋体" w:cs="宋体"/>
          <w:bCs/>
          <w:color w:val="auto"/>
          <w:sz w:val="24"/>
        </w:rPr>
        <w:t>6255万元（人民币）</w:t>
      </w:r>
    </w:p>
    <w:p w14:paraId="619CD148">
      <w:pPr>
        <w:widowControl/>
        <w:spacing w:line="360" w:lineRule="auto"/>
        <w:ind w:firstLine="482" w:firstLineChars="200"/>
        <w:jc w:val="left"/>
        <w:rPr>
          <w:rFonts w:hint="eastAsia" w:ascii="宋体" w:hAnsi="宋体" w:cs="宋体"/>
          <w:color w:val="auto"/>
          <w:sz w:val="24"/>
          <w:shd w:val="clear" w:color="auto" w:fill="FFFFFF" w:themeFill="background1"/>
        </w:rPr>
      </w:pPr>
      <w:r>
        <w:rPr>
          <w:rFonts w:hint="eastAsia" w:ascii="宋体" w:hAnsi="宋体" w:cs="宋体"/>
          <w:b/>
          <w:color w:val="auto"/>
          <w:sz w:val="24"/>
        </w:rPr>
        <w:t>采购需求</w:t>
      </w:r>
      <w:r>
        <w:rPr>
          <w:rFonts w:hint="eastAsia" w:ascii="宋体" w:hAnsi="宋体" w:cs="宋体"/>
          <w:bCs/>
          <w:color w:val="auto"/>
          <w:sz w:val="24"/>
        </w:rPr>
        <w:t>：</w:t>
      </w:r>
      <w:r>
        <w:rPr>
          <w:rFonts w:hint="eastAsia" w:ascii="宋体" w:hAnsi="宋体" w:cs="宋体"/>
          <w:color w:val="auto"/>
          <w:sz w:val="24"/>
        </w:rPr>
        <w:t>具体如下</w:t>
      </w:r>
      <w:r>
        <w:rPr>
          <w:rFonts w:hint="eastAsia" w:ascii="宋体" w:hAnsi="宋体" w:cs="宋体"/>
          <w:color w:val="auto"/>
          <w:sz w:val="24"/>
          <w:shd w:val="clear" w:color="auto" w:fill="FFFFFF" w:themeFill="background1"/>
        </w:rPr>
        <w:t>（标‘●’为核心产品）：</w:t>
      </w:r>
    </w:p>
    <w:tbl>
      <w:tblPr>
        <w:tblStyle w:val="34"/>
        <w:tblW w:w="9649"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776"/>
        <w:gridCol w:w="1776"/>
        <w:gridCol w:w="960"/>
        <w:gridCol w:w="1248"/>
        <w:gridCol w:w="1152"/>
        <w:gridCol w:w="1164"/>
        <w:gridCol w:w="888"/>
      </w:tblGrid>
      <w:tr w14:paraId="10E2D5A2">
        <w:tblPrEx>
          <w:tblCellMar>
            <w:top w:w="0" w:type="dxa"/>
            <w:left w:w="108" w:type="dxa"/>
            <w:bottom w:w="0" w:type="dxa"/>
            <w:right w:w="108" w:type="dxa"/>
          </w:tblCellMar>
        </w:tblPrEx>
        <w:trPr>
          <w:trHeight w:val="760" w:hRule="atLeast"/>
        </w:trPr>
        <w:tc>
          <w:tcPr>
            <w:tcW w:w="685" w:type="dxa"/>
            <w:tcBorders>
              <w:tl2br w:val="nil"/>
              <w:tr2bl w:val="nil"/>
            </w:tcBorders>
            <w:noWrap/>
            <w:vAlign w:val="center"/>
          </w:tcPr>
          <w:p w14:paraId="62EF1BCE">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标项</w:t>
            </w:r>
          </w:p>
        </w:tc>
        <w:tc>
          <w:tcPr>
            <w:tcW w:w="1776" w:type="dxa"/>
            <w:tcBorders>
              <w:tl2br w:val="nil"/>
              <w:tr2bl w:val="nil"/>
            </w:tcBorders>
            <w:noWrap/>
            <w:vAlign w:val="center"/>
          </w:tcPr>
          <w:p w14:paraId="3D9CCF53">
            <w:pPr>
              <w:widowControl/>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rPr>
              <w:t>标项名称</w:t>
            </w:r>
          </w:p>
        </w:tc>
        <w:tc>
          <w:tcPr>
            <w:tcW w:w="1776" w:type="dxa"/>
            <w:tcBorders>
              <w:tl2br w:val="nil"/>
              <w:tr2bl w:val="nil"/>
            </w:tcBorders>
            <w:noWrap/>
            <w:vAlign w:val="center"/>
          </w:tcPr>
          <w:p w14:paraId="411F455F">
            <w:pPr>
              <w:widowControl/>
              <w:jc w:val="center"/>
              <w:textAlignment w:val="center"/>
              <w:rPr>
                <w:rFonts w:ascii="宋体" w:hAnsi="宋体" w:cs="宋体"/>
                <w:b/>
                <w:bCs/>
                <w:color w:val="auto"/>
                <w:szCs w:val="21"/>
              </w:rPr>
            </w:pPr>
            <w:r>
              <w:rPr>
                <w:rFonts w:hint="eastAsia" w:ascii="宋体" w:hAnsi="宋体" w:cs="宋体"/>
                <w:b/>
                <w:bCs/>
                <w:color w:val="auto"/>
                <w:kern w:val="0"/>
                <w:szCs w:val="21"/>
                <w:lang w:val="en-US" w:eastAsia="zh-CN"/>
              </w:rPr>
              <w:t>货物</w:t>
            </w:r>
            <w:r>
              <w:rPr>
                <w:rFonts w:hint="eastAsia" w:ascii="宋体" w:hAnsi="宋体" w:cs="宋体"/>
                <w:b/>
                <w:bCs/>
                <w:color w:val="auto"/>
                <w:kern w:val="0"/>
                <w:szCs w:val="21"/>
              </w:rPr>
              <w:t>名称</w:t>
            </w:r>
          </w:p>
        </w:tc>
        <w:tc>
          <w:tcPr>
            <w:tcW w:w="960" w:type="dxa"/>
            <w:tcBorders>
              <w:tl2br w:val="nil"/>
              <w:tr2bl w:val="nil"/>
            </w:tcBorders>
            <w:noWrap/>
            <w:vAlign w:val="center"/>
          </w:tcPr>
          <w:p w14:paraId="1BB5E916">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数量</w:t>
            </w:r>
          </w:p>
        </w:tc>
        <w:tc>
          <w:tcPr>
            <w:tcW w:w="1248" w:type="dxa"/>
            <w:tcBorders>
              <w:tl2br w:val="nil"/>
              <w:tr2bl w:val="nil"/>
            </w:tcBorders>
            <w:noWrap/>
            <w:vAlign w:val="center"/>
          </w:tcPr>
          <w:p w14:paraId="2249ED37">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单价</w:t>
            </w:r>
          </w:p>
          <w:p w14:paraId="42BDB8BE">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最高限价</w:t>
            </w:r>
          </w:p>
          <w:p w14:paraId="662AB43B">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rPr>
              <w:t>（万元）</w:t>
            </w:r>
          </w:p>
        </w:tc>
        <w:tc>
          <w:tcPr>
            <w:tcW w:w="1152" w:type="dxa"/>
            <w:tcBorders>
              <w:tl2br w:val="nil"/>
              <w:tr2bl w:val="nil"/>
            </w:tcBorders>
            <w:noWrap/>
            <w:vAlign w:val="center"/>
          </w:tcPr>
          <w:p w14:paraId="632805D0">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分项</w:t>
            </w:r>
          </w:p>
          <w:p w14:paraId="45EE10A3">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最高限价</w:t>
            </w:r>
          </w:p>
          <w:p w14:paraId="706C1F67">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rPr>
              <w:t>（万元）</w:t>
            </w:r>
          </w:p>
        </w:tc>
        <w:tc>
          <w:tcPr>
            <w:tcW w:w="1164" w:type="dxa"/>
            <w:tcBorders>
              <w:tl2br w:val="nil"/>
              <w:tr2bl w:val="nil"/>
            </w:tcBorders>
            <w:noWrap/>
            <w:vAlign w:val="center"/>
          </w:tcPr>
          <w:p w14:paraId="4F5647D4">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标项合计</w:t>
            </w:r>
          </w:p>
          <w:p w14:paraId="4E2AB29C">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最高限价</w:t>
            </w:r>
          </w:p>
          <w:p w14:paraId="3C97430B">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rPr>
              <w:t>（万元）</w:t>
            </w:r>
          </w:p>
        </w:tc>
        <w:tc>
          <w:tcPr>
            <w:tcW w:w="888" w:type="dxa"/>
            <w:tcBorders>
              <w:tl2br w:val="nil"/>
              <w:tr2bl w:val="nil"/>
            </w:tcBorders>
            <w:noWrap/>
            <w:vAlign w:val="center"/>
          </w:tcPr>
          <w:p w14:paraId="3AE93B95">
            <w:pPr>
              <w:widowControl/>
              <w:jc w:val="center"/>
              <w:textAlignment w:val="center"/>
              <w:rPr>
                <w:rFonts w:ascii="宋体" w:hAnsi="宋体" w:cs="宋体"/>
                <w:b/>
                <w:bCs/>
                <w:color w:val="auto"/>
                <w:kern w:val="0"/>
                <w:szCs w:val="21"/>
              </w:rPr>
            </w:pPr>
            <w:r>
              <w:rPr>
                <w:rFonts w:hint="eastAsia" w:ascii="宋体" w:hAnsi="宋体" w:cs="宋体"/>
                <w:b/>
                <w:bCs/>
                <w:color w:val="auto"/>
                <w:kern w:val="0"/>
                <w:szCs w:val="21"/>
              </w:rPr>
              <w:t>简要规格描述</w:t>
            </w:r>
          </w:p>
        </w:tc>
      </w:tr>
      <w:tr w14:paraId="4FC2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tcBorders>
              <w:tl2br w:val="nil"/>
              <w:tr2bl w:val="nil"/>
            </w:tcBorders>
            <w:noWrap/>
            <w:vAlign w:val="center"/>
          </w:tcPr>
          <w:p w14:paraId="17C37401">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1776" w:type="dxa"/>
            <w:tcBorders>
              <w:tl2br w:val="nil"/>
              <w:tr2bl w:val="nil"/>
            </w:tcBorders>
            <w:noWrap/>
            <w:vAlign w:val="center"/>
          </w:tcPr>
          <w:p w14:paraId="61D884E6">
            <w:pPr>
              <w:rPr>
                <w:rFonts w:hint="eastAsia" w:ascii="宋体" w:hAnsi="宋体" w:cs="宋体"/>
                <w:color w:val="auto"/>
                <w:szCs w:val="21"/>
                <w:shd w:val="clear" w:color="auto" w:fill="FFFFFF" w:themeFill="background1"/>
              </w:rPr>
            </w:pPr>
            <w:r>
              <w:rPr>
                <w:rFonts w:hint="eastAsia" w:ascii="宋体" w:hAnsi="宋体"/>
                <w:color w:val="auto"/>
                <w:szCs w:val="21"/>
              </w:rPr>
              <w:t>救生照明线</w:t>
            </w:r>
          </w:p>
        </w:tc>
        <w:tc>
          <w:tcPr>
            <w:tcW w:w="1776" w:type="dxa"/>
            <w:tcBorders>
              <w:tl2br w:val="nil"/>
              <w:tr2bl w:val="nil"/>
            </w:tcBorders>
            <w:noWrap/>
            <w:vAlign w:val="center"/>
          </w:tcPr>
          <w:p w14:paraId="4F33EB9C">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救生照明线</w:t>
            </w:r>
          </w:p>
        </w:tc>
        <w:tc>
          <w:tcPr>
            <w:tcW w:w="960" w:type="dxa"/>
            <w:tcBorders>
              <w:tl2br w:val="nil"/>
              <w:tr2bl w:val="nil"/>
            </w:tcBorders>
            <w:noWrap/>
            <w:vAlign w:val="center"/>
          </w:tcPr>
          <w:p w14:paraId="4909230D">
            <w:pPr>
              <w:jc w:val="center"/>
              <w:rPr>
                <w:rFonts w:hint="eastAsia" w:ascii="宋体" w:hAnsi="宋体" w:eastAsia="宋体" w:cs="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6</w:t>
            </w:r>
          </w:p>
        </w:tc>
        <w:tc>
          <w:tcPr>
            <w:tcW w:w="1248" w:type="dxa"/>
            <w:tcBorders>
              <w:tl2br w:val="nil"/>
              <w:tr2bl w:val="nil"/>
            </w:tcBorders>
            <w:noWrap/>
            <w:vAlign w:val="center"/>
          </w:tcPr>
          <w:p w14:paraId="51FE5F0D">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rPr>
              <w:t>1.8</w:t>
            </w:r>
          </w:p>
        </w:tc>
        <w:tc>
          <w:tcPr>
            <w:tcW w:w="1152" w:type="dxa"/>
            <w:tcBorders>
              <w:tl2br w:val="nil"/>
              <w:tr2bl w:val="nil"/>
            </w:tcBorders>
            <w:noWrap/>
            <w:vAlign w:val="center"/>
          </w:tcPr>
          <w:p w14:paraId="7AB1B099">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28.8</w:t>
            </w:r>
          </w:p>
        </w:tc>
        <w:tc>
          <w:tcPr>
            <w:tcW w:w="1164" w:type="dxa"/>
            <w:tcBorders>
              <w:tl2br w:val="nil"/>
              <w:tr2bl w:val="nil"/>
            </w:tcBorders>
            <w:noWrap/>
            <w:vAlign w:val="center"/>
          </w:tcPr>
          <w:p w14:paraId="03C93E99">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28.8</w:t>
            </w:r>
          </w:p>
        </w:tc>
        <w:tc>
          <w:tcPr>
            <w:tcW w:w="888" w:type="dxa"/>
            <w:vMerge w:val="restart"/>
            <w:tcBorders>
              <w:tl2br w:val="nil"/>
              <w:tr2bl w:val="nil"/>
            </w:tcBorders>
            <w:noWrap/>
            <w:vAlign w:val="center"/>
          </w:tcPr>
          <w:p w14:paraId="5A3F074F">
            <w:pPr>
              <w:widowControl/>
              <w:jc w:val="center"/>
              <w:textAlignment w:val="center"/>
              <w:rPr>
                <w:rFonts w:ascii="宋体" w:hAnsi="宋体" w:cs="宋体"/>
                <w:color w:val="auto"/>
                <w:kern w:val="0"/>
                <w:szCs w:val="21"/>
              </w:rPr>
            </w:pPr>
            <w:r>
              <w:rPr>
                <w:rFonts w:hint="eastAsia" w:ascii="宋体" w:hAnsi="宋体" w:cs="宋体"/>
                <w:color w:val="auto"/>
                <w:kern w:val="0"/>
                <w:szCs w:val="21"/>
              </w:rPr>
              <w:t>详见采购需求</w:t>
            </w:r>
          </w:p>
        </w:tc>
      </w:tr>
      <w:tr w14:paraId="5680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restart"/>
            <w:tcBorders>
              <w:tl2br w:val="nil"/>
              <w:tr2bl w:val="nil"/>
            </w:tcBorders>
            <w:noWrap/>
            <w:vAlign w:val="center"/>
          </w:tcPr>
          <w:p w14:paraId="629253AC">
            <w:pPr>
              <w:jc w:val="center"/>
              <w:rPr>
                <w:rFonts w:ascii="宋体" w:hAnsi="宋体" w:cs="宋体"/>
                <w:color w:val="auto"/>
                <w:szCs w:val="21"/>
              </w:rPr>
            </w:pPr>
            <w:r>
              <w:rPr>
                <w:rFonts w:hint="eastAsia" w:ascii="宋体" w:hAnsi="宋体" w:cs="宋体"/>
                <w:color w:val="auto"/>
                <w:szCs w:val="21"/>
              </w:rPr>
              <w:t>2</w:t>
            </w:r>
          </w:p>
        </w:tc>
        <w:tc>
          <w:tcPr>
            <w:tcW w:w="1776" w:type="dxa"/>
            <w:vMerge w:val="restart"/>
            <w:tcBorders>
              <w:tl2br w:val="nil"/>
              <w:tr2bl w:val="nil"/>
            </w:tcBorders>
            <w:noWrap/>
            <w:vAlign w:val="center"/>
          </w:tcPr>
          <w:p w14:paraId="3D92BADB">
            <w:pPr>
              <w:rPr>
                <w:rFonts w:hint="eastAsia" w:ascii="宋体" w:hAnsi="宋体" w:eastAsia="宋体" w:cs="宋体"/>
                <w:color w:val="auto"/>
                <w:szCs w:val="21"/>
                <w:shd w:val="clear" w:color="auto" w:fill="FFFFFF" w:themeFill="background1"/>
                <w:lang w:val="en-US" w:eastAsia="zh-CN"/>
              </w:rPr>
            </w:pPr>
            <w:r>
              <w:rPr>
                <w:rFonts w:hint="eastAsia" w:ascii="宋体" w:hAnsi="宋体"/>
                <w:color w:val="auto"/>
                <w:szCs w:val="21"/>
              </w:rPr>
              <w:t>消防救生气垫</w:t>
            </w:r>
            <w:r>
              <w:rPr>
                <w:rFonts w:hint="eastAsia" w:ascii="宋体" w:hAnsi="宋体"/>
                <w:color w:val="auto"/>
                <w:szCs w:val="21"/>
                <w:lang w:val="en-US" w:eastAsia="zh-CN"/>
              </w:rPr>
              <w:t>等设备</w:t>
            </w:r>
          </w:p>
        </w:tc>
        <w:tc>
          <w:tcPr>
            <w:tcW w:w="1776" w:type="dxa"/>
            <w:tcBorders>
              <w:tl2br w:val="nil"/>
              <w:tr2bl w:val="nil"/>
            </w:tcBorders>
            <w:noWrap/>
            <w:vAlign w:val="center"/>
          </w:tcPr>
          <w:p w14:paraId="358CB36F">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消防救生气垫</w:t>
            </w:r>
          </w:p>
        </w:tc>
        <w:tc>
          <w:tcPr>
            <w:tcW w:w="960" w:type="dxa"/>
            <w:tcBorders>
              <w:tl2br w:val="nil"/>
              <w:tr2bl w:val="nil"/>
            </w:tcBorders>
            <w:noWrap/>
            <w:vAlign w:val="center"/>
          </w:tcPr>
          <w:p w14:paraId="74F19F25">
            <w:pPr>
              <w:jc w:val="center"/>
              <w:rPr>
                <w:rFonts w:hint="eastAsia" w:ascii="宋体" w:hAnsi="宋体" w:eastAsia="宋体" w:cs="宋体"/>
                <w:color w:val="auto"/>
                <w:szCs w:val="21"/>
                <w:lang w:eastAsia="zh-CN"/>
              </w:rPr>
            </w:pPr>
            <w:r>
              <w:rPr>
                <w:rFonts w:hint="eastAsia" w:ascii="宋体" w:hAnsi="宋体"/>
                <w:color w:val="auto"/>
                <w:szCs w:val="21"/>
                <w:lang w:val="en-US" w:eastAsia="zh-CN"/>
              </w:rPr>
              <w:t>5</w:t>
            </w:r>
          </w:p>
        </w:tc>
        <w:tc>
          <w:tcPr>
            <w:tcW w:w="1248" w:type="dxa"/>
            <w:tcBorders>
              <w:tl2br w:val="nil"/>
              <w:tr2bl w:val="nil"/>
            </w:tcBorders>
            <w:noWrap/>
            <w:vAlign w:val="center"/>
          </w:tcPr>
          <w:p w14:paraId="0B51A2CF">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rPr>
              <w:t>3</w:t>
            </w:r>
          </w:p>
        </w:tc>
        <w:tc>
          <w:tcPr>
            <w:tcW w:w="1152" w:type="dxa"/>
            <w:tcBorders>
              <w:tl2br w:val="nil"/>
              <w:tr2bl w:val="nil"/>
            </w:tcBorders>
            <w:noWrap/>
            <w:vAlign w:val="center"/>
          </w:tcPr>
          <w:p w14:paraId="1D18E85E">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1164" w:type="dxa"/>
            <w:vMerge w:val="restart"/>
            <w:tcBorders>
              <w:tl2br w:val="nil"/>
              <w:tr2bl w:val="nil"/>
            </w:tcBorders>
            <w:noWrap/>
            <w:vAlign w:val="center"/>
          </w:tcPr>
          <w:p w14:paraId="092D9E25">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53.707</w:t>
            </w:r>
          </w:p>
        </w:tc>
        <w:tc>
          <w:tcPr>
            <w:tcW w:w="888" w:type="dxa"/>
            <w:vMerge w:val="continue"/>
            <w:tcBorders>
              <w:tl2br w:val="nil"/>
              <w:tr2bl w:val="nil"/>
            </w:tcBorders>
            <w:noWrap/>
            <w:vAlign w:val="center"/>
          </w:tcPr>
          <w:p w14:paraId="3EFE8DAB">
            <w:pPr>
              <w:widowControl/>
              <w:jc w:val="center"/>
              <w:textAlignment w:val="center"/>
              <w:rPr>
                <w:rFonts w:ascii="宋体" w:hAnsi="宋体" w:cs="宋体"/>
                <w:color w:val="auto"/>
                <w:kern w:val="0"/>
                <w:szCs w:val="21"/>
              </w:rPr>
            </w:pPr>
          </w:p>
        </w:tc>
      </w:tr>
      <w:tr w14:paraId="245B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6AC2F3BF">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76B9626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0258C93B">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肢体固定气囊</w:t>
            </w:r>
          </w:p>
        </w:tc>
        <w:tc>
          <w:tcPr>
            <w:tcW w:w="960" w:type="dxa"/>
            <w:tcBorders>
              <w:tl2br w:val="nil"/>
              <w:tr2bl w:val="nil"/>
            </w:tcBorders>
            <w:shd w:val="clear" w:color="auto" w:fill="auto"/>
            <w:noWrap/>
            <w:vAlign w:val="center"/>
          </w:tcPr>
          <w:p w14:paraId="2C7D97B9">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1248" w:type="dxa"/>
            <w:tcBorders>
              <w:tl2br w:val="nil"/>
              <w:tr2bl w:val="nil"/>
            </w:tcBorders>
            <w:shd w:val="clear" w:color="auto" w:fill="auto"/>
            <w:noWrap/>
            <w:vAlign w:val="center"/>
          </w:tcPr>
          <w:p w14:paraId="04FF63B1">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32</w:t>
            </w:r>
          </w:p>
        </w:tc>
        <w:tc>
          <w:tcPr>
            <w:tcW w:w="1152" w:type="dxa"/>
            <w:tcBorders>
              <w:tl2br w:val="nil"/>
              <w:tr2bl w:val="nil"/>
            </w:tcBorders>
            <w:shd w:val="clear" w:color="auto" w:fill="auto"/>
            <w:noWrap/>
            <w:vAlign w:val="center"/>
          </w:tcPr>
          <w:p w14:paraId="17DDCDB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28</w:t>
            </w:r>
          </w:p>
        </w:tc>
        <w:tc>
          <w:tcPr>
            <w:tcW w:w="1164" w:type="dxa"/>
            <w:vMerge w:val="continue"/>
            <w:tcBorders>
              <w:tl2br w:val="nil"/>
              <w:tr2bl w:val="nil"/>
            </w:tcBorders>
            <w:noWrap/>
            <w:vAlign w:val="center"/>
          </w:tcPr>
          <w:p w14:paraId="2D6B99BA">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15C2C33F">
            <w:pPr>
              <w:widowControl/>
              <w:jc w:val="center"/>
              <w:textAlignment w:val="center"/>
              <w:rPr>
                <w:rFonts w:ascii="宋体" w:hAnsi="宋体" w:cs="宋体"/>
                <w:color w:val="auto"/>
                <w:kern w:val="0"/>
                <w:szCs w:val="21"/>
              </w:rPr>
            </w:pPr>
          </w:p>
        </w:tc>
      </w:tr>
      <w:tr w14:paraId="5F9C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65B67E80">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63EA70B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19C252C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躯体固定气囊</w:t>
            </w:r>
          </w:p>
        </w:tc>
        <w:tc>
          <w:tcPr>
            <w:tcW w:w="960" w:type="dxa"/>
            <w:tcBorders>
              <w:tl2br w:val="nil"/>
              <w:tr2bl w:val="nil"/>
            </w:tcBorders>
            <w:shd w:val="clear" w:color="auto" w:fill="auto"/>
            <w:noWrap/>
            <w:vAlign w:val="center"/>
          </w:tcPr>
          <w:p w14:paraId="2173FE1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1248" w:type="dxa"/>
            <w:tcBorders>
              <w:tl2br w:val="nil"/>
              <w:tr2bl w:val="nil"/>
            </w:tcBorders>
            <w:shd w:val="clear" w:color="auto" w:fill="auto"/>
            <w:noWrap/>
            <w:vAlign w:val="center"/>
          </w:tcPr>
          <w:p w14:paraId="1FC6BEB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22</w:t>
            </w:r>
          </w:p>
        </w:tc>
        <w:tc>
          <w:tcPr>
            <w:tcW w:w="1152" w:type="dxa"/>
            <w:tcBorders>
              <w:tl2br w:val="nil"/>
              <w:tr2bl w:val="nil"/>
            </w:tcBorders>
            <w:shd w:val="clear" w:color="auto" w:fill="auto"/>
            <w:noWrap/>
            <w:vAlign w:val="center"/>
          </w:tcPr>
          <w:p w14:paraId="28745CD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88</w:t>
            </w:r>
          </w:p>
        </w:tc>
        <w:tc>
          <w:tcPr>
            <w:tcW w:w="1164" w:type="dxa"/>
            <w:vMerge w:val="continue"/>
            <w:tcBorders>
              <w:tl2br w:val="nil"/>
              <w:tr2bl w:val="nil"/>
            </w:tcBorders>
            <w:noWrap/>
            <w:vAlign w:val="center"/>
          </w:tcPr>
          <w:p w14:paraId="1AE0ADD4">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45026A37">
            <w:pPr>
              <w:widowControl/>
              <w:jc w:val="center"/>
              <w:textAlignment w:val="center"/>
              <w:rPr>
                <w:rFonts w:ascii="宋体" w:hAnsi="宋体" w:cs="宋体"/>
                <w:color w:val="auto"/>
                <w:kern w:val="0"/>
                <w:szCs w:val="21"/>
              </w:rPr>
            </w:pPr>
          </w:p>
        </w:tc>
      </w:tr>
      <w:tr w14:paraId="42DE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4F6D1BB6">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4AEB08A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6C6BDE27">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折叠式担架</w:t>
            </w:r>
          </w:p>
        </w:tc>
        <w:tc>
          <w:tcPr>
            <w:tcW w:w="960" w:type="dxa"/>
            <w:tcBorders>
              <w:tl2br w:val="nil"/>
              <w:tr2bl w:val="nil"/>
            </w:tcBorders>
            <w:shd w:val="clear" w:color="auto" w:fill="auto"/>
            <w:noWrap/>
            <w:vAlign w:val="center"/>
          </w:tcPr>
          <w:p w14:paraId="3278E6D8">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24</w:t>
            </w:r>
          </w:p>
        </w:tc>
        <w:tc>
          <w:tcPr>
            <w:tcW w:w="1248" w:type="dxa"/>
            <w:tcBorders>
              <w:tl2br w:val="nil"/>
              <w:tr2bl w:val="nil"/>
            </w:tcBorders>
            <w:shd w:val="clear" w:color="auto" w:fill="auto"/>
            <w:noWrap/>
            <w:vAlign w:val="center"/>
          </w:tcPr>
          <w:p w14:paraId="58A0929F">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52</w:t>
            </w:r>
          </w:p>
        </w:tc>
        <w:tc>
          <w:tcPr>
            <w:tcW w:w="1152" w:type="dxa"/>
            <w:tcBorders>
              <w:tl2br w:val="nil"/>
              <w:tr2bl w:val="nil"/>
            </w:tcBorders>
            <w:shd w:val="clear" w:color="auto" w:fill="auto"/>
            <w:noWrap/>
            <w:vAlign w:val="center"/>
          </w:tcPr>
          <w:p w14:paraId="0342D47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248</w:t>
            </w:r>
          </w:p>
        </w:tc>
        <w:tc>
          <w:tcPr>
            <w:tcW w:w="1164" w:type="dxa"/>
            <w:vMerge w:val="continue"/>
            <w:tcBorders>
              <w:tl2br w:val="nil"/>
              <w:tr2bl w:val="nil"/>
            </w:tcBorders>
            <w:noWrap/>
            <w:vAlign w:val="center"/>
          </w:tcPr>
          <w:p w14:paraId="402225D4">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53F77E07">
            <w:pPr>
              <w:widowControl/>
              <w:jc w:val="center"/>
              <w:textAlignment w:val="center"/>
              <w:rPr>
                <w:rFonts w:ascii="宋体" w:hAnsi="宋体" w:cs="宋体"/>
                <w:color w:val="auto"/>
                <w:kern w:val="0"/>
                <w:szCs w:val="21"/>
              </w:rPr>
            </w:pPr>
          </w:p>
        </w:tc>
      </w:tr>
      <w:tr w14:paraId="2EFD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0984DF73">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5142A23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35BA6451">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伤员固定抬板</w:t>
            </w:r>
          </w:p>
        </w:tc>
        <w:tc>
          <w:tcPr>
            <w:tcW w:w="960" w:type="dxa"/>
            <w:tcBorders>
              <w:tl2br w:val="nil"/>
              <w:tr2bl w:val="nil"/>
            </w:tcBorders>
            <w:shd w:val="clear" w:color="auto" w:fill="auto"/>
            <w:noWrap/>
            <w:vAlign w:val="center"/>
          </w:tcPr>
          <w:p w14:paraId="3A7D1835">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248" w:type="dxa"/>
            <w:tcBorders>
              <w:tl2br w:val="nil"/>
              <w:tr2bl w:val="nil"/>
            </w:tcBorders>
            <w:shd w:val="clear" w:color="auto" w:fill="auto"/>
            <w:noWrap/>
            <w:vAlign w:val="center"/>
          </w:tcPr>
          <w:p w14:paraId="1A5773C4">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1</w:t>
            </w:r>
          </w:p>
        </w:tc>
        <w:tc>
          <w:tcPr>
            <w:tcW w:w="1152" w:type="dxa"/>
            <w:tcBorders>
              <w:tl2br w:val="nil"/>
              <w:tr2bl w:val="nil"/>
            </w:tcBorders>
            <w:shd w:val="clear" w:color="auto" w:fill="auto"/>
            <w:noWrap/>
            <w:vAlign w:val="center"/>
          </w:tcPr>
          <w:p w14:paraId="2D8BB37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0.1</w:t>
            </w:r>
          </w:p>
        </w:tc>
        <w:tc>
          <w:tcPr>
            <w:tcW w:w="1164" w:type="dxa"/>
            <w:vMerge w:val="continue"/>
            <w:tcBorders>
              <w:tl2br w:val="nil"/>
              <w:tr2bl w:val="nil"/>
            </w:tcBorders>
            <w:noWrap/>
            <w:vAlign w:val="center"/>
          </w:tcPr>
          <w:p w14:paraId="211C5C1B">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0215D3A8">
            <w:pPr>
              <w:widowControl/>
              <w:jc w:val="center"/>
              <w:textAlignment w:val="center"/>
              <w:rPr>
                <w:rFonts w:ascii="宋体" w:hAnsi="宋体" w:cs="宋体"/>
                <w:color w:val="auto"/>
                <w:kern w:val="0"/>
                <w:szCs w:val="21"/>
              </w:rPr>
            </w:pPr>
          </w:p>
        </w:tc>
      </w:tr>
      <w:tr w14:paraId="054A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1A110E01">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11C1E76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27E078A2">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多功能担架</w:t>
            </w:r>
          </w:p>
        </w:tc>
        <w:tc>
          <w:tcPr>
            <w:tcW w:w="960" w:type="dxa"/>
            <w:tcBorders>
              <w:tl2br w:val="nil"/>
              <w:tr2bl w:val="nil"/>
            </w:tcBorders>
            <w:shd w:val="clear" w:color="auto" w:fill="auto"/>
            <w:noWrap/>
            <w:vAlign w:val="center"/>
          </w:tcPr>
          <w:p w14:paraId="5282DEF6">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13</w:t>
            </w:r>
          </w:p>
        </w:tc>
        <w:tc>
          <w:tcPr>
            <w:tcW w:w="1248" w:type="dxa"/>
            <w:tcBorders>
              <w:tl2br w:val="nil"/>
              <w:tr2bl w:val="nil"/>
            </w:tcBorders>
            <w:shd w:val="clear" w:color="auto" w:fill="auto"/>
            <w:noWrap/>
            <w:vAlign w:val="center"/>
          </w:tcPr>
          <w:p w14:paraId="328A8776">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22</w:t>
            </w:r>
          </w:p>
        </w:tc>
        <w:tc>
          <w:tcPr>
            <w:tcW w:w="1152" w:type="dxa"/>
            <w:tcBorders>
              <w:tl2br w:val="nil"/>
              <w:tr2bl w:val="nil"/>
            </w:tcBorders>
            <w:shd w:val="clear" w:color="auto" w:fill="auto"/>
            <w:noWrap/>
            <w:vAlign w:val="center"/>
          </w:tcPr>
          <w:p w14:paraId="0F2353C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86</w:t>
            </w:r>
          </w:p>
        </w:tc>
        <w:tc>
          <w:tcPr>
            <w:tcW w:w="1164" w:type="dxa"/>
            <w:vMerge w:val="continue"/>
            <w:tcBorders>
              <w:tl2br w:val="nil"/>
              <w:tr2bl w:val="nil"/>
            </w:tcBorders>
            <w:noWrap/>
            <w:vAlign w:val="center"/>
          </w:tcPr>
          <w:p w14:paraId="0F6F66A9">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74D58E20">
            <w:pPr>
              <w:widowControl/>
              <w:jc w:val="center"/>
              <w:textAlignment w:val="center"/>
              <w:rPr>
                <w:rFonts w:ascii="宋体" w:hAnsi="宋体" w:cs="宋体"/>
                <w:color w:val="auto"/>
                <w:kern w:val="0"/>
                <w:szCs w:val="21"/>
              </w:rPr>
            </w:pPr>
          </w:p>
        </w:tc>
      </w:tr>
      <w:tr w14:paraId="0D68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05A49ADC">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7824A2E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7CC6EE98">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漂浮救援板</w:t>
            </w:r>
          </w:p>
        </w:tc>
        <w:tc>
          <w:tcPr>
            <w:tcW w:w="960" w:type="dxa"/>
            <w:tcBorders>
              <w:tl2br w:val="nil"/>
              <w:tr2bl w:val="nil"/>
            </w:tcBorders>
            <w:shd w:val="clear" w:color="auto" w:fill="auto"/>
            <w:noWrap/>
            <w:vAlign w:val="center"/>
          </w:tcPr>
          <w:p w14:paraId="12886765">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w:t>
            </w:r>
          </w:p>
        </w:tc>
        <w:tc>
          <w:tcPr>
            <w:tcW w:w="1248" w:type="dxa"/>
            <w:tcBorders>
              <w:tl2br w:val="nil"/>
              <w:tr2bl w:val="nil"/>
            </w:tcBorders>
            <w:shd w:val="clear" w:color="auto" w:fill="auto"/>
            <w:noWrap/>
            <w:vAlign w:val="center"/>
          </w:tcPr>
          <w:p w14:paraId="2CDC8D84">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31</w:t>
            </w:r>
          </w:p>
        </w:tc>
        <w:tc>
          <w:tcPr>
            <w:tcW w:w="1152" w:type="dxa"/>
            <w:tcBorders>
              <w:tl2br w:val="nil"/>
              <w:tr2bl w:val="nil"/>
            </w:tcBorders>
            <w:shd w:val="clear" w:color="auto" w:fill="auto"/>
            <w:noWrap/>
            <w:vAlign w:val="center"/>
          </w:tcPr>
          <w:p w14:paraId="50F65D9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93</w:t>
            </w:r>
          </w:p>
        </w:tc>
        <w:tc>
          <w:tcPr>
            <w:tcW w:w="1164" w:type="dxa"/>
            <w:vMerge w:val="continue"/>
            <w:tcBorders>
              <w:tl2br w:val="nil"/>
              <w:tr2bl w:val="nil"/>
            </w:tcBorders>
            <w:noWrap/>
            <w:vAlign w:val="center"/>
          </w:tcPr>
          <w:p w14:paraId="56CBA2BF">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1A8D73D8">
            <w:pPr>
              <w:widowControl/>
              <w:jc w:val="center"/>
              <w:textAlignment w:val="center"/>
              <w:rPr>
                <w:rFonts w:ascii="宋体" w:hAnsi="宋体" w:cs="宋体"/>
                <w:color w:val="auto"/>
                <w:kern w:val="0"/>
                <w:szCs w:val="21"/>
              </w:rPr>
            </w:pPr>
          </w:p>
        </w:tc>
      </w:tr>
      <w:tr w14:paraId="4DA6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29CD5522">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661506F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6EE5C0D3">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漂浮担架</w:t>
            </w:r>
          </w:p>
        </w:tc>
        <w:tc>
          <w:tcPr>
            <w:tcW w:w="960" w:type="dxa"/>
            <w:tcBorders>
              <w:tl2br w:val="nil"/>
              <w:tr2bl w:val="nil"/>
            </w:tcBorders>
            <w:shd w:val="clear" w:color="auto" w:fill="auto"/>
            <w:noWrap/>
            <w:vAlign w:val="center"/>
          </w:tcPr>
          <w:p w14:paraId="3EDE958E">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1248" w:type="dxa"/>
            <w:tcBorders>
              <w:tl2br w:val="nil"/>
              <w:tr2bl w:val="nil"/>
            </w:tcBorders>
            <w:shd w:val="clear" w:color="auto" w:fill="auto"/>
            <w:noWrap/>
            <w:vAlign w:val="center"/>
          </w:tcPr>
          <w:p w14:paraId="7D7D7AC8">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25</w:t>
            </w:r>
          </w:p>
        </w:tc>
        <w:tc>
          <w:tcPr>
            <w:tcW w:w="1152" w:type="dxa"/>
            <w:tcBorders>
              <w:tl2br w:val="nil"/>
              <w:tr2bl w:val="nil"/>
            </w:tcBorders>
            <w:shd w:val="clear" w:color="auto" w:fill="auto"/>
            <w:noWrap/>
            <w:vAlign w:val="center"/>
          </w:tcPr>
          <w:p w14:paraId="48B22BC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5</w:t>
            </w:r>
          </w:p>
        </w:tc>
        <w:tc>
          <w:tcPr>
            <w:tcW w:w="1164" w:type="dxa"/>
            <w:vMerge w:val="continue"/>
            <w:tcBorders>
              <w:tl2br w:val="nil"/>
              <w:tr2bl w:val="nil"/>
            </w:tcBorders>
            <w:noWrap/>
            <w:vAlign w:val="center"/>
          </w:tcPr>
          <w:p w14:paraId="35480577">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32CC1481">
            <w:pPr>
              <w:widowControl/>
              <w:jc w:val="center"/>
              <w:textAlignment w:val="center"/>
              <w:rPr>
                <w:rFonts w:ascii="宋体" w:hAnsi="宋体" w:cs="宋体"/>
                <w:color w:val="auto"/>
                <w:kern w:val="0"/>
                <w:szCs w:val="21"/>
              </w:rPr>
            </w:pPr>
          </w:p>
        </w:tc>
      </w:tr>
      <w:tr w14:paraId="045A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4A0655EA">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33E01A8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5BE09482">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篮式担架</w:t>
            </w:r>
          </w:p>
        </w:tc>
        <w:tc>
          <w:tcPr>
            <w:tcW w:w="960" w:type="dxa"/>
            <w:tcBorders>
              <w:tl2br w:val="nil"/>
              <w:tr2bl w:val="nil"/>
            </w:tcBorders>
            <w:shd w:val="clear" w:color="auto" w:fill="auto"/>
            <w:noWrap/>
            <w:vAlign w:val="center"/>
          </w:tcPr>
          <w:p w14:paraId="45020C42">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1248" w:type="dxa"/>
            <w:tcBorders>
              <w:tl2br w:val="nil"/>
              <w:tr2bl w:val="nil"/>
            </w:tcBorders>
            <w:shd w:val="clear" w:color="auto" w:fill="auto"/>
            <w:noWrap/>
            <w:vAlign w:val="center"/>
          </w:tcPr>
          <w:p w14:paraId="06BB3633">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8</w:t>
            </w:r>
          </w:p>
        </w:tc>
        <w:tc>
          <w:tcPr>
            <w:tcW w:w="1152" w:type="dxa"/>
            <w:tcBorders>
              <w:tl2br w:val="nil"/>
              <w:tr2bl w:val="nil"/>
            </w:tcBorders>
            <w:shd w:val="clear" w:color="auto" w:fill="auto"/>
            <w:noWrap/>
            <w:vAlign w:val="center"/>
          </w:tcPr>
          <w:p w14:paraId="39FC732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6</w:t>
            </w:r>
          </w:p>
        </w:tc>
        <w:tc>
          <w:tcPr>
            <w:tcW w:w="1164" w:type="dxa"/>
            <w:vMerge w:val="continue"/>
            <w:tcBorders>
              <w:tl2br w:val="nil"/>
              <w:tr2bl w:val="nil"/>
            </w:tcBorders>
            <w:noWrap/>
            <w:vAlign w:val="center"/>
          </w:tcPr>
          <w:p w14:paraId="5D734237">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2A754FF1">
            <w:pPr>
              <w:widowControl/>
              <w:jc w:val="center"/>
              <w:textAlignment w:val="center"/>
              <w:rPr>
                <w:rFonts w:ascii="宋体" w:hAnsi="宋体" w:cs="宋体"/>
                <w:color w:val="auto"/>
                <w:kern w:val="0"/>
                <w:szCs w:val="21"/>
              </w:rPr>
            </w:pPr>
          </w:p>
        </w:tc>
      </w:tr>
      <w:tr w14:paraId="5C65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5F3355B1">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54ADD9C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3E71457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打捞杆</w:t>
            </w:r>
          </w:p>
        </w:tc>
        <w:tc>
          <w:tcPr>
            <w:tcW w:w="960" w:type="dxa"/>
            <w:tcBorders>
              <w:tl2br w:val="nil"/>
              <w:tr2bl w:val="nil"/>
            </w:tcBorders>
            <w:shd w:val="clear" w:color="auto" w:fill="auto"/>
            <w:noWrap/>
            <w:vAlign w:val="center"/>
          </w:tcPr>
          <w:p w14:paraId="14EBBCE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w:t>
            </w:r>
          </w:p>
        </w:tc>
        <w:tc>
          <w:tcPr>
            <w:tcW w:w="1248" w:type="dxa"/>
            <w:tcBorders>
              <w:tl2br w:val="nil"/>
              <w:tr2bl w:val="nil"/>
            </w:tcBorders>
            <w:shd w:val="clear" w:color="auto" w:fill="auto"/>
            <w:noWrap/>
            <w:vAlign w:val="center"/>
          </w:tcPr>
          <w:p w14:paraId="375C6F2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5</w:t>
            </w:r>
          </w:p>
        </w:tc>
        <w:tc>
          <w:tcPr>
            <w:tcW w:w="1152" w:type="dxa"/>
            <w:tcBorders>
              <w:tl2br w:val="nil"/>
              <w:tr2bl w:val="nil"/>
            </w:tcBorders>
            <w:shd w:val="clear" w:color="auto" w:fill="auto"/>
            <w:noWrap/>
            <w:vAlign w:val="center"/>
          </w:tcPr>
          <w:p w14:paraId="3F16F3F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5</w:t>
            </w:r>
          </w:p>
        </w:tc>
        <w:tc>
          <w:tcPr>
            <w:tcW w:w="1164" w:type="dxa"/>
            <w:vMerge w:val="continue"/>
            <w:tcBorders>
              <w:tl2br w:val="nil"/>
              <w:tr2bl w:val="nil"/>
            </w:tcBorders>
            <w:noWrap/>
            <w:vAlign w:val="center"/>
          </w:tcPr>
          <w:p w14:paraId="5E04EDEA">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32CD1D18">
            <w:pPr>
              <w:widowControl/>
              <w:jc w:val="center"/>
              <w:textAlignment w:val="center"/>
              <w:rPr>
                <w:rFonts w:ascii="宋体" w:hAnsi="宋体" w:cs="宋体"/>
                <w:color w:val="auto"/>
                <w:kern w:val="0"/>
                <w:szCs w:val="21"/>
              </w:rPr>
            </w:pPr>
          </w:p>
        </w:tc>
      </w:tr>
      <w:tr w14:paraId="6E86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6C7D588A">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27A07FF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4351D4FE">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救生缓降器</w:t>
            </w:r>
          </w:p>
        </w:tc>
        <w:tc>
          <w:tcPr>
            <w:tcW w:w="960" w:type="dxa"/>
            <w:tcBorders>
              <w:tl2br w:val="nil"/>
              <w:tr2bl w:val="nil"/>
            </w:tcBorders>
            <w:shd w:val="clear" w:color="auto" w:fill="auto"/>
            <w:noWrap/>
            <w:vAlign w:val="center"/>
          </w:tcPr>
          <w:p w14:paraId="1D2A5156">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1248" w:type="dxa"/>
            <w:tcBorders>
              <w:tl2br w:val="nil"/>
              <w:tr2bl w:val="nil"/>
            </w:tcBorders>
            <w:shd w:val="clear" w:color="auto" w:fill="auto"/>
            <w:noWrap/>
            <w:vAlign w:val="center"/>
          </w:tcPr>
          <w:p w14:paraId="14070777">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13</w:t>
            </w:r>
          </w:p>
        </w:tc>
        <w:tc>
          <w:tcPr>
            <w:tcW w:w="1152" w:type="dxa"/>
            <w:tcBorders>
              <w:tl2br w:val="nil"/>
              <w:tr2bl w:val="nil"/>
            </w:tcBorders>
            <w:shd w:val="clear" w:color="auto" w:fill="auto"/>
            <w:noWrap/>
            <w:vAlign w:val="center"/>
          </w:tcPr>
          <w:p w14:paraId="6F1C86A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52</w:t>
            </w:r>
          </w:p>
        </w:tc>
        <w:tc>
          <w:tcPr>
            <w:tcW w:w="1164" w:type="dxa"/>
            <w:vMerge w:val="continue"/>
            <w:tcBorders>
              <w:tl2br w:val="nil"/>
              <w:tr2bl w:val="nil"/>
            </w:tcBorders>
            <w:noWrap/>
            <w:vAlign w:val="center"/>
          </w:tcPr>
          <w:p w14:paraId="3C2254F4">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052B19A4">
            <w:pPr>
              <w:widowControl/>
              <w:jc w:val="center"/>
              <w:textAlignment w:val="center"/>
              <w:rPr>
                <w:rFonts w:ascii="宋体" w:hAnsi="宋体" w:cs="宋体"/>
                <w:color w:val="auto"/>
                <w:kern w:val="0"/>
                <w:szCs w:val="21"/>
              </w:rPr>
            </w:pPr>
          </w:p>
        </w:tc>
      </w:tr>
      <w:tr w14:paraId="3E32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45713CEF">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25C648E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72CB83C8">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救援支架</w:t>
            </w:r>
          </w:p>
        </w:tc>
        <w:tc>
          <w:tcPr>
            <w:tcW w:w="960" w:type="dxa"/>
            <w:tcBorders>
              <w:tl2br w:val="nil"/>
              <w:tr2bl w:val="nil"/>
            </w:tcBorders>
            <w:shd w:val="clear" w:color="auto" w:fill="auto"/>
            <w:noWrap/>
            <w:vAlign w:val="center"/>
          </w:tcPr>
          <w:p w14:paraId="4531C6DF">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1248" w:type="dxa"/>
            <w:tcBorders>
              <w:tl2br w:val="nil"/>
              <w:tr2bl w:val="nil"/>
            </w:tcBorders>
            <w:shd w:val="clear" w:color="auto" w:fill="auto"/>
            <w:noWrap/>
            <w:vAlign w:val="center"/>
          </w:tcPr>
          <w:p w14:paraId="2FA5313E">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65</w:t>
            </w:r>
          </w:p>
        </w:tc>
        <w:tc>
          <w:tcPr>
            <w:tcW w:w="1152" w:type="dxa"/>
            <w:tcBorders>
              <w:tl2br w:val="nil"/>
              <w:tr2bl w:val="nil"/>
            </w:tcBorders>
            <w:shd w:val="clear" w:color="auto" w:fill="auto"/>
            <w:noWrap/>
            <w:vAlign w:val="center"/>
          </w:tcPr>
          <w:p w14:paraId="305628A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3</w:t>
            </w:r>
          </w:p>
        </w:tc>
        <w:tc>
          <w:tcPr>
            <w:tcW w:w="1164" w:type="dxa"/>
            <w:vMerge w:val="continue"/>
            <w:tcBorders>
              <w:tl2br w:val="nil"/>
              <w:tr2bl w:val="nil"/>
            </w:tcBorders>
            <w:noWrap/>
            <w:vAlign w:val="center"/>
          </w:tcPr>
          <w:p w14:paraId="39653DAF">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01AB99FA">
            <w:pPr>
              <w:widowControl/>
              <w:jc w:val="center"/>
              <w:textAlignment w:val="center"/>
              <w:rPr>
                <w:rFonts w:ascii="宋体" w:hAnsi="宋体" w:cs="宋体"/>
                <w:color w:val="auto"/>
                <w:kern w:val="0"/>
                <w:szCs w:val="21"/>
              </w:rPr>
            </w:pPr>
          </w:p>
        </w:tc>
      </w:tr>
      <w:tr w14:paraId="4768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3CB44107">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7848E41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42F08421">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救生抛投器</w:t>
            </w:r>
          </w:p>
        </w:tc>
        <w:tc>
          <w:tcPr>
            <w:tcW w:w="960" w:type="dxa"/>
            <w:tcBorders>
              <w:tl2br w:val="nil"/>
              <w:tr2bl w:val="nil"/>
            </w:tcBorders>
            <w:shd w:val="clear" w:color="auto" w:fill="auto"/>
            <w:noWrap/>
            <w:vAlign w:val="center"/>
          </w:tcPr>
          <w:p w14:paraId="42777BB4">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248" w:type="dxa"/>
            <w:tcBorders>
              <w:tl2br w:val="nil"/>
              <w:tr2bl w:val="nil"/>
            </w:tcBorders>
            <w:shd w:val="clear" w:color="auto" w:fill="auto"/>
            <w:noWrap/>
            <w:vAlign w:val="center"/>
          </w:tcPr>
          <w:p w14:paraId="38B913E2">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25</w:t>
            </w:r>
          </w:p>
        </w:tc>
        <w:tc>
          <w:tcPr>
            <w:tcW w:w="1152" w:type="dxa"/>
            <w:tcBorders>
              <w:tl2br w:val="nil"/>
              <w:tr2bl w:val="nil"/>
            </w:tcBorders>
            <w:shd w:val="clear" w:color="auto" w:fill="auto"/>
            <w:noWrap/>
            <w:vAlign w:val="center"/>
          </w:tcPr>
          <w:p w14:paraId="56CB7F8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25</w:t>
            </w:r>
          </w:p>
        </w:tc>
        <w:tc>
          <w:tcPr>
            <w:tcW w:w="1164" w:type="dxa"/>
            <w:vMerge w:val="continue"/>
            <w:tcBorders>
              <w:tl2br w:val="nil"/>
              <w:tr2bl w:val="nil"/>
            </w:tcBorders>
            <w:noWrap/>
            <w:vAlign w:val="center"/>
          </w:tcPr>
          <w:p w14:paraId="6C3F6C34">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09DFAE74">
            <w:pPr>
              <w:widowControl/>
              <w:jc w:val="center"/>
              <w:textAlignment w:val="center"/>
              <w:rPr>
                <w:rFonts w:ascii="宋体" w:hAnsi="宋体" w:cs="宋体"/>
                <w:color w:val="auto"/>
                <w:kern w:val="0"/>
                <w:szCs w:val="21"/>
              </w:rPr>
            </w:pPr>
          </w:p>
        </w:tc>
      </w:tr>
      <w:tr w14:paraId="5446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464B2C64">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0673652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4B6B3C9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救生软梯</w:t>
            </w:r>
          </w:p>
        </w:tc>
        <w:tc>
          <w:tcPr>
            <w:tcW w:w="960" w:type="dxa"/>
            <w:tcBorders>
              <w:tl2br w:val="nil"/>
              <w:tr2bl w:val="nil"/>
            </w:tcBorders>
            <w:shd w:val="clear" w:color="auto" w:fill="auto"/>
            <w:noWrap/>
            <w:vAlign w:val="center"/>
          </w:tcPr>
          <w:p w14:paraId="51CD366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6</w:t>
            </w:r>
          </w:p>
        </w:tc>
        <w:tc>
          <w:tcPr>
            <w:tcW w:w="1248" w:type="dxa"/>
            <w:tcBorders>
              <w:tl2br w:val="nil"/>
              <w:tr2bl w:val="nil"/>
            </w:tcBorders>
            <w:shd w:val="clear" w:color="auto" w:fill="auto"/>
            <w:noWrap/>
            <w:vAlign w:val="center"/>
          </w:tcPr>
          <w:p w14:paraId="2257393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1</w:t>
            </w:r>
          </w:p>
        </w:tc>
        <w:tc>
          <w:tcPr>
            <w:tcW w:w="1152" w:type="dxa"/>
            <w:tcBorders>
              <w:tl2br w:val="nil"/>
              <w:tr2bl w:val="nil"/>
            </w:tcBorders>
            <w:shd w:val="clear" w:color="auto" w:fill="auto"/>
            <w:noWrap/>
            <w:vAlign w:val="center"/>
          </w:tcPr>
          <w:p w14:paraId="2F0F5FF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6</w:t>
            </w:r>
          </w:p>
        </w:tc>
        <w:tc>
          <w:tcPr>
            <w:tcW w:w="1164" w:type="dxa"/>
            <w:vMerge w:val="continue"/>
            <w:tcBorders>
              <w:tl2br w:val="nil"/>
              <w:tr2bl w:val="nil"/>
            </w:tcBorders>
            <w:noWrap/>
            <w:vAlign w:val="center"/>
          </w:tcPr>
          <w:p w14:paraId="203D83C5">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5B17F4E4">
            <w:pPr>
              <w:widowControl/>
              <w:jc w:val="center"/>
              <w:textAlignment w:val="center"/>
              <w:rPr>
                <w:rFonts w:ascii="宋体" w:hAnsi="宋体" w:cs="宋体"/>
                <w:color w:val="auto"/>
                <w:kern w:val="0"/>
                <w:szCs w:val="21"/>
              </w:rPr>
            </w:pPr>
          </w:p>
        </w:tc>
      </w:tr>
      <w:tr w14:paraId="14D6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3A90E630">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1DAB353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21C5A877">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消防过滤式自救呼吸器</w:t>
            </w:r>
          </w:p>
        </w:tc>
        <w:tc>
          <w:tcPr>
            <w:tcW w:w="960" w:type="dxa"/>
            <w:tcBorders>
              <w:tl2br w:val="nil"/>
              <w:tr2bl w:val="nil"/>
            </w:tcBorders>
            <w:shd w:val="clear" w:color="auto" w:fill="auto"/>
            <w:noWrap/>
            <w:vAlign w:val="center"/>
          </w:tcPr>
          <w:p w14:paraId="511B11B5">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194</w:t>
            </w:r>
          </w:p>
        </w:tc>
        <w:tc>
          <w:tcPr>
            <w:tcW w:w="1248" w:type="dxa"/>
            <w:tcBorders>
              <w:tl2br w:val="nil"/>
              <w:tr2bl w:val="nil"/>
            </w:tcBorders>
            <w:shd w:val="clear" w:color="auto" w:fill="auto"/>
            <w:noWrap/>
            <w:vAlign w:val="center"/>
          </w:tcPr>
          <w:p w14:paraId="2C44CF94">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0.00</w:t>
            </w:r>
            <w:r>
              <w:rPr>
                <w:rFonts w:hint="eastAsia" w:ascii="宋体" w:hAnsi="宋体" w:eastAsia="宋体" w:cs="宋体"/>
                <w:i w:val="0"/>
                <w:iCs w:val="0"/>
                <w:color w:val="auto"/>
                <w:kern w:val="0"/>
                <w:sz w:val="21"/>
                <w:szCs w:val="21"/>
                <w:u w:val="none"/>
                <w:lang w:val="en-US" w:eastAsia="zh-CN" w:bidi="ar"/>
              </w:rPr>
              <w:t>6</w:t>
            </w:r>
          </w:p>
        </w:tc>
        <w:tc>
          <w:tcPr>
            <w:tcW w:w="1152" w:type="dxa"/>
            <w:tcBorders>
              <w:tl2br w:val="nil"/>
              <w:tr2bl w:val="nil"/>
            </w:tcBorders>
            <w:shd w:val="clear" w:color="auto" w:fill="auto"/>
            <w:noWrap/>
            <w:vAlign w:val="center"/>
          </w:tcPr>
          <w:p w14:paraId="1351FB3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164</w:t>
            </w:r>
          </w:p>
        </w:tc>
        <w:tc>
          <w:tcPr>
            <w:tcW w:w="1164" w:type="dxa"/>
            <w:vMerge w:val="continue"/>
            <w:tcBorders>
              <w:tl2br w:val="nil"/>
              <w:tr2bl w:val="nil"/>
            </w:tcBorders>
            <w:noWrap/>
            <w:vAlign w:val="center"/>
          </w:tcPr>
          <w:p w14:paraId="5845258F">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3AE3F0A0">
            <w:pPr>
              <w:widowControl/>
              <w:jc w:val="center"/>
              <w:textAlignment w:val="center"/>
              <w:rPr>
                <w:rFonts w:ascii="宋体" w:hAnsi="宋体" w:cs="宋体"/>
                <w:color w:val="auto"/>
                <w:kern w:val="0"/>
                <w:szCs w:val="21"/>
              </w:rPr>
            </w:pPr>
          </w:p>
        </w:tc>
      </w:tr>
      <w:tr w14:paraId="29389D22">
        <w:tblPrEx>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1533C198">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3E24506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3401345F">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指南针</w:t>
            </w:r>
          </w:p>
        </w:tc>
        <w:tc>
          <w:tcPr>
            <w:tcW w:w="960" w:type="dxa"/>
            <w:tcBorders>
              <w:tl2br w:val="nil"/>
              <w:tr2bl w:val="nil"/>
            </w:tcBorders>
            <w:shd w:val="clear" w:color="auto" w:fill="auto"/>
            <w:noWrap/>
            <w:vAlign w:val="center"/>
          </w:tcPr>
          <w:p w14:paraId="6AE699C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248" w:type="dxa"/>
            <w:tcBorders>
              <w:tl2br w:val="nil"/>
              <w:tr2bl w:val="nil"/>
            </w:tcBorders>
            <w:shd w:val="clear" w:color="auto" w:fill="auto"/>
            <w:noWrap/>
            <w:vAlign w:val="center"/>
          </w:tcPr>
          <w:p w14:paraId="44FD0DC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0.00</w:t>
            </w:r>
            <w:r>
              <w:rPr>
                <w:rFonts w:hint="eastAsia" w:ascii="宋体" w:hAnsi="宋体" w:eastAsia="宋体" w:cs="宋体"/>
                <w:i w:val="0"/>
                <w:iCs w:val="0"/>
                <w:color w:val="auto"/>
                <w:kern w:val="0"/>
                <w:sz w:val="21"/>
                <w:szCs w:val="21"/>
                <w:u w:val="none"/>
                <w:lang w:val="en-US" w:eastAsia="zh-CN" w:bidi="ar"/>
              </w:rPr>
              <w:t>5</w:t>
            </w:r>
          </w:p>
        </w:tc>
        <w:tc>
          <w:tcPr>
            <w:tcW w:w="1152" w:type="dxa"/>
            <w:tcBorders>
              <w:tl2br w:val="nil"/>
              <w:tr2bl w:val="nil"/>
            </w:tcBorders>
            <w:shd w:val="clear" w:color="auto" w:fill="auto"/>
            <w:noWrap/>
            <w:vAlign w:val="center"/>
          </w:tcPr>
          <w:p w14:paraId="72EA18A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0.00</w:t>
            </w:r>
            <w:r>
              <w:rPr>
                <w:rFonts w:hint="eastAsia" w:ascii="宋体" w:hAnsi="宋体" w:eastAsia="宋体" w:cs="宋体"/>
                <w:i w:val="0"/>
                <w:iCs w:val="0"/>
                <w:color w:val="auto"/>
                <w:kern w:val="0"/>
                <w:sz w:val="21"/>
                <w:szCs w:val="21"/>
                <w:u w:val="none"/>
                <w:lang w:val="en-US" w:eastAsia="zh-CN" w:bidi="ar"/>
              </w:rPr>
              <w:t>5</w:t>
            </w:r>
          </w:p>
        </w:tc>
        <w:tc>
          <w:tcPr>
            <w:tcW w:w="1164" w:type="dxa"/>
            <w:vMerge w:val="continue"/>
            <w:tcBorders>
              <w:tl2br w:val="nil"/>
              <w:tr2bl w:val="nil"/>
            </w:tcBorders>
            <w:noWrap/>
            <w:vAlign w:val="center"/>
          </w:tcPr>
          <w:p w14:paraId="1538395B">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7E30E267">
            <w:pPr>
              <w:widowControl/>
              <w:jc w:val="center"/>
              <w:textAlignment w:val="center"/>
              <w:rPr>
                <w:rFonts w:ascii="宋体" w:hAnsi="宋体" w:cs="宋体"/>
                <w:color w:val="auto"/>
                <w:kern w:val="0"/>
                <w:szCs w:val="21"/>
              </w:rPr>
            </w:pPr>
          </w:p>
        </w:tc>
      </w:tr>
      <w:tr w14:paraId="6168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73D55376">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68C68D7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4568D9CA">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夜视仪</w:t>
            </w:r>
          </w:p>
        </w:tc>
        <w:tc>
          <w:tcPr>
            <w:tcW w:w="960" w:type="dxa"/>
            <w:tcBorders>
              <w:tl2br w:val="nil"/>
              <w:tr2bl w:val="nil"/>
            </w:tcBorders>
            <w:shd w:val="clear" w:color="auto" w:fill="auto"/>
            <w:noWrap/>
            <w:vAlign w:val="center"/>
          </w:tcPr>
          <w:p w14:paraId="4F9F308D">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1248" w:type="dxa"/>
            <w:tcBorders>
              <w:tl2br w:val="nil"/>
              <w:tr2bl w:val="nil"/>
            </w:tcBorders>
            <w:shd w:val="clear" w:color="auto" w:fill="auto"/>
            <w:noWrap/>
            <w:vAlign w:val="center"/>
          </w:tcPr>
          <w:p w14:paraId="305FEA76">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15</w:t>
            </w:r>
          </w:p>
        </w:tc>
        <w:tc>
          <w:tcPr>
            <w:tcW w:w="1152" w:type="dxa"/>
            <w:tcBorders>
              <w:tl2br w:val="nil"/>
              <w:tr2bl w:val="nil"/>
            </w:tcBorders>
            <w:shd w:val="clear" w:color="auto" w:fill="auto"/>
            <w:noWrap/>
            <w:vAlign w:val="center"/>
          </w:tcPr>
          <w:p w14:paraId="5B8D9BD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6</w:t>
            </w:r>
          </w:p>
        </w:tc>
        <w:tc>
          <w:tcPr>
            <w:tcW w:w="1164" w:type="dxa"/>
            <w:vMerge w:val="continue"/>
            <w:tcBorders>
              <w:tl2br w:val="nil"/>
              <w:tr2bl w:val="nil"/>
            </w:tcBorders>
            <w:noWrap/>
            <w:vAlign w:val="center"/>
          </w:tcPr>
          <w:p w14:paraId="54B322FB">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1F9A9313">
            <w:pPr>
              <w:widowControl/>
              <w:jc w:val="center"/>
              <w:textAlignment w:val="center"/>
              <w:rPr>
                <w:rFonts w:ascii="宋体" w:hAnsi="宋体" w:cs="宋体"/>
                <w:color w:val="auto"/>
                <w:kern w:val="0"/>
                <w:szCs w:val="21"/>
              </w:rPr>
            </w:pPr>
          </w:p>
        </w:tc>
      </w:tr>
      <w:tr w14:paraId="5556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625AE69D">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2688F95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7C5A692F">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望远镜</w:t>
            </w:r>
          </w:p>
        </w:tc>
        <w:tc>
          <w:tcPr>
            <w:tcW w:w="960" w:type="dxa"/>
            <w:tcBorders>
              <w:tl2br w:val="nil"/>
              <w:tr2bl w:val="nil"/>
            </w:tcBorders>
            <w:shd w:val="clear" w:color="auto" w:fill="auto"/>
            <w:noWrap/>
            <w:vAlign w:val="center"/>
          </w:tcPr>
          <w:p w14:paraId="3A274A1A">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1248" w:type="dxa"/>
            <w:tcBorders>
              <w:tl2br w:val="nil"/>
              <w:tr2bl w:val="nil"/>
            </w:tcBorders>
            <w:shd w:val="clear" w:color="auto" w:fill="auto"/>
            <w:noWrap/>
            <w:vAlign w:val="center"/>
          </w:tcPr>
          <w:p w14:paraId="3B940EDA">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32</w:t>
            </w:r>
          </w:p>
        </w:tc>
        <w:tc>
          <w:tcPr>
            <w:tcW w:w="1152" w:type="dxa"/>
            <w:tcBorders>
              <w:tl2br w:val="nil"/>
              <w:tr2bl w:val="nil"/>
            </w:tcBorders>
            <w:shd w:val="clear" w:color="auto" w:fill="auto"/>
            <w:noWrap/>
            <w:vAlign w:val="center"/>
          </w:tcPr>
          <w:p w14:paraId="623CD12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28</w:t>
            </w:r>
          </w:p>
        </w:tc>
        <w:tc>
          <w:tcPr>
            <w:tcW w:w="1164" w:type="dxa"/>
            <w:vMerge w:val="continue"/>
            <w:tcBorders>
              <w:tl2br w:val="nil"/>
              <w:tr2bl w:val="nil"/>
            </w:tcBorders>
            <w:noWrap/>
            <w:vAlign w:val="center"/>
          </w:tcPr>
          <w:p w14:paraId="17F32C9D">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2E1C473F">
            <w:pPr>
              <w:widowControl/>
              <w:jc w:val="center"/>
              <w:textAlignment w:val="center"/>
              <w:rPr>
                <w:rFonts w:ascii="宋体" w:hAnsi="宋体" w:cs="宋体"/>
                <w:color w:val="auto"/>
                <w:kern w:val="0"/>
                <w:szCs w:val="21"/>
              </w:rPr>
            </w:pPr>
          </w:p>
        </w:tc>
      </w:tr>
      <w:tr w14:paraId="4F2D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4C55E43A">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4F936E5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6C5D9739">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测风仪</w:t>
            </w:r>
          </w:p>
        </w:tc>
        <w:tc>
          <w:tcPr>
            <w:tcW w:w="960" w:type="dxa"/>
            <w:tcBorders>
              <w:tl2br w:val="nil"/>
              <w:tr2bl w:val="nil"/>
            </w:tcBorders>
            <w:shd w:val="clear" w:color="auto" w:fill="auto"/>
            <w:noWrap/>
            <w:vAlign w:val="center"/>
          </w:tcPr>
          <w:p w14:paraId="373A6E29">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1248" w:type="dxa"/>
            <w:tcBorders>
              <w:tl2br w:val="nil"/>
              <w:tr2bl w:val="nil"/>
            </w:tcBorders>
            <w:shd w:val="clear" w:color="auto" w:fill="auto"/>
            <w:noWrap/>
            <w:vAlign w:val="center"/>
          </w:tcPr>
          <w:p w14:paraId="29CB3D14">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24</w:t>
            </w:r>
          </w:p>
        </w:tc>
        <w:tc>
          <w:tcPr>
            <w:tcW w:w="1152" w:type="dxa"/>
            <w:tcBorders>
              <w:tl2br w:val="nil"/>
              <w:tr2bl w:val="nil"/>
            </w:tcBorders>
            <w:shd w:val="clear" w:color="auto" w:fill="auto"/>
            <w:noWrap/>
            <w:vAlign w:val="center"/>
          </w:tcPr>
          <w:p w14:paraId="66F24A7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w:t>
            </w:r>
          </w:p>
        </w:tc>
        <w:tc>
          <w:tcPr>
            <w:tcW w:w="1164" w:type="dxa"/>
            <w:vMerge w:val="continue"/>
            <w:tcBorders>
              <w:tl2br w:val="nil"/>
              <w:tr2bl w:val="nil"/>
            </w:tcBorders>
            <w:noWrap/>
            <w:vAlign w:val="center"/>
          </w:tcPr>
          <w:p w14:paraId="38987B19">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72921A48">
            <w:pPr>
              <w:widowControl/>
              <w:jc w:val="center"/>
              <w:textAlignment w:val="center"/>
              <w:rPr>
                <w:rFonts w:ascii="宋体" w:hAnsi="宋体" w:cs="宋体"/>
                <w:color w:val="auto"/>
                <w:kern w:val="0"/>
                <w:szCs w:val="21"/>
              </w:rPr>
            </w:pPr>
          </w:p>
        </w:tc>
      </w:tr>
      <w:tr w14:paraId="4471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12B3EB4F">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0148B00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358CD84A">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运动相机</w:t>
            </w:r>
          </w:p>
        </w:tc>
        <w:tc>
          <w:tcPr>
            <w:tcW w:w="960" w:type="dxa"/>
            <w:tcBorders>
              <w:tl2br w:val="nil"/>
              <w:tr2bl w:val="nil"/>
            </w:tcBorders>
            <w:shd w:val="clear" w:color="auto" w:fill="auto"/>
            <w:noWrap/>
            <w:vAlign w:val="center"/>
          </w:tcPr>
          <w:p w14:paraId="2CC65184">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1248" w:type="dxa"/>
            <w:tcBorders>
              <w:tl2br w:val="nil"/>
              <w:tr2bl w:val="nil"/>
            </w:tcBorders>
            <w:shd w:val="clear" w:color="auto" w:fill="auto"/>
            <w:noWrap/>
            <w:vAlign w:val="center"/>
          </w:tcPr>
          <w:p w14:paraId="26ABF1E6">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3</w:t>
            </w:r>
          </w:p>
        </w:tc>
        <w:tc>
          <w:tcPr>
            <w:tcW w:w="1152" w:type="dxa"/>
            <w:tcBorders>
              <w:tl2br w:val="nil"/>
              <w:tr2bl w:val="nil"/>
            </w:tcBorders>
            <w:shd w:val="clear" w:color="auto" w:fill="auto"/>
            <w:noWrap/>
            <w:vAlign w:val="center"/>
          </w:tcPr>
          <w:p w14:paraId="40B8A26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5</w:t>
            </w:r>
          </w:p>
        </w:tc>
        <w:tc>
          <w:tcPr>
            <w:tcW w:w="1164" w:type="dxa"/>
            <w:vMerge w:val="continue"/>
            <w:tcBorders>
              <w:tl2br w:val="nil"/>
              <w:tr2bl w:val="nil"/>
            </w:tcBorders>
            <w:noWrap/>
            <w:vAlign w:val="center"/>
          </w:tcPr>
          <w:p w14:paraId="358A9DA0">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7549F8B1">
            <w:pPr>
              <w:widowControl/>
              <w:jc w:val="center"/>
              <w:textAlignment w:val="center"/>
              <w:rPr>
                <w:rFonts w:ascii="宋体" w:hAnsi="宋体" w:cs="宋体"/>
                <w:color w:val="auto"/>
                <w:kern w:val="0"/>
                <w:szCs w:val="21"/>
              </w:rPr>
            </w:pPr>
          </w:p>
        </w:tc>
      </w:tr>
      <w:tr w14:paraId="0D19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6D05A393">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0583380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094C5F5A">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频闪灯</w:t>
            </w:r>
          </w:p>
        </w:tc>
        <w:tc>
          <w:tcPr>
            <w:tcW w:w="960" w:type="dxa"/>
            <w:tcBorders>
              <w:tl2br w:val="nil"/>
              <w:tr2bl w:val="nil"/>
            </w:tcBorders>
            <w:shd w:val="clear" w:color="auto" w:fill="auto"/>
            <w:noWrap/>
            <w:vAlign w:val="center"/>
          </w:tcPr>
          <w:p w14:paraId="44F9F660">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110</w:t>
            </w:r>
          </w:p>
        </w:tc>
        <w:tc>
          <w:tcPr>
            <w:tcW w:w="1248" w:type="dxa"/>
            <w:tcBorders>
              <w:tl2br w:val="nil"/>
              <w:tr2bl w:val="nil"/>
            </w:tcBorders>
            <w:shd w:val="clear" w:color="auto" w:fill="auto"/>
            <w:noWrap/>
            <w:vAlign w:val="center"/>
          </w:tcPr>
          <w:p w14:paraId="5149C33F">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15</w:t>
            </w:r>
          </w:p>
        </w:tc>
        <w:tc>
          <w:tcPr>
            <w:tcW w:w="1152" w:type="dxa"/>
            <w:tcBorders>
              <w:tl2br w:val="nil"/>
              <w:tr2bl w:val="nil"/>
            </w:tcBorders>
            <w:shd w:val="clear" w:color="auto" w:fill="auto"/>
            <w:noWrap/>
            <w:vAlign w:val="center"/>
          </w:tcPr>
          <w:p w14:paraId="59EE7E2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65</w:t>
            </w:r>
          </w:p>
        </w:tc>
        <w:tc>
          <w:tcPr>
            <w:tcW w:w="1164" w:type="dxa"/>
            <w:vMerge w:val="continue"/>
            <w:tcBorders>
              <w:tl2br w:val="nil"/>
              <w:tr2bl w:val="nil"/>
            </w:tcBorders>
            <w:noWrap/>
            <w:vAlign w:val="center"/>
          </w:tcPr>
          <w:p w14:paraId="166939E3">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7F3C5813">
            <w:pPr>
              <w:widowControl/>
              <w:jc w:val="center"/>
              <w:textAlignment w:val="center"/>
              <w:rPr>
                <w:rFonts w:ascii="宋体" w:hAnsi="宋体" w:cs="宋体"/>
                <w:color w:val="auto"/>
                <w:kern w:val="0"/>
                <w:szCs w:val="21"/>
              </w:rPr>
            </w:pPr>
          </w:p>
        </w:tc>
      </w:tr>
      <w:tr w14:paraId="7D4A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69055EC1">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62181A9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4EC592E7">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多功能刀具</w:t>
            </w:r>
          </w:p>
        </w:tc>
        <w:tc>
          <w:tcPr>
            <w:tcW w:w="960" w:type="dxa"/>
            <w:tcBorders>
              <w:tl2br w:val="nil"/>
              <w:tr2bl w:val="nil"/>
            </w:tcBorders>
            <w:shd w:val="clear" w:color="auto" w:fill="auto"/>
            <w:noWrap/>
            <w:vAlign w:val="center"/>
          </w:tcPr>
          <w:p w14:paraId="38A58829">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1248" w:type="dxa"/>
            <w:tcBorders>
              <w:tl2br w:val="nil"/>
              <w:tr2bl w:val="nil"/>
            </w:tcBorders>
            <w:shd w:val="clear" w:color="auto" w:fill="auto"/>
            <w:noWrap/>
            <w:vAlign w:val="center"/>
          </w:tcPr>
          <w:p w14:paraId="581E904A">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3</w:t>
            </w:r>
          </w:p>
        </w:tc>
        <w:tc>
          <w:tcPr>
            <w:tcW w:w="1152" w:type="dxa"/>
            <w:tcBorders>
              <w:tl2br w:val="nil"/>
              <w:tr2bl w:val="nil"/>
            </w:tcBorders>
            <w:shd w:val="clear" w:color="auto" w:fill="auto"/>
            <w:noWrap/>
            <w:vAlign w:val="center"/>
          </w:tcPr>
          <w:p w14:paraId="50912BA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3</w:t>
            </w:r>
          </w:p>
        </w:tc>
        <w:tc>
          <w:tcPr>
            <w:tcW w:w="1164" w:type="dxa"/>
            <w:vMerge w:val="continue"/>
            <w:tcBorders>
              <w:tl2br w:val="nil"/>
              <w:tr2bl w:val="nil"/>
            </w:tcBorders>
            <w:noWrap/>
            <w:vAlign w:val="center"/>
          </w:tcPr>
          <w:p w14:paraId="557F28C9">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4CA9F011">
            <w:pPr>
              <w:widowControl/>
              <w:jc w:val="center"/>
              <w:textAlignment w:val="center"/>
              <w:rPr>
                <w:rFonts w:ascii="宋体" w:hAnsi="宋体" w:cs="宋体"/>
                <w:color w:val="auto"/>
                <w:kern w:val="0"/>
                <w:szCs w:val="21"/>
              </w:rPr>
            </w:pPr>
          </w:p>
        </w:tc>
      </w:tr>
      <w:tr w14:paraId="261C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18D9C3AE">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5D2177D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2296C1E2">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自喷荧光漆</w:t>
            </w:r>
          </w:p>
        </w:tc>
        <w:tc>
          <w:tcPr>
            <w:tcW w:w="960" w:type="dxa"/>
            <w:tcBorders>
              <w:tl2br w:val="nil"/>
              <w:tr2bl w:val="nil"/>
            </w:tcBorders>
            <w:shd w:val="clear" w:color="auto" w:fill="auto"/>
            <w:noWrap/>
            <w:vAlign w:val="center"/>
          </w:tcPr>
          <w:p w14:paraId="53B38C1A">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1248" w:type="dxa"/>
            <w:tcBorders>
              <w:tl2br w:val="nil"/>
              <w:tr2bl w:val="nil"/>
            </w:tcBorders>
            <w:shd w:val="clear" w:color="auto" w:fill="auto"/>
            <w:noWrap/>
            <w:vAlign w:val="center"/>
          </w:tcPr>
          <w:p w14:paraId="2D1574D1">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0.00</w:t>
            </w:r>
            <w:r>
              <w:rPr>
                <w:rFonts w:hint="eastAsia" w:ascii="宋体" w:hAnsi="宋体" w:eastAsia="宋体" w:cs="宋体"/>
                <w:i w:val="0"/>
                <w:iCs w:val="0"/>
                <w:color w:val="auto"/>
                <w:kern w:val="0"/>
                <w:sz w:val="21"/>
                <w:szCs w:val="21"/>
                <w:u w:val="none"/>
                <w:lang w:val="en-US" w:eastAsia="zh-CN" w:bidi="ar"/>
              </w:rPr>
              <w:t>4</w:t>
            </w:r>
          </w:p>
        </w:tc>
        <w:tc>
          <w:tcPr>
            <w:tcW w:w="1152" w:type="dxa"/>
            <w:tcBorders>
              <w:tl2br w:val="nil"/>
              <w:tr2bl w:val="nil"/>
            </w:tcBorders>
            <w:shd w:val="clear" w:color="auto" w:fill="auto"/>
            <w:noWrap/>
            <w:vAlign w:val="center"/>
          </w:tcPr>
          <w:p w14:paraId="4F9F4D7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2</w:t>
            </w:r>
          </w:p>
        </w:tc>
        <w:tc>
          <w:tcPr>
            <w:tcW w:w="1164" w:type="dxa"/>
            <w:vMerge w:val="continue"/>
            <w:tcBorders>
              <w:tl2br w:val="nil"/>
              <w:tr2bl w:val="nil"/>
            </w:tcBorders>
            <w:noWrap/>
            <w:vAlign w:val="center"/>
          </w:tcPr>
          <w:p w14:paraId="4206EA2E">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620F124B">
            <w:pPr>
              <w:widowControl/>
              <w:jc w:val="center"/>
              <w:textAlignment w:val="center"/>
              <w:rPr>
                <w:rFonts w:ascii="宋体" w:hAnsi="宋体" w:cs="宋体"/>
                <w:color w:val="auto"/>
                <w:kern w:val="0"/>
                <w:szCs w:val="21"/>
              </w:rPr>
            </w:pPr>
          </w:p>
        </w:tc>
      </w:tr>
      <w:tr w14:paraId="075F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1E4D38B1">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475C579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1ADAE74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各类警示牌</w:t>
            </w:r>
          </w:p>
        </w:tc>
        <w:tc>
          <w:tcPr>
            <w:tcW w:w="960" w:type="dxa"/>
            <w:tcBorders>
              <w:tl2br w:val="nil"/>
              <w:tr2bl w:val="nil"/>
            </w:tcBorders>
            <w:shd w:val="clear" w:color="auto" w:fill="auto"/>
            <w:noWrap/>
            <w:vAlign w:val="center"/>
          </w:tcPr>
          <w:p w14:paraId="59E4B9D0">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1248" w:type="dxa"/>
            <w:tcBorders>
              <w:tl2br w:val="nil"/>
              <w:tr2bl w:val="nil"/>
            </w:tcBorders>
            <w:shd w:val="clear" w:color="auto" w:fill="auto"/>
            <w:noWrap/>
            <w:vAlign w:val="center"/>
          </w:tcPr>
          <w:p w14:paraId="45D5E32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2</w:t>
            </w:r>
          </w:p>
        </w:tc>
        <w:tc>
          <w:tcPr>
            <w:tcW w:w="1152" w:type="dxa"/>
            <w:tcBorders>
              <w:tl2br w:val="nil"/>
              <w:tr2bl w:val="nil"/>
            </w:tcBorders>
            <w:shd w:val="clear" w:color="auto" w:fill="auto"/>
            <w:noWrap/>
            <w:vAlign w:val="center"/>
          </w:tcPr>
          <w:p w14:paraId="511EB52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8</w:t>
            </w:r>
          </w:p>
        </w:tc>
        <w:tc>
          <w:tcPr>
            <w:tcW w:w="1164" w:type="dxa"/>
            <w:vMerge w:val="continue"/>
            <w:tcBorders>
              <w:tl2br w:val="nil"/>
              <w:tr2bl w:val="nil"/>
            </w:tcBorders>
            <w:noWrap/>
            <w:vAlign w:val="center"/>
          </w:tcPr>
          <w:p w14:paraId="657376F6">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2A36EF5E">
            <w:pPr>
              <w:widowControl/>
              <w:jc w:val="center"/>
              <w:textAlignment w:val="center"/>
              <w:rPr>
                <w:rFonts w:ascii="宋体" w:hAnsi="宋体" w:cs="宋体"/>
                <w:color w:val="auto"/>
                <w:kern w:val="0"/>
                <w:szCs w:val="21"/>
              </w:rPr>
            </w:pPr>
          </w:p>
        </w:tc>
      </w:tr>
      <w:tr w14:paraId="4E05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0B961E53">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3C798F9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4A5DE51A">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隔离警示带</w:t>
            </w:r>
          </w:p>
        </w:tc>
        <w:tc>
          <w:tcPr>
            <w:tcW w:w="960" w:type="dxa"/>
            <w:tcBorders>
              <w:tl2br w:val="nil"/>
              <w:tr2bl w:val="nil"/>
            </w:tcBorders>
            <w:shd w:val="clear" w:color="auto" w:fill="auto"/>
            <w:noWrap/>
            <w:vAlign w:val="center"/>
          </w:tcPr>
          <w:p w14:paraId="70BC573C">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37</w:t>
            </w:r>
          </w:p>
        </w:tc>
        <w:tc>
          <w:tcPr>
            <w:tcW w:w="1248" w:type="dxa"/>
            <w:tcBorders>
              <w:tl2br w:val="nil"/>
              <w:tr2bl w:val="nil"/>
            </w:tcBorders>
            <w:shd w:val="clear" w:color="auto" w:fill="auto"/>
            <w:noWrap/>
            <w:vAlign w:val="center"/>
          </w:tcPr>
          <w:p w14:paraId="283CEE12">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2</w:t>
            </w:r>
          </w:p>
        </w:tc>
        <w:tc>
          <w:tcPr>
            <w:tcW w:w="1152" w:type="dxa"/>
            <w:tcBorders>
              <w:tl2br w:val="nil"/>
              <w:tr2bl w:val="nil"/>
            </w:tcBorders>
            <w:shd w:val="clear" w:color="auto" w:fill="auto"/>
            <w:noWrap/>
            <w:vAlign w:val="center"/>
          </w:tcPr>
          <w:p w14:paraId="2E70199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74</w:t>
            </w:r>
          </w:p>
        </w:tc>
        <w:tc>
          <w:tcPr>
            <w:tcW w:w="1164" w:type="dxa"/>
            <w:vMerge w:val="continue"/>
            <w:tcBorders>
              <w:tl2br w:val="nil"/>
              <w:tr2bl w:val="nil"/>
            </w:tcBorders>
            <w:noWrap/>
            <w:vAlign w:val="center"/>
          </w:tcPr>
          <w:p w14:paraId="1717F9DB">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53C3B4F0">
            <w:pPr>
              <w:widowControl/>
              <w:jc w:val="center"/>
              <w:textAlignment w:val="center"/>
              <w:rPr>
                <w:rFonts w:ascii="宋体" w:hAnsi="宋体" w:cs="宋体"/>
                <w:color w:val="auto"/>
                <w:kern w:val="0"/>
                <w:szCs w:val="21"/>
              </w:rPr>
            </w:pPr>
          </w:p>
        </w:tc>
      </w:tr>
      <w:tr w14:paraId="3196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5C778344">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2041746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6402F00B">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注入式堵漏工具</w:t>
            </w:r>
          </w:p>
        </w:tc>
        <w:tc>
          <w:tcPr>
            <w:tcW w:w="960" w:type="dxa"/>
            <w:tcBorders>
              <w:tl2br w:val="nil"/>
              <w:tr2bl w:val="nil"/>
            </w:tcBorders>
            <w:shd w:val="clear" w:color="auto" w:fill="auto"/>
            <w:noWrap/>
            <w:vAlign w:val="center"/>
          </w:tcPr>
          <w:p w14:paraId="6CF91858">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248" w:type="dxa"/>
            <w:tcBorders>
              <w:tl2br w:val="nil"/>
              <w:tr2bl w:val="nil"/>
            </w:tcBorders>
            <w:shd w:val="clear" w:color="auto" w:fill="auto"/>
            <w:noWrap/>
            <w:vAlign w:val="center"/>
          </w:tcPr>
          <w:p w14:paraId="642EE0B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5</w:t>
            </w:r>
          </w:p>
        </w:tc>
        <w:tc>
          <w:tcPr>
            <w:tcW w:w="1152" w:type="dxa"/>
            <w:tcBorders>
              <w:tl2br w:val="nil"/>
              <w:tr2bl w:val="nil"/>
            </w:tcBorders>
            <w:shd w:val="clear" w:color="auto" w:fill="auto"/>
            <w:noWrap/>
            <w:vAlign w:val="center"/>
          </w:tcPr>
          <w:p w14:paraId="013DCD4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5</w:t>
            </w:r>
          </w:p>
        </w:tc>
        <w:tc>
          <w:tcPr>
            <w:tcW w:w="1164" w:type="dxa"/>
            <w:vMerge w:val="continue"/>
            <w:tcBorders>
              <w:tl2br w:val="nil"/>
              <w:tr2bl w:val="nil"/>
            </w:tcBorders>
            <w:noWrap/>
            <w:vAlign w:val="center"/>
          </w:tcPr>
          <w:p w14:paraId="62FA23C3">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2703C5DF">
            <w:pPr>
              <w:widowControl/>
              <w:jc w:val="center"/>
              <w:textAlignment w:val="center"/>
              <w:rPr>
                <w:rFonts w:ascii="宋体" w:hAnsi="宋体" w:cs="宋体"/>
                <w:color w:val="auto"/>
                <w:kern w:val="0"/>
                <w:szCs w:val="21"/>
              </w:rPr>
            </w:pPr>
          </w:p>
        </w:tc>
      </w:tr>
      <w:tr w14:paraId="1795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5010C162">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77D3838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6DBDA1E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无火花工具</w:t>
            </w:r>
          </w:p>
        </w:tc>
        <w:tc>
          <w:tcPr>
            <w:tcW w:w="960" w:type="dxa"/>
            <w:tcBorders>
              <w:tl2br w:val="nil"/>
              <w:tr2bl w:val="nil"/>
            </w:tcBorders>
            <w:shd w:val="clear" w:color="auto" w:fill="auto"/>
            <w:noWrap/>
            <w:vAlign w:val="center"/>
          </w:tcPr>
          <w:p w14:paraId="62A31C9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248" w:type="dxa"/>
            <w:tcBorders>
              <w:tl2br w:val="nil"/>
              <w:tr2bl w:val="nil"/>
            </w:tcBorders>
            <w:shd w:val="clear" w:color="auto" w:fill="auto"/>
            <w:noWrap/>
            <w:vAlign w:val="center"/>
          </w:tcPr>
          <w:p w14:paraId="39C70D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22</w:t>
            </w:r>
          </w:p>
        </w:tc>
        <w:tc>
          <w:tcPr>
            <w:tcW w:w="1152" w:type="dxa"/>
            <w:tcBorders>
              <w:tl2br w:val="nil"/>
              <w:tr2bl w:val="nil"/>
            </w:tcBorders>
            <w:shd w:val="clear" w:color="auto" w:fill="auto"/>
            <w:noWrap/>
            <w:vAlign w:val="center"/>
          </w:tcPr>
          <w:p w14:paraId="45F955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p>
        </w:tc>
        <w:tc>
          <w:tcPr>
            <w:tcW w:w="1164" w:type="dxa"/>
            <w:vMerge w:val="continue"/>
            <w:tcBorders>
              <w:tl2br w:val="nil"/>
              <w:tr2bl w:val="nil"/>
            </w:tcBorders>
            <w:noWrap/>
            <w:vAlign w:val="center"/>
          </w:tcPr>
          <w:p w14:paraId="67CF2F18">
            <w:pPr>
              <w:jc w:val="center"/>
              <w:rPr>
                <w:rFonts w:hint="eastAsia" w:ascii="宋体" w:hAnsi="宋体" w:cs="宋体"/>
                <w:color w:val="auto"/>
                <w:szCs w:val="21"/>
                <w:lang w:val="en-US" w:eastAsia="zh-CN"/>
              </w:rPr>
            </w:pPr>
          </w:p>
        </w:tc>
        <w:tc>
          <w:tcPr>
            <w:tcW w:w="888" w:type="dxa"/>
            <w:vMerge w:val="continue"/>
            <w:tcBorders>
              <w:tl2br w:val="nil"/>
              <w:tr2bl w:val="nil"/>
            </w:tcBorders>
            <w:noWrap/>
            <w:vAlign w:val="center"/>
          </w:tcPr>
          <w:p w14:paraId="431E4152">
            <w:pPr>
              <w:widowControl/>
              <w:jc w:val="center"/>
              <w:textAlignment w:val="center"/>
              <w:rPr>
                <w:rFonts w:ascii="宋体" w:hAnsi="宋体" w:cs="宋体"/>
                <w:color w:val="auto"/>
                <w:kern w:val="0"/>
                <w:szCs w:val="21"/>
              </w:rPr>
            </w:pPr>
          </w:p>
        </w:tc>
      </w:tr>
      <w:tr w14:paraId="5316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restart"/>
            <w:tcBorders>
              <w:tl2br w:val="nil"/>
              <w:tr2bl w:val="nil"/>
            </w:tcBorders>
            <w:noWrap/>
            <w:vAlign w:val="center"/>
          </w:tcPr>
          <w:p w14:paraId="325713FE">
            <w:pPr>
              <w:jc w:val="center"/>
              <w:rPr>
                <w:rFonts w:ascii="宋体" w:hAnsi="宋体" w:cs="宋体"/>
                <w:color w:val="auto"/>
                <w:szCs w:val="21"/>
              </w:rPr>
            </w:pPr>
            <w:r>
              <w:rPr>
                <w:rFonts w:hint="eastAsia" w:ascii="宋体" w:hAnsi="宋体" w:cs="宋体"/>
                <w:color w:val="auto"/>
                <w:szCs w:val="21"/>
              </w:rPr>
              <w:t>3</w:t>
            </w:r>
          </w:p>
        </w:tc>
        <w:tc>
          <w:tcPr>
            <w:tcW w:w="1776" w:type="dxa"/>
            <w:vMerge w:val="restart"/>
            <w:tcBorders>
              <w:tl2br w:val="nil"/>
              <w:tr2bl w:val="nil"/>
            </w:tcBorders>
            <w:noWrap/>
            <w:vAlign w:val="center"/>
          </w:tcPr>
          <w:p w14:paraId="1F74680B">
            <w:pPr>
              <w:rPr>
                <w:rFonts w:hint="eastAsia" w:ascii="宋体" w:hAnsi="宋体" w:eastAsia="宋体" w:cs="宋体"/>
                <w:color w:val="auto"/>
                <w:szCs w:val="21"/>
                <w:shd w:val="clear" w:color="auto" w:fill="FFFFFF" w:themeFill="background1"/>
                <w:lang w:val="en-US" w:eastAsia="zh-CN"/>
              </w:rPr>
            </w:pPr>
            <w:r>
              <w:rPr>
                <w:rFonts w:hint="eastAsia" w:ascii="宋体" w:hAnsi="宋体" w:cs="宋体"/>
                <w:color w:val="auto"/>
                <w:szCs w:val="21"/>
                <w:shd w:val="clear" w:color="auto" w:fill="FFFFFF" w:themeFill="background1"/>
              </w:rPr>
              <w:t>橡皮艇≥8人（不配舷外机）</w:t>
            </w:r>
            <w:r>
              <w:rPr>
                <w:rFonts w:hint="eastAsia" w:ascii="宋体" w:hAnsi="宋体" w:cs="宋体"/>
                <w:color w:val="auto"/>
                <w:szCs w:val="21"/>
                <w:shd w:val="clear" w:color="auto" w:fill="FFFFFF" w:themeFill="background1"/>
                <w:lang w:val="en-US" w:eastAsia="zh-CN"/>
              </w:rPr>
              <w:t>等设备</w:t>
            </w:r>
          </w:p>
        </w:tc>
        <w:tc>
          <w:tcPr>
            <w:tcW w:w="1776" w:type="dxa"/>
            <w:tcBorders>
              <w:tl2br w:val="nil"/>
              <w:tr2bl w:val="nil"/>
            </w:tcBorders>
            <w:noWrap/>
            <w:vAlign w:val="center"/>
          </w:tcPr>
          <w:p w14:paraId="652B3D98">
            <w:pP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cs="宋体"/>
                <w:color w:val="auto"/>
                <w:szCs w:val="21"/>
                <w:shd w:val="clear" w:color="auto" w:fill="FFFFFF" w:themeFill="background1"/>
              </w:rPr>
              <w:t>●橡皮艇≥8人（不配舷外机）</w:t>
            </w:r>
          </w:p>
        </w:tc>
        <w:tc>
          <w:tcPr>
            <w:tcW w:w="960" w:type="dxa"/>
            <w:tcBorders>
              <w:tl2br w:val="nil"/>
              <w:tr2bl w:val="nil"/>
            </w:tcBorders>
            <w:noWrap/>
            <w:vAlign w:val="center"/>
          </w:tcPr>
          <w:p w14:paraId="6DACBA99">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248" w:type="dxa"/>
            <w:tcBorders>
              <w:tl2br w:val="nil"/>
              <w:tr2bl w:val="nil"/>
            </w:tcBorders>
            <w:noWrap/>
            <w:vAlign w:val="center"/>
          </w:tcPr>
          <w:p w14:paraId="401C187F">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85</w:t>
            </w:r>
          </w:p>
        </w:tc>
        <w:tc>
          <w:tcPr>
            <w:tcW w:w="1152" w:type="dxa"/>
            <w:tcBorders>
              <w:tl2br w:val="nil"/>
              <w:tr2bl w:val="nil"/>
            </w:tcBorders>
            <w:noWrap/>
            <w:vAlign w:val="center"/>
          </w:tcPr>
          <w:p w14:paraId="55D47E2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85</w:t>
            </w:r>
          </w:p>
        </w:tc>
        <w:tc>
          <w:tcPr>
            <w:tcW w:w="1164" w:type="dxa"/>
            <w:vMerge w:val="restart"/>
            <w:tcBorders>
              <w:tl2br w:val="nil"/>
              <w:tr2bl w:val="nil"/>
            </w:tcBorders>
            <w:noWrap/>
            <w:vAlign w:val="center"/>
          </w:tcPr>
          <w:p w14:paraId="278E3885">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33.482</w:t>
            </w:r>
          </w:p>
        </w:tc>
        <w:tc>
          <w:tcPr>
            <w:tcW w:w="888" w:type="dxa"/>
            <w:vMerge w:val="continue"/>
            <w:tcBorders>
              <w:tl2br w:val="nil"/>
              <w:tr2bl w:val="nil"/>
            </w:tcBorders>
            <w:noWrap/>
            <w:vAlign w:val="center"/>
          </w:tcPr>
          <w:p w14:paraId="1A168C0B">
            <w:pPr>
              <w:widowControl/>
              <w:jc w:val="center"/>
              <w:textAlignment w:val="center"/>
              <w:rPr>
                <w:rFonts w:ascii="宋体" w:hAnsi="宋体" w:cs="宋体"/>
                <w:color w:val="auto"/>
                <w:kern w:val="0"/>
                <w:szCs w:val="21"/>
              </w:rPr>
            </w:pPr>
          </w:p>
        </w:tc>
      </w:tr>
      <w:tr w14:paraId="7329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2D75DD80">
            <w:pPr>
              <w:jc w:val="center"/>
              <w:rPr>
                <w:rFonts w:hint="eastAsia" w:ascii="宋体" w:hAnsi="宋体" w:cs="宋体"/>
                <w:color w:val="auto"/>
                <w:szCs w:val="21"/>
              </w:rPr>
            </w:pPr>
          </w:p>
        </w:tc>
        <w:tc>
          <w:tcPr>
            <w:tcW w:w="1776" w:type="dxa"/>
            <w:vMerge w:val="continue"/>
            <w:tcBorders>
              <w:tl2br w:val="nil"/>
              <w:tr2bl w:val="nil"/>
            </w:tcBorders>
            <w:noWrap/>
            <w:vAlign w:val="center"/>
          </w:tcPr>
          <w:p w14:paraId="539FF616">
            <w:pPr>
              <w:rPr>
                <w:rFonts w:hint="eastAsia" w:ascii="宋体" w:hAnsi="宋体" w:cs="宋体"/>
                <w:color w:val="auto"/>
                <w:szCs w:val="21"/>
                <w:shd w:val="clear" w:color="auto" w:fill="FFFFFF" w:themeFill="background1"/>
              </w:rPr>
            </w:pPr>
          </w:p>
        </w:tc>
        <w:tc>
          <w:tcPr>
            <w:tcW w:w="1776" w:type="dxa"/>
            <w:tcBorders>
              <w:tl2br w:val="nil"/>
              <w:tr2bl w:val="nil"/>
            </w:tcBorders>
            <w:noWrap/>
            <w:vAlign w:val="center"/>
          </w:tcPr>
          <w:p w14:paraId="5E776322">
            <w:pP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cs="宋体"/>
                <w:color w:val="auto"/>
                <w:szCs w:val="21"/>
                <w:shd w:val="clear" w:color="auto" w:fill="FFFFFF" w:themeFill="background1"/>
              </w:rPr>
              <w:t>橡皮艇≥6人（不配舷外机）</w:t>
            </w:r>
          </w:p>
        </w:tc>
        <w:tc>
          <w:tcPr>
            <w:tcW w:w="960" w:type="dxa"/>
            <w:tcBorders>
              <w:tl2br w:val="nil"/>
              <w:tr2bl w:val="nil"/>
            </w:tcBorders>
            <w:noWrap/>
            <w:vAlign w:val="center"/>
          </w:tcPr>
          <w:p w14:paraId="7213E573">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1248" w:type="dxa"/>
            <w:tcBorders>
              <w:tl2br w:val="nil"/>
              <w:tr2bl w:val="nil"/>
            </w:tcBorders>
            <w:noWrap/>
            <w:vAlign w:val="center"/>
          </w:tcPr>
          <w:p w14:paraId="1C5A80BE">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75</w:t>
            </w:r>
          </w:p>
        </w:tc>
        <w:tc>
          <w:tcPr>
            <w:tcW w:w="1152" w:type="dxa"/>
            <w:tcBorders>
              <w:tl2br w:val="nil"/>
              <w:tr2bl w:val="nil"/>
            </w:tcBorders>
            <w:noWrap/>
            <w:vAlign w:val="center"/>
          </w:tcPr>
          <w:p w14:paraId="7B95187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75</w:t>
            </w:r>
          </w:p>
        </w:tc>
        <w:tc>
          <w:tcPr>
            <w:tcW w:w="1164" w:type="dxa"/>
            <w:vMerge w:val="continue"/>
            <w:tcBorders>
              <w:tl2br w:val="nil"/>
              <w:tr2bl w:val="nil"/>
            </w:tcBorders>
            <w:noWrap/>
            <w:vAlign w:val="center"/>
          </w:tcPr>
          <w:p w14:paraId="298656F3">
            <w:pPr>
              <w:jc w:val="center"/>
              <w:rPr>
                <w:rFonts w:hint="eastAsia" w:ascii="宋体" w:hAnsi="宋体" w:cs="宋体"/>
                <w:color w:val="auto"/>
                <w:szCs w:val="21"/>
              </w:rPr>
            </w:pPr>
          </w:p>
        </w:tc>
        <w:tc>
          <w:tcPr>
            <w:tcW w:w="888" w:type="dxa"/>
            <w:vMerge w:val="continue"/>
            <w:tcBorders>
              <w:tl2br w:val="nil"/>
              <w:tr2bl w:val="nil"/>
            </w:tcBorders>
            <w:noWrap/>
            <w:vAlign w:val="center"/>
          </w:tcPr>
          <w:p w14:paraId="3F43B4C2">
            <w:pPr>
              <w:widowControl/>
              <w:jc w:val="center"/>
              <w:textAlignment w:val="center"/>
              <w:rPr>
                <w:rFonts w:ascii="宋体" w:hAnsi="宋体" w:cs="宋体"/>
                <w:color w:val="auto"/>
                <w:kern w:val="0"/>
                <w:szCs w:val="21"/>
              </w:rPr>
            </w:pPr>
          </w:p>
        </w:tc>
      </w:tr>
      <w:tr w14:paraId="2854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67517FF7">
            <w:pPr>
              <w:jc w:val="center"/>
              <w:rPr>
                <w:rFonts w:hint="eastAsia" w:ascii="宋体" w:hAnsi="宋体" w:cs="宋体"/>
                <w:color w:val="auto"/>
                <w:szCs w:val="21"/>
              </w:rPr>
            </w:pPr>
          </w:p>
        </w:tc>
        <w:tc>
          <w:tcPr>
            <w:tcW w:w="1776" w:type="dxa"/>
            <w:vMerge w:val="continue"/>
            <w:tcBorders>
              <w:tl2br w:val="nil"/>
              <w:tr2bl w:val="nil"/>
            </w:tcBorders>
            <w:noWrap/>
            <w:vAlign w:val="center"/>
          </w:tcPr>
          <w:p w14:paraId="42F0785A">
            <w:pPr>
              <w:rPr>
                <w:rFonts w:hint="eastAsia" w:ascii="宋体" w:hAnsi="宋体" w:cs="宋体"/>
                <w:color w:val="auto"/>
                <w:szCs w:val="21"/>
                <w:shd w:val="clear" w:color="auto" w:fill="FFFFFF" w:themeFill="background1"/>
              </w:rPr>
            </w:pPr>
          </w:p>
        </w:tc>
        <w:tc>
          <w:tcPr>
            <w:tcW w:w="1776" w:type="dxa"/>
            <w:tcBorders>
              <w:tl2br w:val="nil"/>
              <w:tr2bl w:val="nil"/>
            </w:tcBorders>
            <w:noWrap/>
            <w:vAlign w:val="center"/>
          </w:tcPr>
          <w:p w14:paraId="658843C9">
            <w:pPr>
              <w:rPr>
                <w:rFonts w:hint="eastAsia" w:ascii="宋体" w:hAnsi="宋体" w:cs="宋体"/>
                <w:color w:val="auto"/>
                <w:szCs w:val="21"/>
                <w:shd w:val="clear" w:color="auto" w:fill="FFFFFF" w:themeFill="background1"/>
              </w:rPr>
            </w:pPr>
            <w:r>
              <w:rPr>
                <w:rFonts w:hint="eastAsia" w:ascii="宋体" w:hAnsi="宋体" w:cs="宋体"/>
                <w:color w:val="auto"/>
                <w:szCs w:val="21"/>
                <w:shd w:val="clear" w:color="auto" w:fill="FFFFFF" w:themeFill="background1"/>
              </w:rPr>
              <w:t>螺旋桨式舷外机≥30马力（短轴）</w:t>
            </w:r>
          </w:p>
        </w:tc>
        <w:tc>
          <w:tcPr>
            <w:tcW w:w="960" w:type="dxa"/>
            <w:tcBorders>
              <w:tl2br w:val="nil"/>
              <w:tr2bl w:val="nil"/>
            </w:tcBorders>
            <w:noWrap/>
            <w:vAlign w:val="center"/>
          </w:tcPr>
          <w:p w14:paraId="7113E824">
            <w:pPr>
              <w:keepNext w:val="0"/>
              <w:keepLines w:val="0"/>
              <w:widowControl/>
              <w:suppressLineNumbers w:val="0"/>
              <w:jc w:val="center"/>
              <w:textAlignment w:val="center"/>
              <w:rPr>
                <w:rFonts w:hint="eastAsia" w:ascii="宋体" w:hAnsi="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1248" w:type="dxa"/>
            <w:tcBorders>
              <w:tl2br w:val="nil"/>
              <w:tr2bl w:val="nil"/>
            </w:tcBorders>
            <w:noWrap/>
            <w:vAlign w:val="center"/>
          </w:tcPr>
          <w:p w14:paraId="24C99456">
            <w:pPr>
              <w:keepNext w:val="0"/>
              <w:keepLines w:val="0"/>
              <w:widowControl/>
              <w:suppressLineNumbers w:val="0"/>
              <w:jc w:val="center"/>
              <w:textAlignment w:val="center"/>
              <w:rPr>
                <w:rFonts w:hint="eastAsia" w:ascii="宋体" w:hAnsi="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35</w:t>
            </w:r>
          </w:p>
        </w:tc>
        <w:tc>
          <w:tcPr>
            <w:tcW w:w="1152" w:type="dxa"/>
            <w:tcBorders>
              <w:tl2br w:val="nil"/>
              <w:tr2bl w:val="nil"/>
            </w:tcBorders>
            <w:noWrap/>
            <w:vAlign w:val="center"/>
          </w:tcPr>
          <w:p w14:paraId="62F0C7C1">
            <w:pPr>
              <w:keepNext w:val="0"/>
              <w:keepLines w:val="0"/>
              <w:widowControl/>
              <w:suppressLineNumbers w:val="0"/>
              <w:jc w:val="center"/>
              <w:textAlignment w:val="center"/>
              <w:rPr>
                <w:rFonts w:hint="eastAsia"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7</w:t>
            </w:r>
          </w:p>
        </w:tc>
        <w:tc>
          <w:tcPr>
            <w:tcW w:w="1164" w:type="dxa"/>
            <w:vMerge w:val="continue"/>
            <w:tcBorders>
              <w:tl2br w:val="nil"/>
              <w:tr2bl w:val="nil"/>
            </w:tcBorders>
            <w:noWrap/>
            <w:vAlign w:val="center"/>
          </w:tcPr>
          <w:p w14:paraId="6D937B14">
            <w:pPr>
              <w:jc w:val="center"/>
              <w:rPr>
                <w:rFonts w:hint="eastAsia" w:ascii="宋体" w:hAnsi="宋体" w:cs="宋体"/>
                <w:color w:val="auto"/>
                <w:szCs w:val="21"/>
              </w:rPr>
            </w:pPr>
          </w:p>
        </w:tc>
        <w:tc>
          <w:tcPr>
            <w:tcW w:w="888" w:type="dxa"/>
            <w:vMerge w:val="continue"/>
            <w:tcBorders>
              <w:tl2br w:val="nil"/>
              <w:tr2bl w:val="nil"/>
            </w:tcBorders>
            <w:noWrap/>
            <w:vAlign w:val="center"/>
          </w:tcPr>
          <w:p w14:paraId="727BA3BD">
            <w:pPr>
              <w:widowControl/>
              <w:jc w:val="center"/>
              <w:textAlignment w:val="center"/>
              <w:rPr>
                <w:rFonts w:ascii="宋体" w:hAnsi="宋体" w:cs="宋体"/>
                <w:color w:val="auto"/>
                <w:kern w:val="0"/>
                <w:szCs w:val="21"/>
              </w:rPr>
            </w:pPr>
          </w:p>
        </w:tc>
      </w:tr>
      <w:tr w14:paraId="28DF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68EF1C0F">
            <w:pPr>
              <w:jc w:val="center"/>
              <w:rPr>
                <w:rFonts w:hint="eastAsia" w:ascii="宋体" w:hAnsi="宋体" w:cs="宋体"/>
                <w:color w:val="auto"/>
                <w:szCs w:val="21"/>
              </w:rPr>
            </w:pPr>
          </w:p>
        </w:tc>
        <w:tc>
          <w:tcPr>
            <w:tcW w:w="1776" w:type="dxa"/>
            <w:vMerge w:val="continue"/>
            <w:tcBorders>
              <w:tl2br w:val="nil"/>
              <w:tr2bl w:val="nil"/>
            </w:tcBorders>
            <w:noWrap/>
            <w:vAlign w:val="center"/>
          </w:tcPr>
          <w:p w14:paraId="54E4D174">
            <w:pPr>
              <w:rPr>
                <w:rFonts w:hint="eastAsia" w:ascii="宋体" w:hAnsi="宋体" w:cs="宋体"/>
                <w:color w:val="auto"/>
                <w:szCs w:val="21"/>
                <w:shd w:val="clear" w:color="auto" w:fill="FFFFFF" w:themeFill="background1"/>
              </w:rPr>
            </w:pPr>
          </w:p>
        </w:tc>
        <w:tc>
          <w:tcPr>
            <w:tcW w:w="1776" w:type="dxa"/>
            <w:tcBorders>
              <w:tl2br w:val="nil"/>
              <w:tr2bl w:val="nil"/>
            </w:tcBorders>
            <w:noWrap/>
            <w:vAlign w:val="center"/>
          </w:tcPr>
          <w:p w14:paraId="266C4988">
            <w:pPr>
              <w:rPr>
                <w:rFonts w:hint="eastAsia" w:ascii="宋体" w:hAnsi="宋体" w:cs="宋体"/>
                <w:color w:val="auto"/>
                <w:szCs w:val="21"/>
                <w:shd w:val="clear" w:color="auto" w:fill="FFFFFF" w:themeFill="background1"/>
              </w:rPr>
            </w:pPr>
            <w:r>
              <w:rPr>
                <w:rFonts w:hint="eastAsia" w:ascii="宋体" w:hAnsi="宋体" w:cs="宋体"/>
                <w:color w:val="auto"/>
                <w:szCs w:val="21"/>
                <w:shd w:val="clear" w:color="auto" w:fill="FFFFFF" w:themeFill="background1"/>
              </w:rPr>
              <w:t>螺旋桨式舷外机≥40马力（短轴）</w:t>
            </w:r>
          </w:p>
        </w:tc>
        <w:tc>
          <w:tcPr>
            <w:tcW w:w="960" w:type="dxa"/>
            <w:tcBorders>
              <w:tl2br w:val="nil"/>
              <w:tr2bl w:val="nil"/>
            </w:tcBorders>
            <w:noWrap/>
            <w:vAlign w:val="center"/>
          </w:tcPr>
          <w:p w14:paraId="38E7FD0A">
            <w:pPr>
              <w:keepNext w:val="0"/>
              <w:keepLines w:val="0"/>
              <w:widowControl/>
              <w:suppressLineNumbers w:val="0"/>
              <w:jc w:val="center"/>
              <w:textAlignment w:val="center"/>
              <w:rPr>
                <w:rFonts w:hint="eastAsia" w:ascii="宋体" w:hAnsi="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1248" w:type="dxa"/>
            <w:tcBorders>
              <w:tl2br w:val="nil"/>
              <w:tr2bl w:val="nil"/>
            </w:tcBorders>
            <w:noWrap/>
            <w:vAlign w:val="center"/>
          </w:tcPr>
          <w:p w14:paraId="32A81858">
            <w:pPr>
              <w:keepNext w:val="0"/>
              <w:keepLines w:val="0"/>
              <w:widowControl/>
              <w:suppressLineNumbers w:val="0"/>
              <w:jc w:val="center"/>
              <w:textAlignment w:val="center"/>
              <w:rPr>
                <w:rFonts w:hint="eastAsia" w:ascii="宋体" w:hAnsi="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35</w:t>
            </w:r>
          </w:p>
        </w:tc>
        <w:tc>
          <w:tcPr>
            <w:tcW w:w="1152" w:type="dxa"/>
            <w:tcBorders>
              <w:tl2br w:val="nil"/>
              <w:tr2bl w:val="nil"/>
            </w:tcBorders>
            <w:noWrap/>
            <w:vAlign w:val="center"/>
          </w:tcPr>
          <w:p w14:paraId="597B2AEC">
            <w:pPr>
              <w:keepNext w:val="0"/>
              <w:keepLines w:val="0"/>
              <w:widowControl/>
              <w:suppressLineNumbers w:val="0"/>
              <w:jc w:val="center"/>
              <w:textAlignment w:val="center"/>
              <w:rPr>
                <w:rFonts w:hint="eastAsia"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35</w:t>
            </w:r>
          </w:p>
        </w:tc>
        <w:tc>
          <w:tcPr>
            <w:tcW w:w="1164" w:type="dxa"/>
            <w:vMerge w:val="continue"/>
            <w:tcBorders>
              <w:tl2br w:val="nil"/>
              <w:tr2bl w:val="nil"/>
            </w:tcBorders>
            <w:noWrap/>
            <w:vAlign w:val="center"/>
          </w:tcPr>
          <w:p w14:paraId="1BDF04CD">
            <w:pPr>
              <w:jc w:val="center"/>
              <w:rPr>
                <w:rFonts w:hint="eastAsia" w:ascii="宋体" w:hAnsi="宋体" w:cs="宋体"/>
                <w:color w:val="auto"/>
                <w:szCs w:val="21"/>
              </w:rPr>
            </w:pPr>
          </w:p>
        </w:tc>
        <w:tc>
          <w:tcPr>
            <w:tcW w:w="888" w:type="dxa"/>
            <w:vMerge w:val="continue"/>
            <w:tcBorders>
              <w:tl2br w:val="nil"/>
              <w:tr2bl w:val="nil"/>
            </w:tcBorders>
            <w:noWrap/>
            <w:vAlign w:val="center"/>
          </w:tcPr>
          <w:p w14:paraId="17DF1943">
            <w:pPr>
              <w:widowControl/>
              <w:jc w:val="center"/>
              <w:textAlignment w:val="center"/>
              <w:rPr>
                <w:rFonts w:ascii="宋体" w:hAnsi="宋体" w:cs="宋体"/>
                <w:color w:val="auto"/>
                <w:kern w:val="0"/>
                <w:szCs w:val="21"/>
              </w:rPr>
            </w:pPr>
          </w:p>
        </w:tc>
      </w:tr>
      <w:tr w14:paraId="5148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2F0B5A36">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275E272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4CC81F8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水域救援个人携行包</w:t>
            </w:r>
          </w:p>
        </w:tc>
        <w:tc>
          <w:tcPr>
            <w:tcW w:w="960" w:type="dxa"/>
            <w:tcBorders>
              <w:tl2br w:val="nil"/>
              <w:tr2bl w:val="nil"/>
            </w:tcBorders>
            <w:shd w:val="clear" w:color="auto" w:fill="auto"/>
            <w:noWrap/>
            <w:vAlign w:val="center"/>
          </w:tcPr>
          <w:p w14:paraId="20C8ECA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54</w:t>
            </w:r>
          </w:p>
        </w:tc>
        <w:tc>
          <w:tcPr>
            <w:tcW w:w="1248" w:type="dxa"/>
            <w:tcBorders>
              <w:tl2br w:val="nil"/>
              <w:tr2bl w:val="nil"/>
            </w:tcBorders>
            <w:shd w:val="clear" w:color="auto" w:fill="auto"/>
            <w:noWrap/>
            <w:vAlign w:val="center"/>
          </w:tcPr>
          <w:p w14:paraId="67E1D2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0.2</w:t>
            </w:r>
          </w:p>
        </w:tc>
        <w:tc>
          <w:tcPr>
            <w:tcW w:w="1152" w:type="dxa"/>
            <w:tcBorders>
              <w:tl2br w:val="nil"/>
              <w:tr2bl w:val="nil"/>
            </w:tcBorders>
            <w:shd w:val="clear" w:color="auto" w:fill="auto"/>
            <w:noWrap/>
            <w:vAlign w:val="center"/>
          </w:tcPr>
          <w:p w14:paraId="0AF159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10.8</w:t>
            </w:r>
          </w:p>
        </w:tc>
        <w:tc>
          <w:tcPr>
            <w:tcW w:w="1164" w:type="dxa"/>
            <w:vMerge w:val="continue"/>
            <w:tcBorders>
              <w:tl2br w:val="nil"/>
              <w:tr2bl w:val="nil"/>
            </w:tcBorders>
            <w:noWrap/>
            <w:vAlign w:val="center"/>
          </w:tcPr>
          <w:p w14:paraId="354236AE">
            <w:pPr>
              <w:jc w:val="center"/>
              <w:rPr>
                <w:rFonts w:hint="eastAsia" w:ascii="宋体" w:hAnsi="宋体" w:cs="宋体"/>
                <w:color w:val="auto"/>
                <w:szCs w:val="21"/>
              </w:rPr>
            </w:pPr>
          </w:p>
        </w:tc>
        <w:tc>
          <w:tcPr>
            <w:tcW w:w="888" w:type="dxa"/>
            <w:vMerge w:val="continue"/>
            <w:tcBorders>
              <w:tl2br w:val="nil"/>
              <w:tr2bl w:val="nil"/>
            </w:tcBorders>
            <w:noWrap/>
            <w:vAlign w:val="center"/>
          </w:tcPr>
          <w:p w14:paraId="039B6172">
            <w:pPr>
              <w:widowControl/>
              <w:jc w:val="center"/>
              <w:textAlignment w:val="center"/>
              <w:rPr>
                <w:rFonts w:ascii="宋体" w:hAnsi="宋体" w:cs="宋体"/>
                <w:color w:val="auto"/>
                <w:kern w:val="0"/>
                <w:szCs w:val="21"/>
              </w:rPr>
            </w:pPr>
          </w:p>
        </w:tc>
      </w:tr>
      <w:tr w14:paraId="5462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4263DBC6">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03210AB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3792C2F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消防用救生衣</w:t>
            </w:r>
          </w:p>
        </w:tc>
        <w:tc>
          <w:tcPr>
            <w:tcW w:w="960" w:type="dxa"/>
            <w:tcBorders>
              <w:tl2br w:val="nil"/>
              <w:tr2bl w:val="nil"/>
            </w:tcBorders>
            <w:shd w:val="clear" w:color="auto" w:fill="auto"/>
            <w:noWrap/>
            <w:vAlign w:val="center"/>
          </w:tcPr>
          <w:p w14:paraId="03188A9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248" w:type="dxa"/>
            <w:tcBorders>
              <w:tl2br w:val="nil"/>
              <w:tr2bl w:val="nil"/>
            </w:tcBorders>
            <w:shd w:val="clear" w:color="auto" w:fill="auto"/>
            <w:noWrap/>
            <w:vAlign w:val="center"/>
          </w:tcPr>
          <w:p w14:paraId="260E20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0.07</w:t>
            </w:r>
          </w:p>
        </w:tc>
        <w:tc>
          <w:tcPr>
            <w:tcW w:w="1152" w:type="dxa"/>
            <w:tcBorders>
              <w:tl2br w:val="nil"/>
              <w:tr2bl w:val="nil"/>
            </w:tcBorders>
            <w:shd w:val="clear" w:color="auto" w:fill="auto"/>
            <w:noWrap/>
            <w:vAlign w:val="center"/>
          </w:tcPr>
          <w:p w14:paraId="4D67D2C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0.7</w:t>
            </w:r>
          </w:p>
        </w:tc>
        <w:tc>
          <w:tcPr>
            <w:tcW w:w="1164" w:type="dxa"/>
            <w:vMerge w:val="continue"/>
            <w:tcBorders>
              <w:tl2br w:val="nil"/>
              <w:tr2bl w:val="nil"/>
            </w:tcBorders>
            <w:noWrap/>
            <w:vAlign w:val="center"/>
          </w:tcPr>
          <w:p w14:paraId="03AD16F6">
            <w:pPr>
              <w:jc w:val="center"/>
              <w:rPr>
                <w:rFonts w:hint="eastAsia" w:ascii="宋体" w:hAnsi="宋体" w:cs="宋体"/>
                <w:color w:val="auto"/>
                <w:szCs w:val="21"/>
              </w:rPr>
            </w:pPr>
          </w:p>
        </w:tc>
        <w:tc>
          <w:tcPr>
            <w:tcW w:w="888" w:type="dxa"/>
            <w:vMerge w:val="continue"/>
            <w:tcBorders>
              <w:tl2br w:val="nil"/>
              <w:tr2bl w:val="nil"/>
            </w:tcBorders>
            <w:noWrap/>
            <w:vAlign w:val="center"/>
          </w:tcPr>
          <w:p w14:paraId="5F48E8F6">
            <w:pPr>
              <w:widowControl/>
              <w:jc w:val="center"/>
              <w:textAlignment w:val="center"/>
              <w:rPr>
                <w:rFonts w:ascii="宋体" w:hAnsi="宋体" w:cs="宋体"/>
                <w:color w:val="auto"/>
                <w:kern w:val="0"/>
                <w:szCs w:val="21"/>
              </w:rPr>
            </w:pPr>
          </w:p>
        </w:tc>
      </w:tr>
      <w:tr w14:paraId="5A52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2EA3221C">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266E713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1142FE5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水域救援漂浮救生绳（100米）</w:t>
            </w:r>
          </w:p>
        </w:tc>
        <w:tc>
          <w:tcPr>
            <w:tcW w:w="960" w:type="dxa"/>
            <w:tcBorders>
              <w:tl2br w:val="nil"/>
              <w:tr2bl w:val="nil"/>
            </w:tcBorders>
            <w:shd w:val="clear" w:color="auto" w:fill="auto"/>
            <w:noWrap/>
            <w:vAlign w:val="center"/>
          </w:tcPr>
          <w:p w14:paraId="58E9FEC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1248" w:type="dxa"/>
            <w:tcBorders>
              <w:tl2br w:val="nil"/>
              <w:tr2bl w:val="nil"/>
            </w:tcBorders>
            <w:shd w:val="clear" w:color="auto" w:fill="auto"/>
            <w:noWrap/>
            <w:vAlign w:val="center"/>
          </w:tcPr>
          <w:p w14:paraId="5683B1B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0.0845</w:t>
            </w:r>
          </w:p>
        </w:tc>
        <w:tc>
          <w:tcPr>
            <w:tcW w:w="1152" w:type="dxa"/>
            <w:tcBorders>
              <w:tl2br w:val="nil"/>
              <w:tr2bl w:val="nil"/>
            </w:tcBorders>
            <w:shd w:val="clear" w:color="auto" w:fill="auto"/>
            <w:noWrap/>
            <w:vAlign w:val="center"/>
          </w:tcPr>
          <w:p w14:paraId="627311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1.352</w:t>
            </w:r>
          </w:p>
        </w:tc>
        <w:tc>
          <w:tcPr>
            <w:tcW w:w="1164" w:type="dxa"/>
            <w:vMerge w:val="continue"/>
            <w:tcBorders>
              <w:tl2br w:val="nil"/>
              <w:tr2bl w:val="nil"/>
            </w:tcBorders>
            <w:noWrap/>
            <w:vAlign w:val="center"/>
          </w:tcPr>
          <w:p w14:paraId="512E18F1">
            <w:pPr>
              <w:jc w:val="center"/>
              <w:rPr>
                <w:rFonts w:hint="eastAsia" w:ascii="宋体" w:hAnsi="宋体" w:cs="宋体"/>
                <w:color w:val="auto"/>
                <w:szCs w:val="21"/>
              </w:rPr>
            </w:pPr>
          </w:p>
        </w:tc>
        <w:tc>
          <w:tcPr>
            <w:tcW w:w="888" w:type="dxa"/>
            <w:vMerge w:val="continue"/>
            <w:tcBorders>
              <w:tl2br w:val="nil"/>
              <w:tr2bl w:val="nil"/>
            </w:tcBorders>
            <w:noWrap/>
            <w:vAlign w:val="center"/>
          </w:tcPr>
          <w:p w14:paraId="07EC9EFB">
            <w:pPr>
              <w:widowControl/>
              <w:jc w:val="center"/>
              <w:textAlignment w:val="center"/>
              <w:rPr>
                <w:rFonts w:ascii="宋体" w:hAnsi="宋体" w:cs="宋体"/>
                <w:color w:val="auto"/>
                <w:kern w:val="0"/>
                <w:szCs w:val="21"/>
              </w:rPr>
            </w:pPr>
          </w:p>
        </w:tc>
      </w:tr>
      <w:tr w14:paraId="4CEC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6250D951">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779F806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524F657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消防员水域救援防护服</w:t>
            </w:r>
          </w:p>
        </w:tc>
        <w:tc>
          <w:tcPr>
            <w:tcW w:w="960" w:type="dxa"/>
            <w:tcBorders>
              <w:tl2br w:val="nil"/>
              <w:tr2bl w:val="nil"/>
            </w:tcBorders>
            <w:shd w:val="clear" w:color="auto" w:fill="auto"/>
            <w:noWrap/>
            <w:vAlign w:val="center"/>
          </w:tcPr>
          <w:p w14:paraId="2BD3BC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248" w:type="dxa"/>
            <w:tcBorders>
              <w:tl2br w:val="nil"/>
              <w:tr2bl w:val="nil"/>
            </w:tcBorders>
            <w:shd w:val="clear" w:color="auto" w:fill="auto"/>
            <w:noWrap/>
            <w:vAlign w:val="center"/>
          </w:tcPr>
          <w:p w14:paraId="1FF290A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0.06</w:t>
            </w:r>
          </w:p>
        </w:tc>
        <w:tc>
          <w:tcPr>
            <w:tcW w:w="1152" w:type="dxa"/>
            <w:tcBorders>
              <w:tl2br w:val="nil"/>
              <w:tr2bl w:val="nil"/>
            </w:tcBorders>
            <w:shd w:val="clear" w:color="auto" w:fill="auto"/>
            <w:noWrap/>
            <w:vAlign w:val="center"/>
          </w:tcPr>
          <w:p w14:paraId="1F96FEE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0.6</w:t>
            </w:r>
          </w:p>
        </w:tc>
        <w:tc>
          <w:tcPr>
            <w:tcW w:w="1164" w:type="dxa"/>
            <w:vMerge w:val="continue"/>
            <w:tcBorders>
              <w:tl2br w:val="nil"/>
              <w:tr2bl w:val="nil"/>
            </w:tcBorders>
            <w:noWrap/>
            <w:vAlign w:val="center"/>
          </w:tcPr>
          <w:p w14:paraId="78CEBD43">
            <w:pPr>
              <w:jc w:val="center"/>
              <w:rPr>
                <w:rFonts w:hint="eastAsia" w:ascii="宋体" w:hAnsi="宋体" w:cs="宋体"/>
                <w:color w:val="auto"/>
                <w:szCs w:val="21"/>
              </w:rPr>
            </w:pPr>
          </w:p>
        </w:tc>
        <w:tc>
          <w:tcPr>
            <w:tcW w:w="888" w:type="dxa"/>
            <w:vMerge w:val="continue"/>
            <w:tcBorders>
              <w:tl2br w:val="nil"/>
              <w:tr2bl w:val="nil"/>
            </w:tcBorders>
            <w:noWrap/>
            <w:vAlign w:val="center"/>
          </w:tcPr>
          <w:p w14:paraId="0C604240">
            <w:pPr>
              <w:widowControl/>
              <w:jc w:val="center"/>
              <w:textAlignment w:val="center"/>
              <w:rPr>
                <w:rFonts w:ascii="宋体" w:hAnsi="宋体" w:cs="宋体"/>
                <w:color w:val="auto"/>
                <w:kern w:val="0"/>
                <w:szCs w:val="21"/>
              </w:rPr>
            </w:pPr>
          </w:p>
        </w:tc>
      </w:tr>
      <w:tr w14:paraId="6261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7C81379D">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5474262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0F22DF8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水域救援服（速干型）</w:t>
            </w:r>
          </w:p>
        </w:tc>
        <w:tc>
          <w:tcPr>
            <w:tcW w:w="960" w:type="dxa"/>
            <w:tcBorders>
              <w:tl2br w:val="nil"/>
              <w:tr2bl w:val="nil"/>
            </w:tcBorders>
            <w:shd w:val="clear" w:color="auto" w:fill="auto"/>
            <w:noWrap/>
            <w:vAlign w:val="center"/>
          </w:tcPr>
          <w:p w14:paraId="53D990F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248" w:type="dxa"/>
            <w:tcBorders>
              <w:tl2br w:val="nil"/>
              <w:tr2bl w:val="nil"/>
            </w:tcBorders>
            <w:shd w:val="clear" w:color="auto" w:fill="auto"/>
            <w:noWrap/>
            <w:vAlign w:val="center"/>
          </w:tcPr>
          <w:p w14:paraId="47C1FB3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0.076</w:t>
            </w:r>
          </w:p>
        </w:tc>
        <w:tc>
          <w:tcPr>
            <w:tcW w:w="1152" w:type="dxa"/>
            <w:tcBorders>
              <w:tl2br w:val="nil"/>
              <w:tr2bl w:val="nil"/>
            </w:tcBorders>
            <w:shd w:val="clear" w:color="auto" w:fill="auto"/>
            <w:noWrap/>
            <w:vAlign w:val="center"/>
          </w:tcPr>
          <w:p w14:paraId="73AC9D3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0.38</w:t>
            </w:r>
          </w:p>
        </w:tc>
        <w:tc>
          <w:tcPr>
            <w:tcW w:w="1164" w:type="dxa"/>
            <w:vMerge w:val="continue"/>
            <w:tcBorders>
              <w:tl2br w:val="nil"/>
              <w:tr2bl w:val="nil"/>
            </w:tcBorders>
            <w:noWrap/>
            <w:vAlign w:val="center"/>
          </w:tcPr>
          <w:p w14:paraId="174C06AE">
            <w:pPr>
              <w:jc w:val="center"/>
              <w:rPr>
                <w:rFonts w:hint="eastAsia" w:ascii="宋体" w:hAnsi="宋体" w:cs="宋体"/>
                <w:color w:val="auto"/>
                <w:szCs w:val="21"/>
              </w:rPr>
            </w:pPr>
          </w:p>
        </w:tc>
        <w:tc>
          <w:tcPr>
            <w:tcW w:w="888" w:type="dxa"/>
            <w:vMerge w:val="continue"/>
            <w:tcBorders>
              <w:tl2br w:val="nil"/>
              <w:tr2bl w:val="nil"/>
            </w:tcBorders>
            <w:noWrap/>
            <w:vAlign w:val="center"/>
          </w:tcPr>
          <w:p w14:paraId="523B035A">
            <w:pPr>
              <w:widowControl/>
              <w:jc w:val="center"/>
              <w:textAlignment w:val="center"/>
              <w:rPr>
                <w:rFonts w:ascii="宋体" w:hAnsi="宋体" w:cs="宋体"/>
                <w:color w:val="auto"/>
                <w:kern w:val="0"/>
                <w:szCs w:val="21"/>
              </w:rPr>
            </w:pPr>
          </w:p>
        </w:tc>
      </w:tr>
      <w:tr w14:paraId="708B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vMerge w:val="continue"/>
            <w:tcBorders>
              <w:tl2br w:val="nil"/>
              <w:tr2bl w:val="nil"/>
            </w:tcBorders>
            <w:noWrap/>
            <w:vAlign w:val="center"/>
          </w:tcPr>
          <w:p w14:paraId="693172FB">
            <w:pPr>
              <w:jc w:val="center"/>
              <w:rPr>
                <w:rFonts w:hint="eastAsia" w:ascii="宋体" w:hAnsi="宋体" w:cs="宋体"/>
                <w:color w:val="auto"/>
                <w:szCs w:val="21"/>
              </w:rPr>
            </w:pPr>
          </w:p>
        </w:tc>
        <w:tc>
          <w:tcPr>
            <w:tcW w:w="1776" w:type="dxa"/>
            <w:vMerge w:val="continue"/>
            <w:tcBorders>
              <w:tl2br w:val="nil"/>
              <w:tr2bl w:val="nil"/>
            </w:tcBorders>
            <w:shd w:val="clear" w:color="auto" w:fill="auto"/>
            <w:noWrap/>
            <w:vAlign w:val="center"/>
          </w:tcPr>
          <w:p w14:paraId="5E51134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shd w:val="clear" w:color="auto" w:fill="auto"/>
            <w:noWrap/>
            <w:vAlign w:val="center"/>
          </w:tcPr>
          <w:p w14:paraId="257483D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水面遥控救援机器人</w:t>
            </w:r>
          </w:p>
        </w:tc>
        <w:tc>
          <w:tcPr>
            <w:tcW w:w="960" w:type="dxa"/>
            <w:tcBorders>
              <w:tl2br w:val="nil"/>
              <w:tr2bl w:val="nil"/>
            </w:tcBorders>
            <w:shd w:val="clear" w:color="auto" w:fill="auto"/>
            <w:noWrap/>
            <w:vAlign w:val="center"/>
          </w:tcPr>
          <w:p w14:paraId="0BBCBB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248" w:type="dxa"/>
            <w:tcBorders>
              <w:tl2br w:val="nil"/>
              <w:tr2bl w:val="nil"/>
            </w:tcBorders>
            <w:shd w:val="clear" w:color="auto" w:fill="auto"/>
            <w:noWrap/>
            <w:vAlign w:val="center"/>
          </w:tcPr>
          <w:p w14:paraId="67BE7AD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152" w:type="dxa"/>
            <w:tcBorders>
              <w:tl2br w:val="nil"/>
              <w:tr2bl w:val="nil"/>
            </w:tcBorders>
            <w:shd w:val="clear" w:color="auto" w:fill="auto"/>
            <w:noWrap/>
            <w:vAlign w:val="center"/>
          </w:tcPr>
          <w:p w14:paraId="39EDC8B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164" w:type="dxa"/>
            <w:vMerge w:val="continue"/>
            <w:tcBorders>
              <w:tl2br w:val="nil"/>
              <w:tr2bl w:val="nil"/>
            </w:tcBorders>
            <w:noWrap/>
            <w:vAlign w:val="center"/>
          </w:tcPr>
          <w:p w14:paraId="6056FE36">
            <w:pPr>
              <w:jc w:val="center"/>
              <w:rPr>
                <w:rFonts w:hint="eastAsia" w:ascii="宋体" w:hAnsi="宋体" w:cs="宋体"/>
                <w:color w:val="auto"/>
                <w:szCs w:val="21"/>
              </w:rPr>
            </w:pPr>
          </w:p>
        </w:tc>
        <w:tc>
          <w:tcPr>
            <w:tcW w:w="888" w:type="dxa"/>
            <w:vMerge w:val="continue"/>
            <w:tcBorders>
              <w:tl2br w:val="nil"/>
              <w:tr2bl w:val="nil"/>
            </w:tcBorders>
            <w:noWrap/>
            <w:vAlign w:val="center"/>
          </w:tcPr>
          <w:p w14:paraId="58A7E819">
            <w:pPr>
              <w:widowControl/>
              <w:jc w:val="center"/>
              <w:textAlignment w:val="center"/>
              <w:rPr>
                <w:rFonts w:ascii="宋体" w:hAnsi="宋体" w:cs="宋体"/>
                <w:color w:val="auto"/>
                <w:kern w:val="0"/>
                <w:szCs w:val="21"/>
              </w:rPr>
            </w:pPr>
          </w:p>
        </w:tc>
      </w:tr>
      <w:tr w14:paraId="4538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restart"/>
            <w:tcBorders>
              <w:tl2br w:val="nil"/>
              <w:tr2bl w:val="nil"/>
            </w:tcBorders>
            <w:noWrap/>
            <w:vAlign w:val="center"/>
          </w:tcPr>
          <w:p w14:paraId="0BC42959">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1776" w:type="dxa"/>
            <w:vMerge w:val="restart"/>
            <w:tcBorders>
              <w:tl2br w:val="nil"/>
              <w:tr2bl w:val="nil"/>
            </w:tcBorders>
            <w:noWrap/>
            <w:vAlign w:val="center"/>
          </w:tcPr>
          <w:p w14:paraId="74D1E3B6">
            <w:pPr>
              <w:keepNext w:val="0"/>
              <w:keepLines w:val="0"/>
              <w:widowControl/>
              <w:suppressLineNumbers w:val="0"/>
              <w:jc w:val="left"/>
              <w:textAlignment w:val="center"/>
              <w:rPr>
                <w:rFonts w:hint="default" w:ascii="宋体" w:hAnsi="宋体" w:cs="宋体"/>
                <w:color w:val="auto"/>
                <w:szCs w:val="21"/>
                <w:shd w:val="clear" w:color="auto" w:fill="FFFFFF" w:themeFill="background1"/>
                <w:lang w:val="en-US"/>
              </w:rPr>
            </w:pPr>
            <w:r>
              <w:rPr>
                <w:rFonts w:hint="eastAsia" w:ascii="宋体" w:hAnsi="宋体" w:eastAsia="宋体" w:cs="宋体"/>
                <w:i w:val="0"/>
                <w:iCs w:val="0"/>
                <w:color w:val="auto"/>
                <w:kern w:val="0"/>
                <w:sz w:val="21"/>
                <w:szCs w:val="21"/>
                <w:u w:val="none"/>
                <w:lang w:val="en-US" w:eastAsia="zh-CN" w:bidi="ar"/>
              </w:rPr>
              <w:t>止坠器</w:t>
            </w:r>
            <w:r>
              <w:rPr>
                <w:rFonts w:hint="eastAsia" w:ascii="宋体" w:hAnsi="宋体" w:cs="宋体"/>
                <w:i w:val="0"/>
                <w:iCs w:val="0"/>
                <w:color w:val="auto"/>
                <w:kern w:val="0"/>
                <w:sz w:val="21"/>
                <w:szCs w:val="21"/>
                <w:u w:val="none"/>
                <w:lang w:val="en-US" w:eastAsia="zh-CN" w:bidi="ar"/>
              </w:rPr>
              <w:t>等设备</w:t>
            </w:r>
          </w:p>
        </w:tc>
        <w:tc>
          <w:tcPr>
            <w:tcW w:w="1776" w:type="dxa"/>
            <w:tcBorders>
              <w:tl2br w:val="nil"/>
              <w:tr2bl w:val="nil"/>
            </w:tcBorders>
            <w:noWrap/>
            <w:vAlign w:val="center"/>
          </w:tcPr>
          <w:p w14:paraId="277B06D1">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cs="宋体"/>
                <w:color w:val="auto"/>
                <w:szCs w:val="21"/>
                <w:shd w:val="clear" w:color="auto" w:fill="FFFFFF" w:themeFill="background1"/>
              </w:rPr>
              <w:t>●</w:t>
            </w:r>
            <w:r>
              <w:rPr>
                <w:rFonts w:hint="eastAsia" w:ascii="宋体" w:hAnsi="宋体" w:eastAsia="宋体" w:cs="宋体"/>
                <w:i w:val="0"/>
                <w:iCs w:val="0"/>
                <w:color w:val="auto"/>
                <w:kern w:val="0"/>
                <w:sz w:val="21"/>
                <w:szCs w:val="21"/>
                <w:u w:val="none"/>
                <w:lang w:val="en-US" w:eastAsia="zh-CN" w:bidi="ar"/>
              </w:rPr>
              <w:t>止坠器</w:t>
            </w:r>
          </w:p>
        </w:tc>
        <w:tc>
          <w:tcPr>
            <w:tcW w:w="960" w:type="dxa"/>
            <w:tcBorders>
              <w:tl2br w:val="nil"/>
              <w:tr2bl w:val="nil"/>
            </w:tcBorders>
            <w:noWrap/>
            <w:vAlign w:val="center"/>
          </w:tcPr>
          <w:p w14:paraId="29AF0CB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1248" w:type="dxa"/>
            <w:tcBorders>
              <w:tl2br w:val="nil"/>
              <w:tr2bl w:val="nil"/>
            </w:tcBorders>
            <w:noWrap/>
            <w:vAlign w:val="center"/>
          </w:tcPr>
          <w:p w14:paraId="700C60D5">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0.38</w:t>
            </w:r>
          </w:p>
        </w:tc>
        <w:tc>
          <w:tcPr>
            <w:tcW w:w="1152" w:type="dxa"/>
            <w:tcBorders>
              <w:tl2br w:val="nil"/>
              <w:tr2bl w:val="nil"/>
            </w:tcBorders>
            <w:noWrap/>
            <w:vAlign w:val="center"/>
          </w:tcPr>
          <w:p w14:paraId="09914D2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164" w:type="dxa"/>
            <w:vMerge w:val="restart"/>
            <w:tcBorders>
              <w:tl2br w:val="nil"/>
              <w:tr2bl w:val="nil"/>
            </w:tcBorders>
            <w:noWrap/>
            <w:vAlign w:val="center"/>
          </w:tcPr>
          <w:p w14:paraId="3A8A96E1">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24.6365</w:t>
            </w:r>
          </w:p>
        </w:tc>
        <w:tc>
          <w:tcPr>
            <w:tcW w:w="888" w:type="dxa"/>
            <w:vMerge w:val="continue"/>
            <w:tcBorders>
              <w:tl2br w:val="nil"/>
              <w:tr2bl w:val="nil"/>
            </w:tcBorders>
            <w:noWrap/>
            <w:vAlign w:val="center"/>
          </w:tcPr>
          <w:p w14:paraId="6DAB63A8">
            <w:pPr>
              <w:widowControl/>
              <w:jc w:val="center"/>
              <w:textAlignment w:val="center"/>
              <w:rPr>
                <w:rFonts w:ascii="宋体" w:hAnsi="宋体" w:cs="宋体"/>
                <w:color w:val="auto"/>
                <w:kern w:val="0"/>
                <w:szCs w:val="21"/>
              </w:rPr>
            </w:pPr>
          </w:p>
        </w:tc>
      </w:tr>
      <w:tr w14:paraId="1F57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762F1B94">
            <w:pPr>
              <w:jc w:val="center"/>
              <w:rPr>
                <w:rFonts w:hint="eastAsia" w:ascii="宋体" w:hAnsi="宋体" w:cs="宋体"/>
                <w:color w:val="auto"/>
                <w:szCs w:val="21"/>
              </w:rPr>
            </w:pPr>
          </w:p>
        </w:tc>
        <w:tc>
          <w:tcPr>
            <w:tcW w:w="1776" w:type="dxa"/>
            <w:vMerge w:val="continue"/>
            <w:tcBorders>
              <w:tl2br w:val="nil"/>
              <w:tr2bl w:val="nil"/>
            </w:tcBorders>
            <w:noWrap/>
            <w:vAlign w:val="center"/>
          </w:tcPr>
          <w:p w14:paraId="51F5556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noWrap/>
            <w:vAlign w:val="center"/>
          </w:tcPr>
          <w:p w14:paraId="39C3E34C">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锚点扁带</w:t>
            </w:r>
          </w:p>
        </w:tc>
        <w:tc>
          <w:tcPr>
            <w:tcW w:w="960" w:type="dxa"/>
            <w:tcBorders>
              <w:tl2br w:val="nil"/>
              <w:tr2bl w:val="nil"/>
            </w:tcBorders>
            <w:noWrap/>
            <w:vAlign w:val="center"/>
          </w:tcPr>
          <w:p w14:paraId="34809FC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81</w:t>
            </w:r>
          </w:p>
        </w:tc>
        <w:tc>
          <w:tcPr>
            <w:tcW w:w="1248" w:type="dxa"/>
            <w:tcBorders>
              <w:tl2br w:val="nil"/>
              <w:tr2bl w:val="nil"/>
            </w:tcBorders>
            <w:noWrap/>
            <w:vAlign w:val="center"/>
          </w:tcPr>
          <w:p w14:paraId="585866B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0.0265</w:t>
            </w:r>
          </w:p>
        </w:tc>
        <w:tc>
          <w:tcPr>
            <w:tcW w:w="1152" w:type="dxa"/>
            <w:tcBorders>
              <w:tl2br w:val="nil"/>
              <w:tr2bl w:val="nil"/>
            </w:tcBorders>
            <w:noWrap/>
            <w:vAlign w:val="center"/>
          </w:tcPr>
          <w:p w14:paraId="4FA8D02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2.1465</w:t>
            </w:r>
          </w:p>
        </w:tc>
        <w:tc>
          <w:tcPr>
            <w:tcW w:w="1164" w:type="dxa"/>
            <w:vMerge w:val="continue"/>
            <w:tcBorders>
              <w:tl2br w:val="nil"/>
              <w:tr2bl w:val="nil"/>
            </w:tcBorders>
            <w:noWrap/>
            <w:vAlign w:val="center"/>
          </w:tcPr>
          <w:p w14:paraId="0B112B49">
            <w:pPr>
              <w:jc w:val="center"/>
              <w:rPr>
                <w:rFonts w:hint="eastAsia" w:ascii="宋体" w:hAnsi="宋体" w:cs="宋体"/>
                <w:color w:val="auto"/>
                <w:szCs w:val="21"/>
              </w:rPr>
            </w:pPr>
          </w:p>
        </w:tc>
        <w:tc>
          <w:tcPr>
            <w:tcW w:w="888" w:type="dxa"/>
            <w:vMerge w:val="continue"/>
            <w:tcBorders>
              <w:tl2br w:val="nil"/>
              <w:tr2bl w:val="nil"/>
            </w:tcBorders>
            <w:noWrap/>
            <w:vAlign w:val="center"/>
          </w:tcPr>
          <w:p w14:paraId="5EC2C7D1">
            <w:pPr>
              <w:widowControl/>
              <w:jc w:val="center"/>
              <w:textAlignment w:val="center"/>
              <w:rPr>
                <w:rFonts w:ascii="宋体" w:hAnsi="宋体" w:cs="宋体"/>
                <w:color w:val="auto"/>
                <w:kern w:val="0"/>
                <w:szCs w:val="21"/>
              </w:rPr>
            </w:pPr>
          </w:p>
        </w:tc>
      </w:tr>
      <w:tr w14:paraId="78C0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523F81FE">
            <w:pPr>
              <w:jc w:val="center"/>
              <w:rPr>
                <w:rFonts w:hint="eastAsia" w:ascii="宋体" w:hAnsi="宋体" w:cs="宋体"/>
                <w:color w:val="auto"/>
                <w:szCs w:val="21"/>
              </w:rPr>
            </w:pPr>
          </w:p>
        </w:tc>
        <w:tc>
          <w:tcPr>
            <w:tcW w:w="1776" w:type="dxa"/>
            <w:vMerge w:val="continue"/>
            <w:tcBorders>
              <w:tl2br w:val="nil"/>
              <w:tr2bl w:val="nil"/>
            </w:tcBorders>
            <w:noWrap/>
            <w:vAlign w:val="center"/>
          </w:tcPr>
          <w:p w14:paraId="5E958D9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noWrap/>
            <w:vAlign w:val="center"/>
          </w:tcPr>
          <w:p w14:paraId="3261AD92">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脚踏绳</w:t>
            </w:r>
          </w:p>
        </w:tc>
        <w:tc>
          <w:tcPr>
            <w:tcW w:w="960" w:type="dxa"/>
            <w:tcBorders>
              <w:tl2br w:val="nil"/>
              <w:tr2bl w:val="nil"/>
            </w:tcBorders>
            <w:noWrap/>
            <w:vAlign w:val="center"/>
          </w:tcPr>
          <w:p w14:paraId="152D9A1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248" w:type="dxa"/>
            <w:tcBorders>
              <w:tl2br w:val="nil"/>
              <w:tr2bl w:val="nil"/>
            </w:tcBorders>
            <w:noWrap/>
            <w:vAlign w:val="center"/>
          </w:tcPr>
          <w:p w14:paraId="35660E99">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0.045</w:t>
            </w:r>
          </w:p>
        </w:tc>
        <w:tc>
          <w:tcPr>
            <w:tcW w:w="1152" w:type="dxa"/>
            <w:tcBorders>
              <w:tl2br w:val="nil"/>
              <w:tr2bl w:val="nil"/>
            </w:tcBorders>
            <w:noWrap/>
            <w:vAlign w:val="center"/>
          </w:tcPr>
          <w:p w14:paraId="6C8569D7">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0.45</w:t>
            </w:r>
          </w:p>
        </w:tc>
        <w:tc>
          <w:tcPr>
            <w:tcW w:w="1164" w:type="dxa"/>
            <w:vMerge w:val="continue"/>
            <w:tcBorders>
              <w:tl2br w:val="nil"/>
              <w:tr2bl w:val="nil"/>
            </w:tcBorders>
            <w:noWrap/>
            <w:vAlign w:val="center"/>
          </w:tcPr>
          <w:p w14:paraId="4DC8AF89">
            <w:pPr>
              <w:jc w:val="center"/>
              <w:rPr>
                <w:rFonts w:hint="eastAsia" w:ascii="宋体" w:hAnsi="宋体" w:cs="宋体"/>
                <w:color w:val="auto"/>
                <w:szCs w:val="21"/>
              </w:rPr>
            </w:pPr>
          </w:p>
        </w:tc>
        <w:tc>
          <w:tcPr>
            <w:tcW w:w="888" w:type="dxa"/>
            <w:vMerge w:val="continue"/>
            <w:tcBorders>
              <w:tl2br w:val="nil"/>
              <w:tr2bl w:val="nil"/>
            </w:tcBorders>
            <w:noWrap/>
            <w:vAlign w:val="center"/>
          </w:tcPr>
          <w:p w14:paraId="601AE2A0">
            <w:pPr>
              <w:widowControl/>
              <w:jc w:val="center"/>
              <w:textAlignment w:val="center"/>
              <w:rPr>
                <w:rFonts w:ascii="宋体" w:hAnsi="宋体" w:cs="宋体"/>
                <w:color w:val="auto"/>
                <w:kern w:val="0"/>
                <w:szCs w:val="21"/>
              </w:rPr>
            </w:pPr>
          </w:p>
        </w:tc>
      </w:tr>
      <w:tr w14:paraId="3808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25B74696">
            <w:pPr>
              <w:jc w:val="center"/>
              <w:rPr>
                <w:rFonts w:hint="eastAsia" w:ascii="宋体" w:hAnsi="宋体" w:cs="宋体"/>
                <w:color w:val="auto"/>
                <w:szCs w:val="21"/>
              </w:rPr>
            </w:pPr>
          </w:p>
        </w:tc>
        <w:tc>
          <w:tcPr>
            <w:tcW w:w="1776" w:type="dxa"/>
            <w:vMerge w:val="continue"/>
            <w:tcBorders>
              <w:tl2br w:val="nil"/>
              <w:tr2bl w:val="nil"/>
            </w:tcBorders>
            <w:noWrap/>
            <w:vAlign w:val="center"/>
          </w:tcPr>
          <w:p w14:paraId="5B586DA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noWrap/>
            <w:vAlign w:val="center"/>
          </w:tcPr>
          <w:p w14:paraId="44E3D2F0">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绳索保护垫</w:t>
            </w:r>
          </w:p>
        </w:tc>
        <w:tc>
          <w:tcPr>
            <w:tcW w:w="960" w:type="dxa"/>
            <w:tcBorders>
              <w:tl2br w:val="nil"/>
              <w:tr2bl w:val="nil"/>
            </w:tcBorders>
            <w:noWrap/>
            <w:vAlign w:val="center"/>
          </w:tcPr>
          <w:p w14:paraId="3CA81FE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248" w:type="dxa"/>
            <w:tcBorders>
              <w:tl2br w:val="nil"/>
              <w:tr2bl w:val="nil"/>
            </w:tcBorders>
            <w:noWrap/>
            <w:vAlign w:val="center"/>
          </w:tcPr>
          <w:p w14:paraId="5079F706">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0.09</w:t>
            </w:r>
          </w:p>
        </w:tc>
        <w:tc>
          <w:tcPr>
            <w:tcW w:w="1152" w:type="dxa"/>
            <w:tcBorders>
              <w:tl2br w:val="nil"/>
              <w:tr2bl w:val="nil"/>
            </w:tcBorders>
            <w:noWrap/>
            <w:vAlign w:val="center"/>
          </w:tcPr>
          <w:p w14:paraId="1E3F59CF">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164" w:type="dxa"/>
            <w:vMerge w:val="continue"/>
            <w:tcBorders>
              <w:tl2br w:val="nil"/>
              <w:tr2bl w:val="nil"/>
            </w:tcBorders>
            <w:noWrap/>
            <w:vAlign w:val="center"/>
          </w:tcPr>
          <w:p w14:paraId="4D2AB9A1">
            <w:pPr>
              <w:jc w:val="center"/>
              <w:rPr>
                <w:rFonts w:hint="eastAsia" w:ascii="宋体" w:hAnsi="宋体" w:cs="宋体"/>
                <w:color w:val="auto"/>
                <w:szCs w:val="21"/>
              </w:rPr>
            </w:pPr>
          </w:p>
        </w:tc>
        <w:tc>
          <w:tcPr>
            <w:tcW w:w="888" w:type="dxa"/>
            <w:vMerge w:val="continue"/>
            <w:tcBorders>
              <w:tl2br w:val="nil"/>
              <w:tr2bl w:val="nil"/>
            </w:tcBorders>
            <w:noWrap/>
            <w:vAlign w:val="center"/>
          </w:tcPr>
          <w:p w14:paraId="26BE1C4D">
            <w:pPr>
              <w:widowControl/>
              <w:jc w:val="center"/>
              <w:textAlignment w:val="center"/>
              <w:rPr>
                <w:rFonts w:ascii="宋体" w:hAnsi="宋体" w:cs="宋体"/>
                <w:color w:val="auto"/>
                <w:kern w:val="0"/>
                <w:szCs w:val="21"/>
              </w:rPr>
            </w:pPr>
          </w:p>
        </w:tc>
      </w:tr>
      <w:tr w14:paraId="6C19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4D4478D4">
            <w:pPr>
              <w:jc w:val="center"/>
              <w:rPr>
                <w:rFonts w:hint="eastAsia" w:ascii="宋体" w:hAnsi="宋体" w:cs="宋体"/>
                <w:color w:val="auto"/>
                <w:szCs w:val="21"/>
              </w:rPr>
            </w:pPr>
          </w:p>
        </w:tc>
        <w:tc>
          <w:tcPr>
            <w:tcW w:w="1776" w:type="dxa"/>
            <w:vMerge w:val="continue"/>
            <w:tcBorders>
              <w:tl2br w:val="nil"/>
              <w:tr2bl w:val="nil"/>
            </w:tcBorders>
            <w:noWrap/>
            <w:vAlign w:val="center"/>
          </w:tcPr>
          <w:p w14:paraId="379FC4C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noWrap/>
            <w:vAlign w:val="center"/>
          </w:tcPr>
          <w:p w14:paraId="779C6E7D">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D型自动主锁</w:t>
            </w:r>
          </w:p>
        </w:tc>
        <w:tc>
          <w:tcPr>
            <w:tcW w:w="960" w:type="dxa"/>
            <w:tcBorders>
              <w:tl2br w:val="nil"/>
              <w:tr2bl w:val="nil"/>
            </w:tcBorders>
            <w:noWrap/>
            <w:vAlign w:val="center"/>
          </w:tcPr>
          <w:p w14:paraId="18871E5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110</w:t>
            </w:r>
          </w:p>
        </w:tc>
        <w:tc>
          <w:tcPr>
            <w:tcW w:w="1248" w:type="dxa"/>
            <w:tcBorders>
              <w:tl2br w:val="nil"/>
              <w:tr2bl w:val="nil"/>
            </w:tcBorders>
            <w:noWrap/>
            <w:vAlign w:val="center"/>
          </w:tcPr>
          <w:p w14:paraId="36D91167">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0.034</w:t>
            </w:r>
          </w:p>
        </w:tc>
        <w:tc>
          <w:tcPr>
            <w:tcW w:w="1152" w:type="dxa"/>
            <w:tcBorders>
              <w:tl2br w:val="nil"/>
              <w:tr2bl w:val="nil"/>
            </w:tcBorders>
            <w:noWrap/>
            <w:vAlign w:val="center"/>
          </w:tcPr>
          <w:p w14:paraId="6E6F4BB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3.74</w:t>
            </w:r>
          </w:p>
        </w:tc>
        <w:tc>
          <w:tcPr>
            <w:tcW w:w="1164" w:type="dxa"/>
            <w:vMerge w:val="continue"/>
            <w:tcBorders>
              <w:tl2br w:val="nil"/>
              <w:tr2bl w:val="nil"/>
            </w:tcBorders>
            <w:noWrap/>
            <w:vAlign w:val="center"/>
          </w:tcPr>
          <w:p w14:paraId="1D531532">
            <w:pPr>
              <w:jc w:val="center"/>
              <w:rPr>
                <w:rFonts w:hint="eastAsia" w:ascii="宋体" w:hAnsi="宋体" w:cs="宋体"/>
                <w:color w:val="auto"/>
                <w:szCs w:val="21"/>
              </w:rPr>
            </w:pPr>
          </w:p>
        </w:tc>
        <w:tc>
          <w:tcPr>
            <w:tcW w:w="888" w:type="dxa"/>
            <w:vMerge w:val="continue"/>
            <w:tcBorders>
              <w:tl2br w:val="nil"/>
              <w:tr2bl w:val="nil"/>
            </w:tcBorders>
            <w:noWrap/>
            <w:vAlign w:val="center"/>
          </w:tcPr>
          <w:p w14:paraId="039345D6">
            <w:pPr>
              <w:widowControl/>
              <w:jc w:val="center"/>
              <w:textAlignment w:val="center"/>
              <w:rPr>
                <w:rFonts w:ascii="宋体" w:hAnsi="宋体" w:cs="宋体"/>
                <w:color w:val="auto"/>
                <w:kern w:val="0"/>
                <w:szCs w:val="21"/>
              </w:rPr>
            </w:pPr>
          </w:p>
        </w:tc>
      </w:tr>
      <w:tr w14:paraId="65C2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70058718">
            <w:pPr>
              <w:jc w:val="center"/>
              <w:rPr>
                <w:rFonts w:hint="eastAsia" w:ascii="宋体" w:hAnsi="宋体" w:cs="宋体"/>
                <w:color w:val="auto"/>
                <w:szCs w:val="21"/>
              </w:rPr>
            </w:pPr>
          </w:p>
        </w:tc>
        <w:tc>
          <w:tcPr>
            <w:tcW w:w="1776" w:type="dxa"/>
            <w:vMerge w:val="continue"/>
            <w:tcBorders>
              <w:tl2br w:val="nil"/>
              <w:tr2bl w:val="nil"/>
            </w:tcBorders>
            <w:noWrap/>
            <w:vAlign w:val="center"/>
          </w:tcPr>
          <w:p w14:paraId="0EB62BB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noWrap/>
            <w:vAlign w:val="center"/>
          </w:tcPr>
          <w:p w14:paraId="5E557458">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D型丝扣主锁</w:t>
            </w:r>
          </w:p>
        </w:tc>
        <w:tc>
          <w:tcPr>
            <w:tcW w:w="960" w:type="dxa"/>
            <w:tcBorders>
              <w:tl2br w:val="nil"/>
              <w:tr2bl w:val="nil"/>
            </w:tcBorders>
            <w:noWrap/>
            <w:vAlign w:val="center"/>
          </w:tcPr>
          <w:p w14:paraId="1C8E470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80</w:t>
            </w:r>
          </w:p>
        </w:tc>
        <w:tc>
          <w:tcPr>
            <w:tcW w:w="1248" w:type="dxa"/>
            <w:tcBorders>
              <w:tl2br w:val="nil"/>
              <w:tr2bl w:val="nil"/>
            </w:tcBorders>
            <w:noWrap/>
            <w:vAlign w:val="center"/>
          </w:tcPr>
          <w:p w14:paraId="1B43B261">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0.028</w:t>
            </w:r>
          </w:p>
        </w:tc>
        <w:tc>
          <w:tcPr>
            <w:tcW w:w="1152" w:type="dxa"/>
            <w:tcBorders>
              <w:tl2br w:val="nil"/>
              <w:tr2bl w:val="nil"/>
            </w:tcBorders>
            <w:noWrap/>
            <w:vAlign w:val="center"/>
          </w:tcPr>
          <w:p w14:paraId="580225F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2.24</w:t>
            </w:r>
          </w:p>
        </w:tc>
        <w:tc>
          <w:tcPr>
            <w:tcW w:w="1164" w:type="dxa"/>
            <w:vMerge w:val="continue"/>
            <w:tcBorders>
              <w:tl2br w:val="nil"/>
              <w:tr2bl w:val="nil"/>
            </w:tcBorders>
            <w:noWrap/>
            <w:vAlign w:val="center"/>
          </w:tcPr>
          <w:p w14:paraId="7C7ABF85">
            <w:pPr>
              <w:jc w:val="center"/>
              <w:rPr>
                <w:rFonts w:hint="eastAsia" w:ascii="宋体" w:hAnsi="宋体" w:cs="宋体"/>
                <w:color w:val="auto"/>
                <w:szCs w:val="21"/>
              </w:rPr>
            </w:pPr>
          </w:p>
        </w:tc>
        <w:tc>
          <w:tcPr>
            <w:tcW w:w="888" w:type="dxa"/>
            <w:vMerge w:val="continue"/>
            <w:tcBorders>
              <w:tl2br w:val="nil"/>
              <w:tr2bl w:val="nil"/>
            </w:tcBorders>
            <w:noWrap/>
            <w:vAlign w:val="center"/>
          </w:tcPr>
          <w:p w14:paraId="741BA23F">
            <w:pPr>
              <w:widowControl/>
              <w:jc w:val="center"/>
              <w:textAlignment w:val="center"/>
              <w:rPr>
                <w:rFonts w:ascii="宋体" w:hAnsi="宋体" w:cs="宋体"/>
                <w:color w:val="auto"/>
                <w:kern w:val="0"/>
                <w:szCs w:val="21"/>
              </w:rPr>
            </w:pPr>
          </w:p>
        </w:tc>
      </w:tr>
      <w:tr w14:paraId="2140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7E397E8E">
            <w:pPr>
              <w:jc w:val="center"/>
              <w:rPr>
                <w:rFonts w:hint="eastAsia" w:ascii="宋体" w:hAnsi="宋体" w:cs="宋体"/>
                <w:color w:val="auto"/>
                <w:szCs w:val="21"/>
              </w:rPr>
            </w:pPr>
          </w:p>
        </w:tc>
        <w:tc>
          <w:tcPr>
            <w:tcW w:w="1776" w:type="dxa"/>
            <w:vMerge w:val="continue"/>
            <w:tcBorders>
              <w:tl2br w:val="nil"/>
              <w:tr2bl w:val="nil"/>
            </w:tcBorders>
            <w:noWrap/>
            <w:vAlign w:val="center"/>
          </w:tcPr>
          <w:p w14:paraId="29F9C9B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noWrap/>
            <w:vAlign w:val="center"/>
          </w:tcPr>
          <w:p w14:paraId="1010CA8F">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O型丝扣钢锁</w:t>
            </w:r>
          </w:p>
        </w:tc>
        <w:tc>
          <w:tcPr>
            <w:tcW w:w="960" w:type="dxa"/>
            <w:tcBorders>
              <w:tl2br w:val="nil"/>
              <w:tr2bl w:val="nil"/>
            </w:tcBorders>
            <w:noWrap/>
            <w:vAlign w:val="center"/>
          </w:tcPr>
          <w:p w14:paraId="06B3645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80</w:t>
            </w:r>
          </w:p>
        </w:tc>
        <w:tc>
          <w:tcPr>
            <w:tcW w:w="1248" w:type="dxa"/>
            <w:tcBorders>
              <w:tl2br w:val="nil"/>
              <w:tr2bl w:val="nil"/>
            </w:tcBorders>
            <w:noWrap/>
            <w:vAlign w:val="center"/>
          </w:tcPr>
          <w:p w14:paraId="51D700D6">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0.0215</w:t>
            </w:r>
          </w:p>
        </w:tc>
        <w:tc>
          <w:tcPr>
            <w:tcW w:w="1152" w:type="dxa"/>
            <w:tcBorders>
              <w:tl2br w:val="nil"/>
              <w:tr2bl w:val="nil"/>
            </w:tcBorders>
            <w:noWrap/>
            <w:vAlign w:val="center"/>
          </w:tcPr>
          <w:p w14:paraId="6E25AEAF">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1.72</w:t>
            </w:r>
          </w:p>
        </w:tc>
        <w:tc>
          <w:tcPr>
            <w:tcW w:w="1164" w:type="dxa"/>
            <w:vMerge w:val="continue"/>
            <w:tcBorders>
              <w:tl2br w:val="nil"/>
              <w:tr2bl w:val="nil"/>
            </w:tcBorders>
            <w:noWrap/>
            <w:vAlign w:val="center"/>
          </w:tcPr>
          <w:p w14:paraId="6D912E23">
            <w:pPr>
              <w:jc w:val="center"/>
              <w:rPr>
                <w:rFonts w:hint="eastAsia" w:ascii="宋体" w:hAnsi="宋体" w:cs="宋体"/>
                <w:color w:val="auto"/>
                <w:szCs w:val="21"/>
              </w:rPr>
            </w:pPr>
          </w:p>
        </w:tc>
        <w:tc>
          <w:tcPr>
            <w:tcW w:w="888" w:type="dxa"/>
            <w:vMerge w:val="continue"/>
            <w:tcBorders>
              <w:tl2br w:val="nil"/>
              <w:tr2bl w:val="nil"/>
            </w:tcBorders>
            <w:noWrap/>
            <w:vAlign w:val="center"/>
          </w:tcPr>
          <w:p w14:paraId="4CEA503E">
            <w:pPr>
              <w:widowControl/>
              <w:jc w:val="center"/>
              <w:textAlignment w:val="center"/>
              <w:rPr>
                <w:rFonts w:ascii="宋体" w:hAnsi="宋体" w:cs="宋体"/>
                <w:color w:val="auto"/>
                <w:kern w:val="0"/>
                <w:szCs w:val="21"/>
              </w:rPr>
            </w:pPr>
          </w:p>
        </w:tc>
      </w:tr>
      <w:tr w14:paraId="7CD3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07678FF1">
            <w:pPr>
              <w:jc w:val="center"/>
              <w:rPr>
                <w:rFonts w:hint="eastAsia" w:ascii="宋体" w:hAnsi="宋体" w:cs="宋体"/>
                <w:color w:val="auto"/>
                <w:szCs w:val="21"/>
              </w:rPr>
            </w:pPr>
          </w:p>
        </w:tc>
        <w:tc>
          <w:tcPr>
            <w:tcW w:w="1776" w:type="dxa"/>
            <w:vMerge w:val="continue"/>
            <w:tcBorders>
              <w:tl2br w:val="nil"/>
              <w:tr2bl w:val="nil"/>
            </w:tcBorders>
            <w:noWrap/>
            <w:vAlign w:val="center"/>
          </w:tcPr>
          <w:p w14:paraId="35558D3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noWrap/>
            <w:vAlign w:val="center"/>
          </w:tcPr>
          <w:p w14:paraId="78D6A47A">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悬挂装备</w:t>
            </w:r>
          </w:p>
        </w:tc>
        <w:tc>
          <w:tcPr>
            <w:tcW w:w="960" w:type="dxa"/>
            <w:tcBorders>
              <w:tl2br w:val="nil"/>
              <w:tr2bl w:val="nil"/>
            </w:tcBorders>
            <w:noWrap/>
            <w:vAlign w:val="center"/>
          </w:tcPr>
          <w:p w14:paraId="2356B1F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48" w:type="dxa"/>
            <w:tcBorders>
              <w:tl2br w:val="nil"/>
              <w:tr2bl w:val="nil"/>
            </w:tcBorders>
            <w:noWrap/>
            <w:vAlign w:val="center"/>
          </w:tcPr>
          <w:p w14:paraId="2E56330F">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0.078</w:t>
            </w:r>
          </w:p>
        </w:tc>
        <w:tc>
          <w:tcPr>
            <w:tcW w:w="1152" w:type="dxa"/>
            <w:tcBorders>
              <w:tl2br w:val="nil"/>
              <w:tr2bl w:val="nil"/>
            </w:tcBorders>
            <w:noWrap/>
            <w:vAlign w:val="center"/>
          </w:tcPr>
          <w:p w14:paraId="00D721A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0.156</w:t>
            </w:r>
          </w:p>
        </w:tc>
        <w:tc>
          <w:tcPr>
            <w:tcW w:w="1164" w:type="dxa"/>
            <w:vMerge w:val="continue"/>
            <w:tcBorders>
              <w:tl2br w:val="nil"/>
              <w:tr2bl w:val="nil"/>
            </w:tcBorders>
            <w:noWrap/>
            <w:vAlign w:val="center"/>
          </w:tcPr>
          <w:p w14:paraId="426B0C55">
            <w:pPr>
              <w:jc w:val="center"/>
              <w:rPr>
                <w:rFonts w:hint="eastAsia" w:ascii="宋体" w:hAnsi="宋体" w:cs="宋体"/>
                <w:color w:val="auto"/>
                <w:szCs w:val="21"/>
              </w:rPr>
            </w:pPr>
          </w:p>
        </w:tc>
        <w:tc>
          <w:tcPr>
            <w:tcW w:w="888" w:type="dxa"/>
            <w:vMerge w:val="continue"/>
            <w:tcBorders>
              <w:tl2br w:val="nil"/>
              <w:tr2bl w:val="nil"/>
            </w:tcBorders>
            <w:noWrap/>
            <w:vAlign w:val="center"/>
          </w:tcPr>
          <w:p w14:paraId="64DABA0F">
            <w:pPr>
              <w:widowControl/>
              <w:jc w:val="center"/>
              <w:textAlignment w:val="center"/>
              <w:rPr>
                <w:rFonts w:ascii="宋体" w:hAnsi="宋体" w:cs="宋体"/>
                <w:color w:val="auto"/>
                <w:kern w:val="0"/>
                <w:szCs w:val="21"/>
              </w:rPr>
            </w:pPr>
          </w:p>
        </w:tc>
      </w:tr>
      <w:tr w14:paraId="025C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1D26C90C">
            <w:pPr>
              <w:jc w:val="center"/>
              <w:rPr>
                <w:rFonts w:hint="eastAsia" w:ascii="宋体" w:hAnsi="宋体" w:cs="宋体"/>
                <w:color w:val="auto"/>
                <w:szCs w:val="21"/>
              </w:rPr>
            </w:pPr>
          </w:p>
        </w:tc>
        <w:tc>
          <w:tcPr>
            <w:tcW w:w="1776" w:type="dxa"/>
            <w:vMerge w:val="continue"/>
            <w:tcBorders>
              <w:tl2br w:val="nil"/>
              <w:tr2bl w:val="nil"/>
            </w:tcBorders>
            <w:noWrap/>
            <w:vAlign w:val="center"/>
          </w:tcPr>
          <w:p w14:paraId="1E4261E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noWrap/>
            <w:vAlign w:val="center"/>
          </w:tcPr>
          <w:p w14:paraId="0568C1EA">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大开口工程挂钩</w:t>
            </w:r>
          </w:p>
        </w:tc>
        <w:tc>
          <w:tcPr>
            <w:tcW w:w="960" w:type="dxa"/>
            <w:tcBorders>
              <w:tl2br w:val="nil"/>
              <w:tr2bl w:val="nil"/>
            </w:tcBorders>
            <w:noWrap/>
            <w:vAlign w:val="center"/>
          </w:tcPr>
          <w:p w14:paraId="27B5FF2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248" w:type="dxa"/>
            <w:tcBorders>
              <w:tl2br w:val="nil"/>
              <w:tr2bl w:val="nil"/>
            </w:tcBorders>
            <w:noWrap/>
            <w:vAlign w:val="center"/>
          </w:tcPr>
          <w:p w14:paraId="51FC9732">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0.042</w:t>
            </w:r>
          </w:p>
        </w:tc>
        <w:tc>
          <w:tcPr>
            <w:tcW w:w="1152" w:type="dxa"/>
            <w:tcBorders>
              <w:tl2br w:val="nil"/>
              <w:tr2bl w:val="nil"/>
            </w:tcBorders>
            <w:noWrap/>
            <w:vAlign w:val="center"/>
          </w:tcPr>
          <w:p w14:paraId="6483DD57">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0.84</w:t>
            </w:r>
          </w:p>
        </w:tc>
        <w:tc>
          <w:tcPr>
            <w:tcW w:w="1164" w:type="dxa"/>
            <w:vMerge w:val="continue"/>
            <w:tcBorders>
              <w:tl2br w:val="nil"/>
              <w:tr2bl w:val="nil"/>
            </w:tcBorders>
            <w:noWrap/>
            <w:vAlign w:val="center"/>
          </w:tcPr>
          <w:p w14:paraId="0DBAF888">
            <w:pPr>
              <w:jc w:val="center"/>
              <w:rPr>
                <w:rFonts w:hint="eastAsia" w:ascii="宋体" w:hAnsi="宋体" w:cs="宋体"/>
                <w:color w:val="auto"/>
                <w:szCs w:val="21"/>
              </w:rPr>
            </w:pPr>
          </w:p>
        </w:tc>
        <w:tc>
          <w:tcPr>
            <w:tcW w:w="888" w:type="dxa"/>
            <w:vMerge w:val="continue"/>
            <w:tcBorders>
              <w:tl2br w:val="nil"/>
              <w:tr2bl w:val="nil"/>
            </w:tcBorders>
            <w:noWrap/>
            <w:vAlign w:val="center"/>
          </w:tcPr>
          <w:p w14:paraId="5C8B9DA9">
            <w:pPr>
              <w:widowControl/>
              <w:jc w:val="center"/>
              <w:textAlignment w:val="center"/>
              <w:rPr>
                <w:rFonts w:ascii="宋体" w:hAnsi="宋体" w:cs="宋体"/>
                <w:color w:val="auto"/>
                <w:kern w:val="0"/>
                <w:szCs w:val="21"/>
              </w:rPr>
            </w:pPr>
          </w:p>
        </w:tc>
      </w:tr>
      <w:tr w14:paraId="54B3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71158229">
            <w:pPr>
              <w:jc w:val="center"/>
              <w:rPr>
                <w:rFonts w:hint="eastAsia" w:ascii="宋体" w:hAnsi="宋体" w:cs="宋体"/>
                <w:color w:val="auto"/>
                <w:szCs w:val="21"/>
              </w:rPr>
            </w:pPr>
          </w:p>
        </w:tc>
        <w:tc>
          <w:tcPr>
            <w:tcW w:w="1776" w:type="dxa"/>
            <w:vMerge w:val="continue"/>
            <w:tcBorders>
              <w:tl2br w:val="nil"/>
              <w:tr2bl w:val="nil"/>
            </w:tcBorders>
            <w:noWrap/>
            <w:vAlign w:val="center"/>
          </w:tcPr>
          <w:p w14:paraId="1BF8B38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noWrap/>
            <w:vAlign w:val="center"/>
          </w:tcPr>
          <w:p w14:paraId="0672C214">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梨形自动扣主锁</w:t>
            </w:r>
          </w:p>
        </w:tc>
        <w:tc>
          <w:tcPr>
            <w:tcW w:w="960" w:type="dxa"/>
            <w:tcBorders>
              <w:tl2br w:val="nil"/>
              <w:tr2bl w:val="nil"/>
            </w:tcBorders>
            <w:noWrap/>
            <w:vAlign w:val="center"/>
          </w:tcPr>
          <w:p w14:paraId="09EE542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80</w:t>
            </w:r>
          </w:p>
        </w:tc>
        <w:tc>
          <w:tcPr>
            <w:tcW w:w="1248" w:type="dxa"/>
            <w:tcBorders>
              <w:tl2br w:val="nil"/>
              <w:tr2bl w:val="nil"/>
            </w:tcBorders>
            <w:noWrap/>
            <w:vAlign w:val="center"/>
          </w:tcPr>
          <w:p w14:paraId="2118337F">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0.03</w:t>
            </w:r>
          </w:p>
        </w:tc>
        <w:tc>
          <w:tcPr>
            <w:tcW w:w="1152" w:type="dxa"/>
            <w:tcBorders>
              <w:tl2br w:val="nil"/>
              <w:tr2bl w:val="nil"/>
            </w:tcBorders>
            <w:noWrap/>
            <w:vAlign w:val="center"/>
          </w:tcPr>
          <w:p w14:paraId="01960AA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2.4</w:t>
            </w:r>
          </w:p>
        </w:tc>
        <w:tc>
          <w:tcPr>
            <w:tcW w:w="1164" w:type="dxa"/>
            <w:vMerge w:val="continue"/>
            <w:tcBorders>
              <w:tl2br w:val="nil"/>
              <w:tr2bl w:val="nil"/>
            </w:tcBorders>
            <w:noWrap/>
            <w:vAlign w:val="center"/>
          </w:tcPr>
          <w:p w14:paraId="2297DE07">
            <w:pPr>
              <w:jc w:val="center"/>
              <w:rPr>
                <w:rFonts w:hint="eastAsia" w:ascii="宋体" w:hAnsi="宋体" w:cs="宋体"/>
                <w:color w:val="auto"/>
                <w:szCs w:val="21"/>
              </w:rPr>
            </w:pPr>
          </w:p>
        </w:tc>
        <w:tc>
          <w:tcPr>
            <w:tcW w:w="888" w:type="dxa"/>
            <w:vMerge w:val="continue"/>
            <w:tcBorders>
              <w:tl2br w:val="nil"/>
              <w:tr2bl w:val="nil"/>
            </w:tcBorders>
            <w:noWrap/>
            <w:vAlign w:val="center"/>
          </w:tcPr>
          <w:p w14:paraId="04682EC1">
            <w:pPr>
              <w:widowControl/>
              <w:jc w:val="center"/>
              <w:textAlignment w:val="center"/>
              <w:rPr>
                <w:rFonts w:ascii="宋体" w:hAnsi="宋体" w:cs="宋体"/>
                <w:color w:val="auto"/>
                <w:kern w:val="0"/>
                <w:szCs w:val="21"/>
              </w:rPr>
            </w:pPr>
          </w:p>
        </w:tc>
      </w:tr>
      <w:tr w14:paraId="7CF3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713E268A">
            <w:pPr>
              <w:jc w:val="center"/>
              <w:rPr>
                <w:rFonts w:hint="eastAsia" w:ascii="宋体" w:hAnsi="宋体" w:cs="宋体"/>
                <w:color w:val="auto"/>
                <w:szCs w:val="21"/>
              </w:rPr>
            </w:pPr>
          </w:p>
        </w:tc>
        <w:tc>
          <w:tcPr>
            <w:tcW w:w="1776" w:type="dxa"/>
            <w:vMerge w:val="continue"/>
            <w:tcBorders>
              <w:tl2br w:val="nil"/>
              <w:tr2bl w:val="nil"/>
            </w:tcBorders>
            <w:noWrap/>
            <w:vAlign w:val="center"/>
          </w:tcPr>
          <w:p w14:paraId="1FF02A3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noWrap/>
            <w:vAlign w:val="center"/>
          </w:tcPr>
          <w:p w14:paraId="26B24498">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5:1滑轮组</w:t>
            </w:r>
          </w:p>
        </w:tc>
        <w:tc>
          <w:tcPr>
            <w:tcW w:w="960" w:type="dxa"/>
            <w:tcBorders>
              <w:tl2br w:val="nil"/>
              <w:tr2bl w:val="nil"/>
            </w:tcBorders>
            <w:noWrap/>
            <w:vAlign w:val="center"/>
          </w:tcPr>
          <w:p w14:paraId="29B2A73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w:t>
            </w:r>
          </w:p>
        </w:tc>
        <w:tc>
          <w:tcPr>
            <w:tcW w:w="1248" w:type="dxa"/>
            <w:tcBorders>
              <w:tl2br w:val="nil"/>
              <w:tr2bl w:val="nil"/>
            </w:tcBorders>
            <w:noWrap/>
            <w:vAlign w:val="center"/>
          </w:tcPr>
          <w:p w14:paraId="52882E56">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0.48</w:t>
            </w:r>
          </w:p>
        </w:tc>
        <w:tc>
          <w:tcPr>
            <w:tcW w:w="1152" w:type="dxa"/>
            <w:tcBorders>
              <w:tl2br w:val="nil"/>
              <w:tr2bl w:val="nil"/>
            </w:tcBorders>
            <w:noWrap/>
            <w:vAlign w:val="center"/>
          </w:tcPr>
          <w:p w14:paraId="48E848A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0.96</w:t>
            </w:r>
          </w:p>
        </w:tc>
        <w:tc>
          <w:tcPr>
            <w:tcW w:w="1164" w:type="dxa"/>
            <w:vMerge w:val="continue"/>
            <w:tcBorders>
              <w:tl2br w:val="nil"/>
              <w:tr2bl w:val="nil"/>
            </w:tcBorders>
            <w:noWrap/>
            <w:vAlign w:val="center"/>
          </w:tcPr>
          <w:p w14:paraId="178E40A7">
            <w:pPr>
              <w:jc w:val="center"/>
              <w:rPr>
                <w:rFonts w:hint="eastAsia" w:ascii="宋体" w:hAnsi="宋体" w:cs="宋体"/>
                <w:color w:val="auto"/>
                <w:szCs w:val="21"/>
              </w:rPr>
            </w:pPr>
          </w:p>
        </w:tc>
        <w:tc>
          <w:tcPr>
            <w:tcW w:w="888" w:type="dxa"/>
            <w:vMerge w:val="continue"/>
            <w:tcBorders>
              <w:tl2br w:val="nil"/>
              <w:tr2bl w:val="nil"/>
            </w:tcBorders>
            <w:noWrap/>
            <w:vAlign w:val="center"/>
          </w:tcPr>
          <w:p w14:paraId="28D6B0B5">
            <w:pPr>
              <w:widowControl/>
              <w:jc w:val="center"/>
              <w:textAlignment w:val="center"/>
              <w:rPr>
                <w:rFonts w:ascii="宋体" w:hAnsi="宋体" w:cs="宋体"/>
                <w:color w:val="auto"/>
                <w:kern w:val="0"/>
                <w:szCs w:val="21"/>
              </w:rPr>
            </w:pPr>
          </w:p>
        </w:tc>
      </w:tr>
      <w:tr w14:paraId="41DD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084790DF">
            <w:pPr>
              <w:jc w:val="center"/>
              <w:rPr>
                <w:rFonts w:hint="eastAsia" w:ascii="宋体" w:hAnsi="宋体" w:cs="宋体"/>
                <w:color w:val="auto"/>
                <w:szCs w:val="21"/>
              </w:rPr>
            </w:pPr>
          </w:p>
        </w:tc>
        <w:tc>
          <w:tcPr>
            <w:tcW w:w="1776" w:type="dxa"/>
            <w:vMerge w:val="continue"/>
            <w:tcBorders>
              <w:tl2br w:val="nil"/>
              <w:tr2bl w:val="nil"/>
            </w:tcBorders>
            <w:noWrap/>
            <w:vAlign w:val="center"/>
          </w:tcPr>
          <w:p w14:paraId="719B914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noWrap/>
            <w:vAlign w:val="center"/>
          </w:tcPr>
          <w:p w14:paraId="15243BB4">
            <w:pPr>
              <w:keepNext w:val="0"/>
              <w:keepLines w:val="0"/>
              <w:widowControl/>
              <w:suppressLineNumbers w:val="0"/>
              <w:jc w:val="left"/>
              <w:textAlignment w:val="center"/>
              <w:rPr>
                <w:rFonts w:hint="eastAsia" w:ascii="宋体" w:hAnsi="宋体" w:eastAsia="宋体" w:cs="宋体"/>
                <w:color w:val="FF0000"/>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O型丝扣主锁</w:t>
            </w:r>
          </w:p>
        </w:tc>
        <w:tc>
          <w:tcPr>
            <w:tcW w:w="960" w:type="dxa"/>
            <w:tcBorders>
              <w:tl2br w:val="nil"/>
              <w:tr2bl w:val="nil"/>
            </w:tcBorders>
            <w:noWrap/>
            <w:vAlign w:val="center"/>
          </w:tcPr>
          <w:p w14:paraId="366F9ED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80</w:t>
            </w:r>
          </w:p>
        </w:tc>
        <w:tc>
          <w:tcPr>
            <w:tcW w:w="1248" w:type="dxa"/>
            <w:tcBorders>
              <w:tl2br w:val="nil"/>
              <w:tr2bl w:val="nil"/>
            </w:tcBorders>
            <w:noWrap/>
            <w:vAlign w:val="center"/>
          </w:tcPr>
          <w:p w14:paraId="2AC79C13">
            <w:pPr>
              <w:keepNext w:val="0"/>
              <w:keepLines w:val="0"/>
              <w:widowControl/>
              <w:suppressLineNumbers w:val="0"/>
              <w:jc w:val="center"/>
              <w:textAlignment w:val="center"/>
              <w:rPr>
                <w:rFonts w:hint="default" w:ascii="宋体" w:hAnsi="宋体" w:eastAsia="宋体" w:cs="宋体"/>
                <w:color w:val="auto"/>
                <w:kern w:val="0"/>
                <w:sz w:val="21"/>
                <w:szCs w:val="21"/>
                <w:lang w:val="en-US"/>
              </w:rPr>
            </w:pPr>
            <w:r>
              <w:rPr>
                <w:rFonts w:hint="eastAsia" w:ascii="宋体" w:hAnsi="宋体" w:eastAsia="宋体" w:cs="宋体"/>
                <w:i w:val="0"/>
                <w:iCs w:val="0"/>
                <w:color w:val="000000"/>
                <w:kern w:val="0"/>
                <w:sz w:val="21"/>
                <w:szCs w:val="21"/>
                <w:u w:val="none"/>
                <w:lang w:val="en-US" w:eastAsia="zh-CN" w:bidi="ar"/>
              </w:rPr>
              <w:t>0.026</w:t>
            </w:r>
          </w:p>
        </w:tc>
        <w:tc>
          <w:tcPr>
            <w:tcW w:w="1152" w:type="dxa"/>
            <w:tcBorders>
              <w:tl2br w:val="nil"/>
              <w:tr2bl w:val="nil"/>
            </w:tcBorders>
            <w:noWrap/>
            <w:vAlign w:val="center"/>
          </w:tcPr>
          <w:p w14:paraId="109E093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2.08</w:t>
            </w:r>
          </w:p>
        </w:tc>
        <w:tc>
          <w:tcPr>
            <w:tcW w:w="1164" w:type="dxa"/>
            <w:vMerge w:val="continue"/>
            <w:tcBorders>
              <w:tl2br w:val="nil"/>
              <w:tr2bl w:val="nil"/>
            </w:tcBorders>
            <w:noWrap/>
            <w:vAlign w:val="center"/>
          </w:tcPr>
          <w:p w14:paraId="1E05D242">
            <w:pPr>
              <w:jc w:val="center"/>
              <w:rPr>
                <w:rFonts w:hint="eastAsia" w:ascii="宋体" w:hAnsi="宋体" w:cs="宋体"/>
                <w:color w:val="auto"/>
                <w:szCs w:val="21"/>
              </w:rPr>
            </w:pPr>
          </w:p>
        </w:tc>
        <w:tc>
          <w:tcPr>
            <w:tcW w:w="888" w:type="dxa"/>
            <w:vMerge w:val="continue"/>
            <w:tcBorders>
              <w:tl2br w:val="nil"/>
              <w:tr2bl w:val="nil"/>
            </w:tcBorders>
            <w:noWrap/>
            <w:vAlign w:val="center"/>
          </w:tcPr>
          <w:p w14:paraId="52AF8B6B">
            <w:pPr>
              <w:widowControl/>
              <w:jc w:val="center"/>
              <w:textAlignment w:val="center"/>
              <w:rPr>
                <w:rFonts w:ascii="宋体" w:hAnsi="宋体" w:cs="宋体"/>
                <w:color w:val="auto"/>
                <w:kern w:val="0"/>
                <w:szCs w:val="21"/>
              </w:rPr>
            </w:pPr>
          </w:p>
        </w:tc>
      </w:tr>
      <w:tr w14:paraId="31AB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0095DCD3">
            <w:pPr>
              <w:jc w:val="center"/>
              <w:rPr>
                <w:rFonts w:hint="eastAsia" w:ascii="宋体" w:hAnsi="宋体" w:cs="宋体"/>
                <w:color w:val="auto"/>
                <w:szCs w:val="21"/>
              </w:rPr>
            </w:pPr>
          </w:p>
        </w:tc>
        <w:tc>
          <w:tcPr>
            <w:tcW w:w="1776" w:type="dxa"/>
            <w:vMerge w:val="continue"/>
            <w:tcBorders>
              <w:tl2br w:val="nil"/>
              <w:tr2bl w:val="nil"/>
            </w:tcBorders>
            <w:noWrap/>
            <w:vAlign w:val="center"/>
          </w:tcPr>
          <w:p w14:paraId="21841C2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76" w:type="dxa"/>
            <w:tcBorders>
              <w:tl2br w:val="nil"/>
              <w:tr2bl w:val="nil"/>
            </w:tcBorders>
            <w:noWrap/>
            <w:vAlign w:val="center"/>
          </w:tcPr>
          <w:p w14:paraId="590C4A87">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机械抓结</w:t>
            </w:r>
          </w:p>
        </w:tc>
        <w:tc>
          <w:tcPr>
            <w:tcW w:w="960" w:type="dxa"/>
            <w:tcBorders>
              <w:tl2br w:val="nil"/>
              <w:tr2bl w:val="nil"/>
            </w:tcBorders>
            <w:noWrap/>
            <w:vAlign w:val="center"/>
          </w:tcPr>
          <w:p w14:paraId="090F500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248" w:type="dxa"/>
            <w:tcBorders>
              <w:tl2br w:val="nil"/>
              <w:tr2bl w:val="nil"/>
            </w:tcBorders>
            <w:noWrap/>
            <w:vAlign w:val="center"/>
          </w:tcPr>
          <w:p w14:paraId="1BB7B35A">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000000"/>
                <w:kern w:val="0"/>
                <w:sz w:val="21"/>
                <w:szCs w:val="21"/>
                <w:u w:val="none"/>
                <w:lang w:val="en-US" w:eastAsia="zh-CN" w:bidi="ar"/>
              </w:rPr>
              <w:t>0.1152</w:t>
            </w:r>
          </w:p>
        </w:tc>
        <w:tc>
          <w:tcPr>
            <w:tcW w:w="1152" w:type="dxa"/>
            <w:tcBorders>
              <w:tl2br w:val="nil"/>
              <w:tr2bl w:val="nil"/>
            </w:tcBorders>
            <w:noWrap/>
            <w:vAlign w:val="center"/>
          </w:tcPr>
          <w:p w14:paraId="0B90B1A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2.304</w:t>
            </w:r>
          </w:p>
        </w:tc>
        <w:tc>
          <w:tcPr>
            <w:tcW w:w="1164" w:type="dxa"/>
            <w:vMerge w:val="continue"/>
            <w:tcBorders>
              <w:tl2br w:val="nil"/>
              <w:tr2bl w:val="nil"/>
            </w:tcBorders>
            <w:noWrap/>
            <w:vAlign w:val="center"/>
          </w:tcPr>
          <w:p w14:paraId="20D3082A">
            <w:pPr>
              <w:jc w:val="center"/>
              <w:rPr>
                <w:rFonts w:hint="eastAsia" w:ascii="宋体" w:hAnsi="宋体" w:cs="宋体"/>
                <w:color w:val="auto"/>
                <w:szCs w:val="21"/>
              </w:rPr>
            </w:pPr>
          </w:p>
        </w:tc>
        <w:tc>
          <w:tcPr>
            <w:tcW w:w="888" w:type="dxa"/>
            <w:vMerge w:val="continue"/>
            <w:tcBorders>
              <w:tl2br w:val="nil"/>
              <w:tr2bl w:val="nil"/>
            </w:tcBorders>
            <w:noWrap/>
            <w:vAlign w:val="center"/>
          </w:tcPr>
          <w:p w14:paraId="319FB0C3">
            <w:pPr>
              <w:widowControl/>
              <w:jc w:val="center"/>
              <w:textAlignment w:val="center"/>
              <w:rPr>
                <w:rFonts w:ascii="宋体" w:hAnsi="宋体" w:cs="宋体"/>
                <w:color w:val="auto"/>
                <w:kern w:val="0"/>
                <w:szCs w:val="21"/>
              </w:rPr>
            </w:pPr>
          </w:p>
        </w:tc>
      </w:tr>
    </w:tbl>
    <w:p w14:paraId="2B865F6B">
      <w:pPr>
        <w:spacing w:line="360" w:lineRule="auto"/>
        <w:ind w:firstLine="482" w:firstLineChars="200"/>
        <w:rPr>
          <w:rFonts w:ascii="宋体" w:hAnsi="宋体" w:cs="宋体"/>
          <w:b/>
          <w:bCs/>
          <w:color w:val="auto"/>
          <w:sz w:val="24"/>
        </w:rPr>
      </w:pPr>
      <w:r>
        <w:rPr>
          <w:rFonts w:hint="eastAsia" w:ascii="宋体" w:hAnsi="宋体" w:cs="宋体"/>
          <w:b/>
          <w:bCs/>
          <w:color w:val="auto"/>
          <w:sz w:val="24"/>
        </w:rPr>
        <w:t>本项目(不接受)联合体投标。</w:t>
      </w:r>
    </w:p>
    <w:p w14:paraId="75DE547A">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合同履行期限：</w:t>
      </w:r>
      <w:r>
        <w:rPr>
          <w:rFonts w:hint="eastAsia" w:ascii="宋体" w:hAnsi="宋体" w:cs="宋体"/>
          <w:color w:val="auto"/>
          <w:sz w:val="24"/>
          <w:highlight w:val="none"/>
        </w:rPr>
        <w:t>自合同签订之日起至质保期满为</w:t>
      </w:r>
      <w:r>
        <w:rPr>
          <w:rFonts w:hint="eastAsia" w:ascii="宋体" w:hAnsi="宋体" w:cs="宋体"/>
          <w:color w:val="auto"/>
          <w:sz w:val="24"/>
          <w:highlight w:val="none"/>
          <w:lang w:val="en-US" w:eastAsia="zh-CN"/>
        </w:rPr>
        <w:t>止；交货期为合同签订之日起 60天完成交货，交采购人验收。</w:t>
      </w:r>
    </w:p>
    <w:p w14:paraId="2DF71367">
      <w:pPr>
        <w:widowControl/>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二、申请人的资格要求：</w:t>
      </w:r>
    </w:p>
    <w:p w14:paraId="52A3B8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1158B3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b w:val="0"/>
          <w:bCs w:val="0"/>
          <w:color w:val="auto"/>
          <w:sz w:val="24"/>
          <w:highlight w:val="none"/>
          <w:lang w:val="en-US" w:eastAsia="zh-CN" w:bidi="ar"/>
        </w:rPr>
        <w:t>本项目为专门面向中小企业采购，须提供中小企业声明函</w:t>
      </w:r>
      <w:r>
        <w:rPr>
          <w:rFonts w:hint="eastAsia" w:ascii="宋体" w:hAnsi="宋体" w:cs="宋体"/>
          <w:color w:val="auto"/>
          <w:sz w:val="24"/>
          <w:highlight w:val="none"/>
        </w:rPr>
        <w:t>；</w:t>
      </w:r>
    </w:p>
    <w:p w14:paraId="4D062838">
      <w:pPr>
        <w:kinsoku w:val="0"/>
        <w:wordWrap w:val="0"/>
        <w:spacing w:line="360" w:lineRule="auto"/>
        <w:ind w:firstLine="480" w:firstLineChars="200"/>
        <w:jc w:val="left"/>
        <w:rPr>
          <w:rFonts w:ascii="宋体" w:hAnsi="宋体" w:cs="宋体"/>
          <w:color w:val="auto"/>
          <w:sz w:val="24"/>
        </w:rPr>
      </w:pPr>
      <w:r>
        <w:rPr>
          <w:rFonts w:hint="eastAsia" w:ascii="宋体" w:hAnsi="宋体" w:cs="宋体"/>
          <w:color w:val="auto"/>
          <w:sz w:val="24"/>
        </w:rPr>
        <w:t>3.本项目的特定资格要求：无。</w:t>
      </w:r>
    </w:p>
    <w:p w14:paraId="1EBF813B">
      <w:pPr>
        <w:pStyle w:val="2"/>
        <w:spacing w:after="0" w:line="360" w:lineRule="auto"/>
        <w:rPr>
          <w:rFonts w:ascii="宋体" w:hAnsi="宋体" w:cs="宋体"/>
          <w:b/>
          <w:bCs/>
          <w:color w:val="auto"/>
          <w:kern w:val="0"/>
          <w:sz w:val="24"/>
        </w:rPr>
      </w:pPr>
      <w:r>
        <w:rPr>
          <w:rFonts w:hint="eastAsia" w:ascii="宋体" w:hAnsi="宋体" w:cs="宋体"/>
          <w:b/>
          <w:bCs/>
          <w:color w:val="auto"/>
          <w:kern w:val="0"/>
          <w:sz w:val="24"/>
        </w:rPr>
        <w:t>三、获取招标文件</w:t>
      </w:r>
    </w:p>
    <w:p w14:paraId="0C1E1C32">
      <w:pPr>
        <w:spacing w:line="360" w:lineRule="auto"/>
        <w:ind w:firstLine="480" w:firstLineChars="200"/>
        <w:rPr>
          <w:rFonts w:ascii="宋体" w:hAnsi="宋体" w:cs="宋体"/>
          <w:color w:val="auto"/>
          <w:sz w:val="24"/>
        </w:rPr>
      </w:pPr>
      <w:r>
        <w:rPr>
          <w:rFonts w:hint="eastAsia" w:ascii="宋体" w:hAnsi="宋体" w:cs="宋体"/>
          <w:color w:val="auto"/>
          <w:sz w:val="24"/>
        </w:rPr>
        <w:t>时间：2024年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日至202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日，每天上午9:00至12:00，下午13:30至17:00（北京时间，法定节假日除外）</w:t>
      </w:r>
    </w:p>
    <w:p w14:paraId="3097F109">
      <w:pPr>
        <w:spacing w:line="360" w:lineRule="auto"/>
        <w:ind w:firstLine="480" w:firstLineChars="200"/>
        <w:rPr>
          <w:rFonts w:ascii="宋体" w:hAnsi="宋体" w:cs="宋体"/>
          <w:color w:val="auto"/>
          <w:sz w:val="24"/>
        </w:rPr>
      </w:pPr>
      <w:r>
        <w:rPr>
          <w:rFonts w:hint="eastAsia" w:ascii="宋体" w:hAnsi="宋体" w:cs="宋体"/>
          <w:color w:val="auto"/>
          <w:sz w:val="24"/>
        </w:rPr>
        <w:t>地点：杭州意信招标代理有限公司</w:t>
      </w:r>
    </w:p>
    <w:p w14:paraId="29C7D080">
      <w:pPr>
        <w:spacing w:line="360" w:lineRule="auto"/>
        <w:ind w:firstLine="480" w:firstLineChars="200"/>
        <w:rPr>
          <w:rFonts w:ascii="宋体" w:hAnsi="宋体" w:cs="宋体"/>
          <w:color w:val="auto"/>
          <w:sz w:val="24"/>
        </w:rPr>
      </w:pPr>
      <w:r>
        <w:rPr>
          <w:rFonts w:hint="eastAsia" w:ascii="宋体" w:hAnsi="宋体" w:cs="宋体"/>
          <w:color w:val="auto"/>
          <w:sz w:val="24"/>
        </w:rPr>
        <w:t>方式：（1）现场获取地点：杭州市莫干山路1243号，星尚发展大厦A座8楼810室；（2）电子邮件获取：（邮箱：hzyxzbdl@qq.com；备注获取相应项目招标文件名称、项目编号、联系人和联系电话，同时须致电采购代理机构进行确认，联系电话：0571-87211505）。获取招标文件时应提供以下资料：《招标文件获取登记表》（格式详见公告附件）签字版扫描件和招标文件费用汇款凭证（公对公汇款）。代理公司将以邮箱的方式发送电子版招标文件，请投标人及时查收并邮件回复确认。</w:t>
      </w:r>
    </w:p>
    <w:p w14:paraId="5DA72355">
      <w:pPr>
        <w:pStyle w:val="33"/>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文件售价：¥</w:t>
      </w:r>
      <w:r>
        <w:rPr>
          <w:rFonts w:hint="eastAsia" w:ascii="宋体" w:hAnsi="宋体" w:cs="宋体"/>
          <w:color w:val="auto"/>
          <w:sz w:val="24"/>
          <w:lang w:val="en-US" w:eastAsia="zh-CN"/>
        </w:rPr>
        <w:t>3</w:t>
      </w:r>
      <w:r>
        <w:rPr>
          <w:rFonts w:ascii="宋体" w:hAnsi="宋体" w:cs="宋体"/>
          <w:color w:val="auto"/>
          <w:sz w:val="24"/>
        </w:rPr>
        <w:t>00元，本公告包含的招标文件售价总和,</w:t>
      </w:r>
      <w:r>
        <w:rPr>
          <w:rFonts w:hint="eastAsia" w:ascii="宋体" w:hAnsi="宋体" w:cs="宋体"/>
          <w:color w:val="auto"/>
          <w:sz w:val="24"/>
        </w:rPr>
        <w:t>售后不退。</w:t>
      </w:r>
    </w:p>
    <w:p w14:paraId="66120829">
      <w:pPr>
        <w:widowControl/>
        <w:spacing w:line="360" w:lineRule="auto"/>
        <w:jc w:val="left"/>
        <w:rPr>
          <w:rFonts w:ascii="宋体" w:hAnsi="宋体" w:cs="宋体"/>
          <w:b/>
          <w:bCs/>
          <w:color w:val="auto"/>
          <w:kern w:val="0"/>
          <w:sz w:val="24"/>
        </w:rPr>
      </w:pPr>
      <w:r>
        <w:rPr>
          <w:rFonts w:hint="eastAsia" w:ascii="宋体" w:hAnsi="宋体" w:cs="宋体"/>
          <w:b/>
          <w:bCs/>
          <w:color w:val="auto"/>
          <w:kern w:val="0"/>
          <w:sz w:val="24"/>
        </w:rPr>
        <w:t>四、提交投标文件截止时间、开标时间和地点</w:t>
      </w:r>
    </w:p>
    <w:p w14:paraId="57B75780">
      <w:pPr>
        <w:widowControl/>
        <w:spacing w:line="360" w:lineRule="auto"/>
        <w:ind w:firstLine="482" w:firstLineChars="200"/>
        <w:jc w:val="left"/>
        <w:rPr>
          <w:rFonts w:ascii="宋体" w:hAnsi="宋体" w:cs="宋体"/>
          <w:b/>
          <w:bCs/>
          <w:color w:val="auto"/>
          <w:kern w:val="0"/>
          <w:sz w:val="24"/>
        </w:rPr>
      </w:pPr>
      <w:r>
        <w:rPr>
          <w:rFonts w:hint="eastAsia" w:ascii="宋体" w:hAnsi="宋体" w:cs="宋体"/>
          <w:b/>
          <w:bCs/>
          <w:color w:val="auto"/>
          <w:kern w:val="0"/>
          <w:sz w:val="24"/>
        </w:rPr>
        <w:t>1.提交投标文件截止时间：202</w:t>
      </w:r>
      <w:r>
        <w:rPr>
          <w:rFonts w:hint="eastAsia" w:ascii="宋体" w:hAnsi="宋体" w:cs="宋体"/>
          <w:b/>
          <w:bCs/>
          <w:color w:val="auto"/>
          <w:kern w:val="0"/>
          <w:sz w:val="24"/>
          <w:lang w:val="en-US" w:eastAsia="zh-CN"/>
        </w:rPr>
        <w:t>5</w:t>
      </w:r>
      <w:r>
        <w:rPr>
          <w:rFonts w:hint="eastAsia" w:ascii="宋体" w:hAnsi="宋体" w:cs="宋体"/>
          <w:b/>
          <w:bCs/>
          <w:color w:val="auto"/>
          <w:kern w:val="0"/>
          <w:sz w:val="24"/>
        </w:rPr>
        <w:t>年</w:t>
      </w:r>
      <w:r>
        <w:rPr>
          <w:rFonts w:hint="eastAsia" w:ascii="宋体" w:hAnsi="宋体" w:cs="宋体"/>
          <w:b/>
          <w:bCs/>
          <w:color w:val="auto"/>
          <w:kern w:val="0"/>
          <w:sz w:val="24"/>
          <w:lang w:val="en-US" w:eastAsia="zh-CN"/>
        </w:rPr>
        <w:t>1</w:t>
      </w:r>
      <w:r>
        <w:rPr>
          <w:rFonts w:hint="eastAsia" w:ascii="宋体" w:hAnsi="宋体" w:cs="宋体"/>
          <w:b/>
          <w:bCs/>
          <w:color w:val="auto"/>
          <w:kern w:val="0"/>
          <w:sz w:val="24"/>
        </w:rPr>
        <w:t>月</w:t>
      </w:r>
      <w:r>
        <w:rPr>
          <w:rFonts w:hint="eastAsia" w:ascii="宋体" w:hAnsi="宋体" w:cs="宋体"/>
          <w:b/>
          <w:bCs/>
          <w:color w:val="auto"/>
          <w:kern w:val="0"/>
          <w:sz w:val="24"/>
          <w:lang w:val="en-US" w:eastAsia="zh-CN"/>
        </w:rPr>
        <w:t>17</w:t>
      </w:r>
      <w:r>
        <w:rPr>
          <w:rFonts w:hint="eastAsia" w:ascii="宋体" w:hAnsi="宋体" w:cs="宋体"/>
          <w:b/>
          <w:bCs/>
          <w:color w:val="auto"/>
          <w:kern w:val="0"/>
          <w:sz w:val="24"/>
        </w:rPr>
        <w:t>日</w:t>
      </w:r>
      <w:r>
        <w:rPr>
          <w:rFonts w:hint="eastAsia" w:ascii="宋体" w:hAnsi="宋体" w:cs="宋体"/>
          <w:b/>
          <w:bCs/>
          <w:color w:val="auto"/>
          <w:kern w:val="0"/>
          <w:sz w:val="24"/>
          <w:lang w:val="en-US" w:eastAsia="zh-CN"/>
        </w:rPr>
        <w:t>9：00</w:t>
      </w:r>
      <w:r>
        <w:rPr>
          <w:rFonts w:hint="eastAsia" w:ascii="宋体" w:hAnsi="宋体" w:cs="宋体"/>
          <w:b/>
          <w:bCs/>
          <w:color w:val="auto"/>
          <w:kern w:val="0"/>
          <w:sz w:val="24"/>
        </w:rPr>
        <w:t>（北京时间）</w:t>
      </w:r>
    </w:p>
    <w:p w14:paraId="53261C45">
      <w:pPr>
        <w:widowControl/>
        <w:spacing w:line="360" w:lineRule="auto"/>
        <w:ind w:firstLine="482" w:firstLineChars="200"/>
        <w:jc w:val="left"/>
        <w:rPr>
          <w:rFonts w:ascii="宋体" w:hAnsi="宋体" w:cs="宋体"/>
          <w:b/>
          <w:bCs/>
          <w:color w:val="auto"/>
          <w:kern w:val="0"/>
          <w:sz w:val="24"/>
        </w:rPr>
      </w:pPr>
      <w:r>
        <w:rPr>
          <w:rFonts w:hint="eastAsia" w:ascii="宋体" w:hAnsi="宋体" w:cs="宋体"/>
          <w:b/>
          <w:bCs/>
          <w:color w:val="auto"/>
          <w:kern w:val="0"/>
          <w:sz w:val="24"/>
        </w:rPr>
        <w:t>2.开标时间：202</w:t>
      </w:r>
      <w:r>
        <w:rPr>
          <w:rFonts w:hint="eastAsia" w:ascii="宋体" w:hAnsi="宋体" w:cs="宋体"/>
          <w:b/>
          <w:bCs/>
          <w:color w:val="auto"/>
          <w:kern w:val="0"/>
          <w:sz w:val="24"/>
          <w:lang w:val="en-US" w:eastAsia="zh-CN"/>
        </w:rPr>
        <w:t>5</w:t>
      </w:r>
      <w:r>
        <w:rPr>
          <w:rFonts w:hint="eastAsia" w:ascii="宋体" w:hAnsi="宋体" w:cs="宋体"/>
          <w:b/>
          <w:bCs/>
          <w:color w:val="auto"/>
          <w:kern w:val="0"/>
          <w:sz w:val="24"/>
        </w:rPr>
        <w:t>年</w:t>
      </w:r>
      <w:r>
        <w:rPr>
          <w:rFonts w:hint="eastAsia" w:ascii="宋体" w:hAnsi="宋体" w:cs="宋体"/>
          <w:b/>
          <w:bCs/>
          <w:color w:val="auto"/>
          <w:kern w:val="0"/>
          <w:sz w:val="24"/>
          <w:lang w:val="en-US" w:eastAsia="zh-CN"/>
        </w:rPr>
        <w:t>1</w:t>
      </w:r>
      <w:r>
        <w:rPr>
          <w:rFonts w:hint="eastAsia" w:ascii="宋体" w:hAnsi="宋体" w:cs="宋体"/>
          <w:b/>
          <w:bCs/>
          <w:color w:val="auto"/>
          <w:kern w:val="0"/>
          <w:sz w:val="24"/>
        </w:rPr>
        <w:t>月</w:t>
      </w:r>
      <w:r>
        <w:rPr>
          <w:rFonts w:hint="eastAsia" w:ascii="宋体" w:hAnsi="宋体" w:cs="宋体"/>
          <w:b/>
          <w:bCs/>
          <w:color w:val="auto"/>
          <w:kern w:val="0"/>
          <w:sz w:val="24"/>
          <w:lang w:val="en-US" w:eastAsia="zh-CN"/>
        </w:rPr>
        <w:t>17</w:t>
      </w:r>
      <w:r>
        <w:rPr>
          <w:rFonts w:hint="eastAsia" w:ascii="宋体" w:hAnsi="宋体" w:cs="宋体"/>
          <w:b/>
          <w:bCs/>
          <w:color w:val="auto"/>
          <w:kern w:val="0"/>
          <w:sz w:val="24"/>
        </w:rPr>
        <w:t>日</w:t>
      </w:r>
      <w:r>
        <w:rPr>
          <w:rFonts w:hint="eastAsia" w:ascii="宋体" w:hAnsi="宋体" w:cs="宋体"/>
          <w:b/>
          <w:bCs/>
          <w:color w:val="auto"/>
          <w:kern w:val="0"/>
          <w:sz w:val="24"/>
          <w:lang w:val="en-US" w:eastAsia="zh-CN"/>
        </w:rPr>
        <w:t>9：00</w:t>
      </w:r>
      <w:r>
        <w:rPr>
          <w:rFonts w:hint="eastAsia" w:ascii="宋体" w:hAnsi="宋体" w:cs="宋体"/>
          <w:b/>
          <w:bCs/>
          <w:color w:val="auto"/>
          <w:kern w:val="0"/>
          <w:sz w:val="24"/>
        </w:rPr>
        <w:t>（北京时间）</w:t>
      </w:r>
    </w:p>
    <w:p w14:paraId="3CC5F354">
      <w:pPr>
        <w:pStyle w:val="12"/>
        <w:ind w:firstLine="480" w:firstLineChars="200"/>
        <w:rPr>
          <w:rFonts w:ascii="宋体" w:hAnsi="宋体" w:cs="宋体"/>
          <w:color w:val="auto"/>
          <w:kern w:val="0"/>
          <w:sz w:val="24"/>
        </w:rPr>
      </w:pPr>
      <w:r>
        <w:rPr>
          <w:rFonts w:hint="eastAsia" w:ascii="宋体" w:hAnsi="宋体" w:cs="宋体"/>
          <w:color w:val="auto"/>
          <w:sz w:val="24"/>
        </w:rPr>
        <w:t>3.地点：</w:t>
      </w:r>
      <w:r>
        <w:rPr>
          <w:rFonts w:hint="eastAsia" w:ascii="宋体" w:hAnsi="宋体" w:cs="宋体"/>
          <w:color w:val="auto"/>
          <w:kern w:val="0"/>
          <w:sz w:val="24"/>
        </w:rPr>
        <w:t>嘉兴市公共资源交易中心二楼</w:t>
      </w:r>
      <w:r>
        <w:rPr>
          <w:rFonts w:hint="eastAsia" w:ascii="宋体" w:hAnsi="宋体" w:cs="宋体"/>
          <w:color w:val="auto"/>
          <w:kern w:val="0"/>
          <w:sz w:val="24"/>
          <w:lang w:val="en-US" w:eastAsia="zh-CN"/>
        </w:rPr>
        <w:t>7号</w:t>
      </w:r>
      <w:r>
        <w:rPr>
          <w:rFonts w:hint="eastAsia" w:ascii="宋体" w:hAnsi="宋体" w:cs="宋体"/>
          <w:color w:val="auto"/>
          <w:kern w:val="0"/>
          <w:sz w:val="24"/>
        </w:rPr>
        <w:t>开标室（广场路350号蒋水港桥西侧）。</w:t>
      </w:r>
    </w:p>
    <w:p w14:paraId="1F100581">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4.投标文件提交地址：</w:t>
      </w:r>
      <w:r>
        <w:rPr>
          <w:rFonts w:hint="eastAsia" w:ascii="宋体" w:hAnsi="宋体" w:cs="宋体"/>
          <w:color w:val="auto"/>
          <w:kern w:val="0"/>
          <w:sz w:val="24"/>
        </w:rPr>
        <w:t>嘉兴市公共资源交易中心二楼</w:t>
      </w:r>
      <w:r>
        <w:rPr>
          <w:rFonts w:hint="eastAsia" w:ascii="宋体" w:hAnsi="宋体" w:cs="宋体"/>
          <w:color w:val="auto"/>
          <w:kern w:val="0"/>
          <w:sz w:val="24"/>
          <w:lang w:val="en-US" w:eastAsia="zh-CN"/>
        </w:rPr>
        <w:t>7号</w:t>
      </w:r>
      <w:r>
        <w:rPr>
          <w:rFonts w:hint="eastAsia" w:ascii="宋体" w:hAnsi="宋体" w:cs="宋体"/>
          <w:color w:val="auto"/>
          <w:kern w:val="0"/>
          <w:sz w:val="24"/>
        </w:rPr>
        <w:t>开标室（广场路350号蒋水港桥西侧）。</w:t>
      </w:r>
    </w:p>
    <w:p w14:paraId="2816A399">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kern w:val="0"/>
          <w:sz w:val="24"/>
        </w:rPr>
        <w:t>曹海英，金婉娇</w:t>
      </w:r>
      <w:r>
        <w:rPr>
          <w:rFonts w:hint="eastAsia" w:ascii="宋体" w:hAnsi="宋体" w:cs="宋体"/>
          <w:color w:val="auto"/>
          <w:sz w:val="24"/>
        </w:rPr>
        <w:t>；联系电话：0571-87211505，18072746771</w:t>
      </w:r>
    </w:p>
    <w:p w14:paraId="5985F03A">
      <w:pPr>
        <w:widowControl/>
        <w:spacing w:line="360" w:lineRule="auto"/>
        <w:jc w:val="left"/>
        <w:rPr>
          <w:rFonts w:ascii="宋体" w:hAnsi="宋体" w:cs="宋体"/>
          <w:b/>
          <w:bCs/>
          <w:color w:val="auto"/>
          <w:kern w:val="0"/>
          <w:sz w:val="24"/>
        </w:rPr>
      </w:pPr>
      <w:r>
        <w:rPr>
          <w:rFonts w:hint="eastAsia" w:ascii="宋体" w:hAnsi="宋体" w:cs="宋体"/>
          <w:b/>
          <w:bCs/>
          <w:color w:val="auto"/>
          <w:kern w:val="0"/>
          <w:sz w:val="24"/>
        </w:rPr>
        <w:t>五、公告期限</w:t>
      </w:r>
    </w:p>
    <w:p w14:paraId="0C58FDC7">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55CCB77F">
      <w:pPr>
        <w:widowControl/>
        <w:numPr>
          <w:ilvl w:val="0"/>
          <w:numId w:val="2"/>
        </w:numPr>
        <w:spacing w:line="360" w:lineRule="auto"/>
        <w:jc w:val="left"/>
        <w:rPr>
          <w:rFonts w:ascii="宋体" w:hAnsi="宋体" w:cs="宋体"/>
          <w:b/>
          <w:bCs/>
          <w:color w:val="auto"/>
          <w:kern w:val="0"/>
          <w:sz w:val="24"/>
        </w:rPr>
      </w:pPr>
      <w:r>
        <w:rPr>
          <w:rFonts w:hint="eastAsia" w:ascii="宋体" w:hAnsi="宋体" w:cs="宋体"/>
          <w:b/>
          <w:bCs/>
          <w:color w:val="auto"/>
          <w:kern w:val="0"/>
          <w:sz w:val="24"/>
        </w:rPr>
        <w:t>其他补充事宜</w:t>
      </w:r>
    </w:p>
    <w:p w14:paraId="27684459">
      <w:pPr>
        <w:pStyle w:val="14"/>
        <w:spacing w:after="0" w:line="360" w:lineRule="auto"/>
        <w:ind w:left="0" w:leftChars="0" w:firstLine="480" w:firstLineChars="200"/>
        <w:rPr>
          <w:rFonts w:hint="default" w:ascii="宋体" w:hAnsi="宋体" w:eastAsia="宋体" w:cs="宋体"/>
          <w:color w:val="auto"/>
          <w:sz w:val="24"/>
          <w:lang w:val="en-US" w:eastAsia="zh-CN"/>
        </w:rPr>
      </w:pPr>
      <w:r>
        <w:rPr>
          <w:rFonts w:hint="eastAsia" w:ascii="宋体" w:hAnsi="宋体" w:cs="宋体"/>
          <w:color w:val="auto"/>
          <w:sz w:val="24"/>
        </w:rPr>
        <w:t>1.获取招标文件时汇款请在用途栏中注明项目编号：</w:t>
      </w:r>
      <w:r>
        <w:rPr>
          <w:rFonts w:hint="eastAsia" w:ascii="宋体" w:hAnsi="宋体" w:cs="宋体"/>
          <w:bCs/>
          <w:color w:val="auto"/>
          <w:sz w:val="24"/>
          <w:lang w:eastAsia="zh-CN"/>
        </w:rPr>
        <w:t>嘉消采-GK20240</w:t>
      </w:r>
      <w:r>
        <w:rPr>
          <w:rFonts w:hint="eastAsia" w:ascii="宋体" w:hAnsi="宋体" w:cs="宋体"/>
          <w:bCs/>
          <w:color w:val="auto"/>
          <w:sz w:val="24"/>
          <w:lang w:val="en-US" w:eastAsia="zh-CN"/>
        </w:rPr>
        <w:t>17</w:t>
      </w:r>
    </w:p>
    <w:p w14:paraId="59AC06FE">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代理机构账户信息：</w:t>
      </w:r>
    </w:p>
    <w:p w14:paraId="49D9799A">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收款单位（户名）：杭州意信招标代理有限公司</w:t>
      </w:r>
    </w:p>
    <w:p w14:paraId="01694DBE">
      <w:pPr>
        <w:tabs>
          <w:tab w:val="left" w:pos="735"/>
        </w:tabs>
        <w:adjustRightIn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开户银行：中国工商银行杭州国际花园支行</w:t>
      </w:r>
    </w:p>
    <w:p w14:paraId="4148FAD8">
      <w:pPr>
        <w:tabs>
          <w:tab w:val="left" w:pos="735"/>
        </w:tabs>
        <w:adjustRightInd w:val="0"/>
        <w:spacing w:line="360" w:lineRule="auto"/>
        <w:ind w:firstLine="480" w:firstLineChars="200"/>
        <w:rPr>
          <w:rFonts w:ascii="宋体" w:hAnsi="宋体" w:cs="宋体"/>
          <w:color w:val="auto"/>
          <w:sz w:val="24"/>
        </w:rPr>
      </w:pPr>
      <w:r>
        <w:rPr>
          <w:rFonts w:hint="eastAsia" w:ascii="宋体" w:hAnsi="宋体" w:cs="宋体"/>
          <w:color w:val="auto"/>
          <w:sz w:val="24"/>
          <w:lang w:val="zh-CN"/>
        </w:rPr>
        <w:t>银行账号：1202052319900022431</w:t>
      </w:r>
    </w:p>
    <w:p w14:paraId="340F9C5B">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2.未按招标公告规定获取招标文件的投标将被拒绝。</w:t>
      </w:r>
    </w:p>
    <w:p w14:paraId="5D43880C">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w:t>
      </w:r>
      <w:r>
        <w:rPr>
          <w:rFonts w:hint="eastAsia" w:ascii="宋体" w:hAnsi="宋体" w:cs="宋体"/>
          <w:color w:val="auto"/>
          <w:sz w:val="24"/>
          <w:highlight w:val="none"/>
        </w:rPr>
        <w:t>部门投诉。</w:t>
      </w:r>
    </w:p>
    <w:p w14:paraId="4755FE9F">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4.单位负责人为同一人或者存在直接控股、管理关系的不同供应商，不得同时参加同一合同项下的投标。</w:t>
      </w:r>
    </w:p>
    <w:p w14:paraId="3D431A13">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5.为项目提供整体设计、规范编制或者项目管理、监理、检测等服务的供应商，不得再参加该采购项目的其他采购活动。</w:t>
      </w:r>
    </w:p>
    <w:p w14:paraId="05B8D026">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6.投标人不得为列入失信被执行人、重大税收违法失信主体、政府采购严重违法失信行为记录名单的供应商。</w:t>
      </w:r>
    </w:p>
    <w:p w14:paraId="1648C4DE">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（1）信用信息查询渠道：“信用中国”网站（www.creditchina.gov.cn）、中国政府采购网（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Style w:val="40"/>
          <w:rFonts w:hint="default" w:ascii="宋体" w:hAnsi="宋体" w:eastAsia="宋体" w:cs="宋体"/>
          <w:color w:val="auto"/>
          <w:sz w:val="24"/>
        </w:rPr>
        <w:t>www.ccgp.gov.cn</w:t>
      </w:r>
      <w:r>
        <w:rPr>
          <w:rStyle w:val="40"/>
          <w:rFonts w:hint="default" w:ascii="宋体" w:hAnsi="宋体" w:eastAsia="宋体" w:cs="宋体"/>
          <w:color w:val="auto"/>
          <w:sz w:val="24"/>
        </w:rPr>
        <w:fldChar w:fldCharType="end"/>
      </w:r>
      <w:r>
        <w:rPr>
          <w:rFonts w:hint="eastAsia" w:ascii="宋体" w:hAnsi="宋体" w:cs="宋体"/>
          <w:color w:val="auto"/>
          <w:sz w:val="24"/>
        </w:rPr>
        <w:t>）。</w:t>
      </w:r>
    </w:p>
    <w:p w14:paraId="068AAD5D">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（2）信用信息查询截止时点：开标日由采购人或采购代理查询投标人的信用信息记录。</w:t>
      </w:r>
    </w:p>
    <w:p w14:paraId="29E4FE71">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（3）信用信息查询记录和证据留存的具体方式：信用信息查询记录将以网站截图打印稿形式与其他采购文件一并保存。</w:t>
      </w:r>
    </w:p>
    <w:p w14:paraId="3A44FE42">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4）信用信息的使用规则：如投标人为“信用中国”网站（www.creditchina.gov.cn）中列入失信被执行人或重大税收违法失信主体的供应商，或为中国政府采购网（www.ccgp.gov.cn）政府采购严重违法失信行为记录名单中被财政部门禁止参加政府采购活动的供应商，则其投标将被拒绝。</w:t>
      </w:r>
    </w:p>
    <w:p w14:paraId="14CE5047">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7.本项目不收取投标保证金。</w:t>
      </w:r>
    </w:p>
    <w:p w14:paraId="37705880">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8.本项目执行促进中小企业发展、优先采购节能产品、优先采购环境标志产品政策。</w:t>
      </w:r>
    </w:p>
    <w:p w14:paraId="237B30F2">
      <w:pPr>
        <w:pStyle w:val="14"/>
        <w:spacing w:after="0"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9.本项目相关公告在发布媒体：中国政府采购网(www.ccgp.gov.cn/)和浙江政府采购网（zfcg.czt.zj.gov.cn/），嘉兴市公共资源交易网（https://jxszwsjb.jiaxing.gov.cn/）。相关公告在法定媒体上公布之日即视为有效送达，请各投标人及时关注。</w:t>
      </w:r>
    </w:p>
    <w:p w14:paraId="63719F3D">
      <w:pPr>
        <w:spacing w:line="360" w:lineRule="auto"/>
        <w:ind w:left="67" w:right="67" w:firstLine="540"/>
        <w:rPr>
          <w:rFonts w:hint="eastAsia"/>
          <w:color w:val="auto"/>
        </w:rPr>
      </w:pPr>
      <w:r>
        <w:rPr>
          <w:rFonts w:ascii="宋体" w:hAnsi="宋体" w:cs="宋体"/>
          <w:color w:val="auto"/>
          <w:sz w:val="24"/>
        </w:rPr>
        <w:t>10</w:t>
      </w:r>
      <w:r>
        <w:rPr>
          <w:rFonts w:ascii="宋体" w:hAnsi="宋体" w:cs="Arial"/>
          <w:color w:val="auto"/>
          <w:kern w:val="0"/>
          <w:sz w:val="24"/>
        </w:rPr>
        <w:t>.书面质疑受理地点：浙江省杭州市</w:t>
      </w:r>
      <w:r>
        <w:rPr>
          <w:rFonts w:hint="eastAsia" w:ascii="宋体" w:hAnsi="宋体" w:cs="Arial"/>
          <w:color w:val="auto"/>
          <w:kern w:val="0"/>
          <w:sz w:val="24"/>
          <w:lang w:val="en-US" w:eastAsia="zh-CN"/>
        </w:rPr>
        <w:t>莫干山</w:t>
      </w:r>
      <w:r>
        <w:rPr>
          <w:rFonts w:ascii="宋体" w:hAnsi="宋体" w:cs="Arial"/>
          <w:color w:val="auto"/>
          <w:kern w:val="0"/>
          <w:sz w:val="24"/>
        </w:rPr>
        <w:t>路</w:t>
      </w:r>
      <w:r>
        <w:rPr>
          <w:rFonts w:hint="eastAsia" w:ascii="宋体" w:hAnsi="宋体" w:cs="宋体"/>
          <w:color w:val="auto"/>
          <w:kern w:val="0"/>
          <w:sz w:val="24"/>
        </w:rPr>
        <w:t>1243号，星尚发展大厦A座8楼810室</w:t>
      </w:r>
      <w:r>
        <w:rPr>
          <w:rFonts w:ascii="宋体" w:hAnsi="宋体" w:cs="Arial"/>
          <w:color w:val="auto"/>
          <w:kern w:val="0"/>
          <w:sz w:val="24"/>
        </w:rPr>
        <w:t>；</w:t>
      </w:r>
      <w:r>
        <w:rPr>
          <w:rFonts w:hint="eastAsia" w:ascii="宋体" w:hAnsi="宋体"/>
          <w:color w:val="auto"/>
          <w:kern w:val="0"/>
          <w:sz w:val="24"/>
        </w:rPr>
        <w:t>接收质疑的联系人：</w:t>
      </w:r>
      <w:r>
        <w:rPr>
          <w:rFonts w:hint="eastAsia" w:ascii="宋体" w:hAnsi="宋体"/>
          <w:color w:val="auto"/>
          <w:kern w:val="0"/>
          <w:sz w:val="24"/>
          <w:lang w:val="en-US" w:eastAsia="zh-CN"/>
        </w:rPr>
        <w:t>曹女士</w:t>
      </w:r>
      <w:r>
        <w:rPr>
          <w:rFonts w:hint="eastAsia" w:ascii="宋体" w:hAnsi="宋体"/>
          <w:color w:val="auto"/>
          <w:kern w:val="0"/>
          <w:sz w:val="24"/>
        </w:rPr>
        <w:t>，联系</w:t>
      </w:r>
      <w:r>
        <w:rPr>
          <w:rFonts w:hint="eastAsia" w:ascii="宋体" w:hAnsi="宋体" w:cs="宋体"/>
          <w:color w:val="auto"/>
          <w:kern w:val="0"/>
          <w:sz w:val="24"/>
        </w:rPr>
        <w:t>方式：0571-87829182。</w:t>
      </w:r>
    </w:p>
    <w:p w14:paraId="5FBB1654">
      <w:pPr>
        <w:spacing w:line="360" w:lineRule="auto"/>
        <w:jc w:val="left"/>
        <w:rPr>
          <w:rFonts w:ascii="宋体" w:hAnsi="宋体" w:cs="宋体"/>
          <w:b/>
          <w:bCs/>
          <w:color w:val="auto"/>
          <w:sz w:val="24"/>
        </w:rPr>
      </w:pPr>
      <w:r>
        <w:rPr>
          <w:rFonts w:hint="eastAsia" w:ascii="宋体" w:hAnsi="宋体" w:cs="宋体"/>
          <w:b/>
          <w:bCs/>
          <w:color w:val="auto"/>
          <w:sz w:val="24"/>
        </w:rPr>
        <w:t>七、对本次招标提出询问，请按以下方式联系</w:t>
      </w:r>
    </w:p>
    <w:p w14:paraId="54B63603">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1.采购人信息</w:t>
      </w:r>
    </w:p>
    <w:p w14:paraId="2B651682">
      <w:pPr>
        <w:adjustRightInd w:val="0"/>
        <w:spacing w:line="360" w:lineRule="auto"/>
        <w:ind w:firstLine="720" w:firstLineChars="300"/>
        <w:rPr>
          <w:rFonts w:ascii="宋体" w:hAnsi="宋体" w:cs="宋体"/>
          <w:color w:val="auto"/>
          <w:sz w:val="24"/>
        </w:rPr>
      </w:pPr>
      <w:r>
        <w:rPr>
          <w:rFonts w:hint="eastAsia" w:ascii="宋体" w:hAnsi="宋体" w:cs="宋体"/>
          <w:color w:val="auto"/>
          <w:sz w:val="24"/>
        </w:rPr>
        <w:t>名称：嘉兴市消防救援支队</w:t>
      </w:r>
    </w:p>
    <w:p w14:paraId="4A433B44">
      <w:pPr>
        <w:adjustRightInd w:val="0"/>
        <w:spacing w:line="360" w:lineRule="auto"/>
        <w:ind w:firstLine="720" w:firstLineChars="300"/>
        <w:rPr>
          <w:rFonts w:ascii="宋体" w:hAnsi="宋体" w:cs="宋体"/>
          <w:color w:val="auto"/>
          <w:sz w:val="24"/>
        </w:rPr>
      </w:pPr>
      <w:r>
        <w:rPr>
          <w:rFonts w:hint="eastAsia" w:ascii="宋体" w:hAnsi="宋体" w:cs="宋体"/>
          <w:color w:val="auto"/>
          <w:sz w:val="24"/>
        </w:rPr>
        <w:t>地址：浙江省嘉兴市南湖区长水路1500号</w:t>
      </w:r>
    </w:p>
    <w:p w14:paraId="4891BD43">
      <w:pPr>
        <w:adjustRightInd w:val="0"/>
        <w:spacing w:line="360" w:lineRule="auto"/>
        <w:ind w:firstLine="720" w:firstLineChars="300"/>
        <w:rPr>
          <w:rFonts w:ascii="宋体" w:hAnsi="宋体" w:cs="宋体"/>
          <w:color w:val="auto"/>
          <w:sz w:val="24"/>
        </w:rPr>
      </w:pPr>
      <w:r>
        <w:rPr>
          <w:rFonts w:hint="eastAsia" w:ascii="宋体" w:hAnsi="宋体" w:cs="宋体"/>
          <w:color w:val="auto"/>
          <w:sz w:val="24"/>
        </w:rPr>
        <w:t>联系人：张助理</w:t>
      </w:r>
    </w:p>
    <w:p w14:paraId="4C0A2E5C">
      <w:pPr>
        <w:adjustRightInd w:val="0"/>
        <w:spacing w:line="360" w:lineRule="auto"/>
        <w:ind w:firstLine="720" w:firstLineChars="300"/>
        <w:rPr>
          <w:rFonts w:hint="default" w:ascii="宋体" w:hAnsi="宋体" w:eastAsia="宋体" w:cs="宋体"/>
          <w:color w:val="auto"/>
          <w:sz w:val="24"/>
          <w:lang w:val="en-US" w:eastAsia="zh-CN"/>
        </w:rPr>
      </w:pPr>
      <w:r>
        <w:rPr>
          <w:rFonts w:hint="eastAsia" w:ascii="宋体" w:hAnsi="宋体" w:cs="宋体"/>
          <w:color w:val="auto"/>
          <w:sz w:val="24"/>
        </w:rPr>
        <w:t>联系方式：0573-82630533</w:t>
      </w:r>
    </w:p>
    <w:p w14:paraId="37DC99F3">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2.采购代理机构信息</w:t>
      </w:r>
    </w:p>
    <w:p w14:paraId="3A9F0058">
      <w:pPr>
        <w:widowControl/>
        <w:adjustRightInd w:val="0"/>
        <w:spacing w:line="360" w:lineRule="auto"/>
        <w:ind w:firstLine="720" w:firstLineChars="300"/>
        <w:rPr>
          <w:rStyle w:val="111"/>
          <w:rFonts w:ascii="宋体" w:hAnsi="宋体" w:eastAsia="宋体" w:cs="宋体"/>
          <w:color w:val="auto"/>
          <w:sz w:val="24"/>
          <w:szCs w:val="24"/>
        </w:rPr>
      </w:pPr>
      <w:r>
        <w:rPr>
          <w:rStyle w:val="111"/>
          <w:rFonts w:hint="eastAsia" w:ascii="宋体" w:hAnsi="宋体" w:eastAsia="宋体" w:cs="宋体"/>
          <w:color w:val="auto"/>
          <w:sz w:val="24"/>
          <w:szCs w:val="24"/>
        </w:rPr>
        <w:t>名称：杭州意信招标代理有限公司</w:t>
      </w:r>
    </w:p>
    <w:p w14:paraId="4BC6882C">
      <w:pPr>
        <w:widowControl/>
        <w:adjustRightInd w:val="0"/>
        <w:spacing w:line="360" w:lineRule="auto"/>
        <w:ind w:firstLine="720" w:firstLineChars="300"/>
        <w:rPr>
          <w:rStyle w:val="111"/>
          <w:rFonts w:ascii="宋体" w:hAnsi="宋体" w:eastAsia="宋体" w:cs="宋体"/>
          <w:color w:val="auto"/>
          <w:sz w:val="24"/>
          <w:szCs w:val="24"/>
        </w:rPr>
      </w:pPr>
      <w:r>
        <w:rPr>
          <w:rStyle w:val="111"/>
          <w:rFonts w:hint="eastAsia" w:ascii="宋体" w:hAnsi="宋体" w:eastAsia="宋体" w:cs="宋体"/>
          <w:color w:val="auto"/>
          <w:sz w:val="24"/>
          <w:szCs w:val="24"/>
        </w:rPr>
        <w:t>地址：</w:t>
      </w:r>
      <w:r>
        <w:rPr>
          <w:rFonts w:hint="eastAsia" w:ascii="宋体" w:hAnsi="宋体" w:cs="宋体"/>
          <w:color w:val="auto"/>
          <w:kern w:val="0"/>
          <w:sz w:val="24"/>
        </w:rPr>
        <w:t>杭州市莫干山路1243号，星尚发展大厦A座8楼810室</w:t>
      </w:r>
    </w:p>
    <w:p w14:paraId="05CA6667">
      <w:pPr>
        <w:widowControl/>
        <w:adjustRightInd w:val="0"/>
        <w:spacing w:line="360" w:lineRule="auto"/>
        <w:ind w:firstLine="720" w:firstLineChars="300"/>
        <w:rPr>
          <w:rStyle w:val="111"/>
          <w:rFonts w:hint="eastAsia" w:ascii="宋体" w:hAnsi="宋体" w:eastAsia="宋体" w:cs="宋体"/>
          <w:color w:val="auto"/>
          <w:sz w:val="24"/>
          <w:szCs w:val="24"/>
          <w:lang w:eastAsia="zh-CN"/>
        </w:rPr>
      </w:pPr>
      <w:r>
        <w:rPr>
          <w:rFonts w:hint="eastAsia" w:hAnsi="宋体"/>
          <w:sz w:val="24"/>
        </w:rPr>
        <w:t>联系方式：</w:t>
      </w:r>
      <w:r>
        <w:rPr>
          <w:rFonts w:hint="eastAsia" w:ascii="宋体" w:hAnsi="宋体" w:cs="宋体"/>
          <w:color w:val="auto"/>
          <w:kern w:val="0"/>
          <w:sz w:val="24"/>
        </w:rPr>
        <w:t>曹海英，金婉娇</w:t>
      </w:r>
      <w:r>
        <w:rPr>
          <w:rFonts w:hint="eastAsia" w:ascii="宋体" w:hAnsi="宋体" w:cs="宋体"/>
          <w:color w:val="auto"/>
          <w:kern w:val="0"/>
          <w:sz w:val="24"/>
          <w:lang w:eastAsia="zh-CN"/>
        </w:rPr>
        <w:t>，</w:t>
      </w:r>
      <w:r>
        <w:rPr>
          <w:rFonts w:hint="eastAsia" w:ascii="宋体" w:hAnsi="宋体" w:cs="宋体"/>
          <w:color w:val="auto"/>
          <w:kern w:val="0"/>
          <w:sz w:val="24"/>
        </w:rPr>
        <w:t>0571-87211505，88219719</w:t>
      </w:r>
    </w:p>
    <w:p w14:paraId="7F3F3769">
      <w:pPr>
        <w:spacing w:line="360" w:lineRule="auto"/>
        <w:ind w:firstLine="464" w:firstLineChars="200"/>
        <w:jc w:val="left"/>
        <w:rPr>
          <w:rStyle w:val="111"/>
          <w:rFonts w:hint="eastAsia" w:ascii="宋体" w:hAnsi="宋体" w:eastAsia="宋体" w:cs="宋体"/>
          <w:color w:val="auto"/>
          <w:sz w:val="24"/>
          <w:szCs w:val="24"/>
        </w:rPr>
      </w:pPr>
      <w:r>
        <w:rPr>
          <w:spacing w:val="-4"/>
          <w:kern w:val="0"/>
          <w:sz w:val="24"/>
          <w:szCs w:val="20"/>
        </w:rPr>
        <w:t>3.项目联系方式</w:t>
      </w:r>
    </w:p>
    <w:p w14:paraId="45F1F0EF">
      <w:pPr>
        <w:widowControl/>
        <w:adjustRightInd w:val="0"/>
        <w:spacing w:line="360" w:lineRule="auto"/>
        <w:ind w:firstLine="720" w:firstLineChars="300"/>
        <w:rPr>
          <w:rStyle w:val="111"/>
          <w:rFonts w:ascii="宋体" w:hAnsi="宋体" w:eastAsia="宋体" w:cs="宋体"/>
          <w:color w:val="auto"/>
          <w:sz w:val="24"/>
          <w:szCs w:val="24"/>
        </w:rPr>
      </w:pPr>
      <w:r>
        <w:rPr>
          <w:rStyle w:val="111"/>
          <w:rFonts w:hint="eastAsia" w:ascii="宋体" w:hAnsi="宋体" w:eastAsia="宋体" w:cs="宋体"/>
          <w:color w:val="auto"/>
          <w:sz w:val="24"/>
          <w:szCs w:val="24"/>
        </w:rPr>
        <w:t>项目联系人：</w:t>
      </w:r>
      <w:r>
        <w:rPr>
          <w:rFonts w:hint="eastAsia" w:ascii="宋体" w:hAnsi="宋体" w:cs="宋体"/>
          <w:color w:val="auto"/>
          <w:kern w:val="0"/>
          <w:sz w:val="24"/>
        </w:rPr>
        <w:t>曹海英，金婉娇</w:t>
      </w:r>
    </w:p>
    <w:p w14:paraId="1720A4EC">
      <w:pPr>
        <w:widowControl/>
        <w:adjustRightInd w:val="0"/>
        <w:spacing w:line="360" w:lineRule="auto"/>
        <w:ind w:firstLine="720" w:firstLineChars="300"/>
        <w:jc w:val="left"/>
        <w:rPr>
          <w:rFonts w:hint="eastAsia" w:ascii="宋体" w:hAnsi="宋体" w:cs="宋体"/>
          <w:color w:val="auto"/>
          <w:kern w:val="0"/>
          <w:sz w:val="24"/>
        </w:rPr>
      </w:pPr>
      <w:r>
        <w:rPr>
          <w:rStyle w:val="111"/>
          <w:rFonts w:hint="eastAsia" w:ascii="宋体" w:hAnsi="宋体" w:eastAsia="宋体" w:cs="宋体"/>
          <w:color w:val="auto"/>
          <w:sz w:val="24"/>
          <w:szCs w:val="24"/>
        </w:rPr>
        <w:t>项目联系方式：</w:t>
      </w:r>
      <w:r>
        <w:rPr>
          <w:rFonts w:hint="eastAsia" w:ascii="宋体" w:hAnsi="宋体" w:cs="宋体"/>
          <w:color w:val="auto"/>
          <w:kern w:val="0"/>
          <w:sz w:val="24"/>
        </w:rPr>
        <w:t>0571-87211505，88219719</w:t>
      </w:r>
    </w:p>
    <w:p w14:paraId="799176AF">
      <w:pPr>
        <w:widowControl/>
        <w:adjustRightInd w:val="0"/>
        <w:spacing w:line="360" w:lineRule="auto"/>
        <w:ind w:firstLine="720" w:firstLineChars="300"/>
        <w:jc w:val="left"/>
        <w:rPr>
          <w:rFonts w:hint="eastAsia" w:ascii="宋体" w:hAnsi="宋体" w:cs="宋体"/>
          <w:color w:val="auto"/>
          <w:kern w:val="0"/>
          <w:sz w:val="24"/>
        </w:rPr>
      </w:pPr>
    </w:p>
    <w:p w14:paraId="25EBB678">
      <w:pPr>
        <w:spacing w:line="360" w:lineRule="auto"/>
        <w:ind w:left="238"/>
        <w:jc w:val="right"/>
        <w:rPr>
          <w:rFonts w:ascii="宋体" w:hAnsi="宋体" w:cs="宋体"/>
          <w:bCs/>
          <w:color w:val="auto"/>
          <w:sz w:val="24"/>
        </w:rPr>
      </w:pPr>
      <w:r>
        <w:rPr>
          <w:rFonts w:hint="eastAsia" w:ascii="宋体" w:hAnsi="宋体" w:cs="宋体"/>
          <w:bCs/>
          <w:color w:val="auto"/>
          <w:sz w:val="24"/>
        </w:rPr>
        <w:t>嘉兴市消防救援支队</w:t>
      </w:r>
    </w:p>
    <w:p w14:paraId="33D703B1">
      <w:pPr>
        <w:spacing w:line="360" w:lineRule="auto"/>
        <w:ind w:left="238"/>
        <w:jc w:val="right"/>
        <w:rPr>
          <w:rFonts w:ascii="宋体" w:hAnsi="宋体" w:cs="宋体"/>
          <w:bCs/>
          <w:color w:val="auto"/>
          <w:sz w:val="24"/>
        </w:rPr>
      </w:pPr>
      <w:r>
        <w:rPr>
          <w:rFonts w:hint="eastAsia" w:ascii="宋体" w:hAnsi="宋体" w:cs="宋体"/>
          <w:bCs/>
          <w:color w:val="auto"/>
          <w:sz w:val="24"/>
        </w:rPr>
        <w:t>杭州意信招标代理有限公司</w:t>
      </w:r>
    </w:p>
    <w:p w14:paraId="39793226">
      <w:pPr>
        <w:wordWrap w:val="0"/>
        <w:spacing w:line="360" w:lineRule="auto"/>
        <w:ind w:left="238"/>
        <w:jc w:val="right"/>
        <w:rPr>
          <w:rFonts w:hint="default" w:eastAsia="宋体"/>
          <w:color w:val="auto"/>
          <w:lang w:val="en-US" w:eastAsia="zh-CN"/>
        </w:rPr>
      </w:pPr>
      <w:r>
        <w:rPr>
          <w:rFonts w:hint="eastAsia" w:ascii="宋体" w:hAnsi="宋体" w:cs="宋体"/>
          <w:bCs/>
          <w:color w:val="auto"/>
          <w:sz w:val="24"/>
        </w:rPr>
        <w:t>二○二四年</w:t>
      </w:r>
      <w:r>
        <w:rPr>
          <w:rFonts w:hint="eastAsia" w:ascii="宋体" w:hAnsi="宋体" w:cs="宋体"/>
          <w:bCs/>
          <w:color w:val="auto"/>
          <w:sz w:val="24"/>
          <w:lang w:val="en-US" w:eastAsia="zh-CN"/>
        </w:rPr>
        <w:t>十二</w:t>
      </w:r>
      <w:r>
        <w:rPr>
          <w:rFonts w:hint="eastAsia" w:ascii="宋体" w:hAnsi="宋体" w:cs="宋体"/>
          <w:bCs/>
          <w:color w:val="auto"/>
          <w:sz w:val="24"/>
        </w:rPr>
        <w:t>月</w:t>
      </w:r>
    </w:p>
    <w:p w14:paraId="3DD1728B">
      <w:pPr>
        <w:spacing w:line="360" w:lineRule="auto"/>
        <w:jc w:val="left"/>
        <w:rPr>
          <w:color w:val="auto"/>
        </w:rPr>
      </w:pPr>
    </w:p>
    <w:p w14:paraId="2723CE11">
      <w:pPr>
        <w:spacing w:line="360" w:lineRule="auto"/>
        <w:jc w:val="center"/>
        <w:outlineLvl w:val="0"/>
        <w:rPr>
          <w:rFonts w:ascii="宋体" w:hAnsi="宋体" w:cs="宋体"/>
          <w:b/>
          <w:color w:val="auto"/>
          <w:sz w:val="32"/>
          <w:szCs w:val="32"/>
        </w:rPr>
        <w:sectPr>
          <w:footerReference r:id="rId10" w:type="first"/>
          <w:footerReference r:id="rId9" w:type="default"/>
          <w:pgSz w:w="11906" w:h="16838"/>
          <w:pgMar w:top="1440" w:right="1800" w:bottom="1440" w:left="1800" w:header="851" w:footer="992" w:gutter="0"/>
          <w:cols w:space="720" w:num="1"/>
          <w:titlePg/>
          <w:docGrid w:type="lines" w:linePitch="312" w:charSpace="0"/>
        </w:sectPr>
      </w:pPr>
    </w:p>
    <w:p w14:paraId="775FA87A">
      <w:pPr>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第二部分  投标人须知</w:t>
      </w:r>
      <w:bookmarkEnd w:id="1"/>
    </w:p>
    <w:p w14:paraId="61730A90">
      <w:pPr>
        <w:spacing w:line="360" w:lineRule="auto"/>
        <w:jc w:val="center"/>
        <w:outlineLvl w:val="1"/>
        <w:rPr>
          <w:rFonts w:ascii="宋体" w:hAnsi="宋体" w:cs="宋体"/>
          <w:b/>
          <w:color w:val="auto"/>
          <w:sz w:val="28"/>
          <w:szCs w:val="28"/>
        </w:rPr>
      </w:pPr>
      <w:r>
        <w:rPr>
          <w:rFonts w:hint="eastAsia" w:ascii="宋体" w:hAnsi="宋体" w:cs="宋体"/>
          <w:b/>
          <w:color w:val="auto"/>
          <w:sz w:val="28"/>
          <w:szCs w:val="28"/>
        </w:rPr>
        <w:t>前 附 表</w:t>
      </w:r>
    </w:p>
    <w:tbl>
      <w:tblPr>
        <w:tblStyle w:val="34"/>
        <w:tblW w:w="97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1486"/>
        <w:gridCol w:w="7614"/>
      </w:tblGrid>
      <w:tr w14:paraId="11B31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29B192D1">
            <w:pPr>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序号</w:t>
            </w:r>
          </w:p>
        </w:tc>
        <w:tc>
          <w:tcPr>
            <w:tcW w:w="1486" w:type="dxa"/>
            <w:tcBorders>
              <w:top w:val="single" w:color="auto" w:sz="4" w:space="0"/>
              <w:left w:val="single" w:color="auto" w:sz="4" w:space="0"/>
              <w:bottom w:val="single" w:color="auto" w:sz="4" w:space="0"/>
              <w:right w:val="single" w:color="auto" w:sz="4" w:space="0"/>
            </w:tcBorders>
            <w:vAlign w:val="center"/>
          </w:tcPr>
          <w:p w14:paraId="32D041AB">
            <w:pPr>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内容</w:t>
            </w:r>
          </w:p>
        </w:tc>
        <w:tc>
          <w:tcPr>
            <w:tcW w:w="7614" w:type="dxa"/>
            <w:tcBorders>
              <w:top w:val="single" w:color="auto" w:sz="4" w:space="0"/>
              <w:left w:val="single" w:color="auto" w:sz="4" w:space="0"/>
              <w:bottom w:val="single" w:color="auto" w:sz="4" w:space="0"/>
              <w:right w:val="single" w:color="auto" w:sz="4" w:space="0"/>
            </w:tcBorders>
            <w:vAlign w:val="center"/>
          </w:tcPr>
          <w:p w14:paraId="342B899F">
            <w:pPr>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说明与要求</w:t>
            </w:r>
          </w:p>
        </w:tc>
      </w:tr>
      <w:tr w14:paraId="2A697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15DFFFC">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w:t>
            </w:r>
          </w:p>
        </w:tc>
        <w:tc>
          <w:tcPr>
            <w:tcW w:w="1486" w:type="dxa"/>
            <w:tcBorders>
              <w:top w:val="single" w:color="auto" w:sz="4" w:space="0"/>
              <w:left w:val="single" w:color="auto" w:sz="4" w:space="0"/>
              <w:bottom w:val="single" w:color="auto" w:sz="4" w:space="0"/>
              <w:right w:val="single" w:color="auto" w:sz="4" w:space="0"/>
            </w:tcBorders>
            <w:vAlign w:val="center"/>
          </w:tcPr>
          <w:p w14:paraId="0DC08319">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项目名称</w:t>
            </w:r>
          </w:p>
        </w:tc>
        <w:tc>
          <w:tcPr>
            <w:tcW w:w="7614" w:type="dxa"/>
            <w:tcBorders>
              <w:top w:val="single" w:color="auto" w:sz="4" w:space="0"/>
              <w:left w:val="single" w:color="auto" w:sz="4" w:space="0"/>
              <w:bottom w:val="single" w:color="auto" w:sz="4" w:space="0"/>
              <w:right w:val="single" w:color="auto" w:sz="4" w:space="0"/>
            </w:tcBorders>
            <w:vAlign w:val="center"/>
          </w:tcPr>
          <w:p w14:paraId="3AB29388">
            <w:pPr>
              <w:snapToGrid w:val="0"/>
              <w:spacing w:line="360" w:lineRule="auto"/>
              <w:ind w:firstLine="482" w:firstLineChars="200"/>
              <w:jc w:val="left"/>
              <w:rPr>
                <w:rFonts w:hint="eastAsia" w:ascii="宋体" w:hAnsi="宋体" w:eastAsia="宋体" w:cs="宋体"/>
                <w:color w:val="auto"/>
                <w:spacing w:val="-6"/>
                <w:sz w:val="24"/>
                <w:lang w:eastAsia="zh-CN"/>
              </w:rPr>
            </w:pPr>
            <w:r>
              <w:rPr>
                <w:rFonts w:hint="eastAsia" w:ascii="宋体" w:hAnsi="宋体" w:cs="宋体"/>
                <w:b/>
                <w:bCs/>
                <w:color w:val="auto"/>
                <w:sz w:val="24"/>
                <w:lang w:eastAsia="zh-CN"/>
              </w:rPr>
              <w:t>浙江省嘉兴市消防救援支队2024年度装备器材采购项目(救生、警戒、堵漏和水域救援类）</w:t>
            </w:r>
          </w:p>
        </w:tc>
      </w:tr>
      <w:tr w14:paraId="3FA55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51D1F42D">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14:paraId="036AD571">
            <w:pPr>
              <w:pStyle w:val="17"/>
              <w:spacing w:beforeLines="0" w:afterLines="0" w:line="360" w:lineRule="auto"/>
              <w:jc w:val="center"/>
              <w:rPr>
                <w:rFonts w:hAnsi="宋体" w:cs="宋体"/>
                <w:b/>
                <w:color w:val="auto"/>
                <w:spacing w:val="-20"/>
              </w:rPr>
            </w:pPr>
            <w:r>
              <w:rPr>
                <w:rFonts w:hint="eastAsia" w:hAnsi="宋体" w:cs="宋体"/>
                <w:b/>
                <w:color w:val="auto"/>
                <w:spacing w:val="-20"/>
              </w:rPr>
              <w:t>项目属性</w:t>
            </w:r>
          </w:p>
          <w:p w14:paraId="58386D28">
            <w:pPr>
              <w:pStyle w:val="17"/>
              <w:spacing w:beforeLines="0" w:afterLines="0" w:line="360" w:lineRule="auto"/>
              <w:jc w:val="center"/>
              <w:rPr>
                <w:rFonts w:hAnsi="宋体" w:cs="宋体"/>
                <w:b/>
                <w:bCs/>
                <w:color w:val="auto"/>
                <w:spacing w:val="-6"/>
              </w:rPr>
            </w:pPr>
            <w:r>
              <w:rPr>
                <w:rFonts w:hint="eastAsia" w:hAnsi="宋体" w:cs="宋体"/>
                <w:b/>
                <w:color w:val="auto"/>
                <w:spacing w:val="-20"/>
              </w:rPr>
              <w:t>与核心产品</w:t>
            </w:r>
          </w:p>
        </w:tc>
        <w:tc>
          <w:tcPr>
            <w:tcW w:w="7614" w:type="dxa"/>
            <w:tcBorders>
              <w:top w:val="single" w:color="auto" w:sz="4" w:space="0"/>
              <w:left w:val="single" w:color="auto" w:sz="4" w:space="0"/>
              <w:bottom w:val="single" w:color="auto" w:sz="4" w:space="0"/>
              <w:right w:val="single" w:color="auto" w:sz="4" w:space="0"/>
            </w:tcBorders>
            <w:shd w:val="clear" w:color="auto" w:fill="auto"/>
            <w:vAlign w:val="center"/>
          </w:tcPr>
          <w:p w14:paraId="35EB866E">
            <w:pPr>
              <w:pStyle w:val="17"/>
              <w:spacing w:beforeLines="0" w:afterLines="0" w:line="360" w:lineRule="auto"/>
              <w:ind w:firstLine="482" w:firstLineChars="200"/>
              <w:rPr>
                <w:rFonts w:hAnsi="宋体" w:cs="宋体"/>
                <w:b/>
                <w:bCs/>
                <w:color w:val="auto"/>
                <w:spacing w:val="-6"/>
              </w:rPr>
            </w:pPr>
            <w:r>
              <w:rPr>
                <w:rFonts w:hint="eastAsia" w:hAnsi="宋体" w:cs="宋体"/>
                <w:b/>
                <w:color w:val="auto"/>
              </w:rPr>
              <w:sym w:font="Wingdings" w:char="F0FE"/>
            </w:r>
            <w:r>
              <w:rPr>
                <w:rFonts w:hint="eastAsia" w:hAnsi="宋体" w:cs="宋体"/>
                <w:color w:val="auto"/>
                <w:spacing w:val="-6"/>
              </w:rPr>
              <w:t>货物类，各标项单一产品或核心产品：详见招标文件第三部分采购需求的采购清单。</w:t>
            </w:r>
          </w:p>
        </w:tc>
      </w:tr>
      <w:tr w14:paraId="7B7C4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5BB660F">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3</w:t>
            </w:r>
          </w:p>
        </w:tc>
        <w:tc>
          <w:tcPr>
            <w:tcW w:w="1486" w:type="dxa"/>
            <w:tcBorders>
              <w:top w:val="single" w:color="auto" w:sz="4" w:space="0"/>
              <w:left w:val="single" w:color="auto" w:sz="4" w:space="0"/>
              <w:bottom w:val="single" w:color="auto" w:sz="4" w:space="0"/>
              <w:right w:val="single" w:color="auto" w:sz="4" w:space="0"/>
            </w:tcBorders>
            <w:vAlign w:val="center"/>
          </w:tcPr>
          <w:p w14:paraId="2ED1366E">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采购内容</w:t>
            </w:r>
          </w:p>
        </w:tc>
        <w:tc>
          <w:tcPr>
            <w:tcW w:w="7614" w:type="dxa"/>
            <w:tcBorders>
              <w:top w:val="single" w:color="auto" w:sz="4" w:space="0"/>
              <w:left w:val="single" w:color="auto" w:sz="4" w:space="0"/>
              <w:bottom w:val="single" w:color="auto" w:sz="4" w:space="0"/>
              <w:right w:val="single" w:color="auto" w:sz="4" w:space="0"/>
            </w:tcBorders>
            <w:vAlign w:val="center"/>
          </w:tcPr>
          <w:p w14:paraId="35F34353">
            <w:pPr>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lang w:eastAsia="zh-CN"/>
              </w:rPr>
              <w:t>浙江省嘉兴市消防救援支队2024年度装备器材采购项目(救生、警戒、堵漏和水域救援类）</w:t>
            </w:r>
            <w:r>
              <w:rPr>
                <w:rFonts w:hint="eastAsia" w:ascii="宋体" w:hAnsi="宋体" w:cs="宋体"/>
                <w:color w:val="auto"/>
                <w:spacing w:val="-6"/>
                <w:sz w:val="24"/>
              </w:rPr>
              <w:t>，详见第三部分采购需求。</w:t>
            </w:r>
          </w:p>
        </w:tc>
      </w:tr>
      <w:tr w14:paraId="5ED7A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D9ABBFF">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4</w:t>
            </w:r>
          </w:p>
        </w:tc>
        <w:tc>
          <w:tcPr>
            <w:tcW w:w="1486" w:type="dxa"/>
            <w:tcBorders>
              <w:top w:val="single" w:color="auto" w:sz="4" w:space="0"/>
              <w:left w:val="single" w:color="auto" w:sz="4" w:space="0"/>
              <w:bottom w:val="single" w:color="auto" w:sz="4" w:space="0"/>
              <w:right w:val="single" w:color="auto" w:sz="4" w:space="0"/>
            </w:tcBorders>
            <w:vAlign w:val="center"/>
          </w:tcPr>
          <w:p w14:paraId="740AB94A">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交货期</w:t>
            </w:r>
          </w:p>
        </w:tc>
        <w:tc>
          <w:tcPr>
            <w:tcW w:w="7614" w:type="dxa"/>
            <w:tcBorders>
              <w:top w:val="single" w:color="auto" w:sz="4" w:space="0"/>
              <w:left w:val="single" w:color="auto" w:sz="4" w:space="0"/>
              <w:bottom w:val="single" w:color="auto" w:sz="4" w:space="0"/>
              <w:right w:val="single" w:color="auto" w:sz="4" w:space="0"/>
            </w:tcBorders>
            <w:vAlign w:val="center"/>
          </w:tcPr>
          <w:p w14:paraId="047545DD">
            <w:pPr>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合同签订之日起</w:t>
            </w:r>
            <w:r>
              <w:rPr>
                <w:rFonts w:hint="eastAsia" w:ascii="宋体" w:hAnsi="宋体" w:cs="宋体"/>
                <w:color w:val="auto"/>
                <w:spacing w:val="-6"/>
                <w:sz w:val="24"/>
                <w:lang w:val="en-US" w:eastAsia="zh-CN"/>
              </w:rPr>
              <w:t>6</w:t>
            </w:r>
            <w:r>
              <w:rPr>
                <w:rFonts w:hint="eastAsia" w:ascii="宋体" w:hAnsi="宋体" w:cs="宋体"/>
                <w:color w:val="auto"/>
                <w:spacing w:val="-6"/>
                <w:sz w:val="24"/>
              </w:rPr>
              <w:t>0天完成供货，交采购人验收。</w:t>
            </w:r>
          </w:p>
        </w:tc>
      </w:tr>
      <w:tr w14:paraId="6C058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38AA644">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5</w:t>
            </w:r>
          </w:p>
        </w:tc>
        <w:tc>
          <w:tcPr>
            <w:tcW w:w="1486" w:type="dxa"/>
            <w:tcBorders>
              <w:top w:val="single" w:color="auto" w:sz="4" w:space="0"/>
              <w:left w:val="single" w:color="auto" w:sz="4" w:space="0"/>
              <w:bottom w:val="single" w:color="auto" w:sz="4" w:space="0"/>
              <w:right w:val="single" w:color="auto" w:sz="4" w:space="0"/>
            </w:tcBorders>
            <w:vAlign w:val="center"/>
          </w:tcPr>
          <w:p w14:paraId="5B9731BA">
            <w:pPr>
              <w:snapToGrid w:val="0"/>
              <w:spacing w:line="360" w:lineRule="auto"/>
              <w:jc w:val="center"/>
              <w:rPr>
                <w:rFonts w:ascii="宋体" w:hAnsi="宋体" w:cs="宋体"/>
                <w:b/>
                <w:bCs/>
                <w:color w:val="auto"/>
                <w:spacing w:val="-6"/>
                <w:sz w:val="24"/>
              </w:rPr>
            </w:pPr>
            <w:r>
              <w:rPr>
                <w:rFonts w:hint="eastAsia" w:ascii="宋体" w:hAnsi="宋体" w:cs="宋体"/>
                <w:color w:val="auto"/>
                <w:sz w:val="24"/>
              </w:rPr>
              <w:t>▲</w:t>
            </w:r>
            <w:r>
              <w:rPr>
                <w:rFonts w:hint="eastAsia" w:ascii="宋体" w:hAnsi="宋体" w:cs="宋体"/>
                <w:b/>
                <w:bCs/>
                <w:color w:val="auto"/>
                <w:spacing w:val="-6"/>
                <w:sz w:val="24"/>
              </w:rPr>
              <w:t>最高限价</w:t>
            </w:r>
          </w:p>
        </w:tc>
        <w:tc>
          <w:tcPr>
            <w:tcW w:w="7614" w:type="dxa"/>
            <w:tcBorders>
              <w:top w:val="single" w:color="auto" w:sz="4" w:space="0"/>
              <w:left w:val="single" w:color="auto" w:sz="4" w:space="0"/>
              <w:bottom w:val="single" w:color="auto" w:sz="4" w:space="0"/>
              <w:right w:val="single" w:color="auto" w:sz="4" w:space="0"/>
            </w:tcBorders>
            <w:vAlign w:val="center"/>
          </w:tcPr>
          <w:p w14:paraId="3F5A41ED">
            <w:pPr>
              <w:widowControl/>
              <w:spacing w:line="360" w:lineRule="auto"/>
              <w:ind w:firstLine="458" w:firstLineChars="200"/>
              <w:jc w:val="left"/>
              <w:textAlignment w:val="center"/>
              <w:rPr>
                <w:rFonts w:ascii="宋体" w:hAnsi="宋体" w:cs="宋体"/>
                <w:b/>
                <w:bCs/>
                <w:color w:val="auto"/>
                <w:spacing w:val="-6"/>
                <w:sz w:val="24"/>
              </w:rPr>
            </w:pPr>
            <w:r>
              <w:rPr>
                <w:rFonts w:hint="eastAsia" w:ascii="宋体" w:hAnsi="宋体" w:cs="宋体"/>
                <w:b/>
                <w:bCs/>
                <w:color w:val="auto"/>
                <w:spacing w:val="-6"/>
                <w:sz w:val="24"/>
              </w:rPr>
              <w:t>最高限价详见招标文件第一部分，任何超过最高限价的报价将被认定为无效报价，</w:t>
            </w:r>
            <w:r>
              <w:rPr>
                <w:rFonts w:hint="eastAsia" w:ascii="宋体" w:hAnsi="宋体" w:cs="宋体"/>
                <w:b/>
                <w:color w:val="auto"/>
                <w:sz w:val="24"/>
              </w:rPr>
              <w:t>其投标文件将被否决</w:t>
            </w:r>
            <w:r>
              <w:rPr>
                <w:rFonts w:hint="eastAsia" w:ascii="宋体" w:hAnsi="宋体" w:cs="宋体"/>
                <w:b/>
                <w:bCs/>
                <w:color w:val="auto"/>
                <w:spacing w:val="-6"/>
                <w:sz w:val="24"/>
              </w:rPr>
              <w:t>。</w:t>
            </w:r>
          </w:p>
          <w:p w14:paraId="2FB710B0">
            <w:pPr>
              <w:widowControl/>
              <w:spacing w:line="360" w:lineRule="auto"/>
              <w:ind w:firstLine="458" w:firstLineChars="200"/>
              <w:jc w:val="left"/>
              <w:textAlignment w:val="center"/>
              <w:rPr>
                <w:rFonts w:ascii="宋体" w:hAnsi="宋体" w:cs="宋体"/>
                <w:color w:val="auto"/>
                <w:spacing w:val="-6"/>
                <w:sz w:val="24"/>
              </w:rPr>
            </w:pPr>
            <w:r>
              <w:rPr>
                <w:rFonts w:hint="eastAsia" w:ascii="宋体" w:hAnsi="宋体" w:cs="宋体"/>
                <w:b/>
                <w:bCs/>
                <w:color w:val="auto"/>
                <w:spacing w:val="-6"/>
                <w:sz w:val="24"/>
              </w:rPr>
              <w:t>注：</w:t>
            </w:r>
            <w:r>
              <w:rPr>
                <w:rFonts w:hint="eastAsia" w:ascii="宋体" w:hAnsi="宋体" w:cs="宋体"/>
                <w:b/>
                <w:bCs/>
                <w:color w:val="auto"/>
                <w:sz w:val="24"/>
              </w:rPr>
              <w:t>报</w:t>
            </w:r>
            <w:r>
              <w:rPr>
                <w:rFonts w:hint="eastAsia" w:ascii="宋体" w:hAnsi="宋体" w:cs="宋体"/>
                <w:b/>
                <w:color w:val="auto"/>
                <w:sz w:val="24"/>
              </w:rPr>
              <w:t>价包括投标报价明细表中的单价、单项报价，以上所有报价均不得超过招标文件第一部分标明的对应最高限价。</w:t>
            </w:r>
          </w:p>
        </w:tc>
      </w:tr>
      <w:tr w14:paraId="2E28C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38F2F920">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6</w:t>
            </w:r>
          </w:p>
        </w:tc>
        <w:tc>
          <w:tcPr>
            <w:tcW w:w="1486" w:type="dxa"/>
            <w:tcBorders>
              <w:top w:val="single" w:color="auto" w:sz="4" w:space="0"/>
              <w:left w:val="single" w:color="auto" w:sz="4" w:space="0"/>
              <w:bottom w:val="single" w:color="auto" w:sz="4" w:space="0"/>
              <w:right w:val="single" w:color="auto" w:sz="4" w:space="0"/>
            </w:tcBorders>
            <w:vAlign w:val="center"/>
          </w:tcPr>
          <w:p w14:paraId="016EE9A8">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投标报价及费用</w:t>
            </w:r>
          </w:p>
        </w:tc>
        <w:tc>
          <w:tcPr>
            <w:tcW w:w="7614" w:type="dxa"/>
            <w:tcBorders>
              <w:top w:val="single" w:color="auto" w:sz="4" w:space="0"/>
              <w:left w:val="single" w:color="auto" w:sz="4" w:space="0"/>
              <w:bottom w:val="single" w:color="auto" w:sz="4" w:space="0"/>
              <w:right w:val="single" w:color="auto" w:sz="4" w:space="0"/>
            </w:tcBorders>
            <w:vAlign w:val="center"/>
          </w:tcPr>
          <w:p w14:paraId="0F64D3D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(1)本项目投标应以人民币报价；</w:t>
            </w:r>
          </w:p>
          <w:p w14:paraId="381291F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(2)不论投标结果如何，投标人均应自行承担所有与投标有关的全部费用。</w:t>
            </w:r>
            <w:r>
              <w:rPr>
                <w:rFonts w:hint="eastAsia" w:ascii="宋体" w:hAnsi="宋体" w:cs="宋体"/>
                <w:b/>
                <w:color w:val="auto"/>
                <w:sz w:val="24"/>
              </w:rPr>
              <w:t>评标委员会认为其报价明显低于其他通过符合性审查投标人的报价，且投标人不能证明其报价合理性，有可能影响产品质量或者不能诚信履约的，其投标无效。</w:t>
            </w:r>
          </w:p>
        </w:tc>
      </w:tr>
      <w:tr w14:paraId="73AA1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14ED063">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7</w:t>
            </w:r>
          </w:p>
        </w:tc>
        <w:tc>
          <w:tcPr>
            <w:tcW w:w="1486" w:type="dxa"/>
            <w:tcBorders>
              <w:top w:val="single" w:color="auto" w:sz="4" w:space="0"/>
              <w:left w:val="single" w:color="auto" w:sz="4" w:space="0"/>
              <w:bottom w:val="single" w:color="auto" w:sz="4" w:space="0"/>
              <w:right w:val="single" w:color="auto" w:sz="4" w:space="0"/>
            </w:tcBorders>
            <w:vAlign w:val="center"/>
          </w:tcPr>
          <w:p w14:paraId="43A156D3">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开标安排</w:t>
            </w:r>
          </w:p>
        </w:tc>
        <w:tc>
          <w:tcPr>
            <w:tcW w:w="7614" w:type="dxa"/>
            <w:tcBorders>
              <w:top w:val="single" w:color="auto" w:sz="4" w:space="0"/>
              <w:left w:val="single" w:color="auto" w:sz="4" w:space="0"/>
              <w:bottom w:val="single" w:color="auto" w:sz="4" w:space="0"/>
              <w:right w:val="single" w:color="auto" w:sz="4" w:space="0"/>
            </w:tcBorders>
            <w:vAlign w:val="center"/>
          </w:tcPr>
          <w:p w14:paraId="60F5FFD7">
            <w:pPr>
              <w:adjustRightInd w:val="0"/>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(1)开标时间：202</w:t>
            </w:r>
            <w:r>
              <w:rPr>
                <w:rFonts w:hint="eastAsia" w:ascii="宋体" w:hAnsi="宋体" w:cs="宋体"/>
                <w:b/>
                <w:bCs/>
                <w:color w:val="auto"/>
                <w:sz w:val="24"/>
                <w:lang w:val="en-US" w:eastAsia="zh-CN"/>
              </w:rPr>
              <w:t>5</w:t>
            </w:r>
            <w:r>
              <w:rPr>
                <w:rFonts w:hint="eastAsia" w:ascii="宋体" w:hAnsi="宋体" w:cs="宋体"/>
                <w:b/>
                <w:bCs/>
                <w:color w:val="auto"/>
                <w:sz w:val="24"/>
              </w:rPr>
              <w:t>年</w:t>
            </w:r>
            <w:r>
              <w:rPr>
                <w:rFonts w:hint="eastAsia" w:ascii="宋体" w:hAnsi="宋体" w:cs="宋体"/>
                <w:b/>
                <w:bCs/>
                <w:color w:val="auto"/>
                <w:sz w:val="24"/>
                <w:lang w:val="en-US" w:eastAsia="zh-CN"/>
              </w:rPr>
              <w:t>1</w:t>
            </w:r>
            <w:r>
              <w:rPr>
                <w:rFonts w:hint="eastAsia" w:ascii="宋体" w:hAnsi="宋体" w:cs="宋体"/>
                <w:b/>
                <w:bCs/>
                <w:color w:val="auto"/>
                <w:sz w:val="24"/>
              </w:rPr>
              <w:t>月</w:t>
            </w:r>
            <w:r>
              <w:rPr>
                <w:rFonts w:hint="eastAsia" w:ascii="宋体" w:hAnsi="宋体" w:cs="宋体"/>
                <w:b/>
                <w:bCs/>
                <w:color w:val="auto"/>
                <w:sz w:val="24"/>
                <w:lang w:val="en-US" w:eastAsia="zh-CN"/>
              </w:rPr>
              <w:t>17</w:t>
            </w:r>
            <w:r>
              <w:rPr>
                <w:rFonts w:hint="eastAsia" w:ascii="宋体" w:hAnsi="宋体" w:cs="宋体"/>
                <w:b/>
                <w:bCs/>
                <w:color w:val="auto"/>
                <w:sz w:val="24"/>
              </w:rPr>
              <w:t>日</w:t>
            </w:r>
            <w:r>
              <w:rPr>
                <w:rFonts w:hint="eastAsia" w:ascii="宋体" w:hAnsi="宋体" w:cs="宋体"/>
                <w:b/>
                <w:bCs/>
                <w:color w:val="auto"/>
                <w:kern w:val="0"/>
                <w:sz w:val="24"/>
                <w:lang w:val="en-US" w:eastAsia="zh-CN"/>
              </w:rPr>
              <w:t>9：00</w:t>
            </w:r>
            <w:r>
              <w:rPr>
                <w:rFonts w:hint="eastAsia" w:ascii="宋体" w:hAnsi="宋体" w:cs="宋体"/>
                <w:b/>
                <w:bCs/>
                <w:color w:val="auto"/>
                <w:sz w:val="24"/>
              </w:rPr>
              <w:t>（北京时间）</w:t>
            </w:r>
          </w:p>
          <w:p w14:paraId="4EAA36EF">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(2)开标地点：</w:t>
            </w:r>
            <w:r>
              <w:rPr>
                <w:rFonts w:hint="eastAsia" w:ascii="宋体" w:hAnsi="宋体" w:cs="宋体"/>
                <w:color w:val="auto"/>
                <w:kern w:val="0"/>
                <w:sz w:val="24"/>
              </w:rPr>
              <w:t>嘉兴市公共资源交易中心二楼</w:t>
            </w:r>
            <w:r>
              <w:rPr>
                <w:rFonts w:hint="eastAsia" w:ascii="宋体" w:hAnsi="宋体" w:cs="宋体"/>
                <w:color w:val="auto"/>
                <w:kern w:val="0"/>
                <w:sz w:val="24"/>
                <w:lang w:val="en-US" w:eastAsia="zh-CN"/>
              </w:rPr>
              <w:t>7号</w:t>
            </w:r>
            <w:r>
              <w:rPr>
                <w:rFonts w:hint="eastAsia" w:ascii="宋体" w:hAnsi="宋体" w:cs="宋体"/>
                <w:color w:val="auto"/>
                <w:kern w:val="0"/>
                <w:sz w:val="24"/>
              </w:rPr>
              <w:t>开标室（广场路350号蒋水港桥西侧）。</w:t>
            </w:r>
          </w:p>
          <w:p w14:paraId="7A7228D5">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b/>
                <w:bCs/>
                <w:color w:val="auto"/>
                <w:sz w:val="24"/>
              </w:rPr>
              <w:t>投标文件接收：于202</w:t>
            </w:r>
            <w:r>
              <w:rPr>
                <w:rFonts w:hint="eastAsia" w:ascii="宋体" w:hAnsi="宋体" w:cs="宋体"/>
                <w:b/>
                <w:bCs/>
                <w:color w:val="auto"/>
                <w:sz w:val="24"/>
                <w:lang w:val="en-US" w:eastAsia="zh-CN"/>
              </w:rPr>
              <w:t>5</w:t>
            </w:r>
            <w:r>
              <w:rPr>
                <w:rFonts w:hint="eastAsia" w:ascii="宋体" w:hAnsi="宋体" w:cs="宋体"/>
                <w:b/>
                <w:bCs/>
                <w:color w:val="auto"/>
                <w:sz w:val="24"/>
              </w:rPr>
              <w:t>年</w:t>
            </w:r>
            <w:r>
              <w:rPr>
                <w:rFonts w:hint="eastAsia" w:ascii="宋体" w:hAnsi="宋体" w:cs="宋体"/>
                <w:b/>
                <w:bCs/>
                <w:color w:val="auto"/>
                <w:sz w:val="24"/>
                <w:lang w:val="en-US" w:eastAsia="zh-CN"/>
              </w:rPr>
              <w:t>1</w:t>
            </w:r>
            <w:r>
              <w:rPr>
                <w:rFonts w:hint="eastAsia" w:ascii="宋体" w:hAnsi="宋体" w:cs="宋体"/>
                <w:b/>
                <w:bCs/>
                <w:color w:val="auto"/>
                <w:sz w:val="24"/>
              </w:rPr>
              <w:t>月</w:t>
            </w:r>
            <w:r>
              <w:rPr>
                <w:rFonts w:hint="eastAsia" w:ascii="宋体" w:hAnsi="宋体" w:cs="宋体"/>
                <w:b/>
                <w:bCs/>
                <w:color w:val="auto"/>
                <w:sz w:val="24"/>
                <w:lang w:val="en-US" w:eastAsia="zh-CN"/>
              </w:rPr>
              <w:t>17</w:t>
            </w:r>
            <w:bookmarkStart w:id="74" w:name="_GoBack"/>
            <w:bookmarkEnd w:id="74"/>
            <w:r>
              <w:rPr>
                <w:rFonts w:hint="eastAsia" w:ascii="宋体" w:hAnsi="宋体" w:cs="宋体"/>
                <w:b/>
                <w:bCs/>
                <w:color w:val="auto"/>
                <w:sz w:val="24"/>
              </w:rPr>
              <w:t>日</w:t>
            </w:r>
            <w:r>
              <w:rPr>
                <w:rFonts w:hint="eastAsia" w:ascii="宋体" w:hAnsi="宋体" w:cs="宋体"/>
                <w:b/>
                <w:bCs/>
                <w:color w:val="auto"/>
                <w:kern w:val="0"/>
                <w:sz w:val="24"/>
                <w:lang w:val="en-US" w:eastAsia="zh-CN"/>
              </w:rPr>
              <w:t>9：00</w:t>
            </w:r>
            <w:r>
              <w:rPr>
                <w:rFonts w:hint="eastAsia" w:ascii="宋体" w:hAnsi="宋体" w:cs="宋体"/>
                <w:b/>
                <w:bCs/>
                <w:color w:val="auto"/>
                <w:kern w:val="0"/>
                <w:sz w:val="24"/>
              </w:rPr>
              <w:t>（北京时间）</w:t>
            </w:r>
            <w:r>
              <w:rPr>
                <w:rFonts w:hint="eastAsia" w:ascii="宋体" w:hAnsi="宋体" w:cs="宋体"/>
                <w:b/>
                <w:bCs/>
                <w:color w:val="auto"/>
                <w:kern w:val="0"/>
                <w:sz w:val="24"/>
                <w:lang w:val="en-US" w:eastAsia="zh-CN"/>
              </w:rPr>
              <w:t>前</w:t>
            </w:r>
            <w:r>
              <w:rPr>
                <w:rFonts w:hint="eastAsia" w:ascii="宋体" w:hAnsi="宋体" w:cs="宋体"/>
                <w:b/>
                <w:bCs/>
                <w:color w:val="auto"/>
                <w:sz w:val="24"/>
              </w:rPr>
              <w:t>接收投标文件。</w:t>
            </w:r>
            <w:r>
              <w:rPr>
                <w:rFonts w:hint="eastAsia" w:ascii="宋体" w:hAnsi="宋体" w:cs="宋体"/>
                <w:color w:val="auto"/>
                <w:sz w:val="24"/>
              </w:rPr>
              <w:t>递交的投标文件应包装完整、牢固不易脱落，若因包装问题在移动、搬运过程中造成遗失或破损的，由投标人承担。</w:t>
            </w:r>
          </w:p>
        </w:tc>
      </w:tr>
      <w:tr w14:paraId="4A7B8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B040FA4">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8</w:t>
            </w:r>
          </w:p>
        </w:tc>
        <w:tc>
          <w:tcPr>
            <w:tcW w:w="1486" w:type="dxa"/>
            <w:tcBorders>
              <w:top w:val="single" w:color="auto" w:sz="4" w:space="0"/>
              <w:left w:val="single" w:color="auto" w:sz="4" w:space="0"/>
              <w:bottom w:val="single" w:color="auto" w:sz="4" w:space="0"/>
              <w:right w:val="single" w:color="auto" w:sz="4" w:space="0"/>
            </w:tcBorders>
            <w:vAlign w:val="center"/>
          </w:tcPr>
          <w:p w14:paraId="2671522B">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17"/>
                <w:sz w:val="24"/>
              </w:rPr>
              <w:t>投标保证金</w:t>
            </w:r>
          </w:p>
        </w:tc>
        <w:tc>
          <w:tcPr>
            <w:tcW w:w="7614" w:type="dxa"/>
            <w:tcBorders>
              <w:top w:val="single" w:color="auto" w:sz="4" w:space="0"/>
              <w:left w:val="single" w:color="auto" w:sz="4" w:space="0"/>
              <w:bottom w:val="single" w:color="auto" w:sz="4" w:space="0"/>
              <w:right w:val="single" w:color="auto" w:sz="4" w:space="0"/>
            </w:tcBorders>
            <w:vAlign w:val="center"/>
          </w:tcPr>
          <w:p w14:paraId="3BDB0A7E">
            <w:pPr>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免收。</w:t>
            </w:r>
          </w:p>
        </w:tc>
      </w:tr>
      <w:tr w14:paraId="3385A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7A6F173">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9</w:t>
            </w:r>
          </w:p>
        </w:tc>
        <w:tc>
          <w:tcPr>
            <w:tcW w:w="1486" w:type="dxa"/>
            <w:tcBorders>
              <w:top w:val="single" w:color="auto" w:sz="4" w:space="0"/>
              <w:left w:val="single" w:color="auto" w:sz="4" w:space="0"/>
              <w:bottom w:val="single" w:color="auto" w:sz="4" w:space="0"/>
              <w:right w:val="single" w:color="auto" w:sz="4" w:space="0"/>
            </w:tcBorders>
            <w:vAlign w:val="center"/>
          </w:tcPr>
          <w:p w14:paraId="2A04577E">
            <w:pPr>
              <w:autoSpaceDE w:val="0"/>
              <w:autoSpaceDN w:val="0"/>
              <w:snapToGrid w:val="0"/>
              <w:spacing w:line="360" w:lineRule="auto"/>
              <w:jc w:val="center"/>
              <w:textAlignment w:val="bottom"/>
              <w:rPr>
                <w:rFonts w:ascii="宋体" w:hAnsi="宋体" w:cs="宋体"/>
                <w:b/>
                <w:bCs/>
                <w:color w:val="auto"/>
                <w:spacing w:val="-6"/>
                <w:sz w:val="24"/>
              </w:rPr>
            </w:pPr>
            <w:r>
              <w:rPr>
                <w:rFonts w:hint="eastAsia" w:ascii="宋体" w:hAnsi="宋体" w:cs="宋体"/>
                <w:b/>
                <w:bCs/>
                <w:color w:val="auto"/>
                <w:spacing w:val="-6"/>
                <w:sz w:val="24"/>
              </w:rPr>
              <w:t>投标文件份数</w:t>
            </w:r>
          </w:p>
        </w:tc>
        <w:tc>
          <w:tcPr>
            <w:tcW w:w="7614" w:type="dxa"/>
            <w:tcBorders>
              <w:top w:val="single" w:color="auto" w:sz="4" w:space="0"/>
              <w:left w:val="single" w:color="auto" w:sz="4" w:space="0"/>
              <w:bottom w:val="single" w:color="auto" w:sz="4" w:space="0"/>
              <w:right w:val="single" w:color="auto" w:sz="4" w:space="0"/>
            </w:tcBorders>
            <w:vAlign w:val="center"/>
          </w:tcPr>
          <w:p w14:paraId="15041048">
            <w:pPr>
              <w:autoSpaceDE w:val="0"/>
              <w:autoSpaceDN w:val="0"/>
              <w:adjustRightIn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投标文件由资格证明文件、商务技术文件、报价文件三部分组成。资格证明文件、商务技术文件合并成一册装订；报价文件须单独装订。各自正本</w:t>
            </w:r>
            <w:r>
              <w:rPr>
                <w:rFonts w:ascii="宋体" w:hAnsi="宋体" w:cs="宋体"/>
                <w:color w:val="auto"/>
                <w:spacing w:val="-6"/>
                <w:sz w:val="24"/>
              </w:rPr>
              <w:t>1份，</w:t>
            </w:r>
            <w:r>
              <w:rPr>
                <w:rFonts w:ascii="宋体" w:hAnsi="宋体" w:cs="宋体"/>
                <w:color w:val="auto"/>
                <w:spacing w:val="-6"/>
                <w:sz w:val="24"/>
                <w:highlight w:val="none"/>
              </w:rPr>
              <w:t>副本</w:t>
            </w:r>
            <w:r>
              <w:rPr>
                <w:rFonts w:hint="eastAsia" w:ascii="宋体" w:hAnsi="宋体" w:cs="宋体"/>
                <w:color w:val="auto"/>
                <w:spacing w:val="-6"/>
                <w:sz w:val="24"/>
                <w:highlight w:val="none"/>
                <w:lang w:val="en-US" w:eastAsia="zh-CN"/>
              </w:rPr>
              <w:t>3</w:t>
            </w:r>
            <w:r>
              <w:rPr>
                <w:rFonts w:hint="eastAsia" w:ascii="宋体" w:hAnsi="宋体" w:cs="宋体"/>
                <w:color w:val="auto"/>
                <w:spacing w:val="-6"/>
                <w:sz w:val="24"/>
                <w:highlight w:val="none"/>
              </w:rPr>
              <w:t>份</w:t>
            </w:r>
            <w:r>
              <w:rPr>
                <w:rFonts w:hint="eastAsia" w:ascii="宋体" w:hAnsi="宋体" w:cs="宋体"/>
                <w:color w:val="auto"/>
                <w:spacing w:val="-6"/>
                <w:sz w:val="24"/>
              </w:rPr>
              <w:t>。提供电子版投标文件U盘一份（含word版本，盖章扫描件pdf版本各一份），单独密封包装。</w:t>
            </w:r>
          </w:p>
          <w:p w14:paraId="37C90CDC">
            <w:pPr>
              <w:autoSpaceDE w:val="0"/>
              <w:autoSpaceDN w:val="0"/>
              <w:adjustRightInd w:val="0"/>
              <w:spacing w:line="360" w:lineRule="auto"/>
              <w:rPr>
                <w:rFonts w:ascii="宋体" w:hAnsi="宋体" w:cs="宋体"/>
                <w:color w:val="auto"/>
                <w:spacing w:val="-6"/>
                <w:sz w:val="24"/>
              </w:rPr>
            </w:pPr>
            <w:r>
              <w:rPr>
                <w:rFonts w:hint="eastAsia" w:ascii="宋体" w:hAnsi="宋体" w:cs="宋体"/>
                <w:b/>
                <w:bCs/>
                <w:color w:val="auto"/>
                <w:spacing w:val="-6"/>
                <w:sz w:val="24"/>
              </w:rPr>
              <w:t>注：按标项装订标书。</w:t>
            </w:r>
          </w:p>
        </w:tc>
      </w:tr>
      <w:tr w14:paraId="391CF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5"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993B075">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10</w:t>
            </w:r>
          </w:p>
        </w:tc>
        <w:tc>
          <w:tcPr>
            <w:tcW w:w="1486" w:type="dxa"/>
            <w:tcBorders>
              <w:top w:val="single" w:color="auto" w:sz="4" w:space="0"/>
              <w:left w:val="single" w:color="auto" w:sz="4" w:space="0"/>
              <w:bottom w:val="single" w:color="auto" w:sz="4" w:space="0"/>
              <w:right w:val="single" w:color="auto" w:sz="4" w:space="0"/>
            </w:tcBorders>
            <w:vAlign w:val="center"/>
          </w:tcPr>
          <w:p w14:paraId="15BA48B7">
            <w:pPr>
              <w:snapToGrid w:val="0"/>
              <w:spacing w:line="360" w:lineRule="auto"/>
              <w:jc w:val="center"/>
              <w:rPr>
                <w:rFonts w:ascii="宋体" w:hAnsi="宋体" w:cs="宋体"/>
                <w:b/>
                <w:bCs/>
                <w:color w:val="auto"/>
                <w:sz w:val="24"/>
              </w:rPr>
            </w:pPr>
            <w:r>
              <w:rPr>
                <w:rFonts w:hint="eastAsia" w:ascii="宋体" w:hAnsi="宋体" w:cs="宋体"/>
                <w:b/>
                <w:bCs/>
                <w:color w:val="auto"/>
                <w:sz w:val="24"/>
              </w:rPr>
              <w:t>投标文件制作及装订要求</w:t>
            </w:r>
          </w:p>
        </w:tc>
        <w:tc>
          <w:tcPr>
            <w:tcW w:w="7614" w:type="dxa"/>
            <w:tcBorders>
              <w:top w:val="single" w:color="auto" w:sz="4" w:space="0"/>
              <w:left w:val="single" w:color="auto" w:sz="4" w:space="0"/>
              <w:bottom w:val="single" w:color="auto" w:sz="4" w:space="0"/>
              <w:right w:val="single" w:color="auto" w:sz="4" w:space="0"/>
            </w:tcBorders>
            <w:vAlign w:val="center"/>
          </w:tcPr>
          <w:p w14:paraId="222B973D">
            <w:pPr>
              <w:autoSpaceDE w:val="0"/>
              <w:autoSpaceDN w:val="0"/>
              <w:adjustRightIn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（1）制作要求：</w:t>
            </w:r>
          </w:p>
          <w:p w14:paraId="3960FE70">
            <w:pPr>
              <w:autoSpaceDE w:val="0"/>
              <w:autoSpaceDN w:val="0"/>
              <w:adjustRightIn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投标文件（包括资格商务技术文件、报价文件）封面后的第一页必须制作评标索引目录，标明提交满足招标文件要求的对应投标材料所在页码供现场工作人员及评标委员会查阅。</w:t>
            </w:r>
          </w:p>
          <w:p w14:paraId="2C95DC57">
            <w:pPr>
              <w:autoSpaceDE w:val="0"/>
              <w:autoSpaceDN w:val="0"/>
              <w:adjustRightIn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（2）装订要求：</w:t>
            </w:r>
          </w:p>
          <w:p w14:paraId="7883D275">
            <w:pPr>
              <w:autoSpaceDE w:val="0"/>
              <w:autoSpaceDN w:val="0"/>
              <w:adjustRightIn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资格证明文件、商务技术文件合并成一册装订（报价文件须单独装订），采用胶装，不得采用活页装订。采用活页装订的投标文件由现场工作人员退还投标人代表。</w:t>
            </w:r>
          </w:p>
          <w:p w14:paraId="0D35DB8D">
            <w:pPr>
              <w:autoSpaceDE w:val="0"/>
              <w:autoSpaceDN w:val="0"/>
              <w:adjustRightInd w:val="0"/>
              <w:spacing w:line="360" w:lineRule="auto"/>
              <w:ind w:firstLine="456" w:firstLineChars="200"/>
              <w:rPr>
                <w:rFonts w:ascii="宋体" w:hAnsi="宋体" w:cs="宋体"/>
                <w:color w:val="auto"/>
                <w:sz w:val="24"/>
              </w:rPr>
            </w:pPr>
            <w:r>
              <w:rPr>
                <w:rFonts w:hint="eastAsia" w:ascii="宋体" w:hAnsi="宋体" w:cs="宋体"/>
                <w:color w:val="auto"/>
                <w:spacing w:val="-6"/>
                <w:sz w:val="24"/>
              </w:rPr>
              <w:t>注：所有投标文件的封面应按规定格式标注</w:t>
            </w:r>
            <w:r>
              <w:rPr>
                <w:rFonts w:hint="eastAsia" w:ascii="宋体" w:hAnsi="宋体" w:cs="宋体"/>
                <w:b/>
                <w:bCs/>
                <w:color w:val="auto"/>
                <w:spacing w:val="-6"/>
                <w:sz w:val="24"/>
              </w:rPr>
              <w:t>所投标项</w:t>
            </w:r>
            <w:r>
              <w:rPr>
                <w:rFonts w:hint="eastAsia" w:ascii="宋体" w:hAnsi="宋体" w:cs="宋体"/>
                <w:color w:val="auto"/>
                <w:spacing w:val="-6"/>
                <w:sz w:val="24"/>
              </w:rPr>
              <w:t>。副本的封面应加盖公章，副本的其他部分可以是正本的复印件，文本内容清晰可见。</w:t>
            </w:r>
          </w:p>
        </w:tc>
      </w:tr>
      <w:tr w14:paraId="46E7E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FCBAC9F">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11</w:t>
            </w:r>
          </w:p>
        </w:tc>
        <w:tc>
          <w:tcPr>
            <w:tcW w:w="1486" w:type="dxa"/>
            <w:tcBorders>
              <w:top w:val="single" w:color="auto" w:sz="4" w:space="0"/>
              <w:left w:val="single" w:color="auto" w:sz="4" w:space="0"/>
              <w:bottom w:val="single" w:color="auto" w:sz="4" w:space="0"/>
              <w:right w:val="single" w:color="auto" w:sz="4" w:space="0"/>
            </w:tcBorders>
            <w:vAlign w:val="center"/>
          </w:tcPr>
          <w:p w14:paraId="011483EB">
            <w:pPr>
              <w:adjustRightIn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样品</w:t>
            </w:r>
          </w:p>
        </w:tc>
        <w:tc>
          <w:tcPr>
            <w:tcW w:w="7614" w:type="dxa"/>
            <w:tcBorders>
              <w:top w:val="single" w:color="auto" w:sz="4" w:space="0"/>
              <w:left w:val="single" w:color="auto" w:sz="4" w:space="0"/>
              <w:bottom w:val="single" w:color="auto" w:sz="4" w:space="0"/>
              <w:right w:val="single" w:color="auto" w:sz="4" w:space="0"/>
            </w:tcBorders>
            <w:shd w:val="clear" w:color="auto" w:fill="auto"/>
            <w:vAlign w:val="center"/>
          </w:tcPr>
          <w:p w14:paraId="36F7FE90">
            <w:pPr>
              <w:autoSpaceDE w:val="0"/>
              <w:autoSpaceDN w:val="0"/>
              <w:adjustRightInd w:val="0"/>
              <w:spacing w:line="360" w:lineRule="auto"/>
              <w:ind w:firstLine="456" w:firstLineChars="200"/>
              <w:rPr>
                <w:rFonts w:ascii="宋体" w:hAnsi="宋体" w:cs="宋体"/>
                <w:color w:val="auto"/>
                <w:sz w:val="24"/>
              </w:rPr>
            </w:pPr>
            <w:r>
              <w:rPr>
                <w:rFonts w:hint="eastAsia" w:ascii="宋体" w:hAnsi="宋体" w:cs="宋体"/>
                <w:color w:val="auto"/>
                <w:spacing w:val="-6"/>
                <w:sz w:val="24"/>
              </w:rPr>
              <w:t>本项目无须提供样品</w:t>
            </w:r>
          </w:p>
        </w:tc>
      </w:tr>
      <w:tr w14:paraId="046B3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77FF82CF">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12</w:t>
            </w:r>
          </w:p>
        </w:tc>
        <w:tc>
          <w:tcPr>
            <w:tcW w:w="1486" w:type="dxa"/>
            <w:tcBorders>
              <w:top w:val="single" w:color="auto" w:sz="4" w:space="0"/>
              <w:left w:val="single" w:color="auto" w:sz="4" w:space="0"/>
              <w:bottom w:val="single" w:color="auto" w:sz="4" w:space="0"/>
              <w:right w:val="single" w:color="auto" w:sz="4" w:space="0"/>
            </w:tcBorders>
            <w:vAlign w:val="center"/>
          </w:tcPr>
          <w:p w14:paraId="27BD6B2B">
            <w:pPr>
              <w:autoSpaceDE w:val="0"/>
              <w:autoSpaceDN w:val="0"/>
              <w:snapToGrid w:val="0"/>
              <w:spacing w:line="360" w:lineRule="auto"/>
              <w:jc w:val="center"/>
              <w:textAlignment w:val="bottom"/>
              <w:rPr>
                <w:rFonts w:ascii="宋体" w:hAnsi="宋体" w:cs="宋体"/>
                <w:b/>
                <w:bCs/>
                <w:color w:val="auto"/>
                <w:spacing w:val="-6"/>
                <w:sz w:val="24"/>
              </w:rPr>
            </w:pPr>
            <w:r>
              <w:rPr>
                <w:rFonts w:hint="eastAsia" w:ascii="宋体" w:hAnsi="宋体" w:cs="宋体"/>
                <w:b/>
                <w:bCs/>
                <w:color w:val="auto"/>
                <w:spacing w:val="-6"/>
                <w:sz w:val="24"/>
              </w:rPr>
              <w:t>投标文件有效期</w:t>
            </w:r>
          </w:p>
        </w:tc>
        <w:tc>
          <w:tcPr>
            <w:tcW w:w="7614" w:type="dxa"/>
            <w:tcBorders>
              <w:top w:val="single" w:color="auto" w:sz="4" w:space="0"/>
              <w:left w:val="single" w:color="auto" w:sz="4" w:space="0"/>
              <w:bottom w:val="single" w:color="auto" w:sz="4" w:space="0"/>
              <w:right w:val="single" w:color="auto" w:sz="4" w:space="0"/>
            </w:tcBorders>
            <w:vAlign w:val="center"/>
          </w:tcPr>
          <w:p w14:paraId="1A2BFDB1">
            <w:pPr>
              <w:autoSpaceDE w:val="0"/>
              <w:autoSpaceDN w:val="0"/>
              <w:snapToGrid w:val="0"/>
              <w:spacing w:line="360" w:lineRule="auto"/>
              <w:ind w:firstLine="456" w:firstLineChars="200"/>
              <w:textAlignment w:val="bottom"/>
              <w:rPr>
                <w:rFonts w:ascii="宋体" w:hAnsi="宋体" w:cs="宋体"/>
                <w:color w:val="auto"/>
                <w:spacing w:val="-6"/>
                <w:sz w:val="24"/>
              </w:rPr>
            </w:pPr>
            <w:r>
              <w:rPr>
                <w:rFonts w:hint="eastAsia" w:ascii="宋体" w:hAnsi="宋体" w:cs="宋体"/>
                <w:color w:val="auto"/>
                <w:spacing w:val="-6"/>
                <w:sz w:val="24"/>
              </w:rPr>
              <w:t>自投标截止日起180日内有效。</w:t>
            </w:r>
          </w:p>
        </w:tc>
      </w:tr>
      <w:tr w14:paraId="0F779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42DF1A1">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13</w:t>
            </w:r>
          </w:p>
        </w:tc>
        <w:tc>
          <w:tcPr>
            <w:tcW w:w="1486" w:type="dxa"/>
            <w:tcBorders>
              <w:top w:val="single" w:color="auto" w:sz="4" w:space="0"/>
              <w:left w:val="single" w:color="auto" w:sz="4" w:space="0"/>
              <w:bottom w:val="single" w:color="auto" w:sz="4" w:space="0"/>
              <w:right w:val="single" w:color="auto" w:sz="4" w:space="0"/>
            </w:tcBorders>
            <w:vAlign w:val="center"/>
          </w:tcPr>
          <w:p w14:paraId="40915F4A">
            <w:pPr>
              <w:autoSpaceDE w:val="0"/>
              <w:autoSpaceDN w:val="0"/>
              <w:snapToGrid w:val="0"/>
              <w:spacing w:line="360" w:lineRule="auto"/>
              <w:jc w:val="center"/>
              <w:textAlignment w:val="bottom"/>
              <w:rPr>
                <w:rFonts w:ascii="宋体" w:hAnsi="宋体" w:cs="宋体"/>
                <w:b/>
                <w:bCs/>
                <w:color w:val="auto"/>
                <w:spacing w:val="-6"/>
                <w:sz w:val="24"/>
              </w:rPr>
            </w:pPr>
            <w:r>
              <w:rPr>
                <w:rFonts w:hint="eastAsia" w:ascii="宋体" w:hAnsi="宋体" w:cs="宋体"/>
                <w:b/>
                <w:bCs/>
                <w:color w:val="auto"/>
                <w:spacing w:val="-6"/>
                <w:sz w:val="24"/>
              </w:rPr>
              <w:t>招标文件的澄清与修改</w:t>
            </w:r>
          </w:p>
        </w:tc>
        <w:tc>
          <w:tcPr>
            <w:tcW w:w="7614" w:type="dxa"/>
            <w:tcBorders>
              <w:top w:val="single" w:color="auto" w:sz="4" w:space="0"/>
              <w:left w:val="single" w:color="auto" w:sz="4" w:space="0"/>
              <w:bottom w:val="single" w:color="auto" w:sz="4" w:space="0"/>
              <w:right w:val="single" w:color="auto" w:sz="4" w:space="0"/>
            </w:tcBorders>
            <w:vAlign w:val="center"/>
          </w:tcPr>
          <w:p w14:paraId="4A58647A">
            <w:pPr>
              <w:autoSpaceDE w:val="0"/>
              <w:autoSpaceDN w:val="0"/>
              <w:snapToGrid w:val="0"/>
              <w:spacing w:line="360" w:lineRule="auto"/>
              <w:ind w:firstLine="456" w:firstLineChars="200"/>
              <w:textAlignment w:val="bottom"/>
              <w:rPr>
                <w:rFonts w:ascii="宋体" w:hAnsi="宋体" w:cs="宋体"/>
                <w:color w:val="auto"/>
                <w:spacing w:val="-6"/>
                <w:sz w:val="24"/>
              </w:rPr>
            </w:pPr>
            <w:r>
              <w:rPr>
                <w:rFonts w:hint="eastAsia" w:ascii="宋体" w:hAnsi="宋体" w:cs="宋体"/>
                <w:color w:val="auto"/>
                <w:spacing w:val="-6"/>
                <w:sz w:val="24"/>
              </w:rPr>
              <w:t>在投标截止时间15天前，采购人有权澄清和修改招标文件，在财政部门指定的政府采购信息发布媒体上发布更正公告，并以邮箱发送电子文件形式通知所有已购买招标文件的供应商。修改和澄清（答疑）答复的文件作为招标文件的补充和组成部分，对所有供应商均有约束力。</w:t>
            </w:r>
          </w:p>
        </w:tc>
      </w:tr>
      <w:tr w14:paraId="11360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3CD3E406">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14</w:t>
            </w:r>
          </w:p>
        </w:tc>
        <w:tc>
          <w:tcPr>
            <w:tcW w:w="1486" w:type="dxa"/>
            <w:tcBorders>
              <w:top w:val="single" w:color="auto" w:sz="4" w:space="0"/>
              <w:left w:val="single" w:color="auto" w:sz="4" w:space="0"/>
              <w:bottom w:val="single" w:color="auto" w:sz="4" w:space="0"/>
              <w:right w:val="single" w:color="auto" w:sz="4" w:space="0"/>
            </w:tcBorders>
            <w:vAlign w:val="center"/>
          </w:tcPr>
          <w:p w14:paraId="2F77FE39">
            <w:pPr>
              <w:snapToGrid w:val="0"/>
              <w:spacing w:line="360" w:lineRule="auto"/>
              <w:jc w:val="center"/>
              <w:rPr>
                <w:rFonts w:ascii="宋体" w:hAnsi="宋体" w:cs="宋体"/>
                <w:b/>
                <w:bCs/>
                <w:color w:val="auto"/>
                <w:sz w:val="24"/>
              </w:rPr>
            </w:pPr>
            <w:r>
              <w:rPr>
                <w:rFonts w:hint="eastAsia" w:ascii="宋体" w:hAnsi="宋体" w:cs="宋体"/>
                <w:b/>
                <w:bCs/>
                <w:color w:val="auto"/>
                <w:sz w:val="24"/>
              </w:rPr>
              <w:t>评标办法</w:t>
            </w:r>
          </w:p>
        </w:tc>
        <w:tc>
          <w:tcPr>
            <w:tcW w:w="7614" w:type="dxa"/>
            <w:tcBorders>
              <w:top w:val="single" w:color="auto" w:sz="4" w:space="0"/>
              <w:left w:val="single" w:color="auto" w:sz="4" w:space="0"/>
              <w:bottom w:val="single" w:color="auto" w:sz="4" w:space="0"/>
              <w:right w:val="single" w:color="auto" w:sz="4" w:space="0"/>
            </w:tcBorders>
            <w:vAlign w:val="center"/>
          </w:tcPr>
          <w:p w14:paraId="7E991581">
            <w:pPr>
              <w:autoSpaceDE w:val="0"/>
              <w:autoSpaceDN w:val="0"/>
              <w:snapToGrid w:val="0"/>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综合评分法。</w:t>
            </w:r>
          </w:p>
        </w:tc>
      </w:tr>
      <w:tr w14:paraId="72B62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93F9A0">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15</w:t>
            </w:r>
          </w:p>
        </w:tc>
        <w:tc>
          <w:tcPr>
            <w:tcW w:w="148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8C7171">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招标代理服务费</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4AE5E5">
            <w:pPr>
              <w:spacing w:line="360" w:lineRule="auto"/>
              <w:ind w:firstLine="458" w:firstLineChars="200"/>
              <w:rPr>
                <w:rFonts w:hint="eastAsia" w:ascii="宋体" w:hAnsi="宋体" w:cs="宋体"/>
                <w:b/>
                <w:bCs/>
                <w:color w:val="auto"/>
                <w:spacing w:val="-6"/>
                <w:sz w:val="24"/>
              </w:rPr>
            </w:pPr>
            <w:r>
              <w:rPr>
                <w:rFonts w:hint="eastAsia" w:ascii="宋体" w:hAnsi="宋体" w:cs="宋体"/>
                <w:b/>
                <w:bCs/>
                <w:color w:val="auto"/>
                <w:spacing w:val="-6"/>
                <w:sz w:val="24"/>
              </w:rPr>
              <w:t>（1）由中标供应商支付。收费标准为最终中标金额按照原国家计委关于印发《招标代理服务收费管理暂行办法》（计价格[2002]1980号）货物类下浮</w:t>
            </w:r>
            <w:r>
              <w:rPr>
                <w:rFonts w:hint="eastAsia" w:ascii="宋体" w:hAnsi="宋体" w:cs="宋体"/>
                <w:b/>
                <w:bCs/>
                <w:color w:val="auto"/>
                <w:spacing w:val="-6"/>
                <w:sz w:val="24"/>
                <w:lang w:val="en-US" w:eastAsia="zh-CN"/>
              </w:rPr>
              <w:t>2</w:t>
            </w:r>
            <w:r>
              <w:rPr>
                <w:rFonts w:hint="eastAsia" w:ascii="宋体" w:hAnsi="宋体" w:cs="宋体"/>
                <w:b/>
                <w:bCs/>
                <w:color w:val="auto"/>
                <w:spacing w:val="-6"/>
                <w:sz w:val="24"/>
              </w:rPr>
              <w:t>0%计取。</w:t>
            </w:r>
            <w:r>
              <w:rPr>
                <w:rFonts w:hint="eastAsia" w:ascii="宋体" w:hAnsi="宋体" w:cs="宋体"/>
                <w:b/>
                <w:bCs/>
                <w:color w:val="auto"/>
                <w:spacing w:val="-6"/>
                <w:sz w:val="24"/>
                <w:lang w:val="en-US" w:eastAsia="zh-CN"/>
              </w:rPr>
              <w:t>不足5000元的按5000元计。</w:t>
            </w:r>
          </w:p>
          <w:p w14:paraId="7ED870C2">
            <w:pPr>
              <w:spacing w:line="360" w:lineRule="auto"/>
              <w:ind w:firstLine="458" w:firstLineChars="200"/>
              <w:rPr>
                <w:rFonts w:ascii="宋体" w:hAnsi="宋体" w:cs="宋体"/>
                <w:snapToGrid w:val="0"/>
                <w:color w:val="auto"/>
                <w:kern w:val="28"/>
                <w:sz w:val="24"/>
              </w:rPr>
            </w:pPr>
            <w:r>
              <w:rPr>
                <w:rFonts w:hint="eastAsia" w:ascii="宋体" w:hAnsi="宋体" w:cs="宋体"/>
                <w:b/>
                <w:bCs/>
                <w:color w:val="auto"/>
                <w:spacing w:val="-6"/>
                <w:sz w:val="24"/>
              </w:rPr>
              <w:t>结算方式及时间为：中标公告发出后5个工作日内。</w:t>
            </w:r>
          </w:p>
          <w:p w14:paraId="2B77037F">
            <w:pPr>
              <w:spacing w:line="360" w:lineRule="auto"/>
              <w:ind w:firstLine="456" w:firstLineChars="200"/>
              <w:rPr>
                <w:rFonts w:ascii="宋体" w:hAnsi="宋体" w:cs="宋体"/>
                <w:snapToGrid w:val="0"/>
                <w:color w:val="auto"/>
                <w:kern w:val="28"/>
                <w:sz w:val="24"/>
              </w:rPr>
            </w:pPr>
            <w:r>
              <w:rPr>
                <w:rFonts w:hint="eastAsia" w:ascii="宋体" w:hAnsi="宋体" w:cs="宋体"/>
                <w:color w:val="auto"/>
                <w:spacing w:val="-6"/>
                <w:sz w:val="24"/>
              </w:rPr>
              <w:t>（2）</w:t>
            </w:r>
            <w:r>
              <w:rPr>
                <w:rFonts w:hint="eastAsia" w:ascii="宋体" w:hAnsi="宋体" w:cs="宋体"/>
                <w:snapToGrid w:val="0"/>
                <w:color w:val="auto"/>
                <w:kern w:val="28"/>
                <w:sz w:val="24"/>
              </w:rPr>
              <w:t>代理服务费收款账号：</w:t>
            </w:r>
          </w:p>
          <w:p w14:paraId="0A34CE6F">
            <w:pPr>
              <w:spacing w:line="360" w:lineRule="auto"/>
              <w:rPr>
                <w:rFonts w:ascii="宋体" w:hAnsi="宋体" w:cs="宋体"/>
                <w:snapToGrid w:val="0"/>
                <w:color w:val="auto"/>
                <w:kern w:val="28"/>
                <w:sz w:val="24"/>
                <w:lang w:val="zh-CN"/>
              </w:rPr>
            </w:pPr>
            <w:r>
              <w:rPr>
                <w:rFonts w:hint="eastAsia" w:ascii="宋体" w:hAnsi="宋体" w:cs="宋体"/>
                <w:snapToGrid w:val="0"/>
                <w:color w:val="auto"/>
                <w:kern w:val="28"/>
                <w:sz w:val="24"/>
                <w:lang w:val="zh-CN"/>
              </w:rPr>
              <w:t>收款单位（户名）：杭州意信招标代理有限公司</w:t>
            </w:r>
          </w:p>
          <w:p w14:paraId="6D4FDA0D">
            <w:pPr>
              <w:spacing w:line="360" w:lineRule="auto"/>
              <w:rPr>
                <w:rFonts w:ascii="宋体" w:hAnsi="宋体" w:cs="宋体"/>
                <w:snapToGrid w:val="0"/>
                <w:color w:val="auto"/>
                <w:kern w:val="28"/>
                <w:sz w:val="24"/>
                <w:lang w:val="zh-CN"/>
              </w:rPr>
            </w:pPr>
            <w:r>
              <w:rPr>
                <w:rFonts w:hint="eastAsia" w:ascii="宋体" w:hAnsi="宋体" w:cs="宋体"/>
                <w:snapToGrid w:val="0"/>
                <w:color w:val="auto"/>
                <w:kern w:val="28"/>
                <w:sz w:val="24"/>
                <w:lang w:val="zh-CN"/>
              </w:rPr>
              <w:t>开户银行：</w:t>
            </w:r>
            <w:r>
              <w:rPr>
                <w:rFonts w:hint="eastAsia" w:ascii="宋体" w:hAnsi="宋体" w:cs="宋体"/>
                <w:color w:val="auto"/>
                <w:sz w:val="24"/>
                <w:lang w:val="zh-CN"/>
              </w:rPr>
              <w:t>中国工商银行杭州国际花园支行</w:t>
            </w:r>
          </w:p>
          <w:p w14:paraId="5F81FC54">
            <w:pPr>
              <w:spacing w:line="360" w:lineRule="auto"/>
              <w:rPr>
                <w:rFonts w:ascii="宋体" w:hAnsi="宋体" w:cs="宋体"/>
                <w:color w:val="auto"/>
                <w:sz w:val="24"/>
                <w:lang w:val="zh-CN"/>
              </w:rPr>
            </w:pPr>
            <w:r>
              <w:rPr>
                <w:rFonts w:hint="eastAsia" w:ascii="宋体" w:hAnsi="宋体" w:cs="宋体"/>
                <w:snapToGrid w:val="0"/>
                <w:color w:val="auto"/>
                <w:kern w:val="28"/>
                <w:sz w:val="24"/>
                <w:lang w:val="zh-CN"/>
              </w:rPr>
              <w:t>银行账号：</w:t>
            </w:r>
            <w:r>
              <w:rPr>
                <w:rFonts w:hint="eastAsia" w:ascii="宋体" w:hAnsi="宋体" w:cs="宋体"/>
                <w:color w:val="auto"/>
                <w:sz w:val="24"/>
                <w:lang w:val="zh-CN"/>
              </w:rPr>
              <w:t>1202052319900022431</w:t>
            </w:r>
          </w:p>
          <w:p w14:paraId="308CEDE3">
            <w:pPr>
              <w:adjustRightInd w:val="0"/>
              <w:snapToGrid w:val="0"/>
              <w:spacing w:line="360" w:lineRule="auto"/>
              <w:rPr>
                <w:rFonts w:ascii="宋体" w:hAnsi="宋体" w:cs="宋体"/>
                <w:color w:val="auto"/>
                <w:sz w:val="24"/>
              </w:rPr>
            </w:pPr>
            <w:r>
              <w:rPr>
                <w:color w:val="auto"/>
              </w:rPr>
              <w:fldChar w:fldCharType="begin"/>
            </w:r>
            <w:r>
              <w:rPr>
                <w:color w:val="auto"/>
              </w:rPr>
              <w:instrText xml:space="preserve"> HYPERLINK "mailto:开发票信息请发送邮件至hzyxzbdl@qq.com（提供项目名称、招标编号、开票资料、收件信息并注明专普票）。" </w:instrText>
            </w:r>
            <w:r>
              <w:rPr>
                <w:color w:val="auto"/>
              </w:rPr>
              <w:fldChar w:fldCharType="separate"/>
            </w:r>
            <w:r>
              <w:rPr>
                <w:rFonts w:hint="eastAsia" w:ascii="宋体" w:hAnsi="宋体" w:cs="宋体"/>
                <w:color w:val="auto"/>
                <w:sz w:val="24"/>
              </w:rPr>
              <w:t>开发票信息请发送邮件至hzyxzbdl@qq.com（提供项目名称、招标编号、开票资料、收件信息并注明专普票）。</w:t>
            </w:r>
            <w:r>
              <w:rPr>
                <w:rFonts w:hint="eastAsia" w:ascii="宋体" w:hAnsi="宋体" w:cs="宋体"/>
                <w:color w:val="auto"/>
                <w:sz w:val="24"/>
              </w:rPr>
              <w:fldChar w:fldCharType="end"/>
            </w:r>
          </w:p>
          <w:p w14:paraId="6DC74D12">
            <w:pPr>
              <w:adjustRightInd w:val="0"/>
              <w:snapToGrid w:val="0"/>
              <w:spacing w:line="360" w:lineRule="auto"/>
              <w:rPr>
                <w:color w:val="auto"/>
              </w:rPr>
            </w:pPr>
            <w:r>
              <w:rPr>
                <w:rFonts w:hint="eastAsia" w:ascii="宋体" w:hAnsi="宋体" w:cs="宋体"/>
                <w:color w:val="auto"/>
                <w:sz w:val="24"/>
              </w:rPr>
              <w:t>财务联系方式：18072746761。</w:t>
            </w:r>
          </w:p>
        </w:tc>
      </w:tr>
      <w:tr w14:paraId="27A94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35E8D56">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16</w:t>
            </w:r>
          </w:p>
        </w:tc>
        <w:tc>
          <w:tcPr>
            <w:tcW w:w="1486" w:type="dxa"/>
            <w:tcBorders>
              <w:top w:val="single" w:color="auto" w:sz="4" w:space="0"/>
              <w:left w:val="single" w:color="auto" w:sz="4" w:space="0"/>
              <w:bottom w:val="single" w:color="auto" w:sz="4" w:space="0"/>
              <w:right w:val="single" w:color="auto" w:sz="4" w:space="0"/>
            </w:tcBorders>
            <w:vAlign w:val="center"/>
          </w:tcPr>
          <w:p w14:paraId="613F0162">
            <w:pPr>
              <w:widowControl/>
              <w:autoSpaceDE w:val="0"/>
              <w:autoSpaceDN w:val="0"/>
              <w:snapToGrid w:val="0"/>
              <w:spacing w:line="360" w:lineRule="auto"/>
              <w:ind w:left="190" w:hanging="190" w:hangingChars="83"/>
              <w:jc w:val="center"/>
              <w:textAlignment w:val="bottom"/>
              <w:rPr>
                <w:rFonts w:ascii="宋体" w:hAnsi="宋体" w:cs="宋体"/>
                <w:b/>
                <w:bCs/>
                <w:color w:val="auto"/>
                <w:spacing w:val="-6"/>
                <w:sz w:val="24"/>
              </w:rPr>
            </w:pPr>
            <w:r>
              <w:rPr>
                <w:rFonts w:ascii="宋体" w:hAnsi="宋体" w:cs="宋体"/>
                <w:b/>
                <w:bCs/>
                <w:color w:val="auto"/>
                <w:spacing w:val="-6"/>
                <w:sz w:val="24"/>
              </w:rPr>
              <w:t>中小企业认定</w:t>
            </w:r>
          </w:p>
        </w:tc>
        <w:tc>
          <w:tcPr>
            <w:tcW w:w="7614" w:type="dxa"/>
            <w:tcBorders>
              <w:top w:val="single" w:color="auto" w:sz="4" w:space="0"/>
              <w:left w:val="single" w:color="auto" w:sz="4" w:space="0"/>
              <w:bottom w:val="single" w:color="auto" w:sz="4" w:space="0"/>
              <w:right w:val="single" w:color="auto" w:sz="4" w:space="0"/>
            </w:tcBorders>
            <w:vAlign w:val="center"/>
          </w:tcPr>
          <w:p w14:paraId="02A39A49">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highlight w:val="none"/>
              </w:rPr>
              <w:t>（1）</w:t>
            </w:r>
            <w:r>
              <w:rPr>
                <w:rFonts w:hint="eastAsia" w:ascii="宋体" w:hAnsi="宋体" w:cs="宋体"/>
                <w:b/>
                <w:bCs/>
                <w:color w:val="auto"/>
                <w:sz w:val="24"/>
                <w:highlight w:val="none"/>
              </w:rPr>
              <w:t>本次采购为专门面向中小企业预留采购份额的采购项目。投标文</w:t>
            </w:r>
            <w:r>
              <w:rPr>
                <w:rFonts w:hint="eastAsia" w:ascii="宋体" w:hAnsi="宋体" w:cs="宋体"/>
                <w:b/>
                <w:bCs/>
                <w:color w:val="auto"/>
                <w:sz w:val="24"/>
              </w:rPr>
              <w:t>件中须提供投标人出具的《政府采购促进中小企业发展管理办法》</w:t>
            </w:r>
            <w:r>
              <w:rPr>
                <w:rFonts w:hint="eastAsia" w:ascii="宋体" w:hAnsi="宋体" w:cs="宋体"/>
                <w:b/>
                <w:bCs/>
                <w:color w:val="auto"/>
                <w:sz w:val="24"/>
                <w:highlight w:val="none"/>
              </w:rPr>
              <w:t>【财库202</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46</w:t>
            </w:r>
            <w:r>
              <w:rPr>
                <w:rFonts w:hint="eastAsia" w:ascii="宋体" w:hAnsi="宋体" w:cs="宋体"/>
                <w:b/>
                <w:bCs/>
                <w:color w:val="auto"/>
                <w:sz w:val="24"/>
                <w:highlight w:val="none"/>
              </w:rPr>
              <w:t>号文件】</w:t>
            </w:r>
            <w:r>
              <w:rPr>
                <w:rFonts w:hint="eastAsia" w:ascii="宋体" w:hAnsi="宋体" w:cs="宋体"/>
                <w:b/>
                <w:bCs/>
                <w:color w:val="auto"/>
                <w:sz w:val="24"/>
              </w:rPr>
              <w:t>规定的《中小企业声明函》。</w:t>
            </w:r>
          </w:p>
          <w:p w14:paraId="504515E1">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（2）本次采购标的为货物，对应的中小企业划分标准所属行业是：</w:t>
            </w:r>
            <w:r>
              <w:rPr>
                <w:rFonts w:hint="eastAsia" w:ascii="宋体" w:hAnsi="宋体" w:cs="宋体"/>
                <w:b/>
                <w:bCs/>
                <w:color w:val="auto"/>
                <w:sz w:val="24"/>
                <w:u w:val="single"/>
              </w:rPr>
              <w:t>工业</w:t>
            </w:r>
            <w:r>
              <w:rPr>
                <w:rFonts w:hint="eastAsia" w:ascii="宋体" w:hAnsi="宋体" w:cs="宋体"/>
                <w:b/>
                <w:bCs/>
                <w:color w:val="auto"/>
                <w:sz w:val="24"/>
              </w:rPr>
              <w:t>。</w:t>
            </w:r>
            <w:r>
              <w:rPr>
                <w:rFonts w:hint="eastAsia" w:ascii="宋体" w:hAnsi="宋体" w:cs="宋体"/>
                <w:color w:val="auto"/>
                <w:sz w:val="24"/>
              </w:rPr>
              <w:t>（从业人员 1000 人以下或营业收入 40000 万元以下的为中小微型企业。其中，从业人员 300 人及以上，且营业收入 2000 万元及以上的为中型企业；从业人员20 人及以上，且营业收入 300 万元及以上的为小型企业； 从业人员 20 人以下或营业收入 300 万元以下的为微型企业。）</w:t>
            </w:r>
          </w:p>
          <w:p w14:paraId="68E25592">
            <w:pPr>
              <w:pStyle w:val="42"/>
              <w:spacing w:line="360" w:lineRule="auto"/>
              <w:ind w:firstLine="480" w:firstLineChars="200"/>
              <w:rPr>
                <w:rFonts w:ascii="宋体" w:hAnsi="宋体" w:eastAsia="宋体" w:cs="宋体"/>
                <w:color w:val="auto"/>
              </w:rPr>
            </w:pPr>
            <w:r>
              <w:rPr>
                <w:rFonts w:hint="eastAsia" w:ascii="宋体" w:hAnsi="宋体" w:eastAsia="宋体" w:cs="宋体"/>
                <w:color w:val="auto"/>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09A05019">
            <w:pPr>
              <w:widowControl/>
              <w:autoSpaceDE w:val="0"/>
              <w:autoSpaceDN w:val="0"/>
              <w:snapToGrid w:val="0"/>
              <w:spacing w:line="360" w:lineRule="auto"/>
              <w:jc w:val="left"/>
              <w:textAlignment w:val="bottom"/>
              <w:rPr>
                <w:rFonts w:ascii="宋体" w:hAnsi="宋体" w:cs="宋体"/>
                <w:color w:val="auto"/>
                <w:sz w:val="24"/>
              </w:rPr>
            </w:pPr>
            <w:r>
              <w:rPr>
                <w:rFonts w:hint="eastAsia" w:ascii="宋体" w:hAnsi="宋体" w:cs="宋体"/>
                <w:color w:val="auto"/>
                <w:sz w:val="24"/>
              </w:rPr>
              <w:t>享受政府采购支持政策的残疾人福利性单位应当同时满足以下条件：</w:t>
            </w:r>
          </w:p>
          <w:p w14:paraId="5031F80A">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（一）安置的残疾人占本单位在职职工人数的比例不低于25%（含25%），并且安置的残疾人人数不少于10人（含10人）；</w:t>
            </w:r>
          </w:p>
          <w:p w14:paraId="61F0170F">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（二）依法与安置的每位残疾人签订了一年以上（含一年）的劳动合同或服务协议；</w:t>
            </w:r>
          </w:p>
          <w:p w14:paraId="58405CAF">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（三）为安置的每位残疾人按月足额缴纳了基本养老保险、基本医疗保险、失业保险、工伤保险和生育保险等社会保险费；</w:t>
            </w:r>
          </w:p>
          <w:p w14:paraId="4284E38E">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（四）通过银行等金融机构向安置的每位残疾人，按月支付了不低于单位所在区县适用的经省级人民政府批准的月最低工资标准的工资；</w:t>
            </w:r>
          </w:p>
          <w:p w14:paraId="1488A7FE">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（五）提供本单位制造的货物、承担的工程或者服务（以下简称产品），或者提供其他残疾人福利性单位制造的货物（不包括使用非残疾人福利性单位注册商标的货物）。</w:t>
            </w:r>
          </w:p>
          <w:p w14:paraId="1E200613">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tc>
      </w:tr>
      <w:tr w14:paraId="5E42F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2194FDA0">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17</w:t>
            </w:r>
          </w:p>
        </w:tc>
        <w:tc>
          <w:tcPr>
            <w:tcW w:w="1486" w:type="dxa"/>
            <w:tcBorders>
              <w:top w:val="single" w:color="auto" w:sz="4" w:space="0"/>
              <w:left w:val="single" w:color="auto" w:sz="4" w:space="0"/>
              <w:bottom w:val="single" w:color="auto" w:sz="4" w:space="0"/>
              <w:right w:val="single" w:color="auto" w:sz="4" w:space="0"/>
            </w:tcBorders>
            <w:vAlign w:val="center"/>
          </w:tcPr>
          <w:p w14:paraId="3269A442">
            <w:pPr>
              <w:adjustRightInd w:val="0"/>
              <w:snapToGrid w:val="0"/>
              <w:spacing w:line="360" w:lineRule="auto"/>
              <w:ind w:left="229" w:hanging="229" w:hangingChars="100"/>
              <w:jc w:val="center"/>
              <w:rPr>
                <w:rFonts w:ascii="宋体" w:hAnsi="宋体" w:cs="宋体"/>
                <w:b/>
                <w:bCs/>
                <w:color w:val="auto"/>
                <w:spacing w:val="-6"/>
                <w:sz w:val="24"/>
              </w:rPr>
            </w:pPr>
            <w:r>
              <w:rPr>
                <w:rFonts w:hint="eastAsia" w:ascii="宋体" w:hAnsi="宋体" w:cs="宋体"/>
                <w:b/>
                <w:bCs/>
                <w:color w:val="auto"/>
                <w:spacing w:val="-6"/>
                <w:sz w:val="24"/>
              </w:rPr>
              <w:t>强制采购政策与优先采购政策</w:t>
            </w:r>
          </w:p>
        </w:tc>
        <w:tc>
          <w:tcPr>
            <w:tcW w:w="7614" w:type="dxa"/>
            <w:tcBorders>
              <w:top w:val="single" w:color="auto" w:sz="4" w:space="0"/>
              <w:left w:val="single" w:color="auto" w:sz="4" w:space="0"/>
              <w:bottom w:val="single" w:color="auto" w:sz="4" w:space="0"/>
              <w:right w:val="single" w:color="auto" w:sz="4" w:space="0"/>
            </w:tcBorders>
            <w:vAlign w:val="center"/>
          </w:tcPr>
          <w:p w14:paraId="63C0E706">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（1）节能产品的强制采购政策</w:t>
            </w:r>
          </w:p>
          <w:p w14:paraId="7560E74D">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 xml:space="preserve">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 </w:t>
            </w:r>
          </w:p>
          <w:p w14:paraId="2AD4030D">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（2）节能产品、环境标志产品的优先采购政策</w:t>
            </w:r>
          </w:p>
          <w:p w14:paraId="1ABB214D">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 xml:space="preserve">根据财政部、国家发展和改革委员会、生态环境部等部门公布的 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 </w:t>
            </w:r>
          </w:p>
        </w:tc>
      </w:tr>
      <w:tr w14:paraId="20049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7A02A70C">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18</w:t>
            </w:r>
          </w:p>
        </w:tc>
        <w:tc>
          <w:tcPr>
            <w:tcW w:w="1486" w:type="dxa"/>
            <w:tcBorders>
              <w:top w:val="single" w:color="auto" w:sz="4" w:space="0"/>
              <w:left w:val="single" w:color="auto" w:sz="4" w:space="0"/>
              <w:bottom w:val="single" w:color="auto" w:sz="4" w:space="0"/>
              <w:right w:val="single" w:color="auto" w:sz="4" w:space="0"/>
            </w:tcBorders>
            <w:vAlign w:val="center"/>
          </w:tcPr>
          <w:p w14:paraId="230D4CEB">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质疑和投诉</w:t>
            </w:r>
          </w:p>
        </w:tc>
        <w:tc>
          <w:tcPr>
            <w:tcW w:w="7614" w:type="dxa"/>
            <w:tcBorders>
              <w:top w:val="single" w:color="auto" w:sz="4" w:space="0"/>
              <w:left w:val="single" w:color="auto" w:sz="4" w:space="0"/>
              <w:bottom w:val="single" w:color="auto" w:sz="4" w:space="0"/>
              <w:right w:val="single" w:color="auto" w:sz="4" w:space="0"/>
            </w:tcBorders>
            <w:vAlign w:val="center"/>
          </w:tcPr>
          <w:p w14:paraId="5D5A12AE">
            <w:pPr>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根据《中华人民共和国政府采购法》第五十二条、《中华人民共和国政府采购法实施条例》第五十三条、《中华人民共和国财政部令第94号《政府采购质疑和投诉办法》的规定：</w:t>
            </w:r>
          </w:p>
          <w:p w14:paraId="26781EDE">
            <w:pPr>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w:t>
            </w:r>
            <w:r>
              <w:rPr>
                <w:rFonts w:hint="eastAsia" w:ascii="宋体" w:hAnsi="宋体" w:cs="宋体"/>
                <w:color w:val="auto"/>
                <w:spacing w:val="-6"/>
                <w:sz w:val="24"/>
                <w:highlight w:val="none"/>
              </w:rPr>
              <w:t>门投诉。</w:t>
            </w:r>
          </w:p>
          <w:p w14:paraId="04E8B16F">
            <w:pPr>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供应商如认为中标结果使自身的合法权益受到损害的，应于中标或者成交结果公告期限届满之日起七个工作日内以书面形式向采购机构提出质疑。</w:t>
            </w:r>
          </w:p>
        </w:tc>
      </w:tr>
      <w:tr w14:paraId="579F4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15A21D7">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19</w:t>
            </w:r>
          </w:p>
        </w:tc>
        <w:tc>
          <w:tcPr>
            <w:tcW w:w="1486" w:type="dxa"/>
            <w:tcBorders>
              <w:top w:val="single" w:color="auto" w:sz="4" w:space="0"/>
              <w:left w:val="single" w:color="auto" w:sz="4" w:space="0"/>
              <w:bottom w:val="single" w:color="auto" w:sz="4" w:space="0"/>
              <w:right w:val="single" w:color="auto" w:sz="4" w:space="0"/>
            </w:tcBorders>
            <w:vAlign w:val="center"/>
          </w:tcPr>
          <w:p w14:paraId="2A442DCE">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28"/>
                <w:sz w:val="24"/>
              </w:rPr>
              <w:t>是否允许采购进口产品</w:t>
            </w:r>
          </w:p>
        </w:tc>
        <w:tc>
          <w:tcPr>
            <w:tcW w:w="7614" w:type="dxa"/>
            <w:tcBorders>
              <w:top w:val="single" w:color="auto" w:sz="4" w:space="0"/>
              <w:left w:val="single" w:color="auto" w:sz="4" w:space="0"/>
              <w:bottom w:val="single" w:color="auto" w:sz="4" w:space="0"/>
              <w:right w:val="single" w:color="auto" w:sz="4" w:space="0"/>
            </w:tcBorders>
            <w:vAlign w:val="center"/>
          </w:tcPr>
          <w:p w14:paraId="16A58AC3">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本项目不允许采购进口产品。</w:t>
            </w:r>
          </w:p>
        </w:tc>
      </w:tr>
      <w:tr w14:paraId="3F01F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5329ED0">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20</w:t>
            </w:r>
          </w:p>
        </w:tc>
        <w:tc>
          <w:tcPr>
            <w:tcW w:w="1486" w:type="dxa"/>
            <w:tcBorders>
              <w:top w:val="single" w:color="auto" w:sz="4" w:space="0"/>
              <w:left w:val="single" w:color="auto" w:sz="4" w:space="0"/>
              <w:bottom w:val="single" w:color="auto" w:sz="4" w:space="0"/>
              <w:right w:val="single" w:color="auto" w:sz="4" w:space="0"/>
            </w:tcBorders>
            <w:vAlign w:val="center"/>
          </w:tcPr>
          <w:p w14:paraId="6749E23F">
            <w:pPr>
              <w:shd w:val="clear" w:color="auto" w:fill="FFFFFF"/>
              <w:spacing w:line="360" w:lineRule="auto"/>
              <w:jc w:val="center"/>
              <w:rPr>
                <w:rFonts w:ascii="宋体" w:hAnsi="宋体" w:cs="宋体"/>
                <w:b/>
                <w:bCs/>
                <w:color w:val="auto"/>
                <w:spacing w:val="-28"/>
                <w:sz w:val="24"/>
              </w:rPr>
            </w:pPr>
            <w:r>
              <w:rPr>
                <w:rFonts w:hint="eastAsia" w:ascii="宋体" w:hAnsi="宋体" w:cs="宋体"/>
                <w:b/>
                <w:bCs/>
                <w:color w:val="auto"/>
                <w:spacing w:val="-28"/>
                <w:sz w:val="24"/>
              </w:rPr>
              <w:t>是否接受联合体</w:t>
            </w:r>
          </w:p>
        </w:tc>
        <w:tc>
          <w:tcPr>
            <w:tcW w:w="7614" w:type="dxa"/>
            <w:tcBorders>
              <w:top w:val="single" w:color="auto" w:sz="4" w:space="0"/>
              <w:left w:val="single" w:color="auto" w:sz="4" w:space="0"/>
              <w:bottom w:val="single" w:color="auto" w:sz="4" w:space="0"/>
              <w:right w:val="single" w:color="auto" w:sz="4" w:space="0"/>
            </w:tcBorders>
            <w:vAlign w:val="center"/>
          </w:tcPr>
          <w:p w14:paraId="089120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否。</w:t>
            </w:r>
          </w:p>
        </w:tc>
      </w:tr>
      <w:tr w14:paraId="0A6CD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1DB476A">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21</w:t>
            </w:r>
          </w:p>
        </w:tc>
        <w:tc>
          <w:tcPr>
            <w:tcW w:w="1486" w:type="dxa"/>
            <w:tcBorders>
              <w:top w:val="single" w:color="auto" w:sz="4" w:space="0"/>
              <w:left w:val="single" w:color="auto" w:sz="4" w:space="0"/>
              <w:bottom w:val="single" w:color="auto" w:sz="4" w:space="0"/>
              <w:right w:val="single" w:color="auto" w:sz="4" w:space="0"/>
            </w:tcBorders>
            <w:vAlign w:val="center"/>
          </w:tcPr>
          <w:p w14:paraId="325AB5AA">
            <w:pPr>
              <w:shd w:val="clear" w:color="auto" w:fill="FFFFFF"/>
              <w:spacing w:line="360" w:lineRule="auto"/>
              <w:jc w:val="center"/>
              <w:rPr>
                <w:rFonts w:ascii="宋体" w:hAnsi="宋体" w:cs="宋体"/>
                <w:b/>
                <w:bCs/>
                <w:color w:val="auto"/>
                <w:spacing w:val="-28"/>
                <w:sz w:val="24"/>
              </w:rPr>
            </w:pPr>
            <w:r>
              <w:rPr>
                <w:rFonts w:hint="eastAsia" w:ascii="宋体" w:hAnsi="宋体" w:cs="宋体"/>
                <w:b/>
                <w:bCs/>
                <w:color w:val="auto"/>
                <w:spacing w:val="-28"/>
                <w:sz w:val="24"/>
              </w:rPr>
              <w:t>转包与分包</w:t>
            </w:r>
          </w:p>
        </w:tc>
        <w:tc>
          <w:tcPr>
            <w:tcW w:w="7614" w:type="dxa"/>
            <w:tcBorders>
              <w:top w:val="single" w:color="auto" w:sz="4" w:space="0"/>
              <w:left w:val="single" w:color="auto" w:sz="4" w:space="0"/>
              <w:bottom w:val="single" w:color="auto" w:sz="4" w:space="0"/>
              <w:right w:val="single" w:color="auto" w:sz="4" w:space="0"/>
            </w:tcBorders>
            <w:vAlign w:val="center"/>
          </w:tcPr>
          <w:p w14:paraId="210F3C9A">
            <w:pPr>
              <w:spacing w:line="360" w:lineRule="auto"/>
              <w:ind w:firstLine="480" w:firstLineChars="200"/>
              <w:rPr>
                <w:rFonts w:ascii="宋体" w:hAnsi="宋体" w:cs="宋体"/>
                <w:color w:val="auto"/>
                <w:kern w:val="0"/>
                <w:sz w:val="24"/>
              </w:rPr>
            </w:pPr>
            <w:r>
              <w:rPr>
                <w:rFonts w:hint="eastAsia" w:ascii="宋体" w:hAnsi="宋体" w:cs="宋体"/>
                <w:color w:val="auto"/>
                <w:sz w:val="24"/>
              </w:rPr>
              <w:t>不同意转包与分包。</w:t>
            </w:r>
          </w:p>
        </w:tc>
      </w:tr>
      <w:tr w14:paraId="0DFC6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04B5B7F">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22</w:t>
            </w:r>
          </w:p>
        </w:tc>
        <w:tc>
          <w:tcPr>
            <w:tcW w:w="1486" w:type="dxa"/>
            <w:tcBorders>
              <w:top w:val="single" w:color="auto" w:sz="4" w:space="0"/>
              <w:left w:val="single" w:color="auto" w:sz="4" w:space="0"/>
              <w:bottom w:val="single" w:color="auto" w:sz="4" w:space="0"/>
              <w:right w:val="single" w:color="auto" w:sz="4" w:space="0"/>
            </w:tcBorders>
            <w:vAlign w:val="center"/>
          </w:tcPr>
          <w:p w14:paraId="228F8CC4">
            <w:pPr>
              <w:shd w:val="clear" w:color="auto" w:fill="FFFFFF"/>
              <w:spacing w:line="360" w:lineRule="auto"/>
              <w:jc w:val="center"/>
              <w:rPr>
                <w:rFonts w:ascii="宋体" w:hAnsi="宋体" w:cs="宋体"/>
                <w:b/>
                <w:color w:val="auto"/>
                <w:sz w:val="24"/>
              </w:rPr>
            </w:pPr>
            <w:r>
              <w:rPr>
                <w:rFonts w:hint="eastAsia" w:ascii="宋体" w:hAnsi="宋体" w:cs="宋体"/>
                <w:b/>
                <w:bCs/>
                <w:color w:val="auto"/>
                <w:spacing w:val="-28"/>
                <w:sz w:val="24"/>
              </w:rPr>
              <w:t>现场考察、开标前答疑会</w:t>
            </w:r>
          </w:p>
        </w:tc>
        <w:tc>
          <w:tcPr>
            <w:tcW w:w="7614" w:type="dxa"/>
            <w:tcBorders>
              <w:top w:val="single" w:color="auto" w:sz="4" w:space="0"/>
              <w:left w:val="single" w:color="auto" w:sz="4" w:space="0"/>
              <w:bottom w:val="single" w:color="auto" w:sz="4" w:space="0"/>
              <w:right w:val="single" w:color="auto" w:sz="4" w:space="0"/>
            </w:tcBorders>
            <w:vAlign w:val="center"/>
          </w:tcPr>
          <w:p w14:paraId="3F3325F4">
            <w:pPr>
              <w:spacing w:line="360" w:lineRule="auto"/>
              <w:ind w:firstLine="480" w:firstLineChars="200"/>
              <w:rPr>
                <w:rFonts w:ascii="宋体" w:hAnsi="宋体" w:cs="宋体"/>
                <w:color w:val="auto"/>
                <w:sz w:val="24"/>
              </w:rPr>
            </w:pPr>
            <w:r>
              <w:rPr>
                <w:rFonts w:hint="eastAsia" w:ascii="宋体" w:hAnsi="宋体" w:cs="宋体"/>
                <w:color w:val="auto"/>
                <w:kern w:val="0"/>
                <w:sz w:val="24"/>
              </w:rPr>
              <w:t>不组织。</w:t>
            </w:r>
          </w:p>
        </w:tc>
      </w:tr>
      <w:tr w14:paraId="5E9B6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0D41668">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23</w:t>
            </w:r>
          </w:p>
        </w:tc>
        <w:tc>
          <w:tcPr>
            <w:tcW w:w="1486" w:type="dxa"/>
            <w:tcBorders>
              <w:top w:val="single" w:color="auto" w:sz="4" w:space="0"/>
              <w:left w:val="single" w:color="auto" w:sz="4" w:space="0"/>
              <w:bottom w:val="single" w:color="auto" w:sz="4" w:space="0"/>
              <w:right w:val="single" w:color="auto" w:sz="4" w:space="0"/>
            </w:tcBorders>
            <w:vAlign w:val="center"/>
          </w:tcPr>
          <w:p w14:paraId="2062F249">
            <w:pPr>
              <w:snapToGrid w:val="0"/>
              <w:spacing w:line="360" w:lineRule="auto"/>
              <w:jc w:val="center"/>
              <w:rPr>
                <w:rFonts w:ascii="宋体" w:hAnsi="宋体" w:cs="宋体"/>
                <w:b/>
                <w:color w:val="auto"/>
                <w:sz w:val="24"/>
              </w:rPr>
            </w:pPr>
            <w:r>
              <w:rPr>
                <w:rFonts w:hint="eastAsia" w:ascii="宋体" w:hAnsi="宋体" w:cs="宋体"/>
                <w:b/>
                <w:color w:val="auto"/>
                <w:sz w:val="24"/>
              </w:rPr>
              <w:t>其他</w:t>
            </w:r>
          </w:p>
        </w:tc>
        <w:tc>
          <w:tcPr>
            <w:tcW w:w="7614" w:type="dxa"/>
            <w:tcBorders>
              <w:top w:val="single" w:color="auto" w:sz="4" w:space="0"/>
              <w:left w:val="single" w:color="auto" w:sz="4" w:space="0"/>
              <w:bottom w:val="single" w:color="auto" w:sz="4" w:space="0"/>
              <w:right w:val="single" w:color="auto" w:sz="4" w:space="0"/>
            </w:tcBorders>
            <w:vAlign w:val="center"/>
          </w:tcPr>
          <w:p w14:paraId="33BF5629">
            <w:pPr>
              <w:pStyle w:val="117"/>
              <w:numPr>
                <w:ilvl w:val="0"/>
                <w:numId w:val="3"/>
              </w:numPr>
              <w:shd w:val="clear" w:color="auto" w:fill="FFFFFF" w:themeFill="background1"/>
              <w:spacing w:after="0" w:line="360" w:lineRule="auto"/>
              <w:ind w:firstLineChars="175"/>
              <w:rPr>
                <w:rFonts w:ascii="宋体" w:hAnsi="宋体" w:cs="宋体"/>
                <w:color w:val="auto"/>
                <w:kern w:val="0"/>
                <w:sz w:val="24"/>
                <w:szCs w:val="24"/>
              </w:rPr>
            </w:pPr>
            <w:r>
              <w:rPr>
                <w:rFonts w:hint="eastAsia" w:ascii="宋体" w:hAnsi="宋体" w:cs="宋体"/>
                <w:color w:val="auto"/>
                <w:sz w:val="24"/>
                <w:szCs w:val="24"/>
              </w:rPr>
              <w:t>请投标人仔细阅读本招标文件，其中“▲” 系指实质性要求条款，“★”指重要性要求条款。</w:t>
            </w:r>
          </w:p>
          <w:p w14:paraId="29441BD6">
            <w:pPr>
              <w:pStyle w:val="117"/>
              <w:numPr>
                <w:ilvl w:val="0"/>
                <w:numId w:val="3"/>
              </w:numPr>
              <w:shd w:val="clear" w:color="auto" w:fill="FFFFFF" w:themeFill="background1"/>
              <w:spacing w:after="0" w:line="360" w:lineRule="auto"/>
              <w:ind w:firstLineChars="175"/>
              <w:rPr>
                <w:rFonts w:ascii="宋体" w:hAnsi="宋体" w:cs="宋体"/>
                <w:color w:val="auto"/>
                <w:kern w:val="0"/>
                <w:sz w:val="24"/>
                <w:szCs w:val="24"/>
              </w:rPr>
            </w:pPr>
            <w:r>
              <w:rPr>
                <w:rFonts w:hint="eastAsia" w:ascii="宋体" w:hAnsi="宋体" w:cs="宋体"/>
                <w:color w:val="auto"/>
                <w:sz w:val="24"/>
                <w:szCs w:val="24"/>
                <w:shd w:val="clear" w:color="auto" w:fill="FFFFFF" w:themeFill="background1"/>
              </w:rPr>
              <w:t>评</w:t>
            </w:r>
            <w:r>
              <w:rPr>
                <w:rFonts w:hint="eastAsia" w:ascii="宋体" w:hAnsi="宋体" w:cs="宋体"/>
                <w:color w:val="auto"/>
                <w:sz w:val="24"/>
                <w:szCs w:val="24"/>
              </w:rPr>
              <w:t>审过程中如有需要投标人对投标文件作出澄清、说明或者补正的，将以电子邮件的方式发出，投标人须在规定的时间内作出答复，并由授权代表签字扫描后发至hzyxzbdl@qq.com邮箱。</w:t>
            </w:r>
          </w:p>
        </w:tc>
      </w:tr>
      <w:tr w14:paraId="7A15B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82AB59F">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24</w:t>
            </w:r>
          </w:p>
        </w:tc>
        <w:tc>
          <w:tcPr>
            <w:tcW w:w="1486" w:type="dxa"/>
            <w:tcBorders>
              <w:top w:val="single" w:color="auto" w:sz="4" w:space="0"/>
              <w:left w:val="single" w:color="auto" w:sz="4" w:space="0"/>
              <w:bottom w:val="single" w:color="auto" w:sz="4" w:space="0"/>
              <w:right w:val="single" w:color="auto" w:sz="4" w:space="0"/>
            </w:tcBorders>
            <w:vAlign w:val="center"/>
          </w:tcPr>
          <w:p w14:paraId="347E5615">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解释</w:t>
            </w:r>
          </w:p>
        </w:tc>
        <w:tc>
          <w:tcPr>
            <w:tcW w:w="7614" w:type="dxa"/>
            <w:tcBorders>
              <w:top w:val="single" w:color="auto" w:sz="4" w:space="0"/>
              <w:left w:val="single" w:color="auto" w:sz="4" w:space="0"/>
              <w:bottom w:val="single" w:color="auto" w:sz="4" w:space="0"/>
              <w:right w:val="single" w:color="auto" w:sz="4" w:space="0"/>
            </w:tcBorders>
            <w:vAlign w:val="center"/>
          </w:tcPr>
          <w:p w14:paraId="18EC189B">
            <w:pPr>
              <w:snapToGrid w:val="0"/>
              <w:spacing w:line="360" w:lineRule="auto"/>
              <w:rPr>
                <w:rFonts w:ascii="宋体" w:hAnsi="宋体" w:cs="宋体"/>
                <w:color w:val="auto"/>
                <w:spacing w:val="-6"/>
                <w:sz w:val="24"/>
              </w:rPr>
            </w:pPr>
            <w:r>
              <w:rPr>
                <w:rFonts w:hint="eastAsia" w:ascii="宋体" w:hAnsi="宋体" w:cs="宋体"/>
                <w:color w:val="auto"/>
                <w:sz w:val="24"/>
              </w:rPr>
              <w:t>本招标文件的解释权属于采购人和采购代理机构。</w:t>
            </w:r>
          </w:p>
        </w:tc>
      </w:tr>
    </w:tbl>
    <w:p w14:paraId="0ADF7AA3">
      <w:pPr>
        <w:pStyle w:val="17"/>
        <w:snapToGrid w:val="0"/>
        <w:spacing w:beforeLines="0" w:afterLines="0" w:line="360" w:lineRule="auto"/>
        <w:rPr>
          <w:rFonts w:hAnsi="宋体" w:cs="宋体"/>
          <w:color w:val="auto"/>
          <w:spacing w:val="-6"/>
        </w:rPr>
      </w:pPr>
    </w:p>
    <w:p w14:paraId="2CFFE582">
      <w:pPr>
        <w:pStyle w:val="17"/>
        <w:snapToGrid w:val="0"/>
        <w:spacing w:beforeLines="0" w:afterLines="0" w:line="360" w:lineRule="auto"/>
        <w:rPr>
          <w:rFonts w:hAnsi="宋体" w:cs="宋体"/>
          <w:color w:val="auto"/>
          <w:spacing w:val="-6"/>
        </w:rPr>
      </w:pPr>
      <w:r>
        <w:rPr>
          <w:rFonts w:hint="eastAsia" w:hAnsi="宋体" w:cs="宋体"/>
          <w:color w:val="auto"/>
          <w:spacing w:val="-6"/>
        </w:rPr>
        <w:t>注：以上内容如有变化将另行书面通知。另行通知中未提及事项不作变动。</w:t>
      </w:r>
    </w:p>
    <w:p w14:paraId="3367497A">
      <w:pPr>
        <w:pStyle w:val="17"/>
        <w:snapToGrid w:val="0"/>
        <w:spacing w:before="156" w:after="156" w:line="360" w:lineRule="auto"/>
        <w:ind w:firstLine="562" w:firstLineChars="200"/>
        <w:jc w:val="center"/>
        <w:outlineLvl w:val="1"/>
        <w:rPr>
          <w:rFonts w:hAnsi="宋体" w:cs="宋体"/>
          <w:b/>
          <w:color w:val="auto"/>
          <w:sz w:val="28"/>
          <w:szCs w:val="28"/>
        </w:rPr>
        <w:sectPr>
          <w:pgSz w:w="11906" w:h="16838"/>
          <w:pgMar w:top="1440" w:right="1800" w:bottom="1440" w:left="1800" w:header="851" w:footer="992" w:gutter="0"/>
          <w:cols w:space="720" w:num="1"/>
          <w:titlePg/>
          <w:docGrid w:type="lines" w:linePitch="312" w:charSpace="0"/>
        </w:sectPr>
      </w:pPr>
      <w:bookmarkStart w:id="2" w:name="_Toc9624375"/>
    </w:p>
    <w:p w14:paraId="42F80F86">
      <w:pPr>
        <w:pStyle w:val="17"/>
        <w:snapToGrid w:val="0"/>
        <w:spacing w:before="156" w:after="156" w:line="360" w:lineRule="auto"/>
        <w:ind w:firstLine="562" w:firstLineChars="200"/>
        <w:jc w:val="center"/>
        <w:outlineLvl w:val="1"/>
        <w:rPr>
          <w:rFonts w:hAnsi="宋体" w:cs="宋体"/>
          <w:b/>
          <w:color w:val="auto"/>
          <w:sz w:val="28"/>
          <w:szCs w:val="28"/>
        </w:rPr>
      </w:pPr>
      <w:r>
        <w:rPr>
          <w:rFonts w:hint="eastAsia" w:hAnsi="宋体" w:cs="宋体"/>
          <w:b/>
          <w:color w:val="auto"/>
          <w:sz w:val="28"/>
          <w:szCs w:val="28"/>
        </w:rPr>
        <w:t>一、总  则</w:t>
      </w:r>
      <w:bookmarkEnd w:id="2"/>
    </w:p>
    <w:p w14:paraId="2E2D97ED">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（一） 适用范围</w:t>
      </w:r>
    </w:p>
    <w:p w14:paraId="5342E1DC">
      <w:pPr>
        <w:spacing w:line="360" w:lineRule="auto"/>
        <w:ind w:firstLine="564" w:firstLineChars="235"/>
        <w:jc w:val="left"/>
        <w:rPr>
          <w:rFonts w:ascii="宋体" w:hAnsi="宋体" w:cs="宋体"/>
          <w:color w:val="auto"/>
          <w:sz w:val="24"/>
        </w:rPr>
      </w:pPr>
      <w:r>
        <w:rPr>
          <w:rFonts w:hint="eastAsia" w:ascii="宋体" w:hAnsi="宋体" w:cs="宋体"/>
          <w:color w:val="auto"/>
          <w:sz w:val="24"/>
        </w:rPr>
        <w:t>本招标文件适用于本次采购项目的招标、投标、评标、定标、验收、合同履约、付款等行为（法律、法规另有规定的，从其规定）。</w:t>
      </w:r>
    </w:p>
    <w:p w14:paraId="02CDE5C5">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（二）定义</w:t>
      </w:r>
    </w:p>
    <w:p w14:paraId="24DAA70C">
      <w:pPr>
        <w:spacing w:line="360" w:lineRule="auto"/>
        <w:ind w:firstLine="564" w:firstLineChars="235"/>
        <w:jc w:val="left"/>
        <w:rPr>
          <w:rFonts w:ascii="宋体" w:hAnsi="宋体" w:cs="宋体"/>
          <w:color w:val="auto"/>
          <w:sz w:val="24"/>
        </w:rPr>
      </w:pPr>
      <w:r>
        <w:rPr>
          <w:rFonts w:hint="eastAsia" w:ascii="宋体" w:hAnsi="宋体" w:cs="宋体"/>
          <w:color w:val="auto"/>
          <w:sz w:val="24"/>
        </w:rPr>
        <w:t>1.招标采购单位：系指组织本次招标的代理机构和采购人。</w:t>
      </w:r>
    </w:p>
    <w:p w14:paraId="10E3348D">
      <w:pPr>
        <w:spacing w:line="360" w:lineRule="auto"/>
        <w:ind w:firstLine="564" w:firstLineChars="235"/>
        <w:jc w:val="left"/>
        <w:rPr>
          <w:rFonts w:ascii="宋体" w:hAnsi="宋体" w:cs="宋体"/>
          <w:color w:val="auto"/>
          <w:sz w:val="24"/>
        </w:rPr>
      </w:pPr>
      <w:r>
        <w:rPr>
          <w:rFonts w:hint="eastAsia" w:ascii="宋体" w:hAnsi="宋体" w:cs="宋体"/>
          <w:color w:val="auto"/>
          <w:sz w:val="24"/>
        </w:rPr>
        <w:t>2.投标人：系指购买了招标文件并向招标采购单位提交投标文件的单位或个人，也称作供应商。</w:t>
      </w:r>
    </w:p>
    <w:p w14:paraId="498F6852">
      <w:pPr>
        <w:spacing w:line="360" w:lineRule="auto"/>
        <w:ind w:firstLine="564" w:firstLineChars="235"/>
        <w:jc w:val="left"/>
        <w:rPr>
          <w:rFonts w:ascii="宋体" w:hAnsi="宋体" w:cs="宋体"/>
          <w:color w:val="auto"/>
          <w:sz w:val="24"/>
        </w:rPr>
      </w:pPr>
      <w:r>
        <w:rPr>
          <w:rFonts w:hint="eastAsia" w:ascii="宋体" w:hAnsi="宋体" w:cs="宋体"/>
          <w:color w:val="auto"/>
          <w:sz w:val="24"/>
        </w:rPr>
        <w:t>3.投标人代表：是指参加本项目投标活动的供应商法定代表人或法定代表人授权代表。</w:t>
      </w:r>
    </w:p>
    <w:p w14:paraId="31C5A7A7">
      <w:pPr>
        <w:spacing w:line="360" w:lineRule="auto"/>
        <w:ind w:firstLine="564" w:firstLineChars="235"/>
        <w:jc w:val="left"/>
        <w:rPr>
          <w:rFonts w:ascii="宋体" w:hAnsi="宋体" w:cs="宋体"/>
          <w:color w:val="auto"/>
          <w:sz w:val="24"/>
        </w:rPr>
      </w:pPr>
      <w:r>
        <w:rPr>
          <w:rFonts w:hint="eastAsia" w:ascii="宋体" w:hAnsi="宋体" w:cs="宋体"/>
          <w:color w:val="auto"/>
          <w:sz w:val="24"/>
        </w:rPr>
        <w:t>4.联合体：是指两个以上供应商组成联合体，以一个供应商的身份参加投标。</w:t>
      </w:r>
    </w:p>
    <w:p w14:paraId="1AA106C3">
      <w:pPr>
        <w:spacing w:line="360" w:lineRule="auto"/>
        <w:ind w:firstLine="564" w:firstLineChars="235"/>
        <w:jc w:val="left"/>
        <w:rPr>
          <w:rFonts w:ascii="宋体" w:hAnsi="宋体" w:cs="宋体"/>
          <w:color w:val="auto"/>
          <w:sz w:val="24"/>
        </w:rPr>
      </w:pPr>
      <w:r>
        <w:rPr>
          <w:rFonts w:hint="eastAsia" w:ascii="宋体" w:hAnsi="宋体" w:cs="宋体"/>
          <w:color w:val="auto"/>
          <w:sz w:val="24"/>
        </w:rPr>
        <w:t>5.甲方：是指合同签订的一方，一般与采购人、招标人、用户相同。</w:t>
      </w:r>
    </w:p>
    <w:p w14:paraId="2AD16C45">
      <w:pPr>
        <w:spacing w:line="360" w:lineRule="auto"/>
        <w:ind w:firstLine="564" w:firstLineChars="235"/>
        <w:jc w:val="left"/>
        <w:rPr>
          <w:rFonts w:ascii="宋体" w:hAnsi="宋体" w:cs="宋体"/>
          <w:color w:val="auto"/>
          <w:sz w:val="24"/>
        </w:rPr>
      </w:pPr>
      <w:r>
        <w:rPr>
          <w:rFonts w:hint="eastAsia" w:ascii="宋体" w:hAnsi="宋体" w:cs="宋体"/>
          <w:color w:val="auto"/>
          <w:sz w:val="24"/>
        </w:rPr>
        <w:t>6.乙方：是指合同签订的另一方，与中标人相同。</w:t>
      </w:r>
    </w:p>
    <w:p w14:paraId="4CA3D3EF">
      <w:pPr>
        <w:spacing w:line="360" w:lineRule="auto"/>
        <w:ind w:firstLine="564" w:firstLineChars="235"/>
        <w:jc w:val="left"/>
        <w:rPr>
          <w:rFonts w:ascii="宋体" w:hAnsi="宋体" w:cs="宋体"/>
          <w:color w:val="auto"/>
          <w:sz w:val="24"/>
        </w:rPr>
      </w:pPr>
      <w:r>
        <w:rPr>
          <w:rFonts w:hint="eastAsia" w:ascii="宋体" w:hAnsi="宋体" w:cs="宋体"/>
          <w:color w:val="auto"/>
          <w:sz w:val="24"/>
        </w:rPr>
        <w:t>7.“产品”系指供方按招标文件规定，须向采购人提供的一切设备、保险、税金、备品备件、工具、手册及其它有关技术资料和材料。</w:t>
      </w:r>
    </w:p>
    <w:p w14:paraId="15AB3664">
      <w:pPr>
        <w:spacing w:line="360" w:lineRule="auto"/>
        <w:ind w:firstLine="564" w:firstLineChars="235"/>
        <w:jc w:val="left"/>
        <w:rPr>
          <w:rFonts w:ascii="宋体" w:hAnsi="宋体" w:cs="宋体"/>
          <w:color w:val="auto"/>
          <w:sz w:val="24"/>
        </w:rPr>
      </w:pPr>
      <w:r>
        <w:rPr>
          <w:rFonts w:hint="eastAsia" w:ascii="宋体" w:hAnsi="宋体" w:cs="宋体"/>
          <w:color w:val="auto"/>
          <w:sz w:val="24"/>
        </w:rPr>
        <w:t>8.“服务”系指招标文件规定投标人须承担的安装、调试、技术协助、校准、培训、技术指导以及其他类似的义务。</w:t>
      </w:r>
    </w:p>
    <w:p w14:paraId="6556D17B">
      <w:pPr>
        <w:spacing w:line="360" w:lineRule="auto"/>
        <w:ind w:firstLine="564" w:firstLineChars="235"/>
        <w:jc w:val="left"/>
        <w:rPr>
          <w:rFonts w:ascii="宋体" w:hAnsi="宋体" w:cs="宋体"/>
          <w:color w:val="auto"/>
          <w:sz w:val="24"/>
        </w:rPr>
      </w:pPr>
      <w:r>
        <w:rPr>
          <w:rFonts w:hint="eastAsia" w:ascii="宋体" w:hAnsi="宋体" w:cs="宋体"/>
          <w:color w:val="auto"/>
          <w:sz w:val="24"/>
        </w:rPr>
        <w:t>9.“项目”系指投标人按招标文件规定向采购人提供的产品和服务。</w:t>
      </w:r>
    </w:p>
    <w:p w14:paraId="76FE9497">
      <w:pPr>
        <w:spacing w:line="360" w:lineRule="auto"/>
        <w:ind w:firstLine="564" w:firstLineChars="235"/>
        <w:jc w:val="left"/>
        <w:rPr>
          <w:rFonts w:ascii="宋体" w:hAnsi="宋体" w:cs="宋体"/>
          <w:color w:val="auto"/>
          <w:sz w:val="24"/>
        </w:rPr>
      </w:pPr>
      <w:r>
        <w:rPr>
          <w:rFonts w:hint="eastAsia" w:ascii="宋体" w:hAnsi="宋体" w:cs="宋体"/>
          <w:color w:val="auto"/>
          <w:sz w:val="24"/>
        </w:rPr>
        <w:t>10.“书面形式”包括信函、传真、电报等。</w:t>
      </w:r>
    </w:p>
    <w:p w14:paraId="23DADAB1">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（三）招标方式</w:t>
      </w:r>
    </w:p>
    <w:p w14:paraId="5367B891">
      <w:pPr>
        <w:spacing w:line="360" w:lineRule="auto"/>
        <w:ind w:firstLine="564" w:firstLineChars="235"/>
        <w:jc w:val="left"/>
        <w:rPr>
          <w:rFonts w:ascii="宋体" w:hAnsi="宋体" w:cs="宋体"/>
          <w:color w:val="auto"/>
          <w:sz w:val="24"/>
        </w:rPr>
      </w:pPr>
      <w:r>
        <w:rPr>
          <w:rFonts w:hint="eastAsia" w:ascii="宋体" w:hAnsi="宋体" w:cs="宋体"/>
          <w:color w:val="auto"/>
          <w:sz w:val="24"/>
        </w:rPr>
        <w:t>本次招标采用公开招标方式进行。</w:t>
      </w:r>
    </w:p>
    <w:p w14:paraId="1B08C838">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（四）投标委托</w:t>
      </w:r>
    </w:p>
    <w:p w14:paraId="5DCE64DD">
      <w:pPr>
        <w:spacing w:line="360" w:lineRule="auto"/>
        <w:ind w:firstLine="564" w:firstLineChars="235"/>
        <w:jc w:val="left"/>
        <w:rPr>
          <w:rFonts w:ascii="宋体" w:hAnsi="宋体" w:cs="宋体"/>
          <w:color w:val="auto"/>
          <w:sz w:val="24"/>
        </w:rPr>
      </w:pPr>
      <w:r>
        <w:rPr>
          <w:rFonts w:hint="eastAsia" w:ascii="宋体" w:hAnsi="宋体" w:cs="宋体"/>
          <w:color w:val="auto"/>
          <w:sz w:val="24"/>
        </w:rPr>
        <w:t>投标人代表参加开标活动时应当持有效期内本人身份证或公安机关出具的临时身份证明或港澳台胞证或护照原件或户口本原件（其他诸如驾驶证、市民卡等一律视为未提供有效的身份证明）和法定代表人出具的授权委托书。若是法定代表人参加，须携提供法定代表人身份证明书（格式见第六部分）。</w:t>
      </w:r>
    </w:p>
    <w:p w14:paraId="09C433D4">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（五）投标费用</w:t>
      </w:r>
    </w:p>
    <w:p w14:paraId="1BA13EFB">
      <w:pPr>
        <w:spacing w:line="360" w:lineRule="auto"/>
        <w:ind w:firstLine="564" w:firstLineChars="235"/>
        <w:jc w:val="left"/>
        <w:rPr>
          <w:rFonts w:ascii="宋体" w:hAnsi="宋体" w:cs="宋体"/>
          <w:color w:val="auto"/>
          <w:sz w:val="24"/>
        </w:rPr>
      </w:pPr>
      <w:r>
        <w:rPr>
          <w:rFonts w:hint="eastAsia" w:ascii="宋体" w:hAnsi="宋体" w:cs="宋体"/>
          <w:color w:val="auto"/>
          <w:sz w:val="24"/>
        </w:rPr>
        <w:t>不论投标结果如何，投标人均应自行承担所有与投标有关的全部费用。</w:t>
      </w:r>
    </w:p>
    <w:p w14:paraId="52E9F303">
      <w:pPr>
        <w:numPr>
          <w:ilvl w:val="0"/>
          <w:numId w:val="4"/>
        </w:num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联合体投标</w:t>
      </w:r>
    </w:p>
    <w:p w14:paraId="2226D441">
      <w:pPr>
        <w:spacing w:line="360" w:lineRule="auto"/>
        <w:ind w:firstLine="720" w:firstLineChars="300"/>
        <w:jc w:val="left"/>
        <w:outlineLvl w:val="2"/>
        <w:rPr>
          <w:rFonts w:ascii="宋体" w:hAnsi="宋体" w:cs="宋体"/>
          <w:bCs/>
          <w:color w:val="auto"/>
          <w:sz w:val="24"/>
        </w:rPr>
      </w:pPr>
      <w:r>
        <w:rPr>
          <w:rFonts w:hint="eastAsia" w:ascii="宋体" w:hAnsi="宋体" w:cs="宋体"/>
          <w:bCs/>
          <w:color w:val="auto"/>
          <w:sz w:val="24"/>
        </w:rPr>
        <w:t>本项目不接受联合体参加投标</w:t>
      </w:r>
    </w:p>
    <w:p w14:paraId="71F89D1C">
      <w:pPr>
        <w:spacing w:line="360" w:lineRule="auto"/>
        <w:ind w:firstLine="566" w:firstLineChars="235"/>
        <w:jc w:val="left"/>
        <w:outlineLvl w:val="2"/>
        <w:rPr>
          <w:rFonts w:ascii="宋体" w:hAnsi="宋体" w:cs="宋体"/>
          <w:b/>
          <w:color w:val="auto"/>
          <w:kern w:val="0"/>
          <w:sz w:val="24"/>
        </w:rPr>
      </w:pPr>
      <w:r>
        <w:rPr>
          <w:rFonts w:hint="eastAsia" w:ascii="宋体" w:hAnsi="宋体" w:cs="宋体"/>
          <w:b/>
          <w:color w:val="auto"/>
          <w:sz w:val="24"/>
        </w:rPr>
        <w:t>（七）</w:t>
      </w:r>
      <w:r>
        <w:rPr>
          <w:rFonts w:hint="eastAsia" w:ascii="宋体" w:hAnsi="宋体" w:cs="宋体"/>
          <w:b/>
          <w:color w:val="auto"/>
          <w:kern w:val="0"/>
          <w:sz w:val="24"/>
        </w:rPr>
        <w:t>转包与分包</w:t>
      </w:r>
    </w:p>
    <w:p w14:paraId="33067FAF">
      <w:pPr>
        <w:spacing w:line="360" w:lineRule="auto"/>
        <w:ind w:firstLine="564" w:firstLineChars="235"/>
        <w:jc w:val="left"/>
        <w:rPr>
          <w:rFonts w:ascii="宋体" w:hAnsi="宋体" w:cs="宋体"/>
          <w:color w:val="auto"/>
          <w:kern w:val="0"/>
          <w:sz w:val="24"/>
        </w:rPr>
      </w:pPr>
      <w:r>
        <w:rPr>
          <w:rFonts w:hint="eastAsia" w:ascii="宋体" w:hAnsi="宋体" w:cs="宋体"/>
          <w:color w:val="auto"/>
          <w:kern w:val="0"/>
          <w:sz w:val="24"/>
        </w:rPr>
        <w:t>1.本项目不允许转包。</w:t>
      </w:r>
    </w:p>
    <w:p w14:paraId="18127F6B">
      <w:pPr>
        <w:spacing w:line="360" w:lineRule="auto"/>
        <w:ind w:firstLine="566" w:firstLineChars="235"/>
        <w:jc w:val="left"/>
        <w:rPr>
          <w:rFonts w:ascii="宋体" w:hAnsi="宋体" w:cs="宋体"/>
          <w:b/>
          <w:color w:val="auto"/>
          <w:kern w:val="0"/>
          <w:sz w:val="24"/>
        </w:rPr>
      </w:pPr>
      <w:r>
        <w:rPr>
          <w:rFonts w:hint="eastAsia" w:ascii="宋体" w:hAnsi="宋体" w:cs="宋体"/>
          <w:b/>
          <w:color w:val="auto"/>
          <w:kern w:val="0"/>
          <w:sz w:val="24"/>
        </w:rPr>
        <w:t>2.</w:t>
      </w:r>
      <w:r>
        <w:rPr>
          <w:rFonts w:hint="eastAsia" w:ascii="宋体" w:hAnsi="宋体" w:cs="宋体"/>
          <w:color w:val="auto"/>
          <w:kern w:val="0"/>
          <w:sz w:val="24"/>
        </w:rPr>
        <w:t>本项目不允许分包。</w:t>
      </w:r>
    </w:p>
    <w:p w14:paraId="078D4BF8">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 xml:space="preserve">（八）特别说明 </w:t>
      </w:r>
    </w:p>
    <w:p w14:paraId="69B1CD1B">
      <w:pPr>
        <w:spacing w:line="360" w:lineRule="auto"/>
        <w:ind w:firstLine="564" w:firstLineChars="235"/>
        <w:jc w:val="left"/>
        <w:rPr>
          <w:rFonts w:ascii="宋体" w:hAnsi="宋体" w:cs="宋体"/>
          <w:color w:val="auto"/>
          <w:kern w:val="0"/>
          <w:sz w:val="24"/>
        </w:rPr>
      </w:pPr>
      <w:r>
        <w:rPr>
          <w:rFonts w:hint="eastAsia" w:ascii="宋体" w:hAnsi="宋体" w:cs="宋体"/>
          <w:color w:val="auto"/>
          <w:kern w:val="0"/>
          <w:sz w:val="24"/>
        </w:rPr>
        <w:t>1.招标文件中指出的工艺、材料、设备、服务等标准以及推荐、参照的品牌或型号仅起说明作用，并没有任何限制性。投标人在投标中可以选用替代标准、品牌或型号，但这些替代要实质上满足或超过招标文件的要求。</w:t>
      </w:r>
    </w:p>
    <w:p w14:paraId="1C1CE191">
      <w:pPr>
        <w:spacing w:line="360" w:lineRule="auto"/>
        <w:ind w:firstLine="564" w:firstLineChars="235"/>
        <w:jc w:val="left"/>
        <w:rPr>
          <w:rFonts w:ascii="宋体" w:hAnsi="宋体" w:cs="宋体"/>
          <w:color w:val="auto"/>
          <w:kern w:val="0"/>
          <w:sz w:val="24"/>
        </w:rPr>
      </w:pPr>
      <w:r>
        <w:rPr>
          <w:rFonts w:hint="eastAsia" w:ascii="宋体" w:hAnsi="宋体" w:cs="宋体"/>
          <w:color w:val="auto"/>
          <w:kern w:val="0"/>
          <w:sz w:val="24"/>
        </w:rPr>
        <w:t>2.除招标文件另有说明外，投标人投标所使用的资格、信誉、荣誉、业绩与企业认证证书必须为该投标人所拥有。</w:t>
      </w:r>
    </w:p>
    <w:p w14:paraId="32AF9DA4">
      <w:pPr>
        <w:spacing w:line="360" w:lineRule="auto"/>
        <w:ind w:firstLine="564" w:firstLineChars="235"/>
        <w:jc w:val="left"/>
        <w:rPr>
          <w:rFonts w:ascii="宋体" w:hAnsi="宋体" w:cs="宋体"/>
          <w:color w:val="auto"/>
          <w:kern w:val="0"/>
          <w:sz w:val="24"/>
        </w:rPr>
      </w:pPr>
      <w:r>
        <w:rPr>
          <w:rFonts w:hint="eastAsia" w:ascii="宋体" w:hAnsi="宋体" w:cs="宋体"/>
          <w:color w:val="auto"/>
          <w:kern w:val="0"/>
          <w:sz w:val="24"/>
        </w:rPr>
        <w:t>3.投标人应仔细阅读招标文件的所有内容，按照招标文件的要求提交投标文件，并对所提供的全部资料的真实性承担法律责任。</w:t>
      </w:r>
    </w:p>
    <w:p w14:paraId="0FD53233">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（九）质疑和投诉</w:t>
      </w:r>
    </w:p>
    <w:p w14:paraId="1C242988">
      <w:pPr>
        <w:spacing w:line="360" w:lineRule="auto"/>
        <w:ind w:firstLine="545" w:firstLineChars="235"/>
        <w:jc w:val="left"/>
        <w:rPr>
          <w:rFonts w:ascii="宋体" w:hAnsi="宋体" w:cs="宋体"/>
          <w:color w:val="auto"/>
          <w:sz w:val="24"/>
        </w:rPr>
      </w:pPr>
      <w:r>
        <w:rPr>
          <w:rFonts w:hint="eastAsia" w:ascii="宋体" w:hAnsi="宋体" w:cs="宋体"/>
          <w:bCs/>
          <w:color w:val="auto"/>
          <w:spacing w:val="-4"/>
          <w:sz w:val="24"/>
        </w:rPr>
        <w:t>投标人认为招标文件、招标过程或中标结果使自己的合法权益受到损害的，应当在知道或者应知其权益受到损害之日起七个工作日内，以书面形式一次性向采购人、采购代理机构提出质疑。</w:t>
      </w:r>
      <w:r>
        <w:rPr>
          <w:rFonts w:hint="eastAsia" w:ascii="宋体" w:hAnsi="宋体" w:cs="宋体"/>
          <w:color w:val="auto"/>
          <w:spacing w:val="-4"/>
          <w:sz w:val="24"/>
        </w:rPr>
        <w:t>投标人对</w:t>
      </w:r>
      <w:r>
        <w:rPr>
          <w:rFonts w:hint="eastAsia" w:ascii="宋体" w:hAnsi="宋体" w:cs="宋体"/>
          <w:bCs/>
          <w:color w:val="auto"/>
          <w:spacing w:val="-4"/>
          <w:sz w:val="24"/>
        </w:rPr>
        <w:t>采购人、采购代理机构</w:t>
      </w:r>
      <w:r>
        <w:rPr>
          <w:rFonts w:hint="eastAsia" w:ascii="宋体" w:hAnsi="宋体" w:cs="宋体"/>
          <w:color w:val="auto"/>
          <w:spacing w:val="-4"/>
          <w:sz w:val="24"/>
        </w:rPr>
        <w:t>的质疑答复不满意或者</w:t>
      </w:r>
      <w:r>
        <w:rPr>
          <w:rFonts w:hint="eastAsia" w:ascii="宋体" w:hAnsi="宋体" w:cs="宋体"/>
          <w:bCs/>
          <w:color w:val="auto"/>
          <w:spacing w:val="-4"/>
          <w:sz w:val="24"/>
        </w:rPr>
        <w:t>采购人、采购代理机构</w:t>
      </w:r>
      <w:r>
        <w:rPr>
          <w:rFonts w:hint="eastAsia" w:ascii="宋体" w:hAnsi="宋体" w:cs="宋体"/>
          <w:color w:val="auto"/>
          <w:spacing w:val="-4"/>
          <w:sz w:val="24"/>
        </w:rPr>
        <w:t>未在规定时间内作出答复的，</w:t>
      </w:r>
      <w:r>
        <w:rPr>
          <w:rFonts w:hint="eastAsia" w:ascii="宋体" w:hAnsi="宋体" w:cs="宋体"/>
          <w:color w:val="auto"/>
          <w:sz w:val="24"/>
        </w:rPr>
        <w:t>可以在答复期满后十五个工作日内向</w:t>
      </w:r>
      <w:r>
        <w:rPr>
          <w:rFonts w:hint="eastAsia" w:ascii="宋体" w:hAnsi="宋体" w:cs="宋体"/>
          <w:color w:val="auto"/>
          <w:spacing w:val="-6"/>
          <w:sz w:val="24"/>
        </w:rPr>
        <w:t>同级政府采购监督管理部门</w:t>
      </w:r>
      <w:r>
        <w:rPr>
          <w:rFonts w:hint="eastAsia" w:ascii="宋体" w:hAnsi="宋体" w:cs="宋体"/>
          <w:color w:val="auto"/>
          <w:sz w:val="24"/>
        </w:rPr>
        <w:t>投诉。</w:t>
      </w:r>
    </w:p>
    <w:p w14:paraId="7A6BEC31">
      <w:pPr>
        <w:pStyle w:val="17"/>
        <w:snapToGrid w:val="0"/>
        <w:spacing w:beforeLines="0" w:afterLines="0" w:line="360" w:lineRule="auto"/>
        <w:ind w:firstLine="551" w:firstLineChars="196"/>
        <w:jc w:val="center"/>
        <w:outlineLvl w:val="1"/>
        <w:rPr>
          <w:rFonts w:hAnsi="宋体" w:cs="宋体"/>
          <w:b/>
          <w:color w:val="auto"/>
          <w:sz w:val="28"/>
          <w:szCs w:val="28"/>
        </w:rPr>
      </w:pPr>
      <w:bookmarkStart w:id="3" w:name="_Toc9624376"/>
      <w:r>
        <w:rPr>
          <w:rFonts w:hint="eastAsia" w:hAnsi="宋体" w:cs="宋体"/>
          <w:b/>
          <w:color w:val="auto"/>
          <w:sz w:val="28"/>
          <w:szCs w:val="28"/>
        </w:rPr>
        <w:t>二、招标文件</w:t>
      </w:r>
      <w:bookmarkEnd w:id="3"/>
    </w:p>
    <w:p w14:paraId="4054A233">
      <w:pPr>
        <w:snapToGrid w:val="0"/>
        <w:spacing w:line="360" w:lineRule="auto"/>
        <w:ind w:firstLine="472" w:firstLineChars="196"/>
        <w:jc w:val="left"/>
        <w:outlineLvl w:val="2"/>
        <w:rPr>
          <w:rFonts w:ascii="宋体" w:hAnsi="宋体" w:cs="宋体"/>
          <w:b/>
          <w:color w:val="auto"/>
          <w:sz w:val="24"/>
        </w:rPr>
      </w:pPr>
      <w:r>
        <w:rPr>
          <w:rFonts w:hint="eastAsia" w:ascii="宋体" w:hAnsi="宋体" w:cs="宋体"/>
          <w:b/>
          <w:color w:val="auto"/>
          <w:sz w:val="24"/>
        </w:rPr>
        <w:t>（一）招标文件的构成。</w:t>
      </w:r>
    </w:p>
    <w:p w14:paraId="11F71C44">
      <w:pPr>
        <w:snapToGrid w:val="0"/>
        <w:spacing w:line="360" w:lineRule="auto"/>
        <w:ind w:firstLine="472" w:firstLineChars="196"/>
        <w:jc w:val="left"/>
        <w:rPr>
          <w:rFonts w:ascii="宋体" w:hAnsi="宋体" w:cs="宋体"/>
          <w:b/>
          <w:color w:val="auto"/>
          <w:sz w:val="24"/>
        </w:rPr>
      </w:pPr>
      <w:r>
        <w:rPr>
          <w:rFonts w:hint="eastAsia" w:ascii="宋体" w:hAnsi="宋体" w:cs="宋体"/>
          <w:b/>
          <w:color w:val="auto"/>
          <w:sz w:val="24"/>
        </w:rPr>
        <w:t>本招标文件由以下部分组成：</w:t>
      </w:r>
    </w:p>
    <w:p w14:paraId="5C02617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1.招标公告</w:t>
      </w:r>
    </w:p>
    <w:p w14:paraId="31D924F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2.投标人须知</w:t>
      </w:r>
    </w:p>
    <w:p w14:paraId="5D56ED2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3.采购需求</w:t>
      </w:r>
    </w:p>
    <w:p w14:paraId="1E45DF9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4.评标办法及评分标准</w:t>
      </w:r>
    </w:p>
    <w:p w14:paraId="6BB3C2F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5.合同主要条款</w:t>
      </w:r>
    </w:p>
    <w:p w14:paraId="4144AF0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6.投标文件格式</w:t>
      </w:r>
    </w:p>
    <w:p w14:paraId="7F36F86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7.本项目招标文件的澄清、修改内容（如有）</w:t>
      </w:r>
    </w:p>
    <w:p w14:paraId="04A88AEC">
      <w:pPr>
        <w:snapToGrid w:val="0"/>
        <w:spacing w:line="360" w:lineRule="auto"/>
        <w:ind w:firstLine="472" w:firstLineChars="196"/>
        <w:jc w:val="left"/>
        <w:outlineLvl w:val="2"/>
        <w:rPr>
          <w:rFonts w:ascii="宋体" w:hAnsi="宋体" w:cs="宋体"/>
          <w:b/>
          <w:color w:val="auto"/>
          <w:sz w:val="24"/>
        </w:rPr>
      </w:pPr>
      <w:r>
        <w:rPr>
          <w:rFonts w:hint="eastAsia" w:ascii="宋体" w:hAnsi="宋体" w:cs="宋体"/>
          <w:b/>
          <w:color w:val="auto"/>
          <w:sz w:val="24"/>
        </w:rPr>
        <w:t>（二）投标人的风险</w:t>
      </w:r>
    </w:p>
    <w:p w14:paraId="4206C463">
      <w:pPr>
        <w:pStyle w:val="27"/>
        <w:spacing w:after="0" w:line="360" w:lineRule="auto"/>
        <w:ind w:left="0" w:leftChars="0" w:firstLine="480" w:firstLineChars="200"/>
        <w:rPr>
          <w:rFonts w:ascii="宋体" w:hAnsi="宋体" w:cs="宋体"/>
          <w:color w:val="auto"/>
          <w:sz w:val="24"/>
          <w:szCs w:val="24"/>
        </w:rPr>
      </w:pPr>
      <w:r>
        <w:rPr>
          <w:rFonts w:hint="eastAsia" w:ascii="宋体" w:hAnsi="宋体" w:cs="宋体"/>
          <w:color w:val="auto"/>
          <w:sz w:val="24"/>
          <w:szCs w:val="24"/>
        </w:rPr>
        <w:t>投标人没有按照招标文件要求提供全部资料，或者投标人没有对招标文件在各方面作出实质性响应是投标人的风险，并可能导致其投标无效。</w:t>
      </w:r>
    </w:p>
    <w:p w14:paraId="355D3860">
      <w:pPr>
        <w:pStyle w:val="8"/>
        <w:widowControl w:val="0"/>
        <w:numPr>
          <w:ilvl w:val="0"/>
          <w:numId w:val="0"/>
        </w:numPr>
        <w:snapToGrid w:val="0"/>
        <w:spacing w:afterLines="0" w:line="360" w:lineRule="auto"/>
        <w:ind w:firstLine="472" w:firstLineChars="196"/>
        <w:outlineLvl w:val="2"/>
        <w:rPr>
          <w:rFonts w:ascii="宋体" w:hAnsi="宋体" w:cs="宋体"/>
          <w:b/>
          <w:color w:val="auto"/>
          <w:szCs w:val="24"/>
        </w:rPr>
      </w:pPr>
      <w:r>
        <w:rPr>
          <w:rFonts w:hint="eastAsia" w:ascii="宋体" w:hAnsi="宋体" w:cs="宋体"/>
          <w:b/>
          <w:color w:val="auto"/>
          <w:szCs w:val="24"/>
        </w:rPr>
        <w:t xml:space="preserve">（三）招标文件的澄清与修改 </w:t>
      </w:r>
    </w:p>
    <w:p w14:paraId="26EDF0C4">
      <w:pPr>
        <w:pStyle w:val="17"/>
        <w:snapToGrid w:val="0"/>
        <w:spacing w:beforeLines="0" w:afterLines="0" w:line="360" w:lineRule="auto"/>
        <w:ind w:firstLine="480" w:firstLineChars="200"/>
        <w:rPr>
          <w:rFonts w:hAnsi="宋体" w:cs="宋体"/>
          <w:color w:val="auto"/>
        </w:rPr>
      </w:pPr>
      <w:r>
        <w:rPr>
          <w:rFonts w:hint="eastAsia" w:hAnsi="宋体" w:cs="宋体"/>
          <w:color w:val="auto"/>
        </w:rPr>
        <w:t>1.招标采购单位对已发出的招标文件进行必要澄清、修改的内容可能影响投标文件编制的，应当在招标文件要求提交投标文件截止时间</w:t>
      </w:r>
      <w:r>
        <w:rPr>
          <w:rFonts w:hint="eastAsia" w:hAnsi="宋体" w:cs="宋体"/>
          <w:b/>
          <w:color w:val="auto"/>
        </w:rPr>
        <w:t>十五</w:t>
      </w:r>
      <w:r>
        <w:rPr>
          <w:rFonts w:hint="eastAsia" w:hAnsi="宋体" w:cs="宋体"/>
          <w:color w:val="auto"/>
        </w:rPr>
        <w:t>日前，在财政部门指定的政府采购信息发布媒体上发布更正公告，并以邮箱发送电子文件通知所有招标文件收受人。</w:t>
      </w:r>
    </w:p>
    <w:p w14:paraId="1F996640">
      <w:pPr>
        <w:pStyle w:val="17"/>
        <w:snapToGrid w:val="0"/>
        <w:spacing w:beforeLines="0" w:afterLines="0" w:line="360" w:lineRule="auto"/>
        <w:ind w:firstLine="480" w:firstLineChars="200"/>
        <w:rPr>
          <w:rFonts w:hAnsi="宋体" w:cs="宋体"/>
          <w:color w:val="auto"/>
        </w:rPr>
      </w:pPr>
      <w:r>
        <w:rPr>
          <w:rFonts w:hint="eastAsia" w:hAnsi="宋体" w:cs="宋体"/>
          <w:color w:val="auto"/>
        </w:rPr>
        <w:t>2.招标文件澄清、修改的内容为招标文件的组成部分。当招标文件与招标文件的澄清、修改通知就同一内容的表述不一致时，以最后发出的书面文件为准。</w:t>
      </w:r>
    </w:p>
    <w:p w14:paraId="5B043259">
      <w:pPr>
        <w:pStyle w:val="17"/>
        <w:snapToGrid w:val="0"/>
        <w:spacing w:beforeLines="0" w:afterLines="0" w:line="360" w:lineRule="auto"/>
        <w:ind w:firstLine="480" w:firstLineChars="200"/>
        <w:rPr>
          <w:rFonts w:hAnsi="宋体" w:cs="宋体"/>
          <w:color w:val="auto"/>
        </w:rPr>
      </w:pPr>
      <w:r>
        <w:rPr>
          <w:rFonts w:hint="eastAsia" w:hAnsi="宋体" w:cs="宋体"/>
          <w:color w:val="auto"/>
        </w:rPr>
        <w:t>3.招标文件的澄清、修改都应该通过本代理机构发布。</w:t>
      </w:r>
    </w:p>
    <w:p w14:paraId="6F56E9B4">
      <w:pPr>
        <w:pStyle w:val="17"/>
        <w:snapToGrid w:val="0"/>
        <w:spacing w:beforeLines="0" w:afterLines="0" w:line="360" w:lineRule="auto"/>
        <w:ind w:firstLine="551" w:firstLineChars="196"/>
        <w:jc w:val="center"/>
        <w:outlineLvl w:val="1"/>
        <w:rPr>
          <w:rFonts w:hAnsi="宋体" w:cs="宋体"/>
          <w:b/>
          <w:color w:val="auto"/>
          <w:sz w:val="28"/>
          <w:szCs w:val="28"/>
        </w:rPr>
      </w:pPr>
      <w:bookmarkStart w:id="4" w:name="_Toc9624377"/>
      <w:r>
        <w:rPr>
          <w:rFonts w:hint="eastAsia" w:hAnsi="宋体" w:cs="宋体"/>
          <w:b/>
          <w:color w:val="auto"/>
          <w:sz w:val="28"/>
          <w:szCs w:val="28"/>
        </w:rPr>
        <w:t>三、投标文件的编制</w:t>
      </w:r>
      <w:bookmarkEnd w:id="4"/>
    </w:p>
    <w:p w14:paraId="60B1BBEF">
      <w:pPr>
        <w:spacing w:line="360" w:lineRule="auto"/>
        <w:ind w:firstLine="482" w:firstLineChars="200"/>
        <w:outlineLvl w:val="2"/>
        <w:rPr>
          <w:rFonts w:ascii="宋体" w:hAnsi="宋体" w:cs="宋体"/>
          <w:b/>
          <w:color w:val="auto"/>
          <w:sz w:val="24"/>
        </w:rPr>
      </w:pPr>
      <w:r>
        <w:rPr>
          <w:rFonts w:hint="eastAsia" w:ascii="宋体" w:hAnsi="宋体" w:cs="宋体"/>
          <w:b/>
          <w:color w:val="auto"/>
          <w:sz w:val="24"/>
        </w:rPr>
        <w:t>（一）投标文件的组成</w:t>
      </w:r>
    </w:p>
    <w:p w14:paraId="3DA3C1A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各标项的投标文件由资格证明文件、商务技术文件、报价文件三部分组成。（资格证明文件、商务技术文件装订在一册）</w:t>
      </w:r>
    </w:p>
    <w:p w14:paraId="69E5FEDD">
      <w:pPr>
        <w:snapToGrid w:val="0"/>
        <w:spacing w:line="360" w:lineRule="auto"/>
        <w:ind w:firstLine="472" w:firstLineChars="196"/>
        <w:jc w:val="left"/>
        <w:rPr>
          <w:rFonts w:ascii="宋体" w:hAnsi="宋体" w:cs="宋体"/>
          <w:b/>
          <w:color w:val="auto"/>
          <w:sz w:val="24"/>
        </w:rPr>
      </w:pPr>
      <w:r>
        <w:rPr>
          <w:rFonts w:hint="eastAsia" w:ascii="宋体" w:hAnsi="宋体" w:cs="宋体"/>
          <w:b/>
          <w:color w:val="auto"/>
          <w:sz w:val="24"/>
        </w:rPr>
        <w:t>1.资格证明文件：</w:t>
      </w:r>
    </w:p>
    <w:p w14:paraId="4587D6C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（1）法人或者其他组织的营业执照等证明文件（如投标人为自然人，则应提供自然人的身份证明） </w:t>
      </w:r>
    </w:p>
    <w:p w14:paraId="4ED31EAD">
      <w:pPr>
        <w:snapToGrid w:val="0"/>
        <w:spacing w:line="360" w:lineRule="auto"/>
        <w:ind w:firstLine="480" w:firstLineChars="200"/>
        <w:jc w:val="left"/>
        <w:rPr>
          <w:rFonts w:ascii="宋体" w:hAnsi="宋体"/>
          <w:color w:val="auto"/>
          <w:sz w:val="24"/>
        </w:rPr>
      </w:pPr>
      <w:r>
        <w:rPr>
          <w:rFonts w:ascii="宋体" w:hAnsi="宋体"/>
          <w:sz w:val="24"/>
        </w:rPr>
        <w:t>（2）财务状况报告：开标日的最近一</w:t>
      </w:r>
      <w:r>
        <w:rPr>
          <w:rFonts w:ascii="宋体" w:hAnsi="宋体"/>
          <w:color w:val="auto"/>
          <w:sz w:val="24"/>
          <w:highlight w:val="none"/>
        </w:rPr>
        <w:t>个年度（2023年）资产</w:t>
      </w:r>
      <w:r>
        <w:rPr>
          <w:rFonts w:ascii="宋体" w:hAnsi="宋体"/>
          <w:sz w:val="24"/>
        </w:rPr>
        <w:t>负债表等财务</w:t>
      </w:r>
      <w:r>
        <w:rPr>
          <w:rFonts w:ascii="宋体" w:hAnsi="宋体"/>
          <w:color w:val="auto"/>
          <w:sz w:val="24"/>
        </w:rPr>
        <w:t>报表资料文件或其基本开户银行开标日前六个月内出具的资信证明或其他能证明其财务情况的材料（新成立的公司，提供情况说明）；</w:t>
      </w:r>
    </w:p>
    <w:p w14:paraId="2A8491D9">
      <w:pPr>
        <w:snapToGrid w:val="0"/>
        <w:spacing w:line="360" w:lineRule="auto"/>
        <w:ind w:firstLine="480" w:firstLineChars="200"/>
        <w:jc w:val="left"/>
        <w:rPr>
          <w:rFonts w:hint="eastAsia" w:ascii="宋体" w:hAnsi="宋体" w:cs="宋体"/>
          <w:color w:val="auto"/>
          <w:sz w:val="24"/>
        </w:rPr>
      </w:pPr>
      <w:r>
        <w:rPr>
          <w:rFonts w:ascii="宋体" w:hAnsi="宋体"/>
          <w:color w:val="auto"/>
          <w:sz w:val="24"/>
        </w:rPr>
        <w:t>（</w:t>
      </w:r>
      <w:r>
        <w:rPr>
          <w:rFonts w:hint="eastAsia" w:ascii="宋体" w:hAnsi="宋体"/>
          <w:color w:val="auto"/>
          <w:sz w:val="24"/>
        </w:rPr>
        <w:t>3</w:t>
      </w:r>
      <w:r>
        <w:rPr>
          <w:rFonts w:ascii="宋体" w:hAnsi="宋体"/>
          <w:color w:val="auto"/>
          <w:sz w:val="24"/>
        </w:rPr>
        <w:t>）具有良好的商业信誉、依法缴纳税收和社会保障资金的良好记录的承诺函</w:t>
      </w:r>
      <w:r>
        <w:rPr>
          <w:rFonts w:hint="eastAsia" w:ascii="宋体" w:hAnsi="宋体"/>
          <w:color w:val="auto"/>
          <w:sz w:val="24"/>
        </w:rPr>
        <w:t>（</w:t>
      </w:r>
      <w:r>
        <w:rPr>
          <w:rFonts w:ascii="宋体" w:hAnsi="宋体"/>
          <w:color w:val="auto"/>
          <w:sz w:val="24"/>
        </w:rPr>
        <w:t>格式见第六部分</w:t>
      </w:r>
      <w:r>
        <w:rPr>
          <w:rFonts w:hint="eastAsia" w:ascii="宋体" w:hAnsi="宋体"/>
          <w:color w:val="auto"/>
          <w:sz w:val="24"/>
        </w:rPr>
        <w:t>）</w:t>
      </w:r>
      <w:r>
        <w:rPr>
          <w:rFonts w:ascii="宋体" w:hAnsi="宋体"/>
          <w:color w:val="auto"/>
          <w:sz w:val="24"/>
        </w:rPr>
        <w:t>；</w:t>
      </w:r>
    </w:p>
    <w:p w14:paraId="5B74DF06">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（4）具有履行合同所必需的设备和专业技术能力的承诺函(格式见第六部分)</w:t>
      </w:r>
    </w:p>
    <w:p w14:paraId="56999BED">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（5）投标声明书(格式见第六部分)</w:t>
      </w:r>
    </w:p>
    <w:p w14:paraId="2D2F66E8">
      <w:pPr>
        <w:snapToGrid w:val="0"/>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（6）投标人资格条件中要求的其他材料</w:t>
      </w:r>
      <w:r>
        <w:rPr>
          <w:rFonts w:hint="eastAsia" w:ascii="宋体" w:hAnsi="宋体" w:cs="宋体"/>
          <w:color w:val="auto"/>
          <w:sz w:val="24"/>
          <w:lang w:eastAsia="zh-CN"/>
        </w:rPr>
        <w:t>：</w:t>
      </w:r>
    </w:p>
    <w:p w14:paraId="7CFA317C">
      <w:pPr>
        <w:snapToGrid w:val="0"/>
        <w:spacing w:line="360" w:lineRule="auto"/>
        <w:ind w:left="945" w:leftChars="450" w:firstLine="0" w:firstLineChars="0"/>
        <w:jc w:val="left"/>
        <w:rPr>
          <w:rFonts w:hint="eastAsia" w:hAnsi="宋体"/>
          <w:color w:val="auto"/>
          <w:sz w:val="24"/>
        </w:rPr>
      </w:pPr>
      <w:r>
        <w:rPr>
          <w:rFonts w:hAnsi="宋体"/>
          <w:color w:val="auto"/>
          <w:sz w:val="24"/>
        </w:rPr>
        <w:t>中小企业声明函</w:t>
      </w:r>
      <w:r>
        <w:rPr>
          <w:color w:val="auto"/>
          <w:sz w:val="24"/>
        </w:rPr>
        <w:t>(</w:t>
      </w:r>
      <w:r>
        <w:rPr>
          <w:rFonts w:hAnsi="宋体"/>
          <w:color w:val="auto"/>
          <w:sz w:val="24"/>
        </w:rPr>
        <w:t>格式见第六章</w:t>
      </w:r>
      <w:r>
        <w:rPr>
          <w:color w:val="auto"/>
          <w:sz w:val="24"/>
        </w:rPr>
        <w:t>)</w:t>
      </w:r>
      <w:r>
        <w:rPr>
          <w:rFonts w:hAnsi="宋体"/>
          <w:color w:val="auto"/>
          <w:sz w:val="24"/>
        </w:rPr>
        <w:t>；</w:t>
      </w:r>
    </w:p>
    <w:p w14:paraId="3FB4EB99">
      <w:pPr>
        <w:snapToGrid w:val="0"/>
        <w:spacing w:line="360" w:lineRule="auto"/>
        <w:ind w:left="945" w:leftChars="450"/>
        <w:jc w:val="left"/>
        <w:rPr>
          <w:color w:val="auto"/>
          <w:sz w:val="24"/>
        </w:rPr>
      </w:pPr>
      <w:r>
        <w:rPr>
          <w:rFonts w:hAnsi="宋体"/>
          <w:color w:val="auto"/>
          <w:sz w:val="24"/>
        </w:rPr>
        <w:t>残疾人福利性单位声明函</w:t>
      </w:r>
      <w:r>
        <w:rPr>
          <w:color w:val="auto"/>
          <w:sz w:val="24"/>
        </w:rPr>
        <w:t>(</w:t>
      </w:r>
      <w:r>
        <w:rPr>
          <w:rFonts w:hAnsi="宋体"/>
          <w:color w:val="auto"/>
          <w:sz w:val="24"/>
        </w:rPr>
        <w:t>如有，格式见第六章）；</w:t>
      </w:r>
    </w:p>
    <w:p w14:paraId="3E155303">
      <w:pPr>
        <w:snapToGrid w:val="0"/>
        <w:spacing w:line="360" w:lineRule="auto"/>
        <w:ind w:firstLine="948" w:firstLineChars="395"/>
        <w:jc w:val="left"/>
        <w:rPr>
          <w:rFonts w:ascii="宋体" w:hAnsi="宋体" w:cs="宋体"/>
          <w:color w:val="auto"/>
          <w:kern w:val="0"/>
          <w:sz w:val="24"/>
        </w:rPr>
      </w:pPr>
      <w:r>
        <w:rPr>
          <w:rFonts w:hAnsi="宋体"/>
          <w:color w:val="auto"/>
          <w:sz w:val="24"/>
        </w:rPr>
        <w:t>由省级以上监狱管理局、戒毒管理局（含新疆生产建设兵团）出具的属于监狱企业的证明文件（如有）</w:t>
      </w:r>
      <w:r>
        <w:rPr>
          <w:rFonts w:hint="eastAsia" w:hAnsi="宋体"/>
          <w:color w:val="auto"/>
          <w:sz w:val="24"/>
        </w:rPr>
        <w:t>。</w:t>
      </w:r>
    </w:p>
    <w:p w14:paraId="24DB6524">
      <w:pPr>
        <w:snapToGrid w:val="0"/>
        <w:spacing w:line="360" w:lineRule="auto"/>
        <w:ind w:firstLine="472" w:firstLineChars="196"/>
        <w:jc w:val="left"/>
        <w:rPr>
          <w:rFonts w:ascii="宋体" w:hAnsi="宋体" w:cs="宋体"/>
          <w:b/>
          <w:bCs/>
          <w:color w:val="auto"/>
          <w:sz w:val="24"/>
        </w:rPr>
      </w:pPr>
      <w:r>
        <w:rPr>
          <w:rFonts w:hint="eastAsia" w:ascii="宋体" w:hAnsi="宋体" w:cs="宋体"/>
          <w:b/>
          <w:bCs/>
          <w:color w:val="auto"/>
          <w:sz w:val="24"/>
        </w:rPr>
        <w:t>2.商务技术文件</w:t>
      </w:r>
    </w:p>
    <w:p w14:paraId="48286149">
      <w:pPr>
        <w:snapToGrid w:val="0"/>
        <w:spacing w:line="360" w:lineRule="auto"/>
        <w:ind w:firstLine="470" w:firstLineChars="196"/>
        <w:jc w:val="left"/>
        <w:rPr>
          <w:rFonts w:ascii="宋体" w:hAnsi="宋体" w:cs="宋体"/>
          <w:color w:val="auto"/>
          <w:kern w:val="0"/>
          <w:sz w:val="24"/>
        </w:rPr>
      </w:pPr>
      <w:r>
        <w:rPr>
          <w:rFonts w:hint="eastAsia" w:ascii="宋体" w:hAnsi="宋体" w:cs="宋体"/>
          <w:color w:val="auto"/>
          <w:sz w:val="24"/>
        </w:rPr>
        <w:t>（1）法定代表人授权委托书(格式见第六部分)；</w:t>
      </w:r>
    </w:p>
    <w:p w14:paraId="78A439C5">
      <w:pPr>
        <w:snapToGrid w:val="0"/>
        <w:spacing w:line="360" w:lineRule="auto"/>
        <w:ind w:firstLine="470" w:firstLineChars="196"/>
        <w:jc w:val="left"/>
        <w:rPr>
          <w:rFonts w:hint="eastAsia" w:ascii="宋体" w:hAnsi="宋体" w:eastAsia="宋体" w:cs="宋体"/>
          <w:color w:val="auto"/>
          <w:sz w:val="24"/>
          <w:lang w:eastAsia="zh-CN"/>
        </w:rPr>
      </w:pPr>
      <w:r>
        <w:rPr>
          <w:rFonts w:hint="eastAsia" w:ascii="宋体" w:hAnsi="宋体" w:cs="宋体"/>
          <w:color w:val="auto"/>
          <w:sz w:val="24"/>
        </w:rPr>
        <w:t>（2）节能产品的相关证明材料、</w:t>
      </w:r>
      <w:r>
        <w:rPr>
          <w:rFonts w:hint="eastAsia" w:ascii="宋体" w:hAnsi="宋体" w:cs="宋体"/>
          <w:color w:val="auto"/>
          <w:kern w:val="0"/>
          <w:sz w:val="24"/>
        </w:rPr>
        <w:t>环境标志产品的相关证明材料</w:t>
      </w:r>
      <w:r>
        <w:rPr>
          <w:rFonts w:hint="eastAsia" w:ascii="宋体" w:hAnsi="宋体" w:cs="宋体"/>
          <w:color w:val="auto"/>
          <w:kern w:val="0"/>
          <w:sz w:val="24"/>
          <w:lang w:eastAsia="zh-CN"/>
        </w:rPr>
        <w:t>；</w:t>
      </w:r>
    </w:p>
    <w:p w14:paraId="5662F653">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（3）投标人情况介绍（格式自拟）；</w:t>
      </w:r>
    </w:p>
    <w:p w14:paraId="32616B71">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（4）商务响应表（格式见第六部分）；</w:t>
      </w:r>
    </w:p>
    <w:p w14:paraId="4AC54FB7">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（5）同类项目业绩（格式见第六部分）；</w:t>
      </w:r>
    </w:p>
    <w:p w14:paraId="0F1947D4">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（6）针对本项目建设的详细实施计划，包括技术方案、装备详细配置清单及所用材质等明细（品牌、产地、规格、参数）</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及必要的产品彩页等证明资料</w:t>
      </w:r>
      <w:r>
        <w:rPr>
          <w:rFonts w:hint="eastAsia" w:ascii="宋体" w:hAnsi="宋体" w:cs="宋体"/>
          <w:color w:val="auto"/>
          <w:kern w:val="0"/>
          <w:sz w:val="24"/>
        </w:rPr>
        <w:t>；</w:t>
      </w:r>
    </w:p>
    <w:p w14:paraId="3D1E4C8A">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（7）生产工艺流程，</w:t>
      </w:r>
      <w:r>
        <w:rPr>
          <w:rFonts w:ascii="宋体" w:hAnsi="宋体" w:cs="宋体"/>
          <w:color w:val="auto"/>
          <w:kern w:val="0"/>
          <w:sz w:val="24"/>
        </w:rPr>
        <w:t>质量控制措施</w:t>
      </w:r>
      <w:r>
        <w:rPr>
          <w:rFonts w:hint="eastAsia" w:ascii="宋体" w:hAnsi="宋体" w:cs="宋体"/>
          <w:color w:val="auto"/>
          <w:sz w:val="24"/>
        </w:rPr>
        <w:t>和投标产品整体质量的可靠性详细说明：包括1）短期内频繁高效使用的质量可靠、2）恶劣环境情况下产品使用的质量可靠、3）投标产品生命周期内长期使用情况下的质量可靠</w:t>
      </w:r>
      <w:r>
        <w:rPr>
          <w:rFonts w:ascii="宋体" w:hAnsi="宋体" w:cs="宋体"/>
          <w:color w:val="auto"/>
          <w:kern w:val="0"/>
          <w:sz w:val="24"/>
        </w:rPr>
        <w:t>；</w:t>
      </w:r>
    </w:p>
    <w:p w14:paraId="37E53892">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（8）所投产品或主要材质的检测报告；</w:t>
      </w:r>
    </w:p>
    <w:p w14:paraId="686669A9">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（9）产品及原材料验收标准及检测具体办法；</w:t>
      </w:r>
    </w:p>
    <w:p w14:paraId="46FB1B47">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（10）技术偏离表（格式见附件）；</w:t>
      </w:r>
    </w:p>
    <w:p w14:paraId="08993A18">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（11）项目的组织实施方案，包括产品的供货、验收、安装调试方案及配送承诺等；</w:t>
      </w:r>
    </w:p>
    <w:p w14:paraId="0D88CED9">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（12）技术服务、售后服务的内容和措施，明确售后服务承诺（范围、标准、期限、质保期外维修及零配件等费用），并明示服务承诺可能涉及的前提设定和费用，否则将被认为是无条件和免费的；</w:t>
      </w:r>
    </w:p>
    <w:p w14:paraId="76661DC2">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（13）本项目实施人员一览表</w:t>
      </w:r>
      <w:r>
        <w:rPr>
          <w:rFonts w:ascii="宋体" w:hAnsi="宋体" w:cs="宋体"/>
          <w:color w:val="auto"/>
          <w:kern w:val="0"/>
          <w:sz w:val="24"/>
        </w:rPr>
        <w:t>、</w:t>
      </w:r>
      <w:r>
        <w:rPr>
          <w:rFonts w:hint="eastAsia" w:ascii="宋体" w:hAnsi="宋体" w:cs="宋体"/>
          <w:color w:val="auto"/>
          <w:kern w:val="0"/>
          <w:sz w:val="24"/>
        </w:rPr>
        <w:t>项目实施人员安排详细情况；</w:t>
      </w:r>
    </w:p>
    <w:p w14:paraId="62AEEE7C">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（14）项目保障应急预案；</w:t>
      </w:r>
    </w:p>
    <w:p w14:paraId="5472B07B">
      <w:pPr>
        <w:snapToGrid w:val="0"/>
        <w:spacing w:line="360" w:lineRule="auto"/>
        <w:ind w:firstLine="468" w:firstLineChars="195"/>
        <w:jc w:val="left"/>
        <w:rPr>
          <w:rFonts w:ascii="宋体" w:hAnsi="宋体" w:cs="宋体"/>
          <w:color w:val="auto"/>
          <w:kern w:val="0"/>
          <w:sz w:val="24"/>
          <w:highlight w:val="none"/>
        </w:rPr>
      </w:pPr>
      <w:r>
        <w:rPr>
          <w:rFonts w:hint="eastAsia" w:ascii="宋体" w:hAnsi="宋体" w:cs="宋体"/>
          <w:color w:val="auto"/>
          <w:kern w:val="0"/>
          <w:sz w:val="24"/>
          <w:highlight w:val="none"/>
        </w:rPr>
        <w:t>（15）承诺函，提供承诺关于“交货前，所有器材供货厂家须在应急管理部消防救援局消防装备物资信息采集系统（http://xfzb.119.gov.cn）录入装备信息，申请装备编码，并按照国家消防救援局和浙江省消防救援总队要求，制作RFID数字管理标签。中标人提供装备要正确安装RFID标签并预先填写系统分配的RFID编码”内容的承诺函。</w:t>
      </w:r>
      <w:r>
        <w:rPr>
          <w:rFonts w:hint="eastAsia" w:ascii="宋体" w:hAnsi="宋体" w:cs="宋体"/>
          <w:b/>
          <w:bCs/>
          <w:color w:val="auto"/>
          <w:kern w:val="0"/>
          <w:sz w:val="24"/>
          <w:highlight w:val="none"/>
        </w:rPr>
        <w:t>投标人必须对上述要求在投标文件中做出承诺(格式自拟)，并且由此所产生的费用必须包含在投标报价内，投标人不提供相关承诺的，视为未实质性响应招标文件要求，投标无效。</w:t>
      </w:r>
      <w:r>
        <w:rPr>
          <w:rFonts w:hint="eastAsia" w:ascii="宋体" w:hAnsi="宋体" w:cs="宋体"/>
          <w:color w:val="auto"/>
          <w:kern w:val="0"/>
          <w:sz w:val="24"/>
          <w:highlight w:val="none"/>
        </w:rPr>
        <w:t>”；</w:t>
      </w:r>
    </w:p>
    <w:p w14:paraId="2871123E">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（16）供应商提出的对本项目的实质性优惠条件和承诺情况；</w:t>
      </w:r>
    </w:p>
    <w:p w14:paraId="1BAA1F0B">
      <w:pPr>
        <w:snapToGrid w:val="0"/>
        <w:spacing w:line="360" w:lineRule="auto"/>
        <w:ind w:firstLine="468" w:firstLineChars="195"/>
        <w:jc w:val="left"/>
        <w:rPr>
          <w:color w:val="auto"/>
        </w:rPr>
      </w:pPr>
      <w:r>
        <w:rPr>
          <w:rFonts w:hint="eastAsia" w:ascii="宋体" w:hAnsi="宋体" w:cs="宋体"/>
          <w:color w:val="auto"/>
          <w:kern w:val="0"/>
          <w:sz w:val="24"/>
        </w:rPr>
        <w:t>（17）供应商认为需要说明的其他文件和资料（请结合评标办法自行添加相应内容）。</w:t>
      </w:r>
    </w:p>
    <w:p w14:paraId="01D80F59">
      <w:pPr>
        <w:snapToGrid w:val="0"/>
        <w:spacing w:line="360" w:lineRule="auto"/>
        <w:ind w:firstLine="472" w:firstLineChars="196"/>
        <w:jc w:val="left"/>
        <w:rPr>
          <w:rFonts w:ascii="宋体" w:hAnsi="宋体" w:cs="宋体"/>
          <w:b/>
          <w:color w:val="auto"/>
          <w:sz w:val="24"/>
        </w:rPr>
      </w:pPr>
      <w:r>
        <w:rPr>
          <w:rFonts w:hint="eastAsia" w:ascii="宋体" w:hAnsi="宋体" w:cs="宋体"/>
          <w:b/>
          <w:color w:val="auto"/>
          <w:sz w:val="24"/>
        </w:rPr>
        <w:t>3.报价文件：</w:t>
      </w:r>
    </w:p>
    <w:p w14:paraId="4AAA99AB">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 xml:space="preserve">（1）投标函（格式见附件）； </w:t>
      </w:r>
    </w:p>
    <w:p w14:paraId="22AE744F">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（2）开标一览表（格式见附件）；</w:t>
      </w:r>
    </w:p>
    <w:p w14:paraId="45973C7A">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（3）投标报价明细表（格式见附件）；</w:t>
      </w:r>
    </w:p>
    <w:p w14:paraId="11152580">
      <w:pPr>
        <w:snapToGrid w:val="0"/>
        <w:spacing w:line="360" w:lineRule="auto"/>
        <w:ind w:firstLine="468" w:firstLineChars="195"/>
        <w:jc w:val="left"/>
        <w:rPr>
          <w:rFonts w:hint="eastAsia" w:ascii="宋体" w:hAnsi="宋体" w:cs="宋体"/>
          <w:color w:val="auto"/>
          <w:kern w:val="0"/>
          <w:sz w:val="24"/>
        </w:rPr>
      </w:pPr>
      <w:r>
        <w:rPr>
          <w:rFonts w:hint="eastAsia" w:ascii="宋体" w:hAnsi="宋体" w:cs="宋体"/>
          <w:color w:val="auto"/>
          <w:kern w:val="0"/>
          <w:sz w:val="24"/>
        </w:rPr>
        <w:t xml:space="preserve">（4）投标人针对报价需要说明的其他文件和说明。 </w:t>
      </w:r>
    </w:p>
    <w:p w14:paraId="750CAD26">
      <w:pPr>
        <w:keepNext w:val="0"/>
        <w:keepLines w:val="0"/>
        <w:pageBreakBefore w:val="0"/>
        <w:widowControl w:val="0"/>
        <w:kinsoku/>
        <w:wordWrap/>
        <w:overflowPunct/>
        <w:topLinePunct w:val="0"/>
        <w:autoSpaceDE/>
        <w:autoSpaceDN/>
        <w:bidi w:val="0"/>
        <w:adjustRightInd/>
        <w:snapToGrid w:val="0"/>
        <w:spacing w:line="360" w:lineRule="auto"/>
        <w:ind w:firstLine="470" w:firstLineChars="195"/>
        <w:jc w:val="left"/>
        <w:textAlignment w:val="auto"/>
        <w:rPr>
          <w:rFonts w:ascii="宋体" w:hAnsi="宋体" w:cs="宋体"/>
          <w:b/>
          <w:bCs/>
          <w:color w:val="auto"/>
          <w:kern w:val="0"/>
          <w:sz w:val="24"/>
        </w:rPr>
      </w:pPr>
      <w:r>
        <w:rPr>
          <w:rFonts w:hint="eastAsia" w:ascii="宋体" w:hAnsi="宋体" w:cs="宋体"/>
          <w:b/>
          <w:bCs/>
          <w:color w:val="auto"/>
          <w:kern w:val="0"/>
          <w:sz w:val="24"/>
        </w:rPr>
        <w:t>以上所需的各种证书、证件、证明、执照若系复印件，须在复印件上盖上有效的投标人公章。</w:t>
      </w:r>
    </w:p>
    <w:p w14:paraId="04DE1D5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cs="宋体"/>
          <w:b/>
          <w:bCs/>
          <w:color w:val="auto"/>
          <w:sz w:val="24"/>
        </w:rPr>
      </w:pPr>
      <w:r>
        <w:rPr>
          <w:rFonts w:hint="eastAsia" w:ascii="宋体" w:hAnsi="宋体" w:cs="宋体"/>
          <w:b/>
          <w:bCs/>
          <w:color w:val="auto"/>
          <w:sz w:val="24"/>
        </w:rPr>
        <w:t>4.样品</w:t>
      </w:r>
    </w:p>
    <w:p w14:paraId="08892B94">
      <w:pPr>
        <w:keepNext w:val="0"/>
        <w:keepLines w:val="0"/>
        <w:pageBreakBefore w:val="0"/>
        <w:widowControl w:val="0"/>
        <w:kinsoku/>
        <w:wordWrap/>
        <w:overflowPunct/>
        <w:topLinePunct w:val="0"/>
        <w:autoSpaceDE/>
        <w:autoSpaceDN/>
        <w:bidi w:val="0"/>
        <w:adjustRightInd/>
        <w:snapToGrid w:val="0"/>
        <w:spacing w:line="360" w:lineRule="auto"/>
        <w:ind w:firstLine="422" w:firstLineChars="176"/>
        <w:jc w:val="left"/>
        <w:textAlignment w:val="auto"/>
        <w:rPr>
          <w:rFonts w:hint="eastAsia" w:ascii="宋体" w:hAnsi="宋体" w:cs="宋体"/>
          <w:color w:val="auto"/>
          <w:sz w:val="24"/>
        </w:rPr>
      </w:pPr>
      <w:r>
        <w:rPr>
          <w:rFonts w:hint="eastAsia" w:ascii="宋体" w:hAnsi="宋体" w:cs="宋体"/>
          <w:color w:val="auto"/>
          <w:sz w:val="24"/>
          <w:lang w:val="en-US" w:eastAsia="zh-CN"/>
        </w:rPr>
        <w:t>详见《前附表》序号11“样品”中相应内容。</w:t>
      </w:r>
    </w:p>
    <w:p w14:paraId="1AE085FE">
      <w:pPr>
        <w:keepNext w:val="0"/>
        <w:keepLines w:val="0"/>
        <w:pageBreakBefore w:val="0"/>
        <w:widowControl w:val="0"/>
        <w:kinsoku/>
        <w:wordWrap/>
        <w:overflowPunct/>
        <w:topLinePunct w:val="0"/>
        <w:autoSpaceDE/>
        <w:autoSpaceDN/>
        <w:bidi w:val="0"/>
        <w:adjustRightInd/>
        <w:spacing w:line="360" w:lineRule="auto"/>
        <w:ind w:firstLine="424" w:firstLineChars="176"/>
        <w:textAlignment w:val="auto"/>
        <w:outlineLvl w:val="2"/>
        <w:rPr>
          <w:rFonts w:ascii="宋体" w:hAnsi="宋体" w:cs="宋体"/>
          <w:b/>
          <w:color w:val="auto"/>
          <w:sz w:val="24"/>
        </w:rPr>
      </w:pPr>
      <w:r>
        <w:rPr>
          <w:rFonts w:hint="eastAsia" w:ascii="宋体" w:hAnsi="宋体" w:cs="宋体"/>
          <w:b/>
          <w:color w:val="auto"/>
          <w:sz w:val="24"/>
        </w:rPr>
        <w:t>（二）投标文件的语言及计量</w:t>
      </w:r>
    </w:p>
    <w:p w14:paraId="1A392F13">
      <w:pPr>
        <w:keepNext w:val="0"/>
        <w:keepLines w:val="0"/>
        <w:pageBreakBefore w:val="0"/>
        <w:widowControl w:val="0"/>
        <w:kinsoku/>
        <w:wordWrap/>
        <w:overflowPunct/>
        <w:topLinePunct w:val="0"/>
        <w:autoSpaceDE/>
        <w:autoSpaceDN/>
        <w:bidi w:val="0"/>
        <w:adjustRightInd/>
        <w:snapToGrid w:val="0"/>
        <w:spacing w:line="360" w:lineRule="auto"/>
        <w:ind w:firstLine="422" w:firstLineChars="176"/>
        <w:jc w:val="left"/>
        <w:textAlignment w:val="auto"/>
        <w:rPr>
          <w:rFonts w:ascii="宋体" w:hAnsi="宋体" w:cs="宋体"/>
          <w:color w:val="auto"/>
          <w:sz w:val="24"/>
        </w:rPr>
      </w:pPr>
      <w:r>
        <w:rPr>
          <w:rFonts w:hint="eastAsia" w:ascii="宋体" w:hAnsi="宋体" w:cs="宋体"/>
          <w:color w:val="auto"/>
          <w:sz w:val="24"/>
        </w:rPr>
        <w:t xml:space="preserve">1.投标文件以及投标人与招标方就有关投标事宜的所有来往函电，均应以中文汉语书写。除签名、盖章、专用名称等特殊情形外，以中文汉语以外的文字表述的投标文件视同未提供。 </w:t>
      </w:r>
    </w:p>
    <w:p w14:paraId="788C8E64">
      <w:pPr>
        <w:snapToGrid w:val="0"/>
        <w:spacing w:line="360" w:lineRule="auto"/>
        <w:ind w:firstLine="422" w:firstLineChars="176"/>
        <w:jc w:val="left"/>
        <w:rPr>
          <w:rFonts w:ascii="宋体" w:hAnsi="宋体" w:cs="宋体"/>
          <w:color w:val="auto"/>
          <w:sz w:val="24"/>
        </w:rPr>
      </w:pPr>
      <w:r>
        <w:rPr>
          <w:rFonts w:hint="eastAsia" w:ascii="宋体" w:hAnsi="宋体" w:cs="宋体"/>
          <w:color w:val="auto"/>
          <w:sz w:val="24"/>
        </w:rPr>
        <w:t>2.投标计量单位，招标文件已有明确规定的，使用招标文件规定的计量单位；招标文件没有规定的，应采用中华人民共和国法定计量单位（货币单位：人民币元），否则视同未响应。</w:t>
      </w:r>
    </w:p>
    <w:p w14:paraId="2C74C937">
      <w:pPr>
        <w:spacing w:line="360" w:lineRule="auto"/>
        <w:ind w:firstLine="424" w:firstLineChars="176"/>
        <w:outlineLvl w:val="2"/>
        <w:rPr>
          <w:rFonts w:ascii="宋体" w:hAnsi="宋体" w:cs="宋体"/>
          <w:b/>
          <w:color w:val="auto"/>
          <w:sz w:val="24"/>
        </w:rPr>
      </w:pPr>
      <w:r>
        <w:rPr>
          <w:rFonts w:hint="eastAsia" w:ascii="宋体" w:hAnsi="宋体" w:cs="宋体"/>
          <w:b/>
          <w:color w:val="auto"/>
          <w:sz w:val="24"/>
        </w:rPr>
        <w:t>（三）投标报价</w:t>
      </w:r>
    </w:p>
    <w:p w14:paraId="5E59CB1C">
      <w:pPr>
        <w:tabs>
          <w:tab w:val="left" w:pos="0"/>
        </w:tabs>
        <w:spacing w:line="360" w:lineRule="auto"/>
        <w:ind w:firstLine="424" w:firstLineChars="176"/>
        <w:rPr>
          <w:rFonts w:ascii="宋体" w:hAnsi="宋体" w:cs="宋体"/>
          <w:b/>
          <w:bCs/>
          <w:color w:val="auto"/>
          <w:sz w:val="24"/>
        </w:rPr>
      </w:pPr>
      <w:r>
        <w:rPr>
          <w:rFonts w:hint="eastAsia" w:ascii="宋体" w:hAnsi="宋体" w:cs="宋体"/>
          <w:b/>
          <w:bCs/>
          <w:color w:val="auto"/>
          <w:sz w:val="24"/>
        </w:rPr>
        <w:t>1.投标报价应按招标文件中相关附表格式填写。</w:t>
      </w:r>
    </w:p>
    <w:p w14:paraId="74F2E793">
      <w:pPr>
        <w:tabs>
          <w:tab w:val="left" w:pos="0"/>
        </w:tabs>
        <w:spacing w:line="360" w:lineRule="auto"/>
        <w:ind w:firstLine="424" w:firstLineChars="176"/>
        <w:rPr>
          <w:rFonts w:ascii="宋体" w:hAnsi="宋体" w:cs="宋体"/>
          <w:b/>
          <w:bCs/>
          <w:color w:val="auto"/>
          <w:sz w:val="24"/>
        </w:rPr>
      </w:pPr>
      <w:r>
        <w:rPr>
          <w:rFonts w:hint="eastAsia" w:ascii="宋体" w:hAnsi="宋体" w:cs="宋体"/>
          <w:b/>
          <w:bCs/>
          <w:color w:val="auto"/>
          <w:sz w:val="24"/>
        </w:rPr>
        <w:t>2.投标综合单价应当包括履行合同的全部价格，包括但不限于货款、标准附件、备品备件、专用工具、包装、运输、装卸、保险、税金、货到就位以及安装、调试、培训、保修、税金、代理服务费等一切费用。</w:t>
      </w:r>
    </w:p>
    <w:p w14:paraId="7B1058FC">
      <w:pPr>
        <w:tabs>
          <w:tab w:val="left" w:pos="0"/>
        </w:tabs>
        <w:spacing w:line="360" w:lineRule="auto"/>
        <w:ind w:firstLine="424" w:firstLineChars="176"/>
        <w:rPr>
          <w:rFonts w:ascii="宋体" w:hAnsi="宋体" w:cs="宋体"/>
          <w:b/>
          <w:bCs/>
          <w:color w:val="auto"/>
          <w:sz w:val="24"/>
        </w:rPr>
      </w:pPr>
      <w:r>
        <w:rPr>
          <w:rFonts w:hint="eastAsia" w:ascii="宋体" w:hAnsi="宋体" w:cs="宋体"/>
          <w:b/>
          <w:bCs/>
          <w:color w:val="auto"/>
          <w:sz w:val="24"/>
        </w:rPr>
        <w:t>3</w:t>
      </w:r>
      <w:r>
        <w:rPr>
          <w:rFonts w:hint="eastAsia" w:ascii="宋体" w:hAnsi="宋体" w:cs="宋体"/>
          <w:color w:val="auto"/>
          <w:sz w:val="24"/>
        </w:rPr>
        <w:t>.</w:t>
      </w:r>
      <w:r>
        <w:rPr>
          <w:rFonts w:hint="eastAsia" w:ascii="宋体" w:hAnsi="宋体" w:cs="宋体"/>
          <w:b/>
          <w:bCs/>
          <w:color w:val="auto"/>
          <w:sz w:val="24"/>
        </w:rPr>
        <w:t>投标人的投标报价应在最高限价之内，超出最高限价的投标文件按无效标处理。</w:t>
      </w:r>
    </w:p>
    <w:p w14:paraId="7FAB2277">
      <w:pPr>
        <w:tabs>
          <w:tab w:val="left" w:pos="0"/>
        </w:tabs>
        <w:spacing w:line="360" w:lineRule="auto"/>
        <w:ind w:firstLine="422" w:firstLineChars="176"/>
        <w:rPr>
          <w:rFonts w:ascii="宋体" w:hAnsi="宋体" w:cs="宋体"/>
          <w:bCs/>
          <w:color w:val="auto"/>
          <w:sz w:val="24"/>
        </w:rPr>
      </w:pPr>
      <w:r>
        <w:rPr>
          <w:rFonts w:hint="eastAsia" w:ascii="宋体" w:hAnsi="宋体" w:cs="宋体"/>
          <w:color w:val="auto"/>
          <w:sz w:val="24"/>
        </w:rPr>
        <w:t>4.</w:t>
      </w:r>
      <w:r>
        <w:rPr>
          <w:rFonts w:hint="eastAsia" w:ascii="宋体" w:hAnsi="宋体" w:cs="宋体"/>
          <w:bCs/>
          <w:color w:val="auto"/>
          <w:sz w:val="24"/>
        </w:rPr>
        <w:t>不论采购结果如何，投标人均应自行承担所有与此次投标有关的全部费用。</w:t>
      </w:r>
    </w:p>
    <w:p w14:paraId="75D7547D">
      <w:pPr>
        <w:tabs>
          <w:tab w:val="left" w:pos="0"/>
        </w:tabs>
        <w:spacing w:line="360" w:lineRule="auto"/>
        <w:ind w:firstLine="422" w:firstLineChars="176"/>
        <w:rPr>
          <w:rFonts w:ascii="宋体" w:hAnsi="宋体" w:cs="宋体"/>
          <w:color w:val="auto"/>
          <w:sz w:val="24"/>
        </w:rPr>
      </w:pPr>
      <w:r>
        <w:rPr>
          <w:rFonts w:hint="eastAsia" w:ascii="宋体" w:hAnsi="宋体" w:cs="宋体"/>
          <w:color w:val="auto"/>
          <w:sz w:val="24"/>
        </w:rPr>
        <w:t>5.投标报价是指一次性报出不得修改的价格，投标报价应按招标文件中相关附表格式填写。</w:t>
      </w:r>
    </w:p>
    <w:p w14:paraId="3BAA555B">
      <w:pPr>
        <w:tabs>
          <w:tab w:val="left" w:pos="0"/>
        </w:tabs>
        <w:spacing w:line="360" w:lineRule="auto"/>
        <w:ind w:firstLine="422" w:firstLineChars="176"/>
        <w:rPr>
          <w:rFonts w:ascii="宋体" w:hAnsi="宋体" w:cs="宋体"/>
          <w:color w:val="auto"/>
          <w:sz w:val="24"/>
        </w:rPr>
      </w:pPr>
      <w:r>
        <w:rPr>
          <w:rFonts w:hint="eastAsia" w:ascii="宋体" w:hAnsi="宋体" w:cs="宋体"/>
          <w:color w:val="auto"/>
          <w:sz w:val="24"/>
        </w:rPr>
        <w:t xml:space="preserve">6.投标报价是履行合同的最终价格，应包括完成所有产品供货及履行所有规定服务所产生的全部费用。 </w:t>
      </w:r>
    </w:p>
    <w:p w14:paraId="5EC985A0">
      <w:pPr>
        <w:tabs>
          <w:tab w:val="left" w:pos="0"/>
        </w:tabs>
        <w:spacing w:line="360" w:lineRule="auto"/>
        <w:ind w:firstLine="422" w:firstLineChars="176"/>
        <w:rPr>
          <w:rFonts w:ascii="宋体" w:hAnsi="宋体" w:cs="宋体"/>
          <w:color w:val="auto"/>
          <w:sz w:val="24"/>
        </w:rPr>
      </w:pPr>
      <w:r>
        <w:rPr>
          <w:rFonts w:hint="eastAsia" w:ascii="宋体" w:hAnsi="宋体" w:cs="宋体"/>
          <w:color w:val="auto"/>
          <w:sz w:val="24"/>
        </w:rPr>
        <w:t>7.投标文件只允许有一个报价，有选择或有条件的报价将不予接受，其投标无效。</w:t>
      </w:r>
    </w:p>
    <w:p w14:paraId="203A2F08">
      <w:pPr>
        <w:pStyle w:val="8"/>
        <w:widowControl w:val="0"/>
        <w:numPr>
          <w:ilvl w:val="0"/>
          <w:numId w:val="0"/>
        </w:numPr>
        <w:snapToGrid w:val="0"/>
        <w:spacing w:afterLines="0" w:line="360" w:lineRule="auto"/>
        <w:ind w:firstLine="424" w:firstLineChars="176"/>
        <w:outlineLvl w:val="2"/>
        <w:rPr>
          <w:rFonts w:ascii="宋体" w:hAnsi="宋体" w:cs="宋体"/>
          <w:b/>
          <w:color w:val="auto"/>
          <w:szCs w:val="24"/>
        </w:rPr>
      </w:pPr>
      <w:r>
        <w:rPr>
          <w:rFonts w:hint="eastAsia" w:ascii="宋体" w:hAnsi="宋体" w:cs="宋体"/>
          <w:b/>
          <w:color w:val="auto"/>
          <w:szCs w:val="24"/>
        </w:rPr>
        <w:t>（四）投标文件的有效期</w:t>
      </w:r>
    </w:p>
    <w:p w14:paraId="6B7957BD">
      <w:pPr>
        <w:pStyle w:val="8"/>
        <w:widowControl w:val="0"/>
        <w:numPr>
          <w:ilvl w:val="0"/>
          <w:numId w:val="0"/>
        </w:numPr>
        <w:snapToGrid w:val="0"/>
        <w:spacing w:afterLines="0" w:line="360" w:lineRule="auto"/>
        <w:ind w:firstLine="422" w:firstLineChars="176"/>
        <w:rPr>
          <w:rFonts w:ascii="宋体" w:hAnsi="宋体" w:cs="宋体"/>
          <w:color w:val="auto"/>
          <w:szCs w:val="24"/>
        </w:rPr>
      </w:pPr>
      <w:r>
        <w:rPr>
          <w:rFonts w:hint="eastAsia" w:ascii="宋体" w:hAnsi="宋体" w:cs="宋体"/>
          <w:color w:val="auto"/>
          <w:szCs w:val="24"/>
        </w:rPr>
        <w:t>1.自投标截止日起并在投标有效期内投标文件应保持有效，投标有效期详见《第二部分  投标人须知》前附表。有效期不足的投标文件将被视为无效。</w:t>
      </w:r>
    </w:p>
    <w:p w14:paraId="4CD8DD71">
      <w:pPr>
        <w:pStyle w:val="8"/>
        <w:widowControl w:val="0"/>
        <w:numPr>
          <w:ilvl w:val="0"/>
          <w:numId w:val="0"/>
        </w:numPr>
        <w:snapToGrid w:val="0"/>
        <w:spacing w:afterLines="0" w:line="360" w:lineRule="auto"/>
        <w:ind w:firstLine="422" w:firstLineChars="176"/>
        <w:rPr>
          <w:rFonts w:ascii="宋体" w:hAnsi="宋体" w:cs="宋体"/>
          <w:color w:val="auto"/>
          <w:szCs w:val="24"/>
        </w:rPr>
      </w:pPr>
      <w:r>
        <w:rPr>
          <w:rFonts w:hint="eastAsia" w:ascii="宋体" w:hAnsi="宋体" w:cs="宋体"/>
          <w:color w:val="auto"/>
          <w:szCs w:val="24"/>
        </w:rPr>
        <w:t>2.在特殊情况下，招标人可与投标人协商延长投标书的有效期，这种要求和答复均以书面形式进行。</w:t>
      </w:r>
    </w:p>
    <w:p w14:paraId="42707A2E">
      <w:pPr>
        <w:pStyle w:val="8"/>
        <w:widowControl w:val="0"/>
        <w:numPr>
          <w:ilvl w:val="0"/>
          <w:numId w:val="0"/>
        </w:numPr>
        <w:snapToGrid w:val="0"/>
        <w:spacing w:afterLines="0" w:line="360" w:lineRule="auto"/>
        <w:ind w:firstLine="422" w:firstLineChars="176"/>
        <w:rPr>
          <w:rFonts w:ascii="宋体" w:hAnsi="宋体" w:cs="宋体"/>
          <w:color w:val="auto"/>
          <w:szCs w:val="24"/>
        </w:rPr>
      </w:pPr>
      <w:r>
        <w:rPr>
          <w:rFonts w:hint="eastAsia" w:ascii="宋体" w:hAnsi="宋体" w:cs="宋体"/>
          <w:color w:val="auto"/>
          <w:szCs w:val="24"/>
        </w:rPr>
        <w:t>3.中标人的投标文件自开标之日起至合同履行完毕之日均应保持有效。</w:t>
      </w:r>
    </w:p>
    <w:p w14:paraId="1FB83391">
      <w:pPr>
        <w:pStyle w:val="8"/>
        <w:widowControl w:val="0"/>
        <w:numPr>
          <w:ilvl w:val="0"/>
          <w:numId w:val="0"/>
        </w:numPr>
        <w:snapToGrid w:val="0"/>
        <w:spacing w:afterLines="0" w:line="360" w:lineRule="auto"/>
        <w:ind w:firstLine="424" w:firstLineChars="176"/>
        <w:rPr>
          <w:rFonts w:ascii="宋体" w:hAnsi="宋体" w:cs="宋体"/>
          <w:b/>
          <w:bCs/>
          <w:color w:val="auto"/>
          <w:szCs w:val="24"/>
        </w:rPr>
      </w:pPr>
      <w:r>
        <w:rPr>
          <w:rFonts w:hint="eastAsia" w:ascii="宋体" w:hAnsi="宋体" w:cs="宋体"/>
          <w:b/>
          <w:bCs/>
          <w:color w:val="auto"/>
          <w:szCs w:val="24"/>
        </w:rPr>
        <w:t>（五）投标文件的装订、签署和份数</w:t>
      </w:r>
    </w:p>
    <w:p w14:paraId="1FC0A08C">
      <w:pPr>
        <w:pStyle w:val="8"/>
        <w:widowControl w:val="0"/>
        <w:numPr>
          <w:ilvl w:val="0"/>
          <w:numId w:val="0"/>
        </w:numPr>
        <w:snapToGrid w:val="0"/>
        <w:spacing w:afterLines="0" w:line="360" w:lineRule="auto"/>
        <w:ind w:firstLine="422" w:firstLineChars="176"/>
        <w:rPr>
          <w:rFonts w:ascii="宋体" w:hAnsi="宋体" w:cs="宋体"/>
          <w:color w:val="auto"/>
        </w:rPr>
      </w:pPr>
      <w:r>
        <w:rPr>
          <w:rFonts w:hint="eastAsia" w:ascii="宋体" w:hAnsi="宋体" w:cs="宋体"/>
          <w:color w:val="auto"/>
          <w:szCs w:val="24"/>
        </w:rPr>
        <w:t>1.投标人应按本招标文件规定的格式和顺序编制、装订投标文件并标注页码，投标文件内容不完整、编排混乱导致投标文件被误读、漏</w:t>
      </w:r>
      <w:r>
        <w:rPr>
          <w:rFonts w:hint="eastAsia" w:ascii="宋体" w:hAnsi="宋体" w:cs="宋体"/>
          <w:color w:val="auto"/>
        </w:rPr>
        <w:t>读或者查找不到相关内容的，是投标人的责任。</w:t>
      </w:r>
    </w:p>
    <w:p w14:paraId="68EA53B1">
      <w:pPr>
        <w:spacing w:line="360" w:lineRule="auto"/>
        <w:ind w:firstLine="422" w:firstLineChars="176"/>
        <w:rPr>
          <w:rFonts w:ascii="宋体" w:hAnsi="宋体" w:cs="宋体"/>
          <w:color w:val="auto"/>
          <w:sz w:val="24"/>
        </w:rPr>
      </w:pPr>
      <w:r>
        <w:rPr>
          <w:rFonts w:hint="eastAsia" w:ascii="宋体" w:hAnsi="宋体" w:cs="宋体"/>
          <w:color w:val="auto"/>
          <w:sz w:val="24"/>
        </w:rPr>
        <w:t>2.投标人按资格证明文件、商务技术文件合并装订成一册，报价文件单独装订。正本各1份，副本数量按前附表要求。投标文件的封面应注明“正本”、“副本”字样。采用活页装订的投标文件将被拒绝，开标时由现场工作人员退还投标人代表。</w:t>
      </w:r>
    </w:p>
    <w:p w14:paraId="60E4F6E7">
      <w:pPr>
        <w:spacing w:line="360" w:lineRule="auto"/>
        <w:ind w:firstLine="422" w:firstLineChars="176"/>
        <w:rPr>
          <w:rFonts w:ascii="宋体" w:hAnsi="宋体" w:cs="宋体"/>
          <w:color w:val="auto"/>
          <w:sz w:val="24"/>
        </w:rPr>
      </w:pPr>
      <w:r>
        <w:rPr>
          <w:rFonts w:hint="eastAsia" w:ascii="宋体" w:hAnsi="宋体" w:cs="宋体"/>
          <w:color w:val="auto"/>
          <w:sz w:val="24"/>
        </w:rPr>
        <w:t>3.投标文件的正本需打印或用不褪色的墨水填写，副本可为正本的复印件。</w:t>
      </w:r>
    </w:p>
    <w:p w14:paraId="4AE8CFA3">
      <w:pPr>
        <w:spacing w:line="360" w:lineRule="auto"/>
        <w:ind w:firstLine="422" w:firstLineChars="176"/>
        <w:rPr>
          <w:rFonts w:ascii="宋体" w:hAnsi="宋体" w:cs="宋体"/>
          <w:color w:val="auto"/>
          <w:sz w:val="24"/>
        </w:rPr>
      </w:pPr>
      <w:r>
        <w:rPr>
          <w:rFonts w:hint="eastAsia" w:ascii="宋体" w:hAnsi="宋体" w:cs="宋体"/>
          <w:color w:val="auto"/>
          <w:sz w:val="24"/>
        </w:rPr>
        <w:t>4.投标文件须由投标人在规定位置盖章并由法定代表人或法定代表人的授权委托人签署，投标人应写全称。</w:t>
      </w:r>
    </w:p>
    <w:p w14:paraId="4C37A130">
      <w:pPr>
        <w:spacing w:line="360" w:lineRule="auto"/>
        <w:ind w:firstLine="422" w:firstLineChars="176"/>
        <w:rPr>
          <w:rFonts w:ascii="宋体" w:hAnsi="宋体" w:cs="宋体"/>
          <w:color w:val="auto"/>
          <w:sz w:val="24"/>
        </w:rPr>
      </w:pPr>
      <w:r>
        <w:rPr>
          <w:rFonts w:hint="eastAsia" w:ascii="宋体" w:hAnsi="宋体" w:cs="宋体"/>
          <w:color w:val="auto"/>
          <w:sz w:val="24"/>
        </w:rPr>
        <w:t>5.投标文件不得涂改，若有修改错漏处，须加盖单位公章或者法定代表人或授权委托人签字或盖章。投标文件因字迹潦草或表达不清所引起的后果由投标人负责。</w:t>
      </w:r>
    </w:p>
    <w:p w14:paraId="3A79BFF1">
      <w:pPr>
        <w:spacing w:line="360" w:lineRule="auto"/>
        <w:ind w:firstLine="424" w:firstLineChars="176"/>
        <w:outlineLvl w:val="2"/>
        <w:rPr>
          <w:rFonts w:ascii="宋体" w:hAnsi="宋体" w:cs="宋体"/>
          <w:b/>
          <w:color w:val="auto"/>
          <w:sz w:val="24"/>
        </w:rPr>
      </w:pPr>
      <w:r>
        <w:rPr>
          <w:rFonts w:hint="eastAsia" w:ascii="宋体" w:hAnsi="宋体" w:cs="宋体"/>
          <w:b/>
          <w:color w:val="auto"/>
          <w:sz w:val="24"/>
        </w:rPr>
        <w:t>（六）投标文件的制作装订包装、密封、修改和撤回</w:t>
      </w:r>
    </w:p>
    <w:p w14:paraId="4F00C992">
      <w:pPr>
        <w:spacing w:line="360" w:lineRule="auto"/>
        <w:ind w:firstLine="422" w:firstLineChars="176"/>
        <w:rPr>
          <w:rFonts w:ascii="宋体" w:hAnsi="宋体" w:cs="宋体"/>
          <w:b/>
          <w:bCs/>
          <w:color w:val="auto"/>
          <w:sz w:val="24"/>
        </w:rPr>
      </w:pPr>
      <w:r>
        <w:rPr>
          <w:rFonts w:hint="eastAsia" w:ascii="宋体" w:hAnsi="宋体" w:cs="宋体"/>
          <w:color w:val="auto"/>
          <w:sz w:val="24"/>
        </w:rPr>
        <w:t>1.投标人应按资格证明文件、商务技术文件、报价文件三部分。</w:t>
      </w:r>
    </w:p>
    <w:p w14:paraId="0D3CB5B8">
      <w:pPr>
        <w:shd w:val="clear" w:color="auto" w:fill="FFFFFF" w:themeFill="background1"/>
        <w:autoSpaceDE w:val="0"/>
        <w:autoSpaceDN w:val="0"/>
        <w:adjustRightInd w:val="0"/>
        <w:spacing w:line="360" w:lineRule="auto"/>
        <w:ind w:firstLine="458" w:firstLineChars="200"/>
        <w:jc w:val="left"/>
        <w:rPr>
          <w:rFonts w:ascii="宋体" w:hAnsi="宋体" w:cs="宋体"/>
          <w:b/>
          <w:bCs/>
          <w:color w:val="auto"/>
          <w:spacing w:val="-6"/>
          <w:sz w:val="24"/>
        </w:rPr>
      </w:pPr>
      <w:r>
        <w:rPr>
          <w:rFonts w:hint="eastAsia" w:ascii="宋体" w:hAnsi="宋体" w:cs="宋体"/>
          <w:b/>
          <w:bCs/>
          <w:color w:val="auto"/>
          <w:spacing w:val="-6"/>
          <w:sz w:val="24"/>
        </w:rPr>
        <w:t>注：投标文件（包括</w:t>
      </w:r>
      <w:r>
        <w:rPr>
          <w:rFonts w:hint="eastAsia" w:ascii="宋体" w:hAnsi="宋体" w:cs="宋体"/>
          <w:b/>
          <w:bCs/>
          <w:color w:val="auto"/>
          <w:sz w:val="24"/>
        </w:rPr>
        <w:t>资格商务技术文件、报价文件）</w:t>
      </w:r>
      <w:r>
        <w:rPr>
          <w:rFonts w:hint="eastAsia" w:ascii="宋体" w:hAnsi="宋体" w:cs="宋体"/>
          <w:b/>
          <w:bCs/>
          <w:color w:val="auto"/>
          <w:spacing w:val="-6"/>
          <w:sz w:val="24"/>
        </w:rPr>
        <w:t>封面后的第一页必</w:t>
      </w:r>
      <w:r>
        <w:rPr>
          <w:rFonts w:hint="eastAsia" w:ascii="宋体" w:hAnsi="宋体" w:cs="宋体"/>
          <w:b/>
          <w:bCs/>
          <w:color w:val="auto"/>
          <w:sz w:val="24"/>
        </w:rPr>
        <w:t>须制作评标</w:t>
      </w:r>
      <w:r>
        <w:rPr>
          <w:rFonts w:hint="eastAsia" w:ascii="宋体" w:hAnsi="宋体" w:cs="宋体"/>
          <w:b/>
          <w:bCs/>
          <w:color w:val="auto"/>
          <w:spacing w:val="-6"/>
          <w:sz w:val="24"/>
        </w:rPr>
        <w:t>索引目录，标明提交满足招标文件要求的对应投标材料所在页码供现场工作人员及评标委员会查阅。</w:t>
      </w:r>
    </w:p>
    <w:p w14:paraId="2AB814CF">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资格证明文件、商务技术文件</w:t>
      </w:r>
      <w:r>
        <w:rPr>
          <w:rFonts w:hint="eastAsia" w:ascii="宋体" w:hAnsi="宋体" w:cs="宋体"/>
          <w:color w:val="auto"/>
          <w:spacing w:val="-6"/>
          <w:sz w:val="24"/>
        </w:rPr>
        <w:t>合并成一册装订（</w:t>
      </w:r>
      <w:r>
        <w:rPr>
          <w:rFonts w:hint="eastAsia" w:ascii="宋体" w:hAnsi="宋体" w:cs="宋体"/>
          <w:b/>
          <w:bCs/>
          <w:color w:val="auto"/>
          <w:sz w:val="24"/>
        </w:rPr>
        <w:t>报价文件须单独装订</w:t>
      </w:r>
      <w:r>
        <w:rPr>
          <w:rFonts w:hint="eastAsia" w:ascii="宋体" w:hAnsi="宋体" w:cs="宋体"/>
          <w:color w:val="auto"/>
          <w:sz w:val="24"/>
        </w:rPr>
        <w:t>），采用胶装，不得采用活页装订。采用活页装订的投标文件由现场工作人员退还投标人代表。</w:t>
      </w:r>
    </w:p>
    <w:p w14:paraId="0360F2E7">
      <w:pPr>
        <w:spacing w:line="360" w:lineRule="auto"/>
        <w:ind w:firstLine="424" w:firstLineChars="176"/>
        <w:rPr>
          <w:rFonts w:ascii="宋体" w:hAnsi="宋体" w:cs="宋体"/>
          <w:color w:val="auto"/>
          <w:sz w:val="24"/>
        </w:rPr>
      </w:pPr>
      <w:r>
        <w:rPr>
          <w:rFonts w:hint="eastAsia" w:ascii="宋体" w:hAnsi="宋体" w:cs="宋体"/>
          <w:b/>
          <w:color w:val="auto"/>
          <w:sz w:val="24"/>
        </w:rPr>
        <w:t>所有投标文件的封面必须注明所投标项</w:t>
      </w:r>
      <w:r>
        <w:rPr>
          <w:rFonts w:hint="eastAsia" w:ascii="宋体" w:hAnsi="宋体" w:cs="宋体"/>
          <w:bCs/>
          <w:color w:val="auto"/>
          <w:sz w:val="24"/>
        </w:rPr>
        <w:t>。副本的封面应加盖公章，副本的其他部分可以是正本的复印件，文本内容清晰可见。其</w:t>
      </w:r>
      <w:r>
        <w:rPr>
          <w:rFonts w:hint="eastAsia" w:ascii="宋体" w:hAnsi="宋体" w:cs="宋体"/>
          <w:color w:val="auto"/>
          <w:sz w:val="24"/>
        </w:rPr>
        <w:t>中正本1份，副本</w:t>
      </w:r>
      <w:r>
        <w:rPr>
          <w:rFonts w:hint="eastAsia" w:ascii="宋体" w:hAnsi="宋体" w:cs="宋体"/>
          <w:color w:val="auto"/>
          <w:sz w:val="24"/>
          <w:lang w:val="en-US" w:eastAsia="zh-CN"/>
        </w:rPr>
        <w:t>3</w:t>
      </w:r>
      <w:r>
        <w:rPr>
          <w:rFonts w:hint="eastAsia" w:ascii="宋体" w:hAnsi="宋体" w:cs="宋体"/>
          <w:color w:val="auto"/>
          <w:sz w:val="24"/>
        </w:rPr>
        <w:t>份。</w:t>
      </w:r>
    </w:p>
    <w:p w14:paraId="684A53B9">
      <w:pPr>
        <w:spacing w:line="360" w:lineRule="auto"/>
        <w:ind w:firstLine="422" w:firstLineChars="176"/>
        <w:rPr>
          <w:rFonts w:ascii="宋体" w:hAnsi="宋体" w:cs="宋体"/>
          <w:color w:val="auto"/>
          <w:sz w:val="24"/>
        </w:rPr>
      </w:pPr>
      <w:r>
        <w:rPr>
          <w:rFonts w:hint="eastAsia" w:ascii="宋体" w:hAnsi="宋体" w:cs="宋体"/>
          <w:color w:val="auto"/>
          <w:sz w:val="24"/>
        </w:rPr>
        <w:t>2.投标文件的包装封面上应注明投标人名称、投标文件名称（资格证明文件、商务技术文件、报价文件）、投标项目名称、项目编号、标项及“在  年  月  日  时  分之前不得启封”字样，并加盖投标人公章。</w:t>
      </w:r>
    </w:p>
    <w:p w14:paraId="3386BB9F">
      <w:pPr>
        <w:spacing w:line="360" w:lineRule="auto"/>
        <w:ind w:firstLine="422" w:firstLineChars="176"/>
        <w:rPr>
          <w:rFonts w:ascii="宋体" w:hAnsi="宋体" w:cs="宋体"/>
          <w:color w:val="auto"/>
          <w:sz w:val="24"/>
        </w:rPr>
      </w:pPr>
      <w:r>
        <w:rPr>
          <w:rFonts w:hint="eastAsia" w:ascii="宋体" w:hAnsi="宋体" w:cs="宋体"/>
          <w:color w:val="auto"/>
          <w:sz w:val="24"/>
        </w:rPr>
        <w:t>3.投标文件纸质版和电子版分开密封。</w:t>
      </w:r>
      <w:r>
        <w:rPr>
          <w:rFonts w:hint="eastAsia" w:ascii="宋体" w:hAnsi="宋体" w:cs="宋体"/>
          <w:b/>
          <w:bCs/>
          <w:color w:val="auto"/>
          <w:sz w:val="24"/>
        </w:rPr>
        <w:t>（每个标项须单独密封）</w:t>
      </w:r>
      <w:r>
        <w:rPr>
          <w:rFonts w:hint="eastAsia" w:ascii="宋体" w:hAnsi="宋体" w:cs="宋体"/>
          <w:color w:val="auto"/>
          <w:sz w:val="24"/>
        </w:rPr>
        <w:t>。</w:t>
      </w:r>
    </w:p>
    <w:p w14:paraId="255FF8C4">
      <w:pPr>
        <w:spacing w:line="360" w:lineRule="auto"/>
        <w:ind w:firstLine="422" w:firstLineChars="176"/>
        <w:rPr>
          <w:rFonts w:ascii="宋体" w:hAnsi="宋体" w:cs="宋体"/>
          <w:color w:val="auto"/>
          <w:sz w:val="24"/>
        </w:rPr>
      </w:pPr>
      <w:r>
        <w:rPr>
          <w:rFonts w:hint="eastAsia" w:ascii="宋体" w:hAnsi="宋体" w:cs="宋体"/>
          <w:color w:val="auto"/>
          <w:sz w:val="24"/>
        </w:rPr>
        <w:t>4.未密封的投标文件将被拒绝接收，并由现场工作人员退还投标人代表。</w:t>
      </w:r>
    </w:p>
    <w:p w14:paraId="49280EB5">
      <w:pPr>
        <w:spacing w:line="360" w:lineRule="auto"/>
        <w:ind w:firstLine="422" w:firstLineChars="176"/>
        <w:rPr>
          <w:rFonts w:ascii="宋体" w:hAnsi="宋体" w:cs="宋体"/>
          <w:b/>
          <w:snapToGrid w:val="0"/>
          <w:color w:val="auto"/>
          <w:sz w:val="24"/>
        </w:rPr>
      </w:pPr>
      <w:r>
        <w:rPr>
          <w:rFonts w:hint="eastAsia" w:ascii="宋体" w:hAnsi="宋体" w:cs="宋体"/>
          <w:color w:val="auto"/>
          <w:sz w:val="24"/>
        </w:rPr>
        <w:t>5.投标人在投标截止时间之前，可以对已提交的投标文件进行修改或撤回，并书面通知招标采购单位；投标截止时间后，投标人不得撤回、修改投标文件。修改后重新递交的投标文件应当按本招标文件的要求签署、盖章、包装和密封。</w:t>
      </w:r>
    </w:p>
    <w:p w14:paraId="6BE01ED5">
      <w:pPr>
        <w:pStyle w:val="17"/>
        <w:snapToGrid w:val="0"/>
        <w:spacing w:beforeLines="0" w:afterLines="0" w:line="360" w:lineRule="auto"/>
        <w:jc w:val="center"/>
        <w:outlineLvl w:val="1"/>
        <w:rPr>
          <w:rFonts w:hAnsi="宋体" w:cs="宋体"/>
          <w:b/>
          <w:color w:val="auto"/>
          <w:sz w:val="28"/>
          <w:szCs w:val="28"/>
        </w:rPr>
      </w:pPr>
      <w:bookmarkStart w:id="5" w:name="_Toc9624378"/>
      <w:r>
        <w:rPr>
          <w:rFonts w:hint="eastAsia" w:hAnsi="宋体" w:cs="宋体"/>
          <w:b/>
          <w:color w:val="auto"/>
          <w:sz w:val="28"/>
          <w:szCs w:val="28"/>
        </w:rPr>
        <w:t>四、开标</w:t>
      </w:r>
      <w:bookmarkEnd w:id="5"/>
    </w:p>
    <w:p w14:paraId="05F69781">
      <w:pPr>
        <w:spacing w:line="360" w:lineRule="auto"/>
        <w:ind w:firstLine="424" w:firstLineChars="176"/>
        <w:jc w:val="left"/>
        <w:outlineLvl w:val="2"/>
        <w:rPr>
          <w:rFonts w:ascii="宋体" w:hAnsi="宋体" w:cs="宋体"/>
          <w:b/>
          <w:color w:val="auto"/>
          <w:sz w:val="24"/>
        </w:rPr>
      </w:pPr>
      <w:r>
        <w:rPr>
          <w:rFonts w:hint="eastAsia" w:ascii="宋体" w:hAnsi="宋体" w:cs="宋体"/>
          <w:b/>
          <w:color w:val="auto"/>
          <w:sz w:val="24"/>
        </w:rPr>
        <w:t>（一）开标准备</w:t>
      </w:r>
    </w:p>
    <w:p w14:paraId="46FF32BE">
      <w:pPr>
        <w:spacing w:line="360" w:lineRule="auto"/>
        <w:ind w:firstLine="422" w:firstLineChars="176"/>
        <w:jc w:val="left"/>
        <w:rPr>
          <w:rFonts w:ascii="宋体" w:hAnsi="宋体" w:cs="宋体"/>
          <w:color w:val="auto"/>
          <w:sz w:val="24"/>
        </w:rPr>
      </w:pPr>
      <w:r>
        <w:rPr>
          <w:rFonts w:hint="eastAsia" w:ascii="宋体" w:hAnsi="宋体" w:cs="宋体"/>
          <w:color w:val="auto"/>
          <w:sz w:val="24"/>
        </w:rPr>
        <w:t>采购代理机构将在规定的时间和地点进行开标，投标人的法定代表人或其授权代表应准时参加开标会并签到。</w:t>
      </w:r>
      <w:r>
        <w:rPr>
          <w:rFonts w:hint="eastAsia" w:ascii="宋体" w:hAnsi="宋体" w:cs="宋体"/>
          <w:color w:val="auto"/>
          <w:kern w:val="0"/>
          <w:sz w:val="24"/>
        </w:rPr>
        <w:t>参加开标活动时</w:t>
      </w:r>
      <w:r>
        <w:rPr>
          <w:rFonts w:hint="eastAsia" w:ascii="宋体" w:hAnsi="宋体" w:cs="宋体"/>
          <w:color w:val="auto"/>
          <w:sz w:val="24"/>
        </w:rPr>
        <w:t>应当持有效期内本人身份证或公安机关出具的临时身份证明或港澳台胞证或护照原件或户口本原件</w:t>
      </w:r>
      <w:r>
        <w:rPr>
          <w:rFonts w:hint="eastAsia" w:ascii="宋体" w:hAnsi="宋体" w:cs="宋体"/>
          <w:b/>
          <w:bCs/>
          <w:color w:val="auto"/>
          <w:sz w:val="24"/>
        </w:rPr>
        <w:t>（其他诸如驾驶证、市民卡等一律视为未提供有效的身份证明）</w:t>
      </w:r>
      <w:r>
        <w:rPr>
          <w:rFonts w:hint="eastAsia" w:ascii="宋体" w:hAnsi="宋体" w:cs="宋体"/>
          <w:color w:val="auto"/>
          <w:sz w:val="24"/>
        </w:rPr>
        <w:t>和法定代表人出具的授权委托书。若是法定代表人参加，须携提供法定代表人身份证明书（格式见第六部分）。投标人的法定代表人或其授权代表未按时签到的，视同放弃开标监督权利、认可开标结果。</w:t>
      </w:r>
    </w:p>
    <w:p w14:paraId="4422A1CE">
      <w:pPr>
        <w:spacing w:line="360" w:lineRule="auto"/>
        <w:ind w:firstLine="424" w:firstLineChars="176"/>
        <w:jc w:val="left"/>
        <w:rPr>
          <w:rFonts w:ascii="宋体" w:hAnsi="宋体" w:cs="宋体"/>
          <w:color w:val="auto"/>
          <w:sz w:val="24"/>
        </w:rPr>
      </w:pPr>
      <w:r>
        <w:rPr>
          <w:rFonts w:hint="eastAsia" w:ascii="宋体" w:hAnsi="宋体" w:cs="宋体"/>
          <w:b/>
          <w:bCs/>
          <w:color w:val="auto"/>
          <w:sz w:val="24"/>
        </w:rPr>
        <w:t>投标文件递交有效（投标文件递交有效性以纸质投标文件递交时间为准，下同），而投标人法定代表人或其委托代理人未能参加开标或未能携带上述资料的，视同其未参加开标，不得对开标提出异议，不影响开标结果，也不作为否决其投标的评审因素。</w:t>
      </w:r>
    </w:p>
    <w:p w14:paraId="70BA9F78">
      <w:pPr>
        <w:numPr>
          <w:ilvl w:val="0"/>
          <w:numId w:val="5"/>
        </w:numPr>
        <w:spacing w:line="360" w:lineRule="auto"/>
        <w:ind w:left="416" w:firstLine="424"/>
        <w:jc w:val="left"/>
        <w:outlineLvl w:val="2"/>
        <w:rPr>
          <w:rFonts w:ascii="宋体" w:hAnsi="宋体" w:cs="宋体"/>
          <w:b/>
          <w:color w:val="auto"/>
          <w:sz w:val="24"/>
        </w:rPr>
      </w:pPr>
      <w:r>
        <w:rPr>
          <w:rFonts w:hint="eastAsia" w:ascii="宋体" w:hAnsi="宋体" w:cs="宋体"/>
          <w:b/>
          <w:color w:val="auto"/>
          <w:sz w:val="24"/>
        </w:rPr>
        <w:t>开标程序</w:t>
      </w:r>
    </w:p>
    <w:p w14:paraId="47D57437">
      <w:pPr>
        <w:spacing w:line="360" w:lineRule="auto"/>
        <w:ind w:firstLine="422" w:firstLineChars="176"/>
        <w:jc w:val="left"/>
        <w:rPr>
          <w:rFonts w:ascii="宋体" w:hAnsi="宋体" w:cs="宋体"/>
          <w:color w:val="auto"/>
          <w:sz w:val="24"/>
        </w:rPr>
      </w:pPr>
      <w:r>
        <w:rPr>
          <w:rFonts w:hint="eastAsia" w:ascii="宋体" w:hAnsi="宋体" w:cs="宋体"/>
          <w:color w:val="auto"/>
          <w:sz w:val="24"/>
        </w:rPr>
        <w:t>1．开标会由采购代理机构主持，主持人宣布开标会议开始。</w:t>
      </w:r>
    </w:p>
    <w:p w14:paraId="5669E7A0">
      <w:pPr>
        <w:spacing w:line="360" w:lineRule="auto"/>
        <w:ind w:firstLine="422" w:firstLineChars="176"/>
        <w:jc w:val="left"/>
        <w:rPr>
          <w:rFonts w:ascii="宋体" w:hAnsi="宋体" w:cs="宋体"/>
          <w:color w:val="auto"/>
          <w:sz w:val="24"/>
        </w:rPr>
      </w:pPr>
      <w:r>
        <w:rPr>
          <w:rFonts w:hint="eastAsia" w:ascii="宋体" w:hAnsi="宋体" w:cs="宋体"/>
          <w:color w:val="auto"/>
          <w:sz w:val="24"/>
        </w:rPr>
        <w:t>2．主持人介绍参加开标会的人员名单，宣布开标纪律，告知应当回避的情形，提请有关人员回避。</w:t>
      </w:r>
    </w:p>
    <w:p w14:paraId="50E79BEB">
      <w:pPr>
        <w:spacing w:line="360" w:lineRule="auto"/>
        <w:ind w:firstLine="422" w:firstLineChars="176"/>
        <w:jc w:val="left"/>
        <w:rPr>
          <w:rFonts w:ascii="宋体" w:hAnsi="宋体" w:cs="宋体"/>
          <w:color w:val="auto"/>
          <w:sz w:val="24"/>
        </w:rPr>
      </w:pPr>
      <w:r>
        <w:rPr>
          <w:rFonts w:hint="eastAsia" w:ascii="宋体" w:hAnsi="宋体" w:cs="宋体"/>
          <w:color w:val="auto"/>
          <w:sz w:val="24"/>
        </w:rPr>
        <w:t>3．投标人或其当场推荐的代表检查投标文件密封的完整性并签字确认。</w:t>
      </w:r>
    </w:p>
    <w:p w14:paraId="7BA95F4C">
      <w:pPr>
        <w:spacing w:line="360" w:lineRule="auto"/>
        <w:ind w:firstLine="422" w:firstLineChars="176"/>
        <w:jc w:val="left"/>
        <w:rPr>
          <w:rFonts w:ascii="宋体" w:hAnsi="宋体" w:cs="宋体"/>
          <w:color w:val="auto"/>
          <w:sz w:val="24"/>
        </w:rPr>
      </w:pPr>
      <w:r>
        <w:rPr>
          <w:rFonts w:hint="eastAsia" w:ascii="宋体" w:hAnsi="宋体" w:cs="宋体"/>
          <w:color w:val="auto"/>
          <w:sz w:val="24"/>
        </w:rPr>
        <w:t>4．按各投标人提交投标文件时间的先后顺序打开投标文件外包装，清点投标文件正本、副本数量。采用活页装订</w:t>
      </w:r>
      <w:r>
        <w:rPr>
          <w:rFonts w:hint="eastAsia" w:ascii="宋体" w:hAnsi="宋体" w:cs="宋体"/>
          <w:b/>
          <w:bCs/>
          <w:color w:val="auto"/>
          <w:sz w:val="24"/>
        </w:rPr>
        <w:t>（是指用卡条、抽杆夹、订书机等形式装订，使标书可以拆卸或者在翻动过程中易脱落的一种装订方式）</w:t>
      </w:r>
      <w:r>
        <w:rPr>
          <w:rFonts w:hint="eastAsia" w:ascii="宋体" w:hAnsi="宋体" w:cs="宋体"/>
          <w:color w:val="auto"/>
          <w:sz w:val="24"/>
        </w:rPr>
        <w:t>的投标文件将被当场退还投标人，并由投标人代表签字确认，无故拒绝或不签字确认的视同默认。</w:t>
      </w:r>
    </w:p>
    <w:p w14:paraId="3B80492D">
      <w:pPr>
        <w:spacing w:line="360" w:lineRule="auto"/>
        <w:ind w:firstLine="422" w:firstLineChars="176"/>
        <w:jc w:val="left"/>
        <w:rPr>
          <w:rFonts w:ascii="宋体" w:hAnsi="宋体" w:cs="宋体"/>
          <w:color w:val="auto"/>
          <w:sz w:val="24"/>
        </w:rPr>
      </w:pPr>
      <w:r>
        <w:rPr>
          <w:rFonts w:hint="eastAsia" w:ascii="宋体" w:hAnsi="宋体" w:cs="宋体"/>
          <w:color w:val="auto"/>
          <w:sz w:val="24"/>
        </w:rPr>
        <w:t>5．按标项先后顺序开标唱标，由唱标人宣读《开标一览表》中的投标人名称及在其投标文件中承诺的投标报价，以及采购代理机构认为有必要宣读的其他内容。</w:t>
      </w:r>
    </w:p>
    <w:p w14:paraId="759D6137">
      <w:pPr>
        <w:spacing w:line="360" w:lineRule="auto"/>
        <w:ind w:firstLine="422" w:firstLineChars="176"/>
        <w:jc w:val="left"/>
        <w:rPr>
          <w:rFonts w:ascii="宋体" w:hAnsi="宋体" w:cs="宋体"/>
          <w:color w:val="auto"/>
          <w:sz w:val="24"/>
        </w:rPr>
      </w:pPr>
      <w:r>
        <w:rPr>
          <w:rFonts w:hint="eastAsia" w:ascii="宋体" w:hAnsi="宋体" w:cs="宋体"/>
          <w:color w:val="auto"/>
          <w:sz w:val="24"/>
        </w:rPr>
        <w:t>6．采购代理机构做开标记录，投标人代表对开标记录进行当场校核及勘误，并签字确认；同时由记录人、监督人当场签字确认。投标人代表未到场签字确认或者拒绝签字确认的，视同默认开标结果，不影响开标过程。</w:t>
      </w:r>
    </w:p>
    <w:p w14:paraId="441678CB">
      <w:pPr>
        <w:spacing w:line="360" w:lineRule="auto"/>
        <w:ind w:firstLine="422" w:firstLineChars="176"/>
        <w:jc w:val="left"/>
        <w:rPr>
          <w:rFonts w:hAnsi="宋体" w:cs="宋体"/>
          <w:b/>
          <w:color w:val="auto"/>
          <w:sz w:val="28"/>
          <w:szCs w:val="28"/>
        </w:rPr>
      </w:pPr>
      <w:r>
        <w:rPr>
          <w:rFonts w:hint="eastAsia" w:ascii="宋体" w:hAnsi="宋体" w:cs="宋体"/>
          <w:color w:val="auto"/>
          <w:sz w:val="24"/>
        </w:rPr>
        <w:t>7．开标会议结束，投标文件并送评标室评审。</w:t>
      </w:r>
      <w:bookmarkStart w:id="6" w:name="_Toc9624379"/>
    </w:p>
    <w:p w14:paraId="09371009">
      <w:pPr>
        <w:pStyle w:val="17"/>
        <w:snapToGrid w:val="0"/>
        <w:spacing w:beforeLines="0" w:afterLines="0" w:line="360" w:lineRule="auto"/>
        <w:jc w:val="center"/>
        <w:outlineLvl w:val="1"/>
        <w:rPr>
          <w:rFonts w:hAnsi="宋体" w:cs="宋体"/>
          <w:b/>
          <w:color w:val="auto"/>
          <w:sz w:val="28"/>
          <w:szCs w:val="28"/>
        </w:rPr>
      </w:pPr>
      <w:r>
        <w:rPr>
          <w:rFonts w:hint="eastAsia" w:hAnsi="宋体" w:cs="宋体"/>
          <w:b/>
          <w:color w:val="auto"/>
          <w:sz w:val="28"/>
          <w:szCs w:val="28"/>
        </w:rPr>
        <w:t>五、评标</w:t>
      </w:r>
      <w:bookmarkEnd w:id="6"/>
    </w:p>
    <w:p w14:paraId="3150F05F">
      <w:pPr>
        <w:spacing w:line="360" w:lineRule="auto"/>
        <w:ind w:firstLine="422" w:firstLineChars="175"/>
        <w:jc w:val="left"/>
        <w:outlineLvl w:val="2"/>
        <w:rPr>
          <w:rFonts w:ascii="宋体" w:hAnsi="宋体" w:cs="宋体"/>
          <w:b/>
          <w:color w:val="auto"/>
          <w:sz w:val="24"/>
        </w:rPr>
      </w:pPr>
      <w:r>
        <w:rPr>
          <w:rFonts w:hint="eastAsia" w:ascii="宋体" w:hAnsi="宋体" w:cs="宋体"/>
          <w:b/>
          <w:color w:val="auto"/>
          <w:sz w:val="24"/>
        </w:rPr>
        <w:t>（一）组建评标委员会</w:t>
      </w:r>
    </w:p>
    <w:p w14:paraId="7E9A8591">
      <w:pPr>
        <w:spacing w:line="360" w:lineRule="auto"/>
        <w:ind w:firstLine="420" w:firstLineChars="175"/>
        <w:jc w:val="left"/>
        <w:rPr>
          <w:rFonts w:ascii="宋体" w:hAnsi="宋体" w:cs="宋体"/>
          <w:color w:val="auto"/>
          <w:sz w:val="24"/>
        </w:rPr>
      </w:pPr>
      <w:r>
        <w:rPr>
          <w:rFonts w:hint="eastAsia" w:ascii="宋体" w:hAnsi="宋体" w:cs="宋体"/>
          <w:color w:val="auto"/>
          <w:sz w:val="24"/>
        </w:rPr>
        <w:t>本项目评标委员会按《中华人民共和国政府采购法》相关要求，在</w:t>
      </w:r>
      <w:r>
        <w:rPr>
          <w:rFonts w:hint="eastAsia" w:ascii="宋体" w:hAnsi="宋体" w:cs="宋体"/>
          <w:color w:val="auto"/>
          <w:sz w:val="24"/>
          <w:highlight w:val="none"/>
          <w:lang w:val="en-US" w:eastAsia="zh-CN"/>
        </w:rPr>
        <w:t>浙江省财政厅采购专家库</w:t>
      </w:r>
      <w:r>
        <w:rPr>
          <w:rFonts w:hint="eastAsia" w:ascii="宋体" w:hAnsi="宋体" w:cs="宋体"/>
          <w:color w:val="auto"/>
          <w:sz w:val="24"/>
        </w:rPr>
        <w:t>中随机抽取，成员由5人组成，其中政府采购专家人数不少于成员总数的三分之二。</w:t>
      </w:r>
    </w:p>
    <w:p w14:paraId="163A9E1F">
      <w:pPr>
        <w:spacing w:line="360" w:lineRule="auto"/>
        <w:ind w:firstLine="422" w:firstLineChars="175"/>
        <w:jc w:val="left"/>
        <w:outlineLvl w:val="2"/>
        <w:rPr>
          <w:rFonts w:ascii="宋体" w:hAnsi="宋体" w:cs="宋体"/>
          <w:b/>
          <w:color w:val="auto"/>
          <w:sz w:val="24"/>
        </w:rPr>
      </w:pPr>
      <w:r>
        <w:rPr>
          <w:rFonts w:hint="eastAsia" w:ascii="宋体" w:hAnsi="宋体" w:cs="宋体"/>
          <w:b/>
          <w:color w:val="auto"/>
          <w:sz w:val="24"/>
        </w:rPr>
        <w:t>（二）评标程序</w:t>
      </w:r>
    </w:p>
    <w:p w14:paraId="020970F2">
      <w:pPr>
        <w:spacing w:line="360" w:lineRule="auto"/>
        <w:ind w:firstLine="420" w:firstLineChars="175"/>
        <w:jc w:val="left"/>
        <w:rPr>
          <w:rFonts w:ascii="宋体" w:hAnsi="宋体" w:cs="宋体"/>
          <w:color w:val="auto"/>
          <w:sz w:val="24"/>
        </w:rPr>
      </w:pPr>
      <w:r>
        <w:rPr>
          <w:rFonts w:hint="eastAsia" w:ascii="宋体" w:hAnsi="宋体" w:cs="宋体"/>
          <w:color w:val="auto"/>
          <w:sz w:val="24"/>
        </w:rPr>
        <w:t>1.在评审专家中推选评审小组组长。</w:t>
      </w:r>
    </w:p>
    <w:p w14:paraId="48879F96">
      <w:pPr>
        <w:spacing w:line="360" w:lineRule="auto"/>
        <w:ind w:firstLine="420" w:firstLineChars="175"/>
        <w:jc w:val="left"/>
        <w:rPr>
          <w:rFonts w:ascii="宋体" w:hAnsi="宋体" w:cs="宋体"/>
          <w:color w:val="auto"/>
          <w:sz w:val="24"/>
        </w:rPr>
      </w:pPr>
      <w:r>
        <w:rPr>
          <w:rFonts w:hint="eastAsia" w:ascii="宋体" w:hAnsi="宋体" w:cs="宋体"/>
          <w:color w:val="auto"/>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685E34DB">
      <w:pPr>
        <w:spacing w:line="360" w:lineRule="auto"/>
        <w:ind w:firstLine="420" w:firstLineChars="175"/>
        <w:jc w:val="left"/>
        <w:rPr>
          <w:rFonts w:ascii="宋体" w:hAnsi="宋体" w:cs="宋体"/>
          <w:color w:val="auto"/>
          <w:sz w:val="24"/>
        </w:rPr>
      </w:pPr>
      <w:r>
        <w:rPr>
          <w:rFonts w:hint="eastAsia" w:ascii="宋体" w:hAnsi="宋体" w:cs="宋体"/>
          <w:color w:val="auto"/>
          <w:sz w:val="24"/>
        </w:rPr>
        <w:t>3.招标人或者采购代理机构对各投标人的资格进行审查，投标人资格条件不符合招标文件要求的投标无效，</w:t>
      </w:r>
      <w:r>
        <w:rPr>
          <w:rFonts w:hint="eastAsia" w:ascii="宋体" w:hAnsi="宋体" w:cs="宋体"/>
          <w:bCs/>
          <w:color w:val="auto"/>
          <w:sz w:val="24"/>
        </w:rPr>
        <w:t>不再进入符合性审查。</w:t>
      </w:r>
    </w:p>
    <w:p w14:paraId="645680A8">
      <w:pPr>
        <w:spacing w:line="360" w:lineRule="auto"/>
        <w:ind w:firstLine="420" w:firstLineChars="175"/>
        <w:jc w:val="left"/>
        <w:rPr>
          <w:rFonts w:ascii="宋体" w:hAnsi="宋体" w:cs="宋体"/>
          <w:color w:val="auto"/>
          <w:sz w:val="24"/>
        </w:rPr>
      </w:pPr>
      <w:r>
        <w:rPr>
          <w:rFonts w:hint="eastAsia" w:ascii="宋体" w:hAnsi="宋体" w:cs="宋体"/>
          <w:color w:val="auto"/>
          <w:sz w:val="24"/>
        </w:rPr>
        <w:t>4.评审小组对各投标文件的符合性进行审查，确定是否对招标文件作出了实质性响应。</w:t>
      </w:r>
      <w:r>
        <w:rPr>
          <w:rFonts w:hint="eastAsia" w:ascii="宋体" w:hAnsi="宋体" w:cs="宋体"/>
          <w:bCs/>
          <w:color w:val="auto"/>
          <w:sz w:val="24"/>
        </w:rPr>
        <w:t>实质上没有响应招标文件要求的投标将被视为无效投标，不再进入下一阶段的评审。</w:t>
      </w:r>
    </w:p>
    <w:p w14:paraId="644ED5E8">
      <w:pPr>
        <w:spacing w:line="360" w:lineRule="auto"/>
        <w:ind w:firstLine="420" w:firstLineChars="175"/>
        <w:jc w:val="left"/>
        <w:rPr>
          <w:rFonts w:ascii="宋体" w:hAnsi="宋体" w:cs="宋体"/>
          <w:color w:val="auto"/>
          <w:sz w:val="24"/>
        </w:rPr>
      </w:pPr>
      <w:r>
        <w:rPr>
          <w:rFonts w:hint="eastAsia" w:ascii="宋体" w:hAnsi="宋体" w:cs="宋体"/>
          <w:color w:val="auto"/>
          <w:sz w:val="24"/>
        </w:rPr>
        <w:t>5.评审人员按招标文件规定的评审方法和评审标准，依法独立对供应商投标文件进行评估、比较，并给予评价或打分，不受任何单位和个人的干预。</w:t>
      </w:r>
    </w:p>
    <w:p w14:paraId="453723AB">
      <w:pPr>
        <w:spacing w:line="360" w:lineRule="auto"/>
        <w:ind w:firstLine="420" w:firstLineChars="175"/>
        <w:jc w:val="left"/>
        <w:rPr>
          <w:rFonts w:ascii="宋体" w:hAnsi="宋体" w:cs="宋体"/>
          <w:color w:val="auto"/>
          <w:sz w:val="24"/>
        </w:rPr>
      </w:pPr>
      <w:r>
        <w:rPr>
          <w:rFonts w:hint="eastAsia" w:ascii="宋体" w:hAnsi="宋体" w:cs="宋体"/>
          <w:color w:val="auto"/>
          <w:sz w:val="24"/>
        </w:rPr>
        <w:t>6.各投标人的得分为所有评委的有效评分的算术平均数，由指定专人进行计算复核。</w:t>
      </w:r>
    </w:p>
    <w:p w14:paraId="75D80E85">
      <w:pPr>
        <w:spacing w:line="360" w:lineRule="auto"/>
        <w:ind w:firstLine="420" w:firstLineChars="175"/>
        <w:jc w:val="left"/>
        <w:rPr>
          <w:rFonts w:ascii="宋体" w:hAnsi="宋体" w:cs="宋体"/>
          <w:color w:val="auto"/>
          <w:sz w:val="24"/>
        </w:rPr>
      </w:pPr>
      <w:r>
        <w:rPr>
          <w:rFonts w:hint="eastAsia" w:ascii="宋体" w:hAnsi="宋体" w:cs="宋体"/>
          <w:color w:val="auto"/>
          <w:sz w:val="24"/>
        </w:rPr>
        <w:t>7.评标委员会完成评标后,评委对各部分得分汇总,计算出本项目最终得分。评标委员会按评标原则推荐中标候选人，同时起草评标报告。</w:t>
      </w:r>
    </w:p>
    <w:p w14:paraId="2A35AED0">
      <w:pPr>
        <w:spacing w:line="360" w:lineRule="auto"/>
        <w:ind w:firstLine="420" w:firstLineChars="175"/>
        <w:jc w:val="left"/>
        <w:rPr>
          <w:rFonts w:ascii="宋体" w:hAnsi="宋体" w:cs="宋体"/>
          <w:bCs/>
          <w:color w:val="auto"/>
          <w:sz w:val="24"/>
        </w:rPr>
      </w:pPr>
      <w:r>
        <w:rPr>
          <w:rFonts w:hint="eastAsia" w:ascii="宋体" w:hAnsi="宋体" w:cs="宋体"/>
          <w:color w:val="auto"/>
          <w:sz w:val="24"/>
        </w:rPr>
        <w:t>8.实质上响应招标文件要求的投标人</w:t>
      </w:r>
      <w:r>
        <w:rPr>
          <w:rFonts w:hint="eastAsia" w:ascii="宋体" w:hAnsi="宋体" w:cs="宋体"/>
          <w:bCs/>
          <w:color w:val="auto"/>
          <w:sz w:val="24"/>
        </w:rPr>
        <w:t>不足三家的，除财政部门另有规定外，应当作废标处理。</w:t>
      </w:r>
    </w:p>
    <w:p w14:paraId="698BAF8C">
      <w:pPr>
        <w:spacing w:line="360" w:lineRule="auto"/>
        <w:ind w:firstLine="424" w:firstLineChars="176"/>
        <w:outlineLvl w:val="2"/>
        <w:rPr>
          <w:rFonts w:ascii="宋体" w:hAnsi="宋体" w:cs="宋体"/>
          <w:b/>
          <w:color w:val="auto"/>
          <w:sz w:val="24"/>
        </w:rPr>
      </w:pPr>
      <w:r>
        <w:rPr>
          <w:rFonts w:hint="eastAsia" w:ascii="宋体" w:hAnsi="宋体" w:cs="宋体"/>
          <w:b/>
          <w:color w:val="auto"/>
          <w:sz w:val="24"/>
        </w:rPr>
        <w:t>（三）无效标条款</w:t>
      </w:r>
    </w:p>
    <w:p w14:paraId="233867BD">
      <w:pPr>
        <w:spacing w:line="360" w:lineRule="auto"/>
        <w:ind w:firstLine="424" w:firstLineChars="176"/>
        <w:rPr>
          <w:rFonts w:ascii="宋体" w:hAnsi="宋体" w:cs="宋体"/>
          <w:b/>
          <w:bCs/>
          <w:color w:val="auto"/>
          <w:sz w:val="24"/>
        </w:rPr>
      </w:pPr>
      <w:r>
        <w:rPr>
          <w:rFonts w:hint="eastAsia" w:ascii="宋体" w:hAnsi="宋体" w:cs="宋体"/>
          <w:b/>
          <w:bCs/>
          <w:color w:val="auto"/>
          <w:sz w:val="24"/>
        </w:rPr>
        <w:t>1.资格审查</w:t>
      </w:r>
    </w:p>
    <w:p w14:paraId="4DDCEB38">
      <w:pPr>
        <w:spacing w:line="360" w:lineRule="auto"/>
        <w:ind w:firstLine="422" w:firstLineChars="176"/>
        <w:rPr>
          <w:rFonts w:ascii="宋体" w:hAnsi="宋体" w:cs="宋体"/>
          <w:color w:val="auto"/>
          <w:sz w:val="24"/>
        </w:rPr>
      </w:pPr>
      <w:r>
        <w:rPr>
          <w:rFonts w:hint="eastAsia" w:ascii="宋体" w:hAnsi="宋体" w:cs="宋体"/>
          <w:color w:val="auto"/>
          <w:sz w:val="24"/>
        </w:rPr>
        <w:t>采购人或者采购代理机构对各投标人的资格进行审查，投标人资格条件不符合招标文件要求的投标无效，不再进入符合性审查。在投标文件的资格证明文件中，如发现下列情形之一的，投标文件将被视为无效：</w:t>
      </w:r>
    </w:p>
    <w:p w14:paraId="609CD5FB">
      <w:pPr>
        <w:spacing w:line="360" w:lineRule="auto"/>
        <w:ind w:firstLine="422" w:firstLineChars="176"/>
        <w:rPr>
          <w:rFonts w:ascii="宋体" w:hAnsi="宋体" w:cs="宋体"/>
          <w:color w:val="auto"/>
          <w:sz w:val="24"/>
        </w:rPr>
      </w:pPr>
      <w:r>
        <w:rPr>
          <w:rFonts w:hint="eastAsia" w:ascii="宋体" w:hAnsi="宋体" w:cs="宋体"/>
          <w:color w:val="auto"/>
          <w:sz w:val="24"/>
        </w:rPr>
        <w:t>（1）投标文件未按招标文件要求提供证明材料的；</w:t>
      </w:r>
    </w:p>
    <w:p w14:paraId="68518545">
      <w:pPr>
        <w:spacing w:line="360" w:lineRule="auto"/>
        <w:ind w:firstLine="422" w:firstLineChars="176"/>
        <w:rPr>
          <w:rFonts w:ascii="宋体" w:hAnsi="宋体" w:cs="宋体"/>
          <w:color w:val="auto"/>
          <w:sz w:val="24"/>
        </w:rPr>
      </w:pPr>
      <w:r>
        <w:rPr>
          <w:rFonts w:hint="eastAsia" w:ascii="宋体" w:hAnsi="宋体" w:cs="宋体"/>
          <w:color w:val="auto"/>
          <w:sz w:val="24"/>
        </w:rPr>
        <w:t>（2）投标文件未按招标文件要求签字或盖章的；</w:t>
      </w:r>
    </w:p>
    <w:p w14:paraId="7E5721E5">
      <w:pPr>
        <w:spacing w:line="360" w:lineRule="auto"/>
        <w:ind w:firstLine="422" w:firstLineChars="176"/>
        <w:rPr>
          <w:rFonts w:ascii="宋体" w:hAnsi="宋体" w:cs="宋体"/>
          <w:color w:val="auto"/>
          <w:sz w:val="24"/>
        </w:rPr>
      </w:pPr>
      <w:r>
        <w:rPr>
          <w:rFonts w:hint="eastAsia" w:ascii="宋体" w:hAnsi="宋体" w:cs="宋体"/>
          <w:color w:val="auto"/>
          <w:sz w:val="24"/>
        </w:rPr>
        <w:t>（3）投标人为列入失信被执行人、重大税收违法失信主体、政府采购严重违法失信行为记录名单的供应商的；</w:t>
      </w:r>
    </w:p>
    <w:p w14:paraId="6BC850FA">
      <w:pPr>
        <w:spacing w:line="360" w:lineRule="auto"/>
        <w:ind w:firstLine="422" w:firstLineChars="176"/>
        <w:rPr>
          <w:rFonts w:ascii="宋体" w:hAnsi="宋体" w:cs="宋体"/>
          <w:color w:val="auto"/>
          <w:sz w:val="24"/>
        </w:rPr>
      </w:pPr>
      <w:r>
        <w:rPr>
          <w:rFonts w:hint="eastAsia" w:ascii="宋体" w:hAnsi="宋体" w:cs="宋体"/>
          <w:color w:val="auto"/>
          <w:sz w:val="24"/>
        </w:rPr>
        <w:t>（4）法律、法规和招标文件规定的其他无效情形。</w:t>
      </w:r>
    </w:p>
    <w:p w14:paraId="2A7335D8">
      <w:pPr>
        <w:spacing w:line="360" w:lineRule="auto"/>
        <w:ind w:firstLine="424" w:firstLineChars="176"/>
        <w:rPr>
          <w:rFonts w:ascii="宋体" w:hAnsi="宋体" w:cs="宋体"/>
          <w:b/>
          <w:bCs/>
          <w:color w:val="auto"/>
          <w:sz w:val="24"/>
        </w:rPr>
      </w:pPr>
      <w:r>
        <w:rPr>
          <w:rFonts w:hint="eastAsia" w:ascii="宋体" w:hAnsi="宋体" w:cs="宋体"/>
          <w:b/>
          <w:bCs/>
          <w:color w:val="auto"/>
          <w:sz w:val="24"/>
        </w:rPr>
        <w:t>2.符合性审查</w:t>
      </w:r>
    </w:p>
    <w:p w14:paraId="6DEDEAC4">
      <w:pPr>
        <w:spacing w:line="360" w:lineRule="auto"/>
        <w:ind w:firstLine="422" w:firstLineChars="176"/>
        <w:rPr>
          <w:rFonts w:ascii="宋体" w:hAnsi="宋体" w:cs="宋体"/>
          <w:color w:val="auto"/>
          <w:sz w:val="24"/>
        </w:rPr>
      </w:pPr>
      <w:r>
        <w:rPr>
          <w:rFonts w:hint="eastAsia" w:ascii="宋体" w:hAnsi="宋体" w:cs="宋体"/>
          <w:color w:val="auto"/>
          <w:sz w:val="24"/>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w:t>
      </w:r>
    </w:p>
    <w:p w14:paraId="524F76F4">
      <w:pPr>
        <w:spacing w:line="360" w:lineRule="auto"/>
        <w:ind w:firstLine="422" w:firstLineChars="176"/>
        <w:rPr>
          <w:rFonts w:ascii="宋体" w:hAnsi="宋体" w:cs="宋体"/>
          <w:color w:val="auto"/>
          <w:sz w:val="24"/>
        </w:rPr>
      </w:pPr>
      <w:r>
        <w:rPr>
          <w:rFonts w:hint="eastAsia" w:ascii="宋体" w:hAnsi="宋体" w:cs="宋体"/>
          <w:color w:val="auto"/>
          <w:sz w:val="24"/>
        </w:rPr>
        <w:t>2.1在评审时，如发现下列情形之一的，投标文件将被视为无效：</w:t>
      </w:r>
    </w:p>
    <w:p w14:paraId="3A235D1D">
      <w:pPr>
        <w:spacing w:line="360" w:lineRule="auto"/>
        <w:ind w:firstLine="422" w:firstLineChars="176"/>
        <w:rPr>
          <w:rFonts w:ascii="宋体" w:hAnsi="宋体" w:cs="宋体"/>
          <w:color w:val="auto"/>
          <w:sz w:val="24"/>
        </w:rPr>
      </w:pPr>
      <w:r>
        <w:rPr>
          <w:rFonts w:hint="eastAsia" w:ascii="宋体" w:hAnsi="宋体" w:cs="宋体"/>
          <w:color w:val="auto"/>
          <w:sz w:val="24"/>
        </w:rPr>
        <w:t>（1）单位负责人为同一人或者存在直接控股、管理关系的不同供应商，同时参加同一合同项下投标的；</w:t>
      </w:r>
    </w:p>
    <w:p w14:paraId="426922AF">
      <w:pPr>
        <w:spacing w:line="360" w:lineRule="auto"/>
        <w:ind w:firstLine="422" w:firstLineChars="176"/>
        <w:rPr>
          <w:rFonts w:ascii="宋体" w:hAnsi="宋体" w:cs="宋体"/>
          <w:color w:val="auto"/>
          <w:sz w:val="24"/>
        </w:rPr>
      </w:pPr>
      <w:r>
        <w:rPr>
          <w:rFonts w:hint="eastAsia" w:ascii="宋体" w:hAnsi="宋体" w:cs="宋体"/>
          <w:color w:val="auto"/>
          <w:sz w:val="24"/>
        </w:rPr>
        <w:t>（2）为项目提供整体设计、规范编制或者项目管理、监理、检测等服务的供应商，再参加本采购项目的其他采购活动的；</w:t>
      </w:r>
    </w:p>
    <w:p w14:paraId="49D3CE85">
      <w:pPr>
        <w:spacing w:line="360" w:lineRule="auto"/>
        <w:ind w:firstLine="422" w:firstLineChars="176"/>
        <w:rPr>
          <w:rFonts w:ascii="宋体" w:hAnsi="宋体" w:cs="宋体"/>
          <w:color w:val="auto"/>
          <w:sz w:val="24"/>
        </w:rPr>
      </w:pPr>
      <w:r>
        <w:rPr>
          <w:rFonts w:hint="eastAsia" w:ascii="宋体" w:hAnsi="宋体" w:cs="宋体"/>
          <w:color w:val="auto"/>
          <w:sz w:val="24"/>
        </w:rPr>
        <w:t>（3）投标文件中的法定代表人授权委托书、商务响应表和技术响应表未按招标文件要求签字或盖章的；</w:t>
      </w:r>
    </w:p>
    <w:p w14:paraId="2F1FF916">
      <w:pPr>
        <w:spacing w:line="360" w:lineRule="auto"/>
        <w:ind w:firstLine="422" w:firstLineChars="176"/>
        <w:rPr>
          <w:rFonts w:ascii="宋体" w:hAnsi="宋体" w:cs="宋体"/>
          <w:color w:val="auto"/>
          <w:sz w:val="24"/>
        </w:rPr>
      </w:pPr>
      <w:r>
        <w:rPr>
          <w:rFonts w:hint="eastAsia" w:ascii="宋体" w:hAnsi="宋体" w:cs="宋体"/>
          <w:color w:val="auto"/>
          <w:sz w:val="24"/>
        </w:rPr>
        <w:t>（4）未提供法定代表人授权委托书（供应商代表不是法定代表人）、投标声明书或填写项目不齐全的；</w:t>
      </w:r>
    </w:p>
    <w:p w14:paraId="0527D849">
      <w:pPr>
        <w:spacing w:line="360" w:lineRule="auto"/>
        <w:ind w:firstLine="422" w:firstLineChars="176"/>
        <w:rPr>
          <w:rFonts w:ascii="宋体" w:hAnsi="宋体" w:cs="宋体"/>
          <w:color w:val="auto"/>
          <w:sz w:val="24"/>
        </w:rPr>
      </w:pPr>
      <w:r>
        <w:rPr>
          <w:rFonts w:hint="eastAsia" w:ascii="宋体" w:hAnsi="宋体" w:cs="宋体"/>
          <w:color w:val="auto"/>
          <w:sz w:val="24"/>
        </w:rPr>
        <w:t>（5）投标有效期不满足招标文件要求的；</w:t>
      </w:r>
    </w:p>
    <w:p w14:paraId="13BAF76B">
      <w:pPr>
        <w:spacing w:line="360" w:lineRule="auto"/>
        <w:ind w:firstLine="422" w:firstLineChars="176"/>
        <w:rPr>
          <w:rFonts w:ascii="宋体" w:hAnsi="宋体" w:cs="宋体"/>
          <w:color w:val="auto"/>
          <w:sz w:val="24"/>
        </w:rPr>
      </w:pPr>
      <w:r>
        <w:rPr>
          <w:rFonts w:hint="eastAsia" w:ascii="宋体" w:hAnsi="宋体" w:cs="宋体"/>
          <w:color w:val="auto"/>
          <w:sz w:val="24"/>
        </w:rPr>
        <w:t>（6）招标文件不接受联合体投标而采用联合体投标的；以联合体形式进行投标的，在投标文件中未提交联合体协议的；</w:t>
      </w:r>
    </w:p>
    <w:p w14:paraId="793ADB5D">
      <w:pPr>
        <w:spacing w:line="360" w:lineRule="auto"/>
        <w:ind w:firstLine="422" w:firstLineChars="176"/>
        <w:rPr>
          <w:rFonts w:ascii="宋体" w:hAnsi="宋体" w:cs="宋体"/>
          <w:color w:val="auto"/>
          <w:sz w:val="24"/>
        </w:rPr>
      </w:pPr>
      <w:r>
        <w:rPr>
          <w:rFonts w:hint="eastAsia" w:ascii="宋体" w:hAnsi="宋体" w:cs="宋体"/>
          <w:color w:val="auto"/>
          <w:sz w:val="24"/>
        </w:rPr>
        <w:t>（7）未提供或未如实提供投标货物的技术参数，或者投标文件标明的商务、技术响应与事实不符或虚假投标的；</w:t>
      </w:r>
    </w:p>
    <w:p w14:paraId="499B0302">
      <w:pPr>
        <w:spacing w:line="360" w:lineRule="auto"/>
        <w:ind w:firstLine="422" w:firstLineChars="176"/>
        <w:rPr>
          <w:rFonts w:ascii="宋体" w:hAnsi="宋体" w:cs="宋体"/>
          <w:color w:val="auto"/>
          <w:sz w:val="24"/>
        </w:rPr>
      </w:pPr>
      <w:r>
        <w:rPr>
          <w:rFonts w:hint="eastAsia" w:ascii="宋体" w:hAnsi="宋体" w:cs="宋体"/>
          <w:color w:val="auto"/>
          <w:sz w:val="24"/>
        </w:rPr>
        <w:t>（8）未响应招标文件标注“▲”的实质性要求的；</w:t>
      </w:r>
    </w:p>
    <w:p w14:paraId="5C8E9D2E">
      <w:pPr>
        <w:spacing w:line="360" w:lineRule="auto"/>
        <w:ind w:firstLine="422" w:firstLineChars="176"/>
        <w:rPr>
          <w:rFonts w:ascii="宋体" w:hAnsi="宋体" w:cs="宋体"/>
          <w:color w:val="auto"/>
          <w:sz w:val="24"/>
        </w:rPr>
      </w:pPr>
      <w:r>
        <w:rPr>
          <w:rFonts w:hint="eastAsia" w:ascii="宋体" w:hAnsi="宋体" w:cs="宋体"/>
          <w:color w:val="auto"/>
          <w:sz w:val="24"/>
        </w:rPr>
        <w:t>（9）投标技术方案不明确，存在一个或一个以上备选（替代）投标人案的；</w:t>
      </w:r>
    </w:p>
    <w:p w14:paraId="7112AC57">
      <w:pPr>
        <w:spacing w:line="360" w:lineRule="auto"/>
        <w:ind w:firstLine="422" w:firstLineChars="176"/>
        <w:rPr>
          <w:rFonts w:ascii="宋体" w:hAnsi="宋体" w:cs="宋体"/>
          <w:color w:val="auto"/>
          <w:sz w:val="24"/>
        </w:rPr>
      </w:pPr>
      <w:r>
        <w:rPr>
          <w:rFonts w:hint="eastAsia" w:ascii="宋体" w:hAnsi="宋体" w:cs="宋体"/>
          <w:color w:val="auto"/>
          <w:sz w:val="24"/>
        </w:rPr>
        <w:t>（10）投标文件含有采购人不能接受的附加条件的；</w:t>
      </w:r>
    </w:p>
    <w:p w14:paraId="743D2594">
      <w:pPr>
        <w:spacing w:line="360" w:lineRule="auto"/>
        <w:ind w:firstLine="422" w:firstLineChars="176"/>
        <w:rPr>
          <w:rFonts w:ascii="宋体" w:hAnsi="宋体" w:cs="宋体"/>
          <w:color w:val="auto"/>
          <w:sz w:val="24"/>
        </w:rPr>
      </w:pPr>
      <w:r>
        <w:rPr>
          <w:rFonts w:hint="eastAsia" w:ascii="宋体" w:hAnsi="宋体" w:cs="宋体"/>
          <w:color w:val="auto"/>
          <w:sz w:val="24"/>
        </w:rPr>
        <w:t>（11）不同投标人的投标文件由同一单位或者个人编制的；</w:t>
      </w:r>
    </w:p>
    <w:p w14:paraId="3455A1B7">
      <w:pPr>
        <w:spacing w:line="360" w:lineRule="auto"/>
        <w:ind w:firstLine="422" w:firstLineChars="176"/>
        <w:rPr>
          <w:rFonts w:ascii="宋体" w:hAnsi="宋体" w:cs="宋体"/>
          <w:color w:val="auto"/>
          <w:sz w:val="24"/>
        </w:rPr>
      </w:pPr>
      <w:r>
        <w:rPr>
          <w:rFonts w:hint="eastAsia" w:ascii="宋体" w:hAnsi="宋体" w:cs="宋体"/>
          <w:color w:val="auto"/>
          <w:sz w:val="24"/>
        </w:rPr>
        <w:t>（12）不同投标人委托同一单位或者个人办理投标事宜的；</w:t>
      </w:r>
    </w:p>
    <w:p w14:paraId="41A1D5AA">
      <w:pPr>
        <w:spacing w:line="360" w:lineRule="auto"/>
        <w:ind w:firstLine="422" w:firstLineChars="176"/>
        <w:rPr>
          <w:rFonts w:ascii="宋体" w:hAnsi="宋体" w:cs="宋体"/>
          <w:color w:val="auto"/>
          <w:sz w:val="24"/>
        </w:rPr>
      </w:pPr>
      <w:r>
        <w:rPr>
          <w:rFonts w:hint="eastAsia" w:ascii="宋体" w:hAnsi="宋体" w:cs="宋体"/>
          <w:color w:val="auto"/>
          <w:sz w:val="24"/>
        </w:rPr>
        <w:t>（13）不同投标人的投标文件载明的项目管理成员或者联系人员为同一人的；</w:t>
      </w:r>
    </w:p>
    <w:p w14:paraId="7CEAC1A9">
      <w:pPr>
        <w:spacing w:line="360" w:lineRule="auto"/>
        <w:ind w:firstLine="422" w:firstLineChars="176"/>
        <w:rPr>
          <w:rFonts w:ascii="宋体" w:hAnsi="宋体" w:cs="宋体"/>
          <w:color w:val="auto"/>
          <w:sz w:val="24"/>
        </w:rPr>
      </w:pPr>
      <w:r>
        <w:rPr>
          <w:rFonts w:hint="eastAsia" w:ascii="宋体" w:hAnsi="宋体" w:cs="宋体"/>
          <w:color w:val="auto"/>
          <w:sz w:val="24"/>
        </w:rPr>
        <w:t>（14）不同投标人的投标文件异常一致或者投标报价呈规律性差异的；</w:t>
      </w:r>
    </w:p>
    <w:p w14:paraId="52ECA0E2">
      <w:pPr>
        <w:spacing w:line="360" w:lineRule="auto"/>
        <w:ind w:firstLine="422" w:firstLineChars="176"/>
        <w:rPr>
          <w:rFonts w:ascii="宋体" w:hAnsi="宋体" w:cs="宋体"/>
          <w:color w:val="auto"/>
          <w:sz w:val="24"/>
        </w:rPr>
      </w:pPr>
      <w:r>
        <w:rPr>
          <w:rFonts w:hint="eastAsia" w:ascii="宋体" w:hAnsi="宋体" w:cs="宋体"/>
          <w:color w:val="auto"/>
          <w:sz w:val="24"/>
        </w:rPr>
        <w:t>（15）不同投标人的投标文件相互混装的；</w:t>
      </w:r>
    </w:p>
    <w:p w14:paraId="3F09F986">
      <w:pPr>
        <w:spacing w:line="360" w:lineRule="auto"/>
        <w:ind w:firstLine="422" w:firstLineChars="176"/>
        <w:rPr>
          <w:rFonts w:ascii="宋体" w:hAnsi="宋体" w:cs="宋体"/>
          <w:color w:val="auto"/>
          <w:sz w:val="24"/>
        </w:rPr>
      </w:pPr>
      <w:r>
        <w:rPr>
          <w:rFonts w:hint="eastAsia" w:ascii="宋体" w:hAnsi="宋体" w:cs="宋体"/>
          <w:color w:val="auto"/>
          <w:sz w:val="24"/>
        </w:rPr>
        <w:t xml:space="preserve">（16）不同投标人的招标文件购买费用从同一单位或者个人的账户转出的； </w:t>
      </w:r>
    </w:p>
    <w:p w14:paraId="44C7094A">
      <w:pPr>
        <w:spacing w:line="360" w:lineRule="auto"/>
        <w:ind w:firstLine="422" w:firstLineChars="176"/>
        <w:rPr>
          <w:rFonts w:ascii="宋体" w:hAnsi="宋体" w:cs="宋体"/>
          <w:color w:val="auto"/>
          <w:sz w:val="24"/>
        </w:rPr>
      </w:pPr>
      <w:r>
        <w:rPr>
          <w:rFonts w:hint="eastAsia" w:ascii="宋体" w:hAnsi="宋体" w:cs="宋体"/>
          <w:color w:val="auto"/>
          <w:sz w:val="24"/>
        </w:rPr>
        <w:t>（17）法律、法规和招标文件规定的其他无效情形。</w:t>
      </w:r>
    </w:p>
    <w:p w14:paraId="1FB0B5A8">
      <w:pPr>
        <w:spacing w:line="360" w:lineRule="auto"/>
        <w:ind w:firstLine="422" w:firstLineChars="176"/>
        <w:rPr>
          <w:rFonts w:ascii="宋体" w:hAnsi="宋体" w:cs="宋体"/>
          <w:color w:val="auto"/>
          <w:sz w:val="24"/>
        </w:rPr>
      </w:pPr>
      <w:r>
        <w:rPr>
          <w:rFonts w:hint="eastAsia" w:ascii="宋体" w:hAnsi="宋体" w:cs="宋体"/>
          <w:color w:val="auto"/>
          <w:sz w:val="24"/>
        </w:rPr>
        <w:t>2.2在报价评审时，如发现下列情形之一的，投标将被视为无效：</w:t>
      </w:r>
    </w:p>
    <w:p w14:paraId="5DDAADF0">
      <w:pPr>
        <w:spacing w:line="360" w:lineRule="auto"/>
        <w:ind w:firstLine="422" w:firstLineChars="176"/>
        <w:rPr>
          <w:rFonts w:ascii="宋体" w:hAnsi="宋体" w:cs="宋体"/>
          <w:color w:val="auto"/>
          <w:sz w:val="24"/>
        </w:rPr>
      </w:pPr>
      <w:r>
        <w:rPr>
          <w:rFonts w:hint="eastAsia" w:ascii="宋体" w:hAnsi="宋体" w:cs="宋体"/>
          <w:color w:val="auto"/>
          <w:sz w:val="24"/>
        </w:rPr>
        <w:t>（1）报价超过招标文件中规定的预算金额/最高限价的；</w:t>
      </w:r>
    </w:p>
    <w:p w14:paraId="0EE9522C">
      <w:pPr>
        <w:spacing w:line="360" w:lineRule="auto"/>
        <w:ind w:firstLine="422" w:firstLineChars="176"/>
        <w:rPr>
          <w:rFonts w:ascii="宋体" w:hAnsi="宋体" w:cs="宋体"/>
          <w:color w:val="auto"/>
          <w:sz w:val="24"/>
        </w:rPr>
      </w:pPr>
      <w:r>
        <w:rPr>
          <w:rFonts w:hint="eastAsia" w:ascii="宋体" w:hAnsi="宋体" w:cs="宋体"/>
          <w:color w:val="auto"/>
          <w:sz w:val="24"/>
        </w:rPr>
        <w:t>（2）投标报价具有选择性或未对所投标项内的全部采购内容进行投标；</w:t>
      </w:r>
    </w:p>
    <w:p w14:paraId="4D6CCBE5">
      <w:pPr>
        <w:spacing w:line="360" w:lineRule="auto"/>
        <w:ind w:firstLine="422" w:firstLineChars="176"/>
        <w:rPr>
          <w:rFonts w:ascii="宋体" w:hAnsi="宋体" w:cs="宋体"/>
          <w:color w:val="auto"/>
          <w:sz w:val="24"/>
        </w:rPr>
      </w:pPr>
      <w:r>
        <w:rPr>
          <w:rFonts w:hint="eastAsia" w:ascii="宋体" w:hAnsi="宋体" w:cs="宋体"/>
          <w:color w:val="auto"/>
          <w:sz w:val="24"/>
        </w:rPr>
        <w:t>（3）投标文件中的投标函、开标一览表、投标报价明细表未按招标文件要求签字或盖章的；</w:t>
      </w:r>
    </w:p>
    <w:p w14:paraId="53814180">
      <w:pPr>
        <w:spacing w:line="360" w:lineRule="auto"/>
        <w:ind w:firstLine="422" w:firstLineChars="176"/>
        <w:rPr>
          <w:rFonts w:ascii="宋体" w:hAnsi="宋体" w:cs="宋体"/>
          <w:color w:val="auto"/>
          <w:sz w:val="24"/>
        </w:rPr>
      </w:pPr>
      <w:r>
        <w:rPr>
          <w:rFonts w:hint="eastAsia" w:ascii="宋体" w:hAnsi="宋体" w:cs="宋体"/>
          <w:color w:val="auto"/>
          <w:sz w:val="24"/>
        </w:rPr>
        <w:t xml:space="preserve">（4）不接受按招标文件规定的修正错误原则修正后的报价的； </w:t>
      </w:r>
    </w:p>
    <w:p w14:paraId="269B2114">
      <w:pPr>
        <w:spacing w:line="360" w:lineRule="auto"/>
        <w:ind w:firstLine="422" w:firstLineChars="176"/>
        <w:rPr>
          <w:rFonts w:ascii="宋体" w:hAnsi="宋体" w:cs="宋体"/>
          <w:color w:val="auto"/>
          <w:sz w:val="24"/>
        </w:rPr>
      </w:pPr>
      <w:r>
        <w:rPr>
          <w:rFonts w:hint="eastAsia" w:ascii="宋体" w:hAnsi="宋体" w:cs="宋体"/>
          <w:color w:val="auto"/>
          <w:sz w:val="24"/>
        </w:rPr>
        <w:t>（5）评标委员会认为其报价明显低于其他通过符合性审查投标人的报价，且投标人不能证明其报价合理性，有可能影响产品质量或者不能诚信履约的；</w:t>
      </w:r>
    </w:p>
    <w:p w14:paraId="0F5CD799">
      <w:pPr>
        <w:spacing w:line="360" w:lineRule="auto"/>
        <w:ind w:firstLine="422" w:firstLineChars="176"/>
        <w:rPr>
          <w:color w:val="auto"/>
        </w:rPr>
      </w:pPr>
      <w:r>
        <w:rPr>
          <w:rFonts w:hint="eastAsia" w:ascii="宋体" w:hAnsi="宋体" w:cs="宋体"/>
          <w:color w:val="auto"/>
          <w:sz w:val="24"/>
        </w:rPr>
        <w:t>（6）法律、法规和招标文件规定的其他无效情形。</w:t>
      </w:r>
    </w:p>
    <w:p w14:paraId="19736CE3">
      <w:pPr>
        <w:spacing w:line="360" w:lineRule="auto"/>
        <w:ind w:firstLine="422" w:firstLineChars="175"/>
        <w:jc w:val="left"/>
        <w:outlineLvl w:val="2"/>
        <w:rPr>
          <w:rFonts w:ascii="宋体" w:hAnsi="宋体" w:cs="宋体"/>
          <w:b/>
          <w:color w:val="auto"/>
          <w:sz w:val="24"/>
        </w:rPr>
      </w:pPr>
      <w:r>
        <w:rPr>
          <w:rFonts w:hint="eastAsia" w:ascii="宋体" w:hAnsi="宋体" w:cs="宋体"/>
          <w:b/>
          <w:color w:val="auto"/>
          <w:sz w:val="24"/>
        </w:rPr>
        <w:t>（四）澄清问题的形式</w:t>
      </w:r>
    </w:p>
    <w:p w14:paraId="05664F61">
      <w:pPr>
        <w:spacing w:line="360" w:lineRule="auto"/>
        <w:ind w:firstLine="420" w:firstLineChars="175"/>
        <w:jc w:val="left"/>
        <w:rPr>
          <w:rFonts w:ascii="宋体" w:hAnsi="宋体" w:cs="宋体"/>
          <w:color w:val="auto"/>
          <w:sz w:val="24"/>
        </w:rPr>
      </w:pPr>
      <w:r>
        <w:rPr>
          <w:rFonts w:hint="eastAsia" w:ascii="宋体" w:hAnsi="宋体" w:cs="宋体"/>
          <w:color w:val="auto"/>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1C569290">
      <w:pPr>
        <w:spacing w:line="360" w:lineRule="auto"/>
        <w:ind w:firstLine="422" w:firstLineChars="175"/>
        <w:jc w:val="left"/>
        <w:outlineLvl w:val="2"/>
        <w:rPr>
          <w:rFonts w:ascii="宋体" w:hAnsi="宋体" w:cs="宋体"/>
          <w:b/>
          <w:color w:val="auto"/>
          <w:sz w:val="24"/>
        </w:rPr>
      </w:pPr>
      <w:r>
        <w:rPr>
          <w:rFonts w:hint="eastAsia" w:ascii="宋体" w:hAnsi="宋体" w:cs="宋体"/>
          <w:b/>
          <w:color w:val="auto"/>
          <w:sz w:val="24"/>
        </w:rPr>
        <w:t>（五）错误修正</w:t>
      </w:r>
    </w:p>
    <w:p w14:paraId="0AE432E1">
      <w:pPr>
        <w:spacing w:line="360" w:lineRule="auto"/>
        <w:ind w:firstLine="420" w:firstLineChars="175"/>
        <w:jc w:val="left"/>
        <w:rPr>
          <w:rFonts w:ascii="宋体" w:hAnsi="宋体" w:cs="宋体"/>
          <w:color w:val="auto"/>
          <w:sz w:val="24"/>
        </w:rPr>
      </w:pPr>
      <w:r>
        <w:rPr>
          <w:rFonts w:hint="eastAsia" w:ascii="宋体" w:hAnsi="宋体" w:cs="宋体"/>
          <w:color w:val="auto"/>
          <w:sz w:val="24"/>
        </w:rPr>
        <w:t>投标文件如果出现计算或表达上的错误，修正错误的原则如下：</w:t>
      </w:r>
    </w:p>
    <w:p w14:paraId="25BEB92E">
      <w:pPr>
        <w:spacing w:line="360" w:lineRule="auto"/>
        <w:ind w:firstLine="420" w:firstLineChars="175"/>
        <w:jc w:val="left"/>
        <w:rPr>
          <w:rFonts w:ascii="宋体" w:hAnsi="宋体" w:cs="宋体"/>
          <w:color w:val="auto"/>
          <w:sz w:val="24"/>
        </w:rPr>
      </w:pPr>
      <w:r>
        <w:rPr>
          <w:rFonts w:hint="eastAsia" w:ascii="宋体" w:hAnsi="宋体" w:cs="宋体"/>
          <w:color w:val="auto"/>
          <w:sz w:val="24"/>
        </w:rPr>
        <w:t>1.投标文件中开标一览表内容与投标文件中相应内容不一致的，以开标一览表为准；</w:t>
      </w:r>
    </w:p>
    <w:p w14:paraId="4D52299E">
      <w:pPr>
        <w:spacing w:line="360" w:lineRule="auto"/>
        <w:ind w:firstLine="420" w:firstLineChars="175"/>
        <w:jc w:val="left"/>
        <w:rPr>
          <w:rFonts w:ascii="宋体" w:hAnsi="宋体" w:cs="宋体"/>
          <w:color w:val="auto"/>
          <w:sz w:val="24"/>
        </w:rPr>
      </w:pPr>
      <w:r>
        <w:rPr>
          <w:rFonts w:hint="eastAsia" w:ascii="宋体" w:hAnsi="宋体" w:cs="宋体"/>
          <w:color w:val="auto"/>
          <w:sz w:val="24"/>
        </w:rPr>
        <w:t>2.大写金额和小写金额不一致的，以大写金额为准；</w:t>
      </w:r>
    </w:p>
    <w:p w14:paraId="60F4AE15">
      <w:pPr>
        <w:spacing w:line="360" w:lineRule="auto"/>
        <w:ind w:firstLine="420" w:firstLineChars="175"/>
        <w:jc w:val="left"/>
        <w:rPr>
          <w:rFonts w:ascii="宋体" w:hAnsi="宋体" w:cs="宋体"/>
          <w:color w:val="auto"/>
          <w:sz w:val="24"/>
        </w:rPr>
      </w:pPr>
      <w:r>
        <w:rPr>
          <w:rFonts w:hint="eastAsia" w:ascii="宋体" w:hAnsi="宋体" w:cs="宋体"/>
          <w:color w:val="auto"/>
          <w:sz w:val="24"/>
        </w:rPr>
        <w:t>3.单价金额小数点或者百分比有明显错位的，以开标一览表的总价为准，并修改单价；</w:t>
      </w:r>
    </w:p>
    <w:p w14:paraId="267D3AD3">
      <w:pPr>
        <w:spacing w:line="360" w:lineRule="auto"/>
        <w:ind w:firstLine="420" w:firstLineChars="175"/>
        <w:jc w:val="left"/>
        <w:rPr>
          <w:rFonts w:ascii="宋体" w:hAnsi="宋体" w:cs="宋体"/>
          <w:color w:val="auto"/>
          <w:sz w:val="24"/>
        </w:rPr>
      </w:pPr>
      <w:r>
        <w:rPr>
          <w:rFonts w:hint="eastAsia" w:ascii="宋体" w:hAnsi="宋体" w:cs="宋体"/>
          <w:color w:val="auto"/>
          <w:sz w:val="24"/>
        </w:rPr>
        <w:t>4.总价金额与按单价汇总金额不一致的，以单价金额计算结果为准。</w:t>
      </w:r>
    </w:p>
    <w:p w14:paraId="3BB1FE0B">
      <w:pPr>
        <w:spacing w:line="360" w:lineRule="auto"/>
        <w:ind w:firstLine="420" w:firstLineChars="175"/>
        <w:jc w:val="left"/>
        <w:rPr>
          <w:rFonts w:ascii="宋体" w:hAnsi="宋体" w:cs="宋体"/>
          <w:color w:val="auto"/>
          <w:sz w:val="24"/>
        </w:rPr>
      </w:pPr>
      <w:r>
        <w:rPr>
          <w:rFonts w:hint="eastAsia" w:ascii="宋体" w:hAnsi="宋体" w:cs="宋体"/>
          <w:color w:val="auto"/>
          <w:sz w:val="24"/>
        </w:rPr>
        <w:t>同时出现两种以上不一致的，按照前款规定的顺序修正。评标委员会应当以书面形式要求投标人对修正后的报价予以确认并对投标人产生约束力。投标人不予确认的，其投标无效。</w:t>
      </w:r>
    </w:p>
    <w:p w14:paraId="7EB33543">
      <w:pPr>
        <w:spacing w:line="360" w:lineRule="auto"/>
        <w:ind w:firstLine="422" w:firstLineChars="175"/>
        <w:jc w:val="left"/>
        <w:outlineLvl w:val="2"/>
        <w:rPr>
          <w:rFonts w:ascii="宋体" w:hAnsi="宋体" w:cs="宋体"/>
          <w:b/>
          <w:color w:val="auto"/>
          <w:sz w:val="24"/>
        </w:rPr>
      </w:pPr>
      <w:r>
        <w:rPr>
          <w:rFonts w:hint="eastAsia" w:ascii="宋体" w:hAnsi="宋体" w:cs="宋体"/>
          <w:b/>
          <w:color w:val="auto"/>
          <w:sz w:val="24"/>
        </w:rPr>
        <w:t>（六）评标原则和评标办法</w:t>
      </w:r>
    </w:p>
    <w:p w14:paraId="6ED9CA05">
      <w:pPr>
        <w:spacing w:line="360" w:lineRule="auto"/>
        <w:ind w:firstLine="420" w:firstLineChars="175"/>
        <w:jc w:val="left"/>
        <w:rPr>
          <w:rFonts w:ascii="宋体" w:hAnsi="宋体" w:cs="宋体"/>
          <w:color w:val="auto"/>
          <w:sz w:val="24"/>
        </w:rPr>
      </w:pPr>
      <w:r>
        <w:rPr>
          <w:rFonts w:hint="eastAsia" w:ascii="宋体" w:hAnsi="宋体" w:cs="宋体"/>
          <w:color w:val="auto"/>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2768CAF">
      <w:pPr>
        <w:spacing w:line="360" w:lineRule="auto"/>
        <w:ind w:firstLine="420" w:firstLineChars="175"/>
        <w:jc w:val="left"/>
        <w:rPr>
          <w:rFonts w:ascii="宋体" w:hAnsi="宋体" w:cs="宋体"/>
          <w:color w:val="auto"/>
          <w:sz w:val="24"/>
        </w:rPr>
      </w:pPr>
      <w:r>
        <w:rPr>
          <w:rFonts w:hint="eastAsia" w:ascii="宋体" w:hAnsi="宋体" w:cs="宋体"/>
          <w:color w:val="auto"/>
          <w:sz w:val="24"/>
        </w:rPr>
        <w:t>2.本项目评标办法是综合评分法，具体评标内容及评分标准等详见《第四部分：评标办法》。</w:t>
      </w:r>
    </w:p>
    <w:p w14:paraId="53E33652">
      <w:pPr>
        <w:spacing w:line="360" w:lineRule="auto"/>
        <w:ind w:firstLine="420" w:firstLineChars="175"/>
        <w:jc w:val="left"/>
        <w:rPr>
          <w:rFonts w:ascii="宋体" w:hAnsi="宋体" w:cs="宋体"/>
          <w:color w:val="auto"/>
          <w:sz w:val="24"/>
        </w:rPr>
      </w:pPr>
      <w:r>
        <w:rPr>
          <w:rFonts w:hint="eastAsia" w:ascii="宋体" w:hAnsi="宋体" w:cs="宋体"/>
          <w:color w:val="auto"/>
          <w:kern w:val="0"/>
          <w:sz w:val="24"/>
        </w:rPr>
        <w:t>3.</w:t>
      </w:r>
      <w:r>
        <w:rPr>
          <w:rFonts w:hint="eastAsia" w:ascii="宋体" w:hAnsi="宋体" w:cs="宋体"/>
          <w:color w:val="auto"/>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采取“评审总得分相同的，投标报价低者优先；评审总得分且投标报价相同的，技术分高者优先；评审总得分、投标报价相同且技术分相同的，则采取随机抽取方式”的原则确定一个投标人获得中标人推荐资格，其他同品牌投标人不作为中标候选人。</w:t>
      </w:r>
    </w:p>
    <w:p w14:paraId="7E0C4A89">
      <w:pPr>
        <w:spacing w:line="360" w:lineRule="auto"/>
        <w:ind w:firstLine="420" w:firstLineChars="175"/>
        <w:jc w:val="left"/>
        <w:rPr>
          <w:rFonts w:hAnsi="宋体" w:cs="宋体"/>
          <w:b/>
          <w:color w:val="auto"/>
          <w:sz w:val="28"/>
          <w:szCs w:val="28"/>
        </w:rPr>
      </w:pPr>
      <w:r>
        <w:rPr>
          <w:rFonts w:hint="eastAsia" w:ascii="宋体" w:hAnsi="宋体" w:cs="宋体"/>
          <w:color w:val="auto"/>
          <w:sz w:val="24"/>
        </w:rPr>
        <w:t>多家投标人提供的核心产品品牌相同的，按前款规定处理。</w:t>
      </w:r>
      <w:bookmarkStart w:id="7" w:name="_Toc9624380"/>
    </w:p>
    <w:p w14:paraId="375BCF02">
      <w:pPr>
        <w:pStyle w:val="17"/>
        <w:snapToGrid w:val="0"/>
        <w:spacing w:beforeLines="0" w:afterLines="0" w:line="360" w:lineRule="auto"/>
        <w:jc w:val="center"/>
        <w:outlineLvl w:val="1"/>
        <w:rPr>
          <w:rFonts w:hAnsi="宋体" w:cs="宋体"/>
          <w:b/>
          <w:color w:val="auto"/>
          <w:sz w:val="28"/>
          <w:szCs w:val="28"/>
        </w:rPr>
      </w:pPr>
      <w:r>
        <w:rPr>
          <w:rFonts w:hint="eastAsia" w:hAnsi="宋体" w:cs="宋体"/>
          <w:b/>
          <w:color w:val="auto"/>
          <w:sz w:val="28"/>
          <w:szCs w:val="28"/>
        </w:rPr>
        <w:t>六、定标</w:t>
      </w:r>
      <w:bookmarkEnd w:id="7"/>
    </w:p>
    <w:p w14:paraId="26C17088">
      <w:pPr>
        <w:spacing w:line="360" w:lineRule="auto"/>
        <w:ind w:firstLine="424" w:firstLineChars="176"/>
        <w:jc w:val="left"/>
        <w:outlineLvl w:val="2"/>
        <w:rPr>
          <w:rFonts w:ascii="宋体" w:hAnsi="宋体" w:cs="宋体"/>
          <w:b/>
          <w:bCs/>
          <w:color w:val="auto"/>
          <w:sz w:val="24"/>
        </w:rPr>
      </w:pPr>
      <w:r>
        <w:rPr>
          <w:rFonts w:hint="eastAsia" w:ascii="宋体" w:hAnsi="宋体" w:cs="宋体"/>
          <w:b/>
          <w:bCs/>
          <w:color w:val="auto"/>
          <w:sz w:val="24"/>
        </w:rPr>
        <w:t>（一）确定中标人</w:t>
      </w:r>
    </w:p>
    <w:p w14:paraId="5F5AE978">
      <w:pPr>
        <w:spacing w:line="360" w:lineRule="auto"/>
        <w:ind w:firstLine="456" w:firstLineChars="200"/>
        <w:jc w:val="left"/>
        <w:rPr>
          <w:rFonts w:ascii="宋体" w:hAnsi="宋体" w:cs="宋体"/>
          <w:color w:val="auto"/>
          <w:spacing w:val="-6"/>
          <w:sz w:val="24"/>
        </w:rPr>
      </w:pPr>
      <w:r>
        <w:rPr>
          <w:rFonts w:hint="eastAsia" w:ascii="宋体" w:hAnsi="宋体" w:cs="宋体"/>
          <w:color w:val="auto"/>
          <w:spacing w:val="-6"/>
          <w:sz w:val="24"/>
        </w:rPr>
        <w:t>1.本项目由评标委员会推荐中标候选人，采购结果由采购人确认。</w:t>
      </w:r>
    </w:p>
    <w:p w14:paraId="78750316">
      <w:pPr>
        <w:spacing w:line="360" w:lineRule="auto"/>
        <w:ind w:firstLine="422" w:firstLineChars="176"/>
        <w:jc w:val="left"/>
        <w:rPr>
          <w:rFonts w:hAnsi="宋体" w:cs="宋体"/>
          <w:b/>
          <w:color w:val="auto"/>
          <w:sz w:val="28"/>
          <w:szCs w:val="28"/>
        </w:rPr>
      </w:pPr>
      <w:r>
        <w:rPr>
          <w:rFonts w:hint="eastAsia" w:ascii="宋体" w:hAnsi="宋体" w:cs="宋体"/>
          <w:color w:val="auto"/>
          <w:sz w:val="24"/>
        </w:rPr>
        <w:t>2.采购人依法确定中标人后2个工作日内，采购代理机构以书面形式发出《中标通知书》,并同时在公告媒体上发布中标公告。</w:t>
      </w:r>
    </w:p>
    <w:p w14:paraId="64882F4E">
      <w:pPr>
        <w:pStyle w:val="17"/>
        <w:snapToGrid w:val="0"/>
        <w:spacing w:beforeLines="0" w:afterLines="0" w:line="360" w:lineRule="auto"/>
        <w:jc w:val="center"/>
        <w:outlineLvl w:val="1"/>
        <w:rPr>
          <w:rFonts w:hAnsi="宋体" w:cs="宋体"/>
          <w:b/>
          <w:color w:val="auto"/>
          <w:sz w:val="28"/>
          <w:szCs w:val="28"/>
        </w:rPr>
      </w:pPr>
      <w:r>
        <w:rPr>
          <w:rFonts w:hint="eastAsia" w:hAnsi="宋体" w:cs="宋体"/>
          <w:b/>
          <w:color w:val="auto"/>
          <w:sz w:val="28"/>
          <w:szCs w:val="28"/>
        </w:rPr>
        <w:t>七、合同授予</w:t>
      </w:r>
    </w:p>
    <w:p w14:paraId="24EE4026">
      <w:pPr>
        <w:spacing w:line="360" w:lineRule="auto"/>
        <w:ind w:firstLine="422" w:firstLineChars="175"/>
        <w:jc w:val="left"/>
        <w:outlineLvl w:val="2"/>
        <w:rPr>
          <w:rFonts w:ascii="宋体" w:hAnsi="宋体" w:cs="宋体"/>
          <w:b/>
          <w:bCs/>
          <w:color w:val="auto"/>
          <w:sz w:val="24"/>
        </w:rPr>
      </w:pPr>
      <w:r>
        <w:rPr>
          <w:rFonts w:hint="eastAsia" w:ascii="宋体" w:hAnsi="宋体" w:cs="宋体"/>
          <w:b/>
          <w:bCs/>
          <w:color w:val="auto"/>
          <w:sz w:val="24"/>
        </w:rPr>
        <w:t>（一）签订合同</w:t>
      </w:r>
    </w:p>
    <w:p w14:paraId="156D7EBA">
      <w:pPr>
        <w:spacing w:line="360" w:lineRule="auto"/>
        <w:ind w:firstLine="420" w:firstLineChars="175"/>
        <w:jc w:val="left"/>
        <w:rPr>
          <w:rFonts w:ascii="宋体" w:hAnsi="宋体" w:cs="宋体"/>
          <w:color w:val="auto"/>
          <w:sz w:val="24"/>
        </w:rPr>
      </w:pPr>
      <w:r>
        <w:rPr>
          <w:rFonts w:hint="eastAsia" w:ascii="宋体" w:hAnsi="宋体" w:cs="宋体"/>
          <w:color w:val="auto"/>
          <w:sz w:val="24"/>
        </w:rPr>
        <w:t>1.采购人与中标人应当在《中标通知书》发出之日起30日内签订政府采购合同。</w:t>
      </w:r>
    </w:p>
    <w:p w14:paraId="797E4351">
      <w:pPr>
        <w:spacing w:line="360" w:lineRule="auto"/>
        <w:ind w:firstLine="420" w:firstLineChars="175"/>
        <w:jc w:val="left"/>
        <w:rPr>
          <w:rFonts w:ascii="宋体" w:hAnsi="宋体" w:cs="宋体"/>
          <w:color w:val="auto"/>
          <w:sz w:val="24"/>
        </w:rPr>
      </w:pPr>
      <w:r>
        <w:rPr>
          <w:rFonts w:hint="eastAsia" w:ascii="宋体" w:hAnsi="宋体" w:cs="宋体"/>
          <w:color w:val="auto"/>
          <w:sz w:val="24"/>
        </w:rPr>
        <w:t>2.中标人拖延、拒签合同的,将被取消中标资格。</w:t>
      </w:r>
    </w:p>
    <w:p w14:paraId="24245525">
      <w:pPr>
        <w:spacing w:line="360" w:lineRule="auto"/>
        <w:ind w:firstLine="422" w:firstLineChars="175"/>
        <w:jc w:val="left"/>
        <w:outlineLvl w:val="2"/>
        <w:rPr>
          <w:rFonts w:ascii="宋体" w:hAnsi="宋体" w:cs="宋体"/>
          <w:b/>
          <w:color w:val="auto"/>
          <w:sz w:val="24"/>
        </w:rPr>
      </w:pPr>
      <w:r>
        <w:rPr>
          <w:rFonts w:hint="eastAsia" w:ascii="宋体" w:hAnsi="宋体" w:cs="宋体"/>
          <w:b/>
          <w:color w:val="auto"/>
          <w:sz w:val="24"/>
        </w:rPr>
        <w:t>（二）履约保证金</w:t>
      </w:r>
    </w:p>
    <w:p w14:paraId="196EF3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rPr>
      </w:pPr>
      <w:r>
        <w:rPr>
          <w:rFonts w:ascii="宋体" w:hAnsi="宋体" w:cs="宋体"/>
          <w:color w:val="auto"/>
          <w:sz w:val="24"/>
          <w:shd w:val="clear" w:color="auto" w:fill="FFFFFF"/>
        </w:rPr>
        <w:t>中标人应按《</w:t>
      </w:r>
      <w:r>
        <w:rPr>
          <w:rFonts w:hint="eastAsia" w:ascii="宋体" w:hAnsi="宋体" w:cs="宋体"/>
          <w:color w:val="auto"/>
          <w:sz w:val="24"/>
          <w:shd w:val="clear" w:color="auto" w:fill="FFFFFF"/>
        </w:rPr>
        <w:t>第三部分</w:t>
      </w:r>
      <w:r>
        <w:rPr>
          <w:rFonts w:ascii="宋体" w:hAnsi="宋体" w:cs="宋体"/>
          <w:color w:val="auto"/>
          <w:sz w:val="24"/>
          <w:shd w:val="clear" w:color="auto" w:fill="FFFFFF"/>
        </w:rPr>
        <w:t xml:space="preserve">  </w:t>
      </w:r>
      <w:r>
        <w:rPr>
          <w:rFonts w:hint="eastAsia" w:ascii="宋体" w:hAnsi="宋体" w:cs="宋体"/>
          <w:color w:val="auto"/>
          <w:sz w:val="24"/>
          <w:shd w:val="clear" w:color="auto" w:fill="FFFFFF"/>
        </w:rPr>
        <w:t>采购需求</w:t>
      </w:r>
      <w:r>
        <w:rPr>
          <w:rFonts w:ascii="宋体" w:hAnsi="宋体" w:cs="宋体"/>
          <w:color w:val="auto"/>
          <w:sz w:val="24"/>
          <w:shd w:val="clear" w:color="auto" w:fill="FFFFFF"/>
        </w:rPr>
        <w:t>》</w:t>
      </w:r>
      <w:r>
        <w:rPr>
          <w:rFonts w:hint="eastAsia"/>
          <w:bCs/>
          <w:color w:val="auto"/>
          <w:sz w:val="24"/>
        </w:rPr>
        <w:t>◆</w:t>
      </w:r>
      <w:r>
        <w:rPr>
          <w:rFonts w:hint="eastAsia" w:ascii="宋体" w:hAnsi="宋体" w:cs="宋体"/>
          <w:color w:val="auto"/>
          <w:sz w:val="24"/>
        </w:rPr>
        <w:t>商务要求中的“履约保证金”条款要求</w:t>
      </w:r>
      <w:r>
        <w:rPr>
          <w:rFonts w:ascii="宋体" w:hAnsi="宋体" w:cs="宋体"/>
          <w:color w:val="auto"/>
          <w:sz w:val="24"/>
          <w:shd w:val="clear" w:color="auto" w:fill="FFFFFF"/>
        </w:rPr>
        <w:t>向采购人支付履约保证金</w:t>
      </w:r>
      <w:r>
        <w:rPr>
          <w:rFonts w:hint="eastAsia" w:ascii="宋体" w:hAnsi="宋体" w:cs="宋体"/>
          <w:color w:val="auto"/>
          <w:sz w:val="24"/>
          <w:szCs w:val="28"/>
          <w:lang w:val="zh-CN"/>
        </w:rPr>
        <w:t>。</w:t>
      </w:r>
    </w:p>
    <w:p w14:paraId="50E1EE39">
      <w:pPr>
        <w:pStyle w:val="17"/>
        <w:snapToGrid w:val="0"/>
        <w:spacing w:beforeLines="0" w:afterLines="0" w:line="360" w:lineRule="auto"/>
        <w:jc w:val="center"/>
        <w:outlineLvl w:val="1"/>
        <w:rPr>
          <w:rFonts w:hAnsi="宋体" w:cs="宋体"/>
          <w:b/>
          <w:color w:val="auto"/>
          <w:sz w:val="28"/>
          <w:szCs w:val="28"/>
        </w:rPr>
      </w:pPr>
      <w:r>
        <w:rPr>
          <w:rFonts w:hint="eastAsia" w:hAnsi="宋体" w:cs="宋体"/>
          <w:b/>
          <w:color w:val="auto"/>
          <w:sz w:val="28"/>
          <w:szCs w:val="28"/>
        </w:rPr>
        <w:t>八、其他</w:t>
      </w:r>
    </w:p>
    <w:p w14:paraId="692A7A9E">
      <w:pPr>
        <w:spacing w:line="360" w:lineRule="auto"/>
        <w:ind w:firstLine="458" w:firstLineChars="200"/>
        <w:jc w:val="left"/>
        <w:rPr>
          <w:rFonts w:ascii="宋体" w:hAnsi="宋体" w:cs="宋体"/>
          <w:b/>
          <w:color w:val="auto"/>
          <w:spacing w:val="-6"/>
          <w:sz w:val="24"/>
        </w:rPr>
      </w:pPr>
      <w:r>
        <w:rPr>
          <w:rFonts w:hint="eastAsia" w:ascii="宋体" w:hAnsi="宋体" w:cs="宋体"/>
          <w:b/>
          <w:color w:val="auto"/>
          <w:spacing w:val="-6"/>
          <w:sz w:val="24"/>
        </w:rPr>
        <w:t>（一）采购代理服务费</w:t>
      </w:r>
    </w:p>
    <w:p w14:paraId="28F546A2">
      <w:pPr>
        <w:spacing w:line="360" w:lineRule="auto"/>
        <w:ind w:firstLine="422" w:firstLineChars="176"/>
        <w:rPr>
          <w:rFonts w:ascii="宋体" w:hAnsi="宋体" w:cs="宋体"/>
          <w:color w:val="auto"/>
          <w:sz w:val="24"/>
        </w:rPr>
      </w:pPr>
      <w:r>
        <w:rPr>
          <w:rFonts w:hint="eastAsia" w:ascii="宋体" w:hAnsi="宋体" w:cs="宋体"/>
          <w:color w:val="auto"/>
          <w:sz w:val="24"/>
        </w:rPr>
        <w:t>由中标人支付。收费标准及支付方式详见《前附表》。</w:t>
      </w:r>
    </w:p>
    <w:p w14:paraId="302DFCD3">
      <w:pPr>
        <w:spacing w:line="360" w:lineRule="auto"/>
        <w:ind w:firstLine="424" w:firstLineChars="176"/>
        <w:rPr>
          <w:rFonts w:ascii="宋体" w:hAnsi="宋体" w:cs="宋体"/>
          <w:b/>
          <w:bCs/>
          <w:color w:val="auto"/>
          <w:sz w:val="24"/>
        </w:rPr>
      </w:pPr>
      <w:bookmarkStart w:id="8" w:name="_Toc32093"/>
      <w:r>
        <w:rPr>
          <w:rFonts w:hint="eastAsia" w:ascii="宋体" w:hAnsi="宋体" w:cs="宋体"/>
          <w:b/>
          <w:bCs/>
          <w:color w:val="auto"/>
          <w:sz w:val="24"/>
        </w:rPr>
        <w:t>（二）人员回避</w:t>
      </w:r>
    </w:p>
    <w:p w14:paraId="64B3329F">
      <w:pPr>
        <w:spacing w:line="360" w:lineRule="auto"/>
        <w:ind w:firstLine="422" w:firstLineChars="176"/>
        <w:rPr>
          <w:rFonts w:ascii="宋体" w:hAnsi="宋体" w:cs="宋体"/>
          <w:color w:val="auto"/>
          <w:sz w:val="24"/>
        </w:rPr>
      </w:pPr>
      <w:r>
        <w:rPr>
          <w:rFonts w:hint="eastAsia" w:ascii="宋体" w:hAnsi="宋体" w:cs="宋体"/>
          <w:color w:val="auto"/>
          <w:sz w:val="24"/>
        </w:rPr>
        <w:t>投标人认为招标人及其相关人员有法律法规所列与其他投标人有利害关系的，可以向招标人或采购代理机构书面提出回避申请，并说明理由。</w:t>
      </w:r>
    </w:p>
    <w:p w14:paraId="25AEFAAF">
      <w:pPr>
        <w:spacing w:line="360" w:lineRule="auto"/>
        <w:ind w:firstLine="424" w:firstLineChars="176"/>
        <w:rPr>
          <w:rFonts w:ascii="宋体" w:hAnsi="宋体" w:cs="宋体"/>
          <w:color w:val="auto"/>
          <w:sz w:val="24"/>
        </w:rPr>
      </w:pPr>
      <w:r>
        <w:rPr>
          <w:rFonts w:hint="eastAsia" w:ascii="宋体" w:hAnsi="宋体" w:cs="宋体"/>
          <w:b/>
          <w:bCs/>
          <w:color w:val="auto"/>
          <w:sz w:val="24"/>
        </w:rPr>
        <w:t>（三）履约验收</w:t>
      </w:r>
    </w:p>
    <w:p w14:paraId="45B4FD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color w:val="auto"/>
          <w:sz w:val="24"/>
          <w:szCs w:val="24"/>
        </w:rPr>
      </w:pPr>
      <w:r>
        <w:rPr>
          <w:rFonts w:hint="eastAsia" w:ascii="宋体" w:hAnsi="宋体" w:cs="宋体"/>
          <w:color w:val="auto"/>
          <w:sz w:val="24"/>
          <w:szCs w:val="24"/>
        </w:rPr>
        <w:t>本项目将严格按照政府采购相关法律法规、行业管理规定的要求</w:t>
      </w:r>
      <w:r>
        <w:rPr>
          <w:rFonts w:hint="eastAsia" w:ascii="宋体" w:hAnsi="宋体" w:cs="宋体"/>
          <w:color w:val="auto"/>
          <w:sz w:val="24"/>
          <w:szCs w:val="24"/>
          <w:lang w:val="en-US" w:eastAsia="zh-CN"/>
        </w:rPr>
        <w:t>以及《浙江省消防救援总队关于印发浙江省消防救援队伍灭火救援装备验收管理规定（试行）的通知》的要求进行验收。若嘉兴市消防救援支队新颁布验收管理规定，则按嘉兴市消防救援支队的验收管理规定执行。</w:t>
      </w:r>
    </w:p>
    <w:p w14:paraId="5F5AD2FD">
      <w:pPr>
        <w:jc w:val="left"/>
        <w:rPr>
          <w:rFonts w:ascii="宋体" w:hAnsi="宋体" w:cs="宋体"/>
          <w:b/>
          <w:color w:val="auto"/>
          <w:sz w:val="32"/>
          <w:szCs w:val="32"/>
        </w:rPr>
      </w:pPr>
    </w:p>
    <w:p w14:paraId="15F3F498">
      <w:pPr>
        <w:jc w:val="left"/>
        <w:rPr>
          <w:rFonts w:ascii="宋体" w:hAnsi="宋体" w:cs="宋体"/>
          <w:b/>
          <w:color w:val="auto"/>
          <w:sz w:val="32"/>
          <w:szCs w:val="32"/>
        </w:rPr>
      </w:pPr>
      <w:r>
        <w:rPr>
          <w:rFonts w:hint="eastAsia" w:ascii="宋体" w:hAnsi="宋体" w:cs="宋体"/>
          <w:b/>
          <w:color w:val="auto"/>
          <w:sz w:val="32"/>
          <w:szCs w:val="32"/>
        </w:rPr>
        <w:br w:type="page"/>
      </w:r>
    </w:p>
    <w:p w14:paraId="46131516">
      <w:pPr>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第三部分  采购需求</w:t>
      </w:r>
      <w:bookmarkEnd w:id="8"/>
    </w:p>
    <w:p w14:paraId="2740C6CB">
      <w:pPr>
        <w:rPr>
          <w:rFonts w:hint="eastAsia" w:ascii="宋体" w:hAnsi="宋体" w:cs="宋体"/>
          <w:b/>
          <w:sz w:val="24"/>
        </w:rPr>
      </w:pPr>
      <w:bookmarkStart w:id="9" w:name="_Hlk99005394"/>
    </w:p>
    <w:p w14:paraId="68987C65">
      <w:pPr>
        <w:rPr>
          <w:rFonts w:hint="eastAsia" w:ascii="宋体" w:hAnsi="宋体" w:cs="宋体"/>
          <w:b/>
          <w:bCs/>
          <w:color w:val="auto"/>
          <w:sz w:val="24"/>
        </w:rPr>
      </w:pPr>
      <w:r>
        <w:rPr>
          <w:rFonts w:hint="eastAsia" w:ascii="宋体" w:hAnsi="宋体" w:cs="宋体"/>
          <w:b/>
          <w:sz w:val="24"/>
        </w:rPr>
        <w:t>一、采购清单及技术参数等要求：</w:t>
      </w:r>
    </w:p>
    <w:p w14:paraId="42577FF8">
      <w:pPr>
        <w:widowControl/>
        <w:spacing w:line="360" w:lineRule="auto"/>
        <w:jc w:val="left"/>
        <w:rPr>
          <w:rFonts w:ascii="宋体" w:hAnsi="宋体" w:cs="宋体"/>
          <w:b/>
          <w:bCs/>
          <w:color w:val="FF0000"/>
          <w:sz w:val="24"/>
        </w:rPr>
      </w:pPr>
      <w:r>
        <w:rPr>
          <w:rFonts w:hint="eastAsia" w:ascii="宋体" w:hAnsi="宋体" w:cs="宋体"/>
          <w:b/>
          <w:bCs/>
          <w:color w:val="auto"/>
          <w:sz w:val="24"/>
        </w:rPr>
        <w:t>（一）采购清单（标‘●’为核心产品</w:t>
      </w:r>
      <w:r>
        <w:rPr>
          <w:rFonts w:hint="eastAsia" w:ascii="宋体" w:hAnsi="宋体" w:cs="宋体"/>
          <w:b/>
          <w:bCs/>
          <w:color w:val="auto"/>
          <w:sz w:val="24"/>
          <w:lang w:eastAsia="zh-CN"/>
        </w:rPr>
        <w:t>。</w:t>
      </w:r>
      <w:r>
        <w:rPr>
          <w:rFonts w:hint="eastAsia" w:ascii="宋体" w:hAnsi="宋体" w:cs="宋体"/>
          <w:b/>
          <w:bCs/>
          <w:color w:val="auto"/>
          <w:sz w:val="24"/>
        </w:rPr>
        <w:t>标‘■’为列入强制性认证产品目录中的产品）</w:t>
      </w:r>
    </w:p>
    <w:tbl>
      <w:tblPr>
        <w:tblStyle w:val="34"/>
        <w:tblW w:w="54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879"/>
        <w:gridCol w:w="2664"/>
        <w:gridCol w:w="906"/>
        <w:gridCol w:w="1104"/>
        <w:gridCol w:w="1092"/>
        <w:gridCol w:w="1092"/>
      </w:tblGrid>
      <w:tr w14:paraId="21EE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9" w:type="pct"/>
            <w:tcBorders>
              <w:tl2br w:val="nil"/>
              <w:tr2bl w:val="nil"/>
            </w:tcBorders>
            <w:noWrap/>
            <w:vAlign w:val="center"/>
          </w:tcPr>
          <w:p w14:paraId="480CD6A3">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标项</w:t>
            </w:r>
          </w:p>
        </w:tc>
        <w:tc>
          <w:tcPr>
            <w:tcW w:w="1002" w:type="pct"/>
            <w:tcBorders>
              <w:tl2br w:val="nil"/>
              <w:tr2bl w:val="nil"/>
            </w:tcBorders>
            <w:noWrap/>
            <w:vAlign w:val="center"/>
          </w:tcPr>
          <w:p w14:paraId="471947CC">
            <w:pPr>
              <w:widowControl/>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rPr>
              <w:t>标项名称</w:t>
            </w:r>
          </w:p>
        </w:tc>
        <w:tc>
          <w:tcPr>
            <w:tcW w:w="1421" w:type="pct"/>
            <w:tcBorders>
              <w:tl2br w:val="nil"/>
              <w:tr2bl w:val="nil"/>
            </w:tcBorders>
            <w:noWrap/>
            <w:vAlign w:val="center"/>
          </w:tcPr>
          <w:p w14:paraId="4B64B974">
            <w:pPr>
              <w:widowControl/>
              <w:jc w:val="center"/>
              <w:textAlignment w:val="center"/>
              <w:rPr>
                <w:rFonts w:ascii="宋体" w:hAnsi="宋体" w:cs="宋体"/>
                <w:b/>
                <w:bCs/>
                <w:color w:val="auto"/>
                <w:szCs w:val="21"/>
              </w:rPr>
            </w:pPr>
            <w:r>
              <w:rPr>
                <w:rFonts w:hint="eastAsia" w:ascii="宋体" w:hAnsi="宋体" w:cs="宋体"/>
                <w:b/>
                <w:bCs/>
                <w:color w:val="auto"/>
                <w:kern w:val="0"/>
                <w:szCs w:val="21"/>
                <w:lang w:val="en-US" w:eastAsia="zh-CN"/>
              </w:rPr>
              <w:t>货物</w:t>
            </w:r>
            <w:r>
              <w:rPr>
                <w:rFonts w:hint="eastAsia" w:ascii="宋体" w:hAnsi="宋体" w:cs="宋体"/>
                <w:b/>
                <w:bCs/>
                <w:color w:val="auto"/>
                <w:kern w:val="0"/>
                <w:szCs w:val="21"/>
              </w:rPr>
              <w:t>名称</w:t>
            </w:r>
          </w:p>
        </w:tc>
        <w:tc>
          <w:tcPr>
            <w:tcW w:w="483" w:type="pct"/>
            <w:tcBorders>
              <w:tl2br w:val="nil"/>
              <w:tr2bl w:val="nil"/>
            </w:tcBorders>
            <w:noWrap/>
            <w:vAlign w:val="center"/>
          </w:tcPr>
          <w:p w14:paraId="4C5A4DC2">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数量</w:t>
            </w:r>
          </w:p>
        </w:tc>
        <w:tc>
          <w:tcPr>
            <w:tcW w:w="588" w:type="pct"/>
            <w:tcBorders>
              <w:tl2br w:val="nil"/>
              <w:tr2bl w:val="nil"/>
            </w:tcBorders>
            <w:noWrap/>
            <w:vAlign w:val="center"/>
          </w:tcPr>
          <w:p w14:paraId="7C98B311">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单价</w:t>
            </w:r>
          </w:p>
          <w:p w14:paraId="7515E608">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最高限价</w:t>
            </w:r>
          </w:p>
          <w:p w14:paraId="5BB610A7">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rPr>
              <w:t>（万元）</w:t>
            </w:r>
          </w:p>
        </w:tc>
        <w:tc>
          <w:tcPr>
            <w:tcW w:w="582" w:type="pct"/>
            <w:tcBorders>
              <w:tl2br w:val="nil"/>
              <w:tr2bl w:val="nil"/>
            </w:tcBorders>
            <w:noWrap/>
            <w:vAlign w:val="center"/>
          </w:tcPr>
          <w:p w14:paraId="7C9FCD0B">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分项</w:t>
            </w:r>
          </w:p>
          <w:p w14:paraId="11EE0643">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最高限价</w:t>
            </w:r>
          </w:p>
          <w:p w14:paraId="114A3C24">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rPr>
              <w:t>（万元）</w:t>
            </w:r>
          </w:p>
        </w:tc>
        <w:tc>
          <w:tcPr>
            <w:tcW w:w="582" w:type="pct"/>
            <w:tcBorders>
              <w:tl2br w:val="nil"/>
              <w:tr2bl w:val="nil"/>
            </w:tcBorders>
            <w:noWrap/>
            <w:vAlign w:val="center"/>
          </w:tcPr>
          <w:p w14:paraId="19F01EA5">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标项合计</w:t>
            </w:r>
          </w:p>
          <w:p w14:paraId="4ADCE111">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最高限价</w:t>
            </w:r>
          </w:p>
          <w:p w14:paraId="47A7176F">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rPr>
              <w:t>（万元）</w:t>
            </w:r>
          </w:p>
        </w:tc>
      </w:tr>
      <w:tr w14:paraId="1AA4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tcBorders>
              <w:tl2br w:val="nil"/>
              <w:tr2bl w:val="nil"/>
            </w:tcBorders>
            <w:noWrap/>
            <w:vAlign w:val="center"/>
          </w:tcPr>
          <w:p w14:paraId="109D382F">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1002" w:type="pct"/>
            <w:tcBorders>
              <w:tl2br w:val="nil"/>
              <w:tr2bl w:val="nil"/>
            </w:tcBorders>
            <w:noWrap/>
            <w:vAlign w:val="center"/>
          </w:tcPr>
          <w:p w14:paraId="366A3D36">
            <w:pPr>
              <w:rPr>
                <w:rFonts w:hint="eastAsia" w:ascii="宋体" w:hAnsi="宋体" w:cs="宋体"/>
                <w:color w:val="auto"/>
                <w:szCs w:val="21"/>
                <w:shd w:val="clear" w:color="auto" w:fill="FFFFFF" w:themeFill="background1"/>
              </w:rPr>
            </w:pPr>
            <w:r>
              <w:rPr>
                <w:rFonts w:hint="eastAsia" w:ascii="宋体" w:hAnsi="宋体"/>
                <w:color w:val="auto"/>
                <w:szCs w:val="21"/>
              </w:rPr>
              <w:t>救生照明线</w:t>
            </w:r>
          </w:p>
        </w:tc>
        <w:tc>
          <w:tcPr>
            <w:tcW w:w="1421" w:type="pct"/>
            <w:tcBorders>
              <w:tl2br w:val="nil"/>
              <w:tr2bl w:val="nil"/>
            </w:tcBorders>
            <w:noWrap/>
            <w:vAlign w:val="center"/>
          </w:tcPr>
          <w:p w14:paraId="64849665">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救生照明线</w:t>
            </w:r>
          </w:p>
        </w:tc>
        <w:tc>
          <w:tcPr>
            <w:tcW w:w="483" w:type="pct"/>
            <w:tcBorders>
              <w:tl2br w:val="nil"/>
              <w:tr2bl w:val="nil"/>
            </w:tcBorders>
            <w:noWrap/>
            <w:vAlign w:val="center"/>
          </w:tcPr>
          <w:p w14:paraId="102B4885">
            <w:pPr>
              <w:jc w:val="center"/>
              <w:rPr>
                <w:rFonts w:hint="eastAsia" w:ascii="宋体" w:hAnsi="宋体" w:eastAsia="宋体" w:cs="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6</w:t>
            </w:r>
          </w:p>
        </w:tc>
        <w:tc>
          <w:tcPr>
            <w:tcW w:w="588" w:type="pct"/>
            <w:tcBorders>
              <w:tl2br w:val="nil"/>
              <w:tr2bl w:val="nil"/>
            </w:tcBorders>
            <w:noWrap/>
            <w:vAlign w:val="center"/>
          </w:tcPr>
          <w:p w14:paraId="27B13D4D">
            <w:pPr>
              <w:widowControl/>
              <w:jc w:val="center"/>
              <w:textAlignment w:val="center"/>
              <w:rPr>
                <w:rFonts w:hint="default" w:ascii="宋体" w:hAnsi="宋体" w:eastAsia="宋体" w:cs="宋体"/>
                <w:color w:val="auto"/>
                <w:szCs w:val="21"/>
                <w:lang w:val="en-US" w:eastAsia="zh-CN"/>
              </w:rPr>
            </w:pPr>
            <w:r>
              <w:rPr>
                <w:rFonts w:hint="eastAsia" w:ascii="宋体" w:hAnsi="宋体" w:cs="宋体"/>
                <w:color w:val="auto"/>
                <w:kern w:val="0"/>
                <w:szCs w:val="21"/>
                <w:lang w:val="en-US" w:eastAsia="zh-CN"/>
              </w:rPr>
              <w:t>1.8</w:t>
            </w:r>
          </w:p>
        </w:tc>
        <w:tc>
          <w:tcPr>
            <w:tcW w:w="582" w:type="pct"/>
            <w:tcBorders>
              <w:tl2br w:val="nil"/>
              <w:tr2bl w:val="nil"/>
            </w:tcBorders>
            <w:noWrap/>
            <w:vAlign w:val="center"/>
          </w:tcPr>
          <w:p w14:paraId="340D2916">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28.8</w:t>
            </w:r>
          </w:p>
        </w:tc>
        <w:tc>
          <w:tcPr>
            <w:tcW w:w="582" w:type="pct"/>
            <w:tcBorders>
              <w:tl2br w:val="nil"/>
              <w:tr2bl w:val="nil"/>
            </w:tcBorders>
            <w:noWrap/>
            <w:vAlign w:val="center"/>
          </w:tcPr>
          <w:p w14:paraId="08BFD98E">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28.8</w:t>
            </w:r>
          </w:p>
        </w:tc>
      </w:tr>
      <w:tr w14:paraId="5DF0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restart"/>
            <w:tcBorders>
              <w:tl2br w:val="nil"/>
              <w:tr2bl w:val="nil"/>
            </w:tcBorders>
            <w:noWrap/>
            <w:vAlign w:val="center"/>
          </w:tcPr>
          <w:p w14:paraId="53DC60D3">
            <w:pPr>
              <w:jc w:val="center"/>
              <w:rPr>
                <w:rFonts w:ascii="宋体" w:hAnsi="宋体" w:cs="宋体"/>
                <w:color w:val="auto"/>
                <w:szCs w:val="21"/>
              </w:rPr>
            </w:pPr>
            <w:r>
              <w:rPr>
                <w:rFonts w:hint="eastAsia" w:ascii="宋体" w:hAnsi="宋体" w:cs="宋体"/>
                <w:color w:val="auto"/>
                <w:szCs w:val="21"/>
              </w:rPr>
              <w:t>2</w:t>
            </w:r>
          </w:p>
        </w:tc>
        <w:tc>
          <w:tcPr>
            <w:tcW w:w="1002" w:type="pct"/>
            <w:vMerge w:val="restart"/>
            <w:tcBorders>
              <w:tl2br w:val="nil"/>
              <w:tr2bl w:val="nil"/>
            </w:tcBorders>
            <w:noWrap/>
            <w:vAlign w:val="center"/>
          </w:tcPr>
          <w:p w14:paraId="4D49CA8E">
            <w:pPr>
              <w:rPr>
                <w:rFonts w:hint="eastAsia" w:ascii="宋体" w:hAnsi="宋体" w:eastAsia="宋体" w:cs="宋体"/>
                <w:color w:val="auto"/>
                <w:szCs w:val="21"/>
                <w:shd w:val="clear" w:color="auto" w:fill="FFFFFF" w:themeFill="background1"/>
                <w:lang w:val="en-US" w:eastAsia="zh-CN"/>
              </w:rPr>
            </w:pPr>
            <w:r>
              <w:rPr>
                <w:rFonts w:hint="eastAsia" w:ascii="宋体" w:hAnsi="宋体"/>
                <w:color w:val="auto"/>
                <w:szCs w:val="21"/>
              </w:rPr>
              <w:t>消防救生气垫</w:t>
            </w:r>
            <w:r>
              <w:rPr>
                <w:rFonts w:hint="eastAsia" w:ascii="宋体" w:hAnsi="宋体"/>
                <w:color w:val="auto"/>
                <w:szCs w:val="21"/>
                <w:lang w:val="en-US" w:eastAsia="zh-CN"/>
              </w:rPr>
              <w:t>等设备</w:t>
            </w:r>
          </w:p>
        </w:tc>
        <w:tc>
          <w:tcPr>
            <w:tcW w:w="1421" w:type="pct"/>
            <w:tcBorders>
              <w:tl2br w:val="nil"/>
              <w:tr2bl w:val="nil"/>
            </w:tcBorders>
            <w:noWrap/>
            <w:vAlign w:val="center"/>
          </w:tcPr>
          <w:p w14:paraId="73FC290D">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消防救生气垫</w:t>
            </w:r>
          </w:p>
        </w:tc>
        <w:tc>
          <w:tcPr>
            <w:tcW w:w="483" w:type="pct"/>
            <w:tcBorders>
              <w:tl2br w:val="nil"/>
              <w:tr2bl w:val="nil"/>
            </w:tcBorders>
            <w:noWrap/>
            <w:vAlign w:val="center"/>
          </w:tcPr>
          <w:p w14:paraId="7D1437F1">
            <w:pPr>
              <w:jc w:val="center"/>
              <w:rPr>
                <w:rFonts w:hint="eastAsia" w:ascii="宋体" w:hAnsi="宋体" w:eastAsia="宋体" w:cs="宋体"/>
                <w:color w:val="auto"/>
                <w:szCs w:val="21"/>
                <w:lang w:eastAsia="zh-CN"/>
              </w:rPr>
            </w:pPr>
            <w:r>
              <w:rPr>
                <w:rFonts w:hint="eastAsia" w:ascii="宋体" w:hAnsi="宋体"/>
                <w:color w:val="auto"/>
                <w:szCs w:val="21"/>
                <w:lang w:val="en-US" w:eastAsia="zh-CN"/>
              </w:rPr>
              <w:t>5</w:t>
            </w:r>
          </w:p>
        </w:tc>
        <w:tc>
          <w:tcPr>
            <w:tcW w:w="588" w:type="pct"/>
            <w:tcBorders>
              <w:tl2br w:val="nil"/>
              <w:tr2bl w:val="nil"/>
            </w:tcBorders>
            <w:noWrap/>
            <w:vAlign w:val="center"/>
          </w:tcPr>
          <w:p w14:paraId="34DE5936">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rPr>
              <w:t>3</w:t>
            </w:r>
          </w:p>
        </w:tc>
        <w:tc>
          <w:tcPr>
            <w:tcW w:w="582" w:type="pct"/>
            <w:tcBorders>
              <w:tl2br w:val="nil"/>
              <w:tr2bl w:val="nil"/>
            </w:tcBorders>
            <w:noWrap/>
            <w:vAlign w:val="center"/>
          </w:tcPr>
          <w:p w14:paraId="73A93C37">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582" w:type="pct"/>
            <w:vMerge w:val="restart"/>
            <w:tcBorders>
              <w:tl2br w:val="nil"/>
              <w:tr2bl w:val="nil"/>
            </w:tcBorders>
            <w:noWrap/>
            <w:vAlign w:val="center"/>
          </w:tcPr>
          <w:p w14:paraId="0B9663A3">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53.707</w:t>
            </w:r>
          </w:p>
        </w:tc>
      </w:tr>
      <w:tr w14:paraId="733F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4F74332E">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2D78569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0D0A3C26">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肢体固定气囊</w:t>
            </w:r>
          </w:p>
        </w:tc>
        <w:tc>
          <w:tcPr>
            <w:tcW w:w="483" w:type="pct"/>
            <w:tcBorders>
              <w:tl2br w:val="nil"/>
              <w:tr2bl w:val="nil"/>
            </w:tcBorders>
            <w:shd w:val="clear" w:color="auto" w:fill="auto"/>
            <w:noWrap/>
            <w:vAlign w:val="center"/>
          </w:tcPr>
          <w:p w14:paraId="7763C043">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588" w:type="pct"/>
            <w:tcBorders>
              <w:tl2br w:val="nil"/>
              <w:tr2bl w:val="nil"/>
            </w:tcBorders>
            <w:shd w:val="clear" w:color="auto" w:fill="auto"/>
            <w:noWrap/>
            <w:vAlign w:val="center"/>
          </w:tcPr>
          <w:p w14:paraId="6DCF4D12">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32</w:t>
            </w:r>
          </w:p>
        </w:tc>
        <w:tc>
          <w:tcPr>
            <w:tcW w:w="582" w:type="pct"/>
            <w:tcBorders>
              <w:tl2br w:val="nil"/>
              <w:tr2bl w:val="nil"/>
            </w:tcBorders>
            <w:shd w:val="clear" w:color="auto" w:fill="auto"/>
            <w:noWrap/>
            <w:vAlign w:val="center"/>
          </w:tcPr>
          <w:p w14:paraId="0CD8E6E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28</w:t>
            </w:r>
          </w:p>
        </w:tc>
        <w:tc>
          <w:tcPr>
            <w:tcW w:w="582" w:type="pct"/>
            <w:vMerge w:val="continue"/>
            <w:tcBorders>
              <w:tl2br w:val="nil"/>
              <w:tr2bl w:val="nil"/>
            </w:tcBorders>
            <w:noWrap/>
            <w:vAlign w:val="center"/>
          </w:tcPr>
          <w:p w14:paraId="76615A54">
            <w:pPr>
              <w:jc w:val="center"/>
              <w:rPr>
                <w:rFonts w:hint="eastAsia" w:ascii="宋体" w:hAnsi="宋体" w:cs="宋体"/>
                <w:color w:val="auto"/>
                <w:szCs w:val="21"/>
                <w:lang w:val="en-US" w:eastAsia="zh-CN"/>
              </w:rPr>
            </w:pPr>
          </w:p>
        </w:tc>
      </w:tr>
      <w:tr w14:paraId="5B72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6DF2A8B8">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7D847C6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79FC3CC1">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躯体固定气囊</w:t>
            </w:r>
          </w:p>
        </w:tc>
        <w:tc>
          <w:tcPr>
            <w:tcW w:w="483" w:type="pct"/>
            <w:tcBorders>
              <w:tl2br w:val="nil"/>
              <w:tr2bl w:val="nil"/>
            </w:tcBorders>
            <w:shd w:val="clear" w:color="auto" w:fill="auto"/>
            <w:noWrap/>
            <w:vAlign w:val="center"/>
          </w:tcPr>
          <w:p w14:paraId="024F252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588" w:type="pct"/>
            <w:tcBorders>
              <w:tl2br w:val="nil"/>
              <w:tr2bl w:val="nil"/>
            </w:tcBorders>
            <w:shd w:val="clear" w:color="auto" w:fill="auto"/>
            <w:noWrap/>
            <w:vAlign w:val="center"/>
          </w:tcPr>
          <w:p w14:paraId="08BA30F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22</w:t>
            </w:r>
          </w:p>
        </w:tc>
        <w:tc>
          <w:tcPr>
            <w:tcW w:w="582" w:type="pct"/>
            <w:tcBorders>
              <w:tl2br w:val="nil"/>
              <w:tr2bl w:val="nil"/>
            </w:tcBorders>
            <w:shd w:val="clear" w:color="auto" w:fill="auto"/>
            <w:noWrap/>
            <w:vAlign w:val="center"/>
          </w:tcPr>
          <w:p w14:paraId="75D32B0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88</w:t>
            </w:r>
          </w:p>
        </w:tc>
        <w:tc>
          <w:tcPr>
            <w:tcW w:w="582" w:type="pct"/>
            <w:vMerge w:val="continue"/>
            <w:tcBorders>
              <w:tl2br w:val="nil"/>
              <w:tr2bl w:val="nil"/>
            </w:tcBorders>
            <w:noWrap/>
            <w:vAlign w:val="center"/>
          </w:tcPr>
          <w:p w14:paraId="101828C4">
            <w:pPr>
              <w:jc w:val="center"/>
              <w:rPr>
                <w:rFonts w:hint="eastAsia" w:ascii="宋体" w:hAnsi="宋体" w:cs="宋体"/>
                <w:color w:val="auto"/>
                <w:szCs w:val="21"/>
                <w:lang w:val="en-US" w:eastAsia="zh-CN"/>
              </w:rPr>
            </w:pPr>
          </w:p>
        </w:tc>
      </w:tr>
      <w:tr w14:paraId="3F18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28C63E4B">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068544E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670FCBEF">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折叠式担架</w:t>
            </w:r>
          </w:p>
        </w:tc>
        <w:tc>
          <w:tcPr>
            <w:tcW w:w="483" w:type="pct"/>
            <w:tcBorders>
              <w:tl2br w:val="nil"/>
              <w:tr2bl w:val="nil"/>
            </w:tcBorders>
            <w:shd w:val="clear" w:color="auto" w:fill="auto"/>
            <w:noWrap/>
            <w:vAlign w:val="center"/>
          </w:tcPr>
          <w:p w14:paraId="01BED3EB">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24</w:t>
            </w:r>
          </w:p>
        </w:tc>
        <w:tc>
          <w:tcPr>
            <w:tcW w:w="588" w:type="pct"/>
            <w:tcBorders>
              <w:tl2br w:val="nil"/>
              <w:tr2bl w:val="nil"/>
            </w:tcBorders>
            <w:shd w:val="clear" w:color="auto" w:fill="auto"/>
            <w:noWrap/>
            <w:vAlign w:val="center"/>
          </w:tcPr>
          <w:p w14:paraId="702FA86C">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52</w:t>
            </w:r>
          </w:p>
        </w:tc>
        <w:tc>
          <w:tcPr>
            <w:tcW w:w="582" w:type="pct"/>
            <w:tcBorders>
              <w:tl2br w:val="nil"/>
              <w:tr2bl w:val="nil"/>
            </w:tcBorders>
            <w:shd w:val="clear" w:color="auto" w:fill="auto"/>
            <w:noWrap/>
            <w:vAlign w:val="center"/>
          </w:tcPr>
          <w:p w14:paraId="6558FCA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248</w:t>
            </w:r>
          </w:p>
        </w:tc>
        <w:tc>
          <w:tcPr>
            <w:tcW w:w="582" w:type="pct"/>
            <w:vMerge w:val="continue"/>
            <w:tcBorders>
              <w:tl2br w:val="nil"/>
              <w:tr2bl w:val="nil"/>
            </w:tcBorders>
            <w:noWrap/>
            <w:vAlign w:val="center"/>
          </w:tcPr>
          <w:p w14:paraId="17731E08">
            <w:pPr>
              <w:jc w:val="center"/>
              <w:rPr>
                <w:rFonts w:hint="eastAsia" w:ascii="宋体" w:hAnsi="宋体" w:cs="宋体"/>
                <w:color w:val="auto"/>
                <w:szCs w:val="21"/>
                <w:lang w:val="en-US" w:eastAsia="zh-CN"/>
              </w:rPr>
            </w:pPr>
          </w:p>
        </w:tc>
      </w:tr>
      <w:tr w14:paraId="6125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2D00203F">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5216A5A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490E667E">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伤员固定抬板</w:t>
            </w:r>
          </w:p>
        </w:tc>
        <w:tc>
          <w:tcPr>
            <w:tcW w:w="483" w:type="pct"/>
            <w:tcBorders>
              <w:tl2br w:val="nil"/>
              <w:tr2bl w:val="nil"/>
            </w:tcBorders>
            <w:shd w:val="clear" w:color="auto" w:fill="auto"/>
            <w:noWrap/>
            <w:vAlign w:val="center"/>
          </w:tcPr>
          <w:p w14:paraId="68EFC78C">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588" w:type="pct"/>
            <w:tcBorders>
              <w:tl2br w:val="nil"/>
              <w:tr2bl w:val="nil"/>
            </w:tcBorders>
            <w:shd w:val="clear" w:color="auto" w:fill="auto"/>
            <w:noWrap/>
            <w:vAlign w:val="center"/>
          </w:tcPr>
          <w:p w14:paraId="2E8987DE">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1</w:t>
            </w:r>
          </w:p>
        </w:tc>
        <w:tc>
          <w:tcPr>
            <w:tcW w:w="582" w:type="pct"/>
            <w:tcBorders>
              <w:tl2br w:val="nil"/>
              <w:tr2bl w:val="nil"/>
            </w:tcBorders>
            <w:shd w:val="clear" w:color="auto" w:fill="auto"/>
            <w:noWrap/>
            <w:vAlign w:val="center"/>
          </w:tcPr>
          <w:p w14:paraId="383D0C4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0.1</w:t>
            </w:r>
          </w:p>
        </w:tc>
        <w:tc>
          <w:tcPr>
            <w:tcW w:w="582" w:type="pct"/>
            <w:vMerge w:val="continue"/>
            <w:tcBorders>
              <w:tl2br w:val="nil"/>
              <w:tr2bl w:val="nil"/>
            </w:tcBorders>
            <w:noWrap/>
            <w:vAlign w:val="center"/>
          </w:tcPr>
          <w:p w14:paraId="41063C9E">
            <w:pPr>
              <w:jc w:val="center"/>
              <w:rPr>
                <w:rFonts w:hint="eastAsia" w:ascii="宋体" w:hAnsi="宋体" w:cs="宋体"/>
                <w:color w:val="auto"/>
                <w:szCs w:val="21"/>
                <w:lang w:val="en-US" w:eastAsia="zh-CN"/>
              </w:rPr>
            </w:pPr>
          </w:p>
        </w:tc>
      </w:tr>
      <w:tr w14:paraId="7AB5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34C62C25">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2311589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649BAD7E">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多功能担架</w:t>
            </w:r>
          </w:p>
        </w:tc>
        <w:tc>
          <w:tcPr>
            <w:tcW w:w="483" w:type="pct"/>
            <w:tcBorders>
              <w:tl2br w:val="nil"/>
              <w:tr2bl w:val="nil"/>
            </w:tcBorders>
            <w:shd w:val="clear" w:color="auto" w:fill="auto"/>
            <w:noWrap/>
            <w:vAlign w:val="center"/>
          </w:tcPr>
          <w:p w14:paraId="156AE689">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13</w:t>
            </w:r>
          </w:p>
        </w:tc>
        <w:tc>
          <w:tcPr>
            <w:tcW w:w="588" w:type="pct"/>
            <w:tcBorders>
              <w:tl2br w:val="nil"/>
              <w:tr2bl w:val="nil"/>
            </w:tcBorders>
            <w:shd w:val="clear" w:color="auto" w:fill="auto"/>
            <w:noWrap/>
            <w:vAlign w:val="center"/>
          </w:tcPr>
          <w:p w14:paraId="7D05B500">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22</w:t>
            </w:r>
          </w:p>
        </w:tc>
        <w:tc>
          <w:tcPr>
            <w:tcW w:w="582" w:type="pct"/>
            <w:tcBorders>
              <w:tl2br w:val="nil"/>
              <w:tr2bl w:val="nil"/>
            </w:tcBorders>
            <w:shd w:val="clear" w:color="auto" w:fill="auto"/>
            <w:noWrap/>
            <w:vAlign w:val="center"/>
          </w:tcPr>
          <w:p w14:paraId="7450D24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86</w:t>
            </w:r>
          </w:p>
        </w:tc>
        <w:tc>
          <w:tcPr>
            <w:tcW w:w="582" w:type="pct"/>
            <w:vMerge w:val="continue"/>
            <w:tcBorders>
              <w:tl2br w:val="nil"/>
              <w:tr2bl w:val="nil"/>
            </w:tcBorders>
            <w:noWrap/>
            <w:vAlign w:val="center"/>
          </w:tcPr>
          <w:p w14:paraId="21068DC9">
            <w:pPr>
              <w:jc w:val="center"/>
              <w:rPr>
                <w:rFonts w:hint="eastAsia" w:ascii="宋体" w:hAnsi="宋体" w:cs="宋体"/>
                <w:color w:val="auto"/>
                <w:szCs w:val="21"/>
                <w:lang w:val="en-US" w:eastAsia="zh-CN"/>
              </w:rPr>
            </w:pPr>
          </w:p>
        </w:tc>
      </w:tr>
      <w:tr w14:paraId="27CE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37AB481B">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51672E7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4522A569">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漂浮救援板</w:t>
            </w:r>
          </w:p>
        </w:tc>
        <w:tc>
          <w:tcPr>
            <w:tcW w:w="483" w:type="pct"/>
            <w:tcBorders>
              <w:tl2br w:val="nil"/>
              <w:tr2bl w:val="nil"/>
            </w:tcBorders>
            <w:shd w:val="clear" w:color="auto" w:fill="auto"/>
            <w:noWrap/>
            <w:vAlign w:val="center"/>
          </w:tcPr>
          <w:p w14:paraId="40022EFF">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w:t>
            </w:r>
          </w:p>
        </w:tc>
        <w:tc>
          <w:tcPr>
            <w:tcW w:w="588" w:type="pct"/>
            <w:tcBorders>
              <w:tl2br w:val="nil"/>
              <w:tr2bl w:val="nil"/>
            </w:tcBorders>
            <w:shd w:val="clear" w:color="auto" w:fill="auto"/>
            <w:noWrap/>
            <w:vAlign w:val="center"/>
          </w:tcPr>
          <w:p w14:paraId="32CC6A32">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31</w:t>
            </w:r>
          </w:p>
        </w:tc>
        <w:tc>
          <w:tcPr>
            <w:tcW w:w="582" w:type="pct"/>
            <w:tcBorders>
              <w:tl2br w:val="nil"/>
              <w:tr2bl w:val="nil"/>
            </w:tcBorders>
            <w:shd w:val="clear" w:color="auto" w:fill="auto"/>
            <w:noWrap/>
            <w:vAlign w:val="center"/>
          </w:tcPr>
          <w:p w14:paraId="7B8304C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93</w:t>
            </w:r>
          </w:p>
        </w:tc>
        <w:tc>
          <w:tcPr>
            <w:tcW w:w="582" w:type="pct"/>
            <w:vMerge w:val="continue"/>
            <w:tcBorders>
              <w:tl2br w:val="nil"/>
              <w:tr2bl w:val="nil"/>
            </w:tcBorders>
            <w:noWrap/>
            <w:vAlign w:val="center"/>
          </w:tcPr>
          <w:p w14:paraId="6CFFD3D4">
            <w:pPr>
              <w:jc w:val="center"/>
              <w:rPr>
                <w:rFonts w:hint="eastAsia" w:ascii="宋体" w:hAnsi="宋体" w:cs="宋体"/>
                <w:color w:val="auto"/>
                <w:szCs w:val="21"/>
                <w:lang w:val="en-US" w:eastAsia="zh-CN"/>
              </w:rPr>
            </w:pPr>
          </w:p>
        </w:tc>
      </w:tr>
      <w:tr w14:paraId="4D00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5A2DFC57">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77F89DE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05ADFA81">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漂浮担架</w:t>
            </w:r>
          </w:p>
        </w:tc>
        <w:tc>
          <w:tcPr>
            <w:tcW w:w="483" w:type="pct"/>
            <w:tcBorders>
              <w:tl2br w:val="nil"/>
              <w:tr2bl w:val="nil"/>
            </w:tcBorders>
            <w:shd w:val="clear" w:color="auto" w:fill="auto"/>
            <w:noWrap/>
            <w:vAlign w:val="center"/>
          </w:tcPr>
          <w:p w14:paraId="7897F02F">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588" w:type="pct"/>
            <w:tcBorders>
              <w:tl2br w:val="nil"/>
              <w:tr2bl w:val="nil"/>
            </w:tcBorders>
            <w:shd w:val="clear" w:color="auto" w:fill="auto"/>
            <w:noWrap/>
            <w:vAlign w:val="center"/>
          </w:tcPr>
          <w:p w14:paraId="29C183AE">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25</w:t>
            </w:r>
          </w:p>
        </w:tc>
        <w:tc>
          <w:tcPr>
            <w:tcW w:w="582" w:type="pct"/>
            <w:tcBorders>
              <w:tl2br w:val="nil"/>
              <w:tr2bl w:val="nil"/>
            </w:tcBorders>
            <w:shd w:val="clear" w:color="auto" w:fill="auto"/>
            <w:noWrap/>
            <w:vAlign w:val="center"/>
          </w:tcPr>
          <w:p w14:paraId="098B546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5</w:t>
            </w:r>
          </w:p>
        </w:tc>
        <w:tc>
          <w:tcPr>
            <w:tcW w:w="582" w:type="pct"/>
            <w:vMerge w:val="continue"/>
            <w:tcBorders>
              <w:tl2br w:val="nil"/>
              <w:tr2bl w:val="nil"/>
            </w:tcBorders>
            <w:noWrap/>
            <w:vAlign w:val="center"/>
          </w:tcPr>
          <w:p w14:paraId="10D0692D">
            <w:pPr>
              <w:jc w:val="center"/>
              <w:rPr>
                <w:rFonts w:hint="eastAsia" w:ascii="宋体" w:hAnsi="宋体" w:cs="宋体"/>
                <w:color w:val="auto"/>
                <w:szCs w:val="21"/>
                <w:lang w:val="en-US" w:eastAsia="zh-CN"/>
              </w:rPr>
            </w:pPr>
          </w:p>
        </w:tc>
      </w:tr>
      <w:tr w14:paraId="4594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782AF149">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02486EE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6B8C30E3">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篮式担架</w:t>
            </w:r>
          </w:p>
        </w:tc>
        <w:tc>
          <w:tcPr>
            <w:tcW w:w="483" w:type="pct"/>
            <w:tcBorders>
              <w:tl2br w:val="nil"/>
              <w:tr2bl w:val="nil"/>
            </w:tcBorders>
            <w:shd w:val="clear" w:color="auto" w:fill="auto"/>
            <w:noWrap/>
            <w:vAlign w:val="center"/>
          </w:tcPr>
          <w:p w14:paraId="39BBE284">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588" w:type="pct"/>
            <w:tcBorders>
              <w:tl2br w:val="nil"/>
              <w:tr2bl w:val="nil"/>
            </w:tcBorders>
            <w:shd w:val="clear" w:color="auto" w:fill="auto"/>
            <w:noWrap/>
            <w:vAlign w:val="center"/>
          </w:tcPr>
          <w:p w14:paraId="737F21FD">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8</w:t>
            </w:r>
          </w:p>
        </w:tc>
        <w:tc>
          <w:tcPr>
            <w:tcW w:w="582" w:type="pct"/>
            <w:tcBorders>
              <w:tl2br w:val="nil"/>
              <w:tr2bl w:val="nil"/>
            </w:tcBorders>
            <w:shd w:val="clear" w:color="auto" w:fill="auto"/>
            <w:noWrap/>
            <w:vAlign w:val="center"/>
          </w:tcPr>
          <w:p w14:paraId="12B291B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6</w:t>
            </w:r>
          </w:p>
        </w:tc>
        <w:tc>
          <w:tcPr>
            <w:tcW w:w="582" w:type="pct"/>
            <w:vMerge w:val="continue"/>
            <w:tcBorders>
              <w:tl2br w:val="nil"/>
              <w:tr2bl w:val="nil"/>
            </w:tcBorders>
            <w:noWrap/>
            <w:vAlign w:val="center"/>
          </w:tcPr>
          <w:p w14:paraId="0153D082">
            <w:pPr>
              <w:jc w:val="center"/>
              <w:rPr>
                <w:rFonts w:hint="eastAsia" w:ascii="宋体" w:hAnsi="宋体" w:cs="宋体"/>
                <w:color w:val="auto"/>
                <w:szCs w:val="21"/>
                <w:lang w:val="en-US" w:eastAsia="zh-CN"/>
              </w:rPr>
            </w:pPr>
          </w:p>
        </w:tc>
      </w:tr>
      <w:tr w14:paraId="4E53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2740C7A8">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15E1004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2CAD7B40">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打捞杆</w:t>
            </w:r>
          </w:p>
        </w:tc>
        <w:tc>
          <w:tcPr>
            <w:tcW w:w="483" w:type="pct"/>
            <w:tcBorders>
              <w:tl2br w:val="nil"/>
              <w:tr2bl w:val="nil"/>
            </w:tcBorders>
            <w:shd w:val="clear" w:color="auto" w:fill="auto"/>
            <w:noWrap/>
            <w:vAlign w:val="center"/>
          </w:tcPr>
          <w:p w14:paraId="6DF2860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w:t>
            </w:r>
          </w:p>
        </w:tc>
        <w:tc>
          <w:tcPr>
            <w:tcW w:w="588" w:type="pct"/>
            <w:tcBorders>
              <w:tl2br w:val="nil"/>
              <w:tr2bl w:val="nil"/>
            </w:tcBorders>
            <w:shd w:val="clear" w:color="auto" w:fill="auto"/>
            <w:noWrap/>
            <w:vAlign w:val="center"/>
          </w:tcPr>
          <w:p w14:paraId="3FDC25A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5</w:t>
            </w:r>
          </w:p>
        </w:tc>
        <w:tc>
          <w:tcPr>
            <w:tcW w:w="582" w:type="pct"/>
            <w:tcBorders>
              <w:tl2br w:val="nil"/>
              <w:tr2bl w:val="nil"/>
            </w:tcBorders>
            <w:shd w:val="clear" w:color="auto" w:fill="auto"/>
            <w:noWrap/>
            <w:vAlign w:val="center"/>
          </w:tcPr>
          <w:p w14:paraId="796DD33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5</w:t>
            </w:r>
          </w:p>
        </w:tc>
        <w:tc>
          <w:tcPr>
            <w:tcW w:w="582" w:type="pct"/>
            <w:vMerge w:val="continue"/>
            <w:tcBorders>
              <w:tl2br w:val="nil"/>
              <w:tr2bl w:val="nil"/>
            </w:tcBorders>
            <w:noWrap/>
            <w:vAlign w:val="center"/>
          </w:tcPr>
          <w:p w14:paraId="4CB90D7C">
            <w:pPr>
              <w:jc w:val="center"/>
              <w:rPr>
                <w:rFonts w:hint="eastAsia" w:ascii="宋体" w:hAnsi="宋体" w:cs="宋体"/>
                <w:color w:val="auto"/>
                <w:szCs w:val="21"/>
                <w:lang w:val="en-US" w:eastAsia="zh-CN"/>
              </w:rPr>
            </w:pPr>
          </w:p>
        </w:tc>
      </w:tr>
      <w:tr w14:paraId="3D60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4E70D92D">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4F150080">
            <w:pPr>
              <w:keepNext w:val="0"/>
              <w:keepLines w:val="0"/>
              <w:widowControl/>
              <w:suppressLineNumbers w:val="0"/>
              <w:jc w:val="left"/>
              <w:textAlignment w:val="center"/>
              <w:rPr>
                <w:rFonts w:hint="eastAsia" w:ascii="宋体" w:hAnsi="宋体" w:eastAsia="宋体" w:cs="宋体"/>
                <w:i w:val="0"/>
                <w:iCs w:val="0"/>
                <w:color w:val="FF0000"/>
                <w:kern w:val="0"/>
                <w:sz w:val="21"/>
                <w:szCs w:val="21"/>
                <w:u w:val="none"/>
                <w:lang w:val="en-US" w:eastAsia="zh-CN" w:bidi="ar"/>
              </w:rPr>
            </w:pPr>
          </w:p>
        </w:tc>
        <w:tc>
          <w:tcPr>
            <w:tcW w:w="1421" w:type="pct"/>
            <w:tcBorders>
              <w:tl2br w:val="nil"/>
              <w:tr2bl w:val="nil"/>
            </w:tcBorders>
            <w:shd w:val="clear" w:color="auto" w:fill="auto"/>
            <w:noWrap/>
            <w:vAlign w:val="center"/>
          </w:tcPr>
          <w:p w14:paraId="28D5D697">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■救生缓降器</w:t>
            </w:r>
          </w:p>
        </w:tc>
        <w:tc>
          <w:tcPr>
            <w:tcW w:w="483" w:type="pct"/>
            <w:tcBorders>
              <w:tl2br w:val="nil"/>
              <w:tr2bl w:val="nil"/>
            </w:tcBorders>
            <w:shd w:val="clear" w:color="auto" w:fill="auto"/>
            <w:noWrap/>
            <w:vAlign w:val="center"/>
          </w:tcPr>
          <w:p w14:paraId="607E1F7E">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588" w:type="pct"/>
            <w:tcBorders>
              <w:tl2br w:val="nil"/>
              <w:tr2bl w:val="nil"/>
            </w:tcBorders>
            <w:shd w:val="clear" w:color="auto" w:fill="auto"/>
            <w:noWrap/>
            <w:vAlign w:val="center"/>
          </w:tcPr>
          <w:p w14:paraId="00C66A69">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13</w:t>
            </w:r>
          </w:p>
        </w:tc>
        <w:tc>
          <w:tcPr>
            <w:tcW w:w="582" w:type="pct"/>
            <w:tcBorders>
              <w:tl2br w:val="nil"/>
              <w:tr2bl w:val="nil"/>
            </w:tcBorders>
            <w:shd w:val="clear" w:color="auto" w:fill="auto"/>
            <w:noWrap/>
            <w:vAlign w:val="center"/>
          </w:tcPr>
          <w:p w14:paraId="19A6FAA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52</w:t>
            </w:r>
          </w:p>
        </w:tc>
        <w:tc>
          <w:tcPr>
            <w:tcW w:w="582" w:type="pct"/>
            <w:vMerge w:val="continue"/>
            <w:tcBorders>
              <w:tl2br w:val="nil"/>
              <w:tr2bl w:val="nil"/>
            </w:tcBorders>
            <w:noWrap/>
            <w:vAlign w:val="center"/>
          </w:tcPr>
          <w:p w14:paraId="4E6C0ABE">
            <w:pPr>
              <w:jc w:val="center"/>
              <w:rPr>
                <w:rFonts w:hint="eastAsia" w:ascii="宋体" w:hAnsi="宋体" w:cs="宋体"/>
                <w:color w:val="auto"/>
                <w:szCs w:val="21"/>
                <w:lang w:val="en-US" w:eastAsia="zh-CN"/>
              </w:rPr>
            </w:pPr>
          </w:p>
        </w:tc>
      </w:tr>
      <w:tr w14:paraId="684D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42DD2BF8">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5FDC41C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2DB89833">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救援支架</w:t>
            </w:r>
          </w:p>
        </w:tc>
        <w:tc>
          <w:tcPr>
            <w:tcW w:w="483" w:type="pct"/>
            <w:tcBorders>
              <w:tl2br w:val="nil"/>
              <w:tr2bl w:val="nil"/>
            </w:tcBorders>
            <w:shd w:val="clear" w:color="auto" w:fill="auto"/>
            <w:noWrap/>
            <w:vAlign w:val="center"/>
          </w:tcPr>
          <w:p w14:paraId="5120503E">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588" w:type="pct"/>
            <w:tcBorders>
              <w:tl2br w:val="nil"/>
              <w:tr2bl w:val="nil"/>
            </w:tcBorders>
            <w:shd w:val="clear" w:color="auto" w:fill="auto"/>
            <w:noWrap/>
            <w:vAlign w:val="center"/>
          </w:tcPr>
          <w:p w14:paraId="77AA397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65</w:t>
            </w:r>
          </w:p>
        </w:tc>
        <w:tc>
          <w:tcPr>
            <w:tcW w:w="582" w:type="pct"/>
            <w:tcBorders>
              <w:tl2br w:val="nil"/>
              <w:tr2bl w:val="nil"/>
            </w:tcBorders>
            <w:shd w:val="clear" w:color="auto" w:fill="auto"/>
            <w:noWrap/>
            <w:vAlign w:val="center"/>
          </w:tcPr>
          <w:p w14:paraId="08D7DAD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3</w:t>
            </w:r>
          </w:p>
        </w:tc>
        <w:tc>
          <w:tcPr>
            <w:tcW w:w="582" w:type="pct"/>
            <w:vMerge w:val="continue"/>
            <w:tcBorders>
              <w:tl2br w:val="nil"/>
              <w:tr2bl w:val="nil"/>
            </w:tcBorders>
            <w:noWrap/>
            <w:vAlign w:val="center"/>
          </w:tcPr>
          <w:p w14:paraId="5C3DEE3A">
            <w:pPr>
              <w:jc w:val="center"/>
              <w:rPr>
                <w:rFonts w:hint="eastAsia" w:ascii="宋体" w:hAnsi="宋体" w:cs="宋体"/>
                <w:color w:val="auto"/>
                <w:szCs w:val="21"/>
                <w:lang w:val="en-US" w:eastAsia="zh-CN"/>
              </w:rPr>
            </w:pPr>
          </w:p>
        </w:tc>
      </w:tr>
      <w:tr w14:paraId="2F84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1C255869">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0B9BF60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53EAF635">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救生抛投器</w:t>
            </w:r>
          </w:p>
        </w:tc>
        <w:tc>
          <w:tcPr>
            <w:tcW w:w="483" w:type="pct"/>
            <w:tcBorders>
              <w:tl2br w:val="nil"/>
              <w:tr2bl w:val="nil"/>
            </w:tcBorders>
            <w:shd w:val="clear" w:color="auto" w:fill="auto"/>
            <w:noWrap/>
            <w:vAlign w:val="center"/>
          </w:tcPr>
          <w:p w14:paraId="08F015A9">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588" w:type="pct"/>
            <w:tcBorders>
              <w:tl2br w:val="nil"/>
              <w:tr2bl w:val="nil"/>
            </w:tcBorders>
            <w:shd w:val="clear" w:color="auto" w:fill="auto"/>
            <w:noWrap/>
            <w:vAlign w:val="center"/>
          </w:tcPr>
          <w:p w14:paraId="17CA4C2A">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25</w:t>
            </w:r>
          </w:p>
        </w:tc>
        <w:tc>
          <w:tcPr>
            <w:tcW w:w="582" w:type="pct"/>
            <w:tcBorders>
              <w:tl2br w:val="nil"/>
              <w:tr2bl w:val="nil"/>
            </w:tcBorders>
            <w:shd w:val="clear" w:color="auto" w:fill="auto"/>
            <w:noWrap/>
            <w:vAlign w:val="center"/>
          </w:tcPr>
          <w:p w14:paraId="450E6B1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25</w:t>
            </w:r>
          </w:p>
        </w:tc>
        <w:tc>
          <w:tcPr>
            <w:tcW w:w="582" w:type="pct"/>
            <w:vMerge w:val="continue"/>
            <w:tcBorders>
              <w:tl2br w:val="nil"/>
              <w:tr2bl w:val="nil"/>
            </w:tcBorders>
            <w:noWrap/>
            <w:vAlign w:val="center"/>
          </w:tcPr>
          <w:p w14:paraId="5D6A489C">
            <w:pPr>
              <w:jc w:val="center"/>
              <w:rPr>
                <w:rFonts w:hint="eastAsia" w:ascii="宋体" w:hAnsi="宋体" w:cs="宋体"/>
                <w:color w:val="auto"/>
                <w:szCs w:val="21"/>
                <w:lang w:val="en-US" w:eastAsia="zh-CN"/>
              </w:rPr>
            </w:pPr>
          </w:p>
        </w:tc>
      </w:tr>
      <w:tr w14:paraId="2733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67AE094F">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5D5F4FF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530262A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救生软梯</w:t>
            </w:r>
          </w:p>
        </w:tc>
        <w:tc>
          <w:tcPr>
            <w:tcW w:w="483" w:type="pct"/>
            <w:tcBorders>
              <w:tl2br w:val="nil"/>
              <w:tr2bl w:val="nil"/>
            </w:tcBorders>
            <w:shd w:val="clear" w:color="auto" w:fill="auto"/>
            <w:noWrap/>
            <w:vAlign w:val="center"/>
          </w:tcPr>
          <w:p w14:paraId="6674428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6</w:t>
            </w:r>
          </w:p>
        </w:tc>
        <w:tc>
          <w:tcPr>
            <w:tcW w:w="588" w:type="pct"/>
            <w:tcBorders>
              <w:tl2br w:val="nil"/>
              <w:tr2bl w:val="nil"/>
            </w:tcBorders>
            <w:shd w:val="clear" w:color="auto" w:fill="auto"/>
            <w:noWrap/>
            <w:vAlign w:val="center"/>
          </w:tcPr>
          <w:p w14:paraId="12D88F64">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1</w:t>
            </w:r>
          </w:p>
        </w:tc>
        <w:tc>
          <w:tcPr>
            <w:tcW w:w="582" w:type="pct"/>
            <w:tcBorders>
              <w:tl2br w:val="nil"/>
              <w:tr2bl w:val="nil"/>
            </w:tcBorders>
            <w:shd w:val="clear" w:color="auto" w:fill="auto"/>
            <w:noWrap/>
            <w:vAlign w:val="center"/>
          </w:tcPr>
          <w:p w14:paraId="3E6A49A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6</w:t>
            </w:r>
          </w:p>
        </w:tc>
        <w:tc>
          <w:tcPr>
            <w:tcW w:w="582" w:type="pct"/>
            <w:vMerge w:val="continue"/>
            <w:tcBorders>
              <w:tl2br w:val="nil"/>
              <w:tr2bl w:val="nil"/>
            </w:tcBorders>
            <w:noWrap/>
            <w:vAlign w:val="center"/>
          </w:tcPr>
          <w:p w14:paraId="1C84B5FF">
            <w:pPr>
              <w:jc w:val="center"/>
              <w:rPr>
                <w:rFonts w:hint="eastAsia" w:ascii="宋体" w:hAnsi="宋体" w:cs="宋体"/>
                <w:color w:val="auto"/>
                <w:szCs w:val="21"/>
                <w:lang w:val="en-US" w:eastAsia="zh-CN"/>
              </w:rPr>
            </w:pPr>
          </w:p>
        </w:tc>
      </w:tr>
      <w:tr w14:paraId="523C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60A4838A">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30DCBAA2">
            <w:pPr>
              <w:keepNext w:val="0"/>
              <w:keepLines w:val="0"/>
              <w:widowControl/>
              <w:suppressLineNumbers w:val="0"/>
              <w:jc w:val="left"/>
              <w:textAlignment w:val="center"/>
              <w:rPr>
                <w:rFonts w:hint="eastAsia" w:ascii="宋体" w:hAnsi="宋体" w:eastAsia="宋体" w:cs="宋体"/>
                <w:i w:val="0"/>
                <w:iCs w:val="0"/>
                <w:color w:val="FF0000"/>
                <w:kern w:val="0"/>
                <w:sz w:val="21"/>
                <w:szCs w:val="21"/>
                <w:u w:val="none"/>
                <w:lang w:val="en-US" w:eastAsia="zh-CN" w:bidi="ar"/>
              </w:rPr>
            </w:pPr>
          </w:p>
        </w:tc>
        <w:tc>
          <w:tcPr>
            <w:tcW w:w="1421" w:type="pct"/>
            <w:tcBorders>
              <w:tl2br w:val="nil"/>
              <w:tr2bl w:val="nil"/>
            </w:tcBorders>
            <w:shd w:val="clear" w:color="auto" w:fill="auto"/>
            <w:noWrap/>
            <w:vAlign w:val="center"/>
          </w:tcPr>
          <w:p w14:paraId="0E2D55F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■消防过滤式自救呼吸器</w:t>
            </w:r>
          </w:p>
        </w:tc>
        <w:tc>
          <w:tcPr>
            <w:tcW w:w="483" w:type="pct"/>
            <w:tcBorders>
              <w:tl2br w:val="nil"/>
              <w:tr2bl w:val="nil"/>
            </w:tcBorders>
            <w:shd w:val="clear" w:color="auto" w:fill="auto"/>
            <w:noWrap/>
            <w:vAlign w:val="center"/>
          </w:tcPr>
          <w:p w14:paraId="565FC598">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194</w:t>
            </w:r>
          </w:p>
        </w:tc>
        <w:tc>
          <w:tcPr>
            <w:tcW w:w="588" w:type="pct"/>
            <w:tcBorders>
              <w:tl2br w:val="nil"/>
              <w:tr2bl w:val="nil"/>
            </w:tcBorders>
            <w:shd w:val="clear" w:color="auto" w:fill="auto"/>
            <w:noWrap/>
            <w:vAlign w:val="center"/>
          </w:tcPr>
          <w:p w14:paraId="36347ED4">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0.00</w:t>
            </w:r>
            <w:r>
              <w:rPr>
                <w:rFonts w:hint="eastAsia" w:ascii="宋体" w:hAnsi="宋体" w:eastAsia="宋体" w:cs="宋体"/>
                <w:i w:val="0"/>
                <w:iCs w:val="0"/>
                <w:color w:val="auto"/>
                <w:kern w:val="0"/>
                <w:sz w:val="21"/>
                <w:szCs w:val="21"/>
                <w:u w:val="none"/>
                <w:lang w:val="en-US" w:eastAsia="zh-CN" w:bidi="ar"/>
              </w:rPr>
              <w:t>6</w:t>
            </w:r>
          </w:p>
        </w:tc>
        <w:tc>
          <w:tcPr>
            <w:tcW w:w="582" w:type="pct"/>
            <w:tcBorders>
              <w:tl2br w:val="nil"/>
              <w:tr2bl w:val="nil"/>
            </w:tcBorders>
            <w:shd w:val="clear" w:color="auto" w:fill="auto"/>
            <w:noWrap/>
            <w:vAlign w:val="center"/>
          </w:tcPr>
          <w:p w14:paraId="71EFBE0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164</w:t>
            </w:r>
          </w:p>
        </w:tc>
        <w:tc>
          <w:tcPr>
            <w:tcW w:w="582" w:type="pct"/>
            <w:vMerge w:val="continue"/>
            <w:tcBorders>
              <w:tl2br w:val="nil"/>
              <w:tr2bl w:val="nil"/>
            </w:tcBorders>
            <w:noWrap/>
            <w:vAlign w:val="center"/>
          </w:tcPr>
          <w:p w14:paraId="411AA71A">
            <w:pPr>
              <w:jc w:val="center"/>
              <w:rPr>
                <w:rFonts w:hint="eastAsia" w:ascii="宋体" w:hAnsi="宋体" w:cs="宋体"/>
                <w:color w:val="auto"/>
                <w:szCs w:val="21"/>
                <w:lang w:val="en-US" w:eastAsia="zh-CN"/>
              </w:rPr>
            </w:pPr>
          </w:p>
        </w:tc>
      </w:tr>
      <w:tr w14:paraId="21C0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21134757">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46EFAF2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0659E1E6">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指南针</w:t>
            </w:r>
          </w:p>
        </w:tc>
        <w:tc>
          <w:tcPr>
            <w:tcW w:w="483" w:type="pct"/>
            <w:tcBorders>
              <w:tl2br w:val="nil"/>
              <w:tr2bl w:val="nil"/>
            </w:tcBorders>
            <w:shd w:val="clear" w:color="auto" w:fill="auto"/>
            <w:noWrap/>
            <w:vAlign w:val="center"/>
          </w:tcPr>
          <w:p w14:paraId="228D070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588" w:type="pct"/>
            <w:tcBorders>
              <w:tl2br w:val="nil"/>
              <w:tr2bl w:val="nil"/>
            </w:tcBorders>
            <w:shd w:val="clear" w:color="auto" w:fill="auto"/>
            <w:noWrap/>
            <w:vAlign w:val="center"/>
          </w:tcPr>
          <w:p w14:paraId="16CC456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0.00</w:t>
            </w:r>
            <w:r>
              <w:rPr>
                <w:rFonts w:hint="eastAsia" w:ascii="宋体" w:hAnsi="宋体" w:eastAsia="宋体" w:cs="宋体"/>
                <w:i w:val="0"/>
                <w:iCs w:val="0"/>
                <w:color w:val="auto"/>
                <w:kern w:val="0"/>
                <w:sz w:val="21"/>
                <w:szCs w:val="21"/>
                <w:u w:val="none"/>
                <w:lang w:val="en-US" w:eastAsia="zh-CN" w:bidi="ar"/>
              </w:rPr>
              <w:t>5</w:t>
            </w:r>
          </w:p>
        </w:tc>
        <w:tc>
          <w:tcPr>
            <w:tcW w:w="582" w:type="pct"/>
            <w:tcBorders>
              <w:tl2br w:val="nil"/>
              <w:tr2bl w:val="nil"/>
            </w:tcBorders>
            <w:shd w:val="clear" w:color="auto" w:fill="auto"/>
            <w:noWrap/>
            <w:vAlign w:val="center"/>
          </w:tcPr>
          <w:p w14:paraId="0A2438C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0.00</w:t>
            </w:r>
            <w:r>
              <w:rPr>
                <w:rFonts w:hint="eastAsia" w:ascii="宋体" w:hAnsi="宋体" w:eastAsia="宋体" w:cs="宋体"/>
                <w:i w:val="0"/>
                <w:iCs w:val="0"/>
                <w:color w:val="auto"/>
                <w:kern w:val="0"/>
                <w:sz w:val="21"/>
                <w:szCs w:val="21"/>
                <w:u w:val="none"/>
                <w:lang w:val="en-US" w:eastAsia="zh-CN" w:bidi="ar"/>
              </w:rPr>
              <w:t>5</w:t>
            </w:r>
          </w:p>
        </w:tc>
        <w:tc>
          <w:tcPr>
            <w:tcW w:w="582" w:type="pct"/>
            <w:vMerge w:val="continue"/>
            <w:tcBorders>
              <w:tl2br w:val="nil"/>
              <w:tr2bl w:val="nil"/>
            </w:tcBorders>
            <w:noWrap/>
            <w:vAlign w:val="center"/>
          </w:tcPr>
          <w:p w14:paraId="2C766277">
            <w:pPr>
              <w:jc w:val="center"/>
              <w:rPr>
                <w:rFonts w:hint="eastAsia" w:ascii="宋体" w:hAnsi="宋体" w:cs="宋体"/>
                <w:color w:val="auto"/>
                <w:szCs w:val="21"/>
                <w:lang w:val="en-US" w:eastAsia="zh-CN"/>
              </w:rPr>
            </w:pPr>
          </w:p>
        </w:tc>
      </w:tr>
      <w:tr w14:paraId="0143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316E200B">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1382AFD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13B7F8B6">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夜视仪</w:t>
            </w:r>
          </w:p>
        </w:tc>
        <w:tc>
          <w:tcPr>
            <w:tcW w:w="483" w:type="pct"/>
            <w:tcBorders>
              <w:tl2br w:val="nil"/>
              <w:tr2bl w:val="nil"/>
            </w:tcBorders>
            <w:shd w:val="clear" w:color="auto" w:fill="auto"/>
            <w:noWrap/>
            <w:vAlign w:val="center"/>
          </w:tcPr>
          <w:p w14:paraId="7C82C897">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588" w:type="pct"/>
            <w:tcBorders>
              <w:tl2br w:val="nil"/>
              <w:tr2bl w:val="nil"/>
            </w:tcBorders>
            <w:shd w:val="clear" w:color="auto" w:fill="auto"/>
            <w:noWrap/>
            <w:vAlign w:val="center"/>
          </w:tcPr>
          <w:p w14:paraId="134AA011">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15</w:t>
            </w:r>
          </w:p>
        </w:tc>
        <w:tc>
          <w:tcPr>
            <w:tcW w:w="582" w:type="pct"/>
            <w:tcBorders>
              <w:tl2br w:val="nil"/>
              <w:tr2bl w:val="nil"/>
            </w:tcBorders>
            <w:shd w:val="clear" w:color="auto" w:fill="auto"/>
            <w:noWrap/>
            <w:vAlign w:val="center"/>
          </w:tcPr>
          <w:p w14:paraId="74B0332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6</w:t>
            </w:r>
          </w:p>
        </w:tc>
        <w:tc>
          <w:tcPr>
            <w:tcW w:w="582" w:type="pct"/>
            <w:vMerge w:val="continue"/>
            <w:tcBorders>
              <w:tl2br w:val="nil"/>
              <w:tr2bl w:val="nil"/>
            </w:tcBorders>
            <w:noWrap/>
            <w:vAlign w:val="center"/>
          </w:tcPr>
          <w:p w14:paraId="7A72CD14">
            <w:pPr>
              <w:jc w:val="center"/>
              <w:rPr>
                <w:rFonts w:hint="eastAsia" w:ascii="宋体" w:hAnsi="宋体" w:cs="宋体"/>
                <w:color w:val="auto"/>
                <w:szCs w:val="21"/>
                <w:lang w:val="en-US" w:eastAsia="zh-CN"/>
              </w:rPr>
            </w:pPr>
          </w:p>
        </w:tc>
      </w:tr>
      <w:tr w14:paraId="65F4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73B8C5DB">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0AF949C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67508646">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望远镜</w:t>
            </w:r>
          </w:p>
        </w:tc>
        <w:tc>
          <w:tcPr>
            <w:tcW w:w="483" w:type="pct"/>
            <w:tcBorders>
              <w:tl2br w:val="nil"/>
              <w:tr2bl w:val="nil"/>
            </w:tcBorders>
            <w:shd w:val="clear" w:color="auto" w:fill="auto"/>
            <w:noWrap/>
            <w:vAlign w:val="center"/>
          </w:tcPr>
          <w:p w14:paraId="1E5D47A6">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588" w:type="pct"/>
            <w:tcBorders>
              <w:tl2br w:val="nil"/>
              <w:tr2bl w:val="nil"/>
            </w:tcBorders>
            <w:shd w:val="clear" w:color="auto" w:fill="auto"/>
            <w:noWrap/>
            <w:vAlign w:val="center"/>
          </w:tcPr>
          <w:p w14:paraId="302D30CF">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32</w:t>
            </w:r>
          </w:p>
        </w:tc>
        <w:tc>
          <w:tcPr>
            <w:tcW w:w="582" w:type="pct"/>
            <w:tcBorders>
              <w:tl2br w:val="nil"/>
              <w:tr2bl w:val="nil"/>
            </w:tcBorders>
            <w:shd w:val="clear" w:color="auto" w:fill="auto"/>
            <w:noWrap/>
            <w:vAlign w:val="center"/>
          </w:tcPr>
          <w:p w14:paraId="2286363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28</w:t>
            </w:r>
          </w:p>
        </w:tc>
        <w:tc>
          <w:tcPr>
            <w:tcW w:w="582" w:type="pct"/>
            <w:vMerge w:val="continue"/>
            <w:tcBorders>
              <w:tl2br w:val="nil"/>
              <w:tr2bl w:val="nil"/>
            </w:tcBorders>
            <w:noWrap/>
            <w:vAlign w:val="center"/>
          </w:tcPr>
          <w:p w14:paraId="46BEA417">
            <w:pPr>
              <w:jc w:val="center"/>
              <w:rPr>
                <w:rFonts w:hint="eastAsia" w:ascii="宋体" w:hAnsi="宋体" w:cs="宋体"/>
                <w:color w:val="auto"/>
                <w:szCs w:val="21"/>
                <w:lang w:val="en-US" w:eastAsia="zh-CN"/>
              </w:rPr>
            </w:pPr>
          </w:p>
        </w:tc>
      </w:tr>
      <w:tr w14:paraId="7F55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7E92A7A8">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472E5B8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20159A29">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测风仪</w:t>
            </w:r>
          </w:p>
        </w:tc>
        <w:tc>
          <w:tcPr>
            <w:tcW w:w="483" w:type="pct"/>
            <w:tcBorders>
              <w:tl2br w:val="nil"/>
              <w:tr2bl w:val="nil"/>
            </w:tcBorders>
            <w:shd w:val="clear" w:color="auto" w:fill="auto"/>
            <w:noWrap/>
            <w:vAlign w:val="center"/>
          </w:tcPr>
          <w:p w14:paraId="17671D65">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588" w:type="pct"/>
            <w:tcBorders>
              <w:tl2br w:val="nil"/>
              <w:tr2bl w:val="nil"/>
            </w:tcBorders>
            <w:shd w:val="clear" w:color="auto" w:fill="auto"/>
            <w:noWrap/>
            <w:vAlign w:val="center"/>
          </w:tcPr>
          <w:p w14:paraId="0ADB7B57">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24</w:t>
            </w:r>
          </w:p>
        </w:tc>
        <w:tc>
          <w:tcPr>
            <w:tcW w:w="582" w:type="pct"/>
            <w:tcBorders>
              <w:tl2br w:val="nil"/>
              <w:tr2bl w:val="nil"/>
            </w:tcBorders>
            <w:shd w:val="clear" w:color="auto" w:fill="auto"/>
            <w:noWrap/>
            <w:vAlign w:val="center"/>
          </w:tcPr>
          <w:p w14:paraId="3AE6F00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w:t>
            </w:r>
          </w:p>
        </w:tc>
        <w:tc>
          <w:tcPr>
            <w:tcW w:w="582" w:type="pct"/>
            <w:vMerge w:val="continue"/>
            <w:tcBorders>
              <w:tl2br w:val="nil"/>
              <w:tr2bl w:val="nil"/>
            </w:tcBorders>
            <w:noWrap/>
            <w:vAlign w:val="center"/>
          </w:tcPr>
          <w:p w14:paraId="521345B6">
            <w:pPr>
              <w:jc w:val="center"/>
              <w:rPr>
                <w:rFonts w:hint="eastAsia" w:ascii="宋体" w:hAnsi="宋体" w:cs="宋体"/>
                <w:color w:val="auto"/>
                <w:szCs w:val="21"/>
                <w:lang w:val="en-US" w:eastAsia="zh-CN"/>
              </w:rPr>
            </w:pPr>
          </w:p>
        </w:tc>
      </w:tr>
      <w:tr w14:paraId="1265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339" w:type="pct"/>
            <w:vMerge w:val="continue"/>
            <w:tcBorders>
              <w:tl2br w:val="nil"/>
              <w:tr2bl w:val="nil"/>
            </w:tcBorders>
            <w:noWrap/>
            <w:vAlign w:val="center"/>
          </w:tcPr>
          <w:p w14:paraId="3F6F608B">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0A60C79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3292364E">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运动相机</w:t>
            </w:r>
          </w:p>
        </w:tc>
        <w:tc>
          <w:tcPr>
            <w:tcW w:w="483" w:type="pct"/>
            <w:tcBorders>
              <w:tl2br w:val="nil"/>
              <w:tr2bl w:val="nil"/>
            </w:tcBorders>
            <w:shd w:val="clear" w:color="auto" w:fill="auto"/>
            <w:noWrap/>
            <w:vAlign w:val="center"/>
          </w:tcPr>
          <w:p w14:paraId="0E27FE42">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588" w:type="pct"/>
            <w:tcBorders>
              <w:tl2br w:val="nil"/>
              <w:tr2bl w:val="nil"/>
            </w:tcBorders>
            <w:shd w:val="clear" w:color="auto" w:fill="auto"/>
            <w:noWrap/>
            <w:vAlign w:val="center"/>
          </w:tcPr>
          <w:p w14:paraId="055377BE">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3</w:t>
            </w:r>
          </w:p>
        </w:tc>
        <w:tc>
          <w:tcPr>
            <w:tcW w:w="582" w:type="pct"/>
            <w:tcBorders>
              <w:tl2br w:val="nil"/>
              <w:tr2bl w:val="nil"/>
            </w:tcBorders>
            <w:shd w:val="clear" w:color="auto" w:fill="auto"/>
            <w:noWrap/>
            <w:vAlign w:val="center"/>
          </w:tcPr>
          <w:p w14:paraId="08D3164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5</w:t>
            </w:r>
          </w:p>
        </w:tc>
        <w:tc>
          <w:tcPr>
            <w:tcW w:w="582" w:type="pct"/>
            <w:vMerge w:val="continue"/>
            <w:tcBorders>
              <w:tl2br w:val="nil"/>
              <w:tr2bl w:val="nil"/>
            </w:tcBorders>
            <w:noWrap/>
            <w:vAlign w:val="center"/>
          </w:tcPr>
          <w:p w14:paraId="6A765D12">
            <w:pPr>
              <w:jc w:val="center"/>
              <w:rPr>
                <w:rFonts w:hint="eastAsia" w:ascii="宋体" w:hAnsi="宋体" w:cs="宋体"/>
                <w:color w:val="auto"/>
                <w:szCs w:val="21"/>
                <w:lang w:val="en-US" w:eastAsia="zh-CN"/>
              </w:rPr>
            </w:pPr>
          </w:p>
        </w:tc>
      </w:tr>
      <w:tr w14:paraId="086C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4FBE376D">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5895F1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29023E8F">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频闪灯</w:t>
            </w:r>
          </w:p>
        </w:tc>
        <w:tc>
          <w:tcPr>
            <w:tcW w:w="483" w:type="pct"/>
            <w:tcBorders>
              <w:tl2br w:val="nil"/>
              <w:tr2bl w:val="nil"/>
            </w:tcBorders>
            <w:shd w:val="clear" w:color="auto" w:fill="auto"/>
            <w:noWrap/>
            <w:vAlign w:val="center"/>
          </w:tcPr>
          <w:p w14:paraId="2DFE08D0">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110</w:t>
            </w:r>
          </w:p>
        </w:tc>
        <w:tc>
          <w:tcPr>
            <w:tcW w:w="588" w:type="pct"/>
            <w:tcBorders>
              <w:tl2br w:val="nil"/>
              <w:tr2bl w:val="nil"/>
            </w:tcBorders>
            <w:shd w:val="clear" w:color="auto" w:fill="auto"/>
            <w:noWrap/>
            <w:vAlign w:val="center"/>
          </w:tcPr>
          <w:p w14:paraId="6AE9CDF7">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15</w:t>
            </w:r>
          </w:p>
        </w:tc>
        <w:tc>
          <w:tcPr>
            <w:tcW w:w="582" w:type="pct"/>
            <w:tcBorders>
              <w:tl2br w:val="nil"/>
              <w:tr2bl w:val="nil"/>
            </w:tcBorders>
            <w:shd w:val="clear" w:color="auto" w:fill="auto"/>
            <w:noWrap/>
            <w:vAlign w:val="center"/>
          </w:tcPr>
          <w:p w14:paraId="5B7F1E2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65</w:t>
            </w:r>
          </w:p>
        </w:tc>
        <w:tc>
          <w:tcPr>
            <w:tcW w:w="582" w:type="pct"/>
            <w:vMerge w:val="continue"/>
            <w:tcBorders>
              <w:tl2br w:val="nil"/>
              <w:tr2bl w:val="nil"/>
            </w:tcBorders>
            <w:noWrap/>
            <w:vAlign w:val="center"/>
          </w:tcPr>
          <w:p w14:paraId="09DD04DA">
            <w:pPr>
              <w:jc w:val="center"/>
              <w:rPr>
                <w:rFonts w:hint="eastAsia" w:ascii="宋体" w:hAnsi="宋体" w:cs="宋体"/>
                <w:color w:val="auto"/>
                <w:szCs w:val="21"/>
                <w:lang w:val="en-US" w:eastAsia="zh-CN"/>
              </w:rPr>
            </w:pPr>
          </w:p>
        </w:tc>
      </w:tr>
      <w:tr w14:paraId="31C5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12805A15">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358BF9B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6A83D4BD">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eastAsia="宋体" w:cs="宋体"/>
                <w:i w:val="0"/>
                <w:iCs w:val="0"/>
                <w:color w:val="auto"/>
                <w:kern w:val="0"/>
                <w:sz w:val="21"/>
                <w:szCs w:val="21"/>
                <w:u w:val="none"/>
                <w:lang w:val="en-US" w:eastAsia="zh-CN" w:bidi="ar"/>
              </w:rPr>
              <w:t>多功能刀具</w:t>
            </w:r>
          </w:p>
        </w:tc>
        <w:tc>
          <w:tcPr>
            <w:tcW w:w="483" w:type="pct"/>
            <w:tcBorders>
              <w:tl2br w:val="nil"/>
              <w:tr2bl w:val="nil"/>
            </w:tcBorders>
            <w:shd w:val="clear" w:color="auto" w:fill="auto"/>
            <w:noWrap/>
            <w:vAlign w:val="center"/>
          </w:tcPr>
          <w:p w14:paraId="144AD855">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588" w:type="pct"/>
            <w:tcBorders>
              <w:tl2br w:val="nil"/>
              <w:tr2bl w:val="nil"/>
            </w:tcBorders>
            <w:shd w:val="clear" w:color="auto" w:fill="auto"/>
            <w:noWrap/>
            <w:vAlign w:val="center"/>
          </w:tcPr>
          <w:p w14:paraId="4ECF6854">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3</w:t>
            </w:r>
          </w:p>
        </w:tc>
        <w:tc>
          <w:tcPr>
            <w:tcW w:w="582" w:type="pct"/>
            <w:tcBorders>
              <w:tl2br w:val="nil"/>
              <w:tr2bl w:val="nil"/>
            </w:tcBorders>
            <w:shd w:val="clear" w:color="auto" w:fill="auto"/>
            <w:noWrap/>
            <w:vAlign w:val="center"/>
          </w:tcPr>
          <w:p w14:paraId="09F117ED">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3</w:t>
            </w:r>
          </w:p>
        </w:tc>
        <w:tc>
          <w:tcPr>
            <w:tcW w:w="582" w:type="pct"/>
            <w:vMerge w:val="continue"/>
            <w:tcBorders>
              <w:tl2br w:val="nil"/>
              <w:tr2bl w:val="nil"/>
            </w:tcBorders>
            <w:noWrap/>
            <w:vAlign w:val="center"/>
          </w:tcPr>
          <w:p w14:paraId="33C7E7A2">
            <w:pPr>
              <w:jc w:val="center"/>
              <w:rPr>
                <w:rFonts w:hint="eastAsia" w:ascii="宋体" w:hAnsi="宋体" w:cs="宋体"/>
                <w:color w:val="auto"/>
                <w:szCs w:val="21"/>
                <w:lang w:val="en-US" w:eastAsia="zh-CN"/>
              </w:rPr>
            </w:pPr>
          </w:p>
        </w:tc>
      </w:tr>
      <w:tr w14:paraId="5651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0BD7113C">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3F1F8C8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1400CC7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自喷荧光漆</w:t>
            </w:r>
          </w:p>
        </w:tc>
        <w:tc>
          <w:tcPr>
            <w:tcW w:w="483" w:type="pct"/>
            <w:tcBorders>
              <w:tl2br w:val="nil"/>
              <w:tr2bl w:val="nil"/>
            </w:tcBorders>
            <w:shd w:val="clear" w:color="auto" w:fill="auto"/>
            <w:noWrap/>
            <w:vAlign w:val="center"/>
          </w:tcPr>
          <w:p w14:paraId="467E85F6">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w:t>
            </w:r>
          </w:p>
        </w:tc>
        <w:tc>
          <w:tcPr>
            <w:tcW w:w="588" w:type="pct"/>
            <w:tcBorders>
              <w:tl2br w:val="nil"/>
              <w:tr2bl w:val="nil"/>
            </w:tcBorders>
            <w:shd w:val="clear" w:color="auto" w:fill="auto"/>
            <w:noWrap/>
            <w:vAlign w:val="center"/>
          </w:tcPr>
          <w:p w14:paraId="529440B3">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0.00</w:t>
            </w:r>
            <w:r>
              <w:rPr>
                <w:rFonts w:hint="eastAsia" w:ascii="宋体" w:hAnsi="宋体" w:eastAsia="宋体" w:cs="宋体"/>
                <w:i w:val="0"/>
                <w:iCs w:val="0"/>
                <w:color w:val="auto"/>
                <w:kern w:val="0"/>
                <w:sz w:val="21"/>
                <w:szCs w:val="21"/>
                <w:u w:val="none"/>
                <w:lang w:val="en-US" w:eastAsia="zh-CN" w:bidi="ar"/>
              </w:rPr>
              <w:t>4</w:t>
            </w:r>
          </w:p>
        </w:tc>
        <w:tc>
          <w:tcPr>
            <w:tcW w:w="582" w:type="pct"/>
            <w:tcBorders>
              <w:tl2br w:val="nil"/>
              <w:tr2bl w:val="nil"/>
            </w:tcBorders>
            <w:shd w:val="clear" w:color="auto" w:fill="auto"/>
            <w:noWrap/>
            <w:vAlign w:val="center"/>
          </w:tcPr>
          <w:p w14:paraId="3819E19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2</w:t>
            </w:r>
          </w:p>
        </w:tc>
        <w:tc>
          <w:tcPr>
            <w:tcW w:w="582" w:type="pct"/>
            <w:vMerge w:val="continue"/>
            <w:tcBorders>
              <w:tl2br w:val="nil"/>
              <w:tr2bl w:val="nil"/>
            </w:tcBorders>
            <w:noWrap/>
            <w:vAlign w:val="center"/>
          </w:tcPr>
          <w:p w14:paraId="6FE3F2DA">
            <w:pPr>
              <w:jc w:val="center"/>
              <w:rPr>
                <w:rFonts w:hint="eastAsia" w:ascii="宋体" w:hAnsi="宋体" w:cs="宋体"/>
                <w:color w:val="auto"/>
                <w:szCs w:val="21"/>
                <w:lang w:val="en-US" w:eastAsia="zh-CN"/>
              </w:rPr>
            </w:pPr>
          </w:p>
        </w:tc>
      </w:tr>
      <w:tr w14:paraId="6D2A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40164923">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58B9371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6C1CEDB5">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各类警示牌</w:t>
            </w:r>
          </w:p>
        </w:tc>
        <w:tc>
          <w:tcPr>
            <w:tcW w:w="483" w:type="pct"/>
            <w:tcBorders>
              <w:tl2br w:val="nil"/>
              <w:tr2bl w:val="nil"/>
            </w:tcBorders>
            <w:shd w:val="clear" w:color="auto" w:fill="auto"/>
            <w:noWrap/>
            <w:vAlign w:val="center"/>
          </w:tcPr>
          <w:p w14:paraId="0B1B93C2">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p>
        </w:tc>
        <w:tc>
          <w:tcPr>
            <w:tcW w:w="588" w:type="pct"/>
            <w:tcBorders>
              <w:tl2br w:val="nil"/>
              <w:tr2bl w:val="nil"/>
            </w:tcBorders>
            <w:shd w:val="clear" w:color="auto" w:fill="auto"/>
            <w:noWrap/>
            <w:vAlign w:val="center"/>
          </w:tcPr>
          <w:p w14:paraId="59647E8F">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2</w:t>
            </w:r>
          </w:p>
        </w:tc>
        <w:tc>
          <w:tcPr>
            <w:tcW w:w="582" w:type="pct"/>
            <w:tcBorders>
              <w:tl2br w:val="nil"/>
              <w:tr2bl w:val="nil"/>
            </w:tcBorders>
            <w:shd w:val="clear" w:color="auto" w:fill="auto"/>
            <w:noWrap/>
            <w:vAlign w:val="center"/>
          </w:tcPr>
          <w:p w14:paraId="1B2831C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8</w:t>
            </w:r>
          </w:p>
        </w:tc>
        <w:tc>
          <w:tcPr>
            <w:tcW w:w="582" w:type="pct"/>
            <w:vMerge w:val="continue"/>
            <w:tcBorders>
              <w:tl2br w:val="nil"/>
              <w:tr2bl w:val="nil"/>
            </w:tcBorders>
            <w:noWrap/>
            <w:vAlign w:val="center"/>
          </w:tcPr>
          <w:p w14:paraId="05F6D220">
            <w:pPr>
              <w:jc w:val="center"/>
              <w:rPr>
                <w:rFonts w:hint="eastAsia" w:ascii="宋体" w:hAnsi="宋体" w:cs="宋体"/>
                <w:color w:val="auto"/>
                <w:szCs w:val="21"/>
                <w:lang w:val="en-US" w:eastAsia="zh-CN"/>
              </w:rPr>
            </w:pPr>
          </w:p>
        </w:tc>
      </w:tr>
      <w:tr w14:paraId="4E1D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209F63CE">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4D686BD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245B1F84">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隔离警示带</w:t>
            </w:r>
          </w:p>
        </w:tc>
        <w:tc>
          <w:tcPr>
            <w:tcW w:w="483" w:type="pct"/>
            <w:tcBorders>
              <w:tl2br w:val="nil"/>
              <w:tr2bl w:val="nil"/>
            </w:tcBorders>
            <w:shd w:val="clear" w:color="auto" w:fill="auto"/>
            <w:noWrap/>
            <w:vAlign w:val="center"/>
          </w:tcPr>
          <w:p w14:paraId="37718938">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37</w:t>
            </w:r>
          </w:p>
        </w:tc>
        <w:tc>
          <w:tcPr>
            <w:tcW w:w="588" w:type="pct"/>
            <w:tcBorders>
              <w:tl2br w:val="nil"/>
              <w:tr2bl w:val="nil"/>
            </w:tcBorders>
            <w:shd w:val="clear" w:color="auto" w:fill="auto"/>
            <w:noWrap/>
            <w:vAlign w:val="center"/>
          </w:tcPr>
          <w:p w14:paraId="01C554E5">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0.0</w:t>
            </w:r>
            <w:r>
              <w:rPr>
                <w:rFonts w:hint="eastAsia" w:ascii="宋体" w:hAnsi="宋体" w:eastAsia="宋体" w:cs="宋体"/>
                <w:i w:val="0"/>
                <w:iCs w:val="0"/>
                <w:color w:val="auto"/>
                <w:kern w:val="0"/>
                <w:sz w:val="21"/>
                <w:szCs w:val="21"/>
                <w:u w:val="none"/>
                <w:lang w:val="en-US" w:eastAsia="zh-CN" w:bidi="ar"/>
              </w:rPr>
              <w:t>2</w:t>
            </w:r>
          </w:p>
        </w:tc>
        <w:tc>
          <w:tcPr>
            <w:tcW w:w="582" w:type="pct"/>
            <w:tcBorders>
              <w:tl2br w:val="nil"/>
              <w:tr2bl w:val="nil"/>
            </w:tcBorders>
            <w:shd w:val="clear" w:color="auto" w:fill="auto"/>
            <w:noWrap/>
            <w:vAlign w:val="center"/>
          </w:tcPr>
          <w:p w14:paraId="513A149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74</w:t>
            </w:r>
          </w:p>
        </w:tc>
        <w:tc>
          <w:tcPr>
            <w:tcW w:w="582" w:type="pct"/>
            <w:vMerge w:val="continue"/>
            <w:tcBorders>
              <w:tl2br w:val="nil"/>
              <w:tr2bl w:val="nil"/>
            </w:tcBorders>
            <w:noWrap/>
            <w:vAlign w:val="center"/>
          </w:tcPr>
          <w:p w14:paraId="248F07E5">
            <w:pPr>
              <w:jc w:val="center"/>
              <w:rPr>
                <w:rFonts w:hint="eastAsia" w:ascii="宋体" w:hAnsi="宋体" w:cs="宋体"/>
                <w:color w:val="auto"/>
                <w:szCs w:val="21"/>
                <w:lang w:val="en-US" w:eastAsia="zh-CN"/>
              </w:rPr>
            </w:pPr>
          </w:p>
        </w:tc>
      </w:tr>
      <w:tr w14:paraId="3D8F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4BBDD2C6">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2F15321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3DFF4399">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注入式堵漏工具</w:t>
            </w:r>
          </w:p>
        </w:tc>
        <w:tc>
          <w:tcPr>
            <w:tcW w:w="483" w:type="pct"/>
            <w:tcBorders>
              <w:tl2br w:val="nil"/>
              <w:tr2bl w:val="nil"/>
            </w:tcBorders>
            <w:shd w:val="clear" w:color="auto" w:fill="auto"/>
            <w:noWrap/>
            <w:vAlign w:val="center"/>
          </w:tcPr>
          <w:p w14:paraId="4F0E34BC">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588" w:type="pct"/>
            <w:tcBorders>
              <w:tl2br w:val="nil"/>
              <w:tr2bl w:val="nil"/>
            </w:tcBorders>
            <w:shd w:val="clear" w:color="auto" w:fill="auto"/>
            <w:noWrap/>
            <w:vAlign w:val="center"/>
          </w:tcPr>
          <w:p w14:paraId="67D2EDD7">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5</w:t>
            </w:r>
          </w:p>
        </w:tc>
        <w:tc>
          <w:tcPr>
            <w:tcW w:w="582" w:type="pct"/>
            <w:tcBorders>
              <w:tl2br w:val="nil"/>
              <w:tr2bl w:val="nil"/>
            </w:tcBorders>
            <w:shd w:val="clear" w:color="auto" w:fill="auto"/>
            <w:noWrap/>
            <w:vAlign w:val="center"/>
          </w:tcPr>
          <w:p w14:paraId="050CB9F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5</w:t>
            </w:r>
          </w:p>
        </w:tc>
        <w:tc>
          <w:tcPr>
            <w:tcW w:w="582" w:type="pct"/>
            <w:vMerge w:val="continue"/>
            <w:tcBorders>
              <w:tl2br w:val="nil"/>
              <w:tr2bl w:val="nil"/>
            </w:tcBorders>
            <w:noWrap/>
            <w:vAlign w:val="center"/>
          </w:tcPr>
          <w:p w14:paraId="0203A84B">
            <w:pPr>
              <w:jc w:val="center"/>
              <w:rPr>
                <w:rFonts w:hint="eastAsia" w:ascii="宋体" w:hAnsi="宋体" w:cs="宋体"/>
                <w:color w:val="auto"/>
                <w:szCs w:val="21"/>
                <w:lang w:val="en-US" w:eastAsia="zh-CN"/>
              </w:rPr>
            </w:pPr>
          </w:p>
        </w:tc>
      </w:tr>
      <w:tr w14:paraId="47CF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5E97F105">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4077119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60B6BD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无火花工具</w:t>
            </w:r>
          </w:p>
        </w:tc>
        <w:tc>
          <w:tcPr>
            <w:tcW w:w="483" w:type="pct"/>
            <w:tcBorders>
              <w:tl2br w:val="nil"/>
              <w:tr2bl w:val="nil"/>
            </w:tcBorders>
            <w:shd w:val="clear" w:color="auto" w:fill="auto"/>
            <w:noWrap/>
            <w:vAlign w:val="center"/>
          </w:tcPr>
          <w:p w14:paraId="24C87C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588" w:type="pct"/>
            <w:tcBorders>
              <w:tl2br w:val="nil"/>
              <w:tr2bl w:val="nil"/>
            </w:tcBorders>
            <w:shd w:val="clear" w:color="auto" w:fill="auto"/>
            <w:noWrap/>
            <w:vAlign w:val="center"/>
          </w:tcPr>
          <w:p w14:paraId="5608FF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22</w:t>
            </w:r>
          </w:p>
        </w:tc>
        <w:tc>
          <w:tcPr>
            <w:tcW w:w="582" w:type="pct"/>
            <w:tcBorders>
              <w:tl2br w:val="nil"/>
              <w:tr2bl w:val="nil"/>
            </w:tcBorders>
            <w:shd w:val="clear" w:color="auto" w:fill="auto"/>
            <w:noWrap/>
            <w:vAlign w:val="center"/>
          </w:tcPr>
          <w:p w14:paraId="60BEC6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p>
        </w:tc>
        <w:tc>
          <w:tcPr>
            <w:tcW w:w="582" w:type="pct"/>
            <w:vMerge w:val="continue"/>
            <w:tcBorders>
              <w:tl2br w:val="nil"/>
              <w:tr2bl w:val="nil"/>
            </w:tcBorders>
            <w:noWrap/>
            <w:vAlign w:val="center"/>
          </w:tcPr>
          <w:p w14:paraId="232C491A">
            <w:pPr>
              <w:jc w:val="center"/>
              <w:rPr>
                <w:rFonts w:hint="eastAsia" w:ascii="宋体" w:hAnsi="宋体" w:cs="宋体"/>
                <w:color w:val="auto"/>
                <w:szCs w:val="21"/>
                <w:lang w:val="en-US" w:eastAsia="zh-CN"/>
              </w:rPr>
            </w:pPr>
          </w:p>
        </w:tc>
      </w:tr>
      <w:tr w14:paraId="3D7C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restart"/>
            <w:tcBorders>
              <w:tl2br w:val="nil"/>
              <w:tr2bl w:val="nil"/>
            </w:tcBorders>
            <w:noWrap/>
            <w:vAlign w:val="center"/>
          </w:tcPr>
          <w:p w14:paraId="0A63DC71">
            <w:pPr>
              <w:jc w:val="center"/>
              <w:rPr>
                <w:rFonts w:ascii="宋体" w:hAnsi="宋体" w:cs="宋体"/>
                <w:color w:val="auto"/>
                <w:szCs w:val="21"/>
              </w:rPr>
            </w:pPr>
            <w:r>
              <w:rPr>
                <w:rFonts w:hint="eastAsia" w:ascii="宋体" w:hAnsi="宋体" w:cs="宋体"/>
                <w:color w:val="auto"/>
                <w:szCs w:val="21"/>
              </w:rPr>
              <w:t>3</w:t>
            </w:r>
          </w:p>
        </w:tc>
        <w:tc>
          <w:tcPr>
            <w:tcW w:w="1002" w:type="pct"/>
            <w:vMerge w:val="restart"/>
            <w:tcBorders>
              <w:tl2br w:val="nil"/>
              <w:tr2bl w:val="nil"/>
            </w:tcBorders>
            <w:noWrap/>
            <w:vAlign w:val="center"/>
          </w:tcPr>
          <w:p w14:paraId="0E8E10EE">
            <w:pPr>
              <w:rPr>
                <w:rFonts w:hint="eastAsia" w:ascii="宋体" w:hAnsi="宋体" w:eastAsia="宋体" w:cs="宋体"/>
                <w:color w:val="auto"/>
                <w:szCs w:val="21"/>
                <w:shd w:val="clear" w:color="auto" w:fill="FFFFFF" w:themeFill="background1"/>
                <w:lang w:val="en-US" w:eastAsia="zh-CN"/>
              </w:rPr>
            </w:pPr>
            <w:r>
              <w:rPr>
                <w:rFonts w:hint="eastAsia" w:ascii="宋体" w:hAnsi="宋体" w:cs="宋体"/>
                <w:color w:val="auto"/>
                <w:szCs w:val="21"/>
                <w:shd w:val="clear" w:color="auto" w:fill="FFFFFF" w:themeFill="background1"/>
              </w:rPr>
              <w:t>橡皮艇≥8人（不配舷外机）</w:t>
            </w:r>
            <w:r>
              <w:rPr>
                <w:rFonts w:hint="eastAsia" w:ascii="宋体" w:hAnsi="宋体" w:cs="宋体"/>
                <w:color w:val="auto"/>
                <w:szCs w:val="21"/>
                <w:shd w:val="clear" w:color="auto" w:fill="FFFFFF" w:themeFill="background1"/>
                <w:lang w:val="en-US" w:eastAsia="zh-CN"/>
              </w:rPr>
              <w:t>等设备</w:t>
            </w:r>
          </w:p>
        </w:tc>
        <w:tc>
          <w:tcPr>
            <w:tcW w:w="1421" w:type="pct"/>
            <w:tcBorders>
              <w:tl2br w:val="nil"/>
              <w:tr2bl w:val="nil"/>
            </w:tcBorders>
            <w:noWrap/>
            <w:vAlign w:val="center"/>
          </w:tcPr>
          <w:p w14:paraId="4BB39F13">
            <w:pP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cs="宋体"/>
                <w:color w:val="auto"/>
                <w:szCs w:val="21"/>
                <w:shd w:val="clear" w:color="auto" w:fill="FFFFFF" w:themeFill="background1"/>
              </w:rPr>
              <w:t>●橡皮艇≥8人（不配舷外机）</w:t>
            </w:r>
          </w:p>
        </w:tc>
        <w:tc>
          <w:tcPr>
            <w:tcW w:w="483" w:type="pct"/>
            <w:tcBorders>
              <w:tl2br w:val="nil"/>
              <w:tr2bl w:val="nil"/>
            </w:tcBorders>
            <w:noWrap/>
            <w:vAlign w:val="center"/>
          </w:tcPr>
          <w:p w14:paraId="4947E6E0">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588" w:type="pct"/>
            <w:tcBorders>
              <w:tl2br w:val="nil"/>
              <w:tr2bl w:val="nil"/>
            </w:tcBorders>
            <w:noWrap/>
            <w:vAlign w:val="center"/>
          </w:tcPr>
          <w:p w14:paraId="0C10F484">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85</w:t>
            </w:r>
          </w:p>
        </w:tc>
        <w:tc>
          <w:tcPr>
            <w:tcW w:w="582" w:type="pct"/>
            <w:tcBorders>
              <w:tl2br w:val="nil"/>
              <w:tr2bl w:val="nil"/>
            </w:tcBorders>
            <w:noWrap/>
            <w:vAlign w:val="center"/>
          </w:tcPr>
          <w:p w14:paraId="2DE4027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85</w:t>
            </w:r>
          </w:p>
        </w:tc>
        <w:tc>
          <w:tcPr>
            <w:tcW w:w="582" w:type="pct"/>
            <w:vMerge w:val="restart"/>
            <w:tcBorders>
              <w:tl2br w:val="nil"/>
              <w:tr2bl w:val="nil"/>
            </w:tcBorders>
            <w:noWrap/>
            <w:vAlign w:val="center"/>
          </w:tcPr>
          <w:p w14:paraId="61C9BDF6">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33.482</w:t>
            </w:r>
          </w:p>
        </w:tc>
      </w:tr>
      <w:tr w14:paraId="5FDB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4AC7E3ED">
            <w:pPr>
              <w:jc w:val="center"/>
              <w:rPr>
                <w:rFonts w:hint="eastAsia" w:ascii="宋体" w:hAnsi="宋体" w:cs="宋体"/>
                <w:color w:val="auto"/>
                <w:szCs w:val="21"/>
              </w:rPr>
            </w:pPr>
          </w:p>
        </w:tc>
        <w:tc>
          <w:tcPr>
            <w:tcW w:w="1002" w:type="pct"/>
            <w:vMerge w:val="continue"/>
            <w:tcBorders>
              <w:tl2br w:val="nil"/>
              <w:tr2bl w:val="nil"/>
            </w:tcBorders>
            <w:noWrap/>
            <w:vAlign w:val="center"/>
          </w:tcPr>
          <w:p w14:paraId="44ACC957">
            <w:pPr>
              <w:rPr>
                <w:rFonts w:hint="eastAsia" w:ascii="宋体" w:hAnsi="宋体" w:cs="宋体"/>
                <w:color w:val="auto"/>
                <w:szCs w:val="21"/>
                <w:shd w:val="clear" w:color="auto" w:fill="FFFFFF" w:themeFill="background1"/>
              </w:rPr>
            </w:pPr>
          </w:p>
        </w:tc>
        <w:tc>
          <w:tcPr>
            <w:tcW w:w="1421" w:type="pct"/>
            <w:tcBorders>
              <w:tl2br w:val="nil"/>
              <w:tr2bl w:val="nil"/>
            </w:tcBorders>
            <w:noWrap/>
            <w:vAlign w:val="center"/>
          </w:tcPr>
          <w:p w14:paraId="5CF05C49">
            <w:pP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cs="宋体"/>
                <w:color w:val="auto"/>
                <w:szCs w:val="21"/>
                <w:shd w:val="clear" w:color="auto" w:fill="FFFFFF" w:themeFill="background1"/>
              </w:rPr>
              <w:t>橡皮艇≥6人（不配舷外机）</w:t>
            </w:r>
          </w:p>
        </w:tc>
        <w:tc>
          <w:tcPr>
            <w:tcW w:w="483" w:type="pct"/>
            <w:tcBorders>
              <w:tl2br w:val="nil"/>
              <w:tr2bl w:val="nil"/>
            </w:tcBorders>
            <w:noWrap/>
            <w:vAlign w:val="center"/>
          </w:tcPr>
          <w:p w14:paraId="47E43024">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588" w:type="pct"/>
            <w:tcBorders>
              <w:tl2br w:val="nil"/>
              <w:tr2bl w:val="nil"/>
            </w:tcBorders>
            <w:noWrap/>
            <w:vAlign w:val="center"/>
          </w:tcPr>
          <w:p w14:paraId="713B0229">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75</w:t>
            </w:r>
          </w:p>
        </w:tc>
        <w:tc>
          <w:tcPr>
            <w:tcW w:w="582" w:type="pct"/>
            <w:tcBorders>
              <w:tl2br w:val="nil"/>
              <w:tr2bl w:val="nil"/>
            </w:tcBorders>
            <w:noWrap/>
            <w:vAlign w:val="center"/>
          </w:tcPr>
          <w:p w14:paraId="766F35D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75</w:t>
            </w:r>
          </w:p>
        </w:tc>
        <w:tc>
          <w:tcPr>
            <w:tcW w:w="582" w:type="pct"/>
            <w:vMerge w:val="continue"/>
            <w:tcBorders>
              <w:tl2br w:val="nil"/>
              <w:tr2bl w:val="nil"/>
            </w:tcBorders>
            <w:noWrap/>
            <w:vAlign w:val="center"/>
          </w:tcPr>
          <w:p w14:paraId="3F42AC08">
            <w:pPr>
              <w:jc w:val="center"/>
              <w:rPr>
                <w:rFonts w:hint="eastAsia" w:ascii="宋体" w:hAnsi="宋体" w:cs="宋体"/>
                <w:color w:val="auto"/>
                <w:szCs w:val="21"/>
              </w:rPr>
            </w:pPr>
          </w:p>
        </w:tc>
      </w:tr>
      <w:tr w14:paraId="6215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1DB59C6B">
            <w:pPr>
              <w:jc w:val="center"/>
              <w:rPr>
                <w:rFonts w:hint="eastAsia" w:ascii="宋体" w:hAnsi="宋体" w:cs="宋体"/>
                <w:color w:val="auto"/>
                <w:szCs w:val="21"/>
              </w:rPr>
            </w:pPr>
          </w:p>
        </w:tc>
        <w:tc>
          <w:tcPr>
            <w:tcW w:w="1002" w:type="pct"/>
            <w:vMerge w:val="continue"/>
            <w:tcBorders>
              <w:tl2br w:val="nil"/>
              <w:tr2bl w:val="nil"/>
            </w:tcBorders>
            <w:noWrap/>
            <w:vAlign w:val="center"/>
          </w:tcPr>
          <w:p w14:paraId="760F4299">
            <w:pPr>
              <w:rPr>
                <w:rFonts w:hint="eastAsia" w:ascii="宋体" w:hAnsi="宋体" w:cs="宋体"/>
                <w:color w:val="auto"/>
                <w:szCs w:val="21"/>
                <w:shd w:val="clear" w:color="auto" w:fill="FFFFFF" w:themeFill="background1"/>
              </w:rPr>
            </w:pPr>
          </w:p>
        </w:tc>
        <w:tc>
          <w:tcPr>
            <w:tcW w:w="1421" w:type="pct"/>
            <w:tcBorders>
              <w:tl2br w:val="nil"/>
              <w:tr2bl w:val="nil"/>
            </w:tcBorders>
            <w:noWrap/>
            <w:vAlign w:val="center"/>
          </w:tcPr>
          <w:p w14:paraId="40ECC4E7">
            <w:pPr>
              <w:rPr>
                <w:rFonts w:hint="eastAsia" w:ascii="宋体" w:hAnsi="宋体" w:cs="宋体"/>
                <w:color w:val="auto"/>
                <w:szCs w:val="21"/>
                <w:shd w:val="clear" w:color="auto" w:fill="FFFFFF" w:themeFill="background1"/>
              </w:rPr>
            </w:pPr>
            <w:r>
              <w:rPr>
                <w:rFonts w:hint="eastAsia" w:ascii="宋体" w:hAnsi="宋体" w:cs="宋体"/>
                <w:color w:val="auto"/>
                <w:szCs w:val="21"/>
                <w:shd w:val="clear" w:color="auto" w:fill="FFFFFF" w:themeFill="background1"/>
              </w:rPr>
              <w:t>螺旋桨式舷外机≥30马力（短轴）</w:t>
            </w:r>
          </w:p>
        </w:tc>
        <w:tc>
          <w:tcPr>
            <w:tcW w:w="483" w:type="pct"/>
            <w:tcBorders>
              <w:tl2br w:val="nil"/>
              <w:tr2bl w:val="nil"/>
            </w:tcBorders>
            <w:noWrap/>
            <w:vAlign w:val="center"/>
          </w:tcPr>
          <w:p w14:paraId="47279A55">
            <w:pPr>
              <w:keepNext w:val="0"/>
              <w:keepLines w:val="0"/>
              <w:widowControl/>
              <w:suppressLineNumbers w:val="0"/>
              <w:jc w:val="center"/>
              <w:textAlignment w:val="center"/>
              <w:rPr>
                <w:rFonts w:hint="eastAsia" w:ascii="宋体" w:hAnsi="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588" w:type="pct"/>
            <w:tcBorders>
              <w:tl2br w:val="nil"/>
              <w:tr2bl w:val="nil"/>
            </w:tcBorders>
            <w:noWrap/>
            <w:vAlign w:val="center"/>
          </w:tcPr>
          <w:p w14:paraId="05C08B17">
            <w:pPr>
              <w:keepNext w:val="0"/>
              <w:keepLines w:val="0"/>
              <w:widowControl/>
              <w:suppressLineNumbers w:val="0"/>
              <w:jc w:val="center"/>
              <w:textAlignment w:val="center"/>
              <w:rPr>
                <w:rFonts w:hint="eastAsia" w:ascii="宋体" w:hAnsi="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35</w:t>
            </w:r>
          </w:p>
        </w:tc>
        <w:tc>
          <w:tcPr>
            <w:tcW w:w="582" w:type="pct"/>
            <w:tcBorders>
              <w:tl2br w:val="nil"/>
              <w:tr2bl w:val="nil"/>
            </w:tcBorders>
            <w:noWrap/>
            <w:vAlign w:val="center"/>
          </w:tcPr>
          <w:p w14:paraId="6EA7AEB4">
            <w:pPr>
              <w:keepNext w:val="0"/>
              <w:keepLines w:val="0"/>
              <w:widowControl/>
              <w:suppressLineNumbers w:val="0"/>
              <w:jc w:val="center"/>
              <w:textAlignment w:val="center"/>
              <w:rPr>
                <w:rFonts w:hint="eastAsia"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7</w:t>
            </w:r>
          </w:p>
        </w:tc>
        <w:tc>
          <w:tcPr>
            <w:tcW w:w="582" w:type="pct"/>
            <w:vMerge w:val="continue"/>
            <w:tcBorders>
              <w:tl2br w:val="nil"/>
              <w:tr2bl w:val="nil"/>
            </w:tcBorders>
            <w:noWrap/>
            <w:vAlign w:val="center"/>
          </w:tcPr>
          <w:p w14:paraId="548BC420">
            <w:pPr>
              <w:jc w:val="center"/>
              <w:rPr>
                <w:rFonts w:hint="eastAsia" w:ascii="宋体" w:hAnsi="宋体" w:cs="宋体"/>
                <w:color w:val="auto"/>
                <w:szCs w:val="21"/>
              </w:rPr>
            </w:pPr>
          </w:p>
        </w:tc>
      </w:tr>
      <w:tr w14:paraId="1731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21B07076">
            <w:pPr>
              <w:jc w:val="center"/>
              <w:rPr>
                <w:rFonts w:hint="eastAsia" w:ascii="宋体" w:hAnsi="宋体" w:cs="宋体"/>
                <w:color w:val="auto"/>
                <w:szCs w:val="21"/>
              </w:rPr>
            </w:pPr>
          </w:p>
        </w:tc>
        <w:tc>
          <w:tcPr>
            <w:tcW w:w="1002" w:type="pct"/>
            <w:vMerge w:val="continue"/>
            <w:tcBorders>
              <w:tl2br w:val="nil"/>
              <w:tr2bl w:val="nil"/>
            </w:tcBorders>
            <w:noWrap/>
            <w:vAlign w:val="center"/>
          </w:tcPr>
          <w:p w14:paraId="2796E400">
            <w:pPr>
              <w:rPr>
                <w:rFonts w:hint="eastAsia" w:ascii="宋体" w:hAnsi="宋体" w:cs="宋体"/>
                <w:color w:val="auto"/>
                <w:szCs w:val="21"/>
                <w:shd w:val="clear" w:color="auto" w:fill="FFFFFF" w:themeFill="background1"/>
              </w:rPr>
            </w:pPr>
          </w:p>
        </w:tc>
        <w:tc>
          <w:tcPr>
            <w:tcW w:w="1421" w:type="pct"/>
            <w:tcBorders>
              <w:tl2br w:val="nil"/>
              <w:tr2bl w:val="nil"/>
            </w:tcBorders>
            <w:noWrap/>
            <w:vAlign w:val="center"/>
          </w:tcPr>
          <w:p w14:paraId="59091C33">
            <w:pPr>
              <w:rPr>
                <w:rFonts w:hint="eastAsia" w:ascii="宋体" w:hAnsi="宋体" w:cs="宋体"/>
                <w:color w:val="auto"/>
                <w:szCs w:val="21"/>
                <w:shd w:val="clear" w:color="auto" w:fill="FFFFFF" w:themeFill="background1"/>
              </w:rPr>
            </w:pPr>
            <w:r>
              <w:rPr>
                <w:rFonts w:hint="eastAsia" w:ascii="宋体" w:hAnsi="宋体" w:cs="宋体"/>
                <w:color w:val="auto"/>
                <w:szCs w:val="21"/>
                <w:shd w:val="clear" w:color="auto" w:fill="FFFFFF" w:themeFill="background1"/>
              </w:rPr>
              <w:t>螺旋桨式舷外机≥40马力（短轴）</w:t>
            </w:r>
          </w:p>
        </w:tc>
        <w:tc>
          <w:tcPr>
            <w:tcW w:w="483" w:type="pct"/>
            <w:tcBorders>
              <w:tl2br w:val="nil"/>
              <w:tr2bl w:val="nil"/>
            </w:tcBorders>
            <w:noWrap/>
            <w:vAlign w:val="center"/>
          </w:tcPr>
          <w:p w14:paraId="0EF6C93D">
            <w:pPr>
              <w:keepNext w:val="0"/>
              <w:keepLines w:val="0"/>
              <w:widowControl/>
              <w:suppressLineNumbers w:val="0"/>
              <w:jc w:val="center"/>
              <w:textAlignment w:val="center"/>
              <w:rPr>
                <w:rFonts w:hint="eastAsia" w:ascii="宋体" w:hAnsi="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588" w:type="pct"/>
            <w:tcBorders>
              <w:tl2br w:val="nil"/>
              <w:tr2bl w:val="nil"/>
            </w:tcBorders>
            <w:noWrap/>
            <w:vAlign w:val="center"/>
          </w:tcPr>
          <w:p w14:paraId="0E6D997B">
            <w:pPr>
              <w:keepNext w:val="0"/>
              <w:keepLines w:val="0"/>
              <w:widowControl/>
              <w:suppressLineNumbers w:val="0"/>
              <w:jc w:val="center"/>
              <w:textAlignment w:val="center"/>
              <w:rPr>
                <w:rFonts w:hint="eastAsia" w:ascii="宋体" w:hAnsi="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35</w:t>
            </w:r>
          </w:p>
        </w:tc>
        <w:tc>
          <w:tcPr>
            <w:tcW w:w="582" w:type="pct"/>
            <w:tcBorders>
              <w:tl2br w:val="nil"/>
              <w:tr2bl w:val="nil"/>
            </w:tcBorders>
            <w:noWrap/>
            <w:vAlign w:val="center"/>
          </w:tcPr>
          <w:p w14:paraId="37F4E97A">
            <w:pPr>
              <w:keepNext w:val="0"/>
              <w:keepLines w:val="0"/>
              <w:widowControl/>
              <w:suppressLineNumbers w:val="0"/>
              <w:jc w:val="center"/>
              <w:textAlignment w:val="center"/>
              <w:rPr>
                <w:rFonts w:hint="eastAsia"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35</w:t>
            </w:r>
          </w:p>
        </w:tc>
        <w:tc>
          <w:tcPr>
            <w:tcW w:w="582" w:type="pct"/>
            <w:vMerge w:val="continue"/>
            <w:tcBorders>
              <w:tl2br w:val="nil"/>
              <w:tr2bl w:val="nil"/>
            </w:tcBorders>
            <w:noWrap/>
            <w:vAlign w:val="center"/>
          </w:tcPr>
          <w:p w14:paraId="2223E442">
            <w:pPr>
              <w:jc w:val="center"/>
              <w:rPr>
                <w:rFonts w:hint="eastAsia" w:ascii="宋体" w:hAnsi="宋体" w:cs="宋体"/>
                <w:color w:val="auto"/>
                <w:szCs w:val="21"/>
              </w:rPr>
            </w:pPr>
          </w:p>
        </w:tc>
      </w:tr>
      <w:tr w14:paraId="4CB1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202D47D8">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1058CB1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2888AB7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水域救援个人携行包</w:t>
            </w:r>
          </w:p>
        </w:tc>
        <w:tc>
          <w:tcPr>
            <w:tcW w:w="483" w:type="pct"/>
            <w:tcBorders>
              <w:tl2br w:val="nil"/>
              <w:tr2bl w:val="nil"/>
            </w:tcBorders>
            <w:shd w:val="clear" w:color="auto" w:fill="auto"/>
            <w:noWrap/>
            <w:vAlign w:val="center"/>
          </w:tcPr>
          <w:p w14:paraId="7FF6FA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54</w:t>
            </w:r>
          </w:p>
        </w:tc>
        <w:tc>
          <w:tcPr>
            <w:tcW w:w="588" w:type="pct"/>
            <w:tcBorders>
              <w:tl2br w:val="nil"/>
              <w:tr2bl w:val="nil"/>
            </w:tcBorders>
            <w:shd w:val="clear" w:color="auto" w:fill="auto"/>
            <w:noWrap/>
            <w:vAlign w:val="center"/>
          </w:tcPr>
          <w:p w14:paraId="4BE805F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0.2</w:t>
            </w:r>
          </w:p>
        </w:tc>
        <w:tc>
          <w:tcPr>
            <w:tcW w:w="582" w:type="pct"/>
            <w:tcBorders>
              <w:tl2br w:val="nil"/>
              <w:tr2bl w:val="nil"/>
            </w:tcBorders>
            <w:shd w:val="clear" w:color="auto" w:fill="auto"/>
            <w:noWrap/>
            <w:vAlign w:val="center"/>
          </w:tcPr>
          <w:p w14:paraId="3C3BE97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10.8</w:t>
            </w:r>
          </w:p>
        </w:tc>
        <w:tc>
          <w:tcPr>
            <w:tcW w:w="582" w:type="pct"/>
            <w:vMerge w:val="continue"/>
            <w:tcBorders>
              <w:tl2br w:val="nil"/>
              <w:tr2bl w:val="nil"/>
            </w:tcBorders>
            <w:noWrap/>
            <w:vAlign w:val="center"/>
          </w:tcPr>
          <w:p w14:paraId="4DBAF7ED">
            <w:pPr>
              <w:jc w:val="center"/>
              <w:rPr>
                <w:rFonts w:hint="eastAsia" w:ascii="宋体" w:hAnsi="宋体" w:cs="宋体"/>
                <w:color w:val="auto"/>
                <w:szCs w:val="21"/>
              </w:rPr>
            </w:pPr>
          </w:p>
        </w:tc>
      </w:tr>
      <w:tr w14:paraId="4542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1F2E0C9A">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675149B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418C70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消防用救生衣</w:t>
            </w:r>
          </w:p>
        </w:tc>
        <w:tc>
          <w:tcPr>
            <w:tcW w:w="483" w:type="pct"/>
            <w:tcBorders>
              <w:tl2br w:val="nil"/>
              <w:tr2bl w:val="nil"/>
            </w:tcBorders>
            <w:shd w:val="clear" w:color="auto" w:fill="auto"/>
            <w:noWrap/>
            <w:vAlign w:val="center"/>
          </w:tcPr>
          <w:p w14:paraId="08D2CD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588" w:type="pct"/>
            <w:tcBorders>
              <w:tl2br w:val="nil"/>
              <w:tr2bl w:val="nil"/>
            </w:tcBorders>
            <w:shd w:val="clear" w:color="auto" w:fill="auto"/>
            <w:noWrap/>
            <w:vAlign w:val="center"/>
          </w:tcPr>
          <w:p w14:paraId="507F4C6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0.07</w:t>
            </w:r>
          </w:p>
        </w:tc>
        <w:tc>
          <w:tcPr>
            <w:tcW w:w="582" w:type="pct"/>
            <w:tcBorders>
              <w:tl2br w:val="nil"/>
              <w:tr2bl w:val="nil"/>
            </w:tcBorders>
            <w:shd w:val="clear" w:color="auto" w:fill="auto"/>
            <w:noWrap/>
            <w:vAlign w:val="center"/>
          </w:tcPr>
          <w:p w14:paraId="6A7388F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0.7</w:t>
            </w:r>
          </w:p>
        </w:tc>
        <w:tc>
          <w:tcPr>
            <w:tcW w:w="582" w:type="pct"/>
            <w:vMerge w:val="continue"/>
            <w:tcBorders>
              <w:tl2br w:val="nil"/>
              <w:tr2bl w:val="nil"/>
            </w:tcBorders>
            <w:noWrap/>
            <w:vAlign w:val="center"/>
          </w:tcPr>
          <w:p w14:paraId="5149387B">
            <w:pPr>
              <w:jc w:val="center"/>
              <w:rPr>
                <w:rFonts w:hint="eastAsia" w:ascii="宋体" w:hAnsi="宋体" w:cs="宋体"/>
                <w:color w:val="auto"/>
                <w:szCs w:val="21"/>
              </w:rPr>
            </w:pPr>
          </w:p>
        </w:tc>
      </w:tr>
      <w:tr w14:paraId="0352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284CB23C">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35ED7E2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482D1F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水域救援漂浮救生绳（100米）</w:t>
            </w:r>
          </w:p>
        </w:tc>
        <w:tc>
          <w:tcPr>
            <w:tcW w:w="483" w:type="pct"/>
            <w:tcBorders>
              <w:tl2br w:val="nil"/>
              <w:tr2bl w:val="nil"/>
            </w:tcBorders>
            <w:shd w:val="clear" w:color="auto" w:fill="auto"/>
            <w:noWrap/>
            <w:vAlign w:val="center"/>
          </w:tcPr>
          <w:p w14:paraId="25E750A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588" w:type="pct"/>
            <w:tcBorders>
              <w:tl2br w:val="nil"/>
              <w:tr2bl w:val="nil"/>
            </w:tcBorders>
            <w:shd w:val="clear" w:color="auto" w:fill="auto"/>
            <w:noWrap/>
            <w:vAlign w:val="center"/>
          </w:tcPr>
          <w:p w14:paraId="03DF8E2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0.0845</w:t>
            </w:r>
          </w:p>
        </w:tc>
        <w:tc>
          <w:tcPr>
            <w:tcW w:w="582" w:type="pct"/>
            <w:tcBorders>
              <w:tl2br w:val="nil"/>
              <w:tr2bl w:val="nil"/>
            </w:tcBorders>
            <w:shd w:val="clear" w:color="auto" w:fill="auto"/>
            <w:noWrap/>
            <w:vAlign w:val="center"/>
          </w:tcPr>
          <w:p w14:paraId="037E657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1.352</w:t>
            </w:r>
          </w:p>
        </w:tc>
        <w:tc>
          <w:tcPr>
            <w:tcW w:w="582" w:type="pct"/>
            <w:vMerge w:val="continue"/>
            <w:tcBorders>
              <w:tl2br w:val="nil"/>
              <w:tr2bl w:val="nil"/>
            </w:tcBorders>
            <w:noWrap/>
            <w:vAlign w:val="center"/>
          </w:tcPr>
          <w:p w14:paraId="17815F21">
            <w:pPr>
              <w:jc w:val="center"/>
              <w:rPr>
                <w:rFonts w:hint="eastAsia" w:ascii="宋体" w:hAnsi="宋体" w:cs="宋体"/>
                <w:color w:val="auto"/>
                <w:szCs w:val="21"/>
              </w:rPr>
            </w:pPr>
          </w:p>
        </w:tc>
      </w:tr>
      <w:tr w14:paraId="077E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7B38C781">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2337069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7288B0D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消防员水域救援防护服</w:t>
            </w:r>
          </w:p>
        </w:tc>
        <w:tc>
          <w:tcPr>
            <w:tcW w:w="483" w:type="pct"/>
            <w:tcBorders>
              <w:tl2br w:val="nil"/>
              <w:tr2bl w:val="nil"/>
            </w:tcBorders>
            <w:shd w:val="clear" w:color="auto" w:fill="auto"/>
            <w:noWrap/>
            <w:vAlign w:val="center"/>
          </w:tcPr>
          <w:p w14:paraId="33886E6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588" w:type="pct"/>
            <w:tcBorders>
              <w:tl2br w:val="nil"/>
              <w:tr2bl w:val="nil"/>
            </w:tcBorders>
            <w:shd w:val="clear" w:color="auto" w:fill="auto"/>
            <w:noWrap/>
            <w:vAlign w:val="center"/>
          </w:tcPr>
          <w:p w14:paraId="258BB06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0.06</w:t>
            </w:r>
          </w:p>
        </w:tc>
        <w:tc>
          <w:tcPr>
            <w:tcW w:w="582" w:type="pct"/>
            <w:tcBorders>
              <w:tl2br w:val="nil"/>
              <w:tr2bl w:val="nil"/>
            </w:tcBorders>
            <w:shd w:val="clear" w:color="auto" w:fill="auto"/>
            <w:noWrap/>
            <w:vAlign w:val="center"/>
          </w:tcPr>
          <w:p w14:paraId="652D9E9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0.6</w:t>
            </w:r>
          </w:p>
        </w:tc>
        <w:tc>
          <w:tcPr>
            <w:tcW w:w="582" w:type="pct"/>
            <w:vMerge w:val="continue"/>
            <w:tcBorders>
              <w:tl2br w:val="nil"/>
              <w:tr2bl w:val="nil"/>
            </w:tcBorders>
            <w:noWrap/>
            <w:vAlign w:val="center"/>
          </w:tcPr>
          <w:p w14:paraId="60A000E1">
            <w:pPr>
              <w:jc w:val="center"/>
              <w:rPr>
                <w:rFonts w:hint="eastAsia" w:ascii="宋体" w:hAnsi="宋体" w:cs="宋体"/>
                <w:color w:val="auto"/>
                <w:szCs w:val="21"/>
              </w:rPr>
            </w:pPr>
          </w:p>
        </w:tc>
      </w:tr>
      <w:tr w14:paraId="4DF0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766EA442">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75F8EE0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1EB5EDC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水域救援服（速干型）</w:t>
            </w:r>
          </w:p>
        </w:tc>
        <w:tc>
          <w:tcPr>
            <w:tcW w:w="483" w:type="pct"/>
            <w:tcBorders>
              <w:tl2br w:val="nil"/>
              <w:tr2bl w:val="nil"/>
            </w:tcBorders>
            <w:shd w:val="clear" w:color="auto" w:fill="auto"/>
            <w:noWrap/>
            <w:vAlign w:val="center"/>
          </w:tcPr>
          <w:p w14:paraId="570282F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588" w:type="pct"/>
            <w:tcBorders>
              <w:tl2br w:val="nil"/>
              <w:tr2bl w:val="nil"/>
            </w:tcBorders>
            <w:shd w:val="clear" w:color="auto" w:fill="auto"/>
            <w:noWrap/>
            <w:vAlign w:val="center"/>
          </w:tcPr>
          <w:p w14:paraId="043C8C3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0.076</w:t>
            </w:r>
          </w:p>
        </w:tc>
        <w:tc>
          <w:tcPr>
            <w:tcW w:w="582" w:type="pct"/>
            <w:tcBorders>
              <w:tl2br w:val="nil"/>
              <w:tr2bl w:val="nil"/>
            </w:tcBorders>
            <w:shd w:val="clear" w:color="auto" w:fill="auto"/>
            <w:noWrap/>
            <w:vAlign w:val="center"/>
          </w:tcPr>
          <w:p w14:paraId="57A436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0.38</w:t>
            </w:r>
          </w:p>
        </w:tc>
        <w:tc>
          <w:tcPr>
            <w:tcW w:w="582" w:type="pct"/>
            <w:vMerge w:val="continue"/>
            <w:tcBorders>
              <w:tl2br w:val="nil"/>
              <w:tr2bl w:val="nil"/>
            </w:tcBorders>
            <w:noWrap/>
            <w:vAlign w:val="center"/>
          </w:tcPr>
          <w:p w14:paraId="0D66769B">
            <w:pPr>
              <w:jc w:val="center"/>
              <w:rPr>
                <w:rFonts w:hint="eastAsia" w:ascii="宋体" w:hAnsi="宋体" w:cs="宋体"/>
                <w:color w:val="auto"/>
                <w:szCs w:val="21"/>
              </w:rPr>
            </w:pPr>
          </w:p>
        </w:tc>
      </w:tr>
      <w:tr w14:paraId="0A6D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9" w:type="pct"/>
            <w:vMerge w:val="continue"/>
            <w:tcBorders>
              <w:tl2br w:val="nil"/>
              <w:tr2bl w:val="nil"/>
            </w:tcBorders>
            <w:noWrap/>
            <w:vAlign w:val="center"/>
          </w:tcPr>
          <w:p w14:paraId="07775111">
            <w:pPr>
              <w:jc w:val="center"/>
              <w:rPr>
                <w:rFonts w:hint="eastAsia" w:ascii="宋体" w:hAnsi="宋体" w:cs="宋体"/>
                <w:color w:val="auto"/>
                <w:szCs w:val="21"/>
              </w:rPr>
            </w:pPr>
          </w:p>
        </w:tc>
        <w:tc>
          <w:tcPr>
            <w:tcW w:w="1002" w:type="pct"/>
            <w:vMerge w:val="continue"/>
            <w:tcBorders>
              <w:tl2br w:val="nil"/>
              <w:tr2bl w:val="nil"/>
            </w:tcBorders>
            <w:shd w:val="clear" w:color="auto" w:fill="auto"/>
            <w:noWrap/>
            <w:vAlign w:val="center"/>
          </w:tcPr>
          <w:p w14:paraId="0635892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shd w:val="clear" w:color="auto" w:fill="auto"/>
            <w:noWrap/>
            <w:vAlign w:val="center"/>
          </w:tcPr>
          <w:p w14:paraId="1556A72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水面遥控救援机器人</w:t>
            </w:r>
          </w:p>
        </w:tc>
        <w:tc>
          <w:tcPr>
            <w:tcW w:w="483" w:type="pct"/>
            <w:tcBorders>
              <w:tl2br w:val="nil"/>
              <w:tr2bl w:val="nil"/>
            </w:tcBorders>
            <w:shd w:val="clear" w:color="auto" w:fill="auto"/>
            <w:noWrap/>
            <w:vAlign w:val="center"/>
          </w:tcPr>
          <w:p w14:paraId="0F91BA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88" w:type="pct"/>
            <w:tcBorders>
              <w:tl2br w:val="nil"/>
              <w:tr2bl w:val="nil"/>
            </w:tcBorders>
            <w:shd w:val="clear" w:color="auto" w:fill="auto"/>
            <w:noWrap/>
            <w:vAlign w:val="center"/>
          </w:tcPr>
          <w:p w14:paraId="480CA0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582" w:type="pct"/>
            <w:tcBorders>
              <w:tl2br w:val="nil"/>
              <w:tr2bl w:val="nil"/>
            </w:tcBorders>
            <w:shd w:val="clear" w:color="auto" w:fill="auto"/>
            <w:noWrap/>
            <w:vAlign w:val="center"/>
          </w:tcPr>
          <w:p w14:paraId="512A956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582" w:type="pct"/>
            <w:vMerge w:val="continue"/>
            <w:tcBorders>
              <w:tl2br w:val="nil"/>
              <w:tr2bl w:val="nil"/>
            </w:tcBorders>
            <w:noWrap/>
            <w:vAlign w:val="center"/>
          </w:tcPr>
          <w:p w14:paraId="6F8A0089">
            <w:pPr>
              <w:jc w:val="center"/>
              <w:rPr>
                <w:rFonts w:hint="eastAsia" w:ascii="宋体" w:hAnsi="宋体" w:cs="宋体"/>
                <w:color w:val="auto"/>
                <w:szCs w:val="21"/>
              </w:rPr>
            </w:pPr>
          </w:p>
        </w:tc>
      </w:tr>
      <w:tr w14:paraId="6A18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vMerge w:val="restart"/>
            <w:tcBorders>
              <w:tl2br w:val="nil"/>
              <w:tr2bl w:val="nil"/>
            </w:tcBorders>
            <w:noWrap/>
            <w:vAlign w:val="center"/>
          </w:tcPr>
          <w:p w14:paraId="1C80D389">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1002" w:type="pct"/>
            <w:vMerge w:val="restart"/>
            <w:tcBorders>
              <w:tl2br w:val="nil"/>
              <w:tr2bl w:val="nil"/>
            </w:tcBorders>
            <w:noWrap/>
            <w:vAlign w:val="center"/>
          </w:tcPr>
          <w:p w14:paraId="7EC06427">
            <w:pPr>
              <w:keepNext w:val="0"/>
              <w:keepLines w:val="0"/>
              <w:widowControl/>
              <w:suppressLineNumbers w:val="0"/>
              <w:jc w:val="left"/>
              <w:textAlignment w:val="center"/>
              <w:rPr>
                <w:rFonts w:hint="default" w:ascii="宋体" w:hAnsi="宋体" w:cs="宋体"/>
                <w:color w:val="auto"/>
                <w:szCs w:val="21"/>
                <w:shd w:val="clear" w:color="auto" w:fill="FFFFFF" w:themeFill="background1"/>
                <w:lang w:val="en-US"/>
              </w:rPr>
            </w:pPr>
            <w:r>
              <w:rPr>
                <w:rFonts w:hint="eastAsia" w:ascii="宋体" w:hAnsi="宋体" w:eastAsia="宋体" w:cs="宋体"/>
                <w:i w:val="0"/>
                <w:iCs w:val="0"/>
                <w:color w:val="auto"/>
                <w:kern w:val="0"/>
                <w:sz w:val="21"/>
                <w:szCs w:val="21"/>
                <w:u w:val="none"/>
                <w:lang w:val="en-US" w:eastAsia="zh-CN" w:bidi="ar"/>
              </w:rPr>
              <w:t>止坠器</w:t>
            </w:r>
            <w:r>
              <w:rPr>
                <w:rFonts w:hint="eastAsia" w:ascii="宋体" w:hAnsi="宋体" w:cs="宋体"/>
                <w:i w:val="0"/>
                <w:iCs w:val="0"/>
                <w:color w:val="auto"/>
                <w:kern w:val="0"/>
                <w:sz w:val="21"/>
                <w:szCs w:val="21"/>
                <w:u w:val="none"/>
                <w:lang w:val="en-US" w:eastAsia="zh-CN" w:bidi="ar"/>
              </w:rPr>
              <w:t>等设备</w:t>
            </w:r>
          </w:p>
        </w:tc>
        <w:tc>
          <w:tcPr>
            <w:tcW w:w="1421" w:type="pct"/>
            <w:tcBorders>
              <w:tl2br w:val="nil"/>
              <w:tr2bl w:val="nil"/>
            </w:tcBorders>
            <w:noWrap/>
            <w:vAlign w:val="center"/>
          </w:tcPr>
          <w:p w14:paraId="0D7E56DC">
            <w:pPr>
              <w:keepNext w:val="0"/>
              <w:keepLines w:val="0"/>
              <w:widowControl/>
              <w:suppressLineNumbers w:val="0"/>
              <w:jc w:val="left"/>
              <w:textAlignment w:val="center"/>
              <w:rPr>
                <w:rFonts w:hint="eastAsia" w:ascii="宋体" w:hAnsi="宋体" w:eastAsia="宋体" w:cs="宋体"/>
                <w:color w:val="auto"/>
                <w:kern w:val="2"/>
                <w:sz w:val="21"/>
                <w:szCs w:val="21"/>
                <w:shd w:val="clear" w:color="auto" w:fill="FFFFFF" w:themeFill="background1"/>
                <w:lang w:val="en-US" w:eastAsia="zh-CN" w:bidi="ar-SA"/>
              </w:rPr>
            </w:pPr>
            <w:r>
              <w:rPr>
                <w:rFonts w:hint="eastAsia" w:ascii="宋体" w:hAnsi="宋体" w:cs="宋体"/>
                <w:color w:val="auto"/>
                <w:szCs w:val="21"/>
                <w:shd w:val="clear" w:color="auto" w:fill="FFFFFF" w:themeFill="background1"/>
              </w:rPr>
              <w:t>●</w:t>
            </w:r>
            <w:r>
              <w:rPr>
                <w:rFonts w:hint="eastAsia" w:ascii="宋体" w:hAnsi="宋体" w:eastAsia="宋体" w:cs="宋体"/>
                <w:i w:val="0"/>
                <w:iCs w:val="0"/>
                <w:color w:val="auto"/>
                <w:kern w:val="0"/>
                <w:sz w:val="21"/>
                <w:szCs w:val="21"/>
                <w:u w:val="none"/>
                <w:lang w:val="en-US" w:eastAsia="zh-CN" w:bidi="ar"/>
              </w:rPr>
              <w:t>止坠器</w:t>
            </w:r>
          </w:p>
        </w:tc>
        <w:tc>
          <w:tcPr>
            <w:tcW w:w="483" w:type="pct"/>
            <w:tcBorders>
              <w:tl2br w:val="nil"/>
              <w:tr2bl w:val="nil"/>
            </w:tcBorders>
            <w:noWrap/>
            <w:vAlign w:val="center"/>
          </w:tcPr>
          <w:p w14:paraId="5AE800C1">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588" w:type="pct"/>
            <w:tcBorders>
              <w:tl2br w:val="nil"/>
              <w:tr2bl w:val="nil"/>
            </w:tcBorders>
            <w:noWrap/>
            <w:vAlign w:val="center"/>
          </w:tcPr>
          <w:p w14:paraId="64A06104">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0.38</w:t>
            </w:r>
          </w:p>
        </w:tc>
        <w:tc>
          <w:tcPr>
            <w:tcW w:w="582" w:type="pct"/>
            <w:tcBorders>
              <w:tl2br w:val="nil"/>
              <w:tr2bl w:val="nil"/>
            </w:tcBorders>
            <w:noWrap/>
            <w:vAlign w:val="center"/>
          </w:tcPr>
          <w:p w14:paraId="3519273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3.8</w:t>
            </w:r>
          </w:p>
        </w:tc>
        <w:tc>
          <w:tcPr>
            <w:tcW w:w="582" w:type="pct"/>
            <w:vMerge w:val="restart"/>
            <w:tcBorders>
              <w:tl2br w:val="nil"/>
              <w:tr2bl w:val="nil"/>
            </w:tcBorders>
            <w:noWrap/>
            <w:vAlign w:val="center"/>
          </w:tcPr>
          <w:p w14:paraId="12A7B8E4">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24.6365</w:t>
            </w:r>
          </w:p>
        </w:tc>
      </w:tr>
      <w:tr w14:paraId="0596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vMerge w:val="continue"/>
            <w:tcBorders>
              <w:tl2br w:val="nil"/>
              <w:tr2bl w:val="nil"/>
            </w:tcBorders>
            <w:noWrap/>
            <w:vAlign w:val="center"/>
          </w:tcPr>
          <w:p w14:paraId="6E007B1F">
            <w:pPr>
              <w:jc w:val="center"/>
              <w:rPr>
                <w:rFonts w:hint="eastAsia" w:ascii="宋体" w:hAnsi="宋体" w:cs="宋体"/>
                <w:color w:val="auto"/>
                <w:szCs w:val="21"/>
              </w:rPr>
            </w:pPr>
          </w:p>
        </w:tc>
        <w:tc>
          <w:tcPr>
            <w:tcW w:w="1002" w:type="pct"/>
            <w:vMerge w:val="continue"/>
            <w:tcBorders>
              <w:tl2br w:val="nil"/>
              <w:tr2bl w:val="nil"/>
            </w:tcBorders>
            <w:noWrap/>
            <w:vAlign w:val="center"/>
          </w:tcPr>
          <w:p w14:paraId="2C541DC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noWrap/>
            <w:vAlign w:val="center"/>
          </w:tcPr>
          <w:p w14:paraId="24EE53DD">
            <w:pPr>
              <w:keepNext w:val="0"/>
              <w:keepLines w:val="0"/>
              <w:widowControl/>
              <w:suppressLineNumbers w:val="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锚点扁带</w:t>
            </w:r>
          </w:p>
        </w:tc>
        <w:tc>
          <w:tcPr>
            <w:tcW w:w="483" w:type="pct"/>
            <w:tcBorders>
              <w:tl2br w:val="nil"/>
              <w:tr2bl w:val="nil"/>
            </w:tcBorders>
            <w:noWrap/>
            <w:vAlign w:val="center"/>
          </w:tcPr>
          <w:p w14:paraId="705DDAF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81</w:t>
            </w:r>
          </w:p>
        </w:tc>
        <w:tc>
          <w:tcPr>
            <w:tcW w:w="588" w:type="pct"/>
            <w:tcBorders>
              <w:tl2br w:val="nil"/>
              <w:tr2bl w:val="nil"/>
            </w:tcBorders>
            <w:noWrap/>
            <w:vAlign w:val="center"/>
          </w:tcPr>
          <w:p w14:paraId="324F1BB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0.0265</w:t>
            </w:r>
          </w:p>
        </w:tc>
        <w:tc>
          <w:tcPr>
            <w:tcW w:w="582" w:type="pct"/>
            <w:tcBorders>
              <w:tl2br w:val="nil"/>
              <w:tr2bl w:val="nil"/>
            </w:tcBorders>
            <w:noWrap/>
            <w:vAlign w:val="center"/>
          </w:tcPr>
          <w:p w14:paraId="10818C5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2.1465</w:t>
            </w:r>
          </w:p>
        </w:tc>
        <w:tc>
          <w:tcPr>
            <w:tcW w:w="582" w:type="pct"/>
            <w:vMerge w:val="continue"/>
            <w:tcBorders>
              <w:tl2br w:val="nil"/>
              <w:tr2bl w:val="nil"/>
            </w:tcBorders>
            <w:noWrap/>
            <w:vAlign w:val="center"/>
          </w:tcPr>
          <w:p w14:paraId="4538ADE9">
            <w:pPr>
              <w:jc w:val="center"/>
              <w:rPr>
                <w:rFonts w:hint="eastAsia" w:ascii="宋体" w:hAnsi="宋体" w:cs="宋体"/>
                <w:color w:val="auto"/>
                <w:szCs w:val="21"/>
              </w:rPr>
            </w:pPr>
          </w:p>
        </w:tc>
      </w:tr>
      <w:tr w14:paraId="0155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vMerge w:val="continue"/>
            <w:tcBorders>
              <w:tl2br w:val="nil"/>
              <w:tr2bl w:val="nil"/>
            </w:tcBorders>
            <w:noWrap/>
            <w:vAlign w:val="center"/>
          </w:tcPr>
          <w:p w14:paraId="16D1540B">
            <w:pPr>
              <w:jc w:val="center"/>
              <w:rPr>
                <w:rFonts w:hint="eastAsia" w:ascii="宋体" w:hAnsi="宋体" w:cs="宋体"/>
                <w:color w:val="auto"/>
                <w:szCs w:val="21"/>
              </w:rPr>
            </w:pPr>
          </w:p>
        </w:tc>
        <w:tc>
          <w:tcPr>
            <w:tcW w:w="1002" w:type="pct"/>
            <w:vMerge w:val="continue"/>
            <w:tcBorders>
              <w:tl2br w:val="nil"/>
              <w:tr2bl w:val="nil"/>
            </w:tcBorders>
            <w:noWrap/>
            <w:vAlign w:val="center"/>
          </w:tcPr>
          <w:p w14:paraId="023F976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noWrap/>
            <w:vAlign w:val="center"/>
          </w:tcPr>
          <w:p w14:paraId="7AB06D6C">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脚踏绳</w:t>
            </w:r>
          </w:p>
        </w:tc>
        <w:tc>
          <w:tcPr>
            <w:tcW w:w="483" w:type="pct"/>
            <w:tcBorders>
              <w:tl2br w:val="nil"/>
              <w:tr2bl w:val="nil"/>
            </w:tcBorders>
            <w:noWrap/>
            <w:vAlign w:val="center"/>
          </w:tcPr>
          <w:p w14:paraId="4CB35CB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10</w:t>
            </w:r>
          </w:p>
        </w:tc>
        <w:tc>
          <w:tcPr>
            <w:tcW w:w="588" w:type="pct"/>
            <w:tcBorders>
              <w:tl2br w:val="nil"/>
              <w:tr2bl w:val="nil"/>
            </w:tcBorders>
            <w:noWrap/>
            <w:vAlign w:val="center"/>
          </w:tcPr>
          <w:p w14:paraId="59DF886D">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0.045</w:t>
            </w:r>
          </w:p>
        </w:tc>
        <w:tc>
          <w:tcPr>
            <w:tcW w:w="582" w:type="pct"/>
            <w:tcBorders>
              <w:tl2br w:val="nil"/>
              <w:tr2bl w:val="nil"/>
            </w:tcBorders>
            <w:noWrap/>
            <w:vAlign w:val="center"/>
          </w:tcPr>
          <w:p w14:paraId="5E93E64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0.45</w:t>
            </w:r>
          </w:p>
        </w:tc>
        <w:tc>
          <w:tcPr>
            <w:tcW w:w="582" w:type="pct"/>
            <w:vMerge w:val="continue"/>
            <w:tcBorders>
              <w:tl2br w:val="nil"/>
              <w:tr2bl w:val="nil"/>
            </w:tcBorders>
            <w:noWrap/>
            <w:vAlign w:val="center"/>
          </w:tcPr>
          <w:p w14:paraId="0329257A">
            <w:pPr>
              <w:jc w:val="center"/>
              <w:rPr>
                <w:rFonts w:hint="eastAsia" w:ascii="宋体" w:hAnsi="宋体" w:cs="宋体"/>
                <w:color w:val="auto"/>
                <w:szCs w:val="21"/>
              </w:rPr>
            </w:pPr>
          </w:p>
        </w:tc>
      </w:tr>
      <w:tr w14:paraId="7D91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vMerge w:val="continue"/>
            <w:tcBorders>
              <w:tl2br w:val="nil"/>
              <w:tr2bl w:val="nil"/>
            </w:tcBorders>
            <w:noWrap/>
            <w:vAlign w:val="center"/>
          </w:tcPr>
          <w:p w14:paraId="5505AD3A">
            <w:pPr>
              <w:jc w:val="center"/>
              <w:rPr>
                <w:rFonts w:hint="eastAsia" w:ascii="宋体" w:hAnsi="宋体" w:cs="宋体"/>
                <w:color w:val="auto"/>
                <w:szCs w:val="21"/>
              </w:rPr>
            </w:pPr>
          </w:p>
        </w:tc>
        <w:tc>
          <w:tcPr>
            <w:tcW w:w="1002" w:type="pct"/>
            <w:vMerge w:val="continue"/>
            <w:tcBorders>
              <w:tl2br w:val="nil"/>
              <w:tr2bl w:val="nil"/>
            </w:tcBorders>
            <w:noWrap/>
            <w:vAlign w:val="center"/>
          </w:tcPr>
          <w:p w14:paraId="7BDE412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noWrap/>
            <w:vAlign w:val="center"/>
          </w:tcPr>
          <w:p w14:paraId="4E2A8125">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绳索保护垫</w:t>
            </w:r>
          </w:p>
        </w:tc>
        <w:tc>
          <w:tcPr>
            <w:tcW w:w="483" w:type="pct"/>
            <w:tcBorders>
              <w:tl2br w:val="nil"/>
              <w:tr2bl w:val="nil"/>
            </w:tcBorders>
            <w:noWrap/>
            <w:vAlign w:val="center"/>
          </w:tcPr>
          <w:p w14:paraId="537A944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w:t>
            </w:r>
          </w:p>
        </w:tc>
        <w:tc>
          <w:tcPr>
            <w:tcW w:w="588" w:type="pct"/>
            <w:tcBorders>
              <w:tl2br w:val="nil"/>
              <w:tr2bl w:val="nil"/>
            </w:tcBorders>
            <w:noWrap/>
            <w:vAlign w:val="center"/>
          </w:tcPr>
          <w:p w14:paraId="1DAD5EBE">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0.09</w:t>
            </w:r>
          </w:p>
        </w:tc>
        <w:tc>
          <w:tcPr>
            <w:tcW w:w="582" w:type="pct"/>
            <w:tcBorders>
              <w:tl2br w:val="nil"/>
              <w:tr2bl w:val="nil"/>
            </w:tcBorders>
            <w:noWrap/>
            <w:vAlign w:val="center"/>
          </w:tcPr>
          <w:p w14:paraId="650BFF0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1.8</w:t>
            </w:r>
          </w:p>
        </w:tc>
        <w:tc>
          <w:tcPr>
            <w:tcW w:w="582" w:type="pct"/>
            <w:vMerge w:val="continue"/>
            <w:tcBorders>
              <w:tl2br w:val="nil"/>
              <w:tr2bl w:val="nil"/>
            </w:tcBorders>
            <w:noWrap/>
            <w:vAlign w:val="center"/>
          </w:tcPr>
          <w:p w14:paraId="5CFB2AFD">
            <w:pPr>
              <w:jc w:val="center"/>
              <w:rPr>
                <w:rFonts w:hint="eastAsia" w:ascii="宋体" w:hAnsi="宋体" w:cs="宋体"/>
                <w:color w:val="auto"/>
                <w:szCs w:val="21"/>
              </w:rPr>
            </w:pPr>
          </w:p>
        </w:tc>
      </w:tr>
      <w:tr w14:paraId="4E64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vMerge w:val="continue"/>
            <w:tcBorders>
              <w:tl2br w:val="nil"/>
              <w:tr2bl w:val="nil"/>
            </w:tcBorders>
            <w:noWrap/>
            <w:vAlign w:val="center"/>
          </w:tcPr>
          <w:p w14:paraId="5E02D7C6">
            <w:pPr>
              <w:jc w:val="center"/>
              <w:rPr>
                <w:rFonts w:hint="eastAsia" w:ascii="宋体" w:hAnsi="宋体" w:cs="宋体"/>
                <w:color w:val="auto"/>
                <w:szCs w:val="21"/>
              </w:rPr>
            </w:pPr>
          </w:p>
        </w:tc>
        <w:tc>
          <w:tcPr>
            <w:tcW w:w="1002" w:type="pct"/>
            <w:vMerge w:val="continue"/>
            <w:tcBorders>
              <w:tl2br w:val="nil"/>
              <w:tr2bl w:val="nil"/>
            </w:tcBorders>
            <w:noWrap/>
            <w:vAlign w:val="center"/>
          </w:tcPr>
          <w:p w14:paraId="284AB7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noWrap/>
            <w:vAlign w:val="center"/>
          </w:tcPr>
          <w:p w14:paraId="4027E6CC">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D型自动主锁</w:t>
            </w:r>
          </w:p>
        </w:tc>
        <w:tc>
          <w:tcPr>
            <w:tcW w:w="483" w:type="pct"/>
            <w:tcBorders>
              <w:tl2br w:val="nil"/>
              <w:tr2bl w:val="nil"/>
            </w:tcBorders>
            <w:noWrap/>
            <w:vAlign w:val="center"/>
          </w:tcPr>
          <w:p w14:paraId="51BDA209">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110</w:t>
            </w:r>
          </w:p>
        </w:tc>
        <w:tc>
          <w:tcPr>
            <w:tcW w:w="588" w:type="pct"/>
            <w:tcBorders>
              <w:tl2br w:val="nil"/>
              <w:tr2bl w:val="nil"/>
            </w:tcBorders>
            <w:noWrap/>
            <w:vAlign w:val="center"/>
          </w:tcPr>
          <w:p w14:paraId="512CE94F">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0.034</w:t>
            </w:r>
          </w:p>
        </w:tc>
        <w:tc>
          <w:tcPr>
            <w:tcW w:w="582" w:type="pct"/>
            <w:tcBorders>
              <w:tl2br w:val="nil"/>
              <w:tr2bl w:val="nil"/>
            </w:tcBorders>
            <w:noWrap/>
            <w:vAlign w:val="center"/>
          </w:tcPr>
          <w:p w14:paraId="2BEC9CB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3.74</w:t>
            </w:r>
          </w:p>
        </w:tc>
        <w:tc>
          <w:tcPr>
            <w:tcW w:w="582" w:type="pct"/>
            <w:vMerge w:val="continue"/>
            <w:tcBorders>
              <w:tl2br w:val="nil"/>
              <w:tr2bl w:val="nil"/>
            </w:tcBorders>
            <w:noWrap/>
            <w:vAlign w:val="center"/>
          </w:tcPr>
          <w:p w14:paraId="436C70B7">
            <w:pPr>
              <w:jc w:val="center"/>
              <w:rPr>
                <w:rFonts w:hint="eastAsia" w:ascii="宋体" w:hAnsi="宋体" w:cs="宋体"/>
                <w:color w:val="auto"/>
                <w:szCs w:val="21"/>
              </w:rPr>
            </w:pPr>
          </w:p>
        </w:tc>
      </w:tr>
      <w:tr w14:paraId="387C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vMerge w:val="continue"/>
            <w:tcBorders>
              <w:tl2br w:val="nil"/>
              <w:tr2bl w:val="nil"/>
            </w:tcBorders>
            <w:noWrap/>
            <w:vAlign w:val="center"/>
          </w:tcPr>
          <w:p w14:paraId="1494EB39">
            <w:pPr>
              <w:jc w:val="center"/>
              <w:rPr>
                <w:rFonts w:hint="eastAsia" w:ascii="宋体" w:hAnsi="宋体" w:cs="宋体"/>
                <w:color w:val="auto"/>
                <w:szCs w:val="21"/>
              </w:rPr>
            </w:pPr>
          </w:p>
        </w:tc>
        <w:tc>
          <w:tcPr>
            <w:tcW w:w="1002" w:type="pct"/>
            <w:vMerge w:val="continue"/>
            <w:tcBorders>
              <w:tl2br w:val="nil"/>
              <w:tr2bl w:val="nil"/>
            </w:tcBorders>
            <w:noWrap/>
            <w:vAlign w:val="center"/>
          </w:tcPr>
          <w:p w14:paraId="379DE2A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noWrap/>
            <w:vAlign w:val="center"/>
          </w:tcPr>
          <w:p w14:paraId="0913C435">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D型丝扣主锁</w:t>
            </w:r>
          </w:p>
        </w:tc>
        <w:tc>
          <w:tcPr>
            <w:tcW w:w="483" w:type="pct"/>
            <w:tcBorders>
              <w:tl2br w:val="nil"/>
              <w:tr2bl w:val="nil"/>
            </w:tcBorders>
            <w:noWrap/>
            <w:vAlign w:val="center"/>
          </w:tcPr>
          <w:p w14:paraId="5060D6F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80</w:t>
            </w:r>
          </w:p>
        </w:tc>
        <w:tc>
          <w:tcPr>
            <w:tcW w:w="588" w:type="pct"/>
            <w:tcBorders>
              <w:tl2br w:val="nil"/>
              <w:tr2bl w:val="nil"/>
            </w:tcBorders>
            <w:noWrap/>
            <w:vAlign w:val="center"/>
          </w:tcPr>
          <w:p w14:paraId="5A3AA69D">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0.028</w:t>
            </w:r>
          </w:p>
        </w:tc>
        <w:tc>
          <w:tcPr>
            <w:tcW w:w="582" w:type="pct"/>
            <w:tcBorders>
              <w:tl2br w:val="nil"/>
              <w:tr2bl w:val="nil"/>
            </w:tcBorders>
            <w:noWrap/>
            <w:vAlign w:val="center"/>
          </w:tcPr>
          <w:p w14:paraId="27DE16A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2.24</w:t>
            </w:r>
          </w:p>
        </w:tc>
        <w:tc>
          <w:tcPr>
            <w:tcW w:w="582" w:type="pct"/>
            <w:vMerge w:val="continue"/>
            <w:tcBorders>
              <w:tl2br w:val="nil"/>
              <w:tr2bl w:val="nil"/>
            </w:tcBorders>
            <w:noWrap/>
            <w:vAlign w:val="center"/>
          </w:tcPr>
          <w:p w14:paraId="6E614C24">
            <w:pPr>
              <w:jc w:val="center"/>
              <w:rPr>
                <w:rFonts w:hint="eastAsia" w:ascii="宋体" w:hAnsi="宋体" w:cs="宋体"/>
                <w:color w:val="auto"/>
                <w:szCs w:val="21"/>
              </w:rPr>
            </w:pPr>
          </w:p>
        </w:tc>
      </w:tr>
      <w:tr w14:paraId="0C4A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vMerge w:val="continue"/>
            <w:tcBorders>
              <w:tl2br w:val="nil"/>
              <w:tr2bl w:val="nil"/>
            </w:tcBorders>
            <w:noWrap/>
            <w:vAlign w:val="center"/>
          </w:tcPr>
          <w:p w14:paraId="14539FA6">
            <w:pPr>
              <w:jc w:val="center"/>
              <w:rPr>
                <w:rFonts w:hint="eastAsia" w:ascii="宋体" w:hAnsi="宋体" w:cs="宋体"/>
                <w:color w:val="auto"/>
                <w:szCs w:val="21"/>
              </w:rPr>
            </w:pPr>
          </w:p>
        </w:tc>
        <w:tc>
          <w:tcPr>
            <w:tcW w:w="1002" w:type="pct"/>
            <w:vMerge w:val="continue"/>
            <w:tcBorders>
              <w:tl2br w:val="nil"/>
              <w:tr2bl w:val="nil"/>
            </w:tcBorders>
            <w:noWrap/>
            <w:vAlign w:val="center"/>
          </w:tcPr>
          <w:p w14:paraId="6D25CFA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noWrap/>
            <w:vAlign w:val="center"/>
          </w:tcPr>
          <w:p w14:paraId="13B63342">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O型丝扣钢锁</w:t>
            </w:r>
          </w:p>
        </w:tc>
        <w:tc>
          <w:tcPr>
            <w:tcW w:w="483" w:type="pct"/>
            <w:tcBorders>
              <w:tl2br w:val="nil"/>
              <w:tr2bl w:val="nil"/>
            </w:tcBorders>
            <w:noWrap/>
            <w:vAlign w:val="center"/>
          </w:tcPr>
          <w:p w14:paraId="7766B7C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80</w:t>
            </w:r>
          </w:p>
        </w:tc>
        <w:tc>
          <w:tcPr>
            <w:tcW w:w="588" w:type="pct"/>
            <w:tcBorders>
              <w:tl2br w:val="nil"/>
              <w:tr2bl w:val="nil"/>
            </w:tcBorders>
            <w:noWrap/>
            <w:vAlign w:val="center"/>
          </w:tcPr>
          <w:p w14:paraId="391EAB2A">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0.0215</w:t>
            </w:r>
          </w:p>
        </w:tc>
        <w:tc>
          <w:tcPr>
            <w:tcW w:w="582" w:type="pct"/>
            <w:tcBorders>
              <w:tl2br w:val="nil"/>
              <w:tr2bl w:val="nil"/>
            </w:tcBorders>
            <w:noWrap/>
            <w:vAlign w:val="center"/>
          </w:tcPr>
          <w:p w14:paraId="499C70B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1.72</w:t>
            </w:r>
          </w:p>
        </w:tc>
        <w:tc>
          <w:tcPr>
            <w:tcW w:w="582" w:type="pct"/>
            <w:vMerge w:val="continue"/>
            <w:tcBorders>
              <w:tl2br w:val="nil"/>
              <w:tr2bl w:val="nil"/>
            </w:tcBorders>
            <w:noWrap/>
            <w:vAlign w:val="center"/>
          </w:tcPr>
          <w:p w14:paraId="136144D9">
            <w:pPr>
              <w:jc w:val="center"/>
              <w:rPr>
                <w:rFonts w:hint="eastAsia" w:ascii="宋体" w:hAnsi="宋体" w:cs="宋体"/>
                <w:color w:val="auto"/>
                <w:szCs w:val="21"/>
              </w:rPr>
            </w:pPr>
          </w:p>
        </w:tc>
      </w:tr>
      <w:tr w14:paraId="143A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vMerge w:val="continue"/>
            <w:tcBorders>
              <w:tl2br w:val="nil"/>
              <w:tr2bl w:val="nil"/>
            </w:tcBorders>
            <w:noWrap/>
            <w:vAlign w:val="center"/>
          </w:tcPr>
          <w:p w14:paraId="4C667CEA">
            <w:pPr>
              <w:jc w:val="center"/>
              <w:rPr>
                <w:rFonts w:hint="eastAsia" w:ascii="宋体" w:hAnsi="宋体" w:cs="宋体"/>
                <w:color w:val="auto"/>
                <w:szCs w:val="21"/>
              </w:rPr>
            </w:pPr>
          </w:p>
        </w:tc>
        <w:tc>
          <w:tcPr>
            <w:tcW w:w="1002" w:type="pct"/>
            <w:vMerge w:val="continue"/>
            <w:tcBorders>
              <w:tl2br w:val="nil"/>
              <w:tr2bl w:val="nil"/>
            </w:tcBorders>
            <w:noWrap/>
            <w:vAlign w:val="center"/>
          </w:tcPr>
          <w:p w14:paraId="77ECE62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noWrap/>
            <w:vAlign w:val="center"/>
          </w:tcPr>
          <w:p w14:paraId="7F8B9890">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悬挂装备</w:t>
            </w:r>
          </w:p>
        </w:tc>
        <w:tc>
          <w:tcPr>
            <w:tcW w:w="483" w:type="pct"/>
            <w:tcBorders>
              <w:tl2br w:val="nil"/>
              <w:tr2bl w:val="nil"/>
            </w:tcBorders>
            <w:noWrap/>
            <w:vAlign w:val="center"/>
          </w:tcPr>
          <w:p w14:paraId="2C5D50B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588" w:type="pct"/>
            <w:tcBorders>
              <w:tl2br w:val="nil"/>
              <w:tr2bl w:val="nil"/>
            </w:tcBorders>
            <w:noWrap/>
            <w:vAlign w:val="center"/>
          </w:tcPr>
          <w:p w14:paraId="3B1DC8F2">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0.078</w:t>
            </w:r>
          </w:p>
        </w:tc>
        <w:tc>
          <w:tcPr>
            <w:tcW w:w="582" w:type="pct"/>
            <w:tcBorders>
              <w:tl2br w:val="nil"/>
              <w:tr2bl w:val="nil"/>
            </w:tcBorders>
            <w:noWrap/>
            <w:vAlign w:val="center"/>
          </w:tcPr>
          <w:p w14:paraId="01171BB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0.156</w:t>
            </w:r>
          </w:p>
        </w:tc>
        <w:tc>
          <w:tcPr>
            <w:tcW w:w="582" w:type="pct"/>
            <w:vMerge w:val="continue"/>
            <w:tcBorders>
              <w:tl2br w:val="nil"/>
              <w:tr2bl w:val="nil"/>
            </w:tcBorders>
            <w:noWrap/>
            <w:vAlign w:val="center"/>
          </w:tcPr>
          <w:p w14:paraId="2D5DBC7D">
            <w:pPr>
              <w:jc w:val="center"/>
              <w:rPr>
                <w:rFonts w:hint="eastAsia" w:ascii="宋体" w:hAnsi="宋体" w:cs="宋体"/>
                <w:color w:val="auto"/>
                <w:szCs w:val="21"/>
              </w:rPr>
            </w:pPr>
          </w:p>
        </w:tc>
      </w:tr>
      <w:tr w14:paraId="3FB5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vMerge w:val="continue"/>
            <w:tcBorders>
              <w:tl2br w:val="nil"/>
              <w:tr2bl w:val="nil"/>
            </w:tcBorders>
            <w:noWrap/>
            <w:vAlign w:val="center"/>
          </w:tcPr>
          <w:p w14:paraId="51B34434">
            <w:pPr>
              <w:jc w:val="center"/>
              <w:rPr>
                <w:rFonts w:hint="eastAsia" w:ascii="宋体" w:hAnsi="宋体" w:cs="宋体"/>
                <w:color w:val="auto"/>
                <w:szCs w:val="21"/>
              </w:rPr>
            </w:pPr>
          </w:p>
        </w:tc>
        <w:tc>
          <w:tcPr>
            <w:tcW w:w="1002" w:type="pct"/>
            <w:vMerge w:val="continue"/>
            <w:tcBorders>
              <w:tl2br w:val="nil"/>
              <w:tr2bl w:val="nil"/>
            </w:tcBorders>
            <w:noWrap/>
            <w:vAlign w:val="center"/>
          </w:tcPr>
          <w:p w14:paraId="0967AEB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noWrap/>
            <w:vAlign w:val="center"/>
          </w:tcPr>
          <w:p w14:paraId="6C012041">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大开口工程挂钩</w:t>
            </w:r>
          </w:p>
        </w:tc>
        <w:tc>
          <w:tcPr>
            <w:tcW w:w="483" w:type="pct"/>
            <w:tcBorders>
              <w:tl2br w:val="nil"/>
              <w:tr2bl w:val="nil"/>
            </w:tcBorders>
            <w:noWrap/>
            <w:vAlign w:val="center"/>
          </w:tcPr>
          <w:p w14:paraId="4CAEB35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w:t>
            </w:r>
          </w:p>
        </w:tc>
        <w:tc>
          <w:tcPr>
            <w:tcW w:w="588" w:type="pct"/>
            <w:tcBorders>
              <w:tl2br w:val="nil"/>
              <w:tr2bl w:val="nil"/>
            </w:tcBorders>
            <w:noWrap/>
            <w:vAlign w:val="center"/>
          </w:tcPr>
          <w:p w14:paraId="7A1ACAB5">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0.042</w:t>
            </w:r>
          </w:p>
        </w:tc>
        <w:tc>
          <w:tcPr>
            <w:tcW w:w="582" w:type="pct"/>
            <w:tcBorders>
              <w:tl2br w:val="nil"/>
              <w:tr2bl w:val="nil"/>
            </w:tcBorders>
            <w:noWrap/>
            <w:vAlign w:val="center"/>
          </w:tcPr>
          <w:p w14:paraId="361FCDC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0.84</w:t>
            </w:r>
          </w:p>
        </w:tc>
        <w:tc>
          <w:tcPr>
            <w:tcW w:w="582" w:type="pct"/>
            <w:vMerge w:val="continue"/>
            <w:tcBorders>
              <w:tl2br w:val="nil"/>
              <w:tr2bl w:val="nil"/>
            </w:tcBorders>
            <w:noWrap/>
            <w:vAlign w:val="center"/>
          </w:tcPr>
          <w:p w14:paraId="421312AE">
            <w:pPr>
              <w:jc w:val="center"/>
              <w:rPr>
                <w:rFonts w:hint="eastAsia" w:ascii="宋体" w:hAnsi="宋体" w:cs="宋体"/>
                <w:color w:val="auto"/>
                <w:szCs w:val="21"/>
              </w:rPr>
            </w:pPr>
          </w:p>
        </w:tc>
      </w:tr>
      <w:tr w14:paraId="6023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vMerge w:val="continue"/>
            <w:tcBorders>
              <w:tl2br w:val="nil"/>
              <w:tr2bl w:val="nil"/>
            </w:tcBorders>
            <w:noWrap/>
            <w:vAlign w:val="center"/>
          </w:tcPr>
          <w:p w14:paraId="1B9D723A">
            <w:pPr>
              <w:jc w:val="center"/>
              <w:rPr>
                <w:rFonts w:hint="eastAsia" w:ascii="宋体" w:hAnsi="宋体" w:cs="宋体"/>
                <w:color w:val="auto"/>
                <w:szCs w:val="21"/>
              </w:rPr>
            </w:pPr>
          </w:p>
        </w:tc>
        <w:tc>
          <w:tcPr>
            <w:tcW w:w="1002" w:type="pct"/>
            <w:vMerge w:val="continue"/>
            <w:tcBorders>
              <w:tl2br w:val="nil"/>
              <w:tr2bl w:val="nil"/>
            </w:tcBorders>
            <w:noWrap/>
            <w:vAlign w:val="center"/>
          </w:tcPr>
          <w:p w14:paraId="1C52111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noWrap/>
            <w:vAlign w:val="center"/>
          </w:tcPr>
          <w:p w14:paraId="40E452FF">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梨形自动扣主锁</w:t>
            </w:r>
          </w:p>
        </w:tc>
        <w:tc>
          <w:tcPr>
            <w:tcW w:w="483" w:type="pct"/>
            <w:tcBorders>
              <w:tl2br w:val="nil"/>
              <w:tr2bl w:val="nil"/>
            </w:tcBorders>
            <w:noWrap/>
            <w:vAlign w:val="center"/>
          </w:tcPr>
          <w:p w14:paraId="6EADE76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80</w:t>
            </w:r>
          </w:p>
        </w:tc>
        <w:tc>
          <w:tcPr>
            <w:tcW w:w="588" w:type="pct"/>
            <w:tcBorders>
              <w:tl2br w:val="nil"/>
              <w:tr2bl w:val="nil"/>
            </w:tcBorders>
            <w:noWrap/>
            <w:vAlign w:val="center"/>
          </w:tcPr>
          <w:p w14:paraId="57B8EDAD">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0.03</w:t>
            </w:r>
          </w:p>
        </w:tc>
        <w:tc>
          <w:tcPr>
            <w:tcW w:w="582" w:type="pct"/>
            <w:tcBorders>
              <w:tl2br w:val="nil"/>
              <w:tr2bl w:val="nil"/>
            </w:tcBorders>
            <w:noWrap/>
            <w:vAlign w:val="center"/>
          </w:tcPr>
          <w:p w14:paraId="1AAC6F0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2.4</w:t>
            </w:r>
          </w:p>
        </w:tc>
        <w:tc>
          <w:tcPr>
            <w:tcW w:w="582" w:type="pct"/>
            <w:vMerge w:val="continue"/>
            <w:tcBorders>
              <w:tl2br w:val="nil"/>
              <w:tr2bl w:val="nil"/>
            </w:tcBorders>
            <w:noWrap/>
            <w:vAlign w:val="center"/>
          </w:tcPr>
          <w:p w14:paraId="7F365590">
            <w:pPr>
              <w:jc w:val="center"/>
              <w:rPr>
                <w:rFonts w:hint="eastAsia" w:ascii="宋体" w:hAnsi="宋体" w:cs="宋体"/>
                <w:color w:val="auto"/>
                <w:szCs w:val="21"/>
              </w:rPr>
            </w:pPr>
          </w:p>
        </w:tc>
      </w:tr>
      <w:tr w14:paraId="33FD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vMerge w:val="continue"/>
            <w:tcBorders>
              <w:tl2br w:val="nil"/>
              <w:tr2bl w:val="nil"/>
            </w:tcBorders>
            <w:noWrap/>
            <w:vAlign w:val="center"/>
          </w:tcPr>
          <w:p w14:paraId="6488189F">
            <w:pPr>
              <w:jc w:val="center"/>
              <w:rPr>
                <w:rFonts w:hint="eastAsia" w:ascii="宋体" w:hAnsi="宋体" w:cs="宋体"/>
                <w:color w:val="auto"/>
                <w:szCs w:val="21"/>
              </w:rPr>
            </w:pPr>
          </w:p>
        </w:tc>
        <w:tc>
          <w:tcPr>
            <w:tcW w:w="1002" w:type="pct"/>
            <w:vMerge w:val="continue"/>
            <w:tcBorders>
              <w:tl2br w:val="nil"/>
              <w:tr2bl w:val="nil"/>
            </w:tcBorders>
            <w:noWrap/>
            <w:vAlign w:val="center"/>
          </w:tcPr>
          <w:p w14:paraId="2446744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noWrap/>
            <w:vAlign w:val="center"/>
          </w:tcPr>
          <w:p w14:paraId="4D56A88E">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5:1滑轮组</w:t>
            </w:r>
          </w:p>
        </w:tc>
        <w:tc>
          <w:tcPr>
            <w:tcW w:w="483" w:type="pct"/>
            <w:tcBorders>
              <w:tl2br w:val="nil"/>
              <w:tr2bl w:val="nil"/>
            </w:tcBorders>
            <w:noWrap/>
            <w:vAlign w:val="center"/>
          </w:tcPr>
          <w:p w14:paraId="39D5D33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588" w:type="pct"/>
            <w:tcBorders>
              <w:tl2br w:val="nil"/>
              <w:tr2bl w:val="nil"/>
            </w:tcBorders>
            <w:noWrap/>
            <w:vAlign w:val="center"/>
          </w:tcPr>
          <w:p w14:paraId="0A33E578">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0.48</w:t>
            </w:r>
          </w:p>
        </w:tc>
        <w:tc>
          <w:tcPr>
            <w:tcW w:w="582" w:type="pct"/>
            <w:tcBorders>
              <w:tl2br w:val="nil"/>
              <w:tr2bl w:val="nil"/>
            </w:tcBorders>
            <w:noWrap/>
            <w:vAlign w:val="center"/>
          </w:tcPr>
          <w:p w14:paraId="13FB396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0.96</w:t>
            </w:r>
          </w:p>
        </w:tc>
        <w:tc>
          <w:tcPr>
            <w:tcW w:w="582" w:type="pct"/>
            <w:vMerge w:val="continue"/>
            <w:tcBorders>
              <w:tl2br w:val="nil"/>
              <w:tr2bl w:val="nil"/>
            </w:tcBorders>
            <w:noWrap/>
            <w:vAlign w:val="center"/>
          </w:tcPr>
          <w:p w14:paraId="32619409">
            <w:pPr>
              <w:jc w:val="center"/>
              <w:rPr>
                <w:rFonts w:hint="eastAsia" w:ascii="宋体" w:hAnsi="宋体" w:cs="宋体"/>
                <w:color w:val="auto"/>
                <w:szCs w:val="21"/>
              </w:rPr>
            </w:pPr>
          </w:p>
        </w:tc>
      </w:tr>
      <w:tr w14:paraId="77B8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vMerge w:val="continue"/>
            <w:tcBorders>
              <w:tl2br w:val="nil"/>
              <w:tr2bl w:val="nil"/>
            </w:tcBorders>
            <w:noWrap/>
            <w:vAlign w:val="center"/>
          </w:tcPr>
          <w:p w14:paraId="30DAC525">
            <w:pPr>
              <w:jc w:val="center"/>
              <w:rPr>
                <w:rFonts w:hint="eastAsia" w:ascii="宋体" w:hAnsi="宋体" w:cs="宋体"/>
                <w:color w:val="auto"/>
                <w:szCs w:val="21"/>
              </w:rPr>
            </w:pPr>
          </w:p>
        </w:tc>
        <w:tc>
          <w:tcPr>
            <w:tcW w:w="1002" w:type="pct"/>
            <w:vMerge w:val="continue"/>
            <w:tcBorders>
              <w:tl2br w:val="nil"/>
              <w:tr2bl w:val="nil"/>
            </w:tcBorders>
            <w:noWrap/>
            <w:vAlign w:val="center"/>
          </w:tcPr>
          <w:p w14:paraId="4330F2A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noWrap/>
            <w:vAlign w:val="center"/>
          </w:tcPr>
          <w:p w14:paraId="2123CE92">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O型丝扣主锁</w:t>
            </w:r>
          </w:p>
        </w:tc>
        <w:tc>
          <w:tcPr>
            <w:tcW w:w="483" w:type="pct"/>
            <w:tcBorders>
              <w:tl2br w:val="nil"/>
              <w:tr2bl w:val="nil"/>
            </w:tcBorders>
            <w:noWrap/>
            <w:vAlign w:val="center"/>
          </w:tcPr>
          <w:p w14:paraId="2E35C7A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80</w:t>
            </w:r>
          </w:p>
        </w:tc>
        <w:tc>
          <w:tcPr>
            <w:tcW w:w="588" w:type="pct"/>
            <w:tcBorders>
              <w:tl2br w:val="nil"/>
              <w:tr2bl w:val="nil"/>
            </w:tcBorders>
            <w:noWrap/>
            <w:vAlign w:val="center"/>
          </w:tcPr>
          <w:p w14:paraId="6BB01A2C">
            <w:pPr>
              <w:keepNext w:val="0"/>
              <w:keepLines w:val="0"/>
              <w:widowControl/>
              <w:suppressLineNumbers w:val="0"/>
              <w:jc w:val="center"/>
              <w:textAlignment w:val="center"/>
              <w:rPr>
                <w:rFonts w:hint="default" w:ascii="宋体" w:hAnsi="宋体" w:eastAsia="宋体" w:cs="宋体"/>
                <w:color w:val="auto"/>
                <w:kern w:val="0"/>
                <w:sz w:val="21"/>
                <w:szCs w:val="21"/>
                <w:lang w:val="en-US"/>
              </w:rPr>
            </w:pPr>
            <w:r>
              <w:rPr>
                <w:rFonts w:hint="eastAsia" w:ascii="宋体" w:hAnsi="宋体" w:eastAsia="宋体" w:cs="宋体"/>
                <w:i w:val="0"/>
                <w:iCs w:val="0"/>
                <w:color w:val="auto"/>
                <w:kern w:val="0"/>
                <w:sz w:val="21"/>
                <w:szCs w:val="21"/>
                <w:u w:val="none"/>
                <w:lang w:val="en-US" w:eastAsia="zh-CN" w:bidi="ar"/>
              </w:rPr>
              <w:t>0.026</w:t>
            </w:r>
          </w:p>
        </w:tc>
        <w:tc>
          <w:tcPr>
            <w:tcW w:w="582" w:type="pct"/>
            <w:tcBorders>
              <w:tl2br w:val="nil"/>
              <w:tr2bl w:val="nil"/>
            </w:tcBorders>
            <w:noWrap/>
            <w:vAlign w:val="center"/>
          </w:tcPr>
          <w:p w14:paraId="1F98412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2.08</w:t>
            </w:r>
          </w:p>
        </w:tc>
        <w:tc>
          <w:tcPr>
            <w:tcW w:w="582" w:type="pct"/>
            <w:vMerge w:val="continue"/>
            <w:tcBorders>
              <w:tl2br w:val="nil"/>
              <w:tr2bl w:val="nil"/>
            </w:tcBorders>
            <w:noWrap/>
            <w:vAlign w:val="center"/>
          </w:tcPr>
          <w:p w14:paraId="207796F5">
            <w:pPr>
              <w:jc w:val="center"/>
              <w:rPr>
                <w:rFonts w:hint="eastAsia" w:ascii="宋体" w:hAnsi="宋体" w:cs="宋体"/>
                <w:color w:val="auto"/>
                <w:szCs w:val="21"/>
              </w:rPr>
            </w:pPr>
          </w:p>
        </w:tc>
      </w:tr>
      <w:tr w14:paraId="1042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39" w:type="pct"/>
            <w:vMerge w:val="continue"/>
            <w:tcBorders>
              <w:tl2br w:val="nil"/>
              <w:tr2bl w:val="nil"/>
            </w:tcBorders>
            <w:noWrap/>
            <w:vAlign w:val="center"/>
          </w:tcPr>
          <w:p w14:paraId="155A59EC">
            <w:pPr>
              <w:jc w:val="center"/>
              <w:rPr>
                <w:rFonts w:hint="eastAsia" w:ascii="宋体" w:hAnsi="宋体" w:cs="宋体"/>
                <w:color w:val="auto"/>
                <w:szCs w:val="21"/>
              </w:rPr>
            </w:pPr>
          </w:p>
        </w:tc>
        <w:tc>
          <w:tcPr>
            <w:tcW w:w="1002" w:type="pct"/>
            <w:vMerge w:val="continue"/>
            <w:tcBorders>
              <w:tl2br w:val="nil"/>
              <w:tr2bl w:val="nil"/>
            </w:tcBorders>
            <w:noWrap/>
            <w:vAlign w:val="center"/>
          </w:tcPr>
          <w:p w14:paraId="267E181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421" w:type="pct"/>
            <w:tcBorders>
              <w:tl2br w:val="nil"/>
              <w:tr2bl w:val="nil"/>
            </w:tcBorders>
            <w:noWrap/>
            <w:vAlign w:val="center"/>
          </w:tcPr>
          <w:p w14:paraId="055E5F54">
            <w:pPr>
              <w:keepNext w:val="0"/>
              <w:keepLines w:val="0"/>
              <w:widowControl/>
              <w:suppressLineNumbers w:val="0"/>
              <w:jc w:val="left"/>
              <w:textAlignment w:val="center"/>
              <w:rPr>
                <w:rFonts w:hint="eastAsia" w:ascii="宋体" w:hAnsi="宋体" w:eastAsia="宋体" w:cs="宋体"/>
                <w:color w:val="auto"/>
                <w:sz w:val="21"/>
                <w:szCs w:val="21"/>
                <w:shd w:val="clear" w:color="auto" w:fill="FFFFFF" w:themeFill="background1"/>
              </w:rPr>
            </w:pPr>
            <w:r>
              <w:rPr>
                <w:rFonts w:hint="eastAsia" w:ascii="宋体" w:hAnsi="宋体" w:eastAsia="宋体" w:cs="宋体"/>
                <w:i w:val="0"/>
                <w:iCs w:val="0"/>
                <w:color w:val="auto"/>
                <w:kern w:val="0"/>
                <w:sz w:val="21"/>
                <w:szCs w:val="21"/>
                <w:u w:val="none"/>
                <w:lang w:val="en-US" w:eastAsia="zh-CN" w:bidi="ar"/>
              </w:rPr>
              <w:t>机械抓结</w:t>
            </w:r>
          </w:p>
        </w:tc>
        <w:tc>
          <w:tcPr>
            <w:tcW w:w="483" w:type="pct"/>
            <w:tcBorders>
              <w:tl2br w:val="nil"/>
              <w:tr2bl w:val="nil"/>
            </w:tcBorders>
            <w:noWrap/>
            <w:vAlign w:val="center"/>
          </w:tcPr>
          <w:p w14:paraId="218128F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w:t>
            </w:r>
          </w:p>
        </w:tc>
        <w:tc>
          <w:tcPr>
            <w:tcW w:w="588" w:type="pct"/>
            <w:tcBorders>
              <w:tl2br w:val="nil"/>
              <w:tr2bl w:val="nil"/>
            </w:tcBorders>
            <w:noWrap/>
            <w:vAlign w:val="center"/>
          </w:tcPr>
          <w:p w14:paraId="6D104459">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0.1152</w:t>
            </w:r>
          </w:p>
        </w:tc>
        <w:tc>
          <w:tcPr>
            <w:tcW w:w="582" w:type="pct"/>
            <w:tcBorders>
              <w:tl2br w:val="nil"/>
              <w:tr2bl w:val="nil"/>
            </w:tcBorders>
            <w:noWrap/>
            <w:vAlign w:val="center"/>
          </w:tcPr>
          <w:p w14:paraId="3673BAE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2.304</w:t>
            </w:r>
          </w:p>
        </w:tc>
        <w:tc>
          <w:tcPr>
            <w:tcW w:w="582" w:type="pct"/>
            <w:vMerge w:val="continue"/>
            <w:tcBorders>
              <w:tl2br w:val="nil"/>
              <w:tr2bl w:val="nil"/>
            </w:tcBorders>
            <w:noWrap/>
            <w:vAlign w:val="center"/>
          </w:tcPr>
          <w:p w14:paraId="3A610170">
            <w:pPr>
              <w:jc w:val="center"/>
              <w:rPr>
                <w:rFonts w:hint="eastAsia" w:ascii="宋体" w:hAnsi="宋体" w:cs="宋体"/>
                <w:color w:val="auto"/>
                <w:szCs w:val="21"/>
              </w:rPr>
            </w:pPr>
          </w:p>
        </w:tc>
      </w:tr>
    </w:tbl>
    <w:p w14:paraId="4DA3F7CD">
      <w:pPr>
        <w:rPr>
          <w:color w:val="auto"/>
        </w:rPr>
      </w:pPr>
    </w:p>
    <w:p w14:paraId="065AB88C">
      <w:pPr>
        <w:spacing w:line="360" w:lineRule="auto"/>
        <w:jc w:val="left"/>
        <w:outlineLvl w:val="2"/>
        <w:rPr>
          <w:rFonts w:ascii="宋体" w:hAnsi="宋体" w:cs="宋体"/>
          <w:b/>
          <w:bCs/>
          <w:color w:val="auto"/>
          <w:sz w:val="24"/>
        </w:rPr>
      </w:pPr>
      <w:r>
        <w:rPr>
          <w:rFonts w:hint="eastAsia" w:ascii="宋体" w:hAnsi="宋体" w:cs="宋体"/>
          <w:b/>
          <w:bCs/>
          <w:color w:val="auto"/>
          <w:sz w:val="24"/>
        </w:rPr>
        <w:t>（二）技术参数等要求</w:t>
      </w:r>
    </w:p>
    <w:bookmarkEnd w:id="9"/>
    <w:p w14:paraId="539159A8">
      <w:pPr>
        <w:rPr>
          <w:b/>
          <w:bCs/>
          <w:color w:val="auto"/>
        </w:rPr>
      </w:pPr>
      <w:bookmarkStart w:id="10" w:name="_Toc5762"/>
      <w:r>
        <w:rPr>
          <w:rFonts w:hint="eastAsia"/>
          <w:b/>
          <w:bCs/>
          <w:color w:val="auto"/>
        </w:rPr>
        <w:t>标项一：</w:t>
      </w:r>
    </w:p>
    <w:tbl>
      <w:tblPr>
        <w:tblStyle w:val="3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476"/>
        <w:gridCol w:w="558"/>
        <w:gridCol w:w="5928"/>
      </w:tblGrid>
      <w:tr w14:paraId="4D74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27" w:type="pct"/>
            <w:shd w:val="clear" w:color="auto" w:fill="auto"/>
            <w:noWrap/>
            <w:vAlign w:val="center"/>
          </w:tcPr>
          <w:p w14:paraId="6FDA6591">
            <w:pPr>
              <w:spacing w:line="360" w:lineRule="auto"/>
              <w:jc w:val="center"/>
              <w:rPr>
                <w:rFonts w:ascii="宋体" w:hAnsi="宋体" w:cs="宋体"/>
                <w:b/>
                <w:bCs/>
                <w:color w:val="auto"/>
                <w:szCs w:val="21"/>
              </w:rPr>
            </w:pPr>
            <w:r>
              <w:rPr>
                <w:rFonts w:hint="eastAsia" w:ascii="宋体" w:hAnsi="宋体" w:cs="宋体"/>
                <w:b/>
                <w:bCs/>
                <w:color w:val="auto"/>
                <w:spacing w:val="-20"/>
                <w:szCs w:val="21"/>
              </w:rPr>
              <w:t>序号</w:t>
            </w:r>
          </w:p>
        </w:tc>
        <w:tc>
          <w:tcPr>
            <w:tcW w:w="866" w:type="pct"/>
            <w:shd w:val="clear" w:color="auto" w:fill="auto"/>
            <w:noWrap/>
            <w:vAlign w:val="center"/>
          </w:tcPr>
          <w:p w14:paraId="31C0149B">
            <w:pPr>
              <w:spacing w:line="360" w:lineRule="auto"/>
              <w:jc w:val="center"/>
              <w:rPr>
                <w:rFonts w:ascii="宋体" w:hAnsi="宋体" w:cs="宋体"/>
                <w:b/>
                <w:bCs/>
                <w:color w:val="auto"/>
                <w:szCs w:val="21"/>
              </w:rPr>
            </w:pPr>
            <w:r>
              <w:rPr>
                <w:rFonts w:hint="eastAsia" w:ascii="宋体" w:hAnsi="宋体" w:cs="宋体"/>
                <w:b/>
                <w:bCs/>
                <w:color w:val="auto"/>
                <w:spacing w:val="-20"/>
                <w:szCs w:val="21"/>
              </w:rPr>
              <w:t>货物名称</w:t>
            </w:r>
          </w:p>
        </w:tc>
        <w:tc>
          <w:tcPr>
            <w:tcW w:w="327" w:type="pct"/>
            <w:shd w:val="clear" w:color="auto" w:fill="auto"/>
            <w:noWrap/>
            <w:vAlign w:val="center"/>
          </w:tcPr>
          <w:p w14:paraId="74E59FE2">
            <w:pPr>
              <w:spacing w:line="360" w:lineRule="auto"/>
              <w:jc w:val="center"/>
              <w:rPr>
                <w:rFonts w:ascii="宋体" w:hAnsi="宋体" w:cs="宋体"/>
                <w:b/>
                <w:bCs/>
                <w:color w:val="auto"/>
                <w:szCs w:val="21"/>
              </w:rPr>
            </w:pPr>
            <w:r>
              <w:rPr>
                <w:rFonts w:hint="eastAsia" w:ascii="宋体" w:hAnsi="宋体" w:cs="宋体"/>
                <w:b/>
                <w:bCs/>
                <w:color w:val="auto"/>
                <w:spacing w:val="-20"/>
                <w:szCs w:val="21"/>
              </w:rPr>
              <w:t>数量</w:t>
            </w:r>
          </w:p>
        </w:tc>
        <w:tc>
          <w:tcPr>
            <w:tcW w:w="3479" w:type="pct"/>
            <w:shd w:val="clear" w:color="auto" w:fill="auto"/>
            <w:noWrap/>
            <w:vAlign w:val="center"/>
          </w:tcPr>
          <w:p w14:paraId="11862C24">
            <w:pPr>
              <w:spacing w:line="360" w:lineRule="auto"/>
              <w:jc w:val="center"/>
              <w:rPr>
                <w:rFonts w:ascii="宋体" w:hAnsi="宋体" w:cs="宋体"/>
                <w:b/>
                <w:bCs/>
                <w:color w:val="auto"/>
                <w:szCs w:val="21"/>
              </w:rPr>
            </w:pPr>
            <w:r>
              <w:rPr>
                <w:rFonts w:hint="eastAsia" w:ascii="宋体" w:hAnsi="宋体" w:cs="宋体"/>
                <w:b/>
                <w:bCs/>
                <w:color w:val="auto"/>
                <w:szCs w:val="21"/>
              </w:rPr>
              <w:t>功能及技术参数等</w:t>
            </w:r>
          </w:p>
        </w:tc>
      </w:tr>
      <w:tr w14:paraId="4C7C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327" w:type="pct"/>
            <w:shd w:val="clear" w:color="auto" w:fill="auto"/>
            <w:noWrap/>
            <w:vAlign w:val="center"/>
          </w:tcPr>
          <w:p w14:paraId="26B2C5DD">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866" w:type="pct"/>
            <w:shd w:val="clear" w:color="auto" w:fill="auto"/>
            <w:noWrap/>
            <w:vAlign w:val="center"/>
          </w:tcPr>
          <w:p w14:paraId="3050A3CF">
            <w:pPr>
              <w:widowControl/>
              <w:jc w:val="left"/>
              <w:textAlignment w:val="center"/>
              <w:rPr>
                <w:rFonts w:ascii="宋体" w:hAnsi="宋体" w:cs="宋体"/>
                <w:color w:val="auto"/>
                <w:szCs w:val="21"/>
              </w:rPr>
            </w:pPr>
            <w:r>
              <w:rPr>
                <w:rFonts w:hint="eastAsia" w:ascii="宋体" w:hAnsi="宋体" w:cs="宋体"/>
                <w:color w:val="auto"/>
                <w:szCs w:val="21"/>
              </w:rPr>
              <w:t>●</w:t>
            </w:r>
            <w:r>
              <w:rPr>
                <w:rFonts w:hint="eastAsia" w:ascii="宋体" w:hAnsi="宋体"/>
                <w:color w:val="auto"/>
                <w:szCs w:val="21"/>
              </w:rPr>
              <w:t>救生照明线</w:t>
            </w:r>
          </w:p>
        </w:tc>
        <w:tc>
          <w:tcPr>
            <w:tcW w:w="327" w:type="pct"/>
            <w:shd w:val="clear" w:color="auto" w:fill="auto"/>
            <w:noWrap/>
            <w:vAlign w:val="center"/>
          </w:tcPr>
          <w:p w14:paraId="2DD0E783">
            <w:pPr>
              <w:widowControl/>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p>
        </w:tc>
        <w:tc>
          <w:tcPr>
            <w:tcW w:w="3479" w:type="pct"/>
            <w:shd w:val="clear" w:color="auto" w:fill="auto"/>
            <w:vAlign w:val="center"/>
          </w:tcPr>
          <w:p w14:paraId="344A69D5">
            <w:pPr>
              <w:widowControl/>
              <w:jc w:val="left"/>
              <w:textAlignment w:val="center"/>
              <w:rPr>
                <w:rFonts w:hint="eastAsia" w:ascii="宋体" w:hAnsi="宋体" w:cs="宋体"/>
                <w:color w:val="auto"/>
                <w:kern w:val="0"/>
                <w:szCs w:val="21"/>
                <w:highlight w:val="none"/>
              </w:rPr>
            </w:pPr>
            <w:r>
              <w:rPr>
                <w:rFonts w:hint="eastAsia" w:ascii="宋体" w:hAnsi="宋体" w:cs="宋体"/>
                <w:color w:val="auto"/>
              </w:rPr>
              <w:t>★</w:t>
            </w:r>
            <w:r>
              <w:rPr>
                <w:rFonts w:hint="eastAsia" w:ascii="宋体" w:hAnsi="宋体" w:cs="宋体"/>
                <w:color w:val="auto"/>
                <w:kern w:val="0"/>
                <w:szCs w:val="21"/>
                <w:highlight w:val="none"/>
              </w:rPr>
              <w:t>总体性能符合GB26783-2011《消防救生照明线》的标准，投标文件中提供国家认证认可检测机构出具的与所投产品型号一致、完整有效的检验检测报告。出具报告的检验检测机构应取得依据GB26783-2011《消防救生照明线》的检验资质（检测报告上体现CMA以及引用标准），否则认为该检测报告无效，不得分。</w:t>
            </w:r>
          </w:p>
          <w:p w14:paraId="0DC05FE0">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1、用于黑暗、地下场所作业的导向、照明。具备防水、质轻、抗折、耐拉、耐压、耐高温，适应环境能力强，具备柔软、可折叠弯曲，随意打结、裁剪、拼接等特点，不会影响发光性能，并且其可以反复折叠弯曲打结；</w:t>
            </w:r>
          </w:p>
          <w:p w14:paraId="291C785B">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2、线体材质：不仅限于铜丝、电致发光荧光粉、钢丝绳、塑料PVC、石英光纤等；</w:t>
            </w:r>
          </w:p>
          <w:p w14:paraId="0A41F7AC">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3、线体重量≤13kg；</w:t>
            </w:r>
          </w:p>
          <w:p w14:paraId="3907AEBB">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4、长度：200m；</w:t>
            </w:r>
          </w:p>
          <w:p w14:paraId="2DC3E8A3">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5、电源：重量≤8kg，带电量显示功能；</w:t>
            </w:r>
          </w:p>
          <w:p w14:paraId="04EBD36A">
            <w:pPr>
              <w:widowControl/>
              <w:jc w:val="left"/>
              <w:textAlignment w:val="center"/>
              <w:rPr>
                <w:rFonts w:hint="eastAsia" w:ascii="宋体" w:hAnsi="宋体" w:cs="宋体"/>
                <w:color w:val="auto"/>
                <w:kern w:val="0"/>
                <w:szCs w:val="21"/>
              </w:rPr>
            </w:pPr>
            <w:r>
              <w:rPr>
                <w:rFonts w:hint="eastAsia" w:ascii="宋体" w:hAnsi="宋体" w:cs="宋体"/>
                <w:color w:val="auto"/>
              </w:rPr>
              <w:t>★</w:t>
            </w:r>
            <w:r>
              <w:rPr>
                <w:rFonts w:hint="eastAsia" w:ascii="宋体" w:hAnsi="宋体" w:cs="宋体"/>
                <w:color w:val="auto"/>
                <w:kern w:val="0"/>
                <w:szCs w:val="21"/>
              </w:rPr>
              <w:t>6、发光亮度：在连续工作时间内，发光亮度≥10cd/㎡；</w:t>
            </w:r>
          </w:p>
          <w:p w14:paraId="49F5CB5F">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7、工作时间：常亮型连续工作时间≥8h，闪烁型连续工作时间≥16h；</w:t>
            </w:r>
          </w:p>
          <w:p w14:paraId="5C219A08">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rPr>
              <w:t>8、充电时间≤8h；</w:t>
            </w:r>
          </w:p>
          <w:p w14:paraId="71DE68B1">
            <w:pPr>
              <w:widowControl/>
              <w:jc w:val="left"/>
              <w:textAlignment w:val="center"/>
              <w:rPr>
                <w:rFonts w:ascii="宋体" w:hAnsi="宋体" w:cs="宋体"/>
                <w:color w:val="auto"/>
                <w:kern w:val="0"/>
                <w:szCs w:val="21"/>
              </w:rPr>
            </w:pPr>
            <w:r>
              <w:rPr>
                <w:rFonts w:hint="eastAsia" w:ascii="宋体" w:hAnsi="宋体" w:cs="宋体"/>
                <w:color w:val="auto"/>
                <w:kern w:val="0"/>
                <w:szCs w:val="21"/>
              </w:rPr>
              <w:t>9、线体防尘、防水级别≥IP65。</w:t>
            </w:r>
          </w:p>
        </w:tc>
      </w:tr>
    </w:tbl>
    <w:p w14:paraId="19F44800">
      <w:pPr>
        <w:rPr>
          <w:rFonts w:ascii="宋体" w:hAnsi="宋体" w:cs="宋体"/>
          <w:color w:val="auto"/>
          <w:szCs w:val="21"/>
        </w:rPr>
      </w:pPr>
    </w:p>
    <w:p w14:paraId="339A322A">
      <w:pPr>
        <w:rPr>
          <w:rFonts w:ascii="宋体" w:hAnsi="宋体" w:cs="宋体"/>
          <w:b/>
          <w:bCs/>
          <w:color w:val="auto"/>
          <w:szCs w:val="21"/>
        </w:rPr>
      </w:pPr>
      <w:r>
        <w:rPr>
          <w:rFonts w:hint="eastAsia" w:ascii="宋体" w:hAnsi="宋体" w:cs="宋体"/>
          <w:b/>
          <w:bCs/>
          <w:color w:val="auto"/>
          <w:szCs w:val="21"/>
        </w:rPr>
        <w:t>标项二：</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254"/>
        <w:gridCol w:w="641"/>
        <w:gridCol w:w="6052"/>
      </w:tblGrid>
      <w:tr w14:paraId="3F4C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590E9B67">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序号</w:t>
            </w:r>
          </w:p>
        </w:tc>
        <w:tc>
          <w:tcPr>
            <w:tcW w:w="736" w:type="pct"/>
            <w:vAlign w:val="center"/>
          </w:tcPr>
          <w:p w14:paraId="36F6141F">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货物名称</w:t>
            </w:r>
          </w:p>
        </w:tc>
        <w:tc>
          <w:tcPr>
            <w:tcW w:w="376" w:type="pct"/>
            <w:vAlign w:val="center"/>
          </w:tcPr>
          <w:p w14:paraId="3B152FA9">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数量</w:t>
            </w:r>
          </w:p>
        </w:tc>
        <w:tc>
          <w:tcPr>
            <w:tcW w:w="3551" w:type="pct"/>
            <w:vAlign w:val="center"/>
          </w:tcPr>
          <w:p w14:paraId="27E804F1">
            <w:pPr>
              <w:spacing w:line="360" w:lineRule="auto"/>
              <w:jc w:val="center"/>
              <w:rPr>
                <w:rFonts w:ascii="宋体" w:hAnsi="宋体" w:cs="宋体"/>
                <w:b/>
                <w:bCs/>
                <w:color w:val="auto"/>
                <w:szCs w:val="21"/>
              </w:rPr>
            </w:pPr>
            <w:r>
              <w:rPr>
                <w:rFonts w:hint="eastAsia" w:ascii="宋体" w:hAnsi="宋体" w:cs="宋体"/>
                <w:b/>
                <w:bCs/>
                <w:color w:val="auto"/>
                <w:szCs w:val="21"/>
              </w:rPr>
              <w:t>功能及技术参数等</w:t>
            </w:r>
          </w:p>
        </w:tc>
      </w:tr>
      <w:tr w14:paraId="107B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14A2C526">
            <w:pPr>
              <w:spacing w:line="360" w:lineRule="auto"/>
              <w:jc w:val="center"/>
              <w:rPr>
                <w:rFonts w:ascii="宋体" w:hAnsi="宋体" w:cs="宋体"/>
                <w:color w:val="auto"/>
                <w:spacing w:val="-20"/>
                <w:szCs w:val="21"/>
              </w:rPr>
            </w:pPr>
            <w:r>
              <w:rPr>
                <w:rFonts w:hint="eastAsia" w:ascii="宋体" w:hAnsi="宋体" w:cs="宋体"/>
                <w:color w:val="auto"/>
                <w:spacing w:val="-20"/>
                <w:szCs w:val="21"/>
              </w:rPr>
              <w:t>1</w:t>
            </w:r>
          </w:p>
        </w:tc>
        <w:tc>
          <w:tcPr>
            <w:tcW w:w="736" w:type="pct"/>
            <w:vAlign w:val="center"/>
          </w:tcPr>
          <w:p w14:paraId="720EEF72">
            <w:pPr>
              <w:widowControl/>
              <w:jc w:val="center"/>
              <w:textAlignment w:val="center"/>
              <w:rPr>
                <w:rFonts w:ascii="宋体" w:hAnsi="宋体" w:cs="宋体"/>
                <w:color w:val="auto"/>
                <w:spacing w:val="-20"/>
                <w:szCs w:val="21"/>
              </w:rPr>
            </w:pPr>
            <w:r>
              <w:rPr>
                <w:rFonts w:hint="eastAsia" w:ascii="宋体" w:hAnsi="宋体" w:cs="宋体"/>
                <w:color w:val="auto"/>
                <w:szCs w:val="21"/>
              </w:rPr>
              <w:t>●</w:t>
            </w:r>
            <w:r>
              <w:rPr>
                <w:rFonts w:hint="eastAsia" w:ascii="宋体" w:hAnsi="宋体"/>
                <w:color w:val="auto"/>
                <w:szCs w:val="21"/>
              </w:rPr>
              <w:t>消防救生气垫</w:t>
            </w:r>
          </w:p>
        </w:tc>
        <w:tc>
          <w:tcPr>
            <w:tcW w:w="376" w:type="pct"/>
            <w:vAlign w:val="center"/>
          </w:tcPr>
          <w:p w14:paraId="3CAC8B4C">
            <w:pPr>
              <w:widowControl/>
              <w:jc w:val="center"/>
              <w:textAlignment w:val="center"/>
              <w:rPr>
                <w:rFonts w:hint="eastAsia" w:ascii="宋体" w:hAnsi="宋体" w:eastAsia="宋体" w:cs="宋体"/>
                <w:b/>
                <w:bCs/>
                <w:color w:val="auto"/>
                <w:spacing w:val="-20"/>
                <w:szCs w:val="21"/>
                <w:lang w:eastAsia="zh-CN"/>
              </w:rPr>
            </w:pPr>
            <w:r>
              <w:rPr>
                <w:rFonts w:hint="eastAsia" w:ascii="宋体" w:hAnsi="宋体" w:cs="宋体"/>
                <w:color w:val="auto"/>
                <w:kern w:val="0"/>
                <w:szCs w:val="21"/>
                <w:lang w:val="en-US" w:eastAsia="zh-CN"/>
              </w:rPr>
              <w:t>5</w:t>
            </w:r>
          </w:p>
        </w:tc>
        <w:tc>
          <w:tcPr>
            <w:tcW w:w="3551" w:type="pct"/>
            <w:vAlign w:val="center"/>
          </w:tcPr>
          <w:p w14:paraId="2FEC0DF0">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rPr>
              <w:t>★</w:t>
            </w:r>
            <w:r>
              <w:rPr>
                <w:rFonts w:hint="eastAsia" w:ascii="宋体" w:hAnsi="宋体" w:cs="宋体"/>
                <w:color w:val="auto"/>
                <w:szCs w:val="21"/>
                <w:highlight w:val="none"/>
              </w:rPr>
              <w:t>总体性能符合XF631-2006《消防救生气垫》的</w:t>
            </w:r>
            <w:r>
              <w:rPr>
                <w:rFonts w:hint="eastAsia" w:ascii="宋体" w:hAnsi="宋体" w:cs="宋体"/>
                <w:color w:val="auto"/>
                <w:szCs w:val="21"/>
                <w:highlight w:val="none"/>
                <w:lang w:val="en-US" w:eastAsia="zh-CN"/>
              </w:rPr>
              <w:t>标准</w:t>
            </w:r>
            <w:r>
              <w:rPr>
                <w:rFonts w:hint="eastAsia" w:ascii="宋体" w:hAnsi="宋体" w:cs="宋体"/>
                <w:color w:val="auto"/>
                <w:szCs w:val="21"/>
                <w:highlight w:val="none"/>
              </w:rPr>
              <w:t>，</w:t>
            </w:r>
            <w:r>
              <w:rPr>
                <w:rFonts w:hint="eastAsia" w:ascii="宋体" w:hAnsi="宋体" w:cs="宋体"/>
                <w:color w:val="auto"/>
                <w:kern w:val="0"/>
                <w:szCs w:val="21"/>
                <w:highlight w:val="none"/>
              </w:rPr>
              <w:t>提供国家认证认可检测机构出具的</w:t>
            </w:r>
            <w:r>
              <w:rPr>
                <w:rFonts w:hint="eastAsia" w:ascii="宋体" w:hAnsi="宋体" w:cs="宋体"/>
                <w:color w:val="auto"/>
                <w:szCs w:val="21"/>
                <w:highlight w:val="none"/>
              </w:rPr>
              <w:t>与所投产品型号一致、完整有效的检验检测报告</w:t>
            </w:r>
            <w:r>
              <w:rPr>
                <w:rFonts w:hint="eastAsia" w:ascii="宋体" w:hAnsi="宋体" w:cs="宋体"/>
                <w:color w:val="auto"/>
                <w:szCs w:val="21"/>
                <w:highlight w:val="none"/>
                <w:lang w:eastAsia="zh-CN"/>
              </w:rPr>
              <w:t>。</w:t>
            </w:r>
          </w:p>
          <w:p w14:paraId="2FA65314">
            <w:pPr>
              <w:widowControl/>
              <w:jc w:val="left"/>
              <w:textAlignment w:val="center"/>
              <w:rPr>
                <w:rFonts w:hint="eastAsia" w:ascii="宋体" w:hAnsi="宋体" w:cs="宋体"/>
                <w:color w:val="auto"/>
                <w:szCs w:val="21"/>
              </w:rPr>
            </w:pPr>
            <w:r>
              <w:rPr>
                <w:rFonts w:hint="eastAsia" w:ascii="宋体" w:hAnsi="宋体" w:cs="宋体"/>
                <w:color w:val="auto"/>
                <w:szCs w:val="21"/>
                <w:highlight w:val="none"/>
              </w:rPr>
              <w:t>1、抗拉力纤维材质，充</w:t>
            </w:r>
            <w:r>
              <w:rPr>
                <w:rFonts w:hint="eastAsia" w:ascii="宋体" w:hAnsi="宋体" w:cs="宋体"/>
                <w:color w:val="auto"/>
                <w:szCs w:val="21"/>
              </w:rPr>
              <w:t>气时间≤60s；无重压下，10s内可恢复使用；气源：鼓风机；</w:t>
            </w:r>
          </w:p>
          <w:p w14:paraId="48CEA8F0">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rPr>
              <w:t>2、气垫外层耐燃处理，气垫顶面制设靶心标识</w:t>
            </w:r>
            <w:r>
              <w:rPr>
                <w:rFonts w:hint="eastAsia" w:ascii="宋体" w:hAnsi="宋体" w:cs="宋体"/>
                <w:color w:val="auto"/>
                <w:szCs w:val="21"/>
                <w:lang w:eastAsia="zh-CN"/>
              </w:rPr>
              <w:t>；</w:t>
            </w:r>
          </w:p>
          <w:p w14:paraId="7636B4EB">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rPr>
              <w:t>配置：整件套配置（气垫1个、鼓风机2台，气垫包装装运袋1个，手推车1个，气垫中心设有明显靶心标志）</w:t>
            </w:r>
            <w:r>
              <w:rPr>
                <w:rFonts w:hint="eastAsia" w:ascii="宋体" w:hAnsi="宋体" w:cs="宋体"/>
                <w:color w:val="auto"/>
                <w:szCs w:val="21"/>
                <w:lang w:eastAsia="zh-CN"/>
              </w:rPr>
              <w:t>；</w:t>
            </w:r>
          </w:p>
          <w:p w14:paraId="4C9CF7AF">
            <w:pPr>
              <w:widowControl/>
              <w:jc w:val="left"/>
              <w:textAlignment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r>
              <w:rPr>
                <w:rFonts w:hint="eastAsia" w:ascii="宋体" w:hAnsi="宋体" w:cs="宋体"/>
                <w:color w:val="auto"/>
                <w:szCs w:val="21"/>
              </w:rPr>
              <w:t>长*宽*高≥8m*6m*2m</w:t>
            </w:r>
            <w:r>
              <w:rPr>
                <w:rFonts w:hint="eastAsia" w:ascii="宋体" w:hAnsi="宋体" w:cs="宋体"/>
                <w:color w:val="auto"/>
                <w:szCs w:val="21"/>
                <w:lang w:eastAsia="zh-CN"/>
              </w:rPr>
              <w:t>；</w:t>
            </w:r>
          </w:p>
          <w:p w14:paraId="20C0A584">
            <w:pPr>
              <w:widowControl/>
              <w:jc w:val="left"/>
              <w:textAlignment w:val="cente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总重≤100kg。</w:t>
            </w:r>
          </w:p>
        </w:tc>
      </w:tr>
      <w:tr w14:paraId="15BC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119A5977">
            <w:pPr>
              <w:spacing w:line="360" w:lineRule="auto"/>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2</w:t>
            </w:r>
          </w:p>
        </w:tc>
        <w:tc>
          <w:tcPr>
            <w:tcW w:w="736" w:type="pct"/>
            <w:shd w:val="clear" w:color="auto" w:fill="auto"/>
            <w:vAlign w:val="center"/>
          </w:tcPr>
          <w:p w14:paraId="391DEE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肢体固定气囊</w:t>
            </w:r>
          </w:p>
        </w:tc>
        <w:tc>
          <w:tcPr>
            <w:tcW w:w="376" w:type="pct"/>
            <w:shd w:val="clear" w:color="auto" w:fill="auto"/>
            <w:vAlign w:val="center"/>
          </w:tcPr>
          <w:p w14:paraId="0285C4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551" w:type="pct"/>
            <w:shd w:val="clear" w:color="auto" w:fill="auto"/>
            <w:vAlign w:val="top"/>
          </w:tcPr>
          <w:p w14:paraId="14A50904">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4F042782">
            <w:pPr>
              <w:widowControl/>
              <w:jc w:val="left"/>
              <w:textAlignment w:val="top"/>
              <w:rPr>
                <w:rFonts w:hint="eastAsia"/>
                <w:color w:val="auto"/>
                <w:highlight w:val="none"/>
              </w:rPr>
            </w:pPr>
            <w:r>
              <w:rPr>
                <w:rFonts w:hint="eastAsia"/>
                <w:color w:val="auto"/>
                <w:highlight w:val="none"/>
              </w:rPr>
              <w:t>1、采用真空成型原理，将气垫内空气抽出，形成硬性固定成型体，用于固定受伤人员四肢部位，负压，快速定型，牢固、轻便，分躯体、肢干和颈椎固定，能对不同体位骨折、骨伤患者提供固定支撑保护作用，有效防止因现场处理不当及送医过程造成二次损伤；</w:t>
            </w:r>
          </w:p>
          <w:p w14:paraId="050219FD">
            <w:pPr>
              <w:widowControl/>
              <w:jc w:val="left"/>
              <w:textAlignment w:val="top"/>
              <w:rPr>
                <w:rFonts w:hint="eastAsia"/>
                <w:color w:val="auto"/>
                <w:highlight w:val="none"/>
              </w:rPr>
            </w:pPr>
            <w:r>
              <w:rPr>
                <w:rFonts w:hint="eastAsia"/>
                <w:color w:val="auto"/>
                <w:highlight w:val="none"/>
              </w:rPr>
              <w:t>2、材质：由PVC绝缘材料制成，内充物为无毒，无味高分子颗粒，可直接接受X光和磁共振检查；</w:t>
            </w:r>
          </w:p>
          <w:p w14:paraId="5AB7BD0D">
            <w:pPr>
              <w:widowControl/>
              <w:jc w:val="left"/>
              <w:textAlignment w:val="top"/>
              <w:rPr>
                <w:rFonts w:hint="eastAsia"/>
                <w:color w:val="auto"/>
                <w:highlight w:val="none"/>
              </w:rPr>
            </w:pPr>
            <w:r>
              <w:rPr>
                <w:rFonts w:hint="eastAsia"/>
                <w:color w:val="auto"/>
                <w:highlight w:val="none"/>
              </w:rPr>
              <w:t>3、耐拉伸、耐撕裂，真空状态可保持≥70h无漏气；</w:t>
            </w:r>
          </w:p>
          <w:p w14:paraId="461615C1">
            <w:pPr>
              <w:widowControl/>
              <w:jc w:val="left"/>
              <w:textAlignment w:val="top"/>
              <w:rPr>
                <w:rFonts w:hint="eastAsia"/>
                <w:color w:val="auto"/>
                <w:highlight w:val="none"/>
              </w:rPr>
            </w:pPr>
            <w:r>
              <w:rPr>
                <w:rFonts w:hint="eastAsia"/>
                <w:color w:val="auto"/>
                <w:highlight w:val="none"/>
              </w:rPr>
              <w:t>4、表面不易损坏，可洗涤，可充当救生浮垫，由脚部固定气囊、脚腕固定气囊、手臂固定气囊、颈部固定气囊组成；</w:t>
            </w:r>
          </w:p>
          <w:p w14:paraId="33179384">
            <w:pPr>
              <w:widowControl/>
              <w:jc w:val="left"/>
              <w:textAlignment w:val="top"/>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5、相关配件：配备手泵、连接器、手提包。</w:t>
            </w:r>
          </w:p>
        </w:tc>
      </w:tr>
      <w:tr w14:paraId="1B3D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78F48BE8">
            <w:pPr>
              <w:spacing w:line="360" w:lineRule="auto"/>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3</w:t>
            </w:r>
          </w:p>
        </w:tc>
        <w:tc>
          <w:tcPr>
            <w:tcW w:w="736" w:type="pct"/>
            <w:shd w:val="clear" w:color="auto" w:fill="auto"/>
            <w:vAlign w:val="center"/>
          </w:tcPr>
          <w:p w14:paraId="2C4151B1">
            <w:pPr>
              <w:keepNext w:val="0"/>
              <w:keepLines w:val="0"/>
              <w:widowControl/>
              <w:suppressLineNumbers w:val="0"/>
              <w:jc w:val="center"/>
              <w:textAlignment w:val="center"/>
              <w:rPr>
                <w:rFonts w:hint="eastAsia" w:ascii="宋体" w:hAnsi="宋体" w:eastAsia="宋体" w:cs="宋体"/>
                <w:color w:val="auto"/>
                <w:spacing w:val="-2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躯体固定气囊</w:t>
            </w:r>
          </w:p>
        </w:tc>
        <w:tc>
          <w:tcPr>
            <w:tcW w:w="376" w:type="pct"/>
            <w:shd w:val="clear" w:color="auto" w:fill="auto"/>
            <w:vAlign w:val="center"/>
          </w:tcPr>
          <w:p w14:paraId="1B8B454F">
            <w:pPr>
              <w:keepNext w:val="0"/>
              <w:keepLines w:val="0"/>
              <w:widowControl/>
              <w:suppressLineNumbers w:val="0"/>
              <w:jc w:val="center"/>
              <w:textAlignment w:val="center"/>
              <w:rPr>
                <w:rFonts w:hint="eastAsia" w:ascii="宋体" w:hAnsi="宋体" w:eastAsia="宋体" w:cs="宋体"/>
                <w:b/>
                <w:bCs/>
                <w:color w:val="auto"/>
                <w:spacing w:val="-2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551" w:type="pct"/>
            <w:shd w:val="clear" w:color="auto" w:fill="auto"/>
            <w:vAlign w:val="top"/>
          </w:tcPr>
          <w:p w14:paraId="1C2BC105">
            <w:pPr>
              <w:widowControl/>
              <w:jc w:val="left"/>
              <w:textAlignment w:val="top"/>
              <w:rPr>
                <w:rFonts w:hint="eastAsia"/>
                <w:color w:val="auto"/>
                <w:highlight w:val="none"/>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543E7060">
            <w:pPr>
              <w:widowControl/>
              <w:jc w:val="left"/>
              <w:textAlignment w:val="top"/>
              <w:rPr>
                <w:rFonts w:hint="eastAsia"/>
                <w:color w:val="auto"/>
                <w:highlight w:val="none"/>
              </w:rPr>
            </w:pPr>
            <w:r>
              <w:rPr>
                <w:rFonts w:hint="eastAsia"/>
                <w:color w:val="auto"/>
                <w:highlight w:val="none"/>
              </w:rPr>
              <w:t>1、采用真空成型原理，将气垫内空气抽出，形成硬性固定成型体，该产品轻巧简便。对受伤部位起保护作用，避免二次伤害；</w:t>
            </w:r>
          </w:p>
          <w:p w14:paraId="05B8CB60">
            <w:pPr>
              <w:widowControl/>
              <w:jc w:val="left"/>
              <w:textAlignment w:val="top"/>
              <w:rPr>
                <w:rFonts w:hint="eastAsia"/>
                <w:color w:val="auto"/>
                <w:highlight w:val="none"/>
              </w:rPr>
            </w:pPr>
            <w:r>
              <w:rPr>
                <w:rFonts w:hint="eastAsia"/>
                <w:color w:val="auto"/>
                <w:highlight w:val="none"/>
              </w:rPr>
              <w:t>2、材质：由PVC绝缘材料制成，内充物为无毒，无味高分子颗粒，可直接接受X光和磁共振检查；</w:t>
            </w:r>
          </w:p>
          <w:p w14:paraId="6843BC68">
            <w:pPr>
              <w:widowControl/>
              <w:jc w:val="left"/>
              <w:textAlignment w:val="top"/>
              <w:rPr>
                <w:rFonts w:hint="eastAsia"/>
                <w:color w:val="auto"/>
                <w:highlight w:val="none"/>
              </w:rPr>
            </w:pPr>
            <w:r>
              <w:rPr>
                <w:rFonts w:hint="eastAsia"/>
                <w:color w:val="auto"/>
                <w:highlight w:val="none"/>
              </w:rPr>
              <w:t>3、表面不易损坏，用于固定受伤人员躯干部位，负压，快速定型，牢固、轻便，可洗涤；</w:t>
            </w:r>
          </w:p>
          <w:p w14:paraId="5AC86FDF">
            <w:pPr>
              <w:widowControl/>
              <w:jc w:val="left"/>
              <w:textAlignment w:val="top"/>
              <w:rPr>
                <w:rFonts w:hint="eastAsia"/>
                <w:color w:val="auto"/>
                <w:highlight w:val="none"/>
              </w:rPr>
            </w:pPr>
            <w:r>
              <w:rPr>
                <w:rFonts w:hint="eastAsia"/>
                <w:color w:val="auto"/>
                <w:highlight w:val="none"/>
              </w:rPr>
              <w:t>4、耐拉伸、耐撕裂，真空状态可保持≥70h无漏气；</w:t>
            </w:r>
          </w:p>
          <w:p w14:paraId="3479131F">
            <w:pPr>
              <w:widowControl/>
              <w:jc w:val="left"/>
              <w:textAlignment w:val="top"/>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5、相关配件：配备手泵、连接器、手提包。</w:t>
            </w:r>
          </w:p>
        </w:tc>
      </w:tr>
      <w:tr w14:paraId="1EF4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35D489FC">
            <w:pPr>
              <w:spacing w:line="360" w:lineRule="auto"/>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4</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3113608C">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折叠式担架</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00851A30">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top"/>
          </w:tcPr>
          <w:p w14:paraId="129D54E1">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362769E5">
            <w:pPr>
              <w:widowControl/>
              <w:jc w:val="left"/>
              <w:textAlignment w:val="top"/>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用于抢救人员，可折叠，带4个轮子，带折叠手拉杆，可推拉运输伤员，为金属框架，高分子材料表面质材，便于洗消，承重≥120 kg。</w:t>
            </w:r>
          </w:p>
        </w:tc>
      </w:tr>
      <w:tr w14:paraId="00B0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41FF7A5F">
            <w:pPr>
              <w:spacing w:line="360" w:lineRule="auto"/>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5</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7B9C2428">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伤员固定抬板</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6E99F4BC">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top"/>
          </w:tcPr>
          <w:p w14:paraId="147D4EBF">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485BBE4E">
            <w:pPr>
              <w:widowControl/>
              <w:jc w:val="left"/>
              <w:textAlignment w:val="top"/>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运送事故现场受伤人员。与头部固定器、颈托等配合使用，避免伤员颈椎、胸椎及腰椎再次受伤。担架周边有提手口，可供三人以上同时提、扛、抬，水中不下沉，承重≥250kg。</w:t>
            </w:r>
          </w:p>
        </w:tc>
      </w:tr>
      <w:tr w14:paraId="7791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53FA94BB">
            <w:pPr>
              <w:spacing w:line="360" w:lineRule="auto"/>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6</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5A28F7F6">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多功能担架</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1598BC1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top"/>
          </w:tcPr>
          <w:p w14:paraId="49998E29">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78609F89">
            <w:pPr>
              <w:widowControl/>
              <w:jc w:val="left"/>
              <w:textAlignment w:val="top"/>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用于灾害事故现场救援。可垂直或水平吊运，可水平抬运，也可在光滑的地面拖拉，ABS工程塑料，便于携带，应用范围广，可单人操作。载重≥120kg。</w:t>
            </w:r>
          </w:p>
        </w:tc>
      </w:tr>
      <w:tr w14:paraId="211B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34D82A92">
            <w:pPr>
              <w:spacing w:line="360" w:lineRule="auto"/>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7</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5C137F98">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漂浮救援板</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181B8C32">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top"/>
          </w:tcPr>
          <w:p w14:paraId="6ADE75AC">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79ADD391">
            <w:pPr>
              <w:widowControl/>
              <w:jc w:val="left"/>
              <w:textAlignment w:val="top"/>
              <w:rPr>
                <w:rFonts w:hint="eastAsia"/>
                <w:color w:val="auto"/>
                <w:highlight w:val="none"/>
              </w:rPr>
            </w:pPr>
            <w:r>
              <w:rPr>
                <w:rFonts w:hint="eastAsia" w:ascii="宋体" w:hAnsi="宋体" w:cs="宋体"/>
                <w:color w:val="auto"/>
              </w:rPr>
              <w:t>★</w:t>
            </w:r>
            <w:r>
              <w:rPr>
                <w:rFonts w:hint="eastAsia"/>
                <w:color w:val="auto"/>
                <w:highlight w:val="none"/>
              </w:rPr>
              <w:t>1、承重≥150kg；</w:t>
            </w:r>
          </w:p>
          <w:p w14:paraId="255C1E02">
            <w:pPr>
              <w:widowControl/>
              <w:jc w:val="left"/>
              <w:textAlignment w:val="top"/>
              <w:rPr>
                <w:rFonts w:hint="eastAsia"/>
                <w:color w:val="auto"/>
                <w:highlight w:val="none"/>
              </w:rPr>
            </w:pPr>
            <w:r>
              <w:rPr>
                <w:rFonts w:hint="eastAsia"/>
                <w:color w:val="auto"/>
                <w:highlight w:val="none"/>
              </w:rPr>
              <w:t>2、长度≥300cm,宽度≥75cm,厚度≥15cm，配有鱼鳍分水板（配备1块备用鱼鳍分水板）；</w:t>
            </w:r>
          </w:p>
          <w:p w14:paraId="4FD439E6">
            <w:pPr>
              <w:widowControl/>
              <w:jc w:val="left"/>
              <w:textAlignment w:val="top"/>
              <w:rPr>
                <w:rFonts w:hint="eastAsia"/>
                <w:color w:val="auto"/>
                <w:highlight w:val="none"/>
              </w:rPr>
            </w:pPr>
            <w:r>
              <w:rPr>
                <w:rFonts w:hint="eastAsia"/>
                <w:color w:val="auto"/>
                <w:highlight w:val="none"/>
              </w:rPr>
              <w:t>3、PVC材料加厚、防穿刺保护层；</w:t>
            </w:r>
          </w:p>
          <w:p w14:paraId="17CF0E02">
            <w:pPr>
              <w:widowControl/>
              <w:jc w:val="left"/>
              <w:textAlignment w:val="top"/>
              <w:rPr>
                <w:rFonts w:hint="eastAsia"/>
                <w:color w:val="auto"/>
                <w:highlight w:val="none"/>
              </w:rPr>
            </w:pPr>
            <w:r>
              <w:rPr>
                <w:rFonts w:hint="eastAsia"/>
                <w:color w:val="auto"/>
                <w:highlight w:val="none"/>
              </w:rPr>
              <w:t>4、充气压强可达15PSI，内部高压强的情况下救援板不会变形；</w:t>
            </w:r>
          </w:p>
          <w:p w14:paraId="03510032">
            <w:pPr>
              <w:widowControl/>
              <w:jc w:val="left"/>
              <w:textAlignment w:val="top"/>
              <w:rPr>
                <w:rFonts w:hint="eastAsia"/>
                <w:color w:val="auto"/>
                <w:highlight w:val="none"/>
              </w:rPr>
            </w:pPr>
            <w:r>
              <w:rPr>
                <w:rFonts w:hint="eastAsia"/>
                <w:color w:val="auto"/>
                <w:highlight w:val="none"/>
              </w:rPr>
              <w:t>5、配有划桨一支，安全绳一条，装备包一个，修补材料一份，打气筒一个，同时配备电动打气装置和手动打气筒，配置气瓶充气接口；</w:t>
            </w:r>
          </w:p>
          <w:p w14:paraId="0643E083">
            <w:pPr>
              <w:widowControl/>
              <w:jc w:val="left"/>
              <w:textAlignment w:val="top"/>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6、救援板正面有至少7条便携式尼龙提手和至少8个D型安全挂点，重量≤15kg。</w:t>
            </w:r>
          </w:p>
        </w:tc>
      </w:tr>
      <w:tr w14:paraId="48AE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0F65F2DD">
            <w:pPr>
              <w:spacing w:line="360" w:lineRule="auto"/>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8</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14A66C0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漂浮担架</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2C2A6414">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top"/>
          </w:tcPr>
          <w:p w14:paraId="292B77A7">
            <w:pPr>
              <w:widowControl/>
              <w:jc w:val="left"/>
              <w:textAlignment w:val="top"/>
              <w:rPr>
                <w:rFonts w:hint="eastAsia"/>
                <w:color w:val="auto"/>
                <w:sz w:val="24"/>
                <w:szCs w:val="24"/>
                <w:highlight w:val="none"/>
                <w:lang w:val="en-US" w:eastAsia="zh-CN"/>
              </w:rPr>
            </w:pPr>
            <w:r>
              <w:rPr>
                <w:rFonts w:hint="eastAsia" w:ascii="宋体" w:hAnsi="宋体" w:cs="宋体"/>
                <w:color w:val="auto"/>
                <w:sz w:val="24"/>
                <w:szCs w:val="24"/>
              </w:rPr>
              <w:t>★</w:t>
            </w:r>
            <w:r>
              <w:rPr>
                <w:rFonts w:hint="eastAsia"/>
                <w:color w:val="auto"/>
                <w:sz w:val="24"/>
                <w:szCs w:val="24"/>
                <w:highlight w:val="none"/>
                <w:lang w:val="en-US" w:eastAsia="zh-CN"/>
              </w:rPr>
              <w:t>提供国家认证认可检测机构出具的与所投产品型号一致、完整有效的检验检测报告。</w:t>
            </w:r>
          </w:p>
          <w:p w14:paraId="3B3ED09E">
            <w:pPr>
              <w:widowControl/>
              <w:jc w:val="left"/>
              <w:textAlignment w:val="top"/>
              <w:rPr>
                <w:rFonts w:hint="eastAsia"/>
                <w:color w:val="auto"/>
                <w:sz w:val="24"/>
                <w:szCs w:val="24"/>
                <w:highlight w:val="none"/>
              </w:rPr>
            </w:pPr>
            <w:r>
              <w:rPr>
                <w:rFonts w:hint="eastAsia"/>
                <w:color w:val="auto"/>
                <w:sz w:val="24"/>
                <w:szCs w:val="24"/>
                <w:highlight w:val="none"/>
              </w:rPr>
              <w:t>1、小巧轻便：长度≥1.8m，宽度≥0.6m；</w:t>
            </w:r>
          </w:p>
          <w:p w14:paraId="0D769EAF">
            <w:pPr>
              <w:widowControl/>
              <w:jc w:val="left"/>
              <w:textAlignment w:val="top"/>
              <w:rPr>
                <w:rFonts w:hint="eastAsia"/>
                <w:color w:val="auto"/>
                <w:sz w:val="24"/>
                <w:szCs w:val="24"/>
                <w:highlight w:val="none"/>
              </w:rPr>
            </w:pPr>
            <w:r>
              <w:rPr>
                <w:rFonts w:hint="eastAsia"/>
                <w:color w:val="auto"/>
                <w:sz w:val="24"/>
                <w:szCs w:val="24"/>
                <w:highlight w:val="none"/>
              </w:rPr>
              <w:t>2、材料为：TPU单面涂层气密布；</w:t>
            </w:r>
          </w:p>
          <w:p w14:paraId="71F06ACA">
            <w:pPr>
              <w:widowControl/>
              <w:jc w:val="left"/>
              <w:textAlignment w:val="top"/>
              <w:rPr>
                <w:rFonts w:hint="eastAsia"/>
                <w:color w:val="auto"/>
                <w:sz w:val="24"/>
                <w:szCs w:val="24"/>
                <w:highlight w:val="none"/>
              </w:rPr>
            </w:pPr>
            <w:r>
              <w:rPr>
                <w:rFonts w:hint="eastAsia"/>
                <w:color w:val="auto"/>
                <w:sz w:val="24"/>
                <w:szCs w:val="24"/>
                <w:highlight w:val="none"/>
              </w:rPr>
              <w:t>3、采用充气方式，本身质量≤5kg，充气后最大浮力≥1200N；</w:t>
            </w:r>
          </w:p>
          <w:p w14:paraId="0F922C86">
            <w:pPr>
              <w:widowControl/>
              <w:jc w:val="left"/>
              <w:textAlignment w:val="top"/>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4、颜色通常为红色或黄色等醒目颜色。</w:t>
            </w:r>
          </w:p>
        </w:tc>
      </w:tr>
      <w:tr w14:paraId="4942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04F5D637">
            <w:pPr>
              <w:spacing w:line="360" w:lineRule="auto"/>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9</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515BDCF6">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篮式担架</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3E952365">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top"/>
          </w:tcPr>
          <w:p w14:paraId="451399E7">
            <w:pPr>
              <w:widowControl/>
              <w:jc w:val="left"/>
              <w:textAlignment w:val="top"/>
              <w:rPr>
                <w:rFonts w:hint="eastAsia"/>
                <w:color w:val="auto"/>
                <w:sz w:val="24"/>
                <w:szCs w:val="24"/>
                <w:highlight w:val="none"/>
                <w:lang w:val="en-US" w:eastAsia="zh-CN"/>
              </w:rPr>
            </w:pPr>
            <w:r>
              <w:rPr>
                <w:rFonts w:hint="eastAsia" w:ascii="宋体" w:hAnsi="宋体" w:cs="宋体"/>
                <w:color w:val="auto"/>
                <w:sz w:val="24"/>
                <w:szCs w:val="24"/>
              </w:rPr>
              <w:t>★</w:t>
            </w:r>
            <w:r>
              <w:rPr>
                <w:rFonts w:hint="eastAsia"/>
                <w:color w:val="auto"/>
                <w:sz w:val="24"/>
                <w:szCs w:val="24"/>
                <w:highlight w:val="none"/>
                <w:lang w:val="en-US" w:eastAsia="zh-CN"/>
              </w:rPr>
              <w:t>提供国家认证认可检测机构出具的与所投产品型号一致、完整有效的检验检测报告。</w:t>
            </w:r>
          </w:p>
          <w:p w14:paraId="6FC8CB77">
            <w:pPr>
              <w:widowControl/>
              <w:jc w:val="left"/>
              <w:textAlignment w:val="top"/>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材质：钛2（配件：聚</w:t>
            </w:r>
            <w:r>
              <w:rPr>
                <w:rFonts w:hint="eastAsia" w:ascii="宋体" w:hAnsi="宋体" w:eastAsia="宋体" w:cs="宋体"/>
                <w:color w:val="auto"/>
                <w:sz w:val="24"/>
                <w:szCs w:val="24"/>
                <w:lang w:val="en-US" w:eastAsia="zh-CN"/>
              </w:rPr>
              <w:t>乙</w:t>
            </w:r>
            <w:r>
              <w:rPr>
                <w:rFonts w:hint="eastAsia" w:ascii="宋体" w:hAnsi="宋体" w:eastAsia="宋体" w:cs="宋体"/>
                <w:color w:val="auto"/>
                <w:sz w:val="24"/>
                <w:szCs w:val="24"/>
              </w:rPr>
              <w:t>稀、PE、涤纶）</w:t>
            </w:r>
            <w:r>
              <w:rPr>
                <w:rFonts w:hint="eastAsia" w:ascii="宋体" w:hAnsi="宋体" w:cs="宋体"/>
                <w:color w:val="auto"/>
                <w:sz w:val="24"/>
                <w:szCs w:val="24"/>
                <w:lang w:eastAsia="zh-CN"/>
              </w:rPr>
              <w:t>；</w:t>
            </w:r>
          </w:p>
          <w:p w14:paraId="08E9F7E6">
            <w:pPr>
              <w:widowControl/>
              <w:jc w:val="left"/>
              <w:textAlignment w:val="top"/>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尺</w:t>
            </w:r>
            <w:r>
              <w:rPr>
                <w:rFonts w:hint="eastAsia" w:ascii="宋体" w:hAnsi="宋体" w:eastAsia="宋体" w:cs="宋体"/>
                <w:color w:val="auto"/>
                <w:sz w:val="24"/>
                <w:szCs w:val="24"/>
                <w:lang w:val="en-US" w:eastAsia="zh-CN"/>
              </w:rPr>
              <w:t>寸</w:t>
            </w:r>
            <w:r>
              <w:rPr>
                <w:rFonts w:hint="eastAsia" w:ascii="宋体" w:hAnsi="宋体" w:eastAsia="宋体" w:cs="宋体"/>
                <w:color w:val="auto"/>
                <w:sz w:val="24"/>
                <w:szCs w:val="24"/>
              </w:rPr>
              <w:t>：不大于2</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cm</w:t>
            </w:r>
            <w:r>
              <w:rPr>
                <w:rFonts w:hint="eastAsia" w:ascii="宋体" w:hAnsi="宋体" w:cs="宋体"/>
                <w:color w:val="auto"/>
                <w:sz w:val="24"/>
                <w:szCs w:val="24"/>
                <w:lang w:eastAsia="zh-CN"/>
              </w:rPr>
              <w:t>；</w:t>
            </w:r>
          </w:p>
          <w:p w14:paraId="7E5D6ACF">
            <w:pPr>
              <w:widowControl/>
              <w:jc w:val="left"/>
              <w:textAlignment w:val="top"/>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有效</w:t>
            </w:r>
            <w:r>
              <w:rPr>
                <w:rFonts w:hint="eastAsia" w:ascii="宋体" w:hAnsi="宋体" w:eastAsia="宋体" w:cs="宋体"/>
                <w:color w:val="auto"/>
                <w:sz w:val="24"/>
                <w:szCs w:val="24"/>
                <w:lang w:val="en-US" w:eastAsia="zh-CN"/>
              </w:rPr>
              <w:t>工</w:t>
            </w:r>
            <w:r>
              <w:rPr>
                <w:rFonts w:hint="eastAsia" w:ascii="宋体" w:hAnsi="宋体" w:eastAsia="宋体" w:cs="宋体"/>
                <w:color w:val="auto"/>
                <w:sz w:val="24"/>
                <w:szCs w:val="24"/>
              </w:rPr>
              <w:t>作负载：</w:t>
            </w:r>
            <w:r>
              <w:rPr>
                <w:rFonts w:hint="eastAsia" w:ascii="宋体" w:hAnsi="宋体" w:eastAsia="宋体" w:cs="宋体"/>
                <w:color w:val="auto"/>
                <w:sz w:val="24"/>
                <w:szCs w:val="24"/>
                <w:lang w:val="en-US" w:eastAsia="zh-CN"/>
              </w:rPr>
              <w:t>水</w:t>
            </w:r>
            <w:r>
              <w:rPr>
                <w:rFonts w:hint="eastAsia" w:ascii="宋体" w:hAnsi="宋体" w:eastAsia="宋体" w:cs="宋体"/>
                <w:color w:val="auto"/>
                <w:sz w:val="24"/>
                <w:szCs w:val="24"/>
              </w:rPr>
              <w:t>平不小于300kg；垂直不小于300kg</w:t>
            </w:r>
            <w:r>
              <w:rPr>
                <w:rFonts w:hint="eastAsia" w:ascii="宋体" w:hAnsi="宋体" w:cs="宋体"/>
                <w:color w:val="auto"/>
                <w:sz w:val="24"/>
                <w:szCs w:val="24"/>
                <w:lang w:eastAsia="zh-CN"/>
              </w:rPr>
              <w:t>；</w:t>
            </w:r>
          </w:p>
          <w:p w14:paraId="0EB52F3C">
            <w:pPr>
              <w:widowControl/>
              <w:jc w:val="left"/>
              <w:textAlignment w:val="top"/>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重量：不大于7.5kg（不包含配件），包含配件</w:t>
            </w:r>
            <w:r>
              <w:rPr>
                <w:rFonts w:hint="eastAsia" w:ascii="宋体" w:hAnsi="宋体" w:cs="宋体"/>
                <w:color w:val="auto"/>
                <w:sz w:val="24"/>
                <w:szCs w:val="24"/>
                <w:lang w:val="en-US" w:eastAsia="zh-CN"/>
              </w:rPr>
              <w:t>不大于11</w:t>
            </w:r>
            <w:r>
              <w:rPr>
                <w:rFonts w:hint="eastAsia" w:ascii="宋体" w:hAnsi="宋体" w:eastAsia="宋体" w:cs="宋体"/>
                <w:color w:val="auto"/>
                <w:sz w:val="24"/>
                <w:szCs w:val="24"/>
              </w:rPr>
              <w:t>kg</w:t>
            </w:r>
            <w:r>
              <w:rPr>
                <w:rFonts w:hint="eastAsia" w:ascii="宋体" w:hAnsi="宋体" w:cs="宋体"/>
                <w:color w:val="auto"/>
                <w:sz w:val="24"/>
                <w:szCs w:val="24"/>
                <w:lang w:eastAsia="zh-CN"/>
              </w:rPr>
              <w:t>；</w:t>
            </w:r>
          </w:p>
          <w:p w14:paraId="3C10849B">
            <w:pPr>
              <w:widowControl/>
              <w:jc w:val="left"/>
              <w:textAlignment w:val="top"/>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管材</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体成型弯管，副管满焊，强度</w:t>
            </w:r>
            <w:r>
              <w:rPr>
                <w:rFonts w:hint="eastAsia" w:ascii="宋体" w:hAnsi="宋体" w:eastAsia="宋体" w:cs="宋体"/>
                <w:color w:val="auto"/>
                <w:sz w:val="24"/>
                <w:szCs w:val="24"/>
                <w:lang w:val="en-US" w:eastAsia="zh-CN"/>
              </w:rPr>
              <w:t>大</w:t>
            </w:r>
            <w:r>
              <w:rPr>
                <w:rFonts w:hint="eastAsia" w:ascii="宋体" w:hAnsi="宋体" w:eastAsia="宋体" w:cs="宋体"/>
                <w:color w:val="auto"/>
                <w:sz w:val="24"/>
                <w:szCs w:val="24"/>
              </w:rPr>
              <w:t>，共有5个挂点分布在两侧及尾部正中，适合不同的悬吊</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式，四点式悬吊，担架平稳舒适，三点式悬吊，担架可快速调整姿态。</w:t>
            </w:r>
          </w:p>
          <w:p w14:paraId="312F1C02">
            <w:pPr>
              <w:widowControl/>
              <w:jc w:val="left"/>
              <w:textAlignment w:val="top"/>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配</w:t>
            </w:r>
            <w:r>
              <w:rPr>
                <w:rFonts w:hint="eastAsia" w:ascii="宋体" w:hAnsi="宋体" w:eastAsia="宋体" w:cs="宋体"/>
                <w:color w:val="auto"/>
                <w:sz w:val="24"/>
                <w:szCs w:val="24"/>
                <w:lang w:val="en-US" w:eastAsia="zh-CN"/>
              </w:rPr>
              <w:t>置</w:t>
            </w:r>
            <w:r>
              <w:rPr>
                <w:rFonts w:hint="eastAsia" w:ascii="宋体" w:hAnsi="宋体" w:eastAsia="宋体" w:cs="宋体"/>
                <w:color w:val="auto"/>
                <w:sz w:val="24"/>
                <w:szCs w:val="24"/>
              </w:rPr>
              <w:t>背部</w:t>
            </w:r>
            <w:r>
              <w:rPr>
                <w:rFonts w:hint="eastAsia" w:ascii="宋体" w:hAnsi="宋体" w:eastAsia="宋体" w:cs="宋体"/>
                <w:color w:val="auto"/>
                <w:sz w:val="24"/>
                <w:szCs w:val="24"/>
                <w:lang w:val="en-US" w:eastAsia="zh-CN"/>
              </w:rPr>
              <w:t>支</w:t>
            </w:r>
            <w:r>
              <w:rPr>
                <w:rFonts w:hint="eastAsia" w:ascii="宋体" w:hAnsi="宋体" w:eastAsia="宋体" w:cs="宋体"/>
                <w:color w:val="auto"/>
                <w:sz w:val="24"/>
                <w:szCs w:val="24"/>
              </w:rPr>
              <w:t>撑耐</w:t>
            </w:r>
            <w:r>
              <w:rPr>
                <w:rFonts w:hint="eastAsia" w:ascii="宋体" w:hAnsi="宋体" w:eastAsia="宋体" w:cs="宋体"/>
                <w:color w:val="auto"/>
                <w:sz w:val="24"/>
                <w:szCs w:val="24"/>
                <w:lang w:val="en-US" w:eastAsia="zh-CN"/>
              </w:rPr>
              <w:t>用</w:t>
            </w:r>
            <w:r>
              <w:rPr>
                <w:rFonts w:hint="eastAsia" w:ascii="宋体" w:hAnsi="宋体" w:eastAsia="宋体" w:cs="宋体"/>
                <w:color w:val="auto"/>
                <w:sz w:val="24"/>
                <w:szCs w:val="24"/>
              </w:rPr>
              <w:t>聚</w:t>
            </w:r>
            <w:r>
              <w:rPr>
                <w:rFonts w:hint="eastAsia" w:ascii="宋体" w:hAnsi="宋体" w:eastAsia="宋体" w:cs="宋体"/>
                <w:color w:val="auto"/>
                <w:sz w:val="24"/>
                <w:szCs w:val="24"/>
                <w:lang w:val="en-US" w:eastAsia="zh-CN"/>
              </w:rPr>
              <w:t>乙</w:t>
            </w:r>
            <w:r>
              <w:rPr>
                <w:rFonts w:hint="eastAsia" w:ascii="宋体" w:hAnsi="宋体" w:eastAsia="宋体" w:cs="宋体"/>
                <w:color w:val="auto"/>
                <w:sz w:val="24"/>
                <w:szCs w:val="24"/>
              </w:rPr>
              <w:t>稀背板</w:t>
            </w:r>
            <w:r>
              <w:rPr>
                <w:rFonts w:hint="eastAsia" w:ascii="宋体" w:hAnsi="宋体" w:eastAsia="宋体" w:cs="宋体"/>
                <w:color w:val="auto"/>
                <w:sz w:val="24"/>
                <w:szCs w:val="24"/>
                <w:lang w:val="en-US" w:eastAsia="zh-CN"/>
              </w:rPr>
              <w:t>长至小</w:t>
            </w:r>
            <w:r>
              <w:rPr>
                <w:rFonts w:hint="eastAsia" w:ascii="宋体" w:hAnsi="宋体" w:eastAsia="宋体" w:cs="宋体"/>
                <w:color w:val="auto"/>
                <w:sz w:val="24"/>
                <w:szCs w:val="24"/>
              </w:rPr>
              <w:t>腿部，13mm格阻燃</w:t>
            </w:r>
            <w:r>
              <w:rPr>
                <w:rFonts w:hint="eastAsia" w:ascii="宋体" w:hAnsi="宋体" w:eastAsia="宋体" w:cs="宋体"/>
                <w:color w:val="auto"/>
                <w:sz w:val="24"/>
                <w:szCs w:val="24"/>
                <w:lang w:val="en-US" w:eastAsia="zh-CN"/>
              </w:rPr>
              <w:t>网</w:t>
            </w:r>
            <w:r>
              <w:rPr>
                <w:rFonts w:hint="eastAsia" w:ascii="宋体" w:hAnsi="宋体" w:eastAsia="宋体" w:cs="宋体"/>
                <w:color w:val="auto"/>
                <w:sz w:val="24"/>
                <w:szCs w:val="24"/>
              </w:rPr>
              <w:t>衬，四条快拆装功能的固定带。</w:t>
            </w:r>
          </w:p>
          <w:p w14:paraId="7B70BDDF">
            <w:pPr>
              <w:widowControl/>
              <w:jc w:val="left"/>
              <w:textAlignment w:val="top"/>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主管直</w:t>
            </w:r>
            <w:r>
              <w:rPr>
                <w:rFonts w:hint="eastAsia" w:ascii="宋体" w:hAnsi="宋体" w:eastAsia="宋体" w:cs="宋体"/>
                <w:color w:val="auto"/>
                <w:sz w:val="24"/>
                <w:szCs w:val="24"/>
                <w:highlight w:val="none"/>
              </w:rPr>
              <w:t>径24</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便抓握，架连接</w:t>
            </w:r>
            <w:r>
              <w:rPr>
                <w:rFonts w:hint="eastAsia" w:ascii="宋体" w:hAnsi="宋体" w:eastAsia="宋体" w:cs="宋体"/>
                <w:color w:val="auto"/>
                <w:sz w:val="24"/>
                <w:szCs w:val="24"/>
              </w:rPr>
              <w:t>采</w:t>
            </w:r>
            <w:r>
              <w:rPr>
                <w:rFonts w:hint="eastAsia" w:ascii="宋体" w:hAnsi="宋体" w:eastAsia="宋体" w:cs="宋体"/>
                <w:color w:val="auto"/>
                <w:sz w:val="24"/>
                <w:szCs w:val="24"/>
                <w:lang w:val="en-US" w:eastAsia="zh-CN"/>
              </w:rPr>
              <w:t>用</w:t>
            </w:r>
            <w:r>
              <w:rPr>
                <w:rFonts w:hint="eastAsia" w:ascii="宋体" w:hAnsi="宋体" w:eastAsia="宋体" w:cs="宋体"/>
                <w:color w:val="auto"/>
                <w:sz w:val="24"/>
                <w:szCs w:val="24"/>
              </w:rPr>
              <w:t>主管螺纹连接、底部七字互扣，结构强度</w:t>
            </w:r>
            <w:r>
              <w:rPr>
                <w:rFonts w:hint="eastAsia" w:ascii="宋体" w:hAnsi="宋体" w:eastAsia="宋体" w:cs="宋体"/>
                <w:color w:val="auto"/>
                <w:sz w:val="24"/>
                <w:szCs w:val="24"/>
                <w:lang w:val="en-US" w:eastAsia="zh-CN"/>
              </w:rPr>
              <w:t>大</w:t>
            </w:r>
            <w:r>
              <w:rPr>
                <w:rFonts w:hint="eastAsia" w:ascii="宋体" w:hAnsi="宋体" w:eastAsia="宋体" w:cs="宋体"/>
                <w:color w:val="auto"/>
                <w:sz w:val="24"/>
                <w:szCs w:val="24"/>
              </w:rPr>
              <w:t>，可实现快速拆装。</w:t>
            </w:r>
          </w:p>
          <w:p w14:paraId="0DD8863B">
            <w:pPr>
              <w:widowControl/>
              <w:jc w:val="left"/>
              <w:textAlignment w:val="top"/>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可</w:t>
            </w:r>
            <w:r>
              <w:rPr>
                <w:rFonts w:hint="eastAsia" w:ascii="宋体" w:hAnsi="宋体" w:eastAsia="宋体" w:cs="宋体"/>
                <w:color w:val="auto"/>
                <w:sz w:val="24"/>
                <w:szCs w:val="24"/>
                <w:lang w:val="en-US" w:eastAsia="zh-CN"/>
              </w:rPr>
              <w:t>用</w:t>
            </w:r>
            <w:r>
              <w:rPr>
                <w:rFonts w:hint="eastAsia" w:ascii="宋体" w:hAnsi="宋体" w:eastAsia="宋体" w:cs="宋体"/>
                <w:color w:val="auto"/>
                <w:sz w:val="24"/>
                <w:szCs w:val="24"/>
              </w:rPr>
              <w:t>于垂直、平移、斜坡等多种</w:t>
            </w:r>
            <w:r>
              <w:rPr>
                <w:rFonts w:hint="eastAsia" w:ascii="宋体" w:hAnsi="宋体" w:eastAsia="宋体" w:cs="宋体"/>
                <w:color w:val="auto"/>
                <w:sz w:val="24"/>
                <w:szCs w:val="24"/>
                <w:lang w:val="en-US" w:eastAsia="zh-CN"/>
              </w:rPr>
              <w:t>角</w:t>
            </w:r>
            <w:r>
              <w:rPr>
                <w:rFonts w:hint="eastAsia" w:ascii="宋体" w:hAnsi="宋体" w:eastAsia="宋体" w:cs="宋体"/>
                <w:color w:val="auto"/>
                <w:sz w:val="24"/>
                <w:szCs w:val="24"/>
              </w:rPr>
              <w:t>度环境使</w:t>
            </w:r>
            <w:r>
              <w:rPr>
                <w:rFonts w:hint="eastAsia" w:ascii="宋体" w:hAnsi="宋体" w:eastAsia="宋体" w:cs="宋体"/>
                <w:color w:val="auto"/>
                <w:sz w:val="24"/>
                <w:szCs w:val="24"/>
                <w:lang w:val="en-US" w:eastAsia="zh-CN"/>
              </w:rPr>
              <w:t>用</w:t>
            </w:r>
            <w:r>
              <w:rPr>
                <w:rFonts w:hint="eastAsia" w:ascii="宋体" w:hAnsi="宋体" w:eastAsia="宋体" w:cs="宋体"/>
                <w:color w:val="auto"/>
                <w:sz w:val="24"/>
                <w:szCs w:val="24"/>
              </w:rPr>
              <w:t>。</w:t>
            </w:r>
          </w:p>
          <w:p w14:paraId="772BBA9F">
            <w:pPr>
              <w:widowControl/>
              <w:jc w:val="left"/>
              <w:textAlignment w:val="top"/>
              <w:rPr>
                <w:rFonts w:hint="eastAsia" w:ascii="Times New Roman" w:hAnsi="Times New Roman" w:eastAsia="宋体" w:cs="Times New Roman"/>
                <w:color w:val="auto"/>
                <w:kern w:val="2"/>
                <w:sz w:val="24"/>
                <w:szCs w:val="24"/>
                <w:lang w:val="en-US" w:eastAsia="zh-CN" w:bidi="ar-SA"/>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担架采</w:t>
            </w:r>
            <w:r>
              <w:rPr>
                <w:rFonts w:hint="eastAsia" w:ascii="宋体" w:hAnsi="宋体" w:eastAsia="宋体" w:cs="宋体"/>
                <w:color w:val="auto"/>
                <w:sz w:val="24"/>
                <w:szCs w:val="24"/>
                <w:lang w:val="en-US" w:eastAsia="zh-CN"/>
              </w:rPr>
              <w:t>用</w:t>
            </w:r>
            <w:r>
              <w:rPr>
                <w:rFonts w:hint="eastAsia" w:ascii="宋体" w:hAnsi="宋体" w:eastAsia="宋体" w:cs="宋体"/>
                <w:color w:val="auto"/>
                <w:sz w:val="24"/>
                <w:szCs w:val="24"/>
              </w:rPr>
              <w:t>分体结构，两段可套叠起来，存储、运输更便利。</w:t>
            </w:r>
          </w:p>
        </w:tc>
      </w:tr>
      <w:tr w14:paraId="53F0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3257E8AB">
            <w:pPr>
              <w:spacing w:line="360" w:lineRule="auto"/>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10</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3C2D17EE">
            <w:pPr>
              <w:keepNext w:val="0"/>
              <w:keepLines w:val="0"/>
              <w:widowControl/>
              <w:suppressLineNumbers w:val="0"/>
              <w:jc w:val="center"/>
              <w:textAlignment w:val="center"/>
              <w:rPr>
                <w:rFonts w:hint="eastAsia" w:ascii="宋体" w:hAnsi="宋体" w:eastAsia="宋体" w:cs="宋体"/>
                <w:color w:val="auto"/>
                <w:spacing w:val="-20"/>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打捞杆</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1A2BDCA4">
            <w:pPr>
              <w:keepNext w:val="0"/>
              <w:keepLines w:val="0"/>
              <w:widowControl/>
              <w:suppressLineNumbers w:val="0"/>
              <w:jc w:val="center"/>
              <w:textAlignment w:val="center"/>
              <w:rPr>
                <w:rFonts w:hint="eastAsia" w:ascii="宋体" w:hAnsi="宋体" w:eastAsia="宋体" w:cs="宋体"/>
                <w:b/>
                <w:bCs/>
                <w:color w:val="auto"/>
                <w:spacing w:val="-20"/>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142CBCA9">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2B0BE6BD">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1、救援杆材质：碳纤维杆；</w:t>
            </w:r>
          </w:p>
          <w:p w14:paraId="1F917ABA">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 xml:space="preserve">2、折叠或收缩后长度≤2.8m，展开长度≥18m； </w:t>
            </w:r>
          </w:p>
          <w:p w14:paraId="255D671E">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3、重量≤5kg；</w:t>
            </w:r>
          </w:p>
          <w:p w14:paraId="65B7DF8E">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4、浮球的规格 ：浮力≥6kg，重量≥650g；</w:t>
            </w:r>
          </w:p>
          <w:p w14:paraId="3EE8B82E">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5、浮力圈的规格：直径≥600mm，重量≤600g，浮力≥7kg；</w:t>
            </w:r>
          </w:p>
          <w:p w14:paraId="65E53D18">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6、爪钩的规格 ：长度≥315mm ，重量≤600g；</w:t>
            </w:r>
          </w:p>
          <w:p w14:paraId="7A3EAC13">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7、挂钩的规格：钩口宽≥120mm，长度≥330mm，重量≤600g；</w:t>
            </w:r>
          </w:p>
          <w:p w14:paraId="1EA97D45">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8、弧形套勺：重量≥480g，长度≤750mm，宽度≤540mm；</w:t>
            </w:r>
          </w:p>
          <w:p w14:paraId="1C495C10">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9、D型钩的规格：总长度≥250mm，钳口长度≥51mm，宽≥100mm，重量≤700g；</w:t>
            </w:r>
          </w:p>
          <w:p w14:paraId="10A0D8C6">
            <w:pPr>
              <w:pStyle w:val="33"/>
              <w:spacing w:after="0"/>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10、弹性捕获器的规格：张开距离≥480mm，重量≥320g。</w:t>
            </w:r>
          </w:p>
        </w:tc>
      </w:tr>
      <w:tr w14:paraId="06F5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3BED43DA">
            <w:pPr>
              <w:spacing w:line="360" w:lineRule="auto"/>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11</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55948318">
            <w:pPr>
              <w:keepNext w:val="0"/>
              <w:keepLines w:val="0"/>
              <w:widowControl/>
              <w:suppressLineNumbers w:val="0"/>
              <w:jc w:val="center"/>
              <w:textAlignment w:val="center"/>
              <w:rPr>
                <w:rFonts w:hint="eastAsia" w:ascii="宋体" w:hAnsi="宋体" w:eastAsia="宋体" w:cs="宋体"/>
                <w:color w:val="auto"/>
                <w:spacing w:val="-20"/>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救生缓降器</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2D3C5258">
            <w:pPr>
              <w:keepNext w:val="0"/>
              <w:keepLines w:val="0"/>
              <w:widowControl/>
              <w:suppressLineNumbers w:val="0"/>
              <w:jc w:val="center"/>
              <w:textAlignment w:val="center"/>
              <w:rPr>
                <w:rFonts w:hint="eastAsia" w:ascii="宋体" w:hAnsi="宋体" w:eastAsia="宋体" w:cs="宋体"/>
                <w:b/>
                <w:bCs/>
                <w:color w:val="auto"/>
                <w:spacing w:val="-2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top"/>
          </w:tcPr>
          <w:p w14:paraId="67C8DC77">
            <w:pPr>
              <w:rPr>
                <w:highlight w:val="none"/>
              </w:rPr>
            </w:pPr>
            <w:r>
              <w:rPr>
                <w:rFonts w:hint="eastAsia" w:ascii="宋体" w:hAnsi="宋体" w:cs="宋体"/>
                <w:color w:val="auto"/>
              </w:rPr>
              <w:t>★</w:t>
            </w:r>
            <w:r>
              <w:rPr>
                <w:rFonts w:hint="eastAsia" w:ascii="宋体" w:hAnsi="宋体" w:cs="宋体"/>
                <w:color w:val="auto"/>
                <w:szCs w:val="21"/>
              </w:rPr>
              <w:t>总体性能符合 GB21976.2-2012《建筑火灾逃生避难器材 第2部分：逃生缓降器》的要求，</w:t>
            </w:r>
            <w:r>
              <w:rPr>
                <w:highlight w:val="none"/>
              </w:rPr>
              <w:t>投标文件中</w:t>
            </w:r>
            <w:r>
              <w:rPr>
                <w:rFonts w:hint="eastAsia" w:ascii="宋体" w:hAnsi="宋体" w:cs="宋体"/>
                <w:color w:val="auto"/>
                <w:kern w:val="0"/>
                <w:szCs w:val="21"/>
                <w:highlight w:val="none"/>
              </w:rPr>
              <w:t>提供国家认证认可检测机构出具的</w:t>
            </w:r>
            <w:r>
              <w:rPr>
                <w:highlight w:val="none"/>
              </w:rPr>
              <w:t>与所投产品型号一致、完整有效的检验检测报告。出具报告的检验检测机构应取得依据</w:t>
            </w:r>
            <w:r>
              <w:rPr>
                <w:rFonts w:hint="eastAsia"/>
                <w:highlight w:val="none"/>
              </w:rPr>
              <w:t>GB21976.2-2012《建筑火灾逃生避难器材 第2部分：逃生缓降器》</w:t>
            </w:r>
            <w:r>
              <w:rPr>
                <w:highlight w:val="none"/>
              </w:rPr>
              <w:t>的检验资质（检测报告上体现CMA以及引用标准），否则认为该检测报告无效，不得分。</w:t>
            </w:r>
          </w:p>
          <w:p w14:paraId="492A6AD8">
            <w:pPr>
              <w:widowControl/>
              <w:jc w:val="left"/>
              <w:textAlignment w:val="top"/>
              <w:rPr>
                <w:rFonts w:hint="eastAsia" w:ascii="宋体" w:hAnsi="宋体" w:cs="宋体"/>
                <w:color w:val="auto"/>
                <w:szCs w:val="21"/>
              </w:rPr>
            </w:pPr>
            <w:r>
              <w:rPr>
                <w:rFonts w:hint="eastAsia" w:ascii="宋体" w:hAnsi="宋体" w:cs="宋体"/>
                <w:color w:val="auto"/>
                <w:szCs w:val="21"/>
              </w:rPr>
              <w:t>1、缓降器各部件应无变形、损伤等异常现象。金属件的外表面应光滑，无锈蚀、斑点、毛刺并进行防腐蚀处理。绳索端头应采用保护物包扎。采用航空用钢丝绳，直径应≥3mm；</w:t>
            </w:r>
          </w:p>
          <w:p w14:paraId="46B6C9CA">
            <w:pPr>
              <w:widowControl/>
              <w:jc w:val="left"/>
              <w:textAlignment w:val="top"/>
              <w:rPr>
                <w:rFonts w:hint="eastAsia" w:ascii="宋体" w:hAnsi="宋体" w:cs="宋体"/>
                <w:color w:val="auto"/>
                <w:szCs w:val="21"/>
              </w:rPr>
            </w:pPr>
            <w:r>
              <w:rPr>
                <w:rFonts w:hint="eastAsia" w:ascii="宋体" w:hAnsi="宋体" w:cs="宋体"/>
                <w:color w:val="auto"/>
                <w:szCs w:val="21"/>
              </w:rPr>
              <w:t>2、工作高度≥30m，最大载重≥150kg；</w:t>
            </w:r>
          </w:p>
          <w:p w14:paraId="44FC4579">
            <w:pPr>
              <w:widowControl/>
              <w:jc w:val="left"/>
              <w:textAlignment w:val="top"/>
              <w:rPr>
                <w:rFonts w:hint="eastAsia" w:ascii="宋体" w:hAnsi="宋体" w:cs="宋体"/>
                <w:color w:val="auto"/>
                <w:szCs w:val="21"/>
              </w:rPr>
            </w:pPr>
            <w:r>
              <w:rPr>
                <w:rFonts w:hint="eastAsia" w:ascii="宋体" w:hAnsi="宋体" w:cs="宋体"/>
                <w:color w:val="auto"/>
                <w:szCs w:val="21"/>
              </w:rPr>
              <w:t>3、整套包含安全钩、缓降绳索、安全带、调速器、绳索卷盘等组成；</w:t>
            </w:r>
          </w:p>
          <w:p w14:paraId="54C89E32">
            <w:pPr>
              <w:widowControl/>
              <w:jc w:val="left"/>
              <w:textAlignment w:val="top"/>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4、在最小负荷、标准负荷和最大负荷状态下，缓降器的下降速度应为0.16m/s〜1.5m/s，在标准负荷状态下，缓降器每次下降速度相对于20次重复下降速度平均值的偏差≤±20%。</w:t>
            </w:r>
          </w:p>
        </w:tc>
      </w:tr>
      <w:tr w14:paraId="6447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7010A2D7">
            <w:pPr>
              <w:spacing w:line="360" w:lineRule="auto"/>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12</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4B4BD8B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救援支架</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637D81E2">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top"/>
          </w:tcPr>
          <w:p w14:paraId="61BB10AC">
            <w:pPr>
              <w:widowControl/>
              <w:jc w:val="left"/>
              <w:textAlignment w:val="top"/>
              <w:rPr>
                <w:rFonts w:hint="eastAsia"/>
                <w:highlight w:val="none"/>
                <w:lang w:val="en-US" w:eastAsia="zh-CN"/>
              </w:rPr>
            </w:pPr>
            <w:r>
              <w:rPr>
                <w:rFonts w:hint="eastAsia" w:ascii="宋体" w:hAnsi="宋体" w:cs="宋体"/>
                <w:color w:val="auto"/>
              </w:rPr>
              <w:t>★</w:t>
            </w:r>
            <w:r>
              <w:rPr>
                <w:rFonts w:hint="eastAsia" w:ascii="宋体" w:hAnsi="宋体" w:cs="宋体"/>
                <w:color w:val="auto"/>
                <w:szCs w:val="21"/>
                <w:highlight w:val="none"/>
              </w:rPr>
              <w:t>总体性能符合XF3009-2020《救援三脚架》标准，</w:t>
            </w:r>
            <w:r>
              <w:rPr>
                <w:rFonts w:hint="eastAsia" w:ascii="宋体" w:hAnsi="宋体" w:cs="宋体"/>
                <w:color w:val="auto"/>
                <w:kern w:val="0"/>
                <w:szCs w:val="21"/>
                <w:highlight w:val="none"/>
              </w:rPr>
              <w:t>提供国家认证认可检测机构出具的</w:t>
            </w:r>
            <w:r>
              <w:rPr>
                <w:rFonts w:hint="eastAsia"/>
                <w:highlight w:val="none"/>
                <w:lang w:val="en-US" w:eastAsia="zh-CN"/>
              </w:rPr>
              <w:t>与所投产品型号一致、完整有效的检验检测报告。</w:t>
            </w:r>
          </w:p>
          <w:p w14:paraId="4FBFFCAF">
            <w:pPr>
              <w:widowControl/>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1、最大工作状态高度≤3000mm；</w:t>
            </w:r>
          </w:p>
          <w:p w14:paraId="7CF9A5F5">
            <w:pPr>
              <w:widowControl/>
              <w:jc w:val="left"/>
              <w:textAlignment w:val="top"/>
              <w:rPr>
                <w:rFonts w:hint="eastAsia" w:ascii="宋体" w:hAnsi="宋体" w:cs="宋体"/>
                <w:color w:val="auto"/>
                <w:szCs w:val="21"/>
                <w:highlight w:val="none"/>
              </w:rPr>
            </w:pPr>
            <w:r>
              <w:rPr>
                <w:rFonts w:hint="eastAsia" w:ascii="宋体" w:hAnsi="宋体" w:cs="宋体"/>
                <w:color w:val="auto"/>
              </w:rPr>
              <w:t>★</w:t>
            </w:r>
            <w:r>
              <w:rPr>
                <w:rFonts w:hint="eastAsia" w:ascii="宋体" w:hAnsi="宋体" w:cs="宋体"/>
                <w:color w:val="auto"/>
                <w:szCs w:val="21"/>
                <w:highlight w:val="none"/>
              </w:rPr>
              <w:t>2、额定负载质量≥200kg；</w:t>
            </w:r>
          </w:p>
          <w:p w14:paraId="77E253D1">
            <w:pPr>
              <w:widowControl/>
              <w:jc w:val="left"/>
              <w:textAlignment w:val="top"/>
              <w:rPr>
                <w:rFonts w:hint="eastAsia" w:ascii="宋体" w:hAnsi="宋体" w:cs="宋体"/>
                <w:color w:val="auto"/>
                <w:szCs w:val="21"/>
              </w:rPr>
            </w:pPr>
            <w:r>
              <w:rPr>
                <w:rFonts w:hint="eastAsia" w:ascii="宋体" w:hAnsi="宋体" w:cs="宋体"/>
                <w:color w:val="auto"/>
                <w:szCs w:val="21"/>
                <w:highlight w:val="none"/>
              </w:rPr>
              <w:t>3、顶端设置不少于2个固定锚</w:t>
            </w:r>
            <w:r>
              <w:rPr>
                <w:rFonts w:hint="eastAsia" w:ascii="宋体" w:hAnsi="宋体" w:cs="宋体"/>
                <w:color w:val="auto"/>
                <w:szCs w:val="21"/>
              </w:rPr>
              <w:t>点，且均应能安装通用型滑轮装置；</w:t>
            </w:r>
          </w:p>
          <w:p w14:paraId="68690E7A">
            <w:pPr>
              <w:widowControl/>
              <w:jc w:val="left"/>
              <w:textAlignment w:val="top"/>
              <w:rPr>
                <w:rFonts w:hint="eastAsia" w:ascii="宋体" w:hAnsi="宋体" w:cs="宋体"/>
                <w:color w:val="auto"/>
                <w:szCs w:val="21"/>
              </w:rPr>
            </w:pPr>
            <w:r>
              <w:rPr>
                <w:rFonts w:hint="eastAsia" w:ascii="宋体" w:hAnsi="宋体" w:cs="宋体"/>
                <w:color w:val="auto"/>
                <w:szCs w:val="21"/>
              </w:rPr>
              <w:t>4、各条支撑脚完全展开后，各支撑脚之间的最大长度差≤1cm；</w:t>
            </w:r>
          </w:p>
          <w:p w14:paraId="262AF283">
            <w:pPr>
              <w:widowControl/>
              <w:jc w:val="left"/>
              <w:textAlignment w:val="top"/>
              <w:rPr>
                <w:rFonts w:hint="eastAsia" w:ascii="宋体" w:hAnsi="宋体" w:cs="宋体"/>
                <w:color w:val="auto"/>
                <w:szCs w:val="21"/>
              </w:rPr>
            </w:pPr>
            <w:r>
              <w:rPr>
                <w:rFonts w:hint="eastAsia" w:ascii="宋体" w:hAnsi="宋体" w:cs="宋体"/>
                <w:color w:val="auto"/>
                <w:szCs w:val="21"/>
              </w:rPr>
              <w:t>5、设置连接每条支撑脚、可调节长度的保护链（带、绳），并有相应的捆绑固定措施；</w:t>
            </w:r>
          </w:p>
          <w:p w14:paraId="6A465DCB">
            <w:pPr>
              <w:widowControl/>
              <w:jc w:val="left"/>
              <w:textAlignment w:val="top"/>
              <w:rPr>
                <w:rFonts w:hint="eastAsia" w:ascii="宋体" w:hAnsi="宋体" w:cs="宋体"/>
                <w:color w:val="auto"/>
                <w:szCs w:val="21"/>
              </w:rPr>
            </w:pPr>
            <w:r>
              <w:rPr>
                <w:rFonts w:hint="eastAsia" w:ascii="宋体" w:hAnsi="宋体" w:cs="宋体"/>
                <w:color w:val="auto"/>
                <w:szCs w:val="21"/>
              </w:rPr>
              <w:t>6、在超出额定负载质量下各部件无明显变形或损坏，仍能正常工作；</w:t>
            </w:r>
          </w:p>
          <w:p w14:paraId="6D535015">
            <w:pPr>
              <w:widowControl/>
              <w:jc w:val="left"/>
              <w:textAlignment w:val="top"/>
              <w:rPr>
                <w:rFonts w:hint="eastAsia" w:ascii="宋体" w:hAnsi="宋体" w:cs="宋体"/>
                <w:color w:val="auto"/>
                <w:szCs w:val="21"/>
              </w:rPr>
            </w:pPr>
            <w:r>
              <w:rPr>
                <w:rFonts w:hint="eastAsia" w:ascii="宋体" w:hAnsi="宋体" w:cs="宋体"/>
                <w:color w:val="auto"/>
                <w:szCs w:val="21"/>
              </w:rPr>
              <w:t>7、支撑脚应具备防滑功能,从完全展开并承载起至作业完成为止；</w:t>
            </w:r>
          </w:p>
          <w:p w14:paraId="7D2A4B46">
            <w:pPr>
              <w:widowControl/>
              <w:jc w:val="left"/>
              <w:textAlignment w:val="top"/>
              <w:rPr>
                <w:rFonts w:hint="eastAsia" w:ascii="宋体" w:hAnsi="宋体" w:cs="宋体"/>
                <w:color w:val="auto"/>
                <w:szCs w:val="21"/>
              </w:rPr>
            </w:pPr>
            <w:r>
              <w:rPr>
                <w:rFonts w:hint="eastAsia" w:ascii="宋体" w:hAnsi="宋体" w:cs="宋体"/>
                <w:color w:val="auto"/>
                <w:szCs w:val="21"/>
              </w:rPr>
              <w:t>8、救援三脚架使用的承载连接部件工作负荷≥5kN，极限负荷≥20kN；</w:t>
            </w:r>
          </w:p>
          <w:p w14:paraId="7B8C4870">
            <w:pPr>
              <w:widowControl/>
              <w:jc w:val="left"/>
              <w:textAlignment w:val="top"/>
              <w:rPr>
                <w:rFonts w:hint="eastAsia" w:ascii="宋体" w:hAnsi="宋体" w:cs="宋体"/>
                <w:color w:val="auto"/>
                <w:szCs w:val="21"/>
              </w:rPr>
            </w:pPr>
            <w:r>
              <w:rPr>
                <w:rFonts w:hint="eastAsia" w:ascii="宋体" w:hAnsi="宋体" w:cs="宋体"/>
                <w:color w:val="auto"/>
                <w:szCs w:val="21"/>
              </w:rPr>
              <w:t>9、手动绞盘转动灵活，无卡顿现象；</w:t>
            </w:r>
          </w:p>
          <w:p w14:paraId="28813580">
            <w:pPr>
              <w:widowControl/>
              <w:jc w:val="left"/>
              <w:textAlignment w:val="top"/>
              <w:rPr>
                <w:rFonts w:hint="eastAsia" w:ascii="宋体" w:hAnsi="宋体" w:cs="宋体"/>
                <w:color w:val="auto"/>
                <w:szCs w:val="21"/>
              </w:rPr>
            </w:pPr>
            <w:r>
              <w:rPr>
                <w:rFonts w:hint="eastAsia" w:ascii="宋体" w:hAnsi="宋体" w:cs="宋体"/>
                <w:color w:val="auto"/>
                <w:szCs w:val="21"/>
              </w:rPr>
              <w:t>10、手动绞盘的平均提拉速度≥0.1m/s；</w:t>
            </w:r>
          </w:p>
          <w:p w14:paraId="38E6FE2F">
            <w:pPr>
              <w:widowControl/>
              <w:jc w:val="left"/>
              <w:textAlignment w:val="top"/>
              <w:rPr>
                <w:rFonts w:hint="eastAsia" w:ascii="宋体" w:hAnsi="宋体" w:cs="宋体"/>
                <w:color w:val="auto"/>
                <w:szCs w:val="21"/>
              </w:rPr>
            </w:pPr>
            <w:r>
              <w:rPr>
                <w:rFonts w:hint="eastAsia" w:ascii="宋体" w:hAnsi="宋体" w:cs="宋体"/>
                <w:color w:val="auto"/>
                <w:szCs w:val="21"/>
              </w:rPr>
              <w:t>11、手动绞盘具备自锁功能；</w:t>
            </w:r>
          </w:p>
          <w:p w14:paraId="3183D578">
            <w:pPr>
              <w:widowControl/>
              <w:jc w:val="left"/>
              <w:textAlignment w:val="top"/>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12、外观表面应光滑平整，无明显划伤、变形等缺陷，各金属部件无机械性损伤、裂纹、毛刺等缺陷。13.额度高度不小于20米</w:t>
            </w:r>
          </w:p>
        </w:tc>
      </w:tr>
      <w:tr w14:paraId="5786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3CE955AF">
            <w:pPr>
              <w:spacing w:line="360" w:lineRule="auto"/>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13</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0BCAB31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救生抛投器</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2DAB9F4C">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top"/>
          </w:tcPr>
          <w:p w14:paraId="02105D95">
            <w:pPr>
              <w:rPr>
                <w:rFonts w:hint="eastAsia" w:ascii="宋体" w:hAnsi="宋体" w:eastAsia="宋体" w:cs="宋体"/>
              </w:rPr>
            </w:pPr>
            <w:r>
              <w:rPr>
                <w:rFonts w:hint="eastAsia" w:ascii="宋体" w:hAnsi="宋体" w:eastAsia="宋体" w:cs="宋体"/>
                <w:color w:val="auto"/>
              </w:rPr>
              <w:t>★</w:t>
            </w:r>
            <w:r>
              <w:rPr>
                <w:rFonts w:hint="eastAsia" w:ascii="宋体" w:hAnsi="宋体" w:eastAsia="宋体" w:cs="宋体"/>
                <w:color w:val="auto"/>
                <w:szCs w:val="21"/>
                <w:highlight w:val="none"/>
              </w:rPr>
              <w:t>总体性能满足GB/T 27906-2011中各项指标要求，</w:t>
            </w:r>
            <w:r>
              <w:rPr>
                <w:rFonts w:hint="eastAsia" w:ascii="宋体" w:hAnsi="宋体" w:eastAsia="宋体" w:cs="宋体"/>
                <w:highlight w:val="none"/>
              </w:rPr>
              <w:t>投标文件中</w:t>
            </w:r>
            <w:r>
              <w:rPr>
                <w:rFonts w:hint="eastAsia" w:ascii="宋体" w:hAnsi="宋体" w:eastAsia="宋体" w:cs="宋体"/>
                <w:color w:val="auto"/>
                <w:kern w:val="0"/>
                <w:szCs w:val="21"/>
                <w:highlight w:val="none"/>
              </w:rPr>
              <w:t>提供国家认证认可检测机构出具的</w:t>
            </w:r>
            <w:r>
              <w:rPr>
                <w:rFonts w:hint="eastAsia" w:ascii="宋体" w:hAnsi="宋体" w:eastAsia="宋体" w:cs="宋体"/>
                <w:highlight w:val="none"/>
              </w:rPr>
              <w:t>与所投产品型号一致、完整有效的检验检测报告。出具报告的检验检测机构应取得依据GB/T 27906-2011的检验资质（检测报告上体现CMA以及引用标准），否则认为该检测报告无效，不得分。</w:t>
            </w:r>
          </w:p>
          <w:p w14:paraId="64460ED4">
            <w:pPr>
              <w:widowControl/>
              <w:jc w:val="left"/>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1、地坐式，底座具有防滑、防后坐力功能；</w:t>
            </w:r>
          </w:p>
          <w:p w14:paraId="19CEC821">
            <w:pPr>
              <w:widowControl/>
              <w:jc w:val="left"/>
              <w:textAlignment w:val="top"/>
              <w:rPr>
                <w:rFonts w:hint="eastAsia" w:ascii="宋体" w:hAnsi="宋体" w:eastAsia="宋体" w:cs="宋体"/>
                <w:color w:val="auto"/>
                <w:szCs w:val="21"/>
              </w:rPr>
            </w:pPr>
            <w:r>
              <w:rPr>
                <w:rFonts w:hint="eastAsia" w:ascii="宋体" w:hAnsi="宋体" w:eastAsia="宋体" w:cs="宋体"/>
                <w:color w:val="auto"/>
                <w:szCs w:val="21"/>
                <w:highlight w:val="none"/>
              </w:rPr>
              <w:t>2、留有外接接口，可利用外接气瓶充气（快插式），与现有空气呼吸器气瓶接口</w:t>
            </w:r>
            <w:r>
              <w:rPr>
                <w:rFonts w:hint="eastAsia" w:ascii="宋体" w:hAnsi="宋体" w:eastAsia="宋体" w:cs="宋体"/>
                <w:color w:val="auto"/>
                <w:szCs w:val="21"/>
              </w:rPr>
              <w:t>共用；</w:t>
            </w:r>
          </w:p>
          <w:p w14:paraId="30F6577E">
            <w:pPr>
              <w:widowControl/>
              <w:jc w:val="left"/>
              <w:textAlignment w:val="top"/>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szCs w:val="21"/>
              </w:rPr>
              <w:t>3、射程≥200m；</w:t>
            </w:r>
          </w:p>
          <w:p w14:paraId="7DDF24B1">
            <w:pPr>
              <w:widowControl/>
              <w:jc w:val="left"/>
              <w:textAlignment w:val="top"/>
              <w:rPr>
                <w:rFonts w:hint="eastAsia" w:ascii="宋体" w:hAnsi="宋体" w:cs="宋体"/>
                <w:color w:val="auto"/>
                <w:szCs w:val="21"/>
              </w:rPr>
            </w:pPr>
            <w:r>
              <w:rPr>
                <w:rFonts w:hint="eastAsia" w:ascii="宋体" w:hAnsi="宋体" w:cs="宋体"/>
                <w:color w:val="auto"/>
                <w:szCs w:val="21"/>
              </w:rPr>
              <w:t>4、可满足气动和人工收绳两种；</w:t>
            </w:r>
          </w:p>
          <w:p w14:paraId="1DA0177C">
            <w:pPr>
              <w:widowControl/>
              <w:jc w:val="left"/>
              <w:textAlignment w:val="top"/>
              <w:rPr>
                <w:rFonts w:hint="eastAsia" w:ascii="宋体" w:hAnsi="宋体" w:cs="宋体"/>
                <w:color w:val="auto"/>
                <w:szCs w:val="21"/>
              </w:rPr>
            </w:pPr>
            <w:r>
              <w:rPr>
                <w:rFonts w:hint="eastAsia" w:ascii="宋体" w:hAnsi="宋体" w:cs="宋体"/>
                <w:color w:val="auto"/>
                <w:szCs w:val="21"/>
              </w:rPr>
              <w:t>5、陆地非充气状态总重量≤15kg；</w:t>
            </w:r>
          </w:p>
          <w:p w14:paraId="0F4101FD">
            <w:pPr>
              <w:widowControl/>
              <w:jc w:val="left"/>
              <w:textAlignment w:val="top"/>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6、配备塑料、橡胶等多个枪头，配备专用装备携行箱，水用（含备用钢瓶）、陆用、训练炮头均不少于3个。</w:t>
            </w:r>
          </w:p>
        </w:tc>
      </w:tr>
      <w:tr w14:paraId="304B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543D8EBC">
            <w:pPr>
              <w:spacing w:line="360" w:lineRule="auto"/>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14</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5D8867A6">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救生软梯</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1C26B238">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top"/>
          </w:tcPr>
          <w:p w14:paraId="5F82D875">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1928AC68">
            <w:pPr>
              <w:widowControl/>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1、救生软梯采用直径≥9mm钢丝绳外包编织尼龙绳为软梯整体骨架，梯蹬采用轻质高强度材质；</w:t>
            </w:r>
          </w:p>
          <w:p w14:paraId="08B0E154">
            <w:pPr>
              <w:widowControl/>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2、重量≤25kg；</w:t>
            </w:r>
          </w:p>
          <w:p w14:paraId="3C09C982">
            <w:pPr>
              <w:widowControl/>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3、救生软梯载荷≥1000kg；</w:t>
            </w:r>
          </w:p>
          <w:p w14:paraId="3B983C13">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4、救生软梯长度≥15m。</w:t>
            </w:r>
          </w:p>
        </w:tc>
      </w:tr>
      <w:tr w14:paraId="2EB3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0ABA743E">
            <w:pPr>
              <w:spacing w:line="360" w:lineRule="auto"/>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15</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1FBB74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消防过滤式自救呼吸器</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448E22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3E10EF81">
            <w:r>
              <w:rPr>
                <w:rFonts w:hint="eastAsia" w:ascii="宋体" w:hAnsi="宋体" w:cs="宋体"/>
                <w:color w:val="auto"/>
              </w:rPr>
              <w:t>★</w:t>
            </w:r>
            <w:r>
              <w:rPr>
                <w:rFonts w:hint="eastAsia" w:ascii="宋体" w:hAnsi="宋体" w:cs="宋体"/>
                <w:color w:val="auto"/>
                <w:kern w:val="0"/>
                <w:szCs w:val="21"/>
              </w:rPr>
              <w:t>总体性能</w:t>
            </w:r>
            <w:r>
              <w:rPr>
                <w:rFonts w:hint="eastAsia" w:ascii="宋体" w:hAnsi="宋体" w:cs="宋体"/>
                <w:color w:val="auto"/>
                <w:kern w:val="0"/>
                <w:szCs w:val="21"/>
                <w:highlight w:val="none"/>
              </w:rPr>
              <w:t>符合GB21976.7-2012《建筑火灾逃生避难器材 第7部分：过滤式消防自救呼吸器 》的要求；</w:t>
            </w:r>
            <w:r>
              <w:rPr>
                <w:highlight w:val="none"/>
              </w:rPr>
              <w:t>投标文件中</w:t>
            </w:r>
            <w:r>
              <w:rPr>
                <w:rFonts w:hint="eastAsia" w:ascii="宋体" w:hAnsi="宋体" w:cs="宋体"/>
                <w:color w:val="auto"/>
                <w:kern w:val="0"/>
                <w:szCs w:val="21"/>
                <w:highlight w:val="none"/>
              </w:rPr>
              <w:t>提供国家认证认可检测机构出具的</w:t>
            </w:r>
            <w:r>
              <w:rPr>
                <w:highlight w:val="none"/>
              </w:rPr>
              <w:t>与所投产品型号一致、完整有效的检验检测报告。出具报告的检验检测机构应取得依据</w:t>
            </w:r>
            <w:r>
              <w:rPr>
                <w:rFonts w:hint="eastAsia" w:ascii="宋体" w:hAnsi="宋体" w:cs="宋体"/>
                <w:color w:val="auto"/>
                <w:kern w:val="0"/>
                <w:szCs w:val="21"/>
                <w:highlight w:val="none"/>
              </w:rPr>
              <w:t>GB21976.7-2012《建筑火灾逃生避难器材 第7部分：过滤式消防自救呼吸器 》</w:t>
            </w:r>
            <w:r>
              <w:rPr>
                <w:highlight w:val="none"/>
              </w:rPr>
              <w:t>的检验资质（检测报告上体现CMA以及引用标准），否则认为该检测报告无效，不得分。</w:t>
            </w:r>
          </w:p>
          <w:p w14:paraId="4C0742E2">
            <w:pPr>
              <w:snapToGrid w:val="0"/>
              <w:jc w:val="left"/>
              <w:rPr>
                <w:rFonts w:hint="eastAsia" w:ascii="宋体" w:hAnsi="宋体" w:cs="宋体"/>
                <w:color w:val="auto"/>
                <w:kern w:val="0"/>
                <w:szCs w:val="21"/>
              </w:rPr>
            </w:pPr>
            <w:r>
              <w:rPr>
                <w:rFonts w:hint="eastAsia" w:ascii="宋体" w:hAnsi="宋体" w:cs="宋体"/>
                <w:color w:val="auto"/>
                <w:kern w:val="0"/>
                <w:szCs w:val="21"/>
                <w:highlight w:val="none"/>
              </w:rPr>
              <w:t>1、呼吸器由防护头罩、过滤装置和面罩组成。防护头罩的额部设置环绕头部一周的反光标志；过滤装置与防护头罩间的联接牢固可靠，不借助工具时不易拆开；呼吸器</w:t>
            </w:r>
            <w:r>
              <w:rPr>
                <w:rFonts w:hint="eastAsia" w:ascii="宋体" w:hAnsi="宋体" w:cs="宋体"/>
                <w:color w:val="auto"/>
                <w:kern w:val="0"/>
                <w:szCs w:val="21"/>
              </w:rPr>
              <w:t>的滤毒装置的密封，在不借助工具的情况下能快速打开；佩戴迅速、简捷；系带能快速拉紧且脱卸方便；面罩与脸部贴全紧密、舒适；人员佩戴呼吸器后，接触佩戴者皮肤的材料应不刺激皮肤，应不造成对健康不利的影响；接触佩戴着的部件均应无锐边、毛刺等缺陷；</w:t>
            </w:r>
          </w:p>
          <w:p w14:paraId="3D07CFB5">
            <w:pPr>
              <w:snapToGrid w:val="0"/>
              <w:jc w:val="left"/>
              <w:rPr>
                <w:rFonts w:hint="eastAsia" w:ascii="宋体" w:hAnsi="宋体" w:cs="宋体"/>
                <w:color w:val="auto"/>
                <w:kern w:val="0"/>
                <w:szCs w:val="21"/>
              </w:rPr>
            </w:pPr>
            <w:r>
              <w:rPr>
                <w:rFonts w:hint="eastAsia" w:ascii="宋体" w:hAnsi="宋体" w:cs="宋体"/>
                <w:color w:val="auto"/>
                <w:kern w:val="0"/>
                <w:szCs w:val="21"/>
              </w:rPr>
              <w:t>2、有效使用时间不低于30min；保存期不少于3年；眼区漏气系数（%）≤20；呼吸区漏气系数（%）≤5；双目视野≥65%；吸入气体CO</w:t>
            </w:r>
            <w:r>
              <w:rPr>
                <w:rFonts w:hint="eastAsia" w:ascii="宋体" w:hAnsi="宋体" w:cs="宋体"/>
                <w:color w:val="auto"/>
                <w:kern w:val="0"/>
                <w:szCs w:val="21"/>
                <w:vertAlign w:val="subscript"/>
              </w:rPr>
              <w:t>2</w:t>
            </w:r>
            <w:r>
              <w:rPr>
                <w:rFonts w:hint="eastAsia" w:ascii="宋体" w:hAnsi="宋体" w:cs="宋体"/>
                <w:color w:val="auto"/>
                <w:kern w:val="0"/>
                <w:szCs w:val="21"/>
              </w:rPr>
              <w:t>含量（%）≤2；佩戴质量≤460g；</w:t>
            </w:r>
          </w:p>
          <w:p w14:paraId="2A57628C">
            <w:pPr>
              <w:snapToGrid w:val="0"/>
              <w:jc w:val="left"/>
              <w:rPr>
                <w:rFonts w:hint="eastAsia" w:ascii="宋体" w:hAnsi="宋体" w:cs="宋体"/>
                <w:color w:val="auto"/>
                <w:kern w:val="0"/>
                <w:szCs w:val="21"/>
              </w:rPr>
            </w:pPr>
            <w:r>
              <w:rPr>
                <w:rFonts w:hint="eastAsia" w:ascii="宋体" w:hAnsi="宋体" w:cs="宋体"/>
                <w:color w:val="auto"/>
                <w:kern w:val="0"/>
                <w:szCs w:val="21"/>
              </w:rPr>
              <w:t>3、CO透过浓度（ml/m</w:t>
            </w:r>
            <w:r>
              <w:rPr>
                <w:rFonts w:hint="eastAsia" w:ascii="宋体" w:hAnsi="宋体" w:cs="宋体"/>
                <w:color w:val="auto"/>
                <w:kern w:val="0"/>
                <w:szCs w:val="21"/>
                <w:vertAlign w:val="superscript"/>
              </w:rPr>
              <w:t>3</w:t>
            </w:r>
            <w:r>
              <w:rPr>
                <w:rFonts w:hint="eastAsia" w:ascii="宋体" w:hAnsi="宋体" w:cs="宋体"/>
                <w:color w:val="auto"/>
                <w:kern w:val="0"/>
                <w:szCs w:val="21"/>
              </w:rPr>
              <w:t>）≤200；CO累积量（ml）≤200；烟雾透过防护性能（%）≤5；</w:t>
            </w:r>
          </w:p>
          <w:p w14:paraId="4FD262D8">
            <w:pPr>
              <w:snapToGrid w:val="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rPr>
              <w:t>4、吸气温度（℃）≤65；、吸气阻力（pa）≤800；呼气阻力≤300。</w:t>
            </w:r>
          </w:p>
        </w:tc>
      </w:tr>
      <w:tr w14:paraId="49BB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72ABAA02">
            <w:pPr>
              <w:spacing w:line="360" w:lineRule="auto"/>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16</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41D79C3B">
            <w:pPr>
              <w:keepNext w:val="0"/>
              <w:keepLines w:val="0"/>
              <w:widowControl/>
              <w:suppressLineNumbers w:val="0"/>
              <w:jc w:val="center"/>
              <w:textAlignment w:val="center"/>
              <w:rPr>
                <w:rFonts w:hint="eastAsia" w:ascii="宋体" w:hAnsi="宋体" w:eastAsia="宋体" w:cs="宋体"/>
                <w:color w:val="auto"/>
                <w:spacing w:val="-2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指南针</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2DC1649A">
            <w:pPr>
              <w:keepNext w:val="0"/>
              <w:keepLines w:val="0"/>
              <w:widowControl/>
              <w:suppressLineNumbers w:val="0"/>
              <w:jc w:val="center"/>
              <w:textAlignment w:val="center"/>
              <w:rPr>
                <w:rFonts w:hint="eastAsia" w:ascii="宋体" w:hAnsi="宋体" w:eastAsia="宋体" w:cs="宋体"/>
                <w:b/>
                <w:bCs/>
                <w:color w:val="auto"/>
                <w:spacing w:val="-2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239CD5F6">
            <w:pPr>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主要用于方向定位。直径50-60mm,</w:t>
            </w:r>
            <w:r>
              <w:rPr>
                <w:rFonts w:hint="eastAsia" w:ascii="宋体" w:hAnsi="宋体" w:cs="宋体"/>
                <w:color w:val="auto"/>
                <w:kern w:val="0"/>
                <w:szCs w:val="21"/>
                <w:highlight w:val="none"/>
                <w:lang w:val="en-US" w:eastAsia="zh-CN"/>
              </w:rPr>
              <w:t>厚度13-</w:t>
            </w:r>
            <w:r>
              <w:rPr>
                <w:rFonts w:hint="eastAsia" w:ascii="宋体" w:hAnsi="宋体" w:cs="宋体"/>
                <w:color w:val="auto"/>
                <w:kern w:val="0"/>
                <w:szCs w:val="21"/>
                <w:highlight w:val="none"/>
              </w:rPr>
              <w:t>15mm，重6</w:t>
            </w:r>
            <w:r>
              <w:rPr>
                <w:rFonts w:hint="eastAsia" w:ascii="宋体" w:hAnsi="宋体" w:cs="宋体"/>
                <w:color w:val="auto"/>
                <w:kern w:val="0"/>
                <w:szCs w:val="21"/>
                <w:highlight w:val="none"/>
                <w:lang w:val="en-US" w:eastAsia="zh-CN"/>
              </w:rPr>
              <w:t>0-100</w:t>
            </w:r>
            <w:r>
              <w:rPr>
                <w:rFonts w:hint="eastAsia" w:ascii="宋体" w:hAnsi="宋体" w:cs="宋体"/>
                <w:color w:val="auto"/>
                <w:kern w:val="0"/>
                <w:szCs w:val="21"/>
                <w:highlight w:val="none"/>
              </w:rPr>
              <w:t>克，测角器读数差≤0.5°</w:t>
            </w:r>
            <w:r>
              <w:rPr>
                <w:rFonts w:hint="eastAsia" w:ascii="宋体" w:hAnsi="宋体" w:cs="宋体"/>
                <w:color w:val="auto"/>
                <w:kern w:val="0"/>
                <w:szCs w:val="21"/>
              </w:rPr>
              <w:t>。</w:t>
            </w:r>
          </w:p>
        </w:tc>
      </w:tr>
      <w:tr w14:paraId="0A5C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1299BCE9">
            <w:pPr>
              <w:spacing w:line="360" w:lineRule="auto"/>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17</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33898377">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夜视仪</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1758EA43">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2567CD2A">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1E3FC826">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.倍率：具有1倍/3倍/5倍/8倍物镜规格；</w:t>
            </w:r>
          </w:p>
          <w:p w14:paraId="0D10E087">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.视场（度）42+/-3；</w:t>
            </w:r>
          </w:p>
          <w:p w14:paraId="2CAEEE4A">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.观察距离≥200m；</w:t>
            </w:r>
          </w:p>
          <w:p w14:paraId="6EB711BA">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.采用了高性能增强器；</w:t>
            </w:r>
          </w:p>
          <w:p w14:paraId="328F68A6">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.性能优良、体积小、重量轻、成像清晰、操作简单，可与手机、数码相机、照相机、摄录机连接，也可单独使用；</w:t>
            </w:r>
          </w:p>
          <w:p w14:paraId="6721B028">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.内置红外辅助光源及自动防强光保护系统，具有防强光和防眩目功能；</w:t>
            </w:r>
          </w:p>
          <w:p w14:paraId="60E03BF8">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.可外接手柄，辅助灯，三脚架；</w:t>
            </w:r>
          </w:p>
          <w:p w14:paraId="59DB3F34">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8</w:t>
            </w:r>
            <w:r>
              <w:rPr>
                <w:rFonts w:hint="eastAsia" w:ascii="宋体" w:hAnsi="宋体" w:cs="宋体"/>
                <w:color w:val="auto"/>
                <w:kern w:val="0"/>
                <w:szCs w:val="21"/>
              </w:rPr>
              <w:t>.重量≤500g；</w:t>
            </w:r>
          </w:p>
          <w:p w14:paraId="7FF37297">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.工作温度范围-30℃-50℃；</w:t>
            </w:r>
          </w:p>
          <w:p w14:paraId="58E560DF">
            <w:pPr>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1</w:t>
            </w:r>
            <w:r>
              <w:rPr>
                <w:rFonts w:hint="eastAsia" w:ascii="宋体" w:hAnsi="宋体" w:cs="宋体"/>
                <w:color w:val="auto"/>
                <w:kern w:val="0"/>
                <w:szCs w:val="21"/>
                <w:lang w:val="en-US" w:eastAsia="zh-CN"/>
              </w:rPr>
              <w:t>0</w:t>
            </w:r>
            <w:r>
              <w:rPr>
                <w:rFonts w:hint="eastAsia" w:ascii="宋体" w:hAnsi="宋体" w:cs="宋体"/>
                <w:color w:val="auto"/>
                <w:kern w:val="0"/>
                <w:szCs w:val="21"/>
              </w:rPr>
              <w:t>.连续工作时间≥12h，防尘防水等级IP65。</w:t>
            </w:r>
          </w:p>
        </w:tc>
      </w:tr>
      <w:tr w14:paraId="1FFF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4ECACEC7">
            <w:pPr>
              <w:spacing w:line="360" w:lineRule="auto"/>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18</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53A269A7">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望远镜</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59E5CE5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0B815A1C">
            <w:r>
              <w:rPr>
                <w:rFonts w:hint="eastAsia" w:ascii="宋体" w:hAnsi="宋体" w:cs="宋体"/>
                <w:color w:val="auto"/>
              </w:rPr>
              <w:t>★</w:t>
            </w:r>
            <w:r>
              <w:rPr>
                <w:rFonts w:hint="eastAsia" w:ascii="宋体" w:hAnsi="宋体" w:cs="宋体"/>
                <w:color w:val="auto"/>
                <w:kern w:val="0"/>
                <w:szCs w:val="21"/>
                <w:highlight w:val="none"/>
              </w:rPr>
              <w:t>符合GB/T17117-2008《双目望远镜》标准要求，</w:t>
            </w:r>
            <w:r>
              <w:rPr>
                <w:highlight w:val="none"/>
              </w:rPr>
              <w:t>投标文件中</w:t>
            </w:r>
            <w:r>
              <w:rPr>
                <w:rFonts w:hint="eastAsia" w:ascii="宋体" w:hAnsi="宋体" w:cs="宋体"/>
                <w:color w:val="auto"/>
                <w:kern w:val="0"/>
                <w:szCs w:val="21"/>
                <w:highlight w:val="none"/>
              </w:rPr>
              <w:t>提供国家认证认可检测机构出具的</w:t>
            </w:r>
            <w:r>
              <w:rPr>
                <w:highlight w:val="none"/>
              </w:rPr>
              <w:t>与所投产品型号一致、完整有效的检验检测报告。出具报告的检验检测机构应取得依据</w:t>
            </w:r>
            <w:r>
              <w:rPr>
                <w:rFonts w:hint="eastAsia"/>
                <w:highlight w:val="none"/>
              </w:rPr>
              <w:t>GB/T17117-2008《双目望远镜》</w:t>
            </w:r>
            <w:r>
              <w:rPr>
                <w:highlight w:val="none"/>
              </w:rPr>
              <w:t>的检验资质（检测报告上体现CMA以及引用标准），否则认为该检测报告无效，不得分。</w:t>
            </w:r>
          </w:p>
          <w:p w14:paraId="72C044A3">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w:t>
            </w:r>
            <w:r>
              <w:rPr>
                <w:rFonts w:hint="eastAsia" w:ascii="宋体" w:hAnsi="宋体" w:cs="宋体"/>
                <w:color w:val="auto"/>
                <w:kern w:val="0"/>
                <w:szCs w:val="21"/>
              </w:rPr>
              <w:t>放大倍率：10X，镜体材料：铝合金或更优材质</w:t>
            </w:r>
          </w:p>
          <w:p w14:paraId="4318D29C">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w:t>
            </w:r>
            <w:r>
              <w:rPr>
                <w:rFonts w:hint="eastAsia" w:ascii="宋体" w:hAnsi="宋体" w:cs="宋体"/>
                <w:color w:val="auto"/>
                <w:kern w:val="0"/>
                <w:szCs w:val="21"/>
              </w:rPr>
              <w:t>物镜口径：Ø Φ50 ± 1mm</w:t>
            </w:r>
          </w:p>
          <w:p w14:paraId="54BF0A1F">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w:t>
            </w:r>
            <w:r>
              <w:rPr>
                <w:rFonts w:hint="eastAsia" w:ascii="宋体" w:hAnsi="宋体" w:cs="宋体"/>
                <w:color w:val="auto"/>
                <w:kern w:val="0"/>
                <w:szCs w:val="21"/>
              </w:rPr>
              <w:t>目镜口径：Ø Φ23.5 ± 1mm</w:t>
            </w:r>
          </w:p>
          <w:p w14:paraId="47D1C865">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w:t>
            </w:r>
            <w:r>
              <w:rPr>
                <w:rFonts w:hint="eastAsia" w:ascii="宋体" w:hAnsi="宋体" w:cs="宋体"/>
                <w:color w:val="auto"/>
                <w:kern w:val="0"/>
                <w:szCs w:val="21"/>
              </w:rPr>
              <w:t>出瞳直径：Φ4.1mm ± 10%</w:t>
            </w:r>
          </w:p>
          <w:p w14:paraId="550D24B6">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lang w:eastAsia="zh-CN"/>
              </w:rPr>
              <w:t>、</w:t>
            </w:r>
            <w:r>
              <w:rPr>
                <w:rFonts w:hint="eastAsia" w:ascii="宋体" w:hAnsi="宋体" w:cs="宋体"/>
                <w:color w:val="auto"/>
                <w:kern w:val="0"/>
                <w:szCs w:val="21"/>
              </w:rPr>
              <w:t>出瞳距离：≥18mm</w:t>
            </w:r>
          </w:p>
          <w:p w14:paraId="5A2DD4A9">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w:t>
            </w:r>
            <w:r>
              <w:rPr>
                <w:rFonts w:hint="eastAsia" w:ascii="宋体" w:hAnsi="宋体" w:cs="宋体"/>
                <w:color w:val="auto"/>
                <w:kern w:val="0"/>
                <w:szCs w:val="21"/>
              </w:rPr>
              <w:t>视场范围：≥6.5°</w:t>
            </w:r>
          </w:p>
          <w:p w14:paraId="6F1A189A">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lang w:eastAsia="zh-CN"/>
              </w:rPr>
              <w:t>、</w:t>
            </w:r>
            <w:r>
              <w:rPr>
                <w:rFonts w:hint="eastAsia" w:ascii="宋体" w:hAnsi="宋体" w:cs="宋体"/>
                <w:color w:val="auto"/>
                <w:kern w:val="0"/>
                <w:szCs w:val="21"/>
              </w:rPr>
              <w:t>近焦距离：5m±0.1m</w:t>
            </w:r>
          </w:p>
          <w:p w14:paraId="37D9E61D">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8</w:t>
            </w:r>
            <w:r>
              <w:rPr>
                <w:rFonts w:hint="eastAsia" w:ascii="宋体" w:hAnsi="宋体" w:cs="宋体"/>
                <w:color w:val="auto"/>
                <w:kern w:val="0"/>
                <w:szCs w:val="21"/>
                <w:lang w:eastAsia="zh-CN"/>
              </w:rPr>
              <w:t>、</w:t>
            </w:r>
            <w:r>
              <w:rPr>
                <w:rFonts w:hint="eastAsia" w:ascii="宋体" w:hAnsi="宋体" w:cs="宋体"/>
                <w:color w:val="auto"/>
                <w:kern w:val="0"/>
                <w:szCs w:val="21"/>
              </w:rPr>
              <w:t>视度系统：目镜调焦 右屈光度环</w:t>
            </w:r>
          </w:p>
          <w:p w14:paraId="56A0B423">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lang w:eastAsia="zh-CN"/>
              </w:rPr>
              <w:t>、</w:t>
            </w:r>
            <w:r>
              <w:rPr>
                <w:rFonts w:hint="eastAsia" w:ascii="宋体" w:hAnsi="宋体" w:cs="宋体"/>
                <w:color w:val="auto"/>
                <w:kern w:val="0"/>
                <w:szCs w:val="21"/>
              </w:rPr>
              <w:t>瞳距可调范围：56～73mm</w:t>
            </w:r>
          </w:p>
          <w:p w14:paraId="01C6D4D8">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0</w:t>
            </w:r>
            <w:r>
              <w:rPr>
                <w:rFonts w:hint="eastAsia" w:ascii="宋体" w:hAnsi="宋体" w:cs="宋体"/>
                <w:color w:val="auto"/>
                <w:kern w:val="0"/>
                <w:szCs w:val="21"/>
                <w:lang w:eastAsia="zh-CN"/>
              </w:rPr>
              <w:t>、</w:t>
            </w:r>
            <w:r>
              <w:rPr>
                <w:rFonts w:hint="eastAsia" w:ascii="宋体" w:hAnsi="宋体" w:cs="宋体"/>
                <w:color w:val="auto"/>
                <w:kern w:val="0"/>
                <w:szCs w:val="21"/>
              </w:rPr>
              <w:t>调焦方式：中调</w:t>
            </w:r>
          </w:p>
          <w:p w14:paraId="15B785F0">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w:t>
            </w:r>
            <w:r>
              <w:rPr>
                <w:rFonts w:hint="eastAsia" w:ascii="宋体" w:hAnsi="宋体" w:cs="宋体"/>
                <w:color w:val="auto"/>
                <w:kern w:val="0"/>
                <w:szCs w:val="21"/>
              </w:rPr>
              <w:t>调焦透镜：目镜调焦</w:t>
            </w:r>
          </w:p>
          <w:p w14:paraId="2E7C0A75">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w:t>
            </w:r>
            <w:r>
              <w:rPr>
                <w:rFonts w:hint="eastAsia" w:ascii="宋体" w:hAnsi="宋体" w:cs="宋体"/>
                <w:color w:val="auto"/>
                <w:kern w:val="0"/>
                <w:szCs w:val="21"/>
              </w:rPr>
              <w:t>视度可调范围：-4 To +4D</w:t>
            </w:r>
          </w:p>
          <w:p w14:paraId="03F2560D">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w:t>
            </w:r>
            <w:r>
              <w:rPr>
                <w:rFonts w:hint="eastAsia" w:ascii="宋体" w:hAnsi="宋体" w:cs="宋体"/>
                <w:color w:val="auto"/>
                <w:kern w:val="0"/>
                <w:szCs w:val="21"/>
              </w:rPr>
              <w:t>调焦范围：-4 To +8 D</w:t>
            </w:r>
          </w:p>
          <w:p w14:paraId="3B0C9737">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w:t>
            </w:r>
            <w:r>
              <w:rPr>
                <w:rFonts w:hint="eastAsia" w:ascii="宋体" w:hAnsi="宋体" w:cs="宋体"/>
                <w:color w:val="auto"/>
                <w:kern w:val="0"/>
                <w:szCs w:val="21"/>
              </w:rPr>
              <w:t>透镜类型：球面</w:t>
            </w:r>
          </w:p>
          <w:p w14:paraId="5BE5D8D1">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lang w:eastAsia="zh-CN"/>
              </w:rPr>
              <w:t>、</w:t>
            </w:r>
            <w:r>
              <w:rPr>
                <w:rFonts w:hint="eastAsia" w:ascii="宋体" w:hAnsi="宋体" w:cs="宋体"/>
                <w:color w:val="auto"/>
                <w:kern w:val="0"/>
                <w:szCs w:val="21"/>
              </w:rPr>
              <w:t>光学材料：全光学玻璃</w:t>
            </w:r>
          </w:p>
          <w:p w14:paraId="1C6D31EA">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w:t>
            </w:r>
            <w:r>
              <w:rPr>
                <w:rFonts w:hint="eastAsia" w:ascii="宋体" w:hAnsi="宋体" w:cs="宋体"/>
                <w:color w:val="auto"/>
                <w:kern w:val="0"/>
                <w:szCs w:val="21"/>
              </w:rPr>
              <w:t>透镜镀膜规格：420-680nm,R＜0.5%(AVG) 、420-680nm,R＜1.0%(ABS)。</w:t>
            </w:r>
          </w:p>
          <w:p w14:paraId="2B6DA912">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7</w:t>
            </w:r>
            <w:r>
              <w:rPr>
                <w:rFonts w:hint="eastAsia" w:ascii="宋体" w:hAnsi="宋体" w:cs="宋体"/>
                <w:color w:val="auto"/>
                <w:kern w:val="0"/>
                <w:szCs w:val="21"/>
                <w:lang w:eastAsia="zh-CN"/>
              </w:rPr>
              <w:t>、</w:t>
            </w:r>
            <w:r>
              <w:rPr>
                <w:rFonts w:hint="eastAsia" w:ascii="宋体" w:hAnsi="宋体" w:cs="宋体"/>
                <w:color w:val="auto"/>
                <w:kern w:val="0"/>
                <w:szCs w:val="21"/>
              </w:rPr>
              <w:t>镀膜：宽带绿膜</w:t>
            </w:r>
          </w:p>
          <w:p w14:paraId="6067D661">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8</w:t>
            </w:r>
            <w:r>
              <w:rPr>
                <w:rFonts w:hint="eastAsia" w:ascii="宋体" w:hAnsi="宋体" w:cs="宋体"/>
                <w:color w:val="auto"/>
                <w:kern w:val="0"/>
                <w:szCs w:val="21"/>
                <w:lang w:eastAsia="zh-CN"/>
              </w:rPr>
              <w:t>、</w:t>
            </w:r>
            <w:r>
              <w:rPr>
                <w:rFonts w:hint="eastAsia" w:ascii="宋体" w:hAnsi="宋体" w:cs="宋体"/>
                <w:color w:val="auto"/>
                <w:kern w:val="0"/>
                <w:szCs w:val="21"/>
              </w:rPr>
              <w:t>棱镜镀膜规格：420-680nm,R＜0.5%(AVG) 、420-680nm,R＜1.0%(ABS)。</w:t>
            </w:r>
          </w:p>
          <w:p w14:paraId="5D0DD66B">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19</w:t>
            </w:r>
            <w:r>
              <w:rPr>
                <w:rFonts w:hint="eastAsia" w:ascii="宋体" w:hAnsi="宋体" w:cs="宋体"/>
                <w:color w:val="auto"/>
                <w:kern w:val="0"/>
                <w:szCs w:val="21"/>
                <w:lang w:eastAsia="zh-CN"/>
              </w:rPr>
              <w:t>、</w:t>
            </w:r>
            <w:r>
              <w:rPr>
                <w:rFonts w:hint="eastAsia" w:ascii="宋体" w:hAnsi="宋体" w:cs="宋体"/>
                <w:color w:val="auto"/>
                <w:kern w:val="0"/>
                <w:szCs w:val="21"/>
              </w:rPr>
              <w:t>防水，防雾：是</w:t>
            </w:r>
          </w:p>
          <w:p w14:paraId="35042A03">
            <w:pPr>
              <w:snapToGrid w:val="0"/>
              <w:jc w:val="left"/>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0</w:t>
            </w:r>
            <w:r>
              <w:rPr>
                <w:rFonts w:hint="eastAsia" w:ascii="宋体" w:hAnsi="宋体" w:cs="宋体"/>
                <w:color w:val="auto"/>
                <w:kern w:val="0"/>
                <w:szCs w:val="21"/>
                <w:lang w:eastAsia="zh-CN"/>
              </w:rPr>
              <w:t>、</w:t>
            </w:r>
            <w:r>
              <w:rPr>
                <w:rFonts w:hint="eastAsia" w:ascii="宋体" w:hAnsi="宋体" w:cs="宋体"/>
                <w:color w:val="auto"/>
                <w:kern w:val="0"/>
                <w:szCs w:val="21"/>
              </w:rPr>
              <w:t>气体填充：氮气</w:t>
            </w:r>
          </w:p>
          <w:p w14:paraId="2EB8BCD0">
            <w:pPr>
              <w:snapToGrid w:val="0"/>
              <w:jc w:val="left"/>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w:t>
            </w:r>
            <w:r>
              <w:rPr>
                <w:rFonts w:hint="eastAsia" w:ascii="宋体" w:hAnsi="宋体" w:cs="宋体"/>
                <w:color w:val="auto"/>
                <w:kern w:val="0"/>
                <w:szCs w:val="21"/>
              </w:rPr>
              <w:t>眼杯类型：旋钮</w:t>
            </w:r>
          </w:p>
          <w:p w14:paraId="6B55F6E5">
            <w:pPr>
              <w:snapToGrid w:val="0"/>
              <w:jc w:val="left"/>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w:t>
            </w:r>
            <w:r>
              <w:rPr>
                <w:rFonts w:hint="eastAsia" w:ascii="宋体" w:hAnsi="宋体" w:cs="宋体"/>
                <w:color w:val="auto"/>
                <w:kern w:val="0"/>
                <w:szCs w:val="21"/>
              </w:rPr>
              <w:t>适合三脚架：是</w:t>
            </w:r>
          </w:p>
          <w:p w14:paraId="131D4460">
            <w:pPr>
              <w:snapToGrid w:val="0"/>
              <w:jc w:val="left"/>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w:t>
            </w:r>
            <w:r>
              <w:rPr>
                <w:rFonts w:hint="eastAsia" w:ascii="宋体" w:hAnsi="宋体" w:cs="宋体"/>
                <w:color w:val="auto"/>
                <w:kern w:val="0"/>
                <w:szCs w:val="21"/>
              </w:rPr>
              <w:t>尺寸(长×宽×高)：≤200x≤70x≤190mm</w:t>
            </w:r>
          </w:p>
          <w:p w14:paraId="39884C6C">
            <w:pPr>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2</w:t>
            </w: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w:t>
            </w:r>
            <w:r>
              <w:rPr>
                <w:rFonts w:hint="eastAsia" w:ascii="宋体" w:hAnsi="宋体" w:cs="宋体"/>
                <w:color w:val="auto"/>
                <w:kern w:val="0"/>
                <w:szCs w:val="21"/>
              </w:rPr>
              <w:t>重量：≤1000g</w:t>
            </w:r>
          </w:p>
        </w:tc>
      </w:tr>
      <w:tr w14:paraId="67B6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72D1728F">
            <w:pPr>
              <w:spacing w:line="360" w:lineRule="auto"/>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19</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1F77F7F9">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测风仪</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4F3E6A8F">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1731D24D">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62900FA9">
            <w:pPr>
              <w:snapToGrid w:val="0"/>
              <w:jc w:val="left"/>
              <w:rPr>
                <w:rFonts w:hint="eastAsia" w:ascii="宋体" w:hAnsi="宋体" w:cs="宋体"/>
                <w:color w:val="auto"/>
                <w:kern w:val="0"/>
                <w:szCs w:val="21"/>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五合一电子风表：</w:t>
            </w:r>
            <w:r>
              <w:rPr>
                <w:rFonts w:hint="eastAsia" w:ascii="宋体" w:hAnsi="宋体" w:cs="宋体"/>
                <w:color w:val="auto"/>
                <w:kern w:val="0"/>
                <w:szCs w:val="21"/>
              </w:rPr>
              <w:t>温度、湿度、风速、气压、高度</w:t>
            </w:r>
          </w:p>
          <w:p w14:paraId="0C664C16">
            <w:pPr>
              <w:snapToGrid w:val="0"/>
              <w:jc w:val="left"/>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hint="eastAsia" w:ascii="宋体" w:hAnsi="宋体" w:cs="宋体"/>
                <w:color w:val="auto"/>
                <w:kern w:val="0"/>
                <w:szCs w:val="21"/>
              </w:rPr>
              <w:t xml:space="preserve">风速量程范围： 0.5~44.7M/H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60~3937FT/M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0.4 ~38.8KNT</w:t>
            </w:r>
          </w:p>
          <w:p w14:paraId="651BFE3D">
            <w:pPr>
              <w:snapToGrid w:val="0"/>
              <w:jc w:val="left"/>
              <w:rPr>
                <w:rFonts w:hint="eastAsia" w:ascii="宋体" w:hAnsi="宋体" w:cs="宋体"/>
                <w:color w:val="auto"/>
                <w:kern w:val="0"/>
                <w:szCs w:val="21"/>
              </w:rPr>
            </w:pPr>
            <w:r>
              <w:rPr>
                <w:rFonts w:hint="eastAsia" w:ascii="宋体" w:hAnsi="宋体" w:cs="宋体"/>
                <w:color w:val="auto"/>
                <w:kern w:val="0"/>
                <w:szCs w:val="21"/>
              </w:rPr>
              <w:t xml:space="preserve">1.1~20.0M/S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0.7~72.0KMH   1~8BF</w:t>
            </w:r>
          </w:p>
          <w:p w14:paraId="0872079A">
            <w:pPr>
              <w:snapToGrid w:val="0"/>
              <w:jc w:val="left"/>
              <w:rPr>
                <w:rFonts w:hint="eastAsia"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eastAsia="zh-CN"/>
              </w:rPr>
              <w:t>、</w:t>
            </w:r>
            <w:r>
              <w:rPr>
                <w:rFonts w:hint="eastAsia" w:ascii="宋体" w:hAnsi="宋体" w:cs="宋体"/>
                <w:color w:val="auto"/>
                <w:kern w:val="0"/>
                <w:szCs w:val="21"/>
              </w:rPr>
              <w:t>风速准确度：+/-4%</w:t>
            </w:r>
          </w:p>
          <w:p w14:paraId="10D710A6">
            <w:pPr>
              <w:snapToGrid w:val="0"/>
              <w:jc w:val="left"/>
              <w:rPr>
                <w:rFonts w:hint="eastAsia"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kern w:val="0"/>
                <w:szCs w:val="21"/>
                <w:lang w:eastAsia="zh-CN"/>
              </w:rPr>
              <w:t>、</w:t>
            </w:r>
            <w:r>
              <w:rPr>
                <w:rFonts w:hint="eastAsia" w:ascii="宋体" w:hAnsi="宋体" w:cs="宋体"/>
                <w:color w:val="auto"/>
                <w:kern w:val="0"/>
                <w:szCs w:val="21"/>
              </w:rPr>
              <w:t>温度：温度范围：-15~50.0℃；分辨率：0.1℃/°F；准确度：+/-1℃</w:t>
            </w:r>
          </w:p>
          <w:p w14:paraId="6CCF3F29">
            <w:pPr>
              <w:snapToGrid w:val="0"/>
              <w:jc w:val="left"/>
              <w:rPr>
                <w:rFonts w:hint="eastAsia" w:ascii="宋体" w:hAnsi="宋体" w:cs="宋体"/>
                <w:color w:val="auto"/>
                <w:kern w:val="0"/>
                <w:szCs w:val="21"/>
              </w:rPr>
            </w:pPr>
            <w:r>
              <w:rPr>
                <w:rFonts w:hint="eastAsia" w:ascii="宋体" w:hAnsi="宋体" w:cs="宋体"/>
                <w:color w:val="auto"/>
                <w:kern w:val="0"/>
                <w:szCs w:val="21"/>
              </w:rPr>
              <w:t>5</w:t>
            </w:r>
            <w:r>
              <w:rPr>
                <w:rFonts w:hint="eastAsia" w:ascii="宋体" w:hAnsi="宋体" w:cs="宋体"/>
                <w:color w:val="auto"/>
                <w:kern w:val="0"/>
                <w:szCs w:val="21"/>
                <w:lang w:eastAsia="zh-CN"/>
              </w:rPr>
              <w:t>、</w:t>
            </w:r>
            <w:r>
              <w:rPr>
                <w:rFonts w:hint="eastAsia" w:ascii="宋体" w:hAnsi="宋体" w:cs="宋体"/>
                <w:color w:val="auto"/>
                <w:kern w:val="0"/>
                <w:szCs w:val="21"/>
              </w:rPr>
              <w:t>湿度：湿度范围：5%RH~95%RH；分辨率：0.1%RH；准确度：+/-3%RH(25℃.10~90%RH.其他 +/-5%RH)</w:t>
            </w:r>
          </w:p>
          <w:p w14:paraId="14CAD4C9">
            <w:pPr>
              <w:snapToGrid w:val="0"/>
              <w:jc w:val="left"/>
              <w:rPr>
                <w:rFonts w:hint="eastAsia" w:ascii="宋体" w:hAnsi="宋体" w:cs="宋体"/>
                <w:color w:val="auto"/>
                <w:kern w:val="0"/>
                <w:szCs w:val="21"/>
              </w:rPr>
            </w:pPr>
            <w:r>
              <w:rPr>
                <w:rFonts w:hint="eastAsia" w:ascii="宋体" w:hAnsi="宋体" w:cs="宋体"/>
                <w:color w:val="auto"/>
                <w:kern w:val="0"/>
                <w:szCs w:val="21"/>
              </w:rPr>
              <w:t>6</w:t>
            </w:r>
            <w:r>
              <w:rPr>
                <w:rFonts w:hint="eastAsia" w:ascii="宋体" w:hAnsi="宋体" w:cs="宋体"/>
                <w:color w:val="auto"/>
                <w:kern w:val="0"/>
                <w:szCs w:val="21"/>
                <w:lang w:eastAsia="zh-CN"/>
              </w:rPr>
              <w:t>、</w:t>
            </w:r>
            <w:r>
              <w:rPr>
                <w:rFonts w:hint="eastAsia" w:ascii="宋体" w:hAnsi="宋体" w:cs="宋体"/>
                <w:color w:val="auto"/>
                <w:kern w:val="0"/>
                <w:szCs w:val="21"/>
              </w:rPr>
              <w:t>压力：压力范围： 400~1100mbar；分辨率：1(400~1100mbar/hpa).0.1(11.8~32.5inHg)：准确度：+/-3hpa(-10~60C)</w:t>
            </w:r>
          </w:p>
          <w:p w14:paraId="21D75043">
            <w:pPr>
              <w:snapToGrid w:val="0"/>
              <w:jc w:val="left"/>
              <w:rPr>
                <w:rFonts w:hint="eastAsia" w:ascii="宋体" w:hAnsi="宋体" w:cs="宋体"/>
                <w:color w:val="auto"/>
                <w:kern w:val="0"/>
                <w:szCs w:val="21"/>
              </w:rPr>
            </w:pPr>
            <w:r>
              <w:rPr>
                <w:rFonts w:hint="eastAsia" w:ascii="宋体" w:hAnsi="宋体" w:cs="宋体"/>
                <w:color w:val="auto"/>
                <w:kern w:val="0"/>
                <w:szCs w:val="21"/>
              </w:rPr>
              <w:t>7</w:t>
            </w:r>
            <w:r>
              <w:rPr>
                <w:rFonts w:hint="eastAsia" w:ascii="宋体" w:hAnsi="宋体" w:cs="宋体"/>
                <w:color w:val="auto"/>
                <w:kern w:val="0"/>
                <w:szCs w:val="21"/>
                <w:lang w:eastAsia="zh-CN"/>
              </w:rPr>
              <w:t>、</w:t>
            </w:r>
            <w:r>
              <w:rPr>
                <w:rFonts w:hint="eastAsia" w:ascii="宋体" w:hAnsi="宋体" w:cs="宋体"/>
                <w:color w:val="auto"/>
                <w:kern w:val="0"/>
                <w:szCs w:val="21"/>
              </w:rPr>
              <w:t>高度范围&amp;分辨率：有-600~7000M(1M)-900~9000Ft(3Ft)</w:t>
            </w:r>
          </w:p>
          <w:p w14:paraId="533E3249">
            <w:pPr>
              <w:snapToGrid w:val="0"/>
              <w:jc w:val="left"/>
              <w:rPr>
                <w:rFonts w:hint="eastAsia" w:ascii="宋体" w:hAnsi="宋体" w:cs="宋体"/>
                <w:color w:val="auto"/>
                <w:kern w:val="0"/>
                <w:szCs w:val="21"/>
              </w:rPr>
            </w:pPr>
            <w:r>
              <w:rPr>
                <w:rFonts w:hint="eastAsia" w:ascii="宋体" w:hAnsi="宋体" w:cs="宋体"/>
                <w:color w:val="auto"/>
                <w:kern w:val="0"/>
                <w:szCs w:val="21"/>
              </w:rPr>
              <w:t>8</w:t>
            </w:r>
            <w:r>
              <w:rPr>
                <w:rFonts w:hint="eastAsia" w:ascii="宋体" w:hAnsi="宋体" w:cs="宋体"/>
                <w:color w:val="auto"/>
                <w:kern w:val="0"/>
                <w:szCs w:val="21"/>
                <w:lang w:eastAsia="zh-CN"/>
              </w:rPr>
              <w:t>、</w:t>
            </w:r>
            <w:r>
              <w:rPr>
                <w:rFonts w:hint="eastAsia" w:ascii="宋体" w:hAnsi="宋体" w:cs="宋体"/>
                <w:color w:val="auto"/>
                <w:kern w:val="0"/>
                <w:szCs w:val="21"/>
              </w:rPr>
              <w:t>响应时间：风速2秒；温度：60秒一般状态；湿度60秒一般状态；压力：15分一般状态</w:t>
            </w:r>
          </w:p>
          <w:p w14:paraId="4EEF1807">
            <w:pPr>
              <w:snapToGrid w:val="0"/>
              <w:jc w:val="left"/>
              <w:rPr>
                <w:rFonts w:hint="eastAsia" w:ascii="宋体" w:hAnsi="宋体" w:cs="宋体"/>
                <w:color w:val="auto"/>
                <w:kern w:val="0"/>
                <w:szCs w:val="21"/>
              </w:rPr>
            </w:pPr>
            <w:r>
              <w:rPr>
                <w:rFonts w:hint="eastAsia" w:ascii="宋体" w:hAnsi="宋体" w:cs="宋体"/>
                <w:color w:val="auto"/>
                <w:kern w:val="0"/>
                <w:szCs w:val="21"/>
              </w:rPr>
              <w:t>9</w:t>
            </w:r>
            <w:r>
              <w:rPr>
                <w:rFonts w:hint="eastAsia" w:ascii="宋体" w:hAnsi="宋体" w:cs="宋体"/>
                <w:color w:val="auto"/>
                <w:kern w:val="0"/>
                <w:szCs w:val="21"/>
                <w:lang w:eastAsia="zh-CN"/>
              </w:rPr>
              <w:t>、</w:t>
            </w:r>
            <w:r>
              <w:rPr>
                <w:rFonts w:hint="eastAsia" w:ascii="宋体" w:hAnsi="宋体" w:cs="宋体"/>
                <w:color w:val="auto"/>
                <w:kern w:val="0"/>
                <w:szCs w:val="21"/>
              </w:rPr>
              <w:t>LCD更新：每秒一次</w:t>
            </w:r>
          </w:p>
          <w:p w14:paraId="6093C39E">
            <w:pPr>
              <w:snapToGrid w:val="0"/>
              <w:jc w:val="left"/>
              <w:rPr>
                <w:rFonts w:hint="eastAsia" w:ascii="宋体" w:hAnsi="宋体" w:cs="宋体"/>
                <w:color w:val="auto"/>
                <w:kern w:val="0"/>
                <w:szCs w:val="21"/>
              </w:rPr>
            </w:pPr>
            <w:r>
              <w:rPr>
                <w:rFonts w:hint="eastAsia" w:ascii="宋体" w:hAnsi="宋体" w:cs="宋体"/>
                <w:color w:val="auto"/>
                <w:kern w:val="0"/>
                <w:szCs w:val="21"/>
              </w:rPr>
              <w:t>10</w:t>
            </w:r>
            <w:r>
              <w:rPr>
                <w:rFonts w:hint="eastAsia" w:ascii="宋体" w:hAnsi="宋体" w:cs="宋体"/>
                <w:color w:val="auto"/>
                <w:kern w:val="0"/>
                <w:szCs w:val="21"/>
                <w:lang w:eastAsia="zh-CN"/>
              </w:rPr>
              <w:t>、</w:t>
            </w:r>
            <w:r>
              <w:rPr>
                <w:rFonts w:hint="eastAsia" w:ascii="宋体" w:hAnsi="宋体" w:cs="宋体"/>
                <w:color w:val="auto"/>
                <w:kern w:val="0"/>
                <w:szCs w:val="21"/>
              </w:rPr>
              <w:t>可显示凉风、露点温度、热度指数、高度</w:t>
            </w:r>
          </w:p>
          <w:p w14:paraId="281477E1">
            <w:pPr>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11</w:t>
            </w:r>
            <w:r>
              <w:rPr>
                <w:rFonts w:hint="eastAsia" w:ascii="宋体" w:hAnsi="宋体" w:cs="宋体"/>
                <w:color w:val="auto"/>
                <w:kern w:val="0"/>
                <w:szCs w:val="21"/>
                <w:lang w:eastAsia="zh-CN"/>
              </w:rPr>
              <w:t>、</w:t>
            </w:r>
            <w:r>
              <w:rPr>
                <w:rFonts w:hint="eastAsia" w:ascii="宋体" w:hAnsi="宋体" w:cs="宋体"/>
                <w:color w:val="auto"/>
                <w:kern w:val="0"/>
                <w:szCs w:val="21"/>
              </w:rPr>
              <w:t>操作温度：-15~50℃</w:t>
            </w:r>
          </w:p>
        </w:tc>
      </w:tr>
      <w:tr w14:paraId="3688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08AC5F13">
            <w:pPr>
              <w:spacing w:line="360" w:lineRule="auto"/>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20</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6CB28AE7">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运动相机</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3C34D2E9">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43C12F65">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6D963261">
            <w:pPr>
              <w:numPr>
                <w:ilvl w:val="0"/>
                <w:numId w:val="0"/>
              </w:num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w:t>
            </w:r>
            <w:r>
              <w:rPr>
                <w:rFonts w:hint="eastAsia" w:ascii="宋体" w:hAnsi="宋体" w:cs="宋体"/>
                <w:color w:val="auto"/>
                <w:kern w:val="0"/>
                <w:szCs w:val="21"/>
              </w:rPr>
              <w:t>内置cpu≥8核，主频≥1.5GHZ，重量＜200g；</w:t>
            </w:r>
          </w:p>
          <w:p w14:paraId="59E849CB">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w:t>
            </w:r>
            <w:r>
              <w:rPr>
                <w:rFonts w:hint="eastAsia" w:ascii="宋体" w:hAnsi="宋体" w:cs="宋体"/>
                <w:color w:val="auto"/>
                <w:kern w:val="0"/>
                <w:szCs w:val="21"/>
              </w:rPr>
              <w:t>电池舱盖具备锁定装置，锁定后无法打开电池舱盖，采用可更换电池设计，在更换一次电池、1920×1080分辨率条件下，电池可连续录像≥18h，单码流进行视频实时图传，工作时间应满足连续摄录时间≥13h，同时进行连续本地录制和无线传输实时视频≥10h；</w:t>
            </w:r>
          </w:p>
          <w:p w14:paraId="04024F12">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w:t>
            </w:r>
            <w:r>
              <w:rPr>
                <w:rFonts w:hint="eastAsia" w:ascii="宋体" w:hAnsi="宋体" w:cs="宋体"/>
                <w:color w:val="auto"/>
                <w:kern w:val="0"/>
                <w:szCs w:val="21"/>
              </w:rPr>
              <w:t>电池充电时间≤2h，支持≥2种接口对记录仪进行充电，记录仪电池可用电池座充进行充电，单个座充可为≥2块电池充电。</w:t>
            </w:r>
          </w:p>
          <w:p w14:paraId="4BB8563A">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w:t>
            </w:r>
            <w:r>
              <w:rPr>
                <w:rFonts w:hint="eastAsia" w:ascii="宋体" w:hAnsi="宋体" w:cs="宋体"/>
                <w:color w:val="auto"/>
                <w:kern w:val="0"/>
                <w:szCs w:val="21"/>
              </w:rPr>
              <w:t>设备存储应≥128G；</w:t>
            </w:r>
          </w:p>
          <w:p w14:paraId="35068631">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lang w:eastAsia="zh-CN"/>
              </w:rPr>
              <w:t>、</w:t>
            </w:r>
            <w:r>
              <w:rPr>
                <w:rFonts w:hint="eastAsia" w:ascii="宋体" w:hAnsi="宋体" w:cs="宋体"/>
                <w:color w:val="auto"/>
                <w:kern w:val="0"/>
                <w:szCs w:val="21"/>
              </w:rPr>
              <w:t>外壳防护≥IP68要求(水深1M，持续2H）。</w:t>
            </w:r>
          </w:p>
          <w:p w14:paraId="034945B8">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w:t>
            </w:r>
            <w:r>
              <w:rPr>
                <w:rFonts w:hint="eastAsia" w:ascii="宋体" w:hAnsi="宋体" w:cs="宋体"/>
                <w:color w:val="auto"/>
                <w:kern w:val="0"/>
                <w:szCs w:val="21"/>
              </w:rPr>
              <w:t>佩戴方式和卡槽设计：考虑到不同使用场景可通过肩章式，支架式，背带式，帽戴式，红蓝爆闪肩夹等≥10种不同佩戴或使用方式；支持≥2个卡槽设计，支持Nano SIM卡和TF。</w:t>
            </w:r>
          </w:p>
          <w:p w14:paraId="366AA1FB">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lang w:eastAsia="zh-CN"/>
              </w:rPr>
              <w:t>、</w:t>
            </w:r>
            <w:r>
              <w:rPr>
                <w:rFonts w:hint="eastAsia" w:ascii="宋体" w:hAnsi="宋体" w:cs="宋体"/>
                <w:color w:val="auto"/>
                <w:kern w:val="0"/>
                <w:szCs w:val="21"/>
              </w:rPr>
              <w:t>高低温工作：采用内置可更换电池，在更换一次电池，使用环境温度（55±2）℃条件下，持续录像时间≥15h。在更换一次电池，使用环境温度（-30±3）℃条件下，持续录像时间≥8h。</w:t>
            </w:r>
          </w:p>
          <w:p w14:paraId="7A80E18E">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8</w:t>
            </w:r>
            <w:r>
              <w:rPr>
                <w:rFonts w:hint="eastAsia" w:ascii="宋体" w:hAnsi="宋体" w:cs="宋体"/>
                <w:color w:val="auto"/>
                <w:kern w:val="0"/>
                <w:szCs w:val="21"/>
                <w:lang w:eastAsia="zh-CN"/>
              </w:rPr>
              <w:t>、</w:t>
            </w:r>
            <w:r>
              <w:rPr>
                <w:rFonts w:hint="eastAsia" w:ascii="宋体" w:hAnsi="宋体" w:cs="宋体"/>
                <w:color w:val="auto"/>
                <w:kern w:val="0"/>
                <w:szCs w:val="21"/>
              </w:rPr>
              <w:t>设备发热安全检验：在环境温度25℃，工作30min后，其外壳人体可接触到的部分最高温度≤50℃。</w:t>
            </w:r>
          </w:p>
          <w:p w14:paraId="7CAA8AEB">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lang w:eastAsia="zh-CN"/>
              </w:rPr>
              <w:t>、</w:t>
            </w:r>
            <w:r>
              <w:rPr>
                <w:rFonts w:hint="eastAsia" w:ascii="宋体" w:hAnsi="宋体" w:cs="宋体"/>
                <w:color w:val="auto"/>
                <w:kern w:val="0"/>
                <w:szCs w:val="21"/>
              </w:rPr>
              <w:t>热特性要求：设备在环境温度为40℃下，在正常摄录及开启红外补光摄录模式下，持续时间10min后，设备外壳及屏幕温度≤45℃。</w:t>
            </w:r>
          </w:p>
          <w:p w14:paraId="7321DC4F">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0</w:t>
            </w:r>
            <w:r>
              <w:rPr>
                <w:rFonts w:hint="eastAsia" w:ascii="宋体" w:hAnsi="宋体" w:cs="宋体"/>
                <w:color w:val="auto"/>
                <w:kern w:val="0"/>
                <w:szCs w:val="21"/>
                <w:lang w:eastAsia="zh-CN"/>
              </w:rPr>
              <w:t>、</w:t>
            </w:r>
            <w:r>
              <w:rPr>
                <w:rFonts w:hint="eastAsia" w:ascii="宋体" w:hAnsi="宋体" w:cs="宋体"/>
                <w:color w:val="auto"/>
                <w:kern w:val="0"/>
                <w:szCs w:val="21"/>
              </w:rPr>
              <w:t>防摔抗跌：工作期间，裸机跌落高度≥2000mm，水泥地面，任意6个面各跌落≥5次，不影响工作状态。</w:t>
            </w:r>
          </w:p>
          <w:p w14:paraId="1054B10B">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w:t>
            </w:r>
            <w:r>
              <w:rPr>
                <w:rFonts w:hint="eastAsia" w:ascii="宋体" w:hAnsi="宋体" w:cs="宋体"/>
                <w:color w:val="auto"/>
                <w:kern w:val="0"/>
                <w:szCs w:val="21"/>
              </w:rPr>
              <w:t>最低可用照度：考虑到在光线较暗的情况下（不足以开启自动夜视）使用，要求视频分辨力达到正常亮度下视频分辨力的70%，最低可用照度应满足≤3.0lx。</w:t>
            </w:r>
          </w:p>
          <w:p w14:paraId="094FC7E5">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w:t>
            </w:r>
            <w:r>
              <w:rPr>
                <w:rFonts w:hint="eastAsia" w:ascii="宋体" w:hAnsi="宋体" w:cs="宋体"/>
                <w:color w:val="auto"/>
                <w:kern w:val="0"/>
                <w:szCs w:val="21"/>
              </w:rPr>
              <w:t>数据完整性：设备具有预录延录功能，可预录开始录像触发前≥60s的视频，延录停止录像触发后≥60s的视频，录像过程中发生撞击时，可自动保存录像文件并重新进入摄录模式，在待机状态下发生撞击时，可自动进入录像模式。</w:t>
            </w:r>
          </w:p>
          <w:p w14:paraId="0E326C12">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w:t>
            </w:r>
            <w:r>
              <w:rPr>
                <w:rFonts w:hint="eastAsia" w:ascii="宋体" w:hAnsi="宋体" w:cs="宋体"/>
                <w:color w:val="auto"/>
                <w:kern w:val="0"/>
                <w:szCs w:val="21"/>
              </w:rPr>
              <w:t>录制文件大小：在分辨率为2560×1440，帧率为30帧/秒条件下,录制1小时文件＜2.5GB。在分辨率为1920×1080，帧率为30帧/秒条件下,录制1小时文件＜1.5GB。</w:t>
            </w:r>
          </w:p>
          <w:p w14:paraId="1A1B29AB">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w:t>
            </w:r>
            <w:r>
              <w:rPr>
                <w:rFonts w:hint="eastAsia" w:ascii="宋体" w:hAnsi="宋体" w:cs="宋体"/>
                <w:color w:val="auto"/>
                <w:kern w:val="0"/>
                <w:szCs w:val="21"/>
              </w:rPr>
              <w:t>视频性能：在分辨率≥2304×1296条件下，水平视场角≥110°，几何失真＜15%，视频分辨力≥900线，帧率≥30帧/S。</w:t>
            </w:r>
          </w:p>
          <w:p w14:paraId="74E0C0E4">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lang w:eastAsia="zh-CN"/>
              </w:rPr>
              <w:t>、</w:t>
            </w:r>
            <w:r>
              <w:rPr>
                <w:rFonts w:hint="eastAsia" w:ascii="宋体" w:hAnsi="宋体" w:cs="宋体"/>
                <w:color w:val="auto"/>
                <w:kern w:val="0"/>
                <w:szCs w:val="21"/>
              </w:rPr>
              <w:t>照片分辨力：照片分辨率≥8500×4800，在所有分辨率下分辨力≥1100线。</w:t>
            </w:r>
          </w:p>
          <w:p w14:paraId="17B69CBA">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lang w:eastAsia="zh-CN"/>
              </w:rPr>
              <w:t>、</w:t>
            </w:r>
            <w:r>
              <w:rPr>
                <w:rFonts w:hint="eastAsia" w:ascii="宋体" w:hAnsi="宋体" w:cs="宋体"/>
                <w:color w:val="auto"/>
                <w:kern w:val="0"/>
                <w:szCs w:val="21"/>
              </w:rPr>
              <w:t>安全性保证（绝缘电阻）：易触及部件间的绝缘电阻应＞50000MΩ。</w:t>
            </w:r>
          </w:p>
          <w:p w14:paraId="670313E4">
            <w:pPr>
              <w:snapToGrid w:val="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val="en-US" w:eastAsia="zh-CN"/>
              </w:rPr>
              <w:t>7</w:t>
            </w:r>
            <w:r>
              <w:rPr>
                <w:rFonts w:hint="eastAsia" w:ascii="宋体" w:hAnsi="宋体" w:cs="宋体"/>
                <w:color w:val="auto"/>
                <w:kern w:val="0"/>
                <w:szCs w:val="21"/>
                <w:lang w:eastAsia="zh-CN"/>
              </w:rPr>
              <w:t>、</w:t>
            </w:r>
            <w:r>
              <w:rPr>
                <w:rFonts w:hint="eastAsia" w:ascii="宋体" w:hAnsi="宋体" w:cs="宋体"/>
                <w:color w:val="auto"/>
                <w:kern w:val="0"/>
                <w:szCs w:val="21"/>
              </w:rPr>
              <w:t>定位功能：记录仪可接收卫星数据并提供定位信息，应优先使用北斗卫星导航定位。可打开位置追踪功能，并开始追踪，主机会将北斗或GPS位置信息上报，上报时间周期≤2s，进行位置与轨迹的追踪。</w:t>
            </w:r>
          </w:p>
          <w:p w14:paraId="50F0AABD">
            <w:pPr>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1</w:t>
            </w:r>
            <w:r>
              <w:rPr>
                <w:rFonts w:hint="eastAsia" w:ascii="宋体" w:hAnsi="宋体" w:cs="宋体"/>
                <w:color w:val="auto"/>
                <w:kern w:val="0"/>
                <w:szCs w:val="21"/>
                <w:lang w:val="en-US" w:eastAsia="zh-CN"/>
              </w:rPr>
              <w:t>8</w:t>
            </w:r>
            <w:r>
              <w:rPr>
                <w:rFonts w:hint="eastAsia" w:ascii="宋体" w:hAnsi="宋体" w:cs="宋体"/>
                <w:color w:val="auto"/>
                <w:kern w:val="0"/>
                <w:szCs w:val="21"/>
                <w:lang w:eastAsia="zh-CN"/>
              </w:rPr>
              <w:t>、</w:t>
            </w:r>
            <w:r>
              <w:rPr>
                <w:rFonts w:hint="eastAsia" w:ascii="宋体" w:hAnsi="宋体" w:cs="宋体"/>
                <w:color w:val="auto"/>
                <w:kern w:val="0"/>
                <w:szCs w:val="21"/>
              </w:rPr>
              <w:t>接口读取速率：通过Type C接口读取记录仪数据的速率≥280Mbps。</w:t>
            </w:r>
          </w:p>
        </w:tc>
      </w:tr>
      <w:tr w14:paraId="3102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2382327E">
            <w:pPr>
              <w:spacing w:line="360" w:lineRule="auto"/>
              <w:jc w:val="center"/>
              <w:rPr>
                <w:rFonts w:hint="default"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21</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4C56C136">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频闪灯</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3FD74F59">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110</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7A6FCC33">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6D073708">
            <w:pPr>
              <w:snapToGrid w:val="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发光强度≥0.75cd</w:t>
            </w:r>
            <w:r>
              <w:rPr>
                <w:rFonts w:hint="eastAsia" w:ascii="宋体" w:hAnsi="宋体" w:cs="宋体"/>
                <w:color w:val="auto"/>
                <w:kern w:val="0"/>
                <w:szCs w:val="21"/>
                <w:highlight w:val="none"/>
                <w:lang w:eastAsia="zh-CN"/>
              </w:rPr>
              <w:t>；</w:t>
            </w:r>
          </w:p>
          <w:p w14:paraId="243C265B">
            <w:pPr>
              <w:snapToGrid w:val="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频闪频率：50-70次/分钟</w:t>
            </w:r>
            <w:r>
              <w:rPr>
                <w:rFonts w:hint="eastAsia" w:ascii="宋体" w:hAnsi="宋体" w:cs="宋体"/>
                <w:color w:val="auto"/>
                <w:kern w:val="0"/>
                <w:szCs w:val="21"/>
                <w:highlight w:val="none"/>
                <w:lang w:eastAsia="zh-CN"/>
              </w:rPr>
              <w:t>；</w:t>
            </w:r>
          </w:p>
          <w:p w14:paraId="72F2A3F8">
            <w:pPr>
              <w:snapToGrid w:val="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工作时间≥8小时</w:t>
            </w:r>
            <w:r>
              <w:rPr>
                <w:rFonts w:hint="eastAsia" w:ascii="宋体" w:hAnsi="宋体" w:cs="宋体"/>
                <w:color w:val="auto"/>
                <w:kern w:val="0"/>
                <w:szCs w:val="21"/>
                <w:highlight w:val="none"/>
                <w:lang w:eastAsia="zh-CN"/>
              </w:rPr>
              <w:t>；</w:t>
            </w:r>
          </w:p>
          <w:p w14:paraId="4FF4AFFA">
            <w:pPr>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工作电压3.6V</w:t>
            </w:r>
            <w:r>
              <w:rPr>
                <w:rFonts w:hint="eastAsia" w:ascii="宋体" w:hAnsi="宋体" w:cs="宋体"/>
                <w:color w:val="auto"/>
                <w:kern w:val="0"/>
                <w:szCs w:val="21"/>
                <w:highlight w:val="none"/>
                <w:lang w:eastAsia="zh-CN"/>
              </w:rPr>
              <w:t>。</w:t>
            </w:r>
          </w:p>
        </w:tc>
      </w:tr>
      <w:tr w14:paraId="175D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1CDDA09A">
            <w:pPr>
              <w:spacing w:line="360" w:lineRule="auto"/>
              <w:jc w:val="center"/>
              <w:rPr>
                <w:rFonts w:hint="default" w:ascii="宋体" w:hAnsi="宋体" w:cs="宋体"/>
                <w:color w:val="auto"/>
                <w:spacing w:val="-20"/>
                <w:szCs w:val="21"/>
                <w:lang w:val="en-US" w:eastAsia="zh-CN"/>
              </w:rPr>
            </w:pPr>
            <w:r>
              <w:rPr>
                <w:rFonts w:hint="eastAsia" w:ascii="宋体" w:hAnsi="宋体" w:cs="宋体"/>
                <w:color w:val="auto"/>
                <w:spacing w:val="-20"/>
                <w:szCs w:val="21"/>
                <w:lang w:val="en-US" w:eastAsia="zh-CN"/>
              </w:rPr>
              <w:t>22</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0890CBA9">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多功能刀具</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3DC1BCBF">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5E43754F">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3A55EBEB">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1、含尖嘴钳、老虎钳、钢丝钳</w:t>
            </w:r>
          </w:p>
          <w:p w14:paraId="02FCCD7C">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2、含主刀、一字螺丝刀、十字螺丝刀、开瓶器</w:t>
            </w:r>
          </w:p>
          <w:p w14:paraId="4282259F">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3、含锯子、开信刀、钥匙圈。</w:t>
            </w:r>
          </w:p>
          <w:p w14:paraId="5E56AA66">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4、展开长度≥16cm</w:t>
            </w:r>
          </w:p>
          <w:p w14:paraId="1DE8010F">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5、折叠≤10.5cm</w:t>
            </w:r>
          </w:p>
          <w:p w14:paraId="30E73A6D">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6、重量≤250g</w:t>
            </w:r>
          </w:p>
          <w:p w14:paraId="0D9E4D33">
            <w:pPr>
              <w:snapToGrid w:val="0"/>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highlight w:val="none"/>
              </w:rPr>
              <w:t>7、材质不次于3Cr13材质。</w:t>
            </w:r>
          </w:p>
        </w:tc>
      </w:tr>
      <w:tr w14:paraId="4847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2BE3234F">
            <w:pPr>
              <w:spacing w:line="360" w:lineRule="auto"/>
              <w:jc w:val="center"/>
              <w:rPr>
                <w:rFonts w:hint="default" w:ascii="宋体" w:hAnsi="宋体" w:cs="宋体"/>
                <w:color w:val="auto"/>
                <w:spacing w:val="-20"/>
                <w:szCs w:val="21"/>
                <w:lang w:val="en-US" w:eastAsia="zh-CN"/>
              </w:rPr>
            </w:pPr>
            <w:r>
              <w:rPr>
                <w:rFonts w:hint="eastAsia" w:ascii="宋体" w:hAnsi="宋体" w:cs="宋体"/>
                <w:color w:val="auto"/>
                <w:spacing w:val="-20"/>
                <w:szCs w:val="21"/>
                <w:lang w:val="en-US" w:eastAsia="zh-CN"/>
              </w:rPr>
              <w:t>23</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1448EA13">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自喷荧光漆</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02C1036B">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25DC2922">
            <w:pPr>
              <w:widowControl/>
              <w:jc w:val="left"/>
              <w:textAlignment w:val="top"/>
              <w:rPr>
                <w:rFonts w:hint="eastAsia"/>
                <w:color w:val="auto"/>
                <w:highlight w:val="none"/>
                <w:lang w:val="en-US" w:eastAsia="zh-CN"/>
              </w:rPr>
            </w:pPr>
            <w:r>
              <w:rPr>
                <w:rFonts w:hint="eastAsia"/>
                <w:color w:val="auto"/>
                <w:highlight w:val="none"/>
                <w:lang w:val="en-US" w:eastAsia="zh-CN"/>
              </w:rPr>
              <w:t>提供国家认证认可检测机构出具的与所投产品型号一致、完整有效的检验检测报告。</w:t>
            </w:r>
          </w:p>
          <w:p w14:paraId="7F1EF23D">
            <w:pPr>
              <w:snapToGrid w:val="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1、支持定制颜色可选</w:t>
            </w:r>
            <w:r>
              <w:rPr>
                <w:rFonts w:hint="eastAsia" w:ascii="宋体" w:hAnsi="宋体" w:cs="宋体"/>
                <w:color w:val="auto"/>
                <w:kern w:val="0"/>
                <w:szCs w:val="21"/>
                <w:highlight w:val="none"/>
                <w:lang w:eastAsia="zh-CN"/>
              </w:rPr>
              <w:t>；</w:t>
            </w:r>
          </w:p>
          <w:p w14:paraId="71662996">
            <w:pPr>
              <w:snapToGrid w:val="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2、喷色均匀、颜色鲜艳</w:t>
            </w:r>
            <w:r>
              <w:rPr>
                <w:rFonts w:hint="eastAsia" w:ascii="宋体" w:hAnsi="宋体" w:cs="宋体"/>
                <w:color w:val="auto"/>
                <w:kern w:val="0"/>
                <w:szCs w:val="21"/>
                <w:highlight w:val="none"/>
                <w:lang w:eastAsia="zh-CN"/>
              </w:rPr>
              <w:t>；</w:t>
            </w:r>
          </w:p>
          <w:p w14:paraId="50C25E4E">
            <w:pPr>
              <w:snapToGrid w:val="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3、附着力好</w:t>
            </w:r>
            <w:r>
              <w:rPr>
                <w:rFonts w:hint="eastAsia" w:ascii="宋体" w:hAnsi="宋体" w:cs="宋体"/>
                <w:color w:val="auto"/>
                <w:kern w:val="0"/>
                <w:szCs w:val="21"/>
                <w:highlight w:val="none"/>
                <w:lang w:eastAsia="zh-CN"/>
              </w:rPr>
              <w:t>；</w:t>
            </w:r>
          </w:p>
          <w:p w14:paraId="3633C850">
            <w:pPr>
              <w:snapToGrid w:val="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4、速干</w:t>
            </w:r>
            <w:r>
              <w:rPr>
                <w:rFonts w:hint="eastAsia" w:ascii="宋体" w:hAnsi="宋体" w:cs="宋体"/>
                <w:color w:val="auto"/>
                <w:kern w:val="0"/>
                <w:szCs w:val="21"/>
                <w:highlight w:val="none"/>
                <w:lang w:eastAsia="zh-CN"/>
              </w:rPr>
              <w:t>；</w:t>
            </w:r>
          </w:p>
          <w:p w14:paraId="3A98B16B">
            <w:pPr>
              <w:snapToGrid w:val="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5、气味小</w:t>
            </w:r>
            <w:r>
              <w:rPr>
                <w:rFonts w:hint="eastAsia" w:ascii="宋体" w:hAnsi="宋体" w:cs="宋体"/>
                <w:color w:val="auto"/>
                <w:kern w:val="0"/>
                <w:szCs w:val="21"/>
                <w:highlight w:val="none"/>
                <w:lang w:eastAsia="zh-CN"/>
              </w:rPr>
              <w:t>。</w:t>
            </w:r>
          </w:p>
          <w:p w14:paraId="19951B4F">
            <w:pPr>
              <w:pStyle w:val="2"/>
              <w:rPr>
                <w:rFonts w:hint="eastAsia" w:ascii="Times New Roman" w:hAnsi="Times New Roman" w:eastAsia="宋体" w:cs="Times New Roman"/>
                <w:kern w:val="2"/>
                <w:sz w:val="21"/>
                <w:szCs w:val="24"/>
                <w:lang w:val="en-US" w:eastAsia="zh-CN" w:bidi="ar-SA"/>
              </w:rPr>
            </w:pPr>
            <w:r>
              <w:rPr>
                <w:rFonts w:hint="eastAsia" w:ascii="宋体" w:hAnsi="宋体" w:cs="宋体"/>
                <w:color w:val="auto"/>
                <w:kern w:val="0"/>
                <w:szCs w:val="21"/>
                <w:highlight w:val="none"/>
                <w:lang w:val="en-US" w:eastAsia="zh-CN"/>
              </w:rPr>
              <w:t>6、容量450—550ML</w:t>
            </w:r>
          </w:p>
        </w:tc>
      </w:tr>
      <w:tr w14:paraId="3C70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7ECDA8F2">
            <w:pPr>
              <w:spacing w:line="360" w:lineRule="auto"/>
              <w:jc w:val="center"/>
              <w:rPr>
                <w:rFonts w:hint="default" w:ascii="宋体" w:hAnsi="宋体" w:cs="宋体"/>
                <w:color w:val="auto"/>
                <w:spacing w:val="-20"/>
                <w:szCs w:val="21"/>
                <w:lang w:val="en-US" w:eastAsia="zh-CN"/>
              </w:rPr>
            </w:pPr>
            <w:r>
              <w:rPr>
                <w:rFonts w:hint="eastAsia" w:ascii="宋体" w:hAnsi="宋体" w:cs="宋体"/>
                <w:color w:val="auto"/>
                <w:spacing w:val="-20"/>
                <w:szCs w:val="21"/>
                <w:lang w:val="en-US" w:eastAsia="zh-CN"/>
              </w:rPr>
              <w:t>24</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613C8E77">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各类警示牌</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3CDE9172">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703EAF29">
            <w:pPr>
              <w:widowControl/>
              <w:jc w:val="left"/>
              <w:textAlignment w:val="top"/>
              <w:rPr>
                <w:rFonts w:hint="eastAsia"/>
                <w:color w:val="auto"/>
                <w:highlight w:val="none"/>
                <w:lang w:val="en-US" w:eastAsia="zh-CN"/>
              </w:rPr>
            </w:pPr>
            <w:r>
              <w:rPr>
                <w:rFonts w:hint="eastAsia"/>
                <w:color w:val="auto"/>
                <w:highlight w:val="none"/>
                <w:lang w:val="en-US" w:eastAsia="zh-CN"/>
              </w:rPr>
              <w:t>提供国家认证认可检测机构出具的与所投产品型号一致、完整有效的检验检测报告。</w:t>
            </w:r>
          </w:p>
          <w:p w14:paraId="77DDE6E0">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1、采用优质铝材或更优材质，</w:t>
            </w:r>
          </w:p>
          <w:p w14:paraId="29D7ED82">
            <w:pPr>
              <w:snapToGrid w:val="0"/>
              <w:jc w:val="left"/>
              <w:rPr>
                <w:rFonts w:hint="eastAsia" w:ascii="宋体" w:hAnsi="宋体" w:cs="宋体"/>
                <w:color w:val="auto"/>
                <w:kern w:val="0"/>
                <w:szCs w:val="21"/>
              </w:rPr>
            </w:pPr>
            <w:r>
              <w:rPr>
                <w:rFonts w:hint="eastAsia" w:ascii="宋体" w:hAnsi="宋体" w:cs="宋体"/>
                <w:color w:val="auto"/>
                <w:kern w:val="0"/>
                <w:szCs w:val="21"/>
              </w:rPr>
              <w:t>2、结构为三角形，正面包边涂有黑色漆，中心位置为黄色反光漆及危险警示标志；</w:t>
            </w:r>
          </w:p>
          <w:p w14:paraId="014AAB15">
            <w:pPr>
              <w:snapToGrid w:val="0"/>
              <w:jc w:val="left"/>
              <w:rPr>
                <w:rFonts w:hint="eastAsia" w:ascii="宋体" w:hAnsi="宋体" w:cs="宋体"/>
                <w:color w:val="auto"/>
                <w:kern w:val="0"/>
                <w:szCs w:val="21"/>
              </w:rPr>
            </w:pPr>
            <w:r>
              <w:rPr>
                <w:rFonts w:hint="eastAsia" w:ascii="宋体" w:hAnsi="宋体" w:cs="宋体"/>
                <w:color w:val="auto"/>
                <w:kern w:val="0"/>
                <w:szCs w:val="21"/>
              </w:rPr>
              <w:t>3、分别为“有毒”、“易燃”、“泄露”、“爆炸”和“危险”五种；</w:t>
            </w:r>
          </w:p>
          <w:p w14:paraId="332A8053">
            <w:pPr>
              <w:snapToGrid w:val="0"/>
              <w:jc w:val="left"/>
              <w:rPr>
                <w:rFonts w:hint="eastAsia" w:ascii="宋体" w:hAnsi="宋体" w:cs="宋体"/>
                <w:color w:val="auto"/>
                <w:kern w:val="0"/>
                <w:szCs w:val="21"/>
              </w:rPr>
            </w:pPr>
            <w:r>
              <w:rPr>
                <w:rFonts w:hint="eastAsia" w:ascii="宋体" w:hAnsi="宋体" w:cs="宋体"/>
                <w:color w:val="auto"/>
                <w:kern w:val="0"/>
                <w:szCs w:val="21"/>
              </w:rPr>
              <w:t>4、产品规格：三角形（等边），尺寸（mm）：边长约430-450mm；</w:t>
            </w:r>
          </w:p>
          <w:p w14:paraId="07A2CCBB">
            <w:pPr>
              <w:snapToGrid w:val="0"/>
              <w:jc w:val="left"/>
              <w:rPr>
                <w:rFonts w:hint="eastAsia" w:ascii="宋体" w:hAnsi="宋体" w:cs="宋体"/>
                <w:color w:val="auto"/>
                <w:kern w:val="0"/>
                <w:szCs w:val="21"/>
              </w:rPr>
            </w:pPr>
            <w:r>
              <w:rPr>
                <w:rFonts w:hint="eastAsia" w:ascii="宋体" w:hAnsi="宋体" w:cs="宋体"/>
                <w:color w:val="auto"/>
                <w:kern w:val="0"/>
                <w:szCs w:val="21"/>
              </w:rPr>
              <w:t>5、涂漆颜色：黄色、黑色，具有高亮反光；</w:t>
            </w:r>
          </w:p>
          <w:p w14:paraId="0C9D83D9">
            <w:pPr>
              <w:snapToGrid w:val="0"/>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6、背面采用支撑杆、支撑架可树立使用</w:t>
            </w:r>
            <w:r>
              <w:rPr>
                <w:rFonts w:hint="eastAsia" w:ascii="宋体" w:hAnsi="宋体" w:cs="宋体"/>
                <w:color w:val="auto"/>
                <w:kern w:val="0"/>
                <w:szCs w:val="21"/>
                <w:lang w:eastAsia="zh-CN"/>
              </w:rPr>
              <w:t>。</w:t>
            </w:r>
          </w:p>
        </w:tc>
      </w:tr>
      <w:tr w14:paraId="27E1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11A001EE">
            <w:pPr>
              <w:spacing w:line="360" w:lineRule="auto"/>
              <w:jc w:val="center"/>
              <w:rPr>
                <w:rFonts w:hint="default" w:ascii="宋体" w:hAnsi="宋体" w:cs="宋体"/>
                <w:color w:val="auto"/>
                <w:spacing w:val="-20"/>
                <w:szCs w:val="21"/>
                <w:lang w:val="en-US" w:eastAsia="zh-CN"/>
              </w:rPr>
            </w:pPr>
            <w:r>
              <w:rPr>
                <w:rFonts w:hint="eastAsia" w:ascii="宋体" w:hAnsi="宋体" w:cs="宋体"/>
                <w:color w:val="auto"/>
                <w:spacing w:val="-20"/>
                <w:szCs w:val="21"/>
                <w:lang w:val="en-US" w:eastAsia="zh-CN"/>
              </w:rPr>
              <w:t>25</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71423CEC">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隔离警示带</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2280879F">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534CB1B0">
            <w:pPr>
              <w:widowControl/>
              <w:jc w:val="left"/>
              <w:textAlignment w:val="top"/>
              <w:rPr>
                <w:rFonts w:hint="eastAsia"/>
                <w:color w:val="auto"/>
                <w:highlight w:val="none"/>
                <w:lang w:val="en-US" w:eastAsia="zh-CN"/>
              </w:rPr>
            </w:pPr>
            <w:r>
              <w:rPr>
                <w:rFonts w:hint="eastAsia"/>
                <w:color w:val="auto"/>
                <w:highlight w:val="none"/>
                <w:lang w:val="en-US" w:eastAsia="zh-CN"/>
              </w:rPr>
              <w:t>提供国家认证认可检测机构出具的与所投产品型号一致、完整有效的检验检测报告。</w:t>
            </w:r>
          </w:p>
          <w:p w14:paraId="61A5C96E">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主要用于自然灾害、交通事故、危险地段、突发事件现场的隔离警示辅助设施。</w:t>
            </w:r>
          </w:p>
          <w:p w14:paraId="77AE8C26">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、材质：外壳具备防摔耐压；警示带尼龙、涤纶布或更优材质制造，具备双面反光、防水、色泽鲜艳、结实耐用等性能。</w:t>
            </w:r>
          </w:p>
          <w:p w14:paraId="6D9FC04F">
            <w:pPr>
              <w:snapToGrid w:val="0"/>
              <w:jc w:val="left"/>
              <w:rPr>
                <w:rFonts w:hint="eastAsia"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、尺寸：每盘长度≥ 100m，宽度≥5cm，厚度≥15丝，附带摇动把手，易于收卷和携带，可回收重复使用。</w:t>
            </w:r>
          </w:p>
          <w:p w14:paraId="6DBF2E48">
            <w:pPr>
              <w:snapToGrid w:val="0"/>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4</w:t>
            </w:r>
            <w:r>
              <w:rPr>
                <w:rFonts w:hint="eastAsia" w:ascii="宋体" w:hAnsi="宋体" w:cs="宋体"/>
                <w:color w:val="auto"/>
                <w:kern w:val="0"/>
                <w:szCs w:val="21"/>
              </w:rPr>
              <w:t>、警戒带底色红蓝相间，并有“消防救援”标识字样。</w:t>
            </w:r>
          </w:p>
        </w:tc>
      </w:tr>
      <w:tr w14:paraId="6688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tcBorders>
              <w:top w:val="single" w:color="auto" w:sz="4" w:space="0"/>
              <w:left w:val="single" w:color="auto" w:sz="4" w:space="0"/>
              <w:bottom w:val="single" w:color="auto" w:sz="4" w:space="0"/>
              <w:right w:val="single" w:color="auto" w:sz="4" w:space="0"/>
            </w:tcBorders>
            <w:vAlign w:val="center"/>
          </w:tcPr>
          <w:p w14:paraId="10F4A951">
            <w:pPr>
              <w:spacing w:line="360" w:lineRule="auto"/>
              <w:jc w:val="center"/>
              <w:rPr>
                <w:rFonts w:hint="default" w:ascii="宋体" w:hAnsi="宋体" w:cs="宋体"/>
                <w:color w:val="auto"/>
                <w:spacing w:val="-20"/>
                <w:szCs w:val="21"/>
                <w:lang w:val="en-US" w:eastAsia="zh-CN"/>
              </w:rPr>
            </w:pPr>
            <w:r>
              <w:rPr>
                <w:rFonts w:hint="eastAsia" w:ascii="宋体" w:hAnsi="宋体" w:cs="宋体"/>
                <w:color w:val="auto"/>
                <w:spacing w:val="-20"/>
                <w:szCs w:val="21"/>
                <w:lang w:val="en-US" w:eastAsia="zh-CN"/>
              </w:rPr>
              <w:t>26</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0A272AD1">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注入式</w:t>
            </w:r>
            <w:r>
              <w:rPr>
                <w:rFonts w:hint="eastAsia" w:ascii="宋体" w:hAnsi="宋体" w:eastAsia="宋体" w:cs="宋体"/>
                <w:i w:val="0"/>
                <w:iCs w:val="0"/>
                <w:color w:val="000000"/>
                <w:kern w:val="0"/>
                <w:sz w:val="21"/>
                <w:szCs w:val="21"/>
                <w:u w:val="none"/>
                <w:lang w:val="en-US" w:eastAsia="zh-CN" w:bidi="ar"/>
              </w:rPr>
              <w:t>堵漏工具</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14:paraId="0126E7B1">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551" w:type="pct"/>
            <w:tcBorders>
              <w:top w:val="single" w:color="auto" w:sz="4" w:space="0"/>
              <w:left w:val="single" w:color="auto" w:sz="4" w:space="0"/>
              <w:bottom w:val="single" w:color="auto" w:sz="4" w:space="0"/>
              <w:right w:val="single" w:color="auto" w:sz="4" w:space="0"/>
            </w:tcBorders>
            <w:shd w:val="clear" w:color="auto" w:fill="auto"/>
            <w:vAlign w:val="center"/>
          </w:tcPr>
          <w:p w14:paraId="53860A1E">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2A26F710">
            <w:pPr>
              <w:snapToGrid w:val="0"/>
              <w:jc w:val="left"/>
              <w:rPr>
                <w:rFonts w:hint="eastAsia" w:ascii="宋体" w:hAnsi="宋体" w:cs="宋体"/>
                <w:color w:val="auto"/>
                <w:kern w:val="0"/>
                <w:szCs w:val="21"/>
              </w:rPr>
            </w:pPr>
            <w:r>
              <w:rPr>
                <w:rFonts w:hint="eastAsia" w:ascii="宋体" w:hAnsi="宋体" w:cs="宋体"/>
                <w:color w:val="auto"/>
                <w:kern w:val="0"/>
                <w:szCs w:val="21"/>
              </w:rPr>
              <w:t>1、主要用于阀门或法兰盘堵漏作业；</w:t>
            </w:r>
          </w:p>
          <w:p w14:paraId="7105C6BA">
            <w:pPr>
              <w:snapToGrid w:val="0"/>
              <w:jc w:val="left"/>
              <w:rPr>
                <w:rFonts w:hint="eastAsia" w:ascii="宋体" w:hAnsi="宋体" w:cs="宋体"/>
                <w:color w:val="auto"/>
                <w:kern w:val="0"/>
                <w:szCs w:val="21"/>
              </w:rPr>
            </w:pPr>
            <w:r>
              <w:rPr>
                <w:rFonts w:hint="eastAsia" w:ascii="宋体" w:hAnsi="宋体" w:cs="宋体"/>
                <w:color w:val="auto"/>
                <w:kern w:val="0"/>
                <w:szCs w:val="21"/>
              </w:rPr>
              <w:t>2、由无火花材料制成，堵漏时不产生火花；</w:t>
            </w:r>
          </w:p>
          <w:p w14:paraId="10C9E5BF">
            <w:pPr>
              <w:snapToGrid w:val="0"/>
              <w:jc w:val="left"/>
              <w:rPr>
                <w:rFonts w:hint="eastAsia" w:ascii="宋体" w:hAnsi="宋体" w:cs="宋体"/>
                <w:color w:val="auto"/>
                <w:kern w:val="0"/>
                <w:szCs w:val="21"/>
              </w:rPr>
            </w:pPr>
            <w:r>
              <w:rPr>
                <w:rFonts w:hint="eastAsia" w:ascii="宋体" w:hAnsi="宋体" w:cs="宋体"/>
                <w:color w:val="auto"/>
                <w:kern w:val="0"/>
                <w:szCs w:val="21"/>
              </w:rPr>
              <w:t>3、配手动液压泵1台，压力≥63MPa，使用温度-200～400℃；</w:t>
            </w:r>
          </w:p>
          <w:p w14:paraId="481F9876">
            <w:pPr>
              <w:snapToGrid w:val="0"/>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4、整套包含不少于孔径24mm自动注胶枪，手动液压泵，配套铁合金无火花材料制作的旋塞阀、角向接头、直向接头、螺栓孔注胶螺母接头、专用注胶螺栓、松锈剂、胶棒、ABS防爆塑料专用工具箱等26个配件。</w:t>
            </w:r>
          </w:p>
        </w:tc>
      </w:tr>
      <w:tr w14:paraId="135A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14:paraId="00BE426B">
            <w:pPr>
              <w:spacing w:line="360" w:lineRule="auto"/>
              <w:jc w:val="center"/>
              <w:rPr>
                <w:rFonts w:hint="default" w:ascii="宋体" w:hAnsi="宋体" w:cs="宋体"/>
                <w:color w:val="auto"/>
                <w:spacing w:val="-20"/>
                <w:szCs w:val="21"/>
                <w:lang w:val="en-US" w:eastAsia="zh-CN"/>
              </w:rPr>
            </w:pPr>
            <w:r>
              <w:rPr>
                <w:rFonts w:hint="eastAsia" w:ascii="宋体" w:hAnsi="宋体" w:cs="宋体"/>
                <w:color w:val="auto"/>
                <w:spacing w:val="-20"/>
                <w:szCs w:val="21"/>
                <w:lang w:val="en-US" w:eastAsia="zh-CN"/>
              </w:rPr>
              <w:t>27</w:t>
            </w:r>
          </w:p>
        </w:tc>
        <w:tc>
          <w:tcPr>
            <w:tcW w:w="0" w:type="auto"/>
            <w:shd w:val="clear" w:color="auto" w:fill="auto"/>
            <w:vAlign w:val="center"/>
          </w:tcPr>
          <w:p w14:paraId="03F3EC70">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无火花工具</w:t>
            </w:r>
          </w:p>
        </w:tc>
        <w:tc>
          <w:tcPr>
            <w:tcW w:w="0" w:type="auto"/>
            <w:shd w:val="clear" w:color="auto" w:fill="auto"/>
            <w:vAlign w:val="center"/>
          </w:tcPr>
          <w:p w14:paraId="4478F3FB">
            <w:pPr>
              <w:keepNext w:val="0"/>
              <w:keepLines w:val="0"/>
              <w:widowControl/>
              <w:suppressLineNumbers w:val="0"/>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shd w:val="clear" w:color="auto" w:fill="auto"/>
            <w:vAlign w:val="center"/>
          </w:tcPr>
          <w:p w14:paraId="7F141AD6">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7D04617B">
            <w:pPr>
              <w:snapToGrid w:val="0"/>
              <w:jc w:val="left"/>
              <w:rPr>
                <w:rFonts w:hint="eastAsia" w:ascii="宋体" w:hAnsi="宋体" w:cs="宋体"/>
                <w:color w:val="auto"/>
                <w:kern w:val="0"/>
                <w:szCs w:val="21"/>
              </w:rPr>
            </w:pPr>
            <w:r>
              <w:rPr>
                <w:rFonts w:hint="eastAsia" w:ascii="宋体" w:hAnsi="宋体" w:cs="宋体"/>
                <w:color w:val="auto"/>
                <w:kern w:val="0"/>
                <w:szCs w:val="21"/>
              </w:rPr>
              <w:t>1、主要用于易燃、易爆事故现场作业，在工作中不会产生火花；</w:t>
            </w:r>
          </w:p>
          <w:p w14:paraId="34FD3EA9">
            <w:pPr>
              <w:snapToGrid w:val="0"/>
              <w:jc w:val="left"/>
              <w:rPr>
                <w:rFonts w:hint="eastAsia" w:ascii="宋体" w:hAnsi="宋体" w:cs="宋体"/>
                <w:color w:val="auto"/>
                <w:kern w:val="0"/>
                <w:szCs w:val="21"/>
              </w:rPr>
            </w:pPr>
            <w:r>
              <w:rPr>
                <w:rFonts w:hint="eastAsia" w:ascii="宋体" w:hAnsi="宋体" w:cs="宋体"/>
                <w:color w:val="auto"/>
                <w:kern w:val="0"/>
                <w:szCs w:val="21"/>
              </w:rPr>
              <w:t>2、采用优质合金铝青铜材料制造，抗拉强度&gt;100Kgf/mm²,硬度 HRC≥30；</w:t>
            </w:r>
          </w:p>
          <w:p w14:paraId="0A5CFD83">
            <w:pPr>
              <w:snapToGrid w:val="0"/>
              <w:jc w:val="left"/>
              <w:rPr>
                <w:rFonts w:hint="eastAsia" w:ascii="宋体" w:hAnsi="宋体" w:cs="宋体"/>
                <w:color w:val="auto"/>
                <w:kern w:val="0"/>
                <w:szCs w:val="21"/>
              </w:rPr>
            </w:pPr>
            <w:r>
              <w:rPr>
                <w:rFonts w:hint="eastAsia" w:ascii="宋体" w:hAnsi="宋体" w:cs="宋体"/>
                <w:color w:val="auto"/>
                <w:kern w:val="0"/>
                <w:szCs w:val="21"/>
              </w:rPr>
              <w:t>3、工作时无火花、无磁性、耐腐蚀；</w:t>
            </w:r>
          </w:p>
          <w:p w14:paraId="5C729182">
            <w:pPr>
              <w:snapToGrid w:val="0"/>
              <w:jc w:val="left"/>
              <w:rPr>
                <w:rFonts w:hint="eastAsia" w:ascii="宋体" w:hAnsi="宋体" w:cs="宋体"/>
                <w:color w:val="auto"/>
                <w:kern w:val="0"/>
                <w:szCs w:val="21"/>
              </w:rPr>
            </w:pPr>
            <w:r>
              <w:rPr>
                <w:rFonts w:hint="eastAsia" w:ascii="宋体" w:hAnsi="宋体" w:cs="宋体"/>
                <w:color w:val="auto"/>
                <w:kern w:val="0"/>
                <w:szCs w:val="21"/>
              </w:rPr>
              <w:t>4、BeA-20C合金在含30%的氧或6.5-10%甲烷空氧中承受561IJ的 冲击能；</w:t>
            </w:r>
          </w:p>
          <w:p w14:paraId="22E947D9">
            <w:pPr>
              <w:snapToGrid w:val="0"/>
              <w:jc w:val="left"/>
              <w:rPr>
                <w:rFonts w:hint="eastAsia" w:ascii="宋体" w:hAnsi="宋体" w:cs="宋体"/>
                <w:color w:val="auto"/>
                <w:kern w:val="0"/>
                <w:szCs w:val="21"/>
              </w:rPr>
            </w:pPr>
            <w:r>
              <w:rPr>
                <w:rFonts w:hint="eastAsia" w:ascii="宋体" w:hAnsi="宋体" w:cs="宋体"/>
                <w:color w:val="auto"/>
                <w:kern w:val="0"/>
                <w:szCs w:val="21"/>
              </w:rPr>
              <w:t>5、冲击＞18 次，都未发生火花；</w:t>
            </w:r>
          </w:p>
          <w:p w14:paraId="451EBF94">
            <w:pPr>
              <w:snapToGrid w:val="0"/>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6、全套不少于21件：包含管钳、克丝钳、锤子、防爆铲、F型扳手、活动扳手、梅花扳手、开口扳手、螺丝刀、锯子、錾子等 ，配备铝合金工具箱包装。</w:t>
            </w:r>
          </w:p>
        </w:tc>
      </w:tr>
    </w:tbl>
    <w:p w14:paraId="7110E8B1">
      <w:pPr>
        <w:rPr>
          <w:rFonts w:hint="eastAsia" w:ascii="宋体" w:hAnsi="宋体" w:cs="宋体"/>
          <w:b/>
          <w:bCs/>
          <w:color w:val="auto"/>
          <w:szCs w:val="21"/>
        </w:rPr>
      </w:pPr>
    </w:p>
    <w:p w14:paraId="38C27612">
      <w:pPr>
        <w:rPr>
          <w:rFonts w:ascii="宋体" w:hAnsi="宋体" w:cs="宋体"/>
          <w:b/>
          <w:bCs/>
          <w:color w:val="auto"/>
          <w:szCs w:val="21"/>
        </w:rPr>
      </w:pPr>
      <w:r>
        <w:rPr>
          <w:rFonts w:hint="eastAsia" w:ascii="宋体" w:hAnsi="宋体" w:cs="宋体"/>
          <w:b/>
          <w:bCs/>
          <w:color w:val="auto"/>
          <w:szCs w:val="21"/>
        </w:rPr>
        <w:t>标项三：</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254"/>
        <w:gridCol w:w="641"/>
        <w:gridCol w:w="6053"/>
      </w:tblGrid>
      <w:tr w14:paraId="619B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7F143CF9">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序号</w:t>
            </w:r>
          </w:p>
        </w:tc>
        <w:tc>
          <w:tcPr>
            <w:tcW w:w="736" w:type="pct"/>
            <w:vAlign w:val="center"/>
          </w:tcPr>
          <w:p w14:paraId="60D75990">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货物名称</w:t>
            </w:r>
          </w:p>
        </w:tc>
        <w:tc>
          <w:tcPr>
            <w:tcW w:w="376" w:type="pct"/>
            <w:vAlign w:val="center"/>
          </w:tcPr>
          <w:p w14:paraId="7EB26AB4">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数量</w:t>
            </w:r>
          </w:p>
        </w:tc>
        <w:tc>
          <w:tcPr>
            <w:tcW w:w="3552" w:type="pct"/>
            <w:vAlign w:val="center"/>
          </w:tcPr>
          <w:p w14:paraId="405F230C">
            <w:pPr>
              <w:spacing w:line="360" w:lineRule="auto"/>
              <w:jc w:val="center"/>
              <w:rPr>
                <w:rFonts w:ascii="宋体" w:hAnsi="宋体" w:cs="宋体"/>
                <w:b/>
                <w:bCs/>
                <w:color w:val="auto"/>
                <w:szCs w:val="21"/>
              </w:rPr>
            </w:pPr>
            <w:r>
              <w:rPr>
                <w:rFonts w:hint="eastAsia" w:ascii="宋体" w:hAnsi="宋体" w:cs="宋体"/>
                <w:b/>
                <w:bCs/>
                <w:color w:val="auto"/>
                <w:szCs w:val="21"/>
              </w:rPr>
              <w:t>功能及技术参数等</w:t>
            </w:r>
          </w:p>
        </w:tc>
      </w:tr>
      <w:tr w14:paraId="3AA8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3A215092">
            <w:pPr>
              <w:spacing w:line="360" w:lineRule="auto"/>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1</w:t>
            </w:r>
          </w:p>
        </w:tc>
        <w:tc>
          <w:tcPr>
            <w:tcW w:w="736" w:type="pct"/>
            <w:vAlign w:val="center"/>
          </w:tcPr>
          <w:p w14:paraId="64767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auto"/>
                <w:szCs w:val="21"/>
              </w:rPr>
              <w:t>●</w:t>
            </w:r>
            <w:r>
              <w:rPr>
                <w:rFonts w:hint="eastAsia" w:ascii="宋体" w:hAnsi="宋体" w:eastAsia="宋体" w:cs="宋体"/>
                <w:i w:val="0"/>
                <w:iCs w:val="0"/>
                <w:color w:val="000000"/>
                <w:kern w:val="0"/>
                <w:sz w:val="21"/>
                <w:szCs w:val="21"/>
                <w:u w:val="none"/>
                <w:lang w:val="en-US" w:eastAsia="zh-CN" w:bidi="ar"/>
              </w:rPr>
              <w:t>橡皮艇≥8人（不配舷外机）</w:t>
            </w:r>
          </w:p>
        </w:tc>
        <w:tc>
          <w:tcPr>
            <w:tcW w:w="376" w:type="pct"/>
            <w:vAlign w:val="center"/>
          </w:tcPr>
          <w:p w14:paraId="15BE88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552" w:type="pct"/>
            <w:vAlign w:val="center"/>
          </w:tcPr>
          <w:p w14:paraId="1C344D12">
            <w:pPr>
              <w:widowControl/>
              <w:jc w:val="left"/>
              <w:textAlignment w:val="center"/>
              <w:rPr>
                <w:rFonts w:hint="eastAsia" w:ascii="宋体" w:hAnsi="宋体" w:cs="宋体"/>
                <w:color w:val="auto"/>
                <w:szCs w:val="21"/>
                <w:highlight w:val="none"/>
              </w:rPr>
            </w:pPr>
            <w:r>
              <w:rPr>
                <w:rFonts w:hint="eastAsia" w:ascii="宋体" w:hAnsi="宋体" w:cs="宋体"/>
                <w:color w:val="auto"/>
              </w:rPr>
              <w:t>★</w:t>
            </w:r>
            <w:r>
              <w:rPr>
                <w:rFonts w:hint="eastAsia" w:ascii="宋体" w:hAnsi="宋体" w:cs="宋体"/>
                <w:color w:val="auto"/>
                <w:szCs w:val="21"/>
                <w:highlight w:val="none"/>
              </w:rPr>
              <w:t>提供国家认证认可检测机构出具的与所投产品型号一致、完整有效的检验检测报告。</w:t>
            </w:r>
          </w:p>
          <w:p w14:paraId="7D9B042F">
            <w:pPr>
              <w:widowControl/>
              <w:jc w:val="left"/>
              <w:textAlignment w:val="center"/>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szCs w:val="21"/>
                <w:highlight w:val="none"/>
              </w:rPr>
              <w:t>1、应为本质防腐材料，具备较强耐磨、防撞、抗老化性能。船体材料撕裂强力≥75N，粘合强度≥40N/25mm，在—20℃~60℃工作温度范围内，保持其全</w:t>
            </w:r>
            <w:r>
              <w:rPr>
                <w:rFonts w:hint="eastAsia" w:ascii="宋体" w:hAnsi="宋体" w:cs="宋体"/>
                <w:color w:val="auto"/>
                <w:szCs w:val="21"/>
              </w:rPr>
              <w:t>部的使用性能；</w:t>
            </w:r>
          </w:p>
          <w:p w14:paraId="1CE42B2E">
            <w:pPr>
              <w:widowControl/>
              <w:jc w:val="left"/>
              <w:textAlignment w:val="center"/>
              <w:rPr>
                <w:rFonts w:hint="eastAsia" w:ascii="宋体" w:hAnsi="宋体" w:cs="宋体"/>
                <w:color w:val="auto"/>
                <w:szCs w:val="21"/>
              </w:rPr>
            </w:pPr>
            <w:r>
              <w:rPr>
                <w:rFonts w:hint="eastAsia" w:ascii="宋体" w:hAnsi="宋体" w:cs="宋体"/>
                <w:color w:val="auto"/>
                <w:szCs w:val="21"/>
              </w:rPr>
              <w:t>2、气囊数为≥7个；且均应设置安全阀”,一体化M型船底，充气拉丝地板（地板做成防滑措施）；</w:t>
            </w:r>
          </w:p>
          <w:p w14:paraId="619BDFB6">
            <w:pPr>
              <w:widowControl/>
              <w:jc w:val="left"/>
              <w:textAlignment w:val="center"/>
              <w:rPr>
                <w:rFonts w:hint="eastAsia" w:ascii="宋体" w:hAnsi="宋体" w:cs="宋体"/>
                <w:color w:val="auto"/>
                <w:szCs w:val="21"/>
              </w:rPr>
            </w:pPr>
            <w:r>
              <w:rPr>
                <w:rFonts w:hint="eastAsia" w:ascii="宋体" w:hAnsi="宋体" w:cs="宋体"/>
                <w:color w:val="auto"/>
                <w:szCs w:val="21"/>
              </w:rPr>
              <w:t>3、宜采用充气式底板；艇身设有360度防撞弦，防撞弦以下部位采用耐磨材料或加装耐磨层；</w:t>
            </w:r>
          </w:p>
          <w:p w14:paraId="0E590327">
            <w:pPr>
              <w:widowControl/>
              <w:jc w:val="left"/>
              <w:textAlignment w:val="center"/>
              <w:rPr>
                <w:rFonts w:hint="eastAsia" w:ascii="宋体" w:hAnsi="宋体" w:cs="宋体"/>
                <w:color w:val="auto"/>
                <w:szCs w:val="21"/>
              </w:rPr>
            </w:pPr>
            <w:r>
              <w:rPr>
                <w:rFonts w:hint="eastAsia" w:ascii="宋体" w:hAnsi="宋体" w:cs="宋体"/>
                <w:color w:val="auto"/>
                <w:szCs w:val="21"/>
              </w:rPr>
              <w:t>4、船艉板应设置有2个单向止回功能的泄水孔；</w:t>
            </w:r>
          </w:p>
          <w:p w14:paraId="0B538C53">
            <w:pPr>
              <w:widowControl/>
              <w:jc w:val="left"/>
              <w:textAlignment w:val="center"/>
              <w:rPr>
                <w:rFonts w:hint="eastAsia" w:ascii="宋体" w:hAnsi="宋体" w:cs="宋体"/>
                <w:color w:val="auto"/>
                <w:szCs w:val="21"/>
              </w:rPr>
            </w:pPr>
            <w:r>
              <w:rPr>
                <w:rFonts w:hint="eastAsia" w:ascii="宋体" w:hAnsi="宋体" w:cs="宋体"/>
                <w:color w:val="auto"/>
                <w:szCs w:val="21"/>
              </w:rPr>
              <w:t>5、船艉板应设置舷外机挂架护板，船艉板应有舷外机、油箱和拖船固定装置。船艇两侧应设有反光条；</w:t>
            </w:r>
          </w:p>
          <w:p w14:paraId="4BCD247B">
            <w:pPr>
              <w:widowControl/>
              <w:jc w:val="left"/>
              <w:textAlignment w:val="center"/>
              <w:rPr>
                <w:rFonts w:hint="eastAsia" w:ascii="宋体" w:hAnsi="宋体" w:cs="宋体"/>
                <w:color w:val="auto"/>
                <w:szCs w:val="21"/>
              </w:rPr>
            </w:pPr>
            <w:r>
              <w:rPr>
                <w:rFonts w:hint="eastAsia" w:ascii="宋体" w:hAnsi="宋体" w:cs="宋体"/>
                <w:color w:val="auto"/>
                <w:szCs w:val="21"/>
              </w:rPr>
              <w:t>6、船身周围配有安全索，船艏应设置拖曳装置，艇的内外设置金属环≥10个；</w:t>
            </w:r>
          </w:p>
          <w:p w14:paraId="4B9B6A59">
            <w:pPr>
              <w:widowControl/>
              <w:jc w:val="left"/>
              <w:textAlignment w:val="center"/>
              <w:rPr>
                <w:rFonts w:hint="eastAsia" w:ascii="宋体" w:hAnsi="宋体" w:cs="宋体"/>
                <w:color w:val="auto"/>
                <w:szCs w:val="21"/>
              </w:rPr>
            </w:pPr>
            <w:r>
              <w:rPr>
                <w:rFonts w:hint="eastAsia" w:ascii="宋体" w:hAnsi="宋体" w:cs="宋体"/>
                <w:color w:val="auto"/>
                <w:szCs w:val="21"/>
              </w:rPr>
              <w:t>7、船艇静态稳定性应≤20°；船艇干舷高度≥300mm；船艇空载航速应≥30km/h；船艇半载最大航速时转弯直径应≤2倍船长；</w:t>
            </w:r>
          </w:p>
          <w:p w14:paraId="08B6E4F4">
            <w:pPr>
              <w:widowControl/>
              <w:jc w:val="left"/>
              <w:textAlignment w:val="center"/>
              <w:rPr>
                <w:rFonts w:hint="eastAsia" w:ascii="宋体" w:hAnsi="宋体" w:cs="宋体"/>
                <w:color w:val="auto"/>
                <w:szCs w:val="21"/>
              </w:rPr>
            </w:pPr>
            <w:r>
              <w:rPr>
                <w:rFonts w:hint="eastAsia" w:ascii="宋体" w:hAnsi="宋体" w:cs="宋体"/>
                <w:color w:val="auto"/>
                <w:szCs w:val="21"/>
              </w:rPr>
              <w:t>8、配备船桨≥4个，舟艇维修工具包1个，内含船艇修补工具、气瓶充气转换接头、充气压力显示表等；</w:t>
            </w:r>
          </w:p>
          <w:p w14:paraId="6DA92129">
            <w:pPr>
              <w:widowControl/>
              <w:jc w:val="left"/>
              <w:textAlignment w:val="center"/>
              <w:rPr>
                <w:rFonts w:hint="eastAsia" w:ascii="宋体" w:hAnsi="宋体" w:cs="宋体"/>
                <w:color w:val="auto"/>
                <w:szCs w:val="21"/>
              </w:rPr>
            </w:pPr>
            <w:r>
              <w:rPr>
                <w:rFonts w:hint="eastAsia" w:ascii="宋体" w:hAnsi="宋体" w:cs="宋体"/>
                <w:color w:val="auto"/>
                <w:szCs w:val="21"/>
              </w:rPr>
              <w:t>9、艇长在在415-425CM之间。</w:t>
            </w:r>
          </w:p>
        </w:tc>
      </w:tr>
      <w:tr w14:paraId="40D0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1E72237B">
            <w:pPr>
              <w:spacing w:line="360" w:lineRule="auto"/>
              <w:jc w:val="center"/>
              <w:rPr>
                <w:rFonts w:hint="eastAsia" w:ascii="宋体" w:hAnsi="宋体" w:eastAsia="宋体" w:cs="宋体"/>
                <w:color w:val="auto"/>
                <w:spacing w:val="-20"/>
                <w:szCs w:val="21"/>
                <w:lang w:eastAsia="zh-CN"/>
              </w:rPr>
            </w:pPr>
            <w:r>
              <w:rPr>
                <w:rFonts w:hint="eastAsia" w:ascii="宋体" w:hAnsi="宋体" w:cs="宋体"/>
                <w:color w:val="auto"/>
                <w:spacing w:val="-20"/>
                <w:szCs w:val="21"/>
                <w:lang w:val="en-US" w:eastAsia="zh-CN"/>
              </w:rPr>
              <w:t>2</w:t>
            </w:r>
          </w:p>
        </w:tc>
        <w:tc>
          <w:tcPr>
            <w:tcW w:w="736" w:type="pct"/>
            <w:vAlign w:val="center"/>
          </w:tcPr>
          <w:p w14:paraId="6F712788">
            <w:pPr>
              <w:keepNext w:val="0"/>
              <w:keepLines w:val="0"/>
              <w:widowControl/>
              <w:suppressLineNumbers w:val="0"/>
              <w:jc w:val="center"/>
              <w:textAlignment w:val="center"/>
              <w:rPr>
                <w:rFonts w:hint="eastAsia" w:ascii="宋体" w:hAnsi="宋体" w:eastAsia="宋体" w:cs="宋体"/>
                <w:color w:val="auto"/>
                <w:spacing w:val="-20"/>
                <w:sz w:val="21"/>
                <w:szCs w:val="21"/>
              </w:rPr>
            </w:pPr>
            <w:r>
              <w:rPr>
                <w:rFonts w:hint="eastAsia" w:ascii="宋体" w:hAnsi="宋体" w:eastAsia="宋体" w:cs="宋体"/>
                <w:i w:val="0"/>
                <w:iCs w:val="0"/>
                <w:color w:val="000000"/>
                <w:kern w:val="0"/>
                <w:sz w:val="21"/>
                <w:szCs w:val="21"/>
                <w:u w:val="none"/>
                <w:lang w:val="en-US" w:eastAsia="zh-CN" w:bidi="ar"/>
              </w:rPr>
              <w:t>橡皮艇≥6人（不配舷外机）</w:t>
            </w:r>
          </w:p>
        </w:tc>
        <w:tc>
          <w:tcPr>
            <w:tcW w:w="376" w:type="pct"/>
            <w:vAlign w:val="center"/>
          </w:tcPr>
          <w:p w14:paraId="2E7FF6C8">
            <w:pPr>
              <w:keepNext w:val="0"/>
              <w:keepLines w:val="0"/>
              <w:widowControl/>
              <w:suppressLineNumbers w:val="0"/>
              <w:jc w:val="center"/>
              <w:textAlignment w:val="center"/>
              <w:rPr>
                <w:rFonts w:hint="eastAsia" w:ascii="宋体" w:hAnsi="宋体" w:eastAsia="宋体" w:cs="宋体"/>
                <w:b/>
                <w:bCs/>
                <w:color w:val="auto"/>
                <w:spacing w:val="-2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3552" w:type="pct"/>
            <w:vAlign w:val="center"/>
          </w:tcPr>
          <w:p w14:paraId="628CA638">
            <w:pPr>
              <w:widowControl/>
              <w:jc w:val="left"/>
              <w:textAlignment w:val="center"/>
              <w:rPr>
                <w:rFonts w:hint="eastAsia" w:ascii="宋体" w:hAnsi="宋体" w:cs="宋体"/>
                <w:color w:val="auto"/>
                <w:szCs w:val="21"/>
                <w:highlight w:val="none"/>
              </w:rPr>
            </w:pPr>
            <w:r>
              <w:rPr>
                <w:rFonts w:hint="eastAsia" w:ascii="宋体" w:hAnsi="宋体" w:cs="宋体"/>
                <w:color w:val="auto"/>
              </w:rPr>
              <w:t>★</w:t>
            </w:r>
            <w:r>
              <w:rPr>
                <w:rFonts w:hint="eastAsia" w:ascii="宋体" w:hAnsi="宋体" w:cs="宋体"/>
                <w:color w:val="auto"/>
                <w:szCs w:val="21"/>
                <w:highlight w:val="none"/>
              </w:rPr>
              <w:t>提供国家认证认可检测机构出具的与所投产品型号一致、完整有效的检验检测报告。</w:t>
            </w:r>
          </w:p>
          <w:p w14:paraId="40F7F545">
            <w:pPr>
              <w:widowControl/>
              <w:jc w:val="left"/>
              <w:textAlignment w:val="center"/>
              <w:rPr>
                <w:rFonts w:hint="eastAsia" w:ascii="宋体" w:hAnsi="宋体" w:cs="宋体"/>
                <w:color w:val="auto"/>
                <w:szCs w:val="21"/>
                <w:highlight w:val="none"/>
              </w:rPr>
            </w:pPr>
            <w:r>
              <w:rPr>
                <w:rFonts w:hint="eastAsia" w:ascii="宋体" w:hAnsi="宋体" w:cs="宋体"/>
                <w:color w:val="auto"/>
              </w:rPr>
              <w:t>★</w:t>
            </w:r>
            <w:r>
              <w:rPr>
                <w:rFonts w:hint="eastAsia" w:ascii="宋体" w:hAnsi="宋体" w:cs="宋体"/>
                <w:color w:val="auto"/>
                <w:szCs w:val="21"/>
                <w:highlight w:val="none"/>
              </w:rPr>
              <w:t>1、应为本质防腐材料，具备较强耐磨、防撞、抗老化性能。船体材料撕裂强力≥75N，粘合强度≥40N/25mm，在-20℃~60℃工作温度范围内，保持其全部的使用性能；</w:t>
            </w:r>
          </w:p>
          <w:p w14:paraId="6D3A6E1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2、宜采用充气式底板；艇身设有360度防撞弦，防撞弦以下部位采用耐磨材料或加装耐磨层；</w:t>
            </w:r>
          </w:p>
          <w:p w14:paraId="41C0CAB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3、船艉板应设置有2个单向止回功能的泄水孔；</w:t>
            </w:r>
          </w:p>
          <w:p w14:paraId="62F7723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4、船艉板应设置舷外机挂架护板，船艉板应有舷外机、油箱和拖船固定装置。船艇两侧应设有反光条；</w:t>
            </w:r>
          </w:p>
          <w:p w14:paraId="1224844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5、船身周围配有安全索，船艏应设置拖曳装置，艇的内外设置金属环≥10个；</w:t>
            </w:r>
          </w:p>
          <w:p w14:paraId="5196B7F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6、船艇静态稳定性应≤20°；船艇干舷高度≥300mm；船艇空载航速应≥30km/h；船艇半载最大航速时转弯直径应≤2倍船长；</w:t>
            </w:r>
          </w:p>
          <w:p w14:paraId="002B885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7、配备船桨≥4个，舟艇维修工具包1个，内含船艇修补工具、气瓶充气转换接头、充气压力显示表等；</w:t>
            </w:r>
          </w:p>
          <w:p w14:paraId="580CC52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8、艇长在在380-390CM之间。</w:t>
            </w:r>
          </w:p>
        </w:tc>
      </w:tr>
      <w:tr w14:paraId="5E30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2DEA1A7F">
            <w:pPr>
              <w:spacing w:line="360" w:lineRule="auto"/>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3</w:t>
            </w:r>
          </w:p>
        </w:tc>
        <w:tc>
          <w:tcPr>
            <w:tcW w:w="736" w:type="pct"/>
            <w:vAlign w:val="center"/>
          </w:tcPr>
          <w:p w14:paraId="4E1D912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螺旋桨式舷外机≥30马力（短轴）</w:t>
            </w:r>
          </w:p>
        </w:tc>
        <w:tc>
          <w:tcPr>
            <w:tcW w:w="376" w:type="pct"/>
            <w:vAlign w:val="center"/>
          </w:tcPr>
          <w:p w14:paraId="464EA442">
            <w:pPr>
              <w:keepNext w:val="0"/>
              <w:keepLines w:val="0"/>
              <w:widowControl/>
              <w:suppressLineNumbers w:val="0"/>
              <w:jc w:val="center"/>
              <w:textAlignment w:val="center"/>
              <w:rPr>
                <w:rFonts w:hint="eastAsia" w:ascii="宋体" w:hAnsi="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552" w:type="pct"/>
            <w:vAlign w:val="center"/>
          </w:tcPr>
          <w:p w14:paraId="5562DA15">
            <w:pPr>
              <w:pStyle w:val="12"/>
              <w:rPr>
                <w:rFonts w:hint="eastAsia"/>
              </w:rPr>
            </w:pPr>
            <w:r>
              <w:rPr>
                <w:rFonts w:hint="eastAsia" w:ascii="宋体" w:hAnsi="宋体" w:cs="宋体"/>
                <w:color w:val="auto"/>
              </w:rPr>
              <w:t>★</w:t>
            </w:r>
            <w:r>
              <w:rPr>
                <w:rFonts w:hint="eastAsia" w:ascii="宋体" w:hAnsi="宋体" w:cs="宋体"/>
                <w:color w:val="auto"/>
                <w:szCs w:val="21"/>
                <w:highlight w:val="none"/>
              </w:rPr>
              <w:t>投标文件中</w:t>
            </w:r>
            <w:r>
              <w:rPr>
                <w:rFonts w:hint="eastAsia" w:ascii="宋体" w:hAnsi="宋体" w:cs="宋体"/>
                <w:color w:val="auto"/>
                <w:kern w:val="0"/>
                <w:szCs w:val="21"/>
                <w:highlight w:val="none"/>
              </w:rPr>
              <w:t>提供国家认证认可检测机构出具的</w:t>
            </w:r>
            <w:r>
              <w:rPr>
                <w:rFonts w:hint="eastAsia" w:ascii="宋体" w:hAnsi="宋体" w:cs="宋体"/>
                <w:color w:val="auto"/>
                <w:szCs w:val="21"/>
                <w:highlight w:val="none"/>
              </w:rPr>
              <w:t>与所投产品型号一致、完整有效的检验检测报告。</w:t>
            </w:r>
          </w:p>
          <w:p w14:paraId="28E5A82B">
            <w:pPr>
              <w:widowControl/>
              <w:jc w:val="left"/>
              <w:textAlignment w:val="center"/>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szCs w:val="21"/>
              </w:rPr>
              <w:t>1、应配备2冲程/2缸舷外机，舷外机功率应≥30匹，且不超过船艇标识的最大适配功率，油箱≥24L，燃料为汽油；</w:t>
            </w:r>
          </w:p>
          <w:p w14:paraId="4B7675B1">
            <w:pPr>
              <w:widowControl/>
              <w:jc w:val="left"/>
              <w:textAlignment w:val="center"/>
              <w:rPr>
                <w:rFonts w:hint="eastAsia" w:ascii="宋体" w:hAnsi="宋体" w:cs="宋体"/>
                <w:color w:val="auto"/>
                <w:szCs w:val="21"/>
              </w:rPr>
            </w:pPr>
            <w:r>
              <w:rPr>
                <w:rFonts w:hint="eastAsia" w:ascii="宋体" w:hAnsi="宋体" w:cs="宋体"/>
                <w:color w:val="auto"/>
                <w:szCs w:val="21"/>
              </w:rPr>
              <w:t>2、舷外机需要安装防护罩，并配备备用油箱1个、备用油管1根和维修工具包1个，内含螺丝刀、钳子、火花塞套筒、火花塞扳手、火花塞、打火绳等。</w:t>
            </w:r>
          </w:p>
        </w:tc>
      </w:tr>
      <w:tr w14:paraId="3880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0E351A6D">
            <w:pPr>
              <w:spacing w:line="360" w:lineRule="auto"/>
              <w:jc w:val="center"/>
              <w:rPr>
                <w:rFonts w:hint="eastAsia" w:ascii="宋体" w:hAnsi="宋体" w:eastAsia="宋体" w:cs="宋体"/>
                <w:color w:val="auto"/>
                <w:spacing w:val="-20"/>
                <w:szCs w:val="21"/>
                <w:lang w:val="en-US" w:eastAsia="zh-CN"/>
              </w:rPr>
            </w:pPr>
            <w:r>
              <w:rPr>
                <w:rFonts w:hint="eastAsia" w:ascii="宋体" w:hAnsi="宋体" w:cs="宋体"/>
                <w:color w:val="auto"/>
                <w:spacing w:val="-20"/>
                <w:szCs w:val="21"/>
                <w:lang w:val="en-US" w:eastAsia="zh-CN"/>
              </w:rPr>
              <w:t>4</w:t>
            </w:r>
          </w:p>
        </w:tc>
        <w:tc>
          <w:tcPr>
            <w:tcW w:w="736" w:type="pct"/>
            <w:vAlign w:val="center"/>
          </w:tcPr>
          <w:p w14:paraId="65D0208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螺旋桨式舷外机≥40马力（短轴）</w:t>
            </w:r>
          </w:p>
        </w:tc>
        <w:tc>
          <w:tcPr>
            <w:tcW w:w="376" w:type="pct"/>
            <w:vAlign w:val="center"/>
          </w:tcPr>
          <w:p w14:paraId="182FFE7E">
            <w:pPr>
              <w:keepNext w:val="0"/>
              <w:keepLines w:val="0"/>
              <w:widowControl/>
              <w:suppressLineNumbers w:val="0"/>
              <w:jc w:val="center"/>
              <w:textAlignment w:val="center"/>
              <w:rPr>
                <w:rFonts w:hint="eastAsia" w:ascii="宋体" w:hAnsi="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3552" w:type="pct"/>
            <w:vAlign w:val="center"/>
          </w:tcPr>
          <w:p w14:paraId="0C198AC5">
            <w:pPr>
              <w:pStyle w:val="12"/>
              <w:rPr>
                <w:rFonts w:hint="eastAsia" w:ascii="宋体" w:hAnsi="宋体" w:cs="宋体"/>
                <w:color w:val="auto"/>
                <w:szCs w:val="21"/>
                <w:highlight w:val="none"/>
              </w:rPr>
            </w:pPr>
            <w:r>
              <w:rPr>
                <w:rFonts w:hint="eastAsia" w:ascii="宋体" w:hAnsi="宋体" w:cs="宋体"/>
                <w:color w:val="auto"/>
              </w:rPr>
              <w:t>★</w:t>
            </w:r>
            <w:r>
              <w:rPr>
                <w:rFonts w:hint="eastAsia" w:ascii="宋体" w:hAnsi="宋体" w:cs="宋体"/>
                <w:color w:val="auto"/>
                <w:szCs w:val="21"/>
                <w:highlight w:val="none"/>
              </w:rPr>
              <w:t>投标文件中</w:t>
            </w:r>
            <w:r>
              <w:rPr>
                <w:rFonts w:hint="eastAsia" w:ascii="宋体" w:hAnsi="宋体" w:cs="宋体"/>
                <w:color w:val="auto"/>
                <w:kern w:val="0"/>
                <w:szCs w:val="21"/>
                <w:highlight w:val="none"/>
              </w:rPr>
              <w:t>提供国家认证认可检测机构出具的</w:t>
            </w:r>
            <w:r>
              <w:rPr>
                <w:rFonts w:hint="eastAsia" w:ascii="宋体" w:hAnsi="宋体" w:cs="宋体"/>
                <w:color w:val="auto"/>
                <w:szCs w:val="21"/>
                <w:highlight w:val="none"/>
              </w:rPr>
              <w:t>与所投产品型号一致、完整有效的检验检测报告。</w:t>
            </w:r>
          </w:p>
          <w:p w14:paraId="0CD0A72E">
            <w:pPr>
              <w:widowControl/>
              <w:jc w:val="left"/>
              <w:textAlignment w:val="center"/>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szCs w:val="21"/>
              </w:rPr>
              <w:t>1、应配备2冲程/2缸舷外机，舷外机功率应≥40匹，且不超过船艇标识的最大适配功率，油箱≥24L，燃料为汽油；</w:t>
            </w:r>
          </w:p>
          <w:p w14:paraId="3EC0D7B5">
            <w:pPr>
              <w:widowControl/>
              <w:jc w:val="left"/>
              <w:textAlignment w:val="center"/>
              <w:rPr>
                <w:rFonts w:hint="eastAsia" w:ascii="宋体" w:hAnsi="宋体" w:cs="宋体"/>
                <w:color w:val="auto"/>
                <w:szCs w:val="21"/>
              </w:rPr>
            </w:pPr>
            <w:r>
              <w:rPr>
                <w:rFonts w:hint="eastAsia" w:ascii="宋体" w:hAnsi="宋体" w:cs="宋体"/>
                <w:color w:val="auto"/>
                <w:szCs w:val="21"/>
              </w:rPr>
              <w:t>2、舷外机需要安装防护罩，并配备备用油箱1个、备用油管1根和维修工具包1个，内含螺丝刀、钳子、火花塞套筒、火花塞扳手、火花塞、打火绳等。</w:t>
            </w:r>
          </w:p>
        </w:tc>
      </w:tr>
      <w:tr w14:paraId="5695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35F20393">
            <w:pPr>
              <w:spacing w:line="360" w:lineRule="auto"/>
              <w:jc w:val="center"/>
              <w:rPr>
                <w:rFonts w:hint="default" w:ascii="宋体" w:hAnsi="宋体" w:cs="宋体"/>
                <w:color w:val="auto"/>
                <w:spacing w:val="-20"/>
                <w:szCs w:val="21"/>
                <w:lang w:val="en-US" w:eastAsia="zh-CN"/>
              </w:rPr>
            </w:pPr>
            <w:r>
              <w:rPr>
                <w:rFonts w:hint="eastAsia" w:ascii="宋体" w:hAnsi="宋体" w:cs="宋体"/>
                <w:color w:val="auto"/>
                <w:spacing w:val="-20"/>
                <w:szCs w:val="21"/>
                <w:lang w:val="en-US" w:eastAsia="zh-CN"/>
              </w:rPr>
              <w:t>5</w:t>
            </w:r>
          </w:p>
        </w:tc>
        <w:tc>
          <w:tcPr>
            <w:tcW w:w="736" w:type="pct"/>
            <w:shd w:val="clear" w:color="auto" w:fill="auto"/>
            <w:vAlign w:val="center"/>
          </w:tcPr>
          <w:p w14:paraId="0C812D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w:t>
            </w:r>
            <w:r>
              <w:rPr>
                <w:rFonts w:hint="eastAsia" w:ascii="宋体" w:hAnsi="宋体" w:eastAsia="宋体" w:cs="宋体"/>
                <w:i w:val="0"/>
                <w:iCs w:val="0"/>
                <w:color w:val="000000"/>
                <w:kern w:val="0"/>
                <w:sz w:val="21"/>
                <w:szCs w:val="21"/>
                <w:u w:val="none"/>
                <w:lang w:val="en-US" w:eastAsia="zh-CN" w:bidi="ar"/>
              </w:rPr>
              <w:t>域救援个人携行包</w:t>
            </w:r>
          </w:p>
        </w:tc>
        <w:tc>
          <w:tcPr>
            <w:tcW w:w="376" w:type="pct"/>
            <w:shd w:val="clear" w:color="auto" w:fill="auto"/>
            <w:vAlign w:val="center"/>
          </w:tcPr>
          <w:p w14:paraId="614C70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3552" w:type="pct"/>
            <w:shd w:val="clear" w:color="auto" w:fill="auto"/>
            <w:vAlign w:val="center"/>
          </w:tcPr>
          <w:p w14:paraId="769ED3A8">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0ED0C9FB">
            <w:pPr>
              <w:snapToGrid w:val="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1、采用耐磨PVC网布，可渗水；</w:t>
            </w:r>
          </w:p>
          <w:p w14:paraId="55221818">
            <w:pPr>
              <w:snapToGrid w:val="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2、容量≥65L。内设防水小袋A4大小；</w:t>
            </w:r>
          </w:p>
          <w:p w14:paraId="5A458A61">
            <w:pPr>
              <w:snapToGrid w:val="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3、另附件2L防水小包1个，用于存储电池、电台等设备；</w:t>
            </w:r>
          </w:p>
          <w:p w14:paraId="7FD20603">
            <w:pPr>
              <w:snapToGrid w:val="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4、主色调颜色为红色或橙色，肩带及醒目位置设置反光带；</w:t>
            </w:r>
          </w:p>
          <w:p w14:paraId="2C6DC4D9">
            <w:pPr>
              <w:snapToGrid w:val="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5、背包形式可拉杆可背负，两端有手柄，包外挂点≥3个；</w:t>
            </w:r>
          </w:p>
          <w:p w14:paraId="2A37AD8E">
            <w:pPr>
              <w:snapToGrid w:val="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6、提供统一印字或魔术贴粘贴服务。</w:t>
            </w:r>
          </w:p>
        </w:tc>
      </w:tr>
      <w:tr w14:paraId="7C2C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49AC2E10">
            <w:pPr>
              <w:spacing w:line="360" w:lineRule="auto"/>
              <w:jc w:val="center"/>
              <w:rPr>
                <w:rFonts w:hint="default" w:ascii="宋体" w:hAnsi="宋体" w:cs="宋体"/>
                <w:color w:val="auto"/>
                <w:spacing w:val="-20"/>
                <w:szCs w:val="21"/>
                <w:lang w:val="en-US" w:eastAsia="zh-CN"/>
              </w:rPr>
            </w:pPr>
            <w:r>
              <w:rPr>
                <w:rFonts w:hint="eastAsia" w:ascii="宋体" w:hAnsi="宋体" w:cs="宋体"/>
                <w:color w:val="auto"/>
                <w:spacing w:val="-20"/>
                <w:szCs w:val="21"/>
                <w:lang w:val="en-US" w:eastAsia="zh-CN"/>
              </w:rPr>
              <w:t>6</w:t>
            </w:r>
          </w:p>
        </w:tc>
        <w:tc>
          <w:tcPr>
            <w:tcW w:w="736" w:type="pct"/>
            <w:shd w:val="clear" w:color="auto" w:fill="auto"/>
            <w:vAlign w:val="center"/>
          </w:tcPr>
          <w:p w14:paraId="4447FB1B">
            <w:pPr>
              <w:keepNext w:val="0"/>
              <w:keepLines w:val="0"/>
              <w:widowControl/>
              <w:suppressLineNumbers w:val="0"/>
              <w:jc w:val="center"/>
              <w:textAlignment w:val="center"/>
              <w:rPr>
                <w:rFonts w:hint="eastAsia" w:ascii="宋体" w:hAnsi="宋体" w:eastAsia="宋体" w:cs="宋体"/>
                <w:color w:val="auto"/>
                <w:spacing w:val="-2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消防用救生衣</w:t>
            </w:r>
          </w:p>
        </w:tc>
        <w:tc>
          <w:tcPr>
            <w:tcW w:w="376" w:type="pct"/>
            <w:shd w:val="clear" w:color="auto" w:fill="auto"/>
            <w:vAlign w:val="center"/>
          </w:tcPr>
          <w:p w14:paraId="63FF4B78">
            <w:pPr>
              <w:keepNext w:val="0"/>
              <w:keepLines w:val="0"/>
              <w:widowControl/>
              <w:suppressLineNumbers w:val="0"/>
              <w:jc w:val="center"/>
              <w:textAlignment w:val="center"/>
              <w:rPr>
                <w:rFonts w:hint="eastAsia" w:ascii="宋体" w:hAnsi="宋体" w:eastAsia="宋体" w:cs="宋体"/>
                <w:b/>
                <w:bCs/>
                <w:color w:val="auto"/>
                <w:spacing w:val="-2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3552" w:type="pct"/>
            <w:shd w:val="clear" w:color="auto" w:fill="auto"/>
            <w:vAlign w:val="center"/>
          </w:tcPr>
          <w:p w14:paraId="06C48148">
            <w:pPr>
              <w:rPr>
                <w:highlight w:val="none"/>
              </w:rPr>
            </w:pPr>
            <w:r>
              <w:rPr>
                <w:rFonts w:hint="eastAsia" w:ascii="宋体" w:hAnsi="宋体" w:cs="宋体"/>
                <w:color w:val="auto"/>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总体符合GB/T 36508-2018标准，</w:t>
            </w:r>
            <w:r>
              <w:rPr>
                <w:highlight w:val="none"/>
              </w:rPr>
              <w:t>投标文件中</w:t>
            </w:r>
            <w:r>
              <w:rPr>
                <w:rFonts w:hint="eastAsia" w:ascii="宋体" w:hAnsi="宋体" w:cs="宋体"/>
                <w:color w:val="auto"/>
                <w:kern w:val="0"/>
                <w:szCs w:val="21"/>
                <w:highlight w:val="none"/>
              </w:rPr>
              <w:t>提供国家认证认可检测机构出具的</w:t>
            </w:r>
            <w:r>
              <w:rPr>
                <w:highlight w:val="none"/>
              </w:rPr>
              <w:t>与所投产品型号一致、完整有效的检验检测报告。出具报告的检验检测机构应取得依据</w:t>
            </w:r>
            <w:r>
              <w:rPr>
                <w:rFonts w:hint="eastAsia"/>
                <w:highlight w:val="none"/>
              </w:rPr>
              <w:t>GB/T 36508-2018</w:t>
            </w:r>
            <w:r>
              <w:rPr>
                <w:highlight w:val="none"/>
              </w:rPr>
              <w:t>的检验资质（检测报告上体现CMA以及引用标准），否则认为该检测报告无效，不得分。</w:t>
            </w:r>
          </w:p>
          <w:p w14:paraId="29F4898D">
            <w:pPr>
              <w:snapToGrid w:val="0"/>
              <w:jc w:val="left"/>
              <w:rPr>
                <w:rFonts w:hint="eastAsia" w:ascii="宋体" w:hAnsi="宋体" w:cs="宋体"/>
                <w:color w:val="auto"/>
                <w:kern w:val="0"/>
                <w:szCs w:val="21"/>
                <w:highlight w:val="none"/>
              </w:rPr>
            </w:pPr>
            <w:r>
              <w:rPr>
                <w:rFonts w:hint="eastAsia" w:ascii="宋体" w:hAnsi="宋体" w:cs="宋体"/>
                <w:color w:val="auto"/>
              </w:rPr>
              <w:t>★</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采用固有浮力材料与充气气囊复合配置浮力的方式，固有浮力≥75N，总浮力≥150N；</w:t>
            </w:r>
          </w:p>
          <w:p w14:paraId="5E255819">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在水中支持直立和后仰两种浮态；</w:t>
            </w:r>
          </w:p>
          <w:p w14:paraId="6829B1AD">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救生衣气囊手动充气时间≤3S；</w:t>
            </w:r>
          </w:p>
          <w:p w14:paraId="7EE27337">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具有防止在水中窜动的裆带；</w:t>
            </w:r>
          </w:p>
          <w:p w14:paraId="144574A1">
            <w:pPr>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配备示位灯、哨笛、包装袋等属具；配备≥36g二氧化碳压缩气瓶≥6支</w:t>
            </w:r>
            <w:r>
              <w:rPr>
                <w:rFonts w:hint="eastAsia" w:ascii="宋体" w:hAnsi="宋体" w:cs="宋体"/>
                <w:color w:val="auto"/>
                <w:kern w:val="0"/>
                <w:szCs w:val="21"/>
                <w:highlight w:val="none"/>
                <w:lang w:eastAsia="zh-CN"/>
              </w:rPr>
              <w:t>。</w:t>
            </w:r>
          </w:p>
        </w:tc>
      </w:tr>
      <w:tr w14:paraId="3735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4D707A1A">
            <w:pPr>
              <w:spacing w:line="360" w:lineRule="auto"/>
              <w:jc w:val="center"/>
              <w:rPr>
                <w:rFonts w:hint="default" w:ascii="宋体" w:hAnsi="宋体" w:cs="宋体"/>
                <w:color w:val="auto"/>
                <w:spacing w:val="-20"/>
                <w:szCs w:val="21"/>
                <w:lang w:val="en-US" w:eastAsia="zh-CN"/>
              </w:rPr>
            </w:pPr>
            <w:r>
              <w:rPr>
                <w:rFonts w:hint="eastAsia" w:ascii="宋体" w:hAnsi="宋体" w:cs="宋体"/>
                <w:color w:val="auto"/>
                <w:spacing w:val="-20"/>
                <w:szCs w:val="21"/>
                <w:lang w:val="en-US" w:eastAsia="zh-CN"/>
              </w:rPr>
              <w:t>7</w:t>
            </w:r>
          </w:p>
        </w:tc>
        <w:tc>
          <w:tcPr>
            <w:tcW w:w="736" w:type="pct"/>
            <w:shd w:val="clear" w:color="auto" w:fill="auto"/>
            <w:vAlign w:val="center"/>
          </w:tcPr>
          <w:p w14:paraId="6A6629BE">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水域救援漂浮救生绳（100米）</w:t>
            </w:r>
          </w:p>
        </w:tc>
        <w:tc>
          <w:tcPr>
            <w:tcW w:w="376" w:type="pct"/>
            <w:shd w:val="clear" w:color="auto" w:fill="auto"/>
            <w:vAlign w:val="center"/>
          </w:tcPr>
          <w:p w14:paraId="6C9DB538">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16</w:t>
            </w:r>
          </w:p>
        </w:tc>
        <w:tc>
          <w:tcPr>
            <w:tcW w:w="3552" w:type="pct"/>
            <w:shd w:val="clear" w:color="auto" w:fill="auto"/>
            <w:vAlign w:val="center"/>
          </w:tcPr>
          <w:p w14:paraId="42B79A74">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22EA4D75">
            <w:pPr>
              <w:snapToGrid w:val="0"/>
              <w:jc w:val="left"/>
              <w:rPr>
                <w:rFonts w:hint="eastAsia" w:ascii="宋体" w:hAnsi="宋体" w:cs="宋体"/>
                <w:color w:val="auto"/>
                <w:kern w:val="0"/>
                <w:szCs w:val="21"/>
              </w:rPr>
            </w:pPr>
            <w:r>
              <w:rPr>
                <w:rFonts w:hint="eastAsia" w:ascii="宋体" w:hAnsi="宋体" w:cs="宋体"/>
                <w:color w:val="auto"/>
                <w:kern w:val="0"/>
                <w:szCs w:val="21"/>
              </w:rPr>
              <w:t>1、9.5mm≤直径≤11mm，长度100m；</w:t>
            </w:r>
          </w:p>
          <w:p w14:paraId="5A6BCC32">
            <w:pPr>
              <w:snapToGrid w:val="0"/>
              <w:jc w:val="left"/>
              <w:rPr>
                <w:rFonts w:hint="eastAsia" w:ascii="宋体" w:hAnsi="宋体" w:cs="宋体"/>
                <w:color w:val="auto"/>
                <w:kern w:val="0"/>
                <w:szCs w:val="21"/>
              </w:rPr>
            </w:pPr>
            <w:r>
              <w:rPr>
                <w:rFonts w:hint="eastAsia" w:ascii="宋体" w:hAnsi="宋体" w:cs="宋体"/>
                <w:color w:val="auto"/>
              </w:rPr>
              <w:t>★</w:t>
            </w:r>
            <w:r>
              <w:rPr>
                <w:rFonts w:hint="eastAsia" w:ascii="宋体" w:hAnsi="宋体" w:cs="宋体"/>
                <w:color w:val="auto"/>
                <w:kern w:val="0"/>
                <w:szCs w:val="21"/>
              </w:rPr>
              <w:t>2、最小破断强度≥22kN；</w:t>
            </w:r>
          </w:p>
          <w:p w14:paraId="158CF95F">
            <w:pPr>
              <w:snapToGrid w:val="0"/>
              <w:jc w:val="left"/>
              <w:rPr>
                <w:rFonts w:hint="eastAsia" w:ascii="宋体" w:hAnsi="宋体" w:cs="宋体"/>
                <w:color w:val="auto"/>
                <w:kern w:val="0"/>
                <w:szCs w:val="21"/>
              </w:rPr>
            </w:pPr>
            <w:r>
              <w:rPr>
                <w:rFonts w:hint="eastAsia" w:ascii="宋体" w:hAnsi="宋体" w:cs="宋体"/>
                <w:color w:val="auto"/>
                <w:kern w:val="0"/>
                <w:szCs w:val="21"/>
              </w:rPr>
              <w:t>3、在水面漂浮48h，无明显下沉；</w:t>
            </w:r>
          </w:p>
          <w:p w14:paraId="40CE8F56">
            <w:pPr>
              <w:snapToGrid w:val="0"/>
              <w:jc w:val="left"/>
              <w:rPr>
                <w:rFonts w:hint="eastAsia" w:ascii="宋体" w:hAnsi="宋体" w:cs="宋体"/>
                <w:color w:val="auto"/>
                <w:kern w:val="0"/>
                <w:szCs w:val="21"/>
              </w:rPr>
            </w:pPr>
            <w:r>
              <w:rPr>
                <w:rFonts w:hint="eastAsia" w:ascii="宋体" w:hAnsi="宋体" w:cs="宋体"/>
                <w:color w:val="auto"/>
                <w:kern w:val="0"/>
                <w:szCs w:val="21"/>
              </w:rPr>
              <w:t>4、重量≤4.6kg；</w:t>
            </w:r>
          </w:p>
          <w:p w14:paraId="7590840C">
            <w:pPr>
              <w:snapToGrid w:val="0"/>
              <w:jc w:val="left"/>
              <w:rPr>
                <w:rFonts w:hint="eastAsia" w:ascii="宋体" w:hAnsi="宋体" w:cs="宋体"/>
                <w:color w:val="auto"/>
                <w:kern w:val="0"/>
                <w:szCs w:val="21"/>
              </w:rPr>
            </w:pPr>
            <w:r>
              <w:rPr>
                <w:rFonts w:hint="eastAsia" w:ascii="宋体" w:hAnsi="宋体" w:cs="宋体"/>
                <w:color w:val="auto"/>
                <w:kern w:val="0"/>
                <w:szCs w:val="21"/>
              </w:rPr>
              <w:t>5、夜间具有荧光效果；</w:t>
            </w:r>
          </w:p>
          <w:p w14:paraId="7335E712">
            <w:pPr>
              <w:snapToGrid w:val="0"/>
              <w:jc w:val="left"/>
              <w:rPr>
                <w:rFonts w:hint="eastAsia" w:ascii="宋体" w:hAnsi="宋体" w:cs="宋体"/>
                <w:color w:val="auto"/>
                <w:kern w:val="0"/>
                <w:szCs w:val="21"/>
              </w:rPr>
            </w:pPr>
            <w:r>
              <w:rPr>
                <w:rFonts w:hint="eastAsia" w:ascii="宋体" w:hAnsi="宋体" w:cs="宋体"/>
                <w:color w:val="auto"/>
                <w:kern w:val="0"/>
                <w:szCs w:val="21"/>
              </w:rPr>
              <w:t>6、延伸率：承重达到最小破断强度的10%时救生绳延伸率≤3%；</w:t>
            </w:r>
          </w:p>
          <w:p w14:paraId="235775AA">
            <w:pPr>
              <w:snapToGrid w:val="0"/>
              <w:jc w:val="left"/>
              <w:rPr>
                <w:rFonts w:hint="eastAsia" w:ascii="宋体" w:hAnsi="宋体" w:cs="宋体"/>
                <w:color w:val="auto"/>
                <w:kern w:val="0"/>
                <w:szCs w:val="21"/>
              </w:rPr>
            </w:pPr>
            <w:r>
              <w:rPr>
                <w:rFonts w:hint="eastAsia" w:ascii="宋体" w:hAnsi="宋体" w:cs="宋体"/>
                <w:color w:val="auto"/>
                <w:kern w:val="0"/>
                <w:szCs w:val="21"/>
              </w:rPr>
              <w:t>7、具有优良的耐酸碱腐蚀性能、耐油性能、抗紫外线性能；</w:t>
            </w:r>
          </w:p>
          <w:p w14:paraId="30DF6648">
            <w:pPr>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8、配备具有透水功能收绳包。</w:t>
            </w:r>
          </w:p>
        </w:tc>
      </w:tr>
      <w:tr w14:paraId="7123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1668B4E6">
            <w:pPr>
              <w:spacing w:line="360" w:lineRule="auto"/>
              <w:jc w:val="center"/>
              <w:rPr>
                <w:rFonts w:hint="default" w:ascii="宋体" w:hAnsi="宋体" w:cs="宋体"/>
                <w:color w:val="auto"/>
                <w:spacing w:val="-20"/>
                <w:szCs w:val="21"/>
                <w:lang w:val="en-US" w:eastAsia="zh-CN"/>
              </w:rPr>
            </w:pPr>
            <w:r>
              <w:rPr>
                <w:rFonts w:hint="eastAsia" w:ascii="宋体" w:hAnsi="宋体" w:cs="宋体"/>
                <w:color w:val="auto"/>
                <w:spacing w:val="-20"/>
                <w:szCs w:val="21"/>
                <w:lang w:val="en-US" w:eastAsia="zh-CN"/>
              </w:rPr>
              <w:t>8</w:t>
            </w:r>
          </w:p>
        </w:tc>
        <w:tc>
          <w:tcPr>
            <w:tcW w:w="736" w:type="pct"/>
            <w:shd w:val="clear" w:color="auto" w:fill="auto"/>
            <w:vAlign w:val="center"/>
          </w:tcPr>
          <w:p w14:paraId="746BE25A">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消防员水域救援防护服</w:t>
            </w:r>
          </w:p>
        </w:tc>
        <w:tc>
          <w:tcPr>
            <w:tcW w:w="376" w:type="pct"/>
            <w:shd w:val="clear" w:color="auto" w:fill="auto"/>
            <w:vAlign w:val="center"/>
          </w:tcPr>
          <w:p w14:paraId="7F566880">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3552" w:type="pct"/>
            <w:shd w:val="clear" w:color="auto" w:fill="auto"/>
            <w:vAlign w:val="center"/>
          </w:tcPr>
          <w:p w14:paraId="0D6334B2">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5331D616">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1、由上衣和中腰裤两件套分体组成（含腰带）；</w:t>
            </w:r>
          </w:p>
          <w:p w14:paraId="506FDCCD">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2、主体颜色通常为橙色；</w:t>
            </w:r>
          </w:p>
          <w:p w14:paraId="438F3E0B">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3、衣袖、裤腿、前胸后背处设有≥5.0cm宽反光带；</w:t>
            </w:r>
          </w:p>
          <w:p w14:paraId="0BC0E3DB">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4、裤腿、衣袖、衣领可调节松紧；</w:t>
            </w:r>
          </w:p>
          <w:p w14:paraId="2AD74241">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5、防护服材料的色牢度≥4级；</w:t>
            </w:r>
          </w:p>
          <w:p w14:paraId="0571294B">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6、防护服材料的吸水率≥100%，滴水扩散时间≤5s，芯吸高度≥90mm；</w:t>
            </w:r>
          </w:p>
          <w:p w14:paraId="0407C8AA">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7、防护服速干性能和透气性能好：蒸发速率≥0.18g/h，透湿量≥8000(g/㎡·24h)；</w:t>
            </w:r>
          </w:p>
          <w:p w14:paraId="03425144">
            <w:pPr>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rPr>
              <w:t>★</w:t>
            </w:r>
            <w:r>
              <w:rPr>
                <w:rFonts w:hint="eastAsia" w:ascii="宋体" w:hAnsi="宋体" w:cs="宋体"/>
                <w:color w:val="auto"/>
                <w:kern w:val="0"/>
                <w:szCs w:val="21"/>
                <w:highlight w:val="none"/>
              </w:rPr>
              <w:t>8、面料断裂强力≥500N；撕破强力≥60N。</w:t>
            </w:r>
          </w:p>
        </w:tc>
      </w:tr>
      <w:tr w14:paraId="21DB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496C0C1C">
            <w:pPr>
              <w:spacing w:line="360" w:lineRule="auto"/>
              <w:jc w:val="center"/>
              <w:rPr>
                <w:rFonts w:hint="default" w:ascii="宋体" w:hAnsi="宋体" w:cs="宋体"/>
                <w:color w:val="auto"/>
                <w:spacing w:val="-20"/>
                <w:szCs w:val="21"/>
                <w:lang w:val="en-US" w:eastAsia="zh-CN"/>
              </w:rPr>
            </w:pPr>
            <w:r>
              <w:rPr>
                <w:rFonts w:hint="eastAsia" w:ascii="宋体" w:hAnsi="宋体" w:cs="宋体"/>
                <w:color w:val="auto"/>
                <w:spacing w:val="-20"/>
                <w:szCs w:val="21"/>
                <w:lang w:val="en-US" w:eastAsia="zh-CN"/>
              </w:rPr>
              <w:t>9</w:t>
            </w:r>
          </w:p>
        </w:tc>
        <w:tc>
          <w:tcPr>
            <w:tcW w:w="736" w:type="pct"/>
            <w:shd w:val="clear" w:color="auto" w:fill="auto"/>
            <w:vAlign w:val="center"/>
          </w:tcPr>
          <w:p w14:paraId="758915AA">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水域救援服（速干型）</w:t>
            </w:r>
          </w:p>
        </w:tc>
        <w:tc>
          <w:tcPr>
            <w:tcW w:w="376" w:type="pct"/>
            <w:shd w:val="clear" w:color="auto" w:fill="auto"/>
            <w:vAlign w:val="center"/>
          </w:tcPr>
          <w:p w14:paraId="2AA5A82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3552" w:type="pct"/>
            <w:shd w:val="clear" w:color="auto" w:fill="auto"/>
            <w:vAlign w:val="center"/>
          </w:tcPr>
          <w:p w14:paraId="1D0779BC">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03720D7A">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1、由上衣和中腰裤两件套分体组成（含腰带）；</w:t>
            </w:r>
          </w:p>
          <w:p w14:paraId="24821FE4">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2、主体颜色通常为橙色；</w:t>
            </w:r>
          </w:p>
          <w:p w14:paraId="3EB65C47">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3、衣袖、裤腿、前胸后背处设有≥5.0cm宽反光带；</w:t>
            </w:r>
          </w:p>
          <w:p w14:paraId="58488FBC">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4、裤腿、衣袖、衣领可调节松紧；</w:t>
            </w:r>
          </w:p>
          <w:p w14:paraId="48079A8B">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5、防护服材料的色牢度≥4级；</w:t>
            </w:r>
          </w:p>
          <w:p w14:paraId="12253D86">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6、防护服材料的吸水率≥100%，滴水扩散时间≤5s，芯吸高度≥90mm；</w:t>
            </w:r>
          </w:p>
          <w:p w14:paraId="65171E2F">
            <w:pPr>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7、防护服速干性能和透气性能好：蒸发速率≥0.18g/h，透湿量≥8000(g/㎡·24h)；</w:t>
            </w:r>
          </w:p>
          <w:p w14:paraId="214E7474">
            <w:pPr>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rPr>
              <w:t>★</w:t>
            </w:r>
            <w:r>
              <w:rPr>
                <w:rFonts w:hint="eastAsia" w:ascii="宋体" w:hAnsi="宋体" w:cs="宋体"/>
                <w:color w:val="auto"/>
                <w:kern w:val="0"/>
                <w:szCs w:val="21"/>
                <w:highlight w:val="none"/>
              </w:rPr>
              <w:t>8、面料断裂强力≥500N；撕破强力≥60N。</w:t>
            </w:r>
          </w:p>
        </w:tc>
      </w:tr>
      <w:tr w14:paraId="1B1D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0D4D0235">
            <w:pPr>
              <w:spacing w:line="360" w:lineRule="auto"/>
              <w:jc w:val="center"/>
              <w:rPr>
                <w:rFonts w:hint="default" w:ascii="宋体" w:hAnsi="宋体" w:cs="宋体"/>
                <w:color w:val="auto"/>
                <w:spacing w:val="-20"/>
                <w:szCs w:val="21"/>
                <w:lang w:val="en-US" w:eastAsia="zh-CN"/>
              </w:rPr>
            </w:pPr>
            <w:r>
              <w:rPr>
                <w:rFonts w:hint="eastAsia" w:ascii="宋体" w:hAnsi="宋体" w:cs="宋体"/>
                <w:color w:val="auto"/>
                <w:spacing w:val="-20"/>
                <w:szCs w:val="21"/>
                <w:lang w:val="en-US" w:eastAsia="zh-CN"/>
              </w:rPr>
              <w:t>10</w:t>
            </w:r>
          </w:p>
        </w:tc>
        <w:tc>
          <w:tcPr>
            <w:tcW w:w="736" w:type="pct"/>
            <w:shd w:val="clear" w:color="auto" w:fill="auto"/>
            <w:vAlign w:val="center"/>
          </w:tcPr>
          <w:p w14:paraId="50DF003D">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水面遥控救援机器人</w:t>
            </w:r>
          </w:p>
        </w:tc>
        <w:tc>
          <w:tcPr>
            <w:tcW w:w="376" w:type="pct"/>
            <w:shd w:val="clear" w:color="auto" w:fill="auto"/>
            <w:vAlign w:val="center"/>
          </w:tcPr>
          <w:p w14:paraId="1A80F7FF">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552" w:type="pct"/>
            <w:shd w:val="clear" w:color="auto" w:fill="auto"/>
            <w:vAlign w:val="center"/>
          </w:tcPr>
          <w:p w14:paraId="28AA9361">
            <w:pPr>
              <w:pStyle w:val="12"/>
              <w:rPr>
                <w:rFonts w:hint="eastAsia"/>
                <w:sz w:val="21"/>
                <w:szCs w:val="21"/>
                <w:highlight w:val="none"/>
                <w:lang w:val="en-US" w:eastAsia="zh-CN"/>
              </w:rPr>
            </w:pPr>
            <w:r>
              <w:rPr>
                <w:rFonts w:hint="eastAsia" w:ascii="宋体" w:hAnsi="宋体" w:cs="宋体"/>
                <w:color w:val="auto"/>
              </w:rPr>
              <w:t>★</w:t>
            </w:r>
            <w:r>
              <w:rPr>
                <w:rFonts w:hint="eastAsia" w:ascii="宋体" w:hAnsi="宋体" w:cs="宋体"/>
                <w:color w:val="auto"/>
                <w:kern w:val="0"/>
                <w:szCs w:val="21"/>
                <w:highlight w:val="none"/>
              </w:rPr>
              <w:t>提供国家认证认可检测机构出具的</w:t>
            </w:r>
            <w:r>
              <w:rPr>
                <w:rFonts w:hint="eastAsia"/>
                <w:sz w:val="21"/>
                <w:szCs w:val="21"/>
                <w:highlight w:val="none"/>
                <w:lang w:val="en-US" w:eastAsia="zh-CN"/>
              </w:rPr>
              <w:t>与所投产品型号一致、完整有效的检验检测报告。</w:t>
            </w:r>
          </w:p>
          <w:p w14:paraId="3EC11FE6">
            <w:pPr>
              <w:snapToGrid w:val="0"/>
              <w:jc w:val="left"/>
              <w:rPr>
                <w:rFonts w:hint="eastAsia" w:ascii="宋体" w:hAnsi="宋体" w:cs="宋体"/>
                <w:color w:val="auto"/>
                <w:kern w:val="0"/>
                <w:szCs w:val="21"/>
              </w:rPr>
            </w:pPr>
            <w:r>
              <w:rPr>
                <w:rFonts w:hint="eastAsia" w:ascii="宋体" w:hAnsi="宋体" w:cs="宋体"/>
                <w:color w:val="auto"/>
              </w:rPr>
              <w:t>★</w:t>
            </w:r>
            <w:r>
              <w:rPr>
                <w:rFonts w:hint="eastAsia" w:ascii="宋体" w:hAnsi="宋体" w:cs="宋体"/>
                <w:color w:val="auto"/>
                <w:kern w:val="0"/>
                <w:szCs w:val="21"/>
              </w:rPr>
              <w:t>1、通信距离≥800m；</w:t>
            </w:r>
          </w:p>
          <w:p w14:paraId="58EAA00E">
            <w:pPr>
              <w:snapToGrid w:val="0"/>
              <w:jc w:val="left"/>
              <w:rPr>
                <w:rFonts w:hint="eastAsia" w:ascii="宋体" w:hAnsi="宋体" w:cs="宋体"/>
                <w:color w:val="auto"/>
                <w:kern w:val="0"/>
                <w:szCs w:val="21"/>
              </w:rPr>
            </w:pPr>
            <w:r>
              <w:rPr>
                <w:rFonts w:hint="eastAsia" w:ascii="宋体" w:hAnsi="宋体" w:cs="宋体"/>
                <w:color w:val="auto"/>
                <w:kern w:val="0"/>
                <w:szCs w:val="21"/>
              </w:rPr>
              <w:t>2、续航≥30min；</w:t>
            </w:r>
          </w:p>
          <w:p w14:paraId="7B2BD5E7">
            <w:pPr>
              <w:snapToGrid w:val="0"/>
              <w:jc w:val="left"/>
              <w:rPr>
                <w:rFonts w:hint="eastAsia" w:ascii="宋体" w:hAnsi="宋体" w:cs="宋体"/>
                <w:color w:val="auto"/>
                <w:kern w:val="0"/>
                <w:szCs w:val="21"/>
              </w:rPr>
            </w:pPr>
            <w:r>
              <w:rPr>
                <w:rFonts w:hint="eastAsia" w:ascii="宋体" w:hAnsi="宋体" w:cs="宋体"/>
                <w:color w:val="auto"/>
                <w:kern w:val="0"/>
                <w:szCs w:val="21"/>
              </w:rPr>
              <w:t>3、航速≥3m/s；</w:t>
            </w:r>
          </w:p>
          <w:p w14:paraId="79659584">
            <w:pPr>
              <w:snapToGrid w:val="0"/>
              <w:jc w:val="left"/>
              <w:rPr>
                <w:rFonts w:hint="eastAsia" w:ascii="宋体" w:hAnsi="宋体" w:cs="宋体"/>
                <w:color w:val="auto"/>
                <w:kern w:val="0"/>
                <w:szCs w:val="21"/>
              </w:rPr>
            </w:pPr>
            <w:r>
              <w:rPr>
                <w:rFonts w:hint="eastAsia" w:ascii="宋体" w:hAnsi="宋体" w:cs="宋体"/>
                <w:color w:val="auto"/>
                <w:kern w:val="0"/>
                <w:szCs w:val="21"/>
              </w:rPr>
              <w:t>4、推进形式喷泵；</w:t>
            </w:r>
          </w:p>
          <w:p w14:paraId="6805E32E">
            <w:pPr>
              <w:snapToGrid w:val="0"/>
              <w:jc w:val="left"/>
              <w:rPr>
                <w:rFonts w:hint="eastAsia" w:ascii="宋体" w:hAnsi="宋体" w:cs="宋体"/>
                <w:color w:val="auto"/>
                <w:kern w:val="0"/>
                <w:szCs w:val="21"/>
              </w:rPr>
            </w:pPr>
            <w:r>
              <w:rPr>
                <w:rFonts w:hint="eastAsia" w:ascii="宋体" w:hAnsi="宋体" w:cs="宋体"/>
                <w:color w:val="auto"/>
                <w:kern w:val="0"/>
                <w:szCs w:val="21"/>
              </w:rPr>
              <w:t>5、有效浮力≥30kg；</w:t>
            </w:r>
          </w:p>
          <w:p w14:paraId="6378B1B5">
            <w:pPr>
              <w:snapToGrid w:val="0"/>
              <w:jc w:val="left"/>
              <w:rPr>
                <w:rFonts w:hint="eastAsia" w:ascii="宋体" w:hAnsi="宋体" w:cs="宋体"/>
                <w:color w:val="auto"/>
                <w:kern w:val="0"/>
                <w:szCs w:val="21"/>
              </w:rPr>
            </w:pPr>
            <w:r>
              <w:rPr>
                <w:rFonts w:hint="eastAsia" w:ascii="宋体" w:hAnsi="宋体" w:cs="宋体"/>
                <w:color w:val="auto"/>
                <w:kern w:val="0"/>
                <w:szCs w:val="21"/>
              </w:rPr>
              <w:t>6、自重≤15kg；</w:t>
            </w:r>
          </w:p>
          <w:p w14:paraId="45BD9F3F">
            <w:pPr>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7、负载能力≥150kg。</w:t>
            </w:r>
          </w:p>
        </w:tc>
      </w:tr>
    </w:tbl>
    <w:p w14:paraId="73918832">
      <w:pPr>
        <w:spacing w:line="360" w:lineRule="auto"/>
        <w:rPr>
          <w:rFonts w:hint="eastAsia" w:ascii="宋体" w:hAnsi="宋体" w:cs="宋体"/>
          <w:b/>
          <w:bCs/>
          <w:color w:val="auto"/>
          <w:szCs w:val="21"/>
        </w:rPr>
      </w:pPr>
    </w:p>
    <w:p w14:paraId="7261F4ED">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标项</w:t>
      </w: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254"/>
        <w:gridCol w:w="641"/>
        <w:gridCol w:w="6052"/>
      </w:tblGrid>
      <w:tr w14:paraId="3761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5CFEBB00">
            <w:pPr>
              <w:spacing w:line="360" w:lineRule="auto"/>
              <w:jc w:val="center"/>
              <w:rPr>
                <w:rFonts w:ascii="宋体" w:hAnsi="宋体" w:cs="宋体"/>
                <w:b/>
                <w:bCs/>
                <w:color w:val="auto"/>
                <w:spacing w:val="-20"/>
                <w:szCs w:val="21"/>
                <w:highlight w:val="none"/>
              </w:rPr>
            </w:pPr>
            <w:r>
              <w:rPr>
                <w:rFonts w:hint="eastAsia" w:ascii="宋体" w:hAnsi="宋体" w:cs="宋体"/>
                <w:b/>
                <w:bCs/>
                <w:color w:val="auto"/>
                <w:spacing w:val="-20"/>
                <w:szCs w:val="21"/>
                <w:highlight w:val="none"/>
              </w:rPr>
              <w:t>序号</w:t>
            </w:r>
          </w:p>
        </w:tc>
        <w:tc>
          <w:tcPr>
            <w:tcW w:w="736" w:type="pct"/>
            <w:vAlign w:val="center"/>
          </w:tcPr>
          <w:p w14:paraId="62F0D928">
            <w:pPr>
              <w:spacing w:line="360" w:lineRule="auto"/>
              <w:jc w:val="center"/>
              <w:rPr>
                <w:rFonts w:ascii="宋体" w:hAnsi="宋体" w:cs="宋体"/>
                <w:b/>
                <w:bCs/>
                <w:color w:val="auto"/>
                <w:spacing w:val="-20"/>
                <w:szCs w:val="21"/>
                <w:highlight w:val="none"/>
              </w:rPr>
            </w:pPr>
            <w:r>
              <w:rPr>
                <w:rFonts w:hint="eastAsia" w:ascii="宋体" w:hAnsi="宋体" w:cs="宋体"/>
                <w:b/>
                <w:bCs/>
                <w:color w:val="auto"/>
                <w:spacing w:val="-20"/>
                <w:szCs w:val="21"/>
                <w:highlight w:val="none"/>
              </w:rPr>
              <w:t>货物名称</w:t>
            </w:r>
          </w:p>
        </w:tc>
        <w:tc>
          <w:tcPr>
            <w:tcW w:w="376" w:type="pct"/>
            <w:vAlign w:val="center"/>
          </w:tcPr>
          <w:p w14:paraId="1BED7B80">
            <w:pPr>
              <w:spacing w:line="360" w:lineRule="auto"/>
              <w:jc w:val="center"/>
              <w:rPr>
                <w:rFonts w:ascii="宋体" w:hAnsi="宋体" w:cs="宋体"/>
                <w:b/>
                <w:bCs/>
                <w:color w:val="auto"/>
                <w:spacing w:val="-20"/>
                <w:szCs w:val="21"/>
                <w:highlight w:val="none"/>
              </w:rPr>
            </w:pPr>
            <w:r>
              <w:rPr>
                <w:rFonts w:hint="eastAsia" w:ascii="宋体" w:hAnsi="宋体" w:cs="宋体"/>
                <w:b/>
                <w:bCs/>
                <w:color w:val="auto"/>
                <w:spacing w:val="-20"/>
                <w:szCs w:val="21"/>
                <w:highlight w:val="none"/>
              </w:rPr>
              <w:t>数量</w:t>
            </w:r>
          </w:p>
        </w:tc>
        <w:tc>
          <w:tcPr>
            <w:tcW w:w="3551" w:type="pct"/>
            <w:vAlign w:val="center"/>
          </w:tcPr>
          <w:p w14:paraId="640B94AD">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功能及技术参数等</w:t>
            </w:r>
          </w:p>
        </w:tc>
      </w:tr>
      <w:tr w14:paraId="7DB9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54C91C81">
            <w:pPr>
              <w:spacing w:line="360" w:lineRule="auto"/>
              <w:jc w:val="center"/>
              <w:rPr>
                <w:rFonts w:hint="eastAsia"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1</w:t>
            </w:r>
          </w:p>
        </w:tc>
        <w:tc>
          <w:tcPr>
            <w:tcW w:w="736" w:type="pct"/>
            <w:vAlign w:val="center"/>
          </w:tcPr>
          <w:p w14:paraId="0564310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auto"/>
                <w:szCs w:val="21"/>
                <w:highlight w:val="none"/>
                <w:shd w:val="clear" w:color="auto" w:fill="FFFFFF" w:themeFill="background1"/>
              </w:rPr>
              <w:t>●</w:t>
            </w:r>
            <w:r>
              <w:rPr>
                <w:rFonts w:hint="eastAsia" w:ascii="宋体" w:hAnsi="宋体" w:eastAsia="宋体" w:cs="宋体"/>
                <w:i w:val="0"/>
                <w:iCs w:val="0"/>
                <w:color w:val="000000"/>
                <w:kern w:val="0"/>
                <w:sz w:val="21"/>
                <w:szCs w:val="21"/>
                <w:highlight w:val="none"/>
                <w:u w:val="none"/>
                <w:lang w:val="en-US" w:eastAsia="zh-CN" w:bidi="ar"/>
              </w:rPr>
              <w:t>止坠器</w:t>
            </w:r>
          </w:p>
        </w:tc>
        <w:tc>
          <w:tcPr>
            <w:tcW w:w="376" w:type="pct"/>
            <w:vAlign w:val="center"/>
          </w:tcPr>
          <w:p w14:paraId="6680C5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551" w:type="pct"/>
            <w:vAlign w:val="top"/>
          </w:tcPr>
          <w:p w14:paraId="0582BF02">
            <w:pPr>
              <w:jc w:val="left"/>
              <w:rPr>
                <w:rFonts w:hint="eastAsia" w:ascii="宋体" w:hAnsi="宋体" w:cs="宋体"/>
                <w:color w:val="auto"/>
                <w:szCs w:val="21"/>
                <w:highlight w:val="none"/>
              </w:rPr>
            </w:pPr>
            <w:r>
              <w:rPr>
                <w:rFonts w:hint="eastAsia" w:ascii="宋体" w:hAnsi="宋体" w:cs="宋体"/>
                <w:color w:val="auto"/>
              </w:rPr>
              <w:t>★</w:t>
            </w:r>
            <w:r>
              <w:rPr>
                <w:rFonts w:hint="eastAsia"/>
                <w:color w:val="auto"/>
                <w:sz w:val="21"/>
                <w:szCs w:val="21"/>
                <w:highlight w:val="none"/>
                <w:lang w:val="en-US" w:eastAsia="zh-CN"/>
              </w:rPr>
              <w:t>提供国家认证认可检测机构出具的与所投产品型号一致、完整有效的检验检测报告。</w:t>
            </w:r>
          </w:p>
          <w:p w14:paraId="313F4B0F">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、内置锁定功能，锁定时，止坠器单向走绳；</w:t>
            </w:r>
          </w:p>
          <w:p w14:paraId="55A21941">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、解锁时，可跟随缓慢下降，下降速度超过2m/s时，止坠功能启用；</w:t>
            </w:r>
          </w:p>
          <w:p w14:paraId="28322496">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、绳索使用范围为9.5-11.2mm；</w:t>
            </w:r>
          </w:p>
          <w:p w14:paraId="55FEF7FA">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、含专用势能吸收包；</w:t>
            </w:r>
          </w:p>
          <w:p w14:paraId="35A7ED29">
            <w:pPr>
              <w:pStyle w:val="33"/>
              <w:spacing w:after="0"/>
              <w:ind w:left="0" w:leftChars="0" w:firstLine="0" w:firstLineChars="0"/>
              <w:rPr>
                <w:rFonts w:hint="eastAsia"/>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、整套装备工作负荷≥200kg</w:t>
            </w:r>
          </w:p>
        </w:tc>
      </w:tr>
      <w:tr w14:paraId="3E23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3B5BEA49">
            <w:pPr>
              <w:spacing w:line="360" w:lineRule="auto"/>
              <w:jc w:val="center"/>
              <w:rPr>
                <w:rFonts w:hint="eastAsia" w:ascii="宋体" w:hAnsi="宋体" w:eastAsia="宋体" w:cs="宋体"/>
                <w:color w:val="auto"/>
                <w:spacing w:val="-20"/>
                <w:szCs w:val="21"/>
                <w:highlight w:val="none"/>
                <w:lang w:eastAsia="zh-CN"/>
              </w:rPr>
            </w:pPr>
            <w:r>
              <w:rPr>
                <w:rFonts w:hint="eastAsia" w:ascii="宋体" w:hAnsi="宋体" w:cs="宋体"/>
                <w:color w:val="auto"/>
                <w:spacing w:val="-20"/>
                <w:szCs w:val="21"/>
                <w:highlight w:val="none"/>
                <w:lang w:val="en-US" w:eastAsia="zh-CN"/>
              </w:rPr>
              <w:t>2</w:t>
            </w:r>
          </w:p>
        </w:tc>
        <w:tc>
          <w:tcPr>
            <w:tcW w:w="736" w:type="pct"/>
            <w:vAlign w:val="center"/>
          </w:tcPr>
          <w:p w14:paraId="36F1FD6B">
            <w:pPr>
              <w:keepNext w:val="0"/>
              <w:keepLines w:val="0"/>
              <w:widowControl/>
              <w:suppressLineNumbers w:val="0"/>
              <w:jc w:val="center"/>
              <w:textAlignment w:val="center"/>
              <w:rPr>
                <w:rFonts w:ascii="宋体" w:hAnsi="宋体" w:cs="宋体"/>
                <w:color w:val="auto"/>
                <w:spacing w:val="-20"/>
                <w:sz w:val="21"/>
                <w:szCs w:val="21"/>
                <w:highlight w:val="none"/>
              </w:rPr>
            </w:pPr>
            <w:r>
              <w:rPr>
                <w:rFonts w:hint="eastAsia" w:ascii="宋体" w:hAnsi="宋体" w:eastAsia="宋体" w:cs="宋体"/>
                <w:i w:val="0"/>
                <w:iCs w:val="0"/>
                <w:color w:val="000000"/>
                <w:kern w:val="0"/>
                <w:sz w:val="21"/>
                <w:szCs w:val="21"/>
                <w:u w:val="none"/>
                <w:lang w:val="en-US" w:eastAsia="zh-CN" w:bidi="ar"/>
              </w:rPr>
              <w:t>锚点扁带</w:t>
            </w:r>
          </w:p>
        </w:tc>
        <w:tc>
          <w:tcPr>
            <w:tcW w:w="376" w:type="pct"/>
            <w:vAlign w:val="center"/>
          </w:tcPr>
          <w:p w14:paraId="44A2D8AD">
            <w:pPr>
              <w:keepNext w:val="0"/>
              <w:keepLines w:val="0"/>
              <w:widowControl/>
              <w:suppressLineNumbers w:val="0"/>
              <w:jc w:val="center"/>
              <w:textAlignment w:val="center"/>
              <w:rPr>
                <w:rFonts w:ascii="宋体" w:hAnsi="宋体" w:cs="宋体"/>
                <w:b/>
                <w:bCs/>
                <w:color w:val="auto"/>
                <w:spacing w:val="-20"/>
                <w:sz w:val="21"/>
                <w:szCs w:val="21"/>
                <w:highlight w:val="none"/>
              </w:rPr>
            </w:pPr>
            <w:r>
              <w:rPr>
                <w:rFonts w:hint="eastAsia" w:ascii="宋体" w:hAnsi="宋体" w:eastAsia="宋体" w:cs="宋体"/>
                <w:i w:val="0"/>
                <w:iCs w:val="0"/>
                <w:color w:val="auto"/>
                <w:kern w:val="0"/>
                <w:sz w:val="21"/>
                <w:szCs w:val="21"/>
                <w:u w:val="none"/>
                <w:lang w:val="en-US" w:eastAsia="zh-CN" w:bidi="ar"/>
              </w:rPr>
              <w:t>81</w:t>
            </w:r>
          </w:p>
        </w:tc>
        <w:tc>
          <w:tcPr>
            <w:tcW w:w="3551" w:type="pct"/>
          </w:tcPr>
          <w:p w14:paraId="387A2E9B">
            <w:pPr>
              <w:jc w:val="left"/>
              <w:rPr>
                <w:rFonts w:hint="eastAsia"/>
                <w:color w:val="auto"/>
                <w:sz w:val="21"/>
                <w:szCs w:val="21"/>
                <w:highlight w:val="none"/>
                <w:lang w:val="en-US" w:eastAsia="zh-CN"/>
              </w:rPr>
            </w:pPr>
            <w:r>
              <w:rPr>
                <w:rFonts w:hint="eastAsia" w:ascii="宋体" w:hAnsi="宋体" w:cs="宋体"/>
                <w:color w:val="auto"/>
              </w:rPr>
              <w:t>★</w:t>
            </w:r>
            <w:r>
              <w:rPr>
                <w:rFonts w:hint="eastAsia"/>
                <w:color w:val="auto"/>
                <w:sz w:val="21"/>
                <w:szCs w:val="21"/>
                <w:highlight w:val="none"/>
                <w:lang w:val="en-US" w:eastAsia="zh-CN"/>
              </w:rPr>
              <w:t>提供国家认证认可检测机构出具的与所投产品型号一致、完整有效的检验检测报告。</w:t>
            </w:r>
          </w:p>
          <w:p w14:paraId="7FC4B905">
            <w:pPr>
              <w:pStyle w:val="33"/>
              <w:spacing w:after="0"/>
              <w:ind w:left="0" w:leftChars="0" w:firstLine="0"/>
              <w:rPr>
                <w:rFonts w:hint="eastAsia"/>
                <w:color w:val="auto"/>
              </w:rPr>
            </w:pPr>
            <w:r>
              <w:rPr>
                <w:rFonts w:hint="eastAsia"/>
                <w:color w:val="auto"/>
              </w:rPr>
              <w:t>1、</w:t>
            </w:r>
            <w:r>
              <w:rPr>
                <w:rFonts w:hint="eastAsia"/>
                <w:color w:val="auto"/>
                <w:lang w:val="en-US" w:eastAsia="zh-CN"/>
              </w:rPr>
              <w:t>总</w:t>
            </w:r>
            <w:r>
              <w:rPr>
                <w:rFonts w:hint="eastAsia"/>
                <w:color w:val="auto"/>
              </w:rPr>
              <w:t>长度400cm(根据客户需要定制长度)；</w:t>
            </w:r>
          </w:p>
          <w:p w14:paraId="49875598">
            <w:pPr>
              <w:pStyle w:val="33"/>
              <w:spacing w:after="0"/>
              <w:ind w:left="0" w:leftChars="0" w:firstLine="0"/>
              <w:rPr>
                <w:rFonts w:hint="eastAsia" w:eastAsia="宋体"/>
                <w:color w:val="auto"/>
                <w:lang w:eastAsia="zh-CN"/>
              </w:rPr>
            </w:pPr>
            <w:r>
              <w:rPr>
                <w:rFonts w:hint="eastAsia"/>
                <w:color w:val="auto"/>
              </w:rPr>
              <w:t>2、扁带为成型；</w:t>
            </w:r>
          </w:p>
          <w:p w14:paraId="42B943B0">
            <w:pPr>
              <w:pStyle w:val="33"/>
              <w:spacing w:after="0"/>
              <w:ind w:left="0" w:leftChars="0" w:firstLine="0"/>
              <w:rPr>
                <w:rFonts w:hint="eastAsia"/>
                <w:color w:val="auto"/>
              </w:rPr>
            </w:pPr>
            <w:r>
              <w:rPr>
                <w:rFonts w:hint="eastAsia"/>
                <w:color w:val="auto"/>
              </w:rPr>
              <w:t>3、材料为聚酯材料；</w:t>
            </w:r>
          </w:p>
          <w:p w14:paraId="7BA30C8F">
            <w:pPr>
              <w:pStyle w:val="33"/>
              <w:spacing w:after="0"/>
              <w:ind w:left="0" w:leftChars="0" w:firstLine="0"/>
              <w:rPr>
                <w:rFonts w:ascii="宋体" w:hAnsi="宋体" w:cs="宋体"/>
                <w:color w:val="auto"/>
                <w:szCs w:val="21"/>
                <w:highlight w:val="none"/>
              </w:rPr>
            </w:pPr>
            <w:r>
              <w:rPr>
                <w:rFonts w:hint="eastAsia"/>
                <w:color w:val="auto"/>
              </w:rPr>
              <w:t>4、工作负荷≥22kN。</w:t>
            </w:r>
          </w:p>
        </w:tc>
      </w:tr>
      <w:tr w14:paraId="1CF2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41032F16">
            <w:pPr>
              <w:spacing w:line="360" w:lineRule="auto"/>
              <w:jc w:val="center"/>
              <w:rPr>
                <w:rFonts w:hint="eastAsia"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3</w:t>
            </w:r>
          </w:p>
        </w:tc>
        <w:tc>
          <w:tcPr>
            <w:tcW w:w="736" w:type="pct"/>
            <w:vAlign w:val="center"/>
          </w:tcPr>
          <w:p w14:paraId="10F26EFE">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脚踏绳</w:t>
            </w:r>
          </w:p>
        </w:tc>
        <w:tc>
          <w:tcPr>
            <w:tcW w:w="376" w:type="pct"/>
            <w:vAlign w:val="center"/>
          </w:tcPr>
          <w:p w14:paraId="727B9F95">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10</w:t>
            </w:r>
          </w:p>
        </w:tc>
        <w:tc>
          <w:tcPr>
            <w:tcW w:w="3551" w:type="pct"/>
          </w:tcPr>
          <w:p w14:paraId="1019EA7A">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345DC8E8">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1、主要部件为高强度聚乙烯材质；</w:t>
            </w:r>
          </w:p>
          <w:p w14:paraId="1AC20ECA">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2、脚踏部分有防脱设置；</w:t>
            </w:r>
          </w:p>
          <w:p w14:paraId="3EDDAF83">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3、长度≥120cm，可调节。</w:t>
            </w:r>
          </w:p>
        </w:tc>
      </w:tr>
      <w:tr w14:paraId="5E06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48DF64A5">
            <w:pPr>
              <w:spacing w:line="360" w:lineRule="auto"/>
              <w:jc w:val="center"/>
              <w:rPr>
                <w:rFonts w:hint="eastAsia"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4</w:t>
            </w:r>
          </w:p>
        </w:tc>
        <w:tc>
          <w:tcPr>
            <w:tcW w:w="736" w:type="pct"/>
            <w:vAlign w:val="center"/>
          </w:tcPr>
          <w:p w14:paraId="68553B35">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绳索保护垫</w:t>
            </w:r>
          </w:p>
        </w:tc>
        <w:tc>
          <w:tcPr>
            <w:tcW w:w="376" w:type="pct"/>
            <w:vAlign w:val="center"/>
          </w:tcPr>
          <w:p w14:paraId="1415CCC4">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20</w:t>
            </w:r>
          </w:p>
        </w:tc>
        <w:tc>
          <w:tcPr>
            <w:tcW w:w="3551" w:type="pct"/>
          </w:tcPr>
          <w:p w14:paraId="74B72AD1">
            <w:pPr>
              <w:jc w:val="left"/>
              <w:rPr>
                <w:rFonts w:hint="eastAsia"/>
                <w:color w:val="auto"/>
                <w:sz w:val="21"/>
                <w:szCs w:val="21"/>
                <w:highlight w:val="none"/>
                <w:lang w:val="en-US" w:eastAsia="zh-CN"/>
              </w:rPr>
            </w:pPr>
            <w:r>
              <w:rPr>
                <w:rFonts w:hint="eastAsia" w:ascii="宋体" w:hAnsi="宋体" w:cs="宋体"/>
                <w:color w:val="auto"/>
              </w:rPr>
              <w:t>★</w:t>
            </w:r>
            <w:r>
              <w:rPr>
                <w:rFonts w:hint="eastAsia"/>
                <w:color w:val="auto"/>
                <w:sz w:val="21"/>
                <w:szCs w:val="21"/>
                <w:highlight w:val="none"/>
                <w:lang w:val="en-US" w:eastAsia="zh-CN"/>
              </w:rPr>
              <w:t>提供国家认证认可检测机构出具的与所投产品型号一致、完整有效的检验检测报告。</w:t>
            </w:r>
          </w:p>
          <w:p w14:paraId="7DD9631B">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1、耐磨、阻燃，材质：100%绵纶（可提拉）；</w:t>
            </w:r>
          </w:p>
          <w:p w14:paraId="71C77FEA">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2、展开尺寸：150x120cm；</w:t>
            </w:r>
          </w:p>
          <w:p w14:paraId="4960DD69">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3、重量≤600g；</w:t>
            </w:r>
          </w:p>
          <w:p w14:paraId="47D3F9FC">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4、铺垫于地面，有效隔离器材与地面的直接与地面磨擦，检查装备时装备置于布面，整洁高效；</w:t>
            </w:r>
          </w:p>
          <w:p w14:paraId="46D3BDC8">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5、边角处有系绳带，可以在整理绳子时固定绳头，或者做为其它用途时固定地布的作用；</w:t>
            </w:r>
          </w:p>
          <w:p w14:paraId="71D49BF7">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6、可提拉面料，结实耐磨。</w:t>
            </w:r>
          </w:p>
        </w:tc>
      </w:tr>
      <w:tr w14:paraId="5D55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31CF5F78">
            <w:pPr>
              <w:spacing w:line="360" w:lineRule="auto"/>
              <w:jc w:val="center"/>
              <w:rPr>
                <w:rFonts w:hint="eastAsia"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5</w:t>
            </w:r>
          </w:p>
        </w:tc>
        <w:tc>
          <w:tcPr>
            <w:tcW w:w="736" w:type="pct"/>
            <w:vAlign w:val="center"/>
          </w:tcPr>
          <w:p w14:paraId="0B5DEAA5">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D型自动主锁</w:t>
            </w:r>
          </w:p>
        </w:tc>
        <w:tc>
          <w:tcPr>
            <w:tcW w:w="376" w:type="pct"/>
            <w:vAlign w:val="center"/>
          </w:tcPr>
          <w:p w14:paraId="4206FC04">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110</w:t>
            </w:r>
          </w:p>
        </w:tc>
        <w:tc>
          <w:tcPr>
            <w:tcW w:w="3551" w:type="pct"/>
          </w:tcPr>
          <w:p w14:paraId="5370A1A0">
            <w:pPr>
              <w:pStyle w:val="33"/>
              <w:spacing w:after="0"/>
              <w:ind w:left="0" w:leftChars="0" w:firstLine="0"/>
              <w:rPr>
                <w:rFonts w:hint="eastAsia"/>
                <w:color w:val="auto"/>
                <w:sz w:val="21"/>
                <w:szCs w:val="21"/>
                <w:highlight w:val="none"/>
                <w:lang w:val="en-US" w:eastAsia="zh-CN"/>
              </w:rPr>
            </w:pPr>
            <w:r>
              <w:rPr>
                <w:rFonts w:hint="eastAsia" w:ascii="宋体" w:hAnsi="宋体" w:cs="宋体"/>
                <w:color w:val="auto"/>
              </w:rPr>
              <w:t>★</w:t>
            </w:r>
            <w:r>
              <w:rPr>
                <w:rFonts w:hint="eastAsia" w:ascii="宋体" w:hAnsi="宋体" w:cs="宋体"/>
                <w:color w:val="auto"/>
                <w:szCs w:val="21"/>
                <w:highlight w:val="none"/>
              </w:rPr>
              <w:t>总体性能符合XF 494-2023标准，</w:t>
            </w:r>
            <w:r>
              <w:rPr>
                <w:rFonts w:hint="eastAsia" w:ascii="宋体" w:hAnsi="宋体" w:cs="宋体"/>
                <w:color w:val="auto"/>
                <w:kern w:val="0"/>
                <w:szCs w:val="21"/>
                <w:highlight w:val="none"/>
              </w:rPr>
              <w:t>提供国家认证认可检测机构出具的</w:t>
            </w:r>
            <w:r>
              <w:rPr>
                <w:rFonts w:hint="eastAsia"/>
                <w:color w:val="auto"/>
                <w:sz w:val="21"/>
                <w:szCs w:val="21"/>
                <w:highlight w:val="none"/>
                <w:lang w:val="en-US" w:eastAsia="zh-CN"/>
              </w:rPr>
              <w:t>与所投产品型号一致、完整有效的检验检测报告。</w:t>
            </w:r>
          </w:p>
          <w:p w14:paraId="05937A3D">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采用2重自锁系统，要经过水平扭转操作才能将锁门打开，避免锁门意外打开。</w:t>
            </w:r>
          </w:p>
          <w:p w14:paraId="4B3B45AE">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防钩挂锁鼻防止扣入和取绳时发生钩挂，</w:t>
            </w:r>
          </w:p>
          <w:p w14:paraId="6249C922">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纵向拉力≥22kN；</w:t>
            </w:r>
          </w:p>
          <w:p w14:paraId="4237B0B2">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横向拉力≥11kN；</w:t>
            </w:r>
          </w:p>
          <w:p w14:paraId="60F9474F">
            <w:pPr>
              <w:pStyle w:val="33"/>
              <w:spacing w:after="0"/>
              <w:ind w:left="0" w:leftChars="0"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开口拉力≥6kN</w:t>
            </w:r>
            <w:r>
              <w:rPr>
                <w:rFonts w:hint="eastAsia" w:ascii="宋体" w:hAnsi="宋体" w:cs="宋体"/>
                <w:color w:val="auto"/>
                <w:szCs w:val="21"/>
                <w:highlight w:val="none"/>
                <w:lang w:eastAsia="zh-CN"/>
              </w:rPr>
              <w:t>；</w:t>
            </w:r>
          </w:p>
          <w:p w14:paraId="7069A8D5">
            <w:pPr>
              <w:pStyle w:val="33"/>
              <w:spacing w:after="0"/>
              <w:ind w:left="0" w:leftChars="0"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重量≤260g</w:t>
            </w:r>
            <w:r>
              <w:rPr>
                <w:rFonts w:hint="eastAsia" w:ascii="宋体" w:hAnsi="宋体" w:cs="宋体"/>
                <w:color w:val="auto"/>
                <w:szCs w:val="21"/>
                <w:highlight w:val="none"/>
                <w:lang w:eastAsia="zh-CN"/>
              </w:rPr>
              <w:t>；</w:t>
            </w:r>
          </w:p>
          <w:p w14:paraId="31CD289C">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开口尺寸≥22mm。</w:t>
            </w:r>
          </w:p>
        </w:tc>
      </w:tr>
      <w:tr w14:paraId="57F6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3337B43B">
            <w:pPr>
              <w:spacing w:line="360" w:lineRule="auto"/>
              <w:jc w:val="center"/>
              <w:rPr>
                <w:rFonts w:hint="eastAsia"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6</w:t>
            </w:r>
          </w:p>
        </w:tc>
        <w:tc>
          <w:tcPr>
            <w:tcW w:w="736" w:type="pct"/>
            <w:vAlign w:val="center"/>
          </w:tcPr>
          <w:p w14:paraId="7EF66042">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D型丝扣主锁</w:t>
            </w:r>
          </w:p>
        </w:tc>
        <w:tc>
          <w:tcPr>
            <w:tcW w:w="376" w:type="pct"/>
            <w:vAlign w:val="center"/>
          </w:tcPr>
          <w:p w14:paraId="57FB4B56">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80</w:t>
            </w:r>
          </w:p>
        </w:tc>
        <w:tc>
          <w:tcPr>
            <w:tcW w:w="3551" w:type="pct"/>
          </w:tcPr>
          <w:p w14:paraId="16229FF4">
            <w:pPr>
              <w:widowControl/>
              <w:jc w:val="left"/>
              <w:textAlignment w:val="center"/>
              <w:rPr>
                <w:rFonts w:hint="eastAsia" w:ascii="宋体" w:hAnsi="宋体" w:cs="宋体"/>
                <w:color w:val="auto"/>
                <w:szCs w:val="21"/>
                <w:highlight w:val="none"/>
              </w:rPr>
            </w:pPr>
            <w:r>
              <w:rPr>
                <w:rFonts w:hint="eastAsia" w:ascii="宋体" w:hAnsi="宋体" w:cs="宋体"/>
                <w:color w:val="auto"/>
              </w:rPr>
              <w:t>★</w:t>
            </w:r>
            <w:r>
              <w:rPr>
                <w:rFonts w:hint="eastAsia" w:ascii="宋体" w:hAnsi="宋体" w:cs="宋体"/>
                <w:color w:val="auto"/>
                <w:szCs w:val="21"/>
                <w:highlight w:val="none"/>
              </w:rPr>
              <w:t>总体性能符合XF 494-2023标准，</w:t>
            </w:r>
            <w:r>
              <w:rPr>
                <w:rFonts w:hint="eastAsia" w:ascii="宋体" w:hAnsi="宋体" w:cs="宋体"/>
                <w:color w:val="auto"/>
                <w:kern w:val="0"/>
                <w:szCs w:val="21"/>
                <w:highlight w:val="none"/>
              </w:rPr>
              <w:t>提供国家认证认可检测机构出具的</w:t>
            </w:r>
            <w:r>
              <w:rPr>
                <w:rFonts w:hint="eastAsia"/>
                <w:sz w:val="21"/>
                <w:szCs w:val="21"/>
                <w:highlight w:val="none"/>
                <w:lang w:val="en-US" w:eastAsia="zh-CN"/>
              </w:rPr>
              <w:t>与所投产品型号一致、完整有效的检验检测报告。</w:t>
            </w:r>
          </w:p>
          <w:p w14:paraId="1BAF56A2">
            <w:pPr>
              <w:pStyle w:val="33"/>
              <w:numPr>
                <w:ilvl w:val="0"/>
                <w:numId w:val="6"/>
              </w:numPr>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采用丝扣锁，防钩挂锁鼻防止扣入和取绳时发生钩挂，</w:t>
            </w:r>
          </w:p>
          <w:p w14:paraId="0BC1DFED">
            <w:pPr>
              <w:pStyle w:val="33"/>
              <w:numPr>
                <w:ilvl w:val="0"/>
                <w:numId w:val="6"/>
              </w:numPr>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纵向拉力≥22kN；</w:t>
            </w:r>
          </w:p>
          <w:p w14:paraId="1A493BAC">
            <w:pPr>
              <w:pStyle w:val="33"/>
              <w:numPr>
                <w:ilvl w:val="0"/>
                <w:numId w:val="6"/>
              </w:numPr>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横向拉力≥11kN；</w:t>
            </w:r>
          </w:p>
          <w:p w14:paraId="36F500AF">
            <w:pPr>
              <w:pStyle w:val="33"/>
              <w:numPr>
                <w:ilvl w:val="0"/>
                <w:numId w:val="6"/>
              </w:numPr>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开口拉力≥6kN</w:t>
            </w:r>
            <w:r>
              <w:rPr>
                <w:rFonts w:hint="eastAsia" w:ascii="宋体" w:hAnsi="宋体" w:cs="宋体"/>
                <w:color w:val="auto"/>
                <w:szCs w:val="21"/>
                <w:highlight w:val="none"/>
                <w:lang w:eastAsia="zh-CN"/>
              </w:rPr>
              <w:t>；</w:t>
            </w:r>
          </w:p>
          <w:p w14:paraId="51478F9D">
            <w:pPr>
              <w:pStyle w:val="33"/>
              <w:numPr>
                <w:ilvl w:val="0"/>
                <w:numId w:val="6"/>
              </w:numPr>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重量≤260g</w:t>
            </w:r>
            <w:r>
              <w:rPr>
                <w:rFonts w:hint="eastAsia" w:ascii="宋体" w:hAnsi="宋体" w:cs="宋体"/>
                <w:color w:val="auto"/>
                <w:szCs w:val="21"/>
                <w:highlight w:val="none"/>
                <w:lang w:eastAsia="zh-CN"/>
              </w:rPr>
              <w:t>；</w:t>
            </w:r>
          </w:p>
          <w:p w14:paraId="60527483">
            <w:pPr>
              <w:pStyle w:val="33"/>
              <w:numPr>
                <w:ilvl w:val="0"/>
                <w:numId w:val="6"/>
              </w:numPr>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rPr>
              <w:t>开口尺寸≥22mm。</w:t>
            </w:r>
          </w:p>
        </w:tc>
      </w:tr>
      <w:tr w14:paraId="458A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7EB8F5AD">
            <w:pPr>
              <w:spacing w:line="360" w:lineRule="auto"/>
              <w:jc w:val="center"/>
              <w:rPr>
                <w:rFonts w:hint="eastAsia"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7</w:t>
            </w:r>
          </w:p>
        </w:tc>
        <w:tc>
          <w:tcPr>
            <w:tcW w:w="736" w:type="pct"/>
            <w:vAlign w:val="center"/>
          </w:tcPr>
          <w:p w14:paraId="2C8176C9">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O型丝扣钢锁</w:t>
            </w:r>
          </w:p>
        </w:tc>
        <w:tc>
          <w:tcPr>
            <w:tcW w:w="376" w:type="pct"/>
            <w:vAlign w:val="center"/>
          </w:tcPr>
          <w:p w14:paraId="0E9646E5">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80</w:t>
            </w:r>
          </w:p>
        </w:tc>
        <w:tc>
          <w:tcPr>
            <w:tcW w:w="3551" w:type="pct"/>
          </w:tcPr>
          <w:p w14:paraId="77BAF7BB">
            <w:pPr>
              <w:widowControl/>
              <w:jc w:val="left"/>
              <w:textAlignment w:val="center"/>
              <w:rPr>
                <w:rFonts w:hint="eastAsia" w:ascii="宋体" w:hAnsi="宋体" w:cs="宋体"/>
                <w:color w:val="auto"/>
                <w:szCs w:val="21"/>
                <w:highlight w:val="none"/>
              </w:rPr>
            </w:pPr>
            <w:r>
              <w:rPr>
                <w:rFonts w:hint="eastAsia" w:ascii="宋体" w:hAnsi="宋体" w:cs="宋体"/>
                <w:color w:val="auto"/>
              </w:rPr>
              <w:t>★</w:t>
            </w:r>
            <w:r>
              <w:rPr>
                <w:rFonts w:hint="eastAsia" w:ascii="宋体" w:hAnsi="宋体" w:cs="宋体"/>
                <w:color w:val="auto"/>
                <w:szCs w:val="21"/>
                <w:highlight w:val="none"/>
              </w:rPr>
              <w:t>总体性能符合XF 494-2023标准，</w:t>
            </w:r>
            <w:r>
              <w:rPr>
                <w:rFonts w:hint="eastAsia" w:ascii="宋体" w:hAnsi="宋体" w:cs="宋体"/>
                <w:color w:val="auto"/>
                <w:kern w:val="0"/>
                <w:szCs w:val="21"/>
                <w:highlight w:val="none"/>
              </w:rPr>
              <w:t>提供国家认证认可检测机构出具的</w:t>
            </w:r>
            <w:r>
              <w:rPr>
                <w:rFonts w:hint="eastAsia"/>
                <w:sz w:val="21"/>
                <w:szCs w:val="21"/>
                <w:highlight w:val="none"/>
                <w:lang w:val="en-US" w:eastAsia="zh-CN"/>
              </w:rPr>
              <w:t>与所投产品型号一致、完整有效的检验检测报告。</w:t>
            </w:r>
          </w:p>
          <w:p w14:paraId="0DCC63AA">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材质：钢制或更优材质；</w:t>
            </w:r>
          </w:p>
          <w:p w14:paraId="5C84138B">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锁扣类型：O型手动丝扣锁；</w:t>
            </w:r>
          </w:p>
          <w:p w14:paraId="32BA89DE">
            <w:pPr>
              <w:pStyle w:val="33"/>
              <w:spacing w:after="0"/>
              <w:ind w:left="0" w:leftChars="0"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纵向拉力≥30kN</w:t>
            </w:r>
            <w:r>
              <w:rPr>
                <w:rFonts w:hint="eastAsia" w:ascii="宋体" w:hAnsi="宋体" w:cs="宋体"/>
                <w:color w:val="auto"/>
                <w:szCs w:val="21"/>
                <w:highlight w:val="none"/>
                <w:lang w:eastAsia="zh-CN"/>
              </w:rPr>
              <w:t>；</w:t>
            </w:r>
          </w:p>
          <w:p w14:paraId="0F5AE015">
            <w:pPr>
              <w:pStyle w:val="33"/>
              <w:spacing w:after="0"/>
              <w:ind w:left="0" w:leftChars="0"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横向拉力≥9 kN</w:t>
            </w:r>
            <w:r>
              <w:rPr>
                <w:rFonts w:hint="eastAsia" w:ascii="宋体" w:hAnsi="宋体" w:cs="宋体"/>
                <w:color w:val="auto"/>
                <w:szCs w:val="21"/>
                <w:highlight w:val="none"/>
                <w:lang w:eastAsia="zh-CN"/>
              </w:rPr>
              <w:t>；</w:t>
            </w:r>
          </w:p>
          <w:p w14:paraId="5A613C9A">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开口拉力≥8kN；</w:t>
            </w:r>
          </w:p>
          <w:p w14:paraId="3EB1E98B">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.开门尺寸≥20mm；</w:t>
            </w:r>
          </w:p>
          <w:p w14:paraId="719B8141">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重量≤185g；</w:t>
            </w:r>
          </w:p>
          <w:p w14:paraId="27E15D22">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经48小时中性盐雾试验后，外观符合GB/T6461-2002外观等级评定轻微级要求。</w:t>
            </w:r>
          </w:p>
        </w:tc>
      </w:tr>
      <w:tr w14:paraId="54E7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46C4FAC4">
            <w:pPr>
              <w:spacing w:line="360" w:lineRule="auto"/>
              <w:jc w:val="center"/>
              <w:rPr>
                <w:rFonts w:hint="eastAsia"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8</w:t>
            </w:r>
          </w:p>
        </w:tc>
        <w:tc>
          <w:tcPr>
            <w:tcW w:w="736" w:type="pct"/>
            <w:vAlign w:val="center"/>
          </w:tcPr>
          <w:p w14:paraId="23D81EE1">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悬挂装备</w:t>
            </w:r>
          </w:p>
        </w:tc>
        <w:tc>
          <w:tcPr>
            <w:tcW w:w="376" w:type="pct"/>
            <w:vAlign w:val="center"/>
          </w:tcPr>
          <w:p w14:paraId="05077785">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2</w:t>
            </w:r>
          </w:p>
        </w:tc>
        <w:tc>
          <w:tcPr>
            <w:tcW w:w="3551" w:type="pct"/>
          </w:tcPr>
          <w:p w14:paraId="0CE8B915">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06343A01">
            <w:pPr>
              <w:pStyle w:val="33"/>
              <w:spacing w:after="0"/>
              <w:ind w:left="0" w:leftChars="0" w:firstLine="0"/>
              <w:rPr>
                <w:rFonts w:hint="eastAsia" w:ascii="宋体" w:hAnsi="宋体" w:cs="宋体"/>
                <w:color w:val="auto"/>
                <w:szCs w:val="21"/>
                <w:highlight w:val="yellow"/>
              </w:rPr>
            </w:pPr>
            <w:r>
              <w:rPr>
                <w:rFonts w:hint="eastAsia" w:ascii="宋体" w:hAnsi="宋体" w:cs="宋体"/>
                <w:color w:val="auto"/>
                <w:szCs w:val="21"/>
                <w:highlight w:val="none"/>
              </w:rPr>
              <w:t>由4条聚酰胺材质织带制成，配有铝制按键封锁螺旋机舱门接头。重量：≤675g.颜色：黑色，红色。</w:t>
            </w:r>
          </w:p>
          <w:p w14:paraId="217F7472">
            <w:pPr>
              <w:pStyle w:val="33"/>
              <w:spacing w:after="0"/>
              <w:ind w:left="0" w:leftChars="0" w:firstLine="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重量：≤5KG，长度：135CM</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150CM</w:t>
            </w:r>
            <w:r>
              <w:rPr>
                <w:rFonts w:hint="eastAsia" w:ascii="宋体" w:hAnsi="宋体" w:cs="宋体"/>
                <w:color w:val="auto"/>
                <w:szCs w:val="21"/>
                <w:highlight w:val="none"/>
              </w:rPr>
              <w:t>，宽度：92CM</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100CM</w:t>
            </w:r>
            <w:r>
              <w:rPr>
                <w:rFonts w:hint="eastAsia" w:ascii="宋体" w:hAnsi="宋体" w:cs="宋体"/>
                <w:color w:val="auto"/>
                <w:szCs w:val="21"/>
                <w:highlight w:val="none"/>
              </w:rPr>
              <w:t>，颜色：黑色</w:t>
            </w:r>
            <w:r>
              <w:rPr>
                <w:rFonts w:hint="eastAsia" w:ascii="宋体" w:hAnsi="宋体" w:cs="宋体"/>
                <w:color w:val="auto"/>
                <w:szCs w:val="21"/>
                <w:highlight w:val="none"/>
                <w:lang w:eastAsia="zh-CN"/>
              </w:rPr>
              <w:t>。</w:t>
            </w:r>
          </w:p>
        </w:tc>
      </w:tr>
      <w:tr w14:paraId="4FD6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5FE694AE">
            <w:pPr>
              <w:spacing w:line="360" w:lineRule="auto"/>
              <w:jc w:val="center"/>
              <w:rPr>
                <w:rFonts w:hint="eastAsia"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9</w:t>
            </w:r>
          </w:p>
        </w:tc>
        <w:tc>
          <w:tcPr>
            <w:tcW w:w="736" w:type="pct"/>
            <w:vAlign w:val="center"/>
          </w:tcPr>
          <w:p w14:paraId="20A16B3E">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大开口工程挂钩</w:t>
            </w:r>
          </w:p>
        </w:tc>
        <w:tc>
          <w:tcPr>
            <w:tcW w:w="376" w:type="pct"/>
            <w:vAlign w:val="center"/>
          </w:tcPr>
          <w:p w14:paraId="2428BEBA">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20</w:t>
            </w:r>
          </w:p>
        </w:tc>
        <w:tc>
          <w:tcPr>
            <w:tcW w:w="3551" w:type="pct"/>
          </w:tcPr>
          <w:p w14:paraId="05CE365A">
            <w:pPr>
              <w:widowControl/>
              <w:jc w:val="left"/>
              <w:textAlignment w:val="top"/>
              <w:rPr>
                <w:rFonts w:hint="eastAsia"/>
                <w:color w:val="auto"/>
                <w:highlight w:val="none"/>
                <w:lang w:val="en-US" w:eastAsia="zh-CN"/>
              </w:rPr>
            </w:pPr>
            <w:r>
              <w:rPr>
                <w:rFonts w:hint="eastAsia" w:ascii="宋体" w:hAnsi="宋体" w:cs="宋体"/>
                <w:color w:val="auto"/>
              </w:rPr>
              <w:t>★</w:t>
            </w:r>
            <w:r>
              <w:rPr>
                <w:rFonts w:hint="eastAsia"/>
                <w:color w:val="auto"/>
                <w:highlight w:val="none"/>
                <w:lang w:val="en-US" w:eastAsia="zh-CN"/>
              </w:rPr>
              <w:t>提供国家认证认可检测机构出具的与所投产品型号一致、完整有效的检验检测报告。</w:t>
            </w:r>
          </w:p>
          <w:p w14:paraId="5DE8F12C">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双保险的铝制连接器，具有宽阔的大开口，具有门控连接点，可连接到不同类型的挂绳，并且可随时更换连接绳或挽索。</w:t>
            </w:r>
          </w:p>
          <w:p w14:paraId="7D8B9693">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双杆锁定系统确保使用的安全性和易操作性</w:t>
            </w:r>
          </w:p>
          <w:p w14:paraId="084927BE">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拉力：不小于24KN，</w:t>
            </w:r>
          </w:p>
          <w:p w14:paraId="1A0B3CC8">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长度：不大于240mm，</w:t>
            </w:r>
          </w:p>
          <w:p w14:paraId="507D0B23">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宽度：不大于110mm，</w:t>
            </w:r>
          </w:p>
          <w:p w14:paraId="3487B947">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开口尺寸：不小于56mm</w:t>
            </w:r>
          </w:p>
          <w:p w14:paraId="3A7D0DA1">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重量：不大于460g</w:t>
            </w:r>
          </w:p>
        </w:tc>
      </w:tr>
      <w:tr w14:paraId="2002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1C25DB77">
            <w:pPr>
              <w:spacing w:line="360" w:lineRule="auto"/>
              <w:jc w:val="center"/>
              <w:rPr>
                <w:rFonts w:hint="default"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10</w:t>
            </w:r>
          </w:p>
        </w:tc>
        <w:tc>
          <w:tcPr>
            <w:tcW w:w="736" w:type="pct"/>
            <w:vAlign w:val="center"/>
          </w:tcPr>
          <w:p w14:paraId="5C5957A9">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梨形自动扣主锁</w:t>
            </w:r>
          </w:p>
        </w:tc>
        <w:tc>
          <w:tcPr>
            <w:tcW w:w="376" w:type="pct"/>
            <w:vAlign w:val="center"/>
          </w:tcPr>
          <w:p w14:paraId="14156381">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80</w:t>
            </w:r>
          </w:p>
        </w:tc>
        <w:tc>
          <w:tcPr>
            <w:tcW w:w="3551" w:type="pct"/>
          </w:tcPr>
          <w:p w14:paraId="38BE7E69">
            <w:pPr>
              <w:widowControl/>
              <w:jc w:val="left"/>
              <w:textAlignment w:val="center"/>
              <w:rPr>
                <w:rFonts w:hint="eastAsia" w:ascii="宋体" w:hAnsi="宋体" w:cs="宋体"/>
                <w:color w:val="auto"/>
                <w:szCs w:val="21"/>
                <w:highlight w:val="none"/>
              </w:rPr>
            </w:pPr>
            <w:r>
              <w:rPr>
                <w:rFonts w:hint="eastAsia" w:ascii="宋体" w:hAnsi="宋体" w:cs="宋体"/>
                <w:color w:val="auto"/>
              </w:rPr>
              <w:t>★</w:t>
            </w:r>
            <w:r>
              <w:rPr>
                <w:rFonts w:hint="eastAsia" w:ascii="宋体" w:hAnsi="宋体" w:cs="宋体"/>
                <w:color w:val="auto"/>
                <w:szCs w:val="21"/>
                <w:highlight w:val="none"/>
              </w:rPr>
              <w:t>总体性能符合XF 494-2023标准，</w:t>
            </w:r>
            <w:r>
              <w:rPr>
                <w:rFonts w:hint="eastAsia" w:ascii="宋体" w:hAnsi="宋体" w:cs="宋体"/>
                <w:color w:val="auto"/>
                <w:kern w:val="0"/>
                <w:szCs w:val="21"/>
                <w:highlight w:val="none"/>
              </w:rPr>
              <w:t>提供国家认证认可检测机构出具的</w:t>
            </w:r>
            <w:r>
              <w:rPr>
                <w:rFonts w:hint="eastAsia"/>
                <w:sz w:val="21"/>
                <w:szCs w:val="21"/>
                <w:highlight w:val="none"/>
                <w:lang w:val="en-US" w:eastAsia="zh-CN"/>
              </w:rPr>
              <w:t>与所投产品型号一致、完整有效的检验检测报告。</w:t>
            </w:r>
          </w:p>
          <w:p w14:paraId="73A4B97C">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多功能梨形登山扣，带螺丝门和可移动的固定杆，易于连接多个设备，用作锚固系统或挂绳中的固定连接器；</w:t>
            </w:r>
          </w:p>
          <w:p w14:paraId="5422438E">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材质：高强度合金或更优材质； </w:t>
            </w:r>
          </w:p>
          <w:p w14:paraId="58F665EC">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纵向拉力≥24kN，</w:t>
            </w:r>
          </w:p>
          <w:p w14:paraId="77FEAD38">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横向拉力≥8 kN，</w:t>
            </w:r>
          </w:p>
          <w:p w14:paraId="46BF2A12">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开口拉力≥8kN；</w:t>
            </w:r>
          </w:p>
          <w:p w14:paraId="4B3A873C">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开门尺寸≥23mm；</w:t>
            </w:r>
          </w:p>
          <w:p w14:paraId="1CA5D9FC">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重量≤85g；</w:t>
            </w:r>
          </w:p>
          <w:p w14:paraId="5DF65458">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经48小时中性盐雾试验后，外观符合GB/T6461-2002外观等级评定轻微级要求。</w:t>
            </w:r>
          </w:p>
        </w:tc>
      </w:tr>
      <w:tr w14:paraId="1A72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3A072099">
            <w:pPr>
              <w:spacing w:line="360" w:lineRule="auto"/>
              <w:jc w:val="center"/>
              <w:rPr>
                <w:rFonts w:hint="default"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11</w:t>
            </w:r>
          </w:p>
        </w:tc>
        <w:tc>
          <w:tcPr>
            <w:tcW w:w="736" w:type="pct"/>
            <w:vAlign w:val="center"/>
          </w:tcPr>
          <w:p w14:paraId="546FFDB6">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5:1滑轮组</w:t>
            </w:r>
          </w:p>
        </w:tc>
        <w:tc>
          <w:tcPr>
            <w:tcW w:w="376" w:type="pct"/>
            <w:vAlign w:val="center"/>
          </w:tcPr>
          <w:p w14:paraId="7EEE5ED6">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3551" w:type="pct"/>
          </w:tcPr>
          <w:p w14:paraId="0E9EB772">
            <w:pPr>
              <w:jc w:val="left"/>
              <w:rPr>
                <w:rFonts w:hint="eastAsia"/>
                <w:sz w:val="21"/>
                <w:szCs w:val="21"/>
                <w:highlight w:val="none"/>
                <w:lang w:val="en-US" w:eastAsia="zh-CN"/>
              </w:rPr>
            </w:pPr>
            <w:r>
              <w:rPr>
                <w:rFonts w:hint="eastAsia" w:ascii="宋体" w:hAnsi="宋体" w:cs="宋体"/>
                <w:color w:val="auto"/>
              </w:rPr>
              <w:t>★</w:t>
            </w:r>
            <w:r>
              <w:rPr>
                <w:rFonts w:hint="eastAsia"/>
                <w:color w:val="auto"/>
                <w:sz w:val="21"/>
                <w:szCs w:val="21"/>
                <w:highlight w:val="none"/>
                <w:lang w:val="en-US" w:eastAsia="zh-CN"/>
              </w:rPr>
              <w:t>提</w:t>
            </w:r>
            <w:r>
              <w:rPr>
                <w:rFonts w:hint="eastAsia"/>
                <w:sz w:val="21"/>
                <w:szCs w:val="21"/>
                <w:highlight w:val="none"/>
                <w:lang w:val="en-US" w:eastAsia="zh-CN"/>
              </w:rPr>
              <w:t>供国家认证认可检测机构出具的与所投产品型号一致、完整有效的检验检测报告。</w:t>
            </w:r>
          </w:p>
          <w:p w14:paraId="7B63FB15">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预组装系统，允许使用等于负载重量的1/5的力提升负载重量。</w:t>
            </w:r>
          </w:p>
          <w:p w14:paraId="72BB857B">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自锁装置可防止货物返回其先前位置。</w:t>
            </w:r>
          </w:p>
          <w:p w14:paraId="21143046">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绳长：＞15m，</w:t>
            </w:r>
          </w:p>
          <w:p w14:paraId="788FA357">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直径：＜10mm，</w:t>
            </w:r>
          </w:p>
          <w:p w14:paraId="0C636E35">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重量：＞1820g</w:t>
            </w:r>
          </w:p>
        </w:tc>
      </w:tr>
      <w:tr w14:paraId="5F6C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62D1B3B6">
            <w:pPr>
              <w:spacing w:line="360" w:lineRule="auto"/>
              <w:jc w:val="center"/>
              <w:rPr>
                <w:rFonts w:hint="default"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12</w:t>
            </w:r>
          </w:p>
        </w:tc>
        <w:tc>
          <w:tcPr>
            <w:tcW w:w="736" w:type="pct"/>
            <w:vAlign w:val="center"/>
          </w:tcPr>
          <w:p w14:paraId="70F4DD4C">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O型丝扣主锁</w:t>
            </w:r>
          </w:p>
        </w:tc>
        <w:tc>
          <w:tcPr>
            <w:tcW w:w="376" w:type="pct"/>
            <w:vAlign w:val="center"/>
          </w:tcPr>
          <w:p w14:paraId="4B386888">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80</w:t>
            </w:r>
          </w:p>
        </w:tc>
        <w:tc>
          <w:tcPr>
            <w:tcW w:w="3551" w:type="pct"/>
          </w:tcPr>
          <w:p w14:paraId="564DD728">
            <w:pPr>
              <w:pStyle w:val="33"/>
              <w:spacing w:after="0"/>
              <w:ind w:left="0" w:leftChars="0" w:firstLine="0"/>
              <w:rPr>
                <w:rFonts w:hint="eastAsia"/>
                <w:sz w:val="21"/>
                <w:szCs w:val="21"/>
                <w:highlight w:val="none"/>
                <w:lang w:val="en-US" w:eastAsia="zh-CN"/>
              </w:rPr>
            </w:pPr>
            <w:r>
              <w:rPr>
                <w:rFonts w:hint="eastAsia" w:ascii="宋体" w:hAnsi="宋体" w:cs="宋体"/>
                <w:color w:val="auto"/>
              </w:rPr>
              <w:t>★</w:t>
            </w:r>
            <w:r>
              <w:rPr>
                <w:rFonts w:hint="eastAsia" w:ascii="宋体" w:hAnsi="宋体" w:cs="宋体"/>
                <w:color w:val="auto"/>
                <w:szCs w:val="21"/>
                <w:highlight w:val="none"/>
              </w:rPr>
              <w:t>总体性能符合XF 494-2023标准，</w:t>
            </w:r>
            <w:r>
              <w:rPr>
                <w:rFonts w:hint="eastAsia" w:ascii="宋体" w:hAnsi="宋体" w:cs="宋体"/>
                <w:color w:val="auto"/>
                <w:kern w:val="0"/>
                <w:szCs w:val="21"/>
                <w:highlight w:val="none"/>
              </w:rPr>
              <w:t>提供国家认证认可检测机构出具的</w:t>
            </w:r>
            <w:r>
              <w:rPr>
                <w:rFonts w:hint="eastAsia"/>
                <w:sz w:val="21"/>
                <w:szCs w:val="21"/>
                <w:highlight w:val="none"/>
                <w:lang w:val="en-US" w:eastAsia="zh-CN"/>
              </w:rPr>
              <w:t>与所投产品型号一致、完整有效的检验检测报告。</w:t>
            </w:r>
          </w:p>
          <w:p w14:paraId="5C486CD6">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材质：铝合金或更优材质；</w:t>
            </w:r>
          </w:p>
          <w:p w14:paraId="7CABA684">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锁扣类型：O型手动丝扣锁；</w:t>
            </w:r>
          </w:p>
          <w:p w14:paraId="318BEBA7">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纵向拉力≥30kN，横向拉力≥9 kN，开口拉力≥8kN；</w:t>
            </w:r>
          </w:p>
          <w:p w14:paraId="7D8EDB3E">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开门尺寸≥20mm；</w:t>
            </w:r>
          </w:p>
          <w:p w14:paraId="2F694193">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重量≤185g；</w:t>
            </w:r>
          </w:p>
          <w:p w14:paraId="13D037ED">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经48小时中性盐雾试验后，外观符合GB/T6461-2002外观等级评定轻微级要求。</w:t>
            </w:r>
          </w:p>
        </w:tc>
      </w:tr>
      <w:tr w14:paraId="6EC5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3FEE317E">
            <w:pPr>
              <w:spacing w:line="360" w:lineRule="auto"/>
              <w:jc w:val="center"/>
              <w:rPr>
                <w:rFonts w:hint="default"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13</w:t>
            </w:r>
          </w:p>
        </w:tc>
        <w:tc>
          <w:tcPr>
            <w:tcW w:w="736" w:type="pct"/>
            <w:vAlign w:val="center"/>
          </w:tcPr>
          <w:p w14:paraId="59B750DA">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机械抓结</w:t>
            </w:r>
          </w:p>
        </w:tc>
        <w:tc>
          <w:tcPr>
            <w:tcW w:w="376" w:type="pct"/>
            <w:vAlign w:val="center"/>
          </w:tcPr>
          <w:p w14:paraId="07FDB2D0">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20</w:t>
            </w:r>
          </w:p>
        </w:tc>
        <w:tc>
          <w:tcPr>
            <w:tcW w:w="3551" w:type="pct"/>
          </w:tcPr>
          <w:p w14:paraId="280C0EE0">
            <w:pPr>
              <w:pStyle w:val="33"/>
              <w:spacing w:after="0"/>
              <w:ind w:left="0" w:leftChars="0" w:firstLine="0"/>
              <w:rPr>
                <w:rFonts w:hint="eastAsia"/>
                <w:sz w:val="21"/>
                <w:szCs w:val="21"/>
                <w:highlight w:val="none"/>
                <w:lang w:val="en-US" w:eastAsia="zh-CN"/>
              </w:rPr>
            </w:pPr>
            <w:r>
              <w:rPr>
                <w:rFonts w:hint="eastAsia" w:ascii="宋体" w:hAnsi="宋体" w:cs="宋体"/>
                <w:color w:val="auto"/>
              </w:rPr>
              <w:t>★</w:t>
            </w:r>
            <w:r>
              <w:rPr>
                <w:rFonts w:hint="eastAsia" w:ascii="宋体" w:hAnsi="宋体" w:cs="宋体"/>
                <w:color w:val="auto"/>
                <w:szCs w:val="21"/>
                <w:highlight w:val="none"/>
              </w:rPr>
              <w:t>执⾏标准：XF494-2023，</w:t>
            </w:r>
            <w:r>
              <w:rPr>
                <w:rFonts w:hint="eastAsia" w:ascii="宋体" w:hAnsi="宋体" w:cs="宋体"/>
                <w:color w:val="auto"/>
                <w:kern w:val="0"/>
                <w:szCs w:val="21"/>
                <w:highlight w:val="none"/>
              </w:rPr>
              <w:t>提供国家认证认可检测机构出具的</w:t>
            </w:r>
            <w:r>
              <w:rPr>
                <w:rFonts w:hint="eastAsia"/>
                <w:sz w:val="21"/>
                <w:szCs w:val="21"/>
                <w:highlight w:val="none"/>
                <w:lang w:val="en-US" w:eastAsia="zh-CN"/>
              </w:rPr>
              <w:t>与所投产品型号一致、完整有效的检验检测报告。</w:t>
            </w:r>
          </w:p>
          <w:p w14:paraId="4A3DDBAE">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、材质：铝合⾦，不锈钢，塑料</w:t>
            </w:r>
          </w:p>
          <w:p w14:paraId="379C367D">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、规格：≥109×69×22mm</w:t>
            </w:r>
          </w:p>
          <w:p w14:paraId="7EA726DD">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、适⽤绳径：≥8-13mm</w:t>
            </w:r>
          </w:p>
          <w:p w14:paraId="205463C2">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、⼯作负荷≥5kN</w:t>
            </w:r>
          </w:p>
          <w:p w14:paraId="3354CDF6">
            <w:pPr>
              <w:pStyle w:val="33"/>
              <w:spacing w:after="0"/>
              <w:ind w:left="0" w:leftChars="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、重量：≤140g</w:t>
            </w:r>
          </w:p>
        </w:tc>
      </w:tr>
    </w:tbl>
    <w:p w14:paraId="08DF846C">
      <w:pPr>
        <w:rPr>
          <w:rFonts w:hint="eastAsia"/>
        </w:rPr>
      </w:pPr>
    </w:p>
    <w:p w14:paraId="303924F4">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备</w:t>
      </w:r>
      <w:r>
        <w:rPr>
          <w:rFonts w:ascii="宋体" w:hAnsi="宋体"/>
          <w:b/>
          <w:bCs/>
          <w:color w:val="auto"/>
          <w:sz w:val="21"/>
          <w:szCs w:val="21"/>
          <w:highlight w:val="none"/>
        </w:rPr>
        <w:t>注：</w:t>
      </w:r>
    </w:p>
    <w:p w14:paraId="7D35FF9C">
      <w:pPr>
        <w:spacing w:line="360" w:lineRule="auto"/>
        <w:rPr>
          <w:rFonts w:hint="eastAsia" w:ascii="宋体" w:hAnsi="宋体"/>
          <w:b/>
          <w:bCs/>
          <w:color w:val="auto"/>
          <w:sz w:val="21"/>
          <w:szCs w:val="21"/>
          <w:highlight w:val="none"/>
        </w:rPr>
      </w:pPr>
      <w:r>
        <w:rPr>
          <w:rFonts w:ascii="宋体" w:hAnsi="宋体"/>
          <w:b/>
          <w:bCs/>
          <w:color w:val="auto"/>
          <w:sz w:val="21"/>
          <w:szCs w:val="21"/>
          <w:highlight w:val="none"/>
        </w:rPr>
        <w:t>（</w:t>
      </w:r>
      <w:r>
        <w:rPr>
          <w:rFonts w:hint="eastAsia" w:ascii="宋体" w:hAnsi="宋体"/>
          <w:b/>
          <w:bCs/>
          <w:color w:val="auto"/>
          <w:sz w:val="21"/>
          <w:szCs w:val="21"/>
          <w:highlight w:val="none"/>
        </w:rPr>
        <w:t>1</w:t>
      </w:r>
      <w:r>
        <w:rPr>
          <w:rFonts w:ascii="宋体" w:hAnsi="宋体"/>
          <w:b/>
          <w:bCs/>
          <w:color w:val="auto"/>
          <w:sz w:val="21"/>
          <w:szCs w:val="21"/>
          <w:highlight w:val="none"/>
        </w:rPr>
        <w:t>）</w:t>
      </w:r>
      <w:r>
        <w:rPr>
          <w:rFonts w:hint="eastAsia" w:ascii="宋体" w:hAnsi="宋体"/>
          <w:b/>
          <w:bCs/>
          <w:color w:val="auto"/>
          <w:sz w:val="21"/>
          <w:szCs w:val="21"/>
          <w:highlight w:val="none"/>
        </w:rPr>
        <w:t>每条技术参数响应不得照抄采购需求，应明确本投标产品具体参数且提供对应的佐证材料（佐证材料包括但不限于检测报告、产品彩页等），投标文件中未明确具体参数的，视为负偏离招标文件要求。</w:t>
      </w:r>
    </w:p>
    <w:p w14:paraId="19A0E7B0">
      <w:pPr>
        <w:spacing w:line="360" w:lineRule="auto"/>
        <w:rPr>
          <w:color w:val="auto"/>
        </w:rPr>
      </w:pPr>
      <w:r>
        <w:rPr>
          <w:rFonts w:ascii="宋体" w:hAnsi="宋体"/>
          <w:b/>
          <w:bCs/>
          <w:color w:val="auto"/>
          <w:sz w:val="21"/>
          <w:szCs w:val="21"/>
          <w:highlight w:val="none"/>
        </w:rPr>
        <w:t>（</w:t>
      </w:r>
      <w:r>
        <w:rPr>
          <w:rFonts w:hint="eastAsia" w:ascii="宋体" w:hAnsi="宋体"/>
          <w:b/>
          <w:bCs/>
          <w:color w:val="auto"/>
          <w:sz w:val="21"/>
          <w:szCs w:val="21"/>
          <w:highlight w:val="none"/>
        </w:rPr>
        <w:t>2</w:t>
      </w:r>
      <w:r>
        <w:rPr>
          <w:rFonts w:ascii="宋体" w:hAnsi="宋体"/>
          <w:b/>
          <w:bCs/>
          <w:color w:val="auto"/>
          <w:sz w:val="21"/>
          <w:szCs w:val="21"/>
          <w:highlight w:val="none"/>
        </w:rPr>
        <w:t>）投标文件中提供的检验检测报告或其他</w:t>
      </w:r>
      <w:r>
        <w:rPr>
          <w:rFonts w:hint="eastAsia" w:ascii="宋体" w:hAnsi="宋体"/>
          <w:b/>
          <w:bCs/>
          <w:color w:val="auto"/>
          <w:sz w:val="21"/>
          <w:szCs w:val="21"/>
          <w:highlight w:val="none"/>
        </w:rPr>
        <w:t>佐证材料</w:t>
      </w:r>
      <w:r>
        <w:rPr>
          <w:rFonts w:ascii="宋体" w:hAnsi="宋体"/>
          <w:b/>
          <w:bCs/>
          <w:color w:val="auto"/>
          <w:sz w:val="21"/>
          <w:szCs w:val="21"/>
          <w:highlight w:val="none"/>
        </w:rPr>
        <w:t>体现的技术参数若与投标文件中承诺的技术参数不一致的，以检验检测报告（或其他</w:t>
      </w:r>
      <w:r>
        <w:rPr>
          <w:rFonts w:hint="eastAsia" w:ascii="宋体" w:hAnsi="宋体"/>
          <w:b/>
          <w:bCs/>
          <w:color w:val="auto"/>
          <w:sz w:val="21"/>
          <w:szCs w:val="21"/>
          <w:highlight w:val="none"/>
        </w:rPr>
        <w:t>佐证材料</w:t>
      </w:r>
      <w:r>
        <w:rPr>
          <w:rFonts w:ascii="宋体" w:hAnsi="宋体"/>
          <w:b/>
          <w:bCs/>
          <w:color w:val="auto"/>
          <w:sz w:val="21"/>
          <w:szCs w:val="21"/>
          <w:highlight w:val="none"/>
        </w:rPr>
        <w:t>）体现的技术参数为准并按此技术参数进行评审。</w:t>
      </w:r>
    </w:p>
    <w:p w14:paraId="0851E3CD">
      <w:pPr>
        <w:rPr>
          <w:b/>
          <w:bCs/>
          <w:color w:val="auto"/>
          <w:sz w:val="21"/>
          <w:szCs w:val="21"/>
        </w:rPr>
      </w:pPr>
      <w:r>
        <w:rPr>
          <w:rFonts w:hint="eastAsia"/>
          <w:b/>
          <w:bCs/>
          <w:color w:val="auto"/>
          <w:sz w:val="21"/>
          <w:szCs w:val="21"/>
        </w:rPr>
        <w:t>二、其他要求</w:t>
      </w:r>
    </w:p>
    <w:p w14:paraId="54F3881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针对本项目的特点及“一、采购清单及技术参数等要求”对应的产品及技术参数，投标人应在投标文件中提供以下内容：</w:t>
      </w:r>
    </w:p>
    <w:p w14:paraId="7AF74CC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产品的生产工艺流程，质量控制措施和投标产品整体质量的可靠性详细说明：包括1）短期内频繁高效使用的质量可靠、2）恶劣环境情况下产品使用的质量可靠、3）投标产品生命周期内长期使用情况下的质量可靠。</w:t>
      </w:r>
    </w:p>
    <w:p w14:paraId="5F1DA37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2.进行重点难点的理解和分析，并提供项目技术解决方案和措施。</w:t>
      </w:r>
    </w:p>
    <w:p w14:paraId="427F357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3.产品的供货、安装调试方案及配送承诺等方案。</w:t>
      </w:r>
    </w:p>
    <w:p w14:paraId="5012484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4.结合采购人需求制定项目实施人员安排,包括但不限于项目实施人员安排。</w:t>
      </w:r>
    </w:p>
    <w:p w14:paraId="1730897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5.制定应急预案，供应商应提供项目保障应急预案，其中应包括现场应急处理、技术支撑保障、易损件备品备件、专用工具清单等。</w:t>
      </w:r>
    </w:p>
    <w:p w14:paraId="38402166">
      <w:pPr>
        <w:spacing w:line="360" w:lineRule="auto"/>
        <w:ind w:firstLine="420" w:firstLineChars="200"/>
        <w:rPr>
          <w:rFonts w:hint="eastAsia" w:ascii="宋体" w:hAnsi="宋体" w:cs="宋体"/>
          <w:b/>
          <w:color w:val="auto"/>
          <w:szCs w:val="21"/>
        </w:rPr>
      </w:pPr>
      <w:r>
        <w:rPr>
          <w:rFonts w:hint="eastAsia" w:ascii="宋体" w:hAnsi="宋体" w:eastAsia="宋体" w:cs="宋体"/>
          <w:color w:val="auto"/>
          <w:sz w:val="21"/>
          <w:szCs w:val="21"/>
        </w:rPr>
        <w:t>6.合理化建议及优惠承诺。</w:t>
      </w:r>
    </w:p>
    <w:p w14:paraId="2D6AF140">
      <w:pPr>
        <w:pStyle w:val="14"/>
        <w:spacing w:line="360" w:lineRule="auto"/>
        <w:ind w:left="0" w:leftChars="0" w:firstLine="0" w:firstLineChars="0"/>
        <w:rPr>
          <w:color w:val="auto"/>
        </w:rPr>
      </w:pPr>
      <w:r>
        <w:rPr>
          <w:rFonts w:hint="eastAsia" w:ascii="宋体" w:hAnsi="宋体" w:cs="宋体"/>
          <w:b/>
          <w:color w:val="auto"/>
          <w:szCs w:val="21"/>
          <w:lang w:val="en-US" w:eastAsia="zh-CN"/>
        </w:rPr>
        <w:t>三、</w:t>
      </w:r>
      <w:r>
        <w:rPr>
          <w:rFonts w:hint="eastAsia" w:ascii="宋体" w:hAnsi="宋体" w:cs="宋体"/>
          <w:b/>
          <w:color w:val="auto"/>
          <w:szCs w:val="21"/>
        </w:rPr>
        <w:t>◆商务要求</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7185"/>
      </w:tblGrid>
      <w:tr w14:paraId="4742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3E888F3B">
            <w:pPr>
              <w:jc w:val="center"/>
              <w:rPr>
                <w:rFonts w:ascii="宋体" w:hAnsi="宋体" w:cs="宋体"/>
                <w:b/>
                <w:szCs w:val="21"/>
              </w:rPr>
            </w:pPr>
            <w:r>
              <w:rPr>
                <w:rFonts w:ascii="宋体" w:hAnsi="宋体" w:cs="宋体"/>
                <w:b/>
                <w:szCs w:val="21"/>
              </w:rPr>
              <w:t>商务内容</w:t>
            </w:r>
          </w:p>
        </w:tc>
        <w:tc>
          <w:tcPr>
            <w:tcW w:w="4216" w:type="pct"/>
            <w:vAlign w:val="center"/>
          </w:tcPr>
          <w:p w14:paraId="063DB5A7">
            <w:pPr>
              <w:jc w:val="center"/>
              <w:rPr>
                <w:rFonts w:ascii="宋体" w:hAnsi="宋体" w:cs="宋体"/>
                <w:b/>
                <w:szCs w:val="21"/>
              </w:rPr>
            </w:pPr>
            <w:r>
              <w:rPr>
                <w:rFonts w:ascii="宋体" w:hAnsi="宋体" w:cs="宋体"/>
                <w:b/>
                <w:szCs w:val="21"/>
              </w:rPr>
              <w:t>具体商务要求</w:t>
            </w:r>
          </w:p>
        </w:tc>
      </w:tr>
      <w:tr w14:paraId="5447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04A42ED1">
            <w:pPr>
              <w:jc w:val="center"/>
              <w:rPr>
                <w:rFonts w:ascii="宋体" w:hAnsi="宋体" w:cs="宋体"/>
                <w:b/>
                <w:szCs w:val="21"/>
              </w:rPr>
            </w:pPr>
            <w:r>
              <w:rPr>
                <w:rFonts w:hint="eastAsia" w:ascii="宋体" w:hAnsi="宋体" w:cs="宋体"/>
                <w:b/>
                <w:szCs w:val="21"/>
              </w:rPr>
              <w:t>▲质保期</w:t>
            </w:r>
          </w:p>
        </w:tc>
        <w:tc>
          <w:tcPr>
            <w:tcW w:w="4216" w:type="pct"/>
            <w:vAlign w:val="center"/>
          </w:tcPr>
          <w:p w14:paraId="3C5DA681">
            <w:pPr>
              <w:rPr>
                <w:rFonts w:ascii="宋体" w:hAnsi="宋体" w:cs="宋体"/>
                <w:b/>
                <w:szCs w:val="21"/>
              </w:rPr>
            </w:pPr>
            <w:r>
              <w:rPr>
                <w:rFonts w:hint="eastAsia" w:ascii="宋体" w:hAnsi="宋体" w:cs="宋体"/>
                <w:b/>
                <w:szCs w:val="21"/>
              </w:rPr>
              <w:t>验收合格后不少于24个月。</w:t>
            </w:r>
          </w:p>
        </w:tc>
      </w:tr>
      <w:tr w14:paraId="49DB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3C4138D4">
            <w:pPr>
              <w:jc w:val="center"/>
              <w:rPr>
                <w:rFonts w:ascii="宋体" w:hAnsi="宋体" w:cs="宋体"/>
                <w:spacing w:val="-6"/>
                <w:szCs w:val="21"/>
              </w:rPr>
            </w:pPr>
            <w:r>
              <w:rPr>
                <w:rFonts w:hint="eastAsia" w:ascii="宋体" w:hAnsi="宋体" w:cs="宋体"/>
                <w:spacing w:val="-6"/>
                <w:szCs w:val="21"/>
              </w:rPr>
              <w:t>质量保证及售后服务要求</w:t>
            </w:r>
          </w:p>
          <w:p w14:paraId="5782DFD9">
            <w:pPr>
              <w:jc w:val="center"/>
              <w:rPr>
                <w:rFonts w:ascii="宋体" w:hAnsi="宋体" w:cs="宋体"/>
                <w:szCs w:val="21"/>
              </w:rPr>
            </w:pPr>
          </w:p>
        </w:tc>
        <w:tc>
          <w:tcPr>
            <w:tcW w:w="4216" w:type="pct"/>
            <w:vAlign w:val="center"/>
          </w:tcPr>
          <w:p w14:paraId="4607FB51">
            <w:pPr>
              <w:ind w:firstLine="396" w:firstLineChars="200"/>
              <w:rPr>
                <w:rFonts w:ascii="宋体" w:hAnsi="宋体" w:cs="宋体"/>
                <w:spacing w:val="-6"/>
                <w:szCs w:val="21"/>
              </w:rPr>
            </w:pPr>
            <w:r>
              <w:rPr>
                <w:rFonts w:hint="eastAsia" w:ascii="宋体" w:hAnsi="宋体" w:cs="宋体"/>
                <w:spacing w:val="-6"/>
                <w:szCs w:val="21"/>
              </w:rPr>
              <w:t>1.质量要求：所供产品是符合国家技术规范和质量标准的合格产品，且未曾使用，制造标准、安装标准及技术规范要求必须符合我国相关标准和使用方认可的有关国际标准，并符合采购人的采购要求。</w:t>
            </w:r>
          </w:p>
          <w:p w14:paraId="2D5F97D1">
            <w:pPr>
              <w:ind w:firstLine="396" w:firstLineChars="200"/>
              <w:rPr>
                <w:rFonts w:ascii="宋体" w:hAnsi="宋体" w:cs="宋体"/>
                <w:spacing w:val="-6"/>
                <w:szCs w:val="21"/>
              </w:rPr>
            </w:pPr>
            <w:r>
              <w:rPr>
                <w:rFonts w:hint="eastAsia" w:ascii="宋体" w:hAnsi="宋体" w:cs="宋体"/>
                <w:spacing w:val="-6"/>
                <w:szCs w:val="21"/>
              </w:rPr>
              <w:t>2.包装要求：所有产品货物外包装按相关规定执行，不得有破损和霉烂。运输、安装过程中发生的货物损毁、人身伤害的，一切法律责任由乙方承担。</w:t>
            </w:r>
          </w:p>
          <w:p w14:paraId="76F0C4E9">
            <w:pPr>
              <w:ind w:firstLine="396" w:firstLineChars="200"/>
              <w:rPr>
                <w:rFonts w:ascii="宋体" w:hAnsi="宋体" w:cs="宋体"/>
                <w:spacing w:val="-6"/>
                <w:szCs w:val="21"/>
              </w:rPr>
            </w:pPr>
            <w:r>
              <w:rPr>
                <w:rFonts w:hint="eastAsia" w:ascii="宋体" w:hAnsi="宋体" w:cs="宋体"/>
                <w:spacing w:val="-6"/>
                <w:szCs w:val="21"/>
              </w:rPr>
              <w:t>3.费用：中标人负责产品的包装、运输、装卸、安装、调试、验收等工作，产品正式交付采购人使用前进行安装、调试和质保期内设备正常运行所需一切必要耗材及其费用均由中标人负责。</w:t>
            </w:r>
          </w:p>
          <w:p w14:paraId="1FD9DBD2">
            <w:pPr>
              <w:ind w:firstLine="396" w:firstLineChars="200"/>
              <w:rPr>
                <w:rFonts w:ascii="宋体" w:hAnsi="宋体" w:cs="宋体"/>
                <w:spacing w:val="-6"/>
                <w:szCs w:val="21"/>
              </w:rPr>
            </w:pPr>
            <w:r>
              <w:rPr>
                <w:rFonts w:hint="eastAsia" w:ascii="宋体" w:hAnsi="宋体" w:cs="宋体"/>
                <w:spacing w:val="-6"/>
                <w:szCs w:val="21"/>
              </w:rPr>
              <w:t>4.保修要求：产品从采购人验收后合格之日起，保修按厂家规定标准执行。</w:t>
            </w:r>
          </w:p>
          <w:p w14:paraId="3D8D60A2">
            <w:pPr>
              <w:ind w:firstLine="396" w:firstLineChars="200"/>
              <w:rPr>
                <w:b/>
                <w:szCs w:val="21"/>
              </w:rPr>
            </w:pPr>
            <w:r>
              <w:rPr>
                <w:rFonts w:ascii="宋体" w:hAnsi="宋体" w:cs="宋体"/>
                <w:spacing w:val="-6"/>
                <w:szCs w:val="21"/>
              </w:rPr>
              <w:t>5.质保期：本项目质保期</w:t>
            </w:r>
            <w:r>
              <w:rPr>
                <w:rFonts w:hint="eastAsia" w:ascii="宋体" w:hAnsi="宋体" w:cs="宋体"/>
                <w:spacing w:val="-6"/>
                <w:szCs w:val="21"/>
              </w:rPr>
              <w:t>按“</w:t>
            </w:r>
            <w:r>
              <w:rPr>
                <w:rFonts w:hint="eastAsia"/>
                <w:bCs/>
                <w:szCs w:val="21"/>
              </w:rPr>
              <w:t>◆</w:t>
            </w:r>
            <w:r>
              <w:rPr>
                <w:rFonts w:hint="eastAsia" w:ascii="宋体" w:hAnsi="宋体" w:cs="宋体"/>
                <w:b/>
                <w:szCs w:val="21"/>
              </w:rPr>
              <w:t>商务要求</w:t>
            </w:r>
            <w:r>
              <w:rPr>
                <w:rFonts w:hint="eastAsia" w:ascii="宋体" w:hAnsi="宋体" w:cs="宋体"/>
                <w:spacing w:val="-6"/>
                <w:szCs w:val="21"/>
              </w:rPr>
              <w:t>”中规定的质保期要求执行，时间自货物测试完毕及采购人验收合格之日起。（</w:t>
            </w:r>
            <w:r>
              <w:rPr>
                <w:rFonts w:hint="eastAsia" w:ascii="宋体" w:hAnsi="宋体" w:cs="宋体"/>
                <w:b/>
                <w:spacing w:val="-6"/>
                <w:szCs w:val="21"/>
              </w:rPr>
              <w:t>若参数中质保期大于“</w:t>
            </w:r>
            <w:r>
              <w:rPr>
                <w:rFonts w:hint="eastAsia"/>
                <w:b/>
                <w:bCs/>
                <w:szCs w:val="21"/>
              </w:rPr>
              <w:t>◆</w:t>
            </w:r>
            <w:r>
              <w:rPr>
                <w:rFonts w:hint="eastAsia" w:ascii="宋体" w:hAnsi="宋体" w:cs="宋体"/>
                <w:b/>
                <w:szCs w:val="21"/>
              </w:rPr>
              <w:t>商务要求</w:t>
            </w:r>
            <w:r>
              <w:rPr>
                <w:rFonts w:hint="eastAsia" w:ascii="宋体" w:hAnsi="宋体" w:cs="宋体"/>
                <w:b/>
                <w:spacing w:val="-6"/>
                <w:szCs w:val="21"/>
              </w:rPr>
              <w:t>”中规定的质保期要求的，以参数中明确的为准</w:t>
            </w:r>
            <w:r>
              <w:rPr>
                <w:rFonts w:hint="eastAsia" w:ascii="宋体" w:hAnsi="宋体" w:cs="宋体"/>
                <w:spacing w:val="-6"/>
                <w:szCs w:val="21"/>
              </w:rPr>
              <w:t>）在质保期内如发现质量问题，实行包修、包换、包退，直至产品符合质量要求。投标人应保证货物为全新、未使用过的原装正品，保证所提供的货物的外观和内在质量都无任何问题。如质量出现问题，中标人负责“三包”，费用由中标人负责。</w:t>
            </w:r>
          </w:p>
          <w:p w14:paraId="78BCE5B3">
            <w:pPr>
              <w:ind w:firstLine="396" w:firstLineChars="200"/>
              <w:rPr>
                <w:rFonts w:ascii="宋体" w:hAnsi="宋体" w:cs="宋体"/>
                <w:spacing w:val="-6"/>
                <w:szCs w:val="21"/>
              </w:rPr>
            </w:pPr>
            <w:r>
              <w:rPr>
                <w:rFonts w:hint="eastAsia" w:ascii="宋体" w:hAnsi="宋体" w:cs="宋体"/>
                <w:spacing w:val="-6"/>
                <w:szCs w:val="21"/>
              </w:rPr>
              <w:t>6.中标人在产品保质期内，每年不少于2次定期上门对设备进行全面维护保养，保障设备正常运行。质保期满后，售后服务商应每半年不少于1次的主动回访，以便及时了解采购人的意见，迅速改变服务的不足之处。每年不少于1次实地巡检，及时掌握货物使用情况，以及货物的故障、缺陷情况，及时给予维修保养，并建立预警系统，保证售后服务及时性。</w:t>
            </w:r>
          </w:p>
          <w:p w14:paraId="1A1FD2CC">
            <w:pPr>
              <w:ind w:firstLine="396" w:firstLineChars="200"/>
              <w:rPr>
                <w:rFonts w:ascii="宋体" w:hAnsi="宋体" w:cs="宋体"/>
                <w:spacing w:val="-6"/>
                <w:szCs w:val="21"/>
              </w:rPr>
            </w:pPr>
            <w:r>
              <w:rPr>
                <w:rFonts w:hint="eastAsia" w:ascii="宋体" w:hAnsi="宋体" w:cs="宋体"/>
                <w:spacing w:val="-6"/>
                <w:szCs w:val="21"/>
              </w:rPr>
              <w:t>7.维修响应：中标人保证所供产品在质保期内因设备本身缺陷造成各种故障应由中标人免费提供技术服务和维修，若出现产品质量问题应能够在1小时内响应，2小时内提出解决方案，6小时内派维修人员到达现场维修，如需更换配件的，应在48小时内完成更换，对于维修期间超过10天的产品应提供备用产品供采购人使用。若中标人未能按时响应并完成维修的，采购人有权自行委托第三方维修或更换，采购人由此产生的费用由中标人全额承担，采购人并有权直接在未付中标人的款项中予以扣除。质保期满后，在接到用户需求后立即响应，对电话里不能解决的问题应在24 小时内到达现场；一般问题应在4小时内、重大问题应在24小时内解决或提出明确解决方案；如需更换配件的，应在48小时内完成更换。</w:t>
            </w:r>
          </w:p>
          <w:p w14:paraId="293B417A">
            <w:pPr>
              <w:ind w:firstLine="396" w:firstLineChars="200"/>
              <w:rPr>
                <w:rFonts w:ascii="宋体" w:hAnsi="宋体" w:cs="宋体"/>
                <w:spacing w:val="-6"/>
                <w:szCs w:val="21"/>
              </w:rPr>
            </w:pPr>
            <w:r>
              <w:rPr>
                <w:rFonts w:ascii="宋体" w:hAnsi="宋体" w:cs="宋体"/>
                <w:spacing w:val="-6"/>
                <w:szCs w:val="21"/>
              </w:rPr>
              <w:t>8.投标人须在投标文件中对报修、维修响应和项目组成员做出承诺，保修、维修响应和项目组成员未按投标承诺履约的，每次按5000元或合同总价的2%向采购人支付违约金，两者金额相冲突的，以金额高的为准。</w:t>
            </w:r>
          </w:p>
          <w:p w14:paraId="1041D8FA">
            <w:pPr>
              <w:ind w:firstLine="396" w:firstLineChars="200"/>
              <w:rPr>
                <w:rFonts w:ascii="宋体" w:hAnsi="宋体" w:cs="宋体"/>
                <w:spacing w:val="-6"/>
                <w:szCs w:val="21"/>
              </w:rPr>
            </w:pPr>
            <w:r>
              <w:rPr>
                <w:rFonts w:ascii="宋体" w:hAnsi="宋体" w:cs="宋体"/>
                <w:spacing w:val="-6"/>
                <w:szCs w:val="21"/>
              </w:rPr>
              <w:t>9.所提供的器材装备（包括核心部件）生产日期不得早于合同签订日期6个月以上。</w:t>
            </w:r>
          </w:p>
          <w:p w14:paraId="3E7E3E30">
            <w:pPr>
              <w:pStyle w:val="33"/>
              <w:spacing w:after="0"/>
              <w:ind w:left="0" w:leftChars="0" w:firstLine="396" w:firstLineChars="200"/>
              <w:rPr>
                <w:rFonts w:ascii="宋体" w:hAnsi="宋体" w:cs="宋体"/>
                <w:spacing w:val="-6"/>
                <w:szCs w:val="21"/>
              </w:rPr>
            </w:pPr>
            <w:r>
              <w:rPr>
                <w:rFonts w:hint="eastAsia" w:ascii="宋体" w:hAnsi="宋体" w:cs="宋体"/>
                <w:spacing w:val="-6"/>
                <w:szCs w:val="21"/>
              </w:rPr>
              <w:t>10.在质保期内，供应商负责为设备提供免费维修、保养。（此处所称维修保养，仅指供应商所供货物正常使用的保养或因本身质量缺陷造成维修，如因车辆交通事故或不可抗力造成的维修不在本条所列）</w:t>
            </w:r>
          </w:p>
          <w:p w14:paraId="272F4286">
            <w:pPr>
              <w:ind w:firstLine="420" w:firstLineChars="200"/>
              <w:rPr>
                <w:rFonts w:ascii="宋体" w:hAnsi="宋体" w:cs="宋体"/>
              </w:rPr>
            </w:pPr>
            <w:r>
              <w:rPr>
                <w:rFonts w:hint="eastAsia" w:ascii="宋体" w:hAnsi="宋体" w:cs="宋体"/>
              </w:rPr>
              <w:t>11.质保期外定期进行免费维护保养，服务商应提供制造商的服务技术规范，采购人可获得有关维修等级、所需时间、工时计算项目、配件价格的信息。如设备损坏需要更换配件，只收取配件成本费用，免工程师维修费和差旅等人工费。</w:t>
            </w:r>
          </w:p>
          <w:p w14:paraId="39D547E4">
            <w:pPr>
              <w:ind w:firstLine="420" w:firstLineChars="200"/>
              <w:rPr>
                <w:rFonts w:ascii="宋体" w:hAnsi="宋体" w:cs="宋体"/>
              </w:rPr>
            </w:pPr>
            <w:r>
              <w:rPr>
                <w:rFonts w:hint="eastAsia" w:ascii="宋体" w:hAnsi="宋体" w:cs="宋体"/>
              </w:rPr>
              <w:t>12.供应商应提供24小时的电话服务，支持工程师提供专业技术服务。公开售后服务商的联系方式、公司名称、公司地址、邮政编码、公司主页、电子邮件、联系电话及传真，不断完善服务管理和拓展新的服务模式，接受采购人的监督和批评。</w:t>
            </w:r>
          </w:p>
          <w:p w14:paraId="68426E29">
            <w:pPr>
              <w:ind w:firstLine="420" w:firstLineChars="200"/>
              <w:rPr>
                <w:rFonts w:ascii="宋体" w:hAnsi="宋体" w:cs="宋体"/>
              </w:rPr>
            </w:pPr>
            <w:r>
              <w:rPr>
                <w:rFonts w:hint="eastAsia" w:ascii="宋体" w:hAnsi="宋体" w:cs="宋体"/>
              </w:rPr>
              <w:t>13.售后服务商应认真、完整、真实地填写保养、保修、维修记录，并经采购人盖章确认。采购人有权查阅保养、保修、维修记录。</w:t>
            </w:r>
          </w:p>
          <w:p w14:paraId="0CFDC7F5">
            <w:pPr>
              <w:pStyle w:val="33"/>
              <w:ind w:left="0" w:leftChars="0" w:firstLine="396" w:firstLineChars="200"/>
              <w:rPr>
                <w:rFonts w:ascii="宋体" w:hAnsi="宋体" w:cs="宋体"/>
                <w:szCs w:val="21"/>
              </w:rPr>
            </w:pPr>
            <w:r>
              <w:rPr>
                <w:rFonts w:ascii="宋体" w:hAnsi="宋体" w:cs="宋体"/>
                <w:spacing w:val="-6"/>
                <w:szCs w:val="21"/>
              </w:rPr>
              <w:t>1</w:t>
            </w:r>
            <w:r>
              <w:rPr>
                <w:rFonts w:hint="eastAsia" w:ascii="宋体" w:hAnsi="宋体" w:cs="宋体"/>
                <w:spacing w:val="-6"/>
                <w:szCs w:val="21"/>
              </w:rPr>
              <w:t>4</w:t>
            </w:r>
            <w:r>
              <w:rPr>
                <w:rFonts w:ascii="宋体" w:hAnsi="宋体" w:cs="宋体"/>
                <w:spacing w:val="-6"/>
                <w:szCs w:val="21"/>
              </w:rPr>
              <w:t>.</w:t>
            </w:r>
            <w:r>
              <w:rPr>
                <w:rFonts w:hint="eastAsia" w:ascii="宋体" w:hAnsi="宋体" w:cs="宋体"/>
                <w:szCs w:val="21"/>
              </w:rPr>
              <w:t>投标人应在投标文件中提供针对本项目的售后服务方案，服务方案内容至少包括服务承诺、服务体系、售后机构、响应时间等。</w:t>
            </w:r>
          </w:p>
        </w:tc>
      </w:tr>
      <w:tr w14:paraId="3553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11816704">
            <w:pPr>
              <w:jc w:val="center"/>
              <w:rPr>
                <w:rFonts w:ascii="宋体" w:hAnsi="宋体" w:cs="宋体"/>
                <w:szCs w:val="21"/>
              </w:rPr>
            </w:pPr>
            <w:r>
              <w:rPr>
                <w:rFonts w:hint="eastAsia" w:ascii="宋体" w:hAnsi="宋体" w:cs="宋体"/>
                <w:szCs w:val="21"/>
              </w:rPr>
              <w:t>培训要求</w:t>
            </w:r>
          </w:p>
        </w:tc>
        <w:tc>
          <w:tcPr>
            <w:tcW w:w="4216" w:type="pct"/>
            <w:vAlign w:val="center"/>
          </w:tcPr>
          <w:p w14:paraId="4138907D">
            <w:pPr>
              <w:ind w:firstLine="420" w:firstLineChars="200"/>
              <w:rPr>
                <w:rFonts w:ascii="宋体" w:hAnsi="宋体" w:cs="宋体"/>
                <w:szCs w:val="21"/>
              </w:rPr>
            </w:pPr>
            <w:r>
              <w:rPr>
                <w:rFonts w:hint="eastAsia" w:ascii="宋体" w:hAnsi="宋体" w:cs="宋体"/>
                <w:szCs w:val="21"/>
              </w:rPr>
              <w:t>1.验收之前，如有必要，供应商应在供货后一个月内安排不少于两天时间为采购人提供使用培训和日常维管培训。</w:t>
            </w:r>
          </w:p>
          <w:p w14:paraId="1A904867">
            <w:pPr>
              <w:ind w:firstLine="420" w:firstLineChars="200"/>
              <w:rPr>
                <w:rFonts w:ascii="宋体" w:hAnsi="宋体" w:cs="宋体"/>
                <w:szCs w:val="21"/>
              </w:rPr>
            </w:pPr>
            <w:r>
              <w:rPr>
                <w:rFonts w:hint="eastAsia" w:ascii="宋体" w:hAnsi="宋体" w:cs="宋体"/>
                <w:szCs w:val="21"/>
              </w:rPr>
              <w:t>2.设备软件如有升级，供应商应安排免费专项培训保证采购人能继续正常使用。</w:t>
            </w:r>
          </w:p>
          <w:p w14:paraId="5EA15D47">
            <w:pPr>
              <w:ind w:firstLine="420" w:firstLineChars="200"/>
              <w:rPr>
                <w:rFonts w:ascii="宋体" w:hAnsi="宋体" w:cs="宋体"/>
                <w:szCs w:val="21"/>
              </w:rPr>
            </w:pPr>
            <w:r>
              <w:rPr>
                <w:rFonts w:hint="eastAsia" w:ascii="宋体" w:hAnsi="宋体" w:cs="宋体"/>
                <w:szCs w:val="21"/>
              </w:rPr>
              <w:t>3．供应商每年开展的例行性免费培训不得少于1次，培训地点、形式由采购人确定，并做到在整个货物使用寿命期间的技术咨询。</w:t>
            </w:r>
          </w:p>
          <w:p w14:paraId="7C89F01A">
            <w:pPr>
              <w:ind w:firstLine="420" w:firstLineChars="200"/>
              <w:rPr>
                <w:rFonts w:ascii="宋体" w:hAnsi="宋体" w:cs="宋体"/>
                <w:szCs w:val="21"/>
              </w:rPr>
            </w:pPr>
            <w:r>
              <w:rPr>
                <w:rFonts w:hint="eastAsia" w:ascii="宋体" w:hAnsi="宋体" w:cs="宋体"/>
                <w:szCs w:val="21"/>
              </w:rPr>
              <w:t>4.投标人须对培训或售后服务做出承诺，承诺内容包括但不仅限于以下方面：负责提供采购人操作人员的使用培训，提供技术咨询，并在供货后一个月内组织人员对产品的使用、维护等方面进行现场指导，所产生的一切费用由投标人支付。若中标人违约，每次按5000元或合同总价的2%向采购人支付违约金，两者金额相冲突的，以金额高的为准。</w:t>
            </w:r>
          </w:p>
          <w:p w14:paraId="7F49794B">
            <w:pPr>
              <w:ind w:firstLine="420" w:firstLineChars="200"/>
              <w:rPr>
                <w:rFonts w:ascii="宋体" w:hAnsi="宋体" w:cs="宋体"/>
                <w:szCs w:val="21"/>
              </w:rPr>
            </w:pPr>
            <w:r>
              <w:rPr>
                <w:rFonts w:hint="eastAsia" w:ascii="宋体" w:hAnsi="宋体" w:cs="宋体"/>
                <w:szCs w:val="21"/>
              </w:rPr>
              <w:t>5.投标人应在投标文件中提供针对本项目的培训方案。</w:t>
            </w:r>
          </w:p>
        </w:tc>
      </w:tr>
      <w:tr w14:paraId="5FC3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1D9B3F31">
            <w:pPr>
              <w:jc w:val="center"/>
              <w:rPr>
                <w:rFonts w:ascii="宋体" w:hAnsi="宋体" w:cs="宋体"/>
                <w:szCs w:val="21"/>
              </w:rPr>
            </w:pPr>
            <w:r>
              <w:rPr>
                <w:rFonts w:hint="eastAsia" w:ascii="宋体" w:hAnsi="宋体" w:cs="宋体"/>
                <w:szCs w:val="21"/>
              </w:rPr>
              <w:t>交货时间</w:t>
            </w:r>
          </w:p>
          <w:p w14:paraId="11142BCA">
            <w:pPr>
              <w:jc w:val="center"/>
              <w:rPr>
                <w:rFonts w:ascii="宋体" w:hAnsi="宋体" w:cs="宋体"/>
                <w:szCs w:val="21"/>
              </w:rPr>
            </w:pPr>
            <w:r>
              <w:rPr>
                <w:rFonts w:hint="eastAsia" w:ascii="宋体" w:hAnsi="宋体" w:cs="宋体"/>
                <w:szCs w:val="21"/>
              </w:rPr>
              <w:t>及地点</w:t>
            </w:r>
          </w:p>
        </w:tc>
        <w:tc>
          <w:tcPr>
            <w:tcW w:w="4216" w:type="pct"/>
          </w:tcPr>
          <w:p w14:paraId="0D06C261">
            <w:pPr>
              <w:ind w:firstLine="422" w:firstLineChars="200"/>
              <w:rPr>
                <w:rFonts w:ascii="宋体" w:hAnsi="宋体" w:cs="宋体"/>
                <w:b/>
                <w:szCs w:val="21"/>
              </w:rPr>
            </w:pPr>
            <w:r>
              <w:rPr>
                <w:rFonts w:hint="eastAsia" w:ascii="宋体" w:hAnsi="宋体" w:cs="宋体"/>
                <w:b/>
                <w:bCs/>
                <w:szCs w:val="21"/>
              </w:rPr>
              <w:t>▲</w:t>
            </w:r>
            <w:r>
              <w:rPr>
                <w:rFonts w:hint="eastAsia" w:ascii="宋体" w:hAnsi="宋体" w:cs="宋体"/>
                <w:b/>
                <w:szCs w:val="21"/>
              </w:rPr>
              <w:t>交货时间：合同签订之日起60天完成交货</w:t>
            </w:r>
            <w:r>
              <w:rPr>
                <w:rFonts w:hint="eastAsia" w:ascii="宋体" w:hAnsi="宋体" w:cs="宋体"/>
                <w:b/>
                <w:spacing w:val="-6"/>
                <w:szCs w:val="21"/>
              </w:rPr>
              <w:t>，交采购人验收。</w:t>
            </w:r>
          </w:p>
          <w:p w14:paraId="1BA0B275">
            <w:pPr>
              <w:ind w:firstLine="420" w:firstLineChars="200"/>
              <w:rPr>
                <w:rFonts w:ascii="宋体" w:hAnsi="宋体" w:cs="宋体"/>
                <w:szCs w:val="21"/>
              </w:rPr>
            </w:pPr>
            <w:r>
              <w:rPr>
                <w:rFonts w:hint="eastAsia" w:ascii="宋体" w:hAnsi="宋体" w:cs="宋体"/>
                <w:szCs w:val="21"/>
              </w:rPr>
              <w:t xml:space="preserve">地点：采购人指定地点（以合同为准）。 </w:t>
            </w:r>
          </w:p>
        </w:tc>
      </w:tr>
      <w:tr w14:paraId="2083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016C93BF">
            <w:pPr>
              <w:jc w:val="center"/>
              <w:rPr>
                <w:rFonts w:ascii="宋体" w:hAnsi="宋体" w:cs="宋体"/>
                <w:b/>
                <w:snapToGrid w:val="0"/>
                <w:kern w:val="0"/>
                <w:szCs w:val="21"/>
                <w:highlight w:val="none"/>
              </w:rPr>
            </w:pPr>
            <w:r>
              <w:rPr>
                <w:rFonts w:hint="eastAsia" w:ascii="宋体" w:hAnsi="宋体" w:cs="宋体"/>
                <w:b/>
                <w:bCs/>
                <w:szCs w:val="21"/>
                <w:highlight w:val="none"/>
              </w:rPr>
              <w:t>▲</w:t>
            </w:r>
            <w:r>
              <w:rPr>
                <w:rFonts w:hint="eastAsia" w:ascii="宋体" w:hAnsi="宋体" w:cs="宋体"/>
                <w:b/>
                <w:szCs w:val="21"/>
                <w:highlight w:val="none"/>
              </w:rPr>
              <w:t>履约保证金</w:t>
            </w:r>
          </w:p>
        </w:tc>
        <w:tc>
          <w:tcPr>
            <w:tcW w:w="4216" w:type="pct"/>
            <w:vAlign w:val="center"/>
          </w:tcPr>
          <w:p w14:paraId="21C85168">
            <w:pPr>
              <w:numPr>
                <w:ilvl w:val="0"/>
                <w:numId w:val="0"/>
              </w:numPr>
              <w:ind w:firstLine="422" w:firstLineChars="200"/>
              <w:rPr>
                <w:rFonts w:hint="eastAsia" w:ascii="宋体" w:hAnsi="宋体" w:cs="宋体"/>
                <w:b/>
                <w:bCs/>
                <w:color w:val="auto"/>
                <w:szCs w:val="21"/>
              </w:rPr>
            </w:pPr>
            <w:r>
              <w:rPr>
                <w:rFonts w:hint="eastAsia" w:ascii="宋体" w:hAnsi="宋体" w:cs="宋体"/>
                <w:b/>
                <w:bCs/>
                <w:color w:val="auto"/>
                <w:szCs w:val="21"/>
                <w:lang w:val="en-US" w:eastAsia="zh-CN"/>
              </w:rPr>
              <w:t>1.</w:t>
            </w:r>
            <w:r>
              <w:rPr>
                <w:rFonts w:hint="eastAsia" w:ascii="宋体" w:hAnsi="宋体" w:cs="宋体"/>
                <w:b/>
                <w:bCs/>
                <w:color w:val="auto"/>
                <w:szCs w:val="21"/>
              </w:rPr>
              <w:t>合同签订后7个工作日内,中标人向采购人支付中标价1%的履约保证金（履约保证金以支票、汇票、本票、银行保函、转账等非现金形式提交）。</w:t>
            </w:r>
          </w:p>
          <w:p w14:paraId="11AB946A">
            <w:pPr>
              <w:numPr>
                <w:ilvl w:val="0"/>
                <w:numId w:val="0"/>
              </w:numPr>
              <w:ind w:firstLine="422" w:firstLineChars="200"/>
              <w:rPr>
                <w:rFonts w:ascii="宋体" w:hAnsi="宋体" w:cs="宋体"/>
                <w:b/>
                <w:snapToGrid w:val="0"/>
                <w:kern w:val="0"/>
                <w:szCs w:val="21"/>
                <w:highlight w:val="none"/>
              </w:rPr>
            </w:pPr>
            <w:r>
              <w:rPr>
                <w:rFonts w:hint="eastAsia" w:ascii="宋体" w:hAnsi="宋体" w:cs="宋体"/>
                <w:b/>
                <w:bCs/>
                <w:color w:val="auto"/>
                <w:szCs w:val="21"/>
              </w:rPr>
              <w:t>2.履约保证金在质保期满后凭《无质量疑义证明文件》，30天内全额无息退还。</w:t>
            </w:r>
          </w:p>
        </w:tc>
      </w:tr>
      <w:tr w14:paraId="2C33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42E7FB04">
            <w:pPr>
              <w:jc w:val="center"/>
              <w:rPr>
                <w:rFonts w:ascii="宋体" w:hAnsi="宋体" w:cs="宋体"/>
                <w:b/>
                <w:szCs w:val="21"/>
              </w:rPr>
            </w:pPr>
            <w:r>
              <w:rPr>
                <w:rFonts w:hint="eastAsia" w:ascii="宋体" w:hAnsi="宋体" w:cs="宋体"/>
                <w:b/>
                <w:bCs/>
                <w:szCs w:val="21"/>
              </w:rPr>
              <w:t>▲</w:t>
            </w:r>
            <w:r>
              <w:rPr>
                <w:rFonts w:hint="eastAsia" w:ascii="宋体" w:hAnsi="宋体" w:cs="宋体"/>
                <w:b/>
                <w:szCs w:val="21"/>
              </w:rPr>
              <w:t>付款条件</w:t>
            </w:r>
          </w:p>
        </w:tc>
        <w:tc>
          <w:tcPr>
            <w:tcW w:w="4216" w:type="pct"/>
          </w:tcPr>
          <w:p w14:paraId="2D03BBBC">
            <w:pPr>
              <w:ind w:firstLine="398" w:firstLineChars="200"/>
              <w:rPr>
                <w:rFonts w:ascii="宋体" w:hAnsi="宋体" w:cs="宋体"/>
                <w:b/>
                <w:szCs w:val="21"/>
              </w:rPr>
            </w:pPr>
            <w:r>
              <w:rPr>
                <w:rFonts w:hint="eastAsia" w:ascii="宋体" w:hAnsi="宋体" w:cs="宋体"/>
                <w:b/>
                <w:color w:val="auto"/>
                <w:spacing w:val="-6"/>
                <w:szCs w:val="21"/>
              </w:rPr>
              <w:t>本合同签订之日起25个工作日内，在收到乙方根据甲方要求为甲方或甲方相关预算单位开具的等额有效发票后，甲方或甲方相关预算单位向乙方预付合同总金额的40%作为预付款</w:t>
            </w:r>
            <w:r>
              <w:rPr>
                <w:rFonts w:hint="eastAsia" w:ascii="宋体" w:hAnsi="宋体" w:cs="宋体"/>
                <w:b/>
                <w:color w:val="auto"/>
                <w:spacing w:val="-6"/>
                <w:szCs w:val="21"/>
                <w:lang w:eastAsia="zh-CN"/>
              </w:rPr>
              <w:t>；</w:t>
            </w:r>
            <w:r>
              <w:rPr>
                <w:rFonts w:hint="eastAsia" w:ascii="宋体" w:hAnsi="宋体" w:cs="宋体"/>
                <w:b/>
                <w:color w:val="auto"/>
                <w:spacing w:val="-6"/>
                <w:szCs w:val="21"/>
              </w:rPr>
              <w:t>全部货物交货、经采购人验收合格并经采购人委托的第三方审价机构审计完成,凭《装备验收单》和审计意见支付剩余合同金额。采购人凭中标人提供的等额有效发票进行付款。</w:t>
            </w:r>
          </w:p>
        </w:tc>
      </w:tr>
      <w:tr w14:paraId="6A8F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5A94945C">
            <w:pPr>
              <w:jc w:val="center"/>
              <w:rPr>
                <w:rFonts w:ascii="宋体" w:hAnsi="宋体" w:cs="宋体"/>
                <w:szCs w:val="21"/>
              </w:rPr>
            </w:pPr>
            <w:r>
              <w:rPr>
                <w:rFonts w:hint="eastAsia" w:ascii="宋体" w:hAnsi="宋体" w:cs="宋体"/>
                <w:szCs w:val="21"/>
              </w:rPr>
              <w:t>验收方案</w:t>
            </w:r>
          </w:p>
          <w:p w14:paraId="02FC2B3F">
            <w:pPr>
              <w:jc w:val="center"/>
              <w:rPr>
                <w:rFonts w:ascii="宋体" w:hAnsi="宋体" w:cs="宋体"/>
                <w:szCs w:val="21"/>
              </w:rPr>
            </w:pPr>
            <w:r>
              <w:rPr>
                <w:rFonts w:hint="eastAsia" w:ascii="宋体" w:hAnsi="宋体" w:cs="宋体"/>
                <w:szCs w:val="21"/>
              </w:rPr>
              <w:t>及要求</w:t>
            </w:r>
          </w:p>
        </w:tc>
        <w:tc>
          <w:tcPr>
            <w:tcW w:w="4216" w:type="pct"/>
            <w:vAlign w:val="center"/>
          </w:tcPr>
          <w:p w14:paraId="3154FC3C">
            <w:pPr>
              <w:keepNext w:val="0"/>
              <w:keepLines w:val="0"/>
              <w:widowControl/>
              <w:suppressLineNumbers w:val="0"/>
              <w:ind w:firstLine="420" w:firstLineChars="200"/>
              <w:jc w:val="left"/>
              <w:rPr>
                <w:rFonts w:ascii="宋体" w:hAnsi="宋体" w:cs="宋体"/>
                <w:szCs w:val="21"/>
              </w:rPr>
            </w:pPr>
            <w:r>
              <w:rPr>
                <w:rFonts w:hint="eastAsia" w:ascii="宋体" w:hAnsi="宋体" w:cs="宋体"/>
                <w:color w:val="auto"/>
                <w:szCs w:val="21"/>
              </w:rPr>
              <w:t>本项目将严格按照政府采购相关法律法规、行业管理规定的要求</w:t>
            </w:r>
            <w:r>
              <w:rPr>
                <w:rFonts w:hint="eastAsia" w:ascii="宋体" w:hAnsi="宋体" w:cs="宋体"/>
                <w:color w:val="auto"/>
                <w:szCs w:val="21"/>
                <w:lang w:val="en-US" w:eastAsia="zh-CN"/>
              </w:rPr>
              <w:t>以及《浙江省消防救援总队关于印发浙江省消防救援队伍灭火救援装备验收管理规定（试行）的通知》的要求进行验收。若嘉兴市消防救援支队新颁布验收管理规定，则按嘉兴市消防救援支队的验收管理规定执行。</w:t>
            </w:r>
            <w:r>
              <w:rPr>
                <w:rFonts w:hint="eastAsia" w:ascii="宋体" w:hAnsi="宋体" w:cs="宋体"/>
                <w:color w:val="auto"/>
                <w:szCs w:val="21"/>
              </w:rPr>
              <w:t>对产品技术性能指标验收不合格的（包含所供货物与合同约定不一致的），采购人应督促中标人限期整改，整改期限原则上不超过30天，整改完成后进行复验，复验不合格的，采购人有权终止合同并没收履约保证金。</w:t>
            </w:r>
          </w:p>
        </w:tc>
      </w:tr>
      <w:tr w14:paraId="7041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724E5A9C">
            <w:pPr>
              <w:jc w:val="center"/>
              <w:rPr>
                <w:rFonts w:ascii="宋体" w:hAnsi="宋体" w:cs="宋体"/>
                <w:b/>
                <w:szCs w:val="21"/>
              </w:rPr>
            </w:pPr>
            <w:r>
              <w:rPr>
                <w:rFonts w:hint="eastAsia" w:ascii="宋体" w:hAnsi="宋体" w:cs="宋体"/>
                <w:b/>
                <w:bCs/>
                <w:szCs w:val="21"/>
              </w:rPr>
              <w:t>▲</w:t>
            </w:r>
            <w:r>
              <w:rPr>
                <w:rFonts w:hint="eastAsia" w:ascii="宋体" w:hAnsi="宋体" w:cs="宋体"/>
                <w:b/>
                <w:szCs w:val="21"/>
              </w:rPr>
              <w:t>制作RFID数字管理标签</w:t>
            </w:r>
          </w:p>
        </w:tc>
        <w:tc>
          <w:tcPr>
            <w:tcW w:w="4216" w:type="pct"/>
            <w:vAlign w:val="center"/>
          </w:tcPr>
          <w:p w14:paraId="3E2E3149">
            <w:pPr>
              <w:ind w:firstLine="422" w:firstLineChars="200"/>
              <w:rPr>
                <w:rFonts w:ascii="宋体" w:hAnsi="宋体" w:cs="宋体"/>
                <w:b/>
                <w:szCs w:val="21"/>
              </w:rPr>
            </w:pPr>
            <w:r>
              <w:rPr>
                <w:rFonts w:hint="eastAsia" w:ascii="宋体" w:hAnsi="宋体" w:cs="宋体"/>
                <w:b/>
                <w:szCs w:val="21"/>
              </w:rPr>
              <w:t>交货前，所有器材供货厂家须在应急管理部消防救援局消防装备物资信息采集系统（http://xfzb.119.gov.cn）录入符合本次招标采购要求的装备信息（包括车辆以及随车器材），根据本次招标要求的装备信息申请编码，并按照国家消防救援局和浙江省消防救援总队要求，制作RFID数字管理标签。中标人提供产品（包括车辆以及随车器材）要正确安装RFID标签并预先填写系统分配的RFID编码。供应商必须对上述要求在投标文件中做出承诺(格式自拟)，并且由此所产生的费用必须包含在投标报价内，供应商不提供相关承诺的，视为未实质性响应招标文件要求，投标无效。</w:t>
            </w:r>
            <w:r>
              <w:rPr>
                <w:rFonts w:ascii="宋体" w:hAnsi="宋体" w:cs="宋体"/>
                <w:b/>
                <w:szCs w:val="21"/>
              </w:rPr>
              <w:t>RFID标签的安装方案请联系浙江省消防救援装备物资综合保障平台客服人员，无法申请部局编码的产品也需要申请浙江消防救援装备物资综合保障平台编码。客服电话：13361648122，13022636979</w:t>
            </w:r>
            <w:r>
              <w:rPr>
                <w:rFonts w:hint="eastAsia" w:ascii="宋体" w:hAnsi="宋体" w:cs="宋体"/>
                <w:b/>
                <w:szCs w:val="21"/>
              </w:rPr>
              <w:t>。</w:t>
            </w:r>
          </w:p>
        </w:tc>
      </w:tr>
      <w:tr w14:paraId="0ADA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5343F124">
            <w:pPr>
              <w:jc w:val="center"/>
              <w:rPr>
                <w:rFonts w:ascii="宋体" w:hAnsi="宋体" w:cs="宋体"/>
                <w:b/>
                <w:bCs/>
                <w:szCs w:val="21"/>
              </w:rPr>
            </w:pPr>
            <w:r>
              <w:rPr>
                <w:rFonts w:hint="eastAsia" w:ascii="宋体" w:hAnsi="宋体" w:cs="宋体"/>
                <w:b/>
                <w:bCs/>
                <w:szCs w:val="21"/>
              </w:rPr>
              <w:t>其他要求</w:t>
            </w:r>
          </w:p>
        </w:tc>
        <w:tc>
          <w:tcPr>
            <w:tcW w:w="4216" w:type="pct"/>
            <w:vAlign w:val="center"/>
          </w:tcPr>
          <w:p w14:paraId="5FB9A5E4">
            <w:pPr>
              <w:ind w:firstLine="420" w:firstLineChars="200"/>
              <w:rPr>
                <w:rFonts w:ascii="宋体" w:hAnsi="宋体" w:cs="宋体"/>
                <w:szCs w:val="21"/>
              </w:rPr>
            </w:pPr>
            <w:r>
              <w:rPr>
                <w:rFonts w:hint="eastAsia" w:ascii="宋体" w:hAnsi="宋体" w:cs="宋体"/>
                <w:szCs w:val="21"/>
              </w:rPr>
              <w:t>1.在项目实施过程中，严格遵守国家相关保密与安全法律法规，遵循采购人各项安全保密制度和规章；工作人员对工作中涉及到的用户的数据、文件等任何资料进行保密。因工作人员的行为造成泄密等问题由中标人承担相应的责任。</w:t>
            </w:r>
          </w:p>
          <w:p w14:paraId="030398F4">
            <w:pPr>
              <w:ind w:firstLine="420" w:firstLineChars="200"/>
              <w:rPr>
                <w:rFonts w:ascii="宋体" w:hAnsi="宋体" w:cs="宋体"/>
                <w:szCs w:val="21"/>
              </w:rPr>
            </w:pPr>
            <w:r>
              <w:rPr>
                <w:rFonts w:hint="eastAsia" w:ascii="宋体" w:hAnsi="宋体" w:cs="宋体"/>
                <w:szCs w:val="21"/>
              </w:rPr>
              <w:t>2.所投产品须承诺不侵犯他人知识产权或专利，若侵犯他人知识产权或专利等所有法律问题，均由中标人负责。</w:t>
            </w:r>
          </w:p>
          <w:p w14:paraId="1ED3E989">
            <w:pPr>
              <w:ind w:firstLine="422" w:firstLineChars="200"/>
              <w:rPr>
                <w:rFonts w:hint="eastAsia" w:eastAsia="宋体"/>
                <w:b/>
                <w:szCs w:val="21"/>
                <w:lang w:eastAsia="zh-CN"/>
              </w:rPr>
            </w:pPr>
            <w:r>
              <w:rPr>
                <w:rFonts w:hint="eastAsia" w:ascii="宋体" w:hAnsi="宋体"/>
                <w:b/>
                <w:szCs w:val="21"/>
                <w:highlight w:val="none"/>
              </w:rPr>
              <w:t>3.▲对列入强制性认证产品目录中的产品须提供强制性认证证书（CCC证书）。</w:t>
            </w:r>
          </w:p>
        </w:tc>
      </w:tr>
    </w:tbl>
    <w:p w14:paraId="11463E14">
      <w:pPr>
        <w:rPr>
          <w:rFonts w:hint="default" w:eastAsia="宋体"/>
          <w:lang w:val="en-US" w:eastAsia="zh-CN"/>
        </w:rPr>
        <w:sectPr>
          <w:pgSz w:w="11906" w:h="16838"/>
          <w:pgMar w:top="1440" w:right="1800" w:bottom="1440" w:left="1800" w:header="851" w:footer="992" w:gutter="0"/>
          <w:cols w:space="720" w:num="1"/>
          <w:titlePg/>
          <w:docGrid w:type="lines" w:linePitch="312" w:charSpace="0"/>
        </w:sectPr>
      </w:pPr>
    </w:p>
    <w:p w14:paraId="039B5165">
      <w:pPr>
        <w:spacing w:line="360" w:lineRule="auto"/>
        <w:jc w:val="center"/>
        <w:outlineLvl w:val="0"/>
        <w:rPr>
          <w:rFonts w:ascii="宋体" w:hAnsi="宋体" w:cs="宋体"/>
          <w:b/>
          <w:color w:val="auto"/>
          <w:spacing w:val="-6"/>
          <w:sz w:val="32"/>
          <w:szCs w:val="32"/>
        </w:rPr>
      </w:pPr>
      <w:r>
        <w:rPr>
          <w:rFonts w:hint="eastAsia" w:ascii="宋体" w:hAnsi="宋体" w:cs="宋体"/>
          <w:b/>
          <w:color w:val="auto"/>
          <w:spacing w:val="-6"/>
          <w:sz w:val="32"/>
          <w:szCs w:val="32"/>
        </w:rPr>
        <w:t>第四部分  评分办法及评分标准</w:t>
      </w:r>
      <w:bookmarkEnd w:id="10"/>
    </w:p>
    <w:p w14:paraId="1F4E9F71">
      <w:pPr>
        <w:adjustRightInd w:val="0"/>
        <w:snapToGrid w:val="0"/>
        <w:spacing w:line="360" w:lineRule="auto"/>
        <w:ind w:firstLine="420"/>
        <w:rPr>
          <w:rFonts w:ascii="宋体" w:hAnsi="宋体" w:cs="宋体"/>
          <w:bCs/>
          <w:color w:val="auto"/>
          <w:spacing w:val="-6"/>
          <w:sz w:val="24"/>
        </w:rPr>
      </w:pPr>
      <w:r>
        <w:rPr>
          <w:rFonts w:hint="eastAsia" w:ascii="宋体" w:hAnsi="宋体" w:cs="宋体"/>
          <w:bCs/>
          <w:color w:val="auto"/>
          <w:spacing w:val="-6"/>
          <w:sz w:val="24"/>
        </w:rPr>
        <w:t>为公正、公平、科学地选择中标人，根据有关法律法规的规定，并结合本项目的实际，制定本办法。</w:t>
      </w:r>
    </w:p>
    <w:p w14:paraId="6CDC5E25">
      <w:pPr>
        <w:spacing w:line="360" w:lineRule="auto"/>
        <w:outlineLvl w:val="1"/>
        <w:rPr>
          <w:rFonts w:ascii="宋体" w:hAnsi="宋体" w:cs="宋体"/>
          <w:b/>
          <w:color w:val="auto"/>
          <w:spacing w:val="-6"/>
          <w:sz w:val="24"/>
        </w:rPr>
      </w:pPr>
      <w:r>
        <w:rPr>
          <w:rFonts w:hint="eastAsia" w:ascii="宋体" w:hAnsi="宋体" w:cs="宋体"/>
          <w:b/>
          <w:color w:val="auto"/>
          <w:spacing w:val="-6"/>
          <w:sz w:val="24"/>
        </w:rPr>
        <w:t>一、总则</w:t>
      </w:r>
    </w:p>
    <w:p w14:paraId="1C4FA510">
      <w:pPr>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本次评标采用</w:t>
      </w:r>
      <w:r>
        <w:rPr>
          <w:rFonts w:hint="eastAsia" w:ascii="宋体" w:hAnsi="宋体" w:cs="宋体"/>
          <w:b/>
          <w:color w:val="auto"/>
          <w:spacing w:val="-6"/>
          <w:sz w:val="24"/>
        </w:rPr>
        <w:t>综合评分法</w:t>
      </w:r>
      <w:r>
        <w:rPr>
          <w:rFonts w:hint="eastAsia" w:ascii="宋体" w:hAnsi="宋体" w:cs="宋体"/>
          <w:bCs/>
          <w:color w:val="auto"/>
          <w:spacing w:val="-6"/>
          <w:sz w:val="24"/>
        </w:rPr>
        <w:t>，总分为100分。合格投标人的评标得分为各项目汇总得分，中标候选资格按评标得分由高到低顺序排列，得分相同的，按投标报价得分由高到低顺序排列；得分且投标报价相同的，按技术得分由高到低顺序排列。排名第一的投标人为中标候选人。评分计算过程中采用四舍五入法，并保留小数2位。</w:t>
      </w:r>
    </w:p>
    <w:p w14:paraId="4FFC16B9">
      <w:pPr>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商务、技术及价格分按照评标委员会成员的独立评分结果汇总后的算术平均分计算，计算公式为：</w:t>
      </w:r>
    </w:p>
    <w:p w14:paraId="0C649924">
      <w:pPr>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商务、技术分=评标委员会所有成员评分合计数/评标委员会人数</w:t>
      </w:r>
    </w:p>
    <w:p w14:paraId="68626C1A">
      <w:pPr>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投标人评标综合得分=价格分+商务技术分</w:t>
      </w:r>
    </w:p>
    <w:p w14:paraId="2BD3795B">
      <w:pPr>
        <w:spacing w:line="360" w:lineRule="auto"/>
        <w:outlineLvl w:val="1"/>
        <w:rPr>
          <w:rFonts w:ascii="宋体" w:hAnsi="宋体" w:cs="宋体"/>
          <w:b/>
          <w:color w:val="auto"/>
          <w:spacing w:val="-6"/>
          <w:sz w:val="24"/>
        </w:rPr>
      </w:pPr>
      <w:r>
        <w:rPr>
          <w:rFonts w:hint="eastAsia" w:ascii="宋体" w:hAnsi="宋体" w:cs="宋体"/>
          <w:b/>
          <w:color w:val="auto"/>
          <w:spacing w:val="-6"/>
          <w:sz w:val="24"/>
        </w:rPr>
        <w:t>二、评标内容及标准</w:t>
      </w:r>
    </w:p>
    <w:p w14:paraId="4CACA97D">
      <w:pPr>
        <w:adjustRightInd w:val="0"/>
        <w:snapToGrid w:val="0"/>
        <w:spacing w:line="360" w:lineRule="auto"/>
        <w:ind w:firstLine="458" w:firstLineChars="200"/>
        <w:rPr>
          <w:rFonts w:ascii="宋体" w:hAnsi="宋体" w:cs="宋体"/>
          <w:b/>
          <w:color w:val="auto"/>
          <w:spacing w:val="-6"/>
          <w:sz w:val="24"/>
        </w:rPr>
      </w:pPr>
      <w:r>
        <w:rPr>
          <w:rFonts w:hint="eastAsia" w:ascii="宋体" w:hAnsi="宋体" w:cs="宋体"/>
          <w:b/>
          <w:color w:val="auto"/>
          <w:spacing w:val="-6"/>
          <w:sz w:val="24"/>
        </w:rPr>
        <w:t>1.投标价格（30分）</w:t>
      </w:r>
    </w:p>
    <w:p w14:paraId="28816CE2">
      <w:pPr>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报价的合理性：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bookmarkStart w:id="11" w:name="_Toc345320402"/>
      <w:r>
        <w:rPr>
          <w:rFonts w:hint="eastAsia" w:ascii="宋体" w:hAnsi="宋体" w:cs="宋体"/>
          <w:bCs/>
          <w:color w:val="auto"/>
          <w:spacing w:val="-6"/>
          <w:sz w:val="24"/>
        </w:rPr>
        <w:t>；投标人不能证明其报价合理性的，评标委员会应当将其作为无效投标处理。</w:t>
      </w:r>
    </w:p>
    <w:p w14:paraId="2CE2D9FB">
      <w:pPr>
        <w:adjustRightInd w:val="0"/>
        <w:snapToGrid w:val="0"/>
        <w:spacing w:line="360" w:lineRule="auto"/>
        <w:ind w:firstLine="458" w:firstLineChars="200"/>
        <w:rPr>
          <w:rFonts w:ascii="宋体" w:hAnsi="宋体" w:cs="宋体"/>
          <w:b/>
          <w:color w:val="auto"/>
          <w:spacing w:val="-6"/>
          <w:sz w:val="24"/>
        </w:rPr>
      </w:pPr>
      <w:r>
        <w:rPr>
          <w:rFonts w:hint="eastAsia" w:ascii="宋体" w:hAnsi="宋体" w:cs="宋体"/>
          <w:b/>
          <w:color w:val="auto"/>
          <w:spacing w:val="-6"/>
          <w:sz w:val="24"/>
        </w:rPr>
        <w:t>2.商务技术</w:t>
      </w:r>
      <w:bookmarkEnd w:id="11"/>
      <w:r>
        <w:rPr>
          <w:rFonts w:hint="eastAsia" w:ascii="宋体" w:hAnsi="宋体" w:cs="宋体"/>
          <w:b/>
          <w:color w:val="auto"/>
          <w:spacing w:val="-6"/>
          <w:sz w:val="24"/>
        </w:rPr>
        <w:t>（70分）</w:t>
      </w:r>
    </w:p>
    <w:p w14:paraId="77293E5C">
      <w:pPr>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该评分分值由评标委员会根据评审情况在分值范围内独立打分（具体分值设定详见表格），小数点后保留一位小数。每个投标人的最终得分为评标委员会打分汇总后的算术平均值（小数点后保留二位小数，第三位四舍五入）。</w:t>
      </w:r>
    </w:p>
    <w:p w14:paraId="61F0F226">
      <w:pPr>
        <w:adjustRightInd w:val="0"/>
        <w:snapToGrid w:val="0"/>
        <w:spacing w:line="360" w:lineRule="auto"/>
        <w:ind w:firstLine="458" w:firstLineChars="200"/>
        <w:rPr>
          <w:rFonts w:ascii="宋体" w:hAnsi="宋体" w:cs="宋体"/>
          <w:b/>
          <w:bCs w:val="0"/>
          <w:color w:val="auto"/>
          <w:spacing w:val="-6"/>
          <w:sz w:val="24"/>
          <w:highlight w:val="none"/>
        </w:rPr>
      </w:pPr>
      <w:r>
        <w:rPr>
          <w:rFonts w:hint="eastAsia" w:ascii="宋体" w:hAnsi="宋体" w:cs="宋体"/>
          <w:b/>
          <w:bCs w:val="0"/>
          <w:color w:val="auto"/>
          <w:spacing w:val="-6"/>
          <w:sz w:val="24"/>
          <w:highlight w:val="none"/>
        </w:rPr>
        <w:t>评审标准如下：</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089"/>
        <w:gridCol w:w="640"/>
        <w:gridCol w:w="5702"/>
      </w:tblGrid>
      <w:tr w14:paraId="581B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5F101530">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类型</w:t>
            </w:r>
          </w:p>
        </w:tc>
        <w:tc>
          <w:tcPr>
            <w:tcW w:w="639" w:type="pct"/>
            <w:vAlign w:val="center"/>
          </w:tcPr>
          <w:p w14:paraId="71BE4A5E">
            <w:pPr>
              <w:spacing w:line="360" w:lineRule="auto"/>
              <w:jc w:val="center"/>
              <w:rPr>
                <w:rFonts w:ascii="宋体" w:hAnsi="宋体" w:cs="宋体"/>
                <w:b/>
                <w:bCs/>
                <w:szCs w:val="21"/>
              </w:rPr>
            </w:pPr>
            <w:r>
              <w:rPr>
                <w:rFonts w:hint="eastAsia" w:ascii="宋体" w:hAnsi="宋体" w:cs="宋体"/>
                <w:b/>
                <w:bCs/>
                <w:szCs w:val="21"/>
              </w:rPr>
              <w:t>评审因素</w:t>
            </w:r>
          </w:p>
        </w:tc>
        <w:tc>
          <w:tcPr>
            <w:tcW w:w="375" w:type="pct"/>
            <w:vAlign w:val="center"/>
          </w:tcPr>
          <w:p w14:paraId="7C969968">
            <w:pPr>
              <w:spacing w:line="360" w:lineRule="auto"/>
              <w:jc w:val="center"/>
              <w:rPr>
                <w:rFonts w:ascii="宋体" w:hAnsi="宋体" w:cs="宋体"/>
                <w:b/>
                <w:bCs/>
                <w:szCs w:val="21"/>
              </w:rPr>
            </w:pPr>
            <w:r>
              <w:rPr>
                <w:rFonts w:hint="eastAsia" w:ascii="宋体" w:hAnsi="宋体" w:cs="宋体"/>
                <w:b/>
                <w:bCs/>
                <w:szCs w:val="21"/>
              </w:rPr>
              <w:t>分值</w:t>
            </w:r>
          </w:p>
        </w:tc>
        <w:tc>
          <w:tcPr>
            <w:tcW w:w="3345" w:type="pct"/>
            <w:vAlign w:val="center"/>
          </w:tcPr>
          <w:p w14:paraId="1574F4FF">
            <w:pPr>
              <w:spacing w:line="360" w:lineRule="auto"/>
              <w:jc w:val="center"/>
              <w:rPr>
                <w:rFonts w:ascii="宋体" w:hAnsi="宋体" w:cs="宋体"/>
                <w:b/>
                <w:bCs/>
                <w:szCs w:val="21"/>
              </w:rPr>
            </w:pPr>
            <w:r>
              <w:rPr>
                <w:rFonts w:hint="eastAsia" w:ascii="宋体" w:hAnsi="宋体" w:cs="宋体"/>
                <w:b/>
                <w:bCs/>
                <w:szCs w:val="21"/>
              </w:rPr>
              <w:t>评分细则</w:t>
            </w:r>
          </w:p>
        </w:tc>
      </w:tr>
      <w:tr w14:paraId="00E7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153B20C2">
            <w:pPr>
              <w:spacing w:line="360" w:lineRule="auto"/>
              <w:jc w:val="center"/>
              <w:rPr>
                <w:rFonts w:hint="eastAsia" w:ascii="宋体" w:hAnsi="宋体" w:cs="宋体"/>
                <w:b/>
                <w:bCs/>
                <w:szCs w:val="21"/>
              </w:rPr>
            </w:pPr>
          </w:p>
        </w:tc>
        <w:tc>
          <w:tcPr>
            <w:tcW w:w="4360" w:type="pct"/>
            <w:gridSpan w:val="3"/>
            <w:vAlign w:val="center"/>
          </w:tcPr>
          <w:p w14:paraId="5244AA15">
            <w:pPr>
              <w:spacing w:line="360" w:lineRule="auto"/>
              <w:jc w:val="center"/>
              <w:rPr>
                <w:rFonts w:ascii="宋体" w:hAnsi="宋体" w:cs="宋体"/>
                <w:b/>
                <w:bCs/>
                <w:szCs w:val="21"/>
              </w:rPr>
            </w:pPr>
            <w:r>
              <w:rPr>
                <w:rFonts w:hint="eastAsia" w:ascii="宋体" w:hAnsi="宋体" w:cs="宋体"/>
                <w:b/>
                <w:bCs/>
                <w:szCs w:val="21"/>
              </w:rPr>
              <w:t>价格分</w:t>
            </w:r>
          </w:p>
        </w:tc>
      </w:tr>
      <w:tr w14:paraId="3963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639" w:type="pct"/>
            <w:tcBorders>
              <w:top w:val="single" w:color="auto" w:sz="4" w:space="0"/>
              <w:left w:val="single" w:color="auto" w:sz="4" w:space="0"/>
              <w:bottom w:val="single" w:color="auto" w:sz="4" w:space="0"/>
              <w:right w:val="single" w:color="auto" w:sz="4" w:space="0"/>
            </w:tcBorders>
            <w:vAlign w:val="center"/>
          </w:tcPr>
          <w:p w14:paraId="6D1AD5DC">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客观分</w:t>
            </w:r>
          </w:p>
        </w:tc>
        <w:tc>
          <w:tcPr>
            <w:tcW w:w="639" w:type="pct"/>
            <w:tcBorders>
              <w:top w:val="single" w:color="auto" w:sz="4" w:space="0"/>
              <w:left w:val="single" w:color="auto" w:sz="4" w:space="0"/>
              <w:bottom w:val="single" w:color="auto" w:sz="4" w:space="0"/>
              <w:right w:val="single" w:color="auto" w:sz="4" w:space="0"/>
            </w:tcBorders>
            <w:vAlign w:val="center"/>
          </w:tcPr>
          <w:p w14:paraId="74E2563F">
            <w:pPr>
              <w:spacing w:line="360" w:lineRule="auto"/>
              <w:jc w:val="center"/>
              <w:rPr>
                <w:rFonts w:ascii="宋体" w:hAnsi="宋体" w:cs="宋体"/>
                <w:b/>
                <w:bCs/>
                <w:szCs w:val="21"/>
              </w:rPr>
            </w:pPr>
            <w:r>
              <w:rPr>
                <w:rFonts w:hint="eastAsia" w:ascii="宋体" w:hAnsi="宋体" w:cs="宋体"/>
                <w:b/>
                <w:bCs/>
                <w:szCs w:val="21"/>
              </w:rPr>
              <w:t>投标报价</w:t>
            </w:r>
          </w:p>
        </w:tc>
        <w:tc>
          <w:tcPr>
            <w:tcW w:w="375" w:type="pct"/>
            <w:tcBorders>
              <w:top w:val="single" w:color="auto" w:sz="4" w:space="0"/>
              <w:left w:val="single" w:color="auto" w:sz="4" w:space="0"/>
              <w:bottom w:val="single" w:color="auto" w:sz="4" w:space="0"/>
              <w:right w:val="single" w:color="auto" w:sz="4" w:space="0"/>
            </w:tcBorders>
            <w:vAlign w:val="center"/>
          </w:tcPr>
          <w:p w14:paraId="63309DFD">
            <w:pPr>
              <w:spacing w:line="360" w:lineRule="auto"/>
              <w:jc w:val="center"/>
              <w:rPr>
                <w:rFonts w:ascii="宋体" w:hAnsi="宋体" w:cs="宋体"/>
                <w:b/>
                <w:bCs/>
                <w:szCs w:val="21"/>
              </w:rPr>
            </w:pPr>
            <w:r>
              <w:rPr>
                <w:rFonts w:hint="eastAsia" w:ascii="宋体" w:hAnsi="宋体" w:cs="宋体"/>
                <w:b/>
                <w:bCs/>
                <w:szCs w:val="21"/>
              </w:rPr>
              <w:t>0-30</w:t>
            </w:r>
          </w:p>
        </w:tc>
        <w:tc>
          <w:tcPr>
            <w:tcW w:w="3345" w:type="pct"/>
            <w:tcBorders>
              <w:top w:val="single" w:color="auto" w:sz="4" w:space="0"/>
              <w:left w:val="single" w:color="auto" w:sz="4" w:space="0"/>
              <w:bottom w:val="single" w:color="auto" w:sz="4" w:space="0"/>
              <w:right w:val="single" w:color="auto" w:sz="4" w:space="0"/>
            </w:tcBorders>
            <w:vAlign w:val="center"/>
          </w:tcPr>
          <w:p w14:paraId="2D8D0762">
            <w:pPr>
              <w:spacing w:line="360" w:lineRule="auto"/>
              <w:ind w:firstLine="420" w:firstLineChars="200"/>
              <w:rPr>
                <w:rFonts w:ascii="宋体" w:hAnsi="宋体" w:cs="宋体"/>
                <w:szCs w:val="21"/>
              </w:rPr>
            </w:pPr>
            <w:r>
              <w:rPr>
                <w:rFonts w:hint="eastAsia" w:ascii="宋体" w:hAnsi="宋体" w:cs="宋体"/>
                <w:szCs w:val="21"/>
              </w:rPr>
              <w:t>报价分计算方法：根据各投标人的有效投标报价，以满足招标文件要求且有效投标价格的最低的投标报价为评标基准价，其价格分为30分。其他投标人的价格分统一按照下列公式计算：投标报价得分＝(评标基准价/有效投标报价)×价格权值</w:t>
            </w:r>
            <w:r>
              <w:rPr>
                <w:rFonts w:hint="eastAsia" w:ascii="宋体" w:hAnsi="宋体" w:cs="宋体"/>
                <w:szCs w:val="21"/>
                <w:lang w:val="en-US" w:eastAsia="zh-CN"/>
              </w:rPr>
              <w:t>(30%)</w:t>
            </w:r>
            <w:r>
              <w:rPr>
                <w:rFonts w:hint="eastAsia" w:ascii="宋体" w:hAnsi="宋体" w:cs="宋体"/>
                <w:szCs w:val="21"/>
              </w:rPr>
              <w:t>×100(精确到小数点后二位，由采购机构当场统一计算)。</w:t>
            </w:r>
          </w:p>
        </w:tc>
      </w:tr>
      <w:tr w14:paraId="6A62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0459549A">
            <w:pPr>
              <w:spacing w:line="360" w:lineRule="auto"/>
              <w:jc w:val="center"/>
              <w:rPr>
                <w:rFonts w:hint="eastAsia" w:ascii="宋体" w:hAnsi="宋体" w:cs="宋体"/>
                <w:b/>
                <w:bCs/>
                <w:szCs w:val="21"/>
              </w:rPr>
            </w:pPr>
          </w:p>
        </w:tc>
        <w:tc>
          <w:tcPr>
            <w:tcW w:w="4360" w:type="pct"/>
            <w:gridSpan w:val="3"/>
            <w:vAlign w:val="center"/>
          </w:tcPr>
          <w:p w14:paraId="38BCFF53">
            <w:pPr>
              <w:spacing w:line="360" w:lineRule="auto"/>
              <w:jc w:val="center"/>
              <w:rPr>
                <w:rFonts w:ascii="宋体" w:hAnsi="宋体" w:cs="宋体"/>
                <w:b/>
                <w:bCs/>
                <w:szCs w:val="21"/>
              </w:rPr>
            </w:pPr>
            <w:r>
              <w:rPr>
                <w:rFonts w:hint="eastAsia" w:ascii="宋体" w:hAnsi="宋体" w:cs="宋体"/>
                <w:b/>
                <w:bCs/>
                <w:szCs w:val="21"/>
              </w:rPr>
              <w:t>商务分</w:t>
            </w:r>
          </w:p>
        </w:tc>
      </w:tr>
      <w:tr w14:paraId="4C86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4F46D53B">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客观分</w:t>
            </w:r>
          </w:p>
        </w:tc>
        <w:tc>
          <w:tcPr>
            <w:tcW w:w="639" w:type="pct"/>
            <w:vAlign w:val="center"/>
          </w:tcPr>
          <w:p w14:paraId="25D067E2">
            <w:pPr>
              <w:spacing w:line="360" w:lineRule="auto"/>
              <w:jc w:val="center"/>
              <w:rPr>
                <w:rFonts w:ascii="宋体" w:hAnsi="宋体" w:cs="宋体"/>
                <w:b/>
                <w:bCs/>
                <w:szCs w:val="21"/>
              </w:rPr>
            </w:pPr>
            <w:r>
              <w:rPr>
                <w:rFonts w:hint="eastAsia" w:ascii="宋体" w:hAnsi="宋体" w:cs="宋体"/>
                <w:b/>
                <w:bCs/>
                <w:szCs w:val="21"/>
              </w:rPr>
              <w:t>质保期</w:t>
            </w:r>
          </w:p>
        </w:tc>
        <w:tc>
          <w:tcPr>
            <w:tcW w:w="375" w:type="pct"/>
            <w:vAlign w:val="center"/>
          </w:tcPr>
          <w:p w14:paraId="3778128F">
            <w:pPr>
              <w:spacing w:line="360" w:lineRule="auto"/>
              <w:jc w:val="center"/>
              <w:rPr>
                <w:rFonts w:ascii="宋体" w:hAnsi="宋体" w:cs="宋体"/>
                <w:b/>
                <w:bCs/>
                <w:szCs w:val="21"/>
              </w:rPr>
            </w:pPr>
            <w:r>
              <w:rPr>
                <w:rFonts w:hint="eastAsia" w:ascii="宋体" w:hAnsi="宋体" w:cs="宋体"/>
                <w:b/>
                <w:bCs/>
                <w:szCs w:val="21"/>
              </w:rPr>
              <w:t>0-2</w:t>
            </w:r>
          </w:p>
        </w:tc>
        <w:tc>
          <w:tcPr>
            <w:tcW w:w="3345" w:type="pct"/>
            <w:vAlign w:val="center"/>
          </w:tcPr>
          <w:p w14:paraId="52BA1235">
            <w:pPr>
              <w:spacing w:line="360" w:lineRule="auto"/>
              <w:ind w:firstLine="420" w:firstLineChars="200"/>
              <w:rPr>
                <w:rFonts w:ascii="宋体" w:hAnsi="宋体" w:cs="宋体"/>
                <w:color w:val="auto"/>
                <w:szCs w:val="21"/>
              </w:rPr>
            </w:pPr>
            <w:r>
              <w:rPr>
                <w:rFonts w:hint="eastAsia" w:ascii="宋体" w:hAnsi="宋体" w:cs="宋体"/>
                <w:color w:val="auto"/>
                <w:szCs w:val="21"/>
              </w:rPr>
              <w:t>质保期在招标文件要求的基础上，每增加半年得0.5分，最高得2分。</w:t>
            </w:r>
          </w:p>
        </w:tc>
      </w:tr>
      <w:tr w14:paraId="1418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pct"/>
            <w:vAlign w:val="center"/>
          </w:tcPr>
          <w:p w14:paraId="325D55E9">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客观分</w:t>
            </w:r>
          </w:p>
        </w:tc>
        <w:tc>
          <w:tcPr>
            <w:tcW w:w="639" w:type="pct"/>
            <w:vAlign w:val="center"/>
          </w:tcPr>
          <w:p w14:paraId="7E475542">
            <w:pPr>
              <w:spacing w:line="360" w:lineRule="auto"/>
              <w:jc w:val="center"/>
              <w:rPr>
                <w:rFonts w:ascii="宋体" w:hAnsi="宋体" w:cs="宋体"/>
                <w:b/>
                <w:bCs/>
                <w:szCs w:val="21"/>
              </w:rPr>
            </w:pPr>
            <w:r>
              <w:rPr>
                <w:rFonts w:hint="eastAsia" w:ascii="宋体" w:hAnsi="宋体" w:cs="宋体"/>
                <w:b/>
                <w:bCs/>
                <w:szCs w:val="21"/>
              </w:rPr>
              <w:t>业绩</w:t>
            </w:r>
          </w:p>
        </w:tc>
        <w:tc>
          <w:tcPr>
            <w:tcW w:w="375" w:type="pct"/>
            <w:vAlign w:val="center"/>
          </w:tcPr>
          <w:p w14:paraId="6C25B38D">
            <w:pPr>
              <w:spacing w:line="360" w:lineRule="auto"/>
              <w:jc w:val="center"/>
              <w:rPr>
                <w:rFonts w:ascii="宋体" w:hAnsi="宋体" w:cs="宋体"/>
                <w:b/>
                <w:bCs/>
                <w:szCs w:val="21"/>
              </w:rPr>
            </w:pPr>
            <w:r>
              <w:rPr>
                <w:rFonts w:hint="eastAsia" w:ascii="宋体" w:hAnsi="宋体" w:cs="宋体"/>
                <w:b/>
                <w:bCs/>
                <w:szCs w:val="21"/>
              </w:rPr>
              <w:t>0-3</w:t>
            </w:r>
          </w:p>
        </w:tc>
        <w:tc>
          <w:tcPr>
            <w:tcW w:w="3345" w:type="pct"/>
            <w:vAlign w:val="center"/>
          </w:tcPr>
          <w:p w14:paraId="6AA4B2EF">
            <w:pPr>
              <w:spacing w:line="360" w:lineRule="auto"/>
              <w:ind w:firstLine="420" w:firstLineChars="200"/>
              <w:rPr>
                <w:rFonts w:hint="eastAsia"/>
                <w:color w:val="auto"/>
              </w:rPr>
            </w:pPr>
            <w:r>
              <w:rPr>
                <w:rFonts w:hint="eastAsia" w:ascii="宋体" w:hAnsi="宋体" w:cs="宋体"/>
                <w:color w:val="auto"/>
                <w:szCs w:val="21"/>
              </w:rPr>
              <w:t>供应商</w:t>
            </w:r>
            <w:r>
              <w:rPr>
                <w:rFonts w:hint="eastAsia"/>
                <w:color w:val="auto"/>
              </w:rPr>
              <w:t>自2021年01月01以来承接过各标项对应产品（多产品的标项指核心产品）同类型业绩，每提供1个得</w:t>
            </w:r>
            <w:r>
              <w:rPr>
                <w:rFonts w:hint="eastAsia"/>
                <w:color w:val="auto"/>
                <w:lang w:val="en-US" w:eastAsia="zh-CN"/>
              </w:rPr>
              <w:t>1</w:t>
            </w:r>
            <w:r>
              <w:rPr>
                <w:rFonts w:hint="eastAsia"/>
                <w:color w:val="auto"/>
              </w:rPr>
              <w:t>分，最高得3</w:t>
            </w:r>
            <w:r>
              <w:rPr>
                <w:rFonts w:hint="eastAsia"/>
                <w:color w:val="auto"/>
                <w:highlight w:val="none"/>
              </w:rPr>
              <w:t>分</w:t>
            </w:r>
            <w:r>
              <w:rPr>
                <w:rFonts w:hint="eastAsia" w:ascii="宋体" w:hAnsi="宋体" w:cs="宋体"/>
                <w:color w:val="auto"/>
                <w:szCs w:val="21"/>
                <w:highlight w:val="none"/>
              </w:rPr>
              <w:t>。</w:t>
            </w:r>
          </w:p>
          <w:p w14:paraId="5B24CB37">
            <w:pPr>
              <w:spacing w:line="360" w:lineRule="auto"/>
              <w:rPr>
                <w:rFonts w:hint="eastAsia" w:ascii="宋体" w:hAnsi="宋体" w:cs="宋体"/>
                <w:color w:val="auto"/>
                <w:szCs w:val="21"/>
              </w:rPr>
            </w:pPr>
            <w:r>
              <w:rPr>
                <w:rFonts w:hint="eastAsia"/>
                <w:color w:val="auto"/>
              </w:rPr>
              <w:t>注</w:t>
            </w:r>
            <w:r>
              <w:rPr>
                <w:rFonts w:hint="eastAsia" w:ascii="宋体" w:hAnsi="宋体" w:cs="宋体"/>
                <w:color w:val="auto"/>
                <w:szCs w:val="21"/>
              </w:rPr>
              <w:t>： 1.须同时提供每个业绩的合同复印件以及投标人与合同需求方转账凭证复印件及发票复印件，否则不予认可。</w:t>
            </w:r>
          </w:p>
          <w:p w14:paraId="578AB860">
            <w:pPr>
              <w:spacing w:line="360" w:lineRule="auto"/>
              <w:ind w:firstLine="420" w:firstLineChars="200"/>
              <w:rPr>
                <w:rFonts w:hint="eastAsia"/>
                <w:color w:val="auto"/>
              </w:rPr>
            </w:pPr>
            <w:r>
              <w:rPr>
                <w:rFonts w:hint="eastAsia" w:ascii="宋体" w:hAnsi="宋体" w:cs="宋体"/>
                <w:color w:val="auto"/>
                <w:szCs w:val="21"/>
              </w:rPr>
              <w:t>2.统招分签的合同按</w:t>
            </w:r>
            <w:r>
              <w:rPr>
                <w:rFonts w:hint="eastAsia"/>
                <w:color w:val="auto"/>
              </w:rPr>
              <w:t>一个合同业绩计。</w:t>
            </w:r>
          </w:p>
          <w:p w14:paraId="3C168666">
            <w:pPr>
              <w:spacing w:line="360" w:lineRule="auto"/>
              <w:ind w:firstLine="420" w:firstLineChars="200"/>
              <w:rPr>
                <w:color w:val="auto"/>
              </w:rPr>
            </w:pPr>
            <w:r>
              <w:rPr>
                <w:rFonts w:hint="eastAsia" w:ascii="宋体" w:hAnsi="宋体" w:cs="宋体"/>
                <w:color w:val="auto"/>
                <w:szCs w:val="21"/>
              </w:rPr>
              <w:t>3.如一个标项中包含多个产品的，以提供核心产品的业绩为准。</w:t>
            </w:r>
          </w:p>
        </w:tc>
      </w:tr>
      <w:tr w14:paraId="4791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pct"/>
            <w:vAlign w:val="center"/>
          </w:tcPr>
          <w:p w14:paraId="23A74F11">
            <w:pPr>
              <w:spacing w:line="360" w:lineRule="auto"/>
              <w:jc w:val="center"/>
              <w:rPr>
                <w:rFonts w:hint="eastAsia" w:ascii="宋体" w:hAnsi="宋体" w:eastAsia="宋体" w:cs="宋体"/>
                <w:sz w:val="21"/>
                <w:szCs w:val="21"/>
                <w:lang w:val="en-US" w:eastAsia="zh-CN"/>
              </w:rPr>
            </w:pPr>
            <w:r>
              <w:rPr>
                <w:rFonts w:hint="eastAsia" w:ascii="宋体" w:hAnsi="宋体" w:cs="宋体"/>
                <w:b/>
                <w:bCs/>
                <w:sz w:val="21"/>
                <w:szCs w:val="21"/>
                <w:lang w:val="en-US" w:eastAsia="zh-CN"/>
              </w:rPr>
              <w:t>客观分</w:t>
            </w:r>
          </w:p>
        </w:tc>
        <w:tc>
          <w:tcPr>
            <w:tcW w:w="639" w:type="pct"/>
            <w:vAlign w:val="center"/>
          </w:tcPr>
          <w:p w14:paraId="4048B64B">
            <w:pPr>
              <w:spacing w:line="360" w:lineRule="auto"/>
              <w:jc w:val="center"/>
              <w:rPr>
                <w:rFonts w:ascii="宋体" w:hAnsi="宋体" w:cs="宋体"/>
                <w:b/>
                <w:bCs/>
                <w:szCs w:val="21"/>
              </w:rPr>
            </w:pPr>
            <w:r>
              <w:rPr>
                <w:rFonts w:hint="eastAsia" w:ascii="宋体" w:hAnsi="宋体" w:cs="宋体"/>
                <w:b/>
                <w:bCs/>
                <w:sz w:val="21"/>
                <w:szCs w:val="21"/>
              </w:rPr>
              <w:t>商务要求响应（满足）程度</w:t>
            </w:r>
          </w:p>
        </w:tc>
        <w:tc>
          <w:tcPr>
            <w:tcW w:w="375" w:type="pct"/>
            <w:vAlign w:val="center"/>
          </w:tcPr>
          <w:p w14:paraId="6AF85009">
            <w:pPr>
              <w:spacing w:line="360" w:lineRule="auto"/>
              <w:jc w:val="center"/>
              <w:rPr>
                <w:rFonts w:ascii="宋体" w:hAnsi="宋体" w:cs="宋体"/>
                <w:b/>
                <w:bCs/>
                <w:szCs w:val="21"/>
              </w:rPr>
            </w:pPr>
            <w:r>
              <w:rPr>
                <w:rFonts w:hint="eastAsia" w:ascii="宋体" w:hAnsi="宋体" w:cs="宋体"/>
                <w:b/>
                <w:bCs/>
                <w:szCs w:val="21"/>
              </w:rPr>
              <w:t>0-4</w:t>
            </w:r>
          </w:p>
        </w:tc>
        <w:tc>
          <w:tcPr>
            <w:tcW w:w="3345" w:type="pct"/>
            <w:vAlign w:val="center"/>
          </w:tcPr>
          <w:p w14:paraId="73FD8A42">
            <w:pPr>
              <w:pStyle w:val="120"/>
              <w:tabs>
                <w:tab w:val="left" w:pos="2750"/>
              </w:tabs>
              <w:spacing w:line="360" w:lineRule="auto"/>
              <w:ind w:firstLine="420" w:firstLineChars="200"/>
              <w:jc w:val="both"/>
              <w:rPr>
                <w:sz w:val="21"/>
                <w:szCs w:val="21"/>
                <w:lang w:val="en-US"/>
              </w:rPr>
            </w:pPr>
            <w:r>
              <w:rPr>
                <w:rFonts w:hint="eastAsia"/>
                <w:color w:val="auto"/>
                <w:sz w:val="21"/>
                <w:szCs w:val="21"/>
              </w:rPr>
              <w:t>满足招标文件《</w:t>
            </w:r>
            <w:r>
              <w:rPr>
                <w:rFonts w:hint="eastAsia"/>
                <w:b/>
                <w:color w:val="auto"/>
                <w:sz w:val="21"/>
                <w:szCs w:val="21"/>
              </w:rPr>
              <w:t xml:space="preserve">第三部分 </w:t>
            </w:r>
            <w:r>
              <w:rPr>
                <w:rFonts w:hint="eastAsia"/>
                <w:b/>
                <w:color w:val="auto"/>
                <w:sz w:val="21"/>
                <w:szCs w:val="21"/>
              </w:rPr>
              <w:tab/>
            </w:r>
            <w:r>
              <w:rPr>
                <w:rFonts w:hint="eastAsia"/>
                <w:b/>
                <w:color w:val="auto"/>
                <w:sz w:val="21"/>
                <w:szCs w:val="21"/>
                <w:lang w:val="en-US"/>
              </w:rPr>
              <w:t>采购</w:t>
            </w:r>
            <w:r>
              <w:rPr>
                <w:rFonts w:hint="eastAsia"/>
                <w:b/>
                <w:color w:val="auto"/>
                <w:sz w:val="21"/>
                <w:szCs w:val="21"/>
              </w:rPr>
              <w:t>内容及需求</w:t>
            </w:r>
            <w:r>
              <w:rPr>
                <w:rFonts w:hint="eastAsia"/>
                <w:color w:val="auto"/>
                <w:sz w:val="21"/>
                <w:szCs w:val="21"/>
              </w:rPr>
              <w:t>》“</w:t>
            </w:r>
            <w:r>
              <w:rPr>
                <w:rFonts w:hint="eastAsia"/>
                <w:bCs/>
                <w:color w:val="auto"/>
                <w:sz w:val="21"/>
                <w:szCs w:val="21"/>
              </w:rPr>
              <w:t>◆</w:t>
            </w:r>
            <w:r>
              <w:rPr>
                <w:rFonts w:hint="eastAsia"/>
                <w:b/>
                <w:color w:val="auto"/>
                <w:sz w:val="21"/>
                <w:szCs w:val="21"/>
              </w:rPr>
              <w:t>商务要求</w:t>
            </w:r>
            <w:r>
              <w:rPr>
                <w:rFonts w:hint="eastAsia"/>
                <w:color w:val="auto"/>
                <w:sz w:val="21"/>
                <w:szCs w:val="21"/>
              </w:rPr>
              <w:t>”和《</w:t>
            </w:r>
            <w:r>
              <w:rPr>
                <w:rFonts w:hint="eastAsia"/>
                <w:b/>
                <w:bCs/>
                <w:color w:val="auto"/>
                <w:sz w:val="21"/>
                <w:szCs w:val="21"/>
              </w:rPr>
              <w:t xml:space="preserve">第五部分 </w:t>
            </w:r>
            <w:r>
              <w:rPr>
                <w:rFonts w:hint="eastAsia"/>
                <w:b/>
                <w:bCs/>
                <w:color w:val="auto"/>
                <w:sz w:val="21"/>
                <w:szCs w:val="21"/>
                <w:lang w:val="en-US"/>
              </w:rPr>
              <w:t xml:space="preserve"> </w:t>
            </w:r>
            <w:r>
              <w:rPr>
                <w:rFonts w:hint="eastAsia"/>
                <w:b/>
                <w:color w:val="auto"/>
                <w:sz w:val="21"/>
                <w:szCs w:val="21"/>
              </w:rPr>
              <w:t>合同条款</w:t>
            </w:r>
            <w:r>
              <w:rPr>
                <w:rFonts w:hint="eastAsia"/>
                <w:color w:val="auto"/>
                <w:sz w:val="21"/>
                <w:szCs w:val="21"/>
              </w:rPr>
              <w:t>》中所有要求的得</w:t>
            </w:r>
            <w:r>
              <w:rPr>
                <w:rFonts w:hint="eastAsia"/>
                <w:color w:val="auto"/>
                <w:sz w:val="21"/>
                <w:szCs w:val="21"/>
                <w:lang w:val="en-US"/>
              </w:rPr>
              <w:t>4</w:t>
            </w:r>
            <w:r>
              <w:rPr>
                <w:rFonts w:hint="eastAsia"/>
                <w:color w:val="auto"/>
                <w:sz w:val="21"/>
                <w:szCs w:val="21"/>
              </w:rPr>
              <w:t xml:space="preserve">分，每负偏离一项扣 2分，扣至 0 </w:t>
            </w:r>
            <w:r>
              <w:rPr>
                <w:rFonts w:hint="eastAsia"/>
                <w:sz w:val="21"/>
                <w:szCs w:val="21"/>
              </w:rPr>
              <w:t>分为止，</w:t>
            </w:r>
            <w:r>
              <w:rPr>
                <w:rFonts w:hint="eastAsia"/>
                <w:sz w:val="21"/>
                <w:szCs w:val="21"/>
                <w:lang w:val="en-US"/>
              </w:rPr>
              <w:t>同一内容条款不重复扣分。</w:t>
            </w:r>
          </w:p>
          <w:p w14:paraId="29162AC3">
            <w:pPr>
              <w:spacing w:line="360" w:lineRule="auto"/>
              <w:ind w:firstLine="422" w:firstLineChars="200"/>
              <w:rPr>
                <w:rFonts w:ascii="宋体" w:hAnsi="宋体" w:cs="宋体"/>
                <w:szCs w:val="21"/>
              </w:rPr>
            </w:pPr>
            <w:r>
              <w:rPr>
                <w:rFonts w:hint="eastAsia" w:ascii="宋体" w:hAnsi="宋体" w:cs="宋体"/>
                <w:b/>
                <w:szCs w:val="21"/>
              </w:rPr>
              <w:t>注：</w:t>
            </w:r>
            <w:r>
              <w:rPr>
                <w:rFonts w:hint="eastAsia" w:ascii="宋体" w:hAnsi="宋体" w:cs="宋体"/>
                <w:szCs w:val="21"/>
              </w:rPr>
              <w:t>商务要求响应程度中未满足招标文件标注“▲”的实质性要求（条款）的，该供应商的投标文件将被视为无效；</w:t>
            </w:r>
          </w:p>
        </w:tc>
      </w:tr>
      <w:tr w14:paraId="6F10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5500869E">
            <w:pPr>
              <w:spacing w:line="360" w:lineRule="auto"/>
              <w:jc w:val="center"/>
              <w:rPr>
                <w:rFonts w:hint="eastAsia" w:ascii="宋体" w:hAnsi="宋体" w:cs="宋体"/>
                <w:b/>
                <w:bCs/>
                <w:szCs w:val="21"/>
              </w:rPr>
            </w:pPr>
          </w:p>
        </w:tc>
        <w:tc>
          <w:tcPr>
            <w:tcW w:w="4360" w:type="pct"/>
            <w:gridSpan w:val="3"/>
            <w:vAlign w:val="center"/>
          </w:tcPr>
          <w:p w14:paraId="35AC0EF1">
            <w:pPr>
              <w:spacing w:line="360" w:lineRule="auto"/>
              <w:jc w:val="center"/>
              <w:rPr>
                <w:rFonts w:ascii="宋体" w:hAnsi="宋体" w:cs="宋体"/>
                <w:b/>
                <w:bCs/>
                <w:szCs w:val="21"/>
              </w:rPr>
            </w:pPr>
            <w:r>
              <w:rPr>
                <w:rFonts w:hint="eastAsia" w:ascii="宋体" w:hAnsi="宋体" w:cs="宋体"/>
                <w:b/>
                <w:bCs/>
                <w:szCs w:val="21"/>
              </w:rPr>
              <w:t>技术分</w:t>
            </w:r>
          </w:p>
        </w:tc>
      </w:tr>
      <w:tr w14:paraId="4BF7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2F51FAAC">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客观分</w:t>
            </w:r>
          </w:p>
        </w:tc>
        <w:tc>
          <w:tcPr>
            <w:tcW w:w="639" w:type="pct"/>
            <w:vAlign w:val="center"/>
          </w:tcPr>
          <w:p w14:paraId="44AD6781">
            <w:pPr>
              <w:spacing w:line="360" w:lineRule="auto"/>
              <w:jc w:val="center"/>
              <w:rPr>
                <w:rFonts w:ascii="宋体" w:hAnsi="宋体" w:cs="宋体"/>
                <w:b/>
                <w:bCs/>
                <w:color w:val="auto"/>
                <w:szCs w:val="21"/>
              </w:rPr>
            </w:pPr>
            <w:r>
              <w:rPr>
                <w:rFonts w:hint="eastAsia" w:ascii="宋体" w:hAnsi="宋体" w:cs="宋体"/>
                <w:b/>
                <w:bCs/>
                <w:color w:val="auto"/>
                <w:szCs w:val="21"/>
              </w:rPr>
              <w:t>所投产品技术参数等要求响应情况</w:t>
            </w:r>
          </w:p>
        </w:tc>
        <w:tc>
          <w:tcPr>
            <w:tcW w:w="375" w:type="pct"/>
            <w:vAlign w:val="center"/>
          </w:tcPr>
          <w:p w14:paraId="22AD8F34">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rPr>
              <w:t>0-3</w:t>
            </w:r>
            <w:r>
              <w:rPr>
                <w:rFonts w:hint="eastAsia" w:ascii="宋体" w:hAnsi="宋体" w:cs="宋体"/>
                <w:b/>
                <w:bCs/>
                <w:color w:val="auto"/>
                <w:szCs w:val="21"/>
                <w:lang w:val="en-US" w:eastAsia="zh-CN"/>
              </w:rPr>
              <w:t>2</w:t>
            </w:r>
          </w:p>
        </w:tc>
        <w:tc>
          <w:tcPr>
            <w:tcW w:w="3345" w:type="pct"/>
            <w:vAlign w:val="center"/>
          </w:tcPr>
          <w:p w14:paraId="434D4C93">
            <w:pPr>
              <w:spacing w:line="360" w:lineRule="auto"/>
              <w:ind w:firstLine="420" w:firstLineChars="200"/>
              <w:rPr>
                <w:rFonts w:hint="eastAsia" w:ascii="宋体" w:hAnsi="宋体" w:cs="宋体"/>
                <w:color w:val="auto"/>
              </w:rPr>
            </w:pPr>
            <w:r>
              <w:rPr>
                <w:rFonts w:hint="eastAsia" w:ascii="宋体" w:hAnsi="宋体" w:cs="宋体"/>
                <w:color w:val="auto"/>
              </w:rPr>
              <w:t>经评标专家认定满足或明显优于招标文件《第三部分  采购需求》“</w:t>
            </w:r>
            <w:r>
              <w:rPr>
                <w:rFonts w:hint="eastAsia" w:ascii="宋体" w:hAnsi="宋体" w:cs="宋体"/>
                <w:b/>
                <w:bCs/>
                <w:color w:val="auto"/>
              </w:rPr>
              <w:t>（二）技术参数等要求</w:t>
            </w:r>
            <w:r>
              <w:rPr>
                <w:rFonts w:hint="eastAsia" w:ascii="宋体" w:hAnsi="宋体" w:cs="宋体"/>
                <w:color w:val="auto"/>
              </w:rPr>
              <w:t>”中明确的全部技术条款要</w:t>
            </w:r>
            <w:r>
              <w:rPr>
                <w:rFonts w:hint="eastAsia" w:ascii="宋体" w:hAnsi="宋体" w:cs="宋体"/>
                <w:color w:val="auto"/>
                <w:highlight w:val="none"/>
              </w:rPr>
              <w:t>求的得</w:t>
            </w:r>
            <w:r>
              <w:rPr>
                <w:rFonts w:hint="eastAsia" w:ascii="宋体" w:hAnsi="宋体" w:cs="宋体"/>
                <w:color w:val="auto"/>
                <w:highlight w:val="none"/>
                <w:lang w:val="en-US" w:eastAsia="zh-CN"/>
              </w:rPr>
              <w:t>32</w:t>
            </w:r>
            <w:r>
              <w:rPr>
                <w:rFonts w:hint="eastAsia" w:ascii="宋体" w:hAnsi="宋体" w:cs="宋体"/>
                <w:color w:val="auto"/>
                <w:highlight w:val="none"/>
              </w:rPr>
              <w:t>分，允许</w:t>
            </w:r>
            <w:r>
              <w:rPr>
                <w:rFonts w:hint="eastAsia" w:ascii="宋体" w:hAnsi="宋体" w:cs="宋体"/>
                <w:color w:val="auto"/>
              </w:rPr>
              <w:t>偏离的技术条款低于技术要求（负偏离）的一项扣2分，带★的一项扣4分，带■的一项扣6分。（未带★或■的为一般技术参数/条款，带★的为重要技术参数/条款，带■的为特别重要技术参数/条款）。</w:t>
            </w:r>
          </w:p>
          <w:p w14:paraId="25BEBBBD">
            <w:pPr>
              <w:spacing w:line="360" w:lineRule="auto"/>
              <w:ind w:firstLine="420" w:firstLineChars="200"/>
              <w:rPr>
                <w:rFonts w:hint="eastAsia" w:ascii="宋体" w:hAnsi="宋体" w:cs="宋体"/>
                <w:color w:val="auto"/>
              </w:rPr>
            </w:pPr>
            <w:r>
              <w:rPr>
                <w:rFonts w:hint="eastAsia" w:ascii="宋体" w:hAnsi="宋体" w:cs="宋体"/>
                <w:color w:val="auto"/>
              </w:rPr>
              <w:t>备注：（1）凡标有最低一级序号的指标项即为一项技术条款，无论是否隶属于上一级编号。（例如1.1和1.2视为两项技术条款）。</w:t>
            </w:r>
          </w:p>
          <w:p w14:paraId="7207EDFA">
            <w:pPr>
              <w:spacing w:line="360" w:lineRule="auto"/>
              <w:ind w:firstLine="420" w:firstLineChars="200"/>
              <w:rPr>
                <w:rFonts w:hint="eastAsia" w:ascii="宋体" w:hAnsi="宋体" w:cs="宋体"/>
                <w:color w:val="auto"/>
              </w:rPr>
            </w:pPr>
            <w:r>
              <w:rPr>
                <w:rFonts w:hint="eastAsia" w:ascii="宋体" w:hAnsi="宋体" w:cs="宋体"/>
                <w:color w:val="auto"/>
              </w:rPr>
              <w:t>（2）每条技术参数响应不得照抄采购需求，应明确本投标产品具体参数且提供对应的佐证材料（佐证材料包括但不限于检测报告、产品彩页等），投标文件中未明确具体参数的，视为负偏离招标文件要求。</w:t>
            </w:r>
          </w:p>
          <w:p w14:paraId="730ACA8E">
            <w:pPr>
              <w:spacing w:line="360" w:lineRule="auto"/>
              <w:ind w:firstLine="420" w:firstLineChars="200"/>
              <w:rPr>
                <w:rFonts w:ascii="宋体" w:hAnsi="宋体" w:cs="宋体"/>
                <w:color w:val="auto"/>
                <w:szCs w:val="21"/>
              </w:rPr>
            </w:pPr>
            <w:r>
              <w:rPr>
                <w:rFonts w:hint="eastAsia" w:ascii="宋体" w:hAnsi="宋体" w:cs="宋体"/>
                <w:color w:val="auto"/>
              </w:rPr>
              <w:t>（3）投标文件中提供的检验检测报告或其他佐证材料体现的技术参数若与投标文件中承诺的技术参数不一致的，以检验检测报告（或其他佐证材料）体现的技术参数为准并按此技术参数进行评审。</w:t>
            </w:r>
          </w:p>
        </w:tc>
      </w:tr>
      <w:tr w14:paraId="1A47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29F63465">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主观分</w:t>
            </w:r>
          </w:p>
        </w:tc>
        <w:tc>
          <w:tcPr>
            <w:tcW w:w="639" w:type="pct"/>
            <w:vAlign w:val="center"/>
          </w:tcPr>
          <w:p w14:paraId="159A2C92">
            <w:pPr>
              <w:spacing w:line="360" w:lineRule="auto"/>
              <w:jc w:val="center"/>
              <w:rPr>
                <w:rFonts w:ascii="宋体" w:hAnsi="宋体" w:cs="宋体"/>
                <w:b/>
                <w:bCs/>
                <w:color w:val="auto"/>
                <w:szCs w:val="21"/>
              </w:rPr>
            </w:pPr>
            <w:r>
              <w:rPr>
                <w:rFonts w:hint="eastAsia" w:ascii="宋体" w:hAnsi="宋体" w:cs="宋体"/>
                <w:b/>
                <w:color w:val="auto"/>
                <w:szCs w:val="21"/>
              </w:rPr>
              <w:t>产品质量可靠性</w:t>
            </w:r>
          </w:p>
        </w:tc>
        <w:tc>
          <w:tcPr>
            <w:tcW w:w="375" w:type="pct"/>
            <w:vAlign w:val="center"/>
          </w:tcPr>
          <w:p w14:paraId="26B738F1">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rPr>
              <w:t>0-</w:t>
            </w:r>
            <w:r>
              <w:rPr>
                <w:rFonts w:hint="eastAsia" w:ascii="宋体" w:hAnsi="宋体" w:cs="宋体"/>
                <w:b/>
                <w:bCs/>
                <w:color w:val="auto"/>
                <w:szCs w:val="21"/>
                <w:lang w:val="en-US" w:eastAsia="zh-CN"/>
              </w:rPr>
              <w:t>5</w:t>
            </w:r>
          </w:p>
        </w:tc>
        <w:tc>
          <w:tcPr>
            <w:tcW w:w="3345" w:type="pct"/>
            <w:vAlign w:val="center"/>
          </w:tcPr>
          <w:p w14:paraId="7EE1C78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根据投标产品整体质量的可靠性进行综合评审：包括1）短期内频繁高效使用的质量可靠、2）恶劣环境情况下产品使用的质量可靠、3）投标产品生命周期内长期使用情况下的质量可靠。</w:t>
            </w:r>
          </w:p>
          <w:p w14:paraId="1F2D59F5">
            <w:pPr>
              <w:spacing w:line="360" w:lineRule="auto"/>
              <w:ind w:firstLine="420" w:firstLineChars="200"/>
              <w:rPr>
                <w:rFonts w:ascii="宋体" w:hAnsi="宋体" w:cs="宋体"/>
                <w:color w:val="auto"/>
                <w:szCs w:val="21"/>
              </w:rPr>
            </w:pPr>
            <w:r>
              <w:rPr>
                <w:rFonts w:hint="eastAsia" w:ascii="宋体" w:hAnsi="宋体" w:cs="宋体"/>
                <w:color w:val="auto"/>
                <w:szCs w:val="21"/>
              </w:rPr>
              <w:t>关于投标产品整体质量的可靠性的上述要素及内容阐述完整齐全、描述细致且科学合理可行的得本项分值满分；经专家评审每有一小项内容缺少或内容简要不具备可行性的扣2分；每有一小项内容中有缺陷或瑕疵的扣1分；直至扣完为止。（得分范围</w:t>
            </w:r>
            <w:r>
              <w:rPr>
                <w:rFonts w:hint="eastAsia" w:ascii="宋体" w:hAnsi="宋体" w:cs="宋体"/>
                <w:color w:val="auto"/>
                <w:szCs w:val="21"/>
                <w:lang w:val="en-US" w:eastAsia="zh-CN"/>
              </w:rPr>
              <w:t>5,</w:t>
            </w:r>
            <w:r>
              <w:rPr>
                <w:rFonts w:hint="eastAsia" w:ascii="宋体" w:hAnsi="宋体" w:cs="宋体"/>
                <w:color w:val="auto"/>
                <w:szCs w:val="21"/>
              </w:rPr>
              <w:t>4，3，2，</w:t>
            </w:r>
            <w:r>
              <w:rPr>
                <w:rFonts w:ascii="宋体" w:hAnsi="宋体" w:cs="宋体"/>
                <w:color w:val="auto"/>
                <w:szCs w:val="21"/>
              </w:rPr>
              <w:t>1,0</w:t>
            </w:r>
            <w:r>
              <w:rPr>
                <w:rFonts w:hint="eastAsia" w:ascii="宋体" w:hAnsi="宋体" w:cs="宋体"/>
                <w:color w:val="auto"/>
                <w:szCs w:val="21"/>
              </w:rPr>
              <w:t>）</w:t>
            </w:r>
          </w:p>
        </w:tc>
      </w:tr>
      <w:tr w14:paraId="7F6D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302410CF">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主观分</w:t>
            </w:r>
          </w:p>
        </w:tc>
        <w:tc>
          <w:tcPr>
            <w:tcW w:w="639" w:type="pct"/>
            <w:vAlign w:val="center"/>
          </w:tcPr>
          <w:p w14:paraId="6D620C7C">
            <w:pPr>
              <w:spacing w:line="360" w:lineRule="auto"/>
              <w:jc w:val="center"/>
              <w:rPr>
                <w:rFonts w:ascii="宋体" w:hAnsi="宋体" w:cs="宋体"/>
                <w:b/>
                <w:bCs/>
                <w:color w:val="auto"/>
                <w:szCs w:val="21"/>
              </w:rPr>
            </w:pPr>
            <w:r>
              <w:rPr>
                <w:rFonts w:hint="eastAsia" w:ascii="宋体" w:hAnsi="宋体" w:cs="宋体"/>
                <w:b/>
                <w:bCs/>
                <w:color w:val="auto"/>
                <w:szCs w:val="21"/>
              </w:rPr>
              <w:t>项目组织</w:t>
            </w:r>
          </w:p>
          <w:p w14:paraId="6459A978">
            <w:pPr>
              <w:spacing w:line="360" w:lineRule="auto"/>
              <w:jc w:val="center"/>
              <w:rPr>
                <w:rFonts w:ascii="宋体" w:hAnsi="宋体" w:cs="宋体"/>
                <w:b/>
                <w:bCs/>
                <w:color w:val="auto"/>
                <w:szCs w:val="21"/>
              </w:rPr>
            </w:pPr>
            <w:r>
              <w:rPr>
                <w:rFonts w:hint="eastAsia" w:ascii="宋体" w:hAnsi="宋体" w:cs="宋体"/>
                <w:b/>
                <w:bCs/>
                <w:color w:val="auto"/>
                <w:szCs w:val="21"/>
              </w:rPr>
              <w:t>实施方案</w:t>
            </w:r>
          </w:p>
        </w:tc>
        <w:tc>
          <w:tcPr>
            <w:tcW w:w="640" w:type="dxa"/>
            <w:vAlign w:val="center"/>
          </w:tcPr>
          <w:p w14:paraId="478A35A5">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rPr>
              <w:t>0-</w:t>
            </w:r>
            <w:r>
              <w:rPr>
                <w:rFonts w:hint="eastAsia" w:ascii="宋体" w:hAnsi="宋体" w:cs="宋体"/>
                <w:b/>
                <w:bCs/>
                <w:color w:val="auto"/>
                <w:szCs w:val="21"/>
                <w:lang w:val="en-US" w:eastAsia="zh-CN"/>
              </w:rPr>
              <w:t>5</w:t>
            </w:r>
          </w:p>
        </w:tc>
        <w:tc>
          <w:tcPr>
            <w:tcW w:w="5702" w:type="dxa"/>
            <w:vAlign w:val="center"/>
          </w:tcPr>
          <w:p w14:paraId="7BBAA35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产品的供货、安装调试方案及配送承诺等方案。（0-</w:t>
            </w:r>
            <w:r>
              <w:rPr>
                <w:rFonts w:hint="eastAsia" w:ascii="宋体" w:hAnsi="宋体" w:cs="宋体"/>
                <w:color w:val="auto"/>
                <w:szCs w:val="21"/>
                <w:lang w:val="en-US" w:eastAsia="zh-CN"/>
              </w:rPr>
              <w:t>5</w:t>
            </w:r>
            <w:r>
              <w:rPr>
                <w:rFonts w:hint="eastAsia" w:ascii="宋体" w:hAnsi="宋体" w:cs="宋体"/>
                <w:color w:val="auto"/>
                <w:szCs w:val="21"/>
              </w:rPr>
              <w:t>分）</w:t>
            </w:r>
          </w:p>
          <w:p w14:paraId="579D1592">
            <w:pPr>
              <w:spacing w:line="360" w:lineRule="auto"/>
              <w:ind w:firstLine="420" w:firstLineChars="200"/>
              <w:rPr>
                <w:rFonts w:ascii="宋体" w:hAnsi="宋体" w:cs="宋体"/>
                <w:color w:val="auto"/>
              </w:rPr>
            </w:pPr>
            <w:r>
              <w:rPr>
                <w:rFonts w:hint="eastAsia" w:ascii="宋体" w:hAnsi="宋体" w:cs="宋体"/>
                <w:color w:val="auto"/>
                <w:szCs w:val="21"/>
              </w:rPr>
              <w:t>供货、安装（若需要）等方案内容详实、计划明确、措施完善、方案科学合理</w:t>
            </w:r>
            <w:r>
              <w:rPr>
                <w:rFonts w:hint="eastAsia" w:ascii="宋体" w:hAnsi="宋体" w:cs="宋体"/>
                <w:color w:val="auto"/>
                <w:szCs w:val="21"/>
                <w:lang w:eastAsia="zh-CN"/>
              </w:rPr>
              <w:t>、</w:t>
            </w:r>
            <w:r>
              <w:rPr>
                <w:rFonts w:hint="eastAsia" w:ascii="宋体" w:hAnsi="宋体" w:cs="宋体"/>
                <w:color w:val="auto"/>
                <w:szCs w:val="21"/>
                <w:lang w:val="en-US" w:eastAsia="zh-CN"/>
              </w:rPr>
              <w:t>有配送承诺</w:t>
            </w:r>
            <w:r>
              <w:rPr>
                <w:rFonts w:hint="eastAsia" w:ascii="宋体" w:hAnsi="宋体" w:cs="宋体"/>
                <w:color w:val="auto"/>
                <w:szCs w:val="21"/>
              </w:rPr>
              <w:t>的得</w:t>
            </w:r>
            <w:r>
              <w:rPr>
                <w:rFonts w:hint="eastAsia" w:ascii="宋体" w:hAnsi="宋体" w:cs="宋体"/>
                <w:color w:val="auto"/>
                <w:szCs w:val="21"/>
                <w:lang w:val="en-US" w:eastAsia="zh-CN"/>
              </w:rPr>
              <w:t>5</w:t>
            </w:r>
            <w:r>
              <w:rPr>
                <w:rFonts w:hint="eastAsia" w:ascii="宋体" w:hAnsi="宋体" w:cs="宋体"/>
                <w:color w:val="auto"/>
                <w:szCs w:val="21"/>
              </w:rPr>
              <w:t>分，实施方案内容不详实、计划不明确、措施不完善、方案不科学合理等情况每有1项扣1分，扣完为止。（得分范围</w:t>
            </w:r>
            <w:r>
              <w:rPr>
                <w:rFonts w:hint="eastAsia" w:ascii="宋体" w:hAnsi="宋体" w:cs="宋体"/>
                <w:color w:val="auto"/>
                <w:szCs w:val="21"/>
                <w:lang w:val="en-US" w:eastAsia="zh-CN"/>
              </w:rPr>
              <w:t>5,4,</w:t>
            </w:r>
            <w:r>
              <w:rPr>
                <w:rFonts w:hint="eastAsia" w:ascii="宋体" w:hAnsi="宋体" w:cs="宋体"/>
                <w:color w:val="auto"/>
                <w:szCs w:val="21"/>
              </w:rPr>
              <w:t>3,2,1,0）</w:t>
            </w:r>
          </w:p>
        </w:tc>
      </w:tr>
      <w:tr w14:paraId="6315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27E9E2B9">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主观分</w:t>
            </w:r>
          </w:p>
        </w:tc>
        <w:tc>
          <w:tcPr>
            <w:tcW w:w="639" w:type="pct"/>
            <w:vAlign w:val="center"/>
          </w:tcPr>
          <w:p w14:paraId="18786305">
            <w:pPr>
              <w:spacing w:line="360" w:lineRule="auto"/>
              <w:jc w:val="center"/>
              <w:rPr>
                <w:rFonts w:ascii="宋体" w:hAnsi="宋体" w:cs="宋体"/>
                <w:b/>
                <w:bCs/>
                <w:szCs w:val="21"/>
              </w:rPr>
            </w:pPr>
            <w:r>
              <w:rPr>
                <w:rFonts w:hint="eastAsia" w:ascii="宋体" w:hAnsi="宋体" w:cs="宋体"/>
                <w:b/>
                <w:bCs/>
                <w:szCs w:val="21"/>
              </w:rPr>
              <w:t>技术培训</w:t>
            </w:r>
          </w:p>
        </w:tc>
        <w:tc>
          <w:tcPr>
            <w:tcW w:w="640" w:type="dxa"/>
            <w:vAlign w:val="center"/>
          </w:tcPr>
          <w:p w14:paraId="7A8E544F">
            <w:pPr>
              <w:spacing w:line="360" w:lineRule="auto"/>
              <w:jc w:val="center"/>
              <w:rPr>
                <w:rFonts w:hint="eastAsia" w:ascii="宋体" w:hAnsi="宋体" w:eastAsia="宋体" w:cs="宋体"/>
                <w:b/>
                <w:bCs/>
                <w:szCs w:val="21"/>
                <w:lang w:eastAsia="zh-CN"/>
              </w:rPr>
            </w:pPr>
            <w:r>
              <w:rPr>
                <w:rFonts w:hint="eastAsia" w:ascii="宋体" w:hAnsi="宋体" w:cs="宋体"/>
                <w:b/>
                <w:bCs/>
                <w:szCs w:val="21"/>
              </w:rPr>
              <w:t>0-</w:t>
            </w:r>
            <w:r>
              <w:rPr>
                <w:rFonts w:hint="eastAsia" w:ascii="宋体" w:hAnsi="宋体" w:cs="宋体"/>
                <w:b/>
                <w:bCs/>
                <w:szCs w:val="21"/>
                <w:lang w:val="en-US" w:eastAsia="zh-CN"/>
              </w:rPr>
              <w:t>5</w:t>
            </w:r>
          </w:p>
        </w:tc>
        <w:tc>
          <w:tcPr>
            <w:tcW w:w="5702" w:type="dxa"/>
            <w:vAlign w:val="center"/>
          </w:tcPr>
          <w:p w14:paraId="1A216408">
            <w:pPr>
              <w:spacing w:line="360" w:lineRule="auto"/>
              <w:ind w:firstLine="420" w:firstLineChars="200"/>
              <w:rPr>
                <w:rFonts w:hint="eastAsia" w:ascii="宋体" w:hAnsi="宋体" w:cs="宋体"/>
              </w:rPr>
            </w:pPr>
            <w:r>
              <w:rPr>
                <w:rFonts w:hint="eastAsia" w:ascii="宋体" w:hAnsi="宋体" w:cs="宋体"/>
              </w:rPr>
              <w:t>技术培训方案内容详实、全面、专业针对性强、安排合理科学。（0-</w:t>
            </w:r>
            <w:r>
              <w:rPr>
                <w:rFonts w:hint="eastAsia" w:ascii="宋体" w:hAnsi="宋体" w:cs="宋体"/>
                <w:lang w:val="en-US" w:eastAsia="zh-CN"/>
              </w:rPr>
              <w:t>5</w:t>
            </w:r>
            <w:r>
              <w:rPr>
                <w:rFonts w:hint="eastAsia" w:ascii="宋体" w:hAnsi="宋体" w:cs="宋体"/>
              </w:rPr>
              <w:t>分）</w:t>
            </w:r>
          </w:p>
          <w:p w14:paraId="6951B5CB">
            <w:pPr>
              <w:spacing w:line="360" w:lineRule="auto"/>
              <w:ind w:firstLine="420" w:firstLineChars="200"/>
              <w:rPr>
                <w:rFonts w:ascii="宋体" w:hAnsi="宋体" w:cs="宋体"/>
              </w:rPr>
            </w:pPr>
            <w:r>
              <w:rPr>
                <w:rFonts w:hint="eastAsia" w:ascii="宋体" w:hAnsi="宋体" w:cs="宋体"/>
              </w:rPr>
              <w:t>针对项目特点结合采购人需求制定包括但不限于培训内容、培训方式、培训计划、培训对象、培训团队配备等技术培训方案，方案内容关于上述要素阐述齐全、科学合理、操作性强、贴近采购人需求的得</w:t>
            </w:r>
            <w:r>
              <w:rPr>
                <w:rFonts w:hint="eastAsia" w:ascii="宋体" w:hAnsi="宋体" w:cs="宋体"/>
                <w:lang w:val="en-US" w:eastAsia="zh-CN"/>
              </w:rPr>
              <w:t>5</w:t>
            </w:r>
            <w:r>
              <w:rPr>
                <w:rFonts w:hint="eastAsia" w:ascii="宋体" w:hAnsi="宋体" w:cs="宋体"/>
              </w:rPr>
              <w:t>分，内容缺少或内容简要不具备可行性或内容非专门针对本项目或内容不能满足本项目实际需要的每有1项扣1分，扣完为止。（得分范围</w:t>
            </w:r>
            <w:r>
              <w:rPr>
                <w:rFonts w:hint="eastAsia" w:ascii="宋体" w:hAnsi="宋体" w:cs="宋体"/>
                <w:lang w:val="en-US" w:eastAsia="zh-CN"/>
              </w:rPr>
              <w:t>5,4,</w:t>
            </w:r>
            <w:r>
              <w:rPr>
                <w:rFonts w:hint="eastAsia" w:ascii="宋体" w:hAnsi="宋体" w:cs="宋体"/>
              </w:rPr>
              <w:t>3,2,1,0）</w:t>
            </w:r>
          </w:p>
        </w:tc>
      </w:tr>
      <w:tr w14:paraId="6421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39" w:type="pct"/>
            <w:vAlign w:val="center"/>
          </w:tcPr>
          <w:p w14:paraId="5844161A">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主观分</w:t>
            </w:r>
          </w:p>
        </w:tc>
        <w:tc>
          <w:tcPr>
            <w:tcW w:w="639" w:type="pct"/>
            <w:vAlign w:val="center"/>
          </w:tcPr>
          <w:p w14:paraId="684104B9">
            <w:pPr>
              <w:spacing w:line="360" w:lineRule="auto"/>
              <w:jc w:val="center"/>
              <w:rPr>
                <w:rFonts w:ascii="宋体" w:hAnsi="宋体" w:cs="宋体"/>
                <w:b/>
                <w:bCs/>
                <w:szCs w:val="21"/>
              </w:rPr>
            </w:pPr>
            <w:r>
              <w:rPr>
                <w:rFonts w:hint="eastAsia" w:ascii="宋体" w:hAnsi="宋体" w:cs="宋体"/>
                <w:b/>
                <w:bCs/>
                <w:szCs w:val="21"/>
              </w:rPr>
              <w:t>售后服务</w:t>
            </w:r>
          </w:p>
        </w:tc>
        <w:tc>
          <w:tcPr>
            <w:tcW w:w="640" w:type="dxa"/>
            <w:vAlign w:val="center"/>
          </w:tcPr>
          <w:p w14:paraId="1C1D1ED8">
            <w:pPr>
              <w:spacing w:line="360" w:lineRule="auto"/>
              <w:jc w:val="center"/>
              <w:rPr>
                <w:rFonts w:hint="eastAsia" w:ascii="宋体" w:hAnsi="宋体" w:eastAsia="宋体" w:cs="宋体"/>
                <w:b/>
                <w:bCs/>
                <w:szCs w:val="21"/>
                <w:lang w:eastAsia="zh-CN"/>
              </w:rPr>
            </w:pPr>
            <w:r>
              <w:rPr>
                <w:rFonts w:hint="eastAsia" w:ascii="宋体" w:hAnsi="宋体" w:cs="宋体"/>
                <w:b/>
                <w:bCs/>
                <w:szCs w:val="21"/>
              </w:rPr>
              <w:t>0-</w:t>
            </w:r>
            <w:r>
              <w:rPr>
                <w:rFonts w:hint="eastAsia" w:ascii="宋体" w:hAnsi="宋体" w:cs="宋体"/>
                <w:b/>
                <w:bCs/>
                <w:szCs w:val="21"/>
                <w:lang w:val="en-US" w:eastAsia="zh-CN"/>
              </w:rPr>
              <w:t>5</w:t>
            </w:r>
          </w:p>
        </w:tc>
        <w:tc>
          <w:tcPr>
            <w:tcW w:w="5702" w:type="dxa"/>
            <w:vAlign w:val="center"/>
          </w:tcPr>
          <w:p w14:paraId="5F7947E3">
            <w:pPr>
              <w:spacing w:line="360" w:lineRule="auto"/>
              <w:ind w:firstLine="420" w:firstLineChars="200"/>
              <w:rPr>
                <w:rFonts w:hint="eastAsia" w:ascii="宋体" w:hAnsi="宋体" w:cs="宋体"/>
                <w:szCs w:val="21"/>
              </w:rPr>
            </w:pPr>
            <w:r>
              <w:rPr>
                <w:rFonts w:hint="eastAsia" w:ascii="宋体" w:hAnsi="宋体" w:cs="宋体"/>
                <w:szCs w:val="21"/>
              </w:rPr>
              <w:t>承诺提供的售后服务体系、售后服务点分布，售后服务响应时间（0-</w:t>
            </w:r>
            <w:r>
              <w:rPr>
                <w:rFonts w:hint="eastAsia" w:ascii="宋体" w:hAnsi="宋体" w:cs="宋体"/>
                <w:szCs w:val="21"/>
                <w:lang w:val="en-US" w:eastAsia="zh-CN"/>
              </w:rPr>
              <w:t>5</w:t>
            </w:r>
            <w:r>
              <w:rPr>
                <w:rFonts w:hint="eastAsia" w:ascii="宋体" w:hAnsi="宋体" w:cs="宋体"/>
                <w:szCs w:val="21"/>
              </w:rPr>
              <w:t>分）</w:t>
            </w:r>
          </w:p>
          <w:p w14:paraId="73C8AB73">
            <w:pPr>
              <w:spacing w:line="360" w:lineRule="auto"/>
              <w:ind w:firstLine="420" w:firstLineChars="200"/>
              <w:rPr>
                <w:rFonts w:ascii="宋体" w:hAnsi="宋体" w:cs="宋体"/>
                <w:szCs w:val="21"/>
              </w:rPr>
            </w:pPr>
            <w:r>
              <w:rPr>
                <w:rFonts w:hint="eastAsia" w:ascii="宋体" w:hAnsi="宋体" w:cs="宋体"/>
                <w:szCs w:val="21"/>
              </w:rPr>
              <w:t>针对项目特点结合采购人需求制定包括但不限于服务承诺、服务体系、售后机构、响应时间等售后服务方案，方案内容关于上述要素阐述齐全、科学合理、操作性强、贴近采购人需求的得</w:t>
            </w:r>
            <w:r>
              <w:rPr>
                <w:rFonts w:hint="eastAsia" w:ascii="宋体" w:hAnsi="宋体" w:cs="宋体"/>
                <w:szCs w:val="21"/>
                <w:lang w:val="en-US" w:eastAsia="zh-CN"/>
              </w:rPr>
              <w:t>5</w:t>
            </w:r>
            <w:r>
              <w:rPr>
                <w:rFonts w:hint="eastAsia" w:ascii="宋体" w:hAnsi="宋体" w:cs="宋体"/>
                <w:szCs w:val="21"/>
              </w:rPr>
              <w:t>分，内容缺少或内容简要不具备可行性或内容非专门针对本项目或内</w:t>
            </w:r>
            <w:r>
              <w:rPr>
                <w:rFonts w:hint="eastAsia" w:ascii="宋体" w:hAnsi="宋体" w:cs="宋体"/>
                <w:color w:val="auto"/>
                <w:szCs w:val="21"/>
              </w:rPr>
              <w:t>容不能满足本项目实际需要</w:t>
            </w:r>
            <w:r>
              <w:rPr>
                <w:rFonts w:hint="eastAsia" w:ascii="宋体" w:hAnsi="宋体" w:cs="宋体"/>
                <w:color w:val="auto"/>
                <w:szCs w:val="21"/>
                <w:lang w:val="en-US" w:eastAsia="zh-CN"/>
              </w:rPr>
              <w:t>或照抄采购需求</w:t>
            </w:r>
            <w:r>
              <w:rPr>
                <w:rFonts w:hint="eastAsia" w:ascii="宋体" w:hAnsi="宋体" w:cs="宋体"/>
                <w:color w:val="auto"/>
                <w:szCs w:val="21"/>
              </w:rPr>
              <w:t>的每有1项扣1分，扣完为止。</w:t>
            </w:r>
            <w:r>
              <w:rPr>
                <w:rFonts w:hint="eastAsia" w:ascii="宋体" w:hAnsi="宋体" w:cs="宋体"/>
                <w:color w:val="auto"/>
              </w:rPr>
              <w:t>（得分范围</w:t>
            </w:r>
            <w:r>
              <w:rPr>
                <w:rFonts w:hint="eastAsia" w:ascii="宋体" w:hAnsi="宋体" w:cs="宋体"/>
                <w:color w:val="auto"/>
                <w:lang w:val="en-US" w:eastAsia="zh-CN"/>
              </w:rPr>
              <w:t>5,</w:t>
            </w:r>
            <w:r>
              <w:rPr>
                <w:rFonts w:hint="eastAsia" w:ascii="宋体" w:hAnsi="宋体" w:cs="宋体"/>
                <w:color w:val="auto"/>
              </w:rPr>
              <w:t>4,3,2,1,0）</w:t>
            </w:r>
          </w:p>
        </w:tc>
      </w:tr>
      <w:tr w14:paraId="73F1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1E067509">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主观分</w:t>
            </w:r>
          </w:p>
        </w:tc>
        <w:tc>
          <w:tcPr>
            <w:tcW w:w="1089" w:type="dxa"/>
            <w:vAlign w:val="center"/>
          </w:tcPr>
          <w:p w14:paraId="43C3E8CA">
            <w:pPr>
              <w:spacing w:line="360" w:lineRule="auto"/>
              <w:jc w:val="center"/>
              <w:rPr>
                <w:rFonts w:ascii="宋体" w:hAnsi="宋体" w:cs="宋体"/>
                <w:b/>
                <w:bCs/>
                <w:szCs w:val="21"/>
              </w:rPr>
            </w:pPr>
            <w:r>
              <w:rPr>
                <w:rFonts w:hint="eastAsia" w:ascii="宋体" w:hAnsi="宋体" w:cs="宋体"/>
                <w:b/>
                <w:bCs/>
                <w:szCs w:val="21"/>
              </w:rPr>
              <w:t>项目实施人员安排</w:t>
            </w:r>
          </w:p>
        </w:tc>
        <w:tc>
          <w:tcPr>
            <w:tcW w:w="640" w:type="dxa"/>
            <w:vAlign w:val="center"/>
          </w:tcPr>
          <w:p w14:paraId="1CB3CFC1">
            <w:pPr>
              <w:spacing w:line="360" w:lineRule="auto"/>
              <w:jc w:val="center"/>
              <w:rPr>
                <w:rFonts w:hint="eastAsia" w:ascii="宋体" w:hAnsi="宋体" w:eastAsia="宋体" w:cs="宋体"/>
                <w:b/>
                <w:bCs/>
                <w:szCs w:val="21"/>
                <w:lang w:eastAsia="zh-CN"/>
              </w:rPr>
            </w:pPr>
            <w:r>
              <w:rPr>
                <w:rFonts w:hint="eastAsia" w:ascii="宋体" w:hAnsi="宋体" w:cs="宋体"/>
                <w:b/>
                <w:bCs/>
                <w:szCs w:val="21"/>
              </w:rPr>
              <w:t>0-</w:t>
            </w:r>
            <w:r>
              <w:rPr>
                <w:rFonts w:hint="eastAsia" w:ascii="宋体" w:hAnsi="宋体" w:cs="宋体"/>
                <w:b/>
                <w:bCs/>
                <w:szCs w:val="21"/>
                <w:lang w:val="en-US" w:eastAsia="zh-CN"/>
              </w:rPr>
              <w:t>5</w:t>
            </w:r>
          </w:p>
        </w:tc>
        <w:tc>
          <w:tcPr>
            <w:tcW w:w="5702" w:type="dxa"/>
            <w:vAlign w:val="center"/>
          </w:tcPr>
          <w:p w14:paraId="3008E811">
            <w:pPr>
              <w:spacing w:line="360" w:lineRule="auto"/>
              <w:ind w:firstLine="420" w:firstLineChars="200"/>
              <w:rPr>
                <w:rFonts w:hint="eastAsia" w:ascii="宋体" w:hAnsi="宋体" w:cs="宋体"/>
                <w:szCs w:val="21"/>
              </w:rPr>
            </w:pPr>
            <w:r>
              <w:rPr>
                <w:rFonts w:hint="eastAsia" w:ascii="宋体" w:hAnsi="宋体" w:cs="宋体"/>
                <w:szCs w:val="21"/>
              </w:rPr>
              <w:t>项目实施人员安排的合理性综合打分。（0-</w:t>
            </w:r>
            <w:r>
              <w:rPr>
                <w:rFonts w:hint="eastAsia" w:ascii="宋体" w:hAnsi="宋体" w:cs="宋体"/>
                <w:szCs w:val="21"/>
                <w:lang w:val="en-US" w:eastAsia="zh-CN"/>
              </w:rPr>
              <w:t>5</w:t>
            </w:r>
            <w:r>
              <w:rPr>
                <w:rFonts w:hint="eastAsia" w:ascii="宋体" w:hAnsi="宋体" w:cs="宋体"/>
                <w:szCs w:val="21"/>
              </w:rPr>
              <w:t>分）</w:t>
            </w:r>
          </w:p>
          <w:p w14:paraId="12E8A721">
            <w:pPr>
              <w:spacing w:line="360" w:lineRule="auto"/>
              <w:ind w:firstLine="420" w:firstLineChars="200"/>
              <w:rPr>
                <w:rFonts w:ascii="宋体" w:hAnsi="宋体" w:cs="宋体"/>
                <w:szCs w:val="21"/>
              </w:rPr>
            </w:pPr>
            <w:r>
              <w:rPr>
                <w:rFonts w:hint="eastAsia" w:ascii="宋体" w:hAnsi="宋体" w:cs="宋体"/>
                <w:szCs w:val="21"/>
              </w:rPr>
              <w:t>针对项目特点结合采购人需求制定包括但不限于项目实施人员安排合理，方案内容关于上述要素阐述齐全、科学合理、操作性强、贴近采购人需求的得</w:t>
            </w:r>
            <w:r>
              <w:rPr>
                <w:rFonts w:hint="eastAsia" w:ascii="宋体" w:hAnsi="宋体" w:cs="宋体"/>
                <w:szCs w:val="21"/>
                <w:lang w:val="en-US" w:eastAsia="zh-CN"/>
              </w:rPr>
              <w:t>5</w:t>
            </w:r>
            <w:r>
              <w:rPr>
                <w:rFonts w:hint="eastAsia" w:ascii="宋体" w:hAnsi="宋体" w:cs="宋体"/>
                <w:szCs w:val="21"/>
              </w:rPr>
              <w:t>分，内容缺少或内容简要不具备可行性或内容非专门针对本项目或内容不能满足本项目实际需要的每有1项扣1分，扣完为止。</w:t>
            </w:r>
            <w:r>
              <w:rPr>
                <w:rFonts w:hint="eastAsia" w:ascii="宋体" w:hAnsi="宋体" w:cs="宋体"/>
              </w:rPr>
              <w:t>（得分范围</w:t>
            </w:r>
            <w:r>
              <w:rPr>
                <w:rFonts w:hint="eastAsia" w:ascii="宋体" w:hAnsi="宋体" w:cs="宋体"/>
                <w:lang w:val="en-US" w:eastAsia="zh-CN"/>
              </w:rPr>
              <w:t>5,4,</w:t>
            </w:r>
            <w:r>
              <w:rPr>
                <w:rFonts w:hint="eastAsia" w:ascii="宋体" w:hAnsi="宋体" w:cs="宋体"/>
              </w:rPr>
              <w:t>3,2,1,0）</w:t>
            </w:r>
          </w:p>
        </w:tc>
      </w:tr>
      <w:tr w14:paraId="2247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0BC30945">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主观分</w:t>
            </w:r>
          </w:p>
        </w:tc>
        <w:tc>
          <w:tcPr>
            <w:tcW w:w="639" w:type="pct"/>
            <w:vAlign w:val="center"/>
          </w:tcPr>
          <w:p w14:paraId="59BDB1F7">
            <w:pPr>
              <w:spacing w:line="360" w:lineRule="auto"/>
              <w:jc w:val="center"/>
              <w:rPr>
                <w:rFonts w:ascii="宋体" w:hAnsi="宋体" w:cs="宋体"/>
                <w:b/>
                <w:bCs/>
                <w:szCs w:val="21"/>
              </w:rPr>
            </w:pPr>
            <w:r>
              <w:rPr>
                <w:rFonts w:hint="eastAsia" w:ascii="宋体" w:hAnsi="宋体" w:cs="宋体"/>
                <w:b/>
                <w:bCs/>
                <w:szCs w:val="21"/>
              </w:rPr>
              <w:t>应急预案</w:t>
            </w:r>
          </w:p>
        </w:tc>
        <w:tc>
          <w:tcPr>
            <w:tcW w:w="640" w:type="dxa"/>
            <w:vAlign w:val="center"/>
          </w:tcPr>
          <w:p w14:paraId="7A9EB773">
            <w:pPr>
              <w:spacing w:line="360" w:lineRule="auto"/>
              <w:jc w:val="center"/>
              <w:rPr>
                <w:rFonts w:ascii="宋体" w:hAnsi="宋体" w:cs="宋体"/>
                <w:b/>
                <w:bCs/>
                <w:szCs w:val="21"/>
              </w:rPr>
            </w:pPr>
            <w:r>
              <w:rPr>
                <w:rFonts w:hint="eastAsia" w:ascii="宋体" w:hAnsi="宋体" w:cs="宋体"/>
                <w:b/>
                <w:bCs/>
                <w:szCs w:val="21"/>
              </w:rPr>
              <w:t>0-3</w:t>
            </w:r>
          </w:p>
        </w:tc>
        <w:tc>
          <w:tcPr>
            <w:tcW w:w="5702" w:type="dxa"/>
            <w:vAlign w:val="center"/>
          </w:tcPr>
          <w:p w14:paraId="412888C0">
            <w:pPr>
              <w:spacing w:line="360" w:lineRule="auto"/>
              <w:ind w:firstLine="420" w:firstLineChars="200"/>
              <w:rPr>
                <w:rFonts w:hint="eastAsia" w:ascii="宋体" w:hAnsi="宋体" w:cs="宋体"/>
                <w:szCs w:val="21"/>
              </w:rPr>
            </w:pPr>
            <w:r>
              <w:rPr>
                <w:rFonts w:hint="eastAsia" w:ascii="宋体" w:hAnsi="宋体" w:cs="宋体"/>
                <w:szCs w:val="21"/>
              </w:rPr>
              <w:t>应急预案（0-3分）</w:t>
            </w:r>
          </w:p>
          <w:p w14:paraId="114779FC">
            <w:pPr>
              <w:spacing w:line="360" w:lineRule="auto"/>
              <w:ind w:firstLine="420" w:firstLineChars="200"/>
              <w:rPr>
                <w:rFonts w:ascii="宋体" w:hAnsi="宋体" w:cs="宋体"/>
                <w:szCs w:val="21"/>
              </w:rPr>
            </w:pPr>
            <w:r>
              <w:rPr>
                <w:rFonts w:hint="eastAsia" w:ascii="宋体" w:hAnsi="宋体" w:cs="宋体"/>
                <w:szCs w:val="21"/>
              </w:rPr>
              <w:t>供应商应提供项目保障应急预案，其中应包括现场应急处理、技术支撑保障、易损件备品备件、专用工具清单等。方案内容关于上述要素阐述齐全、科学合理、操作性强、贴近采购人需求的得3分，内容缺少或内容简要不具备可行性或内容非专门针对本项目或内容不能满足本项目实际需要的每有1项扣1分，扣完为止。</w:t>
            </w:r>
            <w:r>
              <w:rPr>
                <w:rFonts w:hint="eastAsia" w:ascii="宋体" w:hAnsi="宋体" w:cs="宋体"/>
              </w:rPr>
              <w:t>（得分范围3,2,1,0）</w:t>
            </w:r>
          </w:p>
        </w:tc>
      </w:tr>
      <w:tr w14:paraId="4713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39" w:type="pct"/>
            <w:vAlign w:val="center"/>
          </w:tcPr>
          <w:p w14:paraId="73B8E8B3">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客观分</w:t>
            </w:r>
          </w:p>
        </w:tc>
        <w:tc>
          <w:tcPr>
            <w:tcW w:w="639" w:type="pct"/>
            <w:vAlign w:val="center"/>
          </w:tcPr>
          <w:p w14:paraId="35E9B3D0">
            <w:pPr>
              <w:spacing w:line="360" w:lineRule="auto"/>
              <w:jc w:val="center"/>
              <w:rPr>
                <w:rFonts w:ascii="宋体" w:hAnsi="宋体" w:cs="宋体"/>
                <w:b/>
                <w:bCs/>
                <w:szCs w:val="21"/>
              </w:rPr>
            </w:pPr>
            <w:r>
              <w:rPr>
                <w:rFonts w:hint="eastAsia" w:ascii="宋体" w:hAnsi="宋体" w:cs="宋体"/>
                <w:b/>
                <w:bCs/>
                <w:szCs w:val="21"/>
              </w:rPr>
              <w:t>政策分</w:t>
            </w:r>
          </w:p>
        </w:tc>
        <w:tc>
          <w:tcPr>
            <w:tcW w:w="375" w:type="pct"/>
            <w:vAlign w:val="center"/>
          </w:tcPr>
          <w:p w14:paraId="288D3D9F">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rPr>
              <w:t>0-</w:t>
            </w:r>
            <w:r>
              <w:rPr>
                <w:rFonts w:hint="eastAsia" w:ascii="宋体" w:hAnsi="宋体" w:cs="宋体"/>
                <w:b/>
                <w:bCs/>
                <w:color w:val="auto"/>
                <w:szCs w:val="21"/>
                <w:lang w:val="en-US" w:eastAsia="zh-CN"/>
              </w:rPr>
              <w:t>1</w:t>
            </w:r>
          </w:p>
        </w:tc>
        <w:tc>
          <w:tcPr>
            <w:tcW w:w="3345" w:type="pct"/>
            <w:vAlign w:val="center"/>
          </w:tcPr>
          <w:p w14:paraId="7345924D">
            <w:pPr>
              <w:spacing w:line="360" w:lineRule="auto"/>
              <w:ind w:firstLine="420" w:firstLineChars="200"/>
              <w:rPr>
                <w:rFonts w:ascii="宋体" w:hAnsi="宋体" w:cs="宋体"/>
                <w:color w:val="auto"/>
                <w:szCs w:val="21"/>
              </w:rPr>
            </w:pPr>
            <w:r>
              <w:rPr>
                <w:rFonts w:hint="eastAsia" w:ascii="宋体" w:hAnsi="宋体" w:cs="宋体"/>
                <w:color w:val="auto"/>
                <w:szCs w:val="21"/>
              </w:rPr>
              <w:t>投标产品</w:t>
            </w:r>
            <w:r>
              <w:rPr>
                <w:rFonts w:hint="eastAsia" w:ascii="宋体" w:hAnsi="宋体" w:cs="宋体"/>
                <w:color w:val="auto"/>
                <w:szCs w:val="21"/>
                <w:lang w:val="en-US" w:eastAsia="zh-CN"/>
              </w:rPr>
              <w:t>有</w:t>
            </w:r>
            <w:r>
              <w:rPr>
                <w:rFonts w:hint="eastAsia" w:ascii="宋体" w:hAnsi="宋体" w:cs="宋体"/>
                <w:color w:val="auto"/>
                <w:szCs w:val="21"/>
              </w:rPr>
              <w:t>属于《节能产品政府采购品目清单》范围的且具有国家确定的认证机构出具的、处于有效期之内的节能产品认证证书的得</w:t>
            </w:r>
            <w:r>
              <w:rPr>
                <w:rFonts w:hint="eastAsia" w:ascii="宋体" w:hAnsi="宋体" w:cs="宋体"/>
                <w:color w:val="auto"/>
                <w:szCs w:val="21"/>
                <w:lang w:val="en-US" w:eastAsia="zh-CN"/>
              </w:rPr>
              <w:t>0.5</w:t>
            </w:r>
            <w:r>
              <w:rPr>
                <w:rFonts w:hint="eastAsia" w:ascii="宋体" w:hAnsi="宋体" w:cs="宋体"/>
                <w:color w:val="auto"/>
                <w:szCs w:val="21"/>
              </w:rPr>
              <w:t>分；</w:t>
            </w:r>
          </w:p>
          <w:p w14:paraId="39BB4B42">
            <w:pPr>
              <w:spacing w:line="360" w:lineRule="auto"/>
              <w:ind w:firstLine="420" w:firstLineChars="200"/>
              <w:rPr>
                <w:rFonts w:ascii="宋体" w:hAnsi="宋体" w:cs="宋体"/>
                <w:color w:val="auto"/>
                <w:szCs w:val="21"/>
              </w:rPr>
            </w:pPr>
            <w:r>
              <w:rPr>
                <w:rFonts w:hint="eastAsia" w:ascii="宋体" w:hAnsi="宋体" w:cs="宋体"/>
                <w:color w:val="auto"/>
                <w:szCs w:val="21"/>
              </w:rPr>
              <w:t>投标产品</w:t>
            </w:r>
            <w:r>
              <w:rPr>
                <w:rFonts w:hint="eastAsia" w:ascii="宋体" w:hAnsi="宋体" w:cs="宋体"/>
                <w:color w:val="auto"/>
                <w:szCs w:val="21"/>
                <w:lang w:val="en-US" w:eastAsia="zh-CN"/>
              </w:rPr>
              <w:t>有</w:t>
            </w:r>
            <w:r>
              <w:rPr>
                <w:rFonts w:hint="eastAsia" w:ascii="宋体" w:hAnsi="宋体" w:cs="宋体"/>
                <w:color w:val="auto"/>
                <w:szCs w:val="21"/>
              </w:rPr>
              <w:t>属于《环境标志产品政府采购品目清单》范围的且具有国家确定的认证机构出具的、处于有效期之内的环境标志产品认证证书的得</w:t>
            </w:r>
            <w:r>
              <w:rPr>
                <w:rFonts w:hint="eastAsia" w:ascii="宋体" w:hAnsi="宋体" w:cs="宋体"/>
                <w:color w:val="auto"/>
                <w:szCs w:val="21"/>
                <w:lang w:val="en-US" w:eastAsia="zh-CN"/>
              </w:rPr>
              <w:t>0.5</w:t>
            </w:r>
            <w:r>
              <w:rPr>
                <w:rFonts w:hint="eastAsia" w:ascii="宋体" w:hAnsi="宋体" w:cs="宋体"/>
                <w:color w:val="auto"/>
                <w:szCs w:val="21"/>
              </w:rPr>
              <w:t>分。</w:t>
            </w:r>
          </w:p>
          <w:p w14:paraId="42FFBE88">
            <w:pPr>
              <w:spacing w:line="360" w:lineRule="auto"/>
              <w:rPr>
                <w:rFonts w:ascii="宋体" w:hAnsi="宋体" w:cs="宋体"/>
                <w:color w:val="auto"/>
                <w:szCs w:val="21"/>
              </w:rPr>
            </w:pPr>
            <w:r>
              <w:rPr>
                <w:rFonts w:hint="eastAsia" w:ascii="宋体" w:hAnsi="宋体" w:cs="宋体"/>
                <w:color w:val="auto"/>
                <w:szCs w:val="21"/>
              </w:rPr>
              <w:t>证明文件：</w:t>
            </w:r>
          </w:p>
          <w:p w14:paraId="403AB48A">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提供政府采购品目清单相关内容页（并对相关内容作圈记），采购品目清单详见《关于印发环境标志产品政府采购品目清单的通知》（财库〔2019〕18号）、《关于印发节能产品政府采购品目清单的通知》（财库〔2019〕19号）。</w:t>
            </w:r>
          </w:p>
          <w:p w14:paraId="07AB8177">
            <w:pPr>
              <w:spacing w:line="360" w:lineRule="auto"/>
              <w:ind w:firstLine="420" w:firstLineChars="200"/>
              <w:rPr>
                <w:rFonts w:ascii="宋体" w:hAnsi="宋体" w:cs="宋体"/>
                <w:color w:val="auto"/>
                <w:szCs w:val="21"/>
              </w:rPr>
            </w:pPr>
            <w:r>
              <w:rPr>
                <w:rFonts w:ascii="宋体" w:hAnsi="宋体" w:cs="宋体"/>
                <w:color w:val="auto"/>
                <w:szCs w:val="21"/>
              </w:rPr>
              <w:t>（2）《市场监管总局关于发布参与实施政府采购节能产品、环境标志产品认证机构名录的公告》中的认证机构出具的、处于有效期之内的节能产品/环境标志产品认证证书复印件并加盖公章。</w:t>
            </w:r>
          </w:p>
        </w:tc>
      </w:tr>
    </w:tbl>
    <w:p w14:paraId="5D224C22">
      <w:pPr>
        <w:spacing w:line="360" w:lineRule="auto"/>
        <w:outlineLvl w:val="1"/>
        <w:rPr>
          <w:rFonts w:ascii="宋体" w:hAnsi="宋体" w:cs="宋体"/>
          <w:b/>
          <w:color w:val="auto"/>
          <w:spacing w:val="-6"/>
          <w:sz w:val="24"/>
        </w:rPr>
      </w:pPr>
    </w:p>
    <w:p w14:paraId="0DD3A2FD">
      <w:pPr>
        <w:spacing w:line="360" w:lineRule="auto"/>
        <w:outlineLvl w:val="1"/>
        <w:rPr>
          <w:rFonts w:ascii="宋体" w:hAnsi="宋体" w:cs="宋体"/>
          <w:b/>
          <w:color w:val="auto"/>
          <w:spacing w:val="-6"/>
          <w:sz w:val="24"/>
        </w:rPr>
      </w:pPr>
      <w:r>
        <w:rPr>
          <w:rFonts w:hint="eastAsia" w:ascii="宋体" w:hAnsi="宋体" w:cs="宋体"/>
          <w:b/>
          <w:color w:val="auto"/>
          <w:spacing w:val="-6"/>
          <w:sz w:val="24"/>
        </w:rPr>
        <w:t>三、评标报告</w:t>
      </w:r>
      <w:r>
        <w:rPr>
          <w:rFonts w:hint="eastAsia" w:ascii="宋体" w:hAnsi="宋体" w:cs="宋体"/>
          <w:b/>
          <w:color w:val="auto"/>
          <w:spacing w:val="-6"/>
          <w:sz w:val="24"/>
        </w:rPr>
        <w:tab/>
      </w:r>
    </w:p>
    <w:p w14:paraId="015A0BE5">
      <w:pPr>
        <w:tabs>
          <w:tab w:val="left" w:pos="8820"/>
        </w:tabs>
        <w:adjustRightInd w:val="0"/>
        <w:snapToGrid w:val="0"/>
        <w:spacing w:line="360" w:lineRule="auto"/>
        <w:ind w:firstLine="433" w:firstLineChars="190"/>
        <w:rPr>
          <w:rFonts w:ascii="宋体" w:hAnsi="宋体" w:cs="宋体"/>
          <w:bCs/>
          <w:color w:val="auto"/>
          <w:spacing w:val="-6"/>
          <w:sz w:val="24"/>
        </w:rPr>
      </w:pPr>
      <w:r>
        <w:rPr>
          <w:rFonts w:hint="eastAsia" w:ascii="宋体" w:hAnsi="宋体" w:cs="宋体"/>
          <w:bCs/>
          <w:color w:val="auto"/>
          <w:spacing w:val="-6"/>
          <w:sz w:val="24"/>
        </w:rPr>
        <w:t>1.评标委员会根据最终得分从高到低，推荐排名第一的供应商为中标候选人。</w:t>
      </w:r>
    </w:p>
    <w:p w14:paraId="17907E28">
      <w:pPr>
        <w:adjustRightInd w:val="0"/>
        <w:snapToGrid w:val="0"/>
        <w:spacing w:line="360" w:lineRule="auto"/>
        <w:ind w:firstLine="433" w:firstLineChars="190"/>
        <w:rPr>
          <w:rFonts w:ascii="宋体" w:hAnsi="宋体" w:cs="宋体"/>
          <w:bCs/>
          <w:color w:val="auto"/>
          <w:spacing w:val="-6"/>
          <w:sz w:val="24"/>
        </w:rPr>
      </w:pPr>
      <w:r>
        <w:rPr>
          <w:rFonts w:hint="eastAsia" w:ascii="宋体" w:hAnsi="宋体" w:cs="宋体"/>
          <w:bCs/>
          <w:color w:val="auto"/>
          <w:spacing w:val="-6"/>
          <w:sz w:val="24"/>
        </w:rPr>
        <w:t>2.评标委员会应根据评标情况和结果，向采购人提交评标报告。评标报告由评标委员会起草，按少数服从多数的原则通过。评标委员会全体成员应在评标报告上签字认可，评标专家如有保留意见可以在评标报告中阐明。</w:t>
      </w:r>
    </w:p>
    <w:p w14:paraId="21D777B0">
      <w:pPr>
        <w:spacing w:line="360" w:lineRule="auto"/>
        <w:outlineLvl w:val="1"/>
        <w:rPr>
          <w:rFonts w:ascii="宋体" w:hAnsi="宋体" w:cs="宋体"/>
          <w:b/>
          <w:color w:val="auto"/>
          <w:spacing w:val="-6"/>
          <w:sz w:val="24"/>
        </w:rPr>
      </w:pPr>
      <w:r>
        <w:rPr>
          <w:rFonts w:hint="eastAsia" w:ascii="宋体" w:hAnsi="宋体" w:cs="宋体"/>
          <w:b/>
          <w:color w:val="auto"/>
          <w:spacing w:val="-6"/>
          <w:sz w:val="24"/>
        </w:rPr>
        <w:t>四、定标</w:t>
      </w:r>
    </w:p>
    <w:p w14:paraId="71A4AAF3">
      <w:pPr>
        <w:adjustRightInd w:val="0"/>
        <w:snapToGrid w:val="0"/>
        <w:spacing w:line="360" w:lineRule="auto"/>
        <w:ind w:firstLine="433" w:firstLineChars="190"/>
        <w:rPr>
          <w:rFonts w:ascii="宋体" w:hAnsi="宋体" w:cs="宋体"/>
          <w:bCs/>
          <w:color w:val="auto"/>
          <w:spacing w:val="-6"/>
          <w:sz w:val="24"/>
        </w:rPr>
      </w:pPr>
      <w:r>
        <w:rPr>
          <w:rFonts w:hint="eastAsia" w:ascii="宋体" w:hAnsi="宋体" w:cs="宋体"/>
          <w:bCs/>
          <w:color w:val="auto"/>
          <w:spacing w:val="-6"/>
          <w:sz w:val="24"/>
        </w:rPr>
        <w:t>采购人根据评标委员会的评标结果和推荐的中标候选人，最终确定1名中标人。</w:t>
      </w:r>
    </w:p>
    <w:p w14:paraId="26013B2F">
      <w:pPr>
        <w:spacing w:line="360" w:lineRule="auto"/>
        <w:outlineLvl w:val="1"/>
        <w:rPr>
          <w:rFonts w:ascii="宋体" w:hAnsi="宋体" w:cs="宋体"/>
          <w:b/>
          <w:color w:val="auto"/>
          <w:spacing w:val="-6"/>
          <w:sz w:val="24"/>
        </w:rPr>
      </w:pPr>
      <w:r>
        <w:rPr>
          <w:rFonts w:hint="eastAsia" w:ascii="宋体" w:hAnsi="宋体" w:cs="宋体"/>
          <w:b/>
          <w:color w:val="auto"/>
          <w:spacing w:val="-6"/>
          <w:sz w:val="24"/>
        </w:rPr>
        <w:t>五、其他</w:t>
      </w:r>
    </w:p>
    <w:p w14:paraId="6352B63D">
      <w:pPr>
        <w:tabs>
          <w:tab w:val="left" w:pos="8820"/>
        </w:tabs>
        <w:adjustRightInd w:val="0"/>
        <w:snapToGrid w:val="0"/>
        <w:spacing w:line="360" w:lineRule="auto"/>
        <w:ind w:firstLine="433" w:firstLineChars="190"/>
        <w:rPr>
          <w:rFonts w:ascii="宋体" w:hAnsi="宋体" w:cs="宋体"/>
          <w:bCs/>
          <w:color w:val="auto"/>
          <w:spacing w:val="-6"/>
          <w:sz w:val="24"/>
        </w:rPr>
      </w:pPr>
      <w:r>
        <w:rPr>
          <w:rFonts w:hint="eastAsia" w:ascii="宋体" w:hAnsi="宋体" w:cs="宋体"/>
          <w:bCs/>
          <w:color w:val="auto"/>
          <w:spacing w:val="-6"/>
          <w:sz w:val="24"/>
        </w:rPr>
        <w:t>各位评标人员应认真﹑客观﹑公正对待每个投标人，遵守评标纪律，不得泄漏任何评标信息，如违规违纪者，将严肃查处。</w:t>
      </w:r>
    </w:p>
    <w:p w14:paraId="6724AE1A">
      <w:pPr>
        <w:tabs>
          <w:tab w:val="left" w:pos="8820"/>
        </w:tabs>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评标中，如发现有二份及以上投标文件的相互之间有相同或高度相似之处，且经询标澄清投标人无令人信服的理由和可靠证据证明其合理性的，经评标委员会半数以上成员认定有串通投标嫌疑的，其投标文件按无效标处理，予以废除，不再对其进行评审，也不影响招标继续评标。评标结束后，评标专家应将有串通投标嫌疑的投标文件以及相关评标分析材料及时移交采购人作进一步的调查处理，即使最终无法认定串通投标行为成立，也不影响对其按无效标处理的结果。</w:t>
      </w:r>
      <w:bookmarkStart w:id="12" w:name="_Toc172031721"/>
      <w:bookmarkEnd w:id="12"/>
      <w:bookmarkStart w:id="13" w:name="_第八部分___评标办法"/>
      <w:bookmarkEnd w:id="13"/>
      <w:bookmarkStart w:id="14" w:name="_Toc171585790"/>
      <w:bookmarkEnd w:id="14"/>
      <w:bookmarkStart w:id="15" w:name="_Toc171585791"/>
      <w:bookmarkEnd w:id="15"/>
      <w:bookmarkStart w:id="16" w:name="_Toc171585789"/>
      <w:bookmarkEnd w:id="16"/>
      <w:bookmarkStart w:id="17" w:name="_Toc172031722"/>
      <w:bookmarkEnd w:id="17"/>
      <w:bookmarkStart w:id="18" w:name="_Toc171585533"/>
      <w:bookmarkEnd w:id="18"/>
      <w:bookmarkStart w:id="19" w:name="_Toc171585530"/>
      <w:bookmarkEnd w:id="19"/>
      <w:bookmarkStart w:id="20" w:name="_Toc172031723"/>
      <w:bookmarkEnd w:id="20"/>
      <w:bookmarkStart w:id="21" w:name="_Toc172031724"/>
      <w:bookmarkEnd w:id="21"/>
      <w:bookmarkStart w:id="22" w:name="_Toc171585532"/>
      <w:bookmarkEnd w:id="22"/>
      <w:bookmarkStart w:id="23" w:name="_Toc171585792"/>
      <w:bookmarkEnd w:id="23"/>
      <w:bookmarkStart w:id="24" w:name="_Toc171585531"/>
      <w:bookmarkEnd w:id="24"/>
    </w:p>
    <w:p w14:paraId="5CC1A302">
      <w:pPr>
        <w:tabs>
          <w:tab w:val="left" w:pos="8820"/>
        </w:tabs>
        <w:adjustRightInd w:val="0"/>
        <w:snapToGrid w:val="0"/>
        <w:spacing w:line="360" w:lineRule="auto"/>
        <w:ind w:firstLine="456" w:firstLineChars="200"/>
        <w:rPr>
          <w:rFonts w:ascii="宋体" w:hAnsi="宋体" w:cs="宋体"/>
          <w:color w:val="auto"/>
          <w:sz w:val="24"/>
        </w:rPr>
      </w:pPr>
      <w:r>
        <w:rPr>
          <w:rFonts w:hint="eastAsia" w:ascii="宋体" w:hAnsi="宋体" w:cs="宋体"/>
          <w:bCs/>
          <w:color w:val="auto"/>
          <w:spacing w:val="-6"/>
          <w:sz w:val="24"/>
        </w:rPr>
        <w:t>中标结果在发布招标公告的同一网站公告1个工作日。投标人和其他利害关系人认为招标投标活动不符合法律、法规和规章规定的，可按有关规定办理。</w:t>
      </w:r>
    </w:p>
    <w:p w14:paraId="386D745B">
      <w:pPr>
        <w:tabs>
          <w:tab w:val="left" w:pos="8820"/>
        </w:tabs>
        <w:adjustRightInd w:val="0"/>
        <w:snapToGrid w:val="0"/>
        <w:spacing w:line="360" w:lineRule="auto"/>
        <w:jc w:val="center"/>
        <w:rPr>
          <w:rFonts w:ascii="宋体" w:hAnsi="宋体" w:cs="宋体"/>
          <w:b/>
          <w:color w:val="auto"/>
          <w:sz w:val="24"/>
        </w:rPr>
        <w:sectPr>
          <w:pgSz w:w="11906" w:h="16838"/>
          <w:pgMar w:top="1440" w:right="1800" w:bottom="1440" w:left="1800" w:header="851" w:footer="992" w:gutter="0"/>
          <w:cols w:space="720" w:num="1"/>
          <w:titlePg/>
          <w:docGrid w:type="lines" w:linePitch="312" w:charSpace="0"/>
        </w:sectPr>
      </w:pPr>
    </w:p>
    <w:p w14:paraId="3E6D7D33">
      <w:pPr>
        <w:snapToGrid w:val="0"/>
        <w:spacing w:line="360" w:lineRule="auto"/>
        <w:jc w:val="center"/>
        <w:outlineLvl w:val="0"/>
        <w:rPr>
          <w:rFonts w:ascii="宋体" w:hAnsi="宋体" w:cs="宋体"/>
          <w:b/>
          <w:color w:val="auto"/>
          <w:sz w:val="32"/>
          <w:szCs w:val="32"/>
        </w:rPr>
      </w:pPr>
      <w:bookmarkStart w:id="25" w:name="_Toc31754"/>
      <w:r>
        <w:rPr>
          <w:rFonts w:hint="eastAsia" w:ascii="宋体" w:hAnsi="宋体" w:cs="宋体"/>
          <w:b/>
          <w:color w:val="auto"/>
          <w:sz w:val="32"/>
          <w:szCs w:val="32"/>
        </w:rPr>
        <w:t>第五部分  合同主要条款</w:t>
      </w:r>
      <w:bookmarkEnd w:id="25"/>
    </w:p>
    <w:p w14:paraId="595837A5">
      <w:pPr>
        <w:snapToGrid w:val="0"/>
        <w:spacing w:before="156" w:beforeLines="50" w:after="156" w:afterLines="50" w:line="360" w:lineRule="auto"/>
        <w:jc w:val="center"/>
        <w:rPr>
          <w:rFonts w:ascii="宋体" w:hAnsi="宋体" w:cs="宋体"/>
          <w:color w:val="auto"/>
          <w:sz w:val="24"/>
        </w:rPr>
      </w:pPr>
      <w:r>
        <w:rPr>
          <w:rFonts w:hint="eastAsia" w:ascii="宋体" w:hAnsi="宋体" w:cs="宋体"/>
          <w:b/>
          <w:color w:val="auto"/>
          <w:sz w:val="24"/>
        </w:rPr>
        <w:t>（本合同为合同样稿，最终稿由双方协商后确定）</w:t>
      </w:r>
    </w:p>
    <w:p w14:paraId="3F5DF2B0">
      <w:pPr>
        <w:snapToGrid w:val="0"/>
        <w:spacing w:line="360" w:lineRule="auto"/>
        <w:jc w:val="center"/>
        <w:rPr>
          <w:rFonts w:ascii="宋体" w:hAnsi="宋体" w:cs="宋体"/>
          <w:color w:val="auto"/>
          <w:sz w:val="24"/>
        </w:rPr>
      </w:pPr>
    </w:p>
    <w:p w14:paraId="799A1338">
      <w:pPr>
        <w:wordWrap w:val="0"/>
        <w:snapToGrid w:val="0"/>
        <w:spacing w:line="360" w:lineRule="auto"/>
        <w:jc w:val="right"/>
        <w:rPr>
          <w:rFonts w:ascii="宋体" w:hAnsi="宋体" w:cs="宋体"/>
          <w:color w:val="auto"/>
          <w:sz w:val="24"/>
        </w:rPr>
      </w:pPr>
      <w:r>
        <w:rPr>
          <w:rFonts w:hint="eastAsia" w:ascii="宋体" w:hAnsi="宋体" w:cs="宋体"/>
          <w:color w:val="auto"/>
          <w:sz w:val="24"/>
        </w:rPr>
        <w:t xml:space="preserve">合同编号：             </w:t>
      </w:r>
    </w:p>
    <w:p w14:paraId="2D75323B">
      <w:pPr>
        <w:snapToGrid w:val="0"/>
        <w:spacing w:line="360" w:lineRule="auto"/>
        <w:rPr>
          <w:rFonts w:ascii="宋体" w:hAnsi="宋体" w:cs="宋体"/>
          <w:color w:val="auto"/>
          <w:sz w:val="24"/>
        </w:rPr>
      </w:pPr>
      <w:r>
        <w:rPr>
          <w:rFonts w:hint="eastAsia" w:ascii="宋体" w:hAnsi="宋体" w:cs="宋体"/>
          <w:color w:val="auto"/>
          <w:sz w:val="24"/>
        </w:rPr>
        <w:t>项目名称：</w:t>
      </w:r>
    </w:p>
    <w:p w14:paraId="04EAA298">
      <w:pPr>
        <w:snapToGrid w:val="0"/>
        <w:spacing w:line="360" w:lineRule="auto"/>
        <w:rPr>
          <w:rFonts w:ascii="宋体" w:hAnsi="宋体" w:cs="宋体"/>
          <w:color w:val="auto"/>
          <w:sz w:val="24"/>
        </w:rPr>
      </w:pPr>
      <w:r>
        <w:rPr>
          <w:rFonts w:hint="eastAsia" w:ascii="宋体" w:hAnsi="宋体" w:cs="宋体"/>
          <w:color w:val="auto"/>
          <w:sz w:val="24"/>
        </w:rPr>
        <w:t>项目编号：</w:t>
      </w:r>
    </w:p>
    <w:p w14:paraId="6B65B2D1">
      <w:pPr>
        <w:snapToGrid w:val="0"/>
        <w:spacing w:line="360" w:lineRule="auto"/>
        <w:rPr>
          <w:rFonts w:ascii="宋体" w:hAnsi="宋体" w:cs="宋体"/>
          <w:color w:val="auto"/>
          <w:sz w:val="24"/>
        </w:rPr>
      </w:pPr>
      <w:r>
        <w:rPr>
          <w:rFonts w:hint="eastAsia" w:ascii="宋体" w:hAnsi="宋体" w:cs="宋体"/>
          <w:color w:val="auto"/>
          <w:sz w:val="24"/>
        </w:rPr>
        <w:t>标项：</w:t>
      </w:r>
    </w:p>
    <w:p w14:paraId="39B18479">
      <w:pPr>
        <w:snapToGrid w:val="0"/>
        <w:spacing w:line="360" w:lineRule="auto"/>
        <w:rPr>
          <w:rFonts w:ascii="宋体" w:hAnsi="宋体" w:cs="宋体"/>
          <w:color w:val="auto"/>
          <w:sz w:val="24"/>
        </w:rPr>
      </w:pPr>
      <w:r>
        <w:rPr>
          <w:rFonts w:hint="eastAsia" w:ascii="宋体" w:hAnsi="宋体" w:cs="宋体"/>
          <w:color w:val="auto"/>
          <w:sz w:val="24"/>
        </w:rPr>
        <w:t>甲方（全称）：</w:t>
      </w:r>
    </w:p>
    <w:p w14:paraId="36D5F208">
      <w:pPr>
        <w:snapToGrid w:val="0"/>
        <w:spacing w:line="360" w:lineRule="auto"/>
        <w:rPr>
          <w:rFonts w:ascii="宋体" w:hAnsi="宋体" w:cs="宋体"/>
          <w:color w:val="auto"/>
          <w:sz w:val="24"/>
        </w:rPr>
      </w:pPr>
      <w:r>
        <w:rPr>
          <w:rFonts w:hint="eastAsia" w:ascii="宋体" w:hAnsi="宋体" w:cs="宋体"/>
          <w:color w:val="auto"/>
          <w:sz w:val="24"/>
        </w:rPr>
        <w:t>乙方（全称）：</w:t>
      </w:r>
    </w:p>
    <w:p w14:paraId="07CFC8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依照</w:t>
      </w:r>
      <w:r>
        <w:rPr>
          <w:rFonts w:hint="eastAsia" w:ascii="宋体" w:hAnsi="宋体" w:cs="宋体"/>
          <w:color w:val="auto"/>
          <w:sz w:val="24"/>
          <w:lang w:val="zh-CN"/>
        </w:rPr>
        <w:t>《中华人民共和国民法典》、《中华人民共和国政府采购法》及其他相关法律、行政法规，遵循平等、自愿、公平、诚实信用和绿色的原则，经</w:t>
      </w:r>
      <w:r>
        <w:rPr>
          <w:rFonts w:hint="eastAsia" w:ascii="宋体" w:hAnsi="宋体" w:cs="宋体"/>
          <w:color w:val="auto"/>
          <w:sz w:val="24"/>
        </w:rPr>
        <w:t>甲乙双方协商一致，订立本合同。</w:t>
      </w:r>
    </w:p>
    <w:p w14:paraId="3A2F4308">
      <w:p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一、合同货物、数量</w:t>
      </w:r>
    </w:p>
    <w:p w14:paraId="2AEEB8AA">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本合同项下包含的货物及价格清单如下表：</w:t>
      </w:r>
    </w:p>
    <w:tbl>
      <w:tblPr>
        <w:tblStyle w:val="34"/>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251"/>
        <w:gridCol w:w="951"/>
        <w:gridCol w:w="750"/>
        <w:gridCol w:w="750"/>
        <w:gridCol w:w="795"/>
        <w:gridCol w:w="1304"/>
        <w:gridCol w:w="1216"/>
        <w:gridCol w:w="1246"/>
      </w:tblGrid>
      <w:tr w14:paraId="1F6B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5333E679">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序号</w:t>
            </w:r>
          </w:p>
        </w:tc>
        <w:tc>
          <w:tcPr>
            <w:tcW w:w="2251" w:type="dxa"/>
            <w:tcBorders>
              <w:top w:val="single" w:color="auto" w:sz="4" w:space="0"/>
              <w:left w:val="single" w:color="auto" w:sz="4" w:space="0"/>
              <w:bottom w:val="single" w:color="auto" w:sz="4" w:space="0"/>
              <w:right w:val="single" w:color="auto" w:sz="4" w:space="0"/>
            </w:tcBorders>
            <w:vAlign w:val="center"/>
          </w:tcPr>
          <w:p w14:paraId="5841B90D">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产品名称</w:t>
            </w:r>
          </w:p>
        </w:tc>
        <w:tc>
          <w:tcPr>
            <w:tcW w:w="951" w:type="dxa"/>
            <w:tcBorders>
              <w:top w:val="single" w:color="auto" w:sz="4" w:space="0"/>
              <w:left w:val="single" w:color="auto" w:sz="4" w:space="0"/>
              <w:bottom w:val="single" w:color="auto" w:sz="4" w:space="0"/>
              <w:right w:val="single" w:color="auto" w:sz="4" w:space="0"/>
            </w:tcBorders>
            <w:vAlign w:val="center"/>
          </w:tcPr>
          <w:p w14:paraId="7972310E">
            <w:pPr>
              <w:snapToGrid w:val="0"/>
              <w:spacing w:line="360" w:lineRule="auto"/>
              <w:jc w:val="center"/>
              <w:rPr>
                <w:rFonts w:ascii="宋体" w:hAnsi="宋体" w:cs="宋体"/>
                <w:color w:val="auto"/>
                <w:sz w:val="24"/>
              </w:rPr>
            </w:pPr>
            <w:r>
              <w:rPr>
                <w:rFonts w:hint="eastAsia" w:ascii="宋体" w:hAnsi="宋体" w:cs="宋体"/>
                <w:color w:val="auto"/>
                <w:sz w:val="24"/>
                <w:lang w:val="zh-CN"/>
              </w:rPr>
              <w:t>品牌</w:t>
            </w:r>
          </w:p>
        </w:tc>
        <w:tc>
          <w:tcPr>
            <w:tcW w:w="750" w:type="dxa"/>
            <w:tcBorders>
              <w:top w:val="single" w:color="auto" w:sz="4" w:space="0"/>
              <w:left w:val="single" w:color="auto" w:sz="4" w:space="0"/>
              <w:bottom w:val="single" w:color="auto" w:sz="4" w:space="0"/>
              <w:right w:val="single" w:color="auto" w:sz="4" w:space="0"/>
            </w:tcBorders>
            <w:vAlign w:val="center"/>
          </w:tcPr>
          <w:p w14:paraId="080DA556">
            <w:pPr>
              <w:snapToGrid w:val="0"/>
              <w:spacing w:line="360" w:lineRule="auto"/>
              <w:jc w:val="center"/>
              <w:rPr>
                <w:rFonts w:ascii="宋体" w:hAnsi="宋体" w:cs="宋体"/>
                <w:color w:val="auto"/>
                <w:sz w:val="24"/>
                <w:lang w:val="zh-CN"/>
              </w:rPr>
            </w:pPr>
            <w:r>
              <w:rPr>
                <w:rFonts w:hint="eastAsia" w:ascii="宋体" w:hAnsi="宋体" w:cs="宋体"/>
                <w:color w:val="auto"/>
                <w:sz w:val="24"/>
              </w:rPr>
              <w:t>规格型号</w:t>
            </w:r>
          </w:p>
        </w:tc>
        <w:tc>
          <w:tcPr>
            <w:tcW w:w="750" w:type="dxa"/>
            <w:tcBorders>
              <w:top w:val="single" w:color="auto" w:sz="4" w:space="0"/>
              <w:left w:val="single" w:color="auto" w:sz="4" w:space="0"/>
              <w:bottom w:val="single" w:color="auto" w:sz="4" w:space="0"/>
              <w:right w:val="single" w:color="auto" w:sz="4" w:space="0"/>
            </w:tcBorders>
            <w:vAlign w:val="center"/>
          </w:tcPr>
          <w:p w14:paraId="779CC258">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单位</w:t>
            </w:r>
          </w:p>
        </w:tc>
        <w:tc>
          <w:tcPr>
            <w:tcW w:w="795" w:type="dxa"/>
            <w:tcBorders>
              <w:top w:val="single" w:color="auto" w:sz="4" w:space="0"/>
              <w:left w:val="single" w:color="auto" w:sz="4" w:space="0"/>
              <w:bottom w:val="single" w:color="auto" w:sz="4" w:space="0"/>
              <w:right w:val="single" w:color="auto" w:sz="4" w:space="0"/>
            </w:tcBorders>
            <w:vAlign w:val="center"/>
          </w:tcPr>
          <w:p w14:paraId="368FCECD">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数量</w:t>
            </w:r>
          </w:p>
        </w:tc>
        <w:tc>
          <w:tcPr>
            <w:tcW w:w="1304" w:type="dxa"/>
            <w:tcBorders>
              <w:top w:val="single" w:color="auto" w:sz="4" w:space="0"/>
              <w:left w:val="single" w:color="auto" w:sz="4" w:space="0"/>
              <w:bottom w:val="single" w:color="auto" w:sz="4" w:space="0"/>
              <w:right w:val="single" w:color="auto" w:sz="4" w:space="0"/>
            </w:tcBorders>
            <w:vAlign w:val="center"/>
          </w:tcPr>
          <w:p w14:paraId="46CC607A">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单价（元）</w:t>
            </w:r>
          </w:p>
        </w:tc>
        <w:tc>
          <w:tcPr>
            <w:tcW w:w="1216" w:type="dxa"/>
            <w:tcBorders>
              <w:top w:val="single" w:color="auto" w:sz="4" w:space="0"/>
              <w:left w:val="single" w:color="auto" w:sz="4" w:space="0"/>
              <w:bottom w:val="single" w:color="auto" w:sz="4" w:space="0"/>
              <w:right w:val="single" w:color="auto" w:sz="4" w:space="0"/>
            </w:tcBorders>
            <w:vAlign w:val="center"/>
          </w:tcPr>
          <w:p w14:paraId="30019B38">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总价（元）</w:t>
            </w:r>
          </w:p>
        </w:tc>
        <w:tc>
          <w:tcPr>
            <w:tcW w:w="1246" w:type="dxa"/>
            <w:tcBorders>
              <w:top w:val="single" w:color="auto" w:sz="4" w:space="0"/>
              <w:left w:val="single" w:color="auto" w:sz="4" w:space="0"/>
              <w:bottom w:val="single" w:color="auto" w:sz="4" w:space="0"/>
              <w:right w:val="single" w:color="auto" w:sz="4" w:space="0"/>
            </w:tcBorders>
            <w:vAlign w:val="center"/>
          </w:tcPr>
          <w:p w14:paraId="338B322C">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备注</w:t>
            </w:r>
          </w:p>
        </w:tc>
      </w:tr>
      <w:tr w14:paraId="2341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2A6C920F">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1</w:t>
            </w:r>
          </w:p>
        </w:tc>
        <w:tc>
          <w:tcPr>
            <w:tcW w:w="2251" w:type="dxa"/>
            <w:tcBorders>
              <w:top w:val="single" w:color="auto" w:sz="4" w:space="0"/>
              <w:left w:val="single" w:color="auto" w:sz="4" w:space="0"/>
              <w:bottom w:val="single" w:color="auto" w:sz="4" w:space="0"/>
              <w:right w:val="single" w:color="auto" w:sz="4" w:space="0"/>
            </w:tcBorders>
            <w:vAlign w:val="center"/>
          </w:tcPr>
          <w:p w14:paraId="00E2A98A">
            <w:pPr>
              <w:snapToGrid w:val="0"/>
              <w:spacing w:line="360" w:lineRule="auto"/>
              <w:jc w:val="center"/>
              <w:rPr>
                <w:rFonts w:ascii="宋体" w:hAnsi="宋体" w:cs="宋体"/>
                <w:color w:val="auto"/>
                <w:sz w:val="24"/>
                <w:lang w:val="zh-CN"/>
              </w:rPr>
            </w:pPr>
          </w:p>
        </w:tc>
        <w:tc>
          <w:tcPr>
            <w:tcW w:w="951" w:type="dxa"/>
            <w:tcBorders>
              <w:top w:val="single" w:color="auto" w:sz="4" w:space="0"/>
              <w:left w:val="single" w:color="auto" w:sz="4" w:space="0"/>
              <w:bottom w:val="single" w:color="auto" w:sz="4" w:space="0"/>
              <w:right w:val="single" w:color="auto" w:sz="4" w:space="0"/>
            </w:tcBorders>
            <w:vAlign w:val="center"/>
          </w:tcPr>
          <w:p w14:paraId="5C505BAD">
            <w:pPr>
              <w:snapToGrid w:val="0"/>
              <w:spacing w:line="360" w:lineRule="auto"/>
              <w:jc w:val="center"/>
              <w:rPr>
                <w:rFonts w:ascii="宋体" w:hAnsi="宋体" w:cs="宋体"/>
                <w:color w:val="auto"/>
                <w:sz w:val="24"/>
                <w:lang w:val="zh-CN"/>
              </w:rPr>
            </w:pPr>
          </w:p>
        </w:tc>
        <w:tc>
          <w:tcPr>
            <w:tcW w:w="750" w:type="dxa"/>
            <w:tcBorders>
              <w:top w:val="single" w:color="auto" w:sz="4" w:space="0"/>
              <w:left w:val="single" w:color="auto" w:sz="4" w:space="0"/>
              <w:bottom w:val="single" w:color="auto" w:sz="4" w:space="0"/>
              <w:right w:val="single" w:color="auto" w:sz="4" w:space="0"/>
            </w:tcBorders>
            <w:vAlign w:val="center"/>
          </w:tcPr>
          <w:p w14:paraId="60C3F0EB">
            <w:pPr>
              <w:snapToGrid w:val="0"/>
              <w:spacing w:line="360" w:lineRule="auto"/>
              <w:jc w:val="center"/>
              <w:rPr>
                <w:rFonts w:ascii="宋体" w:hAnsi="宋体" w:cs="宋体"/>
                <w:color w:val="auto"/>
                <w:sz w:val="24"/>
                <w:lang w:val="zh-CN"/>
              </w:rPr>
            </w:pPr>
          </w:p>
        </w:tc>
        <w:tc>
          <w:tcPr>
            <w:tcW w:w="750" w:type="dxa"/>
            <w:tcBorders>
              <w:top w:val="single" w:color="auto" w:sz="4" w:space="0"/>
              <w:left w:val="single" w:color="auto" w:sz="4" w:space="0"/>
              <w:bottom w:val="single" w:color="auto" w:sz="4" w:space="0"/>
              <w:right w:val="single" w:color="auto" w:sz="4" w:space="0"/>
            </w:tcBorders>
            <w:vAlign w:val="center"/>
          </w:tcPr>
          <w:p w14:paraId="2DB78E98">
            <w:pPr>
              <w:snapToGrid w:val="0"/>
              <w:spacing w:line="360" w:lineRule="auto"/>
              <w:jc w:val="center"/>
              <w:rPr>
                <w:rFonts w:ascii="宋体" w:hAnsi="宋体" w:cs="宋体"/>
                <w:color w:val="auto"/>
                <w:sz w:val="24"/>
                <w:lang w:val="zh-CN"/>
              </w:rPr>
            </w:pPr>
          </w:p>
        </w:tc>
        <w:tc>
          <w:tcPr>
            <w:tcW w:w="795" w:type="dxa"/>
            <w:tcBorders>
              <w:top w:val="single" w:color="auto" w:sz="4" w:space="0"/>
              <w:left w:val="single" w:color="auto" w:sz="4" w:space="0"/>
              <w:bottom w:val="single" w:color="auto" w:sz="4" w:space="0"/>
              <w:right w:val="single" w:color="auto" w:sz="4" w:space="0"/>
            </w:tcBorders>
            <w:vAlign w:val="center"/>
          </w:tcPr>
          <w:p w14:paraId="5E29036D">
            <w:pPr>
              <w:snapToGrid w:val="0"/>
              <w:spacing w:line="360" w:lineRule="auto"/>
              <w:jc w:val="center"/>
              <w:rPr>
                <w:rFonts w:ascii="宋体" w:hAnsi="宋体" w:cs="宋体"/>
                <w:color w:val="auto"/>
                <w:sz w:val="24"/>
                <w:lang w:val="zh-CN"/>
              </w:rPr>
            </w:pPr>
          </w:p>
        </w:tc>
        <w:tc>
          <w:tcPr>
            <w:tcW w:w="1304" w:type="dxa"/>
            <w:tcBorders>
              <w:top w:val="single" w:color="auto" w:sz="4" w:space="0"/>
              <w:left w:val="single" w:color="auto" w:sz="4" w:space="0"/>
              <w:bottom w:val="single" w:color="auto" w:sz="4" w:space="0"/>
              <w:right w:val="single" w:color="auto" w:sz="4" w:space="0"/>
            </w:tcBorders>
            <w:vAlign w:val="center"/>
          </w:tcPr>
          <w:p w14:paraId="0E7F807E">
            <w:pPr>
              <w:snapToGrid w:val="0"/>
              <w:spacing w:line="360" w:lineRule="auto"/>
              <w:jc w:val="center"/>
              <w:rPr>
                <w:rFonts w:ascii="宋体" w:hAnsi="宋体" w:cs="宋体"/>
                <w:color w:val="auto"/>
                <w:sz w:val="24"/>
                <w:lang w:val="zh-CN"/>
              </w:rPr>
            </w:pPr>
          </w:p>
        </w:tc>
        <w:tc>
          <w:tcPr>
            <w:tcW w:w="1216" w:type="dxa"/>
            <w:tcBorders>
              <w:top w:val="single" w:color="auto" w:sz="4" w:space="0"/>
              <w:left w:val="single" w:color="auto" w:sz="4" w:space="0"/>
              <w:bottom w:val="single" w:color="auto" w:sz="4" w:space="0"/>
              <w:right w:val="single" w:color="auto" w:sz="4" w:space="0"/>
            </w:tcBorders>
            <w:vAlign w:val="center"/>
          </w:tcPr>
          <w:p w14:paraId="375A9F74">
            <w:pPr>
              <w:snapToGrid w:val="0"/>
              <w:spacing w:line="360" w:lineRule="auto"/>
              <w:jc w:val="center"/>
              <w:rPr>
                <w:rFonts w:ascii="宋体" w:hAnsi="宋体" w:cs="宋体"/>
                <w:color w:val="auto"/>
                <w:sz w:val="24"/>
                <w:lang w:val="zh-CN"/>
              </w:rPr>
            </w:pPr>
          </w:p>
        </w:tc>
        <w:tc>
          <w:tcPr>
            <w:tcW w:w="1246" w:type="dxa"/>
            <w:tcBorders>
              <w:top w:val="single" w:color="auto" w:sz="4" w:space="0"/>
              <w:left w:val="single" w:color="auto" w:sz="4" w:space="0"/>
              <w:bottom w:val="single" w:color="auto" w:sz="4" w:space="0"/>
              <w:right w:val="single" w:color="auto" w:sz="4" w:space="0"/>
            </w:tcBorders>
            <w:vAlign w:val="center"/>
          </w:tcPr>
          <w:p w14:paraId="5DAE9084">
            <w:pPr>
              <w:snapToGrid w:val="0"/>
              <w:spacing w:line="360" w:lineRule="auto"/>
              <w:rPr>
                <w:rFonts w:ascii="宋体" w:hAnsi="宋体" w:cs="宋体"/>
                <w:color w:val="auto"/>
                <w:sz w:val="24"/>
                <w:lang w:val="zh-CN"/>
              </w:rPr>
            </w:pPr>
          </w:p>
        </w:tc>
      </w:tr>
      <w:tr w14:paraId="1164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461" w:type="dxa"/>
            <w:gridSpan w:val="5"/>
            <w:vAlign w:val="center"/>
          </w:tcPr>
          <w:p w14:paraId="6FFFEBBF">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合计金额</w:t>
            </w:r>
          </w:p>
        </w:tc>
        <w:tc>
          <w:tcPr>
            <w:tcW w:w="4561" w:type="dxa"/>
            <w:gridSpan w:val="4"/>
            <w:vAlign w:val="center"/>
          </w:tcPr>
          <w:p w14:paraId="070E3C74">
            <w:pPr>
              <w:snapToGrid w:val="0"/>
              <w:spacing w:line="360" w:lineRule="auto"/>
              <w:rPr>
                <w:rFonts w:ascii="宋体" w:hAnsi="宋体" w:cs="宋体"/>
                <w:color w:val="auto"/>
                <w:sz w:val="24"/>
                <w:lang w:val="zh-CN"/>
              </w:rPr>
            </w:pPr>
            <w:r>
              <w:rPr>
                <w:rFonts w:hint="eastAsia" w:ascii="宋体" w:hAnsi="宋体" w:cs="宋体"/>
                <w:color w:val="auto"/>
                <w:sz w:val="24"/>
                <w:lang w:val="zh-CN"/>
              </w:rPr>
              <w:t>小写：</w:t>
            </w:r>
          </w:p>
          <w:p w14:paraId="0B2CD961">
            <w:pPr>
              <w:snapToGrid w:val="0"/>
              <w:spacing w:line="360" w:lineRule="auto"/>
              <w:rPr>
                <w:rFonts w:ascii="宋体" w:hAnsi="宋体" w:cs="宋体"/>
                <w:color w:val="auto"/>
                <w:sz w:val="24"/>
                <w:lang w:val="zh-CN"/>
              </w:rPr>
            </w:pPr>
            <w:r>
              <w:rPr>
                <w:rFonts w:hint="eastAsia" w:ascii="宋体" w:hAnsi="宋体" w:cs="宋体"/>
                <w:color w:val="auto"/>
                <w:sz w:val="24"/>
                <w:lang w:val="zh-CN"/>
              </w:rPr>
              <w:t>大写：</w:t>
            </w:r>
            <w:r>
              <w:rPr>
                <w:rFonts w:hint="eastAsia" w:ascii="宋体" w:hAnsi="宋体" w:cs="宋体"/>
                <w:color w:val="auto"/>
                <w:sz w:val="24"/>
                <w:szCs w:val="28"/>
                <w:lang w:val="zh-CN"/>
              </w:rPr>
              <w:t>元整</w:t>
            </w:r>
          </w:p>
        </w:tc>
      </w:tr>
    </w:tbl>
    <w:p w14:paraId="67DC14D2">
      <w:pPr>
        <w:numPr>
          <w:ilvl w:val="0"/>
          <w:numId w:val="7"/>
        </w:numPr>
        <w:snapToGrid w:val="0"/>
        <w:spacing w:line="360" w:lineRule="auto"/>
        <w:rPr>
          <w:rFonts w:ascii="宋体" w:hAnsi="宋体" w:cs="宋体"/>
          <w:b/>
          <w:bCs/>
          <w:color w:val="auto"/>
          <w:sz w:val="24"/>
        </w:rPr>
      </w:pPr>
      <w:r>
        <w:rPr>
          <w:rFonts w:hint="eastAsia" w:ascii="宋体" w:hAnsi="宋体" w:cs="宋体"/>
          <w:b/>
          <w:bCs/>
          <w:color w:val="auto"/>
          <w:sz w:val="24"/>
        </w:rPr>
        <w:t>技术参数、配置清单及相关资料:</w:t>
      </w:r>
    </w:p>
    <w:p w14:paraId="6680176A">
      <w:pPr>
        <w:numPr>
          <w:ilvl w:val="0"/>
          <w:numId w:val="7"/>
        </w:num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合同金额</w:t>
      </w:r>
    </w:p>
    <w:p w14:paraId="04ABA20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本合同总价为人民币（</w:t>
      </w:r>
      <w:r>
        <w:rPr>
          <w:rFonts w:hint="eastAsia" w:ascii="宋体" w:hAnsi="宋体" w:cs="宋体"/>
          <w:color w:val="auto"/>
          <w:sz w:val="24"/>
        </w:rPr>
        <w:t>大写）</w:t>
      </w:r>
      <w:r>
        <w:rPr>
          <w:rFonts w:hint="eastAsia" w:ascii="宋体" w:hAnsi="宋体" w:cs="宋体"/>
          <w:color w:val="auto"/>
          <w:sz w:val="24"/>
          <w:lang w:val="zh-CN"/>
        </w:rPr>
        <w:t>元（¥）。本合同总价包括</w:t>
      </w:r>
      <w:r>
        <w:rPr>
          <w:rFonts w:hint="eastAsia" w:ascii="宋体" w:hAnsi="宋体" w:cs="宋体"/>
          <w:color w:val="auto"/>
          <w:sz w:val="24"/>
        </w:rPr>
        <w:t>乙方提供</w:t>
      </w:r>
      <w:r>
        <w:rPr>
          <w:rFonts w:hint="eastAsia" w:ascii="宋体" w:hAnsi="宋体" w:cs="宋体"/>
          <w:color w:val="auto"/>
          <w:sz w:val="24"/>
          <w:lang w:val="zh-CN"/>
        </w:rPr>
        <w:t>项目全部货物、服务的</w:t>
      </w:r>
      <w:r>
        <w:rPr>
          <w:rFonts w:hint="eastAsia" w:ascii="宋体" w:hAnsi="宋体" w:cs="宋体"/>
          <w:color w:val="auto"/>
          <w:sz w:val="24"/>
        </w:rPr>
        <w:t>一切费用</w:t>
      </w:r>
      <w:r>
        <w:rPr>
          <w:rFonts w:hint="eastAsia" w:ascii="宋体" w:hAnsi="宋体" w:cs="宋体"/>
          <w:color w:val="auto"/>
          <w:sz w:val="24"/>
          <w:lang w:val="zh-CN"/>
        </w:rPr>
        <w:t>（含货款、标准附件、备品备件、专用工具、包装、运输、装卸、保险、税金、货到就位以及安装、调试、培训、保修等一切税金和费用）。乙方负责提供本合同涉及的产品到甲方指定的实施地点。</w:t>
      </w:r>
    </w:p>
    <w:p w14:paraId="51D5130F">
      <w:pPr>
        <w:adjustRightInd w:val="0"/>
        <w:spacing w:line="360" w:lineRule="auto"/>
        <w:rPr>
          <w:rFonts w:ascii="宋体" w:hAnsi="宋体" w:cs="宋体"/>
          <w:b/>
          <w:bCs/>
          <w:color w:val="auto"/>
          <w:sz w:val="24"/>
          <w:lang w:val="zh-CN"/>
        </w:rPr>
      </w:pPr>
      <w:r>
        <w:rPr>
          <w:rFonts w:hint="eastAsia" w:ascii="宋体" w:hAnsi="宋体" w:cs="宋体"/>
          <w:b/>
          <w:bCs/>
          <w:color w:val="auto"/>
          <w:sz w:val="24"/>
        </w:rPr>
        <w:t>四、</w:t>
      </w:r>
      <w:r>
        <w:rPr>
          <w:rFonts w:hint="eastAsia" w:ascii="宋体" w:hAnsi="宋体" w:cs="宋体"/>
          <w:b/>
          <w:bCs/>
          <w:color w:val="auto"/>
          <w:sz w:val="24"/>
          <w:lang w:val="zh-CN"/>
        </w:rPr>
        <w:t>付款方式和履约保证金</w:t>
      </w:r>
    </w:p>
    <w:p w14:paraId="06BB4353">
      <w:pPr>
        <w:keepNext w:val="0"/>
        <w:keepLines w:val="0"/>
        <w:widowControl/>
        <w:suppressLineNumbers w:val="0"/>
        <w:jc w:val="left"/>
        <w:rPr>
          <w:rFonts w:hint="eastAsia" w:ascii="宋体" w:hAnsi="宋体" w:cs="宋体"/>
          <w:color w:val="auto"/>
          <w:sz w:val="24"/>
        </w:rPr>
      </w:pPr>
      <w:r>
        <w:rPr>
          <w:rFonts w:hint="eastAsia" w:ascii="宋体" w:hAnsi="宋体" w:cs="宋体"/>
          <w:color w:val="auto"/>
          <w:sz w:val="24"/>
        </w:rPr>
        <w:t>1.合同签订后7个工作日内,中标人向采购人支付中标价1%</w:t>
      </w:r>
      <w:r>
        <w:rPr>
          <w:rFonts w:hint="eastAsia" w:ascii="宋体" w:hAnsi="宋体" w:eastAsia="宋体" w:cs="宋体"/>
          <w:color w:val="000000"/>
          <w:kern w:val="0"/>
          <w:sz w:val="24"/>
          <w:szCs w:val="24"/>
          <w:lang w:val="en-US" w:eastAsia="zh-CN" w:bidi="ar"/>
        </w:rPr>
        <w:t xml:space="preserve">（即¥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cs="宋体"/>
          <w:color w:val="auto"/>
          <w:sz w:val="24"/>
        </w:rPr>
        <w:t>的履约保证金（履约保证金以支票、汇票、本票、银行保函、转账等非现金形式提交）。</w:t>
      </w:r>
    </w:p>
    <w:p w14:paraId="628D9E27">
      <w:pPr>
        <w:adjustRightInd w:val="0"/>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2.本合同签订之日起25个工作日内，在收到乙方根据甲方要求为甲方或甲方相关预算单位开具的等额有效发票后，甲方或甲方相关预算单位向乙方预付合同总金额的40%作为预付款</w:t>
      </w:r>
      <w:r>
        <w:rPr>
          <w:rFonts w:hint="eastAsia" w:ascii="宋体" w:hAnsi="宋体" w:cs="宋体"/>
          <w:bCs/>
          <w:color w:val="auto"/>
          <w:sz w:val="24"/>
          <w:lang w:val="zh-CN"/>
        </w:rPr>
        <w:t>。</w:t>
      </w:r>
    </w:p>
    <w:p w14:paraId="06345279">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Cs/>
          <w:color w:val="auto"/>
          <w:sz w:val="24"/>
          <w:lang w:val="zh-CN"/>
        </w:rPr>
      </w:pPr>
      <w:r>
        <w:rPr>
          <w:rFonts w:hint="eastAsia" w:ascii="宋体" w:hAnsi="宋体" w:cs="宋体"/>
          <w:color w:val="auto"/>
          <w:sz w:val="24"/>
          <w:lang w:val="en-US" w:eastAsia="zh-CN"/>
        </w:rPr>
        <w:t>3.</w:t>
      </w:r>
      <w:r>
        <w:rPr>
          <w:rFonts w:hint="eastAsia" w:ascii="宋体" w:hAnsi="宋体" w:cs="宋体"/>
          <w:color w:val="auto"/>
          <w:sz w:val="24"/>
        </w:rPr>
        <w:t>全部货物交货、经采购人验收合格并经采购人委托的第三方审价机构审计完成,凭《装备验收单》</w:t>
      </w:r>
      <w:r>
        <w:rPr>
          <w:rFonts w:hint="eastAsia" w:ascii="宋体" w:hAnsi="宋体" w:cs="宋体"/>
          <w:color w:val="auto"/>
          <w:sz w:val="24"/>
          <w:lang w:eastAsia="zh-CN"/>
        </w:rPr>
        <w:t>（</w:t>
      </w:r>
      <w:r>
        <w:rPr>
          <w:rFonts w:hint="eastAsia" w:ascii="宋体" w:hAnsi="宋体" w:cs="宋体"/>
          <w:color w:val="auto"/>
          <w:sz w:val="24"/>
          <w:lang w:val="en-US" w:eastAsia="zh-CN"/>
        </w:rPr>
        <w:t>附件1）和审计意见</w:t>
      </w:r>
      <w:r>
        <w:rPr>
          <w:rFonts w:hint="eastAsia" w:ascii="宋体" w:hAnsi="宋体" w:cs="宋体"/>
          <w:color w:val="auto"/>
          <w:sz w:val="24"/>
        </w:rPr>
        <w:t>支付剩余合同金额。</w:t>
      </w:r>
      <w:r>
        <w:rPr>
          <w:rFonts w:hint="eastAsia" w:ascii="宋体" w:hAnsi="宋体" w:cs="宋体"/>
          <w:bCs/>
          <w:color w:val="auto"/>
          <w:sz w:val="24"/>
        </w:rPr>
        <w:t>甲方凭乙方</w:t>
      </w:r>
      <w:r>
        <w:rPr>
          <w:rFonts w:hint="eastAsia" w:ascii="宋体" w:hAnsi="宋体" w:cs="宋体"/>
          <w:bCs/>
          <w:color w:val="auto"/>
          <w:sz w:val="24"/>
          <w:lang w:val="zh-CN"/>
        </w:rPr>
        <w:t>提供</w:t>
      </w:r>
      <w:r>
        <w:rPr>
          <w:rFonts w:hint="eastAsia" w:ascii="宋体" w:hAnsi="宋体" w:cs="宋体"/>
          <w:bCs/>
          <w:color w:val="auto"/>
          <w:sz w:val="24"/>
        </w:rPr>
        <w:t>的</w:t>
      </w:r>
      <w:r>
        <w:rPr>
          <w:rFonts w:hint="eastAsia" w:ascii="宋体" w:hAnsi="宋体" w:cs="宋体"/>
          <w:bCs/>
          <w:color w:val="auto"/>
          <w:sz w:val="24"/>
          <w:lang w:val="zh-CN"/>
        </w:rPr>
        <w:t>等额有效发票</w:t>
      </w:r>
      <w:r>
        <w:rPr>
          <w:rFonts w:hint="eastAsia" w:ascii="宋体" w:hAnsi="宋体" w:cs="宋体"/>
          <w:bCs/>
          <w:color w:val="auto"/>
          <w:sz w:val="24"/>
        </w:rPr>
        <w:t>进行付款</w:t>
      </w:r>
      <w:r>
        <w:rPr>
          <w:rFonts w:hint="eastAsia" w:ascii="宋体" w:hAnsi="宋体" w:cs="宋体"/>
          <w:bCs/>
          <w:color w:val="auto"/>
          <w:sz w:val="24"/>
          <w:lang w:val="zh-CN"/>
        </w:rPr>
        <w:t>。</w:t>
      </w:r>
    </w:p>
    <w:p w14:paraId="39B00E91">
      <w:pPr>
        <w:keepNext w:val="0"/>
        <w:keepLines w:val="0"/>
        <w:pageBreakBefore w:val="0"/>
        <w:widowControl/>
        <w:suppressLineNumbers w:val="0"/>
        <w:kinsoku/>
        <w:wordWrap/>
        <w:overflowPunct/>
        <w:topLinePunct w:val="0"/>
        <w:autoSpaceDE/>
        <w:autoSpaceDN/>
        <w:bidi w:val="0"/>
        <w:snapToGrid/>
        <w:spacing w:line="360" w:lineRule="auto"/>
        <w:jc w:val="left"/>
        <w:textAlignment w:val="auto"/>
        <w:rPr>
          <w:rFonts w:hint="eastAsia" w:ascii="宋体" w:hAnsi="宋体" w:cs="宋体"/>
          <w:bCs/>
          <w:color w:val="auto"/>
          <w:sz w:val="24"/>
          <w:lang w:val="zh-CN"/>
        </w:rPr>
      </w:pPr>
      <w:r>
        <w:rPr>
          <w:rFonts w:hint="eastAsia" w:ascii="宋体" w:hAnsi="宋体" w:cs="宋体"/>
          <w:bCs/>
          <w:color w:val="auto"/>
          <w:sz w:val="24"/>
        </w:rPr>
        <w:t>4.</w:t>
      </w:r>
      <w:r>
        <w:rPr>
          <w:rFonts w:hint="eastAsia" w:ascii="宋体" w:hAnsi="宋体" w:cs="宋体"/>
          <w:color w:val="auto"/>
          <w:sz w:val="24"/>
        </w:rPr>
        <w:t>质保期满后无发现有质量</w:t>
      </w:r>
      <w:r>
        <w:rPr>
          <w:rFonts w:hint="eastAsia" w:ascii="宋体" w:hAnsi="宋体" w:cs="宋体"/>
          <w:color w:val="000000"/>
          <w:sz w:val="24"/>
        </w:rPr>
        <w:t>问题和维护问题</w:t>
      </w:r>
      <w:r>
        <w:rPr>
          <w:rFonts w:hint="eastAsia" w:ascii="宋体" w:hAnsi="宋体" w:eastAsia="宋体" w:cs="宋体"/>
          <w:color w:val="000000"/>
          <w:kern w:val="0"/>
          <w:sz w:val="24"/>
          <w:szCs w:val="24"/>
          <w:lang w:val="en-US" w:eastAsia="zh-CN" w:bidi="ar"/>
        </w:rPr>
        <w:t>凭《无质量疑义证明文件》</w:t>
      </w:r>
      <w:r>
        <w:rPr>
          <w:rFonts w:hint="eastAsia" w:ascii="宋体" w:hAnsi="宋体" w:cs="宋体"/>
          <w:color w:val="000000"/>
          <w:sz w:val="24"/>
        </w:rPr>
        <w:t>，30天内甲方全额无息退还履约保证金。</w:t>
      </w:r>
    </w:p>
    <w:p w14:paraId="4C7A3AAE">
      <w:pPr>
        <w:adjustRightInd w:val="0"/>
        <w:spacing w:line="360" w:lineRule="auto"/>
        <w:rPr>
          <w:rFonts w:ascii="宋体" w:hAnsi="宋体" w:cs="宋体"/>
          <w:b/>
          <w:bCs/>
          <w:color w:val="auto"/>
          <w:sz w:val="24"/>
        </w:rPr>
      </w:pPr>
      <w:r>
        <w:rPr>
          <w:rFonts w:hint="eastAsia" w:ascii="宋体" w:hAnsi="宋体" w:cs="宋体"/>
          <w:b/>
          <w:bCs/>
          <w:color w:val="auto"/>
          <w:sz w:val="24"/>
        </w:rPr>
        <w:t>五、</w:t>
      </w:r>
      <w:r>
        <w:rPr>
          <w:rFonts w:hint="eastAsia" w:ascii="宋体" w:hAnsi="宋体" w:cs="宋体"/>
          <w:b/>
          <w:color w:val="auto"/>
          <w:sz w:val="24"/>
        </w:rPr>
        <w:t>质量保证及售后服务要求</w:t>
      </w:r>
    </w:p>
    <w:p w14:paraId="18C7F077">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1.质量要求：所供产品是符合国家技术规范和质量标准的合格产品，且未曾使用，制造标准、安装标准及技术规范要求必须符合我国相关标准和使用方认可的有关国际标准，并符合甲方要求。</w:t>
      </w:r>
    </w:p>
    <w:p w14:paraId="742B5D4B">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2.质保期：质保期（）年，时间自货物检测完毕及甲方验收合格之日起</w:t>
      </w:r>
      <w:r>
        <w:rPr>
          <w:rFonts w:hint="eastAsia" w:ascii="宋体" w:hAnsi="宋体" w:cs="宋体"/>
          <w:color w:val="auto"/>
          <w:spacing w:val="-6"/>
          <w:sz w:val="24"/>
        </w:rPr>
        <w:t>（若产品技术参数中的质保期大于该质保期要求的，以参数中明确的为准）</w:t>
      </w:r>
      <w:r>
        <w:rPr>
          <w:rFonts w:hint="eastAsia" w:ascii="宋体" w:hAnsi="宋体" w:cs="宋体"/>
          <w:bCs/>
          <w:color w:val="auto"/>
          <w:sz w:val="24"/>
        </w:rPr>
        <w:t>。（按投标文件实际响应年限调整）</w:t>
      </w:r>
    </w:p>
    <w:p w14:paraId="65F65AC7">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在质保期内如发现质量问题，实行包修、包换、包退，直至产品符合质量要求。乙方应保证货物为全新、未使用过的原装正品，保证所提供的货物的外观和内在质量都无任何问题。如质量出现问题，乙方负责“三包”，费用由乙方负责。</w:t>
      </w:r>
    </w:p>
    <w:p w14:paraId="6F3B2806">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乙方在产品保质期内，每年不少于2次定期上门对设备进行全面维护保养，保障设备正常运行。</w:t>
      </w:r>
      <w:r>
        <w:rPr>
          <w:rFonts w:hint="eastAsia" w:ascii="宋体" w:hAnsi="宋体" w:cs="宋体"/>
          <w:color w:val="auto"/>
          <w:spacing w:val="-6"/>
          <w:sz w:val="24"/>
        </w:rPr>
        <w:t>质保期满后，售后服务商应每半年不少于1次的主动回访，以便及时了解甲方的意见，迅速改变服务的不足之处。每年不少于1次实地巡检，及时掌握货物使用情况，以及货物的故障、缺陷情况，及时给予维修保养，并建立预警系统，保证售后服务及时性。</w:t>
      </w:r>
    </w:p>
    <w:p w14:paraId="289ACF45">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3.包装要求：所有产品货物外包装按相关规定执行，不得有破损和霉烂。运输、安装过程中发生的货物损毁、人身伤害的，一切法律责任由乙方承担。</w:t>
      </w:r>
    </w:p>
    <w:p w14:paraId="66FC644C">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4.费用：乙方负责产品的包装、运输、装卸、安装、调试、验收等工作，产品正式交付甲方使用前进行安装、调试和质保期内设备正常运行所需一切必要耗材及其费用均由乙方负责。</w:t>
      </w:r>
    </w:p>
    <w:p w14:paraId="14983006">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5.保修要求：产品从甲方验收合格之日起，保修按厂家规定标准执行。</w:t>
      </w:r>
    </w:p>
    <w:p w14:paraId="2F1C5E42">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6.维修响应：乙方保证所供产品在质保期内因设备本身缺陷造成各种故障应由乙方免费提供技术服务和维修，若出现产品质量问题应能够在1小时内响应，2小时内提出解决方案，6小时内派维修人员到达现场维修，</w:t>
      </w:r>
      <w:r>
        <w:rPr>
          <w:rFonts w:hint="eastAsia" w:ascii="宋体" w:hAnsi="宋体" w:cs="宋体"/>
          <w:color w:val="auto"/>
          <w:spacing w:val="-6"/>
          <w:sz w:val="24"/>
        </w:rPr>
        <w:t>如需更换配件的，应在48小时内完成更换，</w:t>
      </w:r>
      <w:r>
        <w:rPr>
          <w:rFonts w:hint="eastAsia" w:ascii="宋体" w:hAnsi="宋体" w:cs="宋体"/>
          <w:bCs/>
          <w:color w:val="auto"/>
          <w:sz w:val="24"/>
        </w:rPr>
        <w:t>对于维修期间超过10天的产品应提供备用产品供甲方使用。若乙方未能按时响应并完成维修的，甲方有权自行委托第三方维修或更换，甲方由此产生的费用由乙方全额承担，甲方并有权直接在未付乙方的款项中予以扣除。（投标文件售后服务承诺等优于此条款的，按投标文件相关承诺执行)。</w:t>
      </w:r>
      <w:r>
        <w:rPr>
          <w:rFonts w:hint="eastAsia" w:ascii="宋体" w:hAnsi="宋体" w:cs="宋体"/>
          <w:color w:val="auto"/>
          <w:spacing w:val="-6"/>
          <w:sz w:val="24"/>
        </w:rPr>
        <w:t>质保期满后，在接到甲方需求后立即响应，对电话里不能解决的问题应在24 小时内到达现场；一般问题应在4小时内、重大问题应在24小时内解决或提出明确解决方案；如需更换配件的，应在48小时内完成更换。</w:t>
      </w:r>
    </w:p>
    <w:p w14:paraId="09A89316">
      <w:pPr>
        <w:spacing w:line="360" w:lineRule="auto"/>
        <w:ind w:firstLine="720" w:firstLineChars="300"/>
        <w:rPr>
          <w:rFonts w:ascii="宋体" w:hAnsi="宋体" w:cs="宋体"/>
          <w:color w:val="auto"/>
          <w:sz w:val="24"/>
        </w:rPr>
      </w:pPr>
      <w:r>
        <w:rPr>
          <w:rFonts w:hint="eastAsia" w:ascii="宋体" w:hAnsi="宋体" w:cs="宋体"/>
          <w:color w:val="auto"/>
          <w:kern w:val="0"/>
          <w:sz w:val="24"/>
        </w:rPr>
        <w:t>7.质保期外维修及零配件等费用按投标文件响应内容承诺执行。</w:t>
      </w:r>
    </w:p>
    <w:p w14:paraId="14371F6E">
      <w:pPr>
        <w:pStyle w:val="14"/>
        <w:spacing w:after="0" w:line="360" w:lineRule="auto"/>
        <w:ind w:left="0" w:leftChars="0" w:firstLine="720" w:firstLineChars="300"/>
        <w:rPr>
          <w:rFonts w:ascii="宋体" w:hAnsi="宋体" w:cs="宋体"/>
          <w:bCs/>
          <w:color w:val="auto"/>
          <w:sz w:val="24"/>
        </w:rPr>
      </w:pPr>
      <w:r>
        <w:rPr>
          <w:rFonts w:hint="eastAsia" w:ascii="宋体" w:hAnsi="宋体" w:cs="宋体"/>
          <w:bCs/>
          <w:color w:val="auto"/>
          <w:sz w:val="24"/>
        </w:rPr>
        <w:t>8.交货前，乙方须在应急管理部消防救援局消防装备物资信息采集系统（http://xfzb.119.gov.cn）录入装备信息，申请装备编码，并按照</w:t>
      </w:r>
      <w:r>
        <w:rPr>
          <w:rFonts w:hint="eastAsia" w:ascii="宋体" w:hAnsi="宋体" w:cs="宋体"/>
          <w:bCs/>
          <w:color w:val="auto"/>
          <w:sz w:val="24"/>
          <w:highlight w:val="none"/>
        </w:rPr>
        <w:t>国家消防救援局</w:t>
      </w:r>
      <w:r>
        <w:rPr>
          <w:rFonts w:hint="eastAsia" w:ascii="宋体" w:hAnsi="宋体" w:cs="宋体"/>
          <w:bCs/>
          <w:color w:val="auto"/>
          <w:sz w:val="24"/>
        </w:rPr>
        <w:t>和浙江省消防救援总队要求，制作RFID数字管理标签。乙方提供装备要正确安装RFID标签并预先填写系统分配的RFID编码。</w:t>
      </w:r>
    </w:p>
    <w:p w14:paraId="63B27DBC">
      <w:pPr>
        <w:pStyle w:val="14"/>
        <w:spacing w:after="0" w:line="360" w:lineRule="auto"/>
        <w:ind w:left="0" w:leftChars="0" w:firstLine="480" w:firstLineChars="200"/>
        <w:rPr>
          <w:rFonts w:ascii="宋体" w:hAnsi="宋体" w:cs="宋体"/>
          <w:bCs/>
          <w:color w:val="auto"/>
          <w:sz w:val="24"/>
        </w:rPr>
      </w:pPr>
      <w:r>
        <w:rPr>
          <w:rFonts w:hint="eastAsia" w:ascii="宋体" w:hAnsi="宋体" w:cs="宋体"/>
          <w:bCs/>
          <w:color w:val="auto"/>
          <w:sz w:val="24"/>
        </w:rPr>
        <w:t>9.所提供的器材装备（包括核心部件）生产日期不得早于合同签订日期6个月以上。</w:t>
      </w:r>
    </w:p>
    <w:p w14:paraId="370E7A99">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10.在质保期内，</w:t>
      </w:r>
      <w:r>
        <w:rPr>
          <w:rFonts w:hint="eastAsia" w:ascii="宋体" w:hAnsi="宋体" w:cs="宋体"/>
          <w:bCs/>
          <w:color w:val="auto"/>
          <w:sz w:val="24"/>
        </w:rPr>
        <w:t>乙方</w:t>
      </w:r>
      <w:r>
        <w:rPr>
          <w:rFonts w:hint="eastAsia" w:ascii="宋体" w:hAnsi="宋体" w:cs="宋体"/>
          <w:color w:val="auto"/>
          <w:sz w:val="24"/>
        </w:rPr>
        <w:t>负责为设备提供免费维修、保养。（此处所称维修保养，仅指供应商所供货物正常使用的保养或因本身质量缺陷造成维修，如因车辆交通事故或不可抗力造成的维修不在本条所列）</w:t>
      </w:r>
    </w:p>
    <w:p w14:paraId="18EAC7BA">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11.质保期外定期进行免费维护保养，</w:t>
      </w:r>
      <w:r>
        <w:rPr>
          <w:rFonts w:hint="eastAsia" w:ascii="宋体" w:hAnsi="宋体" w:cs="宋体"/>
          <w:bCs/>
          <w:color w:val="auto"/>
          <w:sz w:val="24"/>
        </w:rPr>
        <w:t>乙方</w:t>
      </w:r>
      <w:r>
        <w:rPr>
          <w:rFonts w:hint="eastAsia" w:ascii="宋体" w:hAnsi="宋体" w:cs="宋体"/>
          <w:color w:val="auto"/>
          <w:sz w:val="24"/>
        </w:rPr>
        <w:t>应提供制造商的服务技术规范，甲方可获得有关维修等级、所需时间、工时计算项目、配件价格的信息。如设备损坏需要更换配件，只收取配件成本费用，免工程师维修费和差旅等人工费。</w:t>
      </w:r>
    </w:p>
    <w:p w14:paraId="2158CF34">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12.</w:t>
      </w:r>
      <w:r>
        <w:rPr>
          <w:rFonts w:hint="eastAsia" w:ascii="宋体" w:hAnsi="宋体" w:cs="宋体"/>
          <w:bCs/>
          <w:color w:val="auto"/>
          <w:sz w:val="24"/>
        </w:rPr>
        <w:t>乙方</w:t>
      </w:r>
      <w:r>
        <w:rPr>
          <w:rFonts w:hint="eastAsia" w:ascii="宋体" w:hAnsi="宋体" w:cs="宋体"/>
          <w:color w:val="auto"/>
          <w:sz w:val="24"/>
        </w:rPr>
        <w:t>应提供24小时的电话服务，支持工程师提供专业技术服务。公开售后服务商的联系方式、公司名称、公司地址、邮政编码、公司主页、电子邮件、联系电话及传真，不断完善服务管理和拓展新的服务模式，接受甲方的监督和批评。</w:t>
      </w:r>
    </w:p>
    <w:p w14:paraId="243621AA">
      <w:pPr>
        <w:pStyle w:val="14"/>
        <w:spacing w:after="0" w:line="360" w:lineRule="auto"/>
        <w:ind w:left="0" w:leftChars="0" w:firstLine="480" w:firstLineChars="200"/>
        <w:rPr>
          <w:color w:val="auto"/>
        </w:rPr>
      </w:pPr>
      <w:r>
        <w:rPr>
          <w:rFonts w:hint="eastAsia" w:ascii="宋体" w:hAnsi="宋体" w:cs="宋体"/>
          <w:color w:val="auto"/>
          <w:sz w:val="24"/>
        </w:rPr>
        <w:t>13.乙方应认真、完整、真实地填写保养、保修、维修记录，并经甲方盖章确认。甲方有权查阅保养、保修、维修记录。</w:t>
      </w:r>
    </w:p>
    <w:p w14:paraId="05AA8DB9">
      <w:pPr>
        <w:adjustRightInd w:val="0"/>
        <w:spacing w:line="360" w:lineRule="auto"/>
        <w:rPr>
          <w:rFonts w:ascii="宋体" w:hAnsi="宋体" w:cs="宋体"/>
          <w:b/>
          <w:bCs/>
          <w:color w:val="auto"/>
          <w:sz w:val="24"/>
        </w:rPr>
      </w:pPr>
      <w:r>
        <w:rPr>
          <w:rFonts w:hint="eastAsia" w:ascii="宋体" w:hAnsi="宋体" w:cs="宋体"/>
          <w:b/>
          <w:bCs/>
          <w:color w:val="auto"/>
          <w:sz w:val="24"/>
        </w:rPr>
        <w:t>六、供货及验收要求</w:t>
      </w:r>
    </w:p>
    <w:p w14:paraId="21CCF7F3">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1.供货时间：合同签订</w:t>
      </w:r>
      <w:r>
        <w:rPr>
          <w:rFonts w:hint="eastAsia" w:ascii="宋体" w:hAnsi="宋体" w:cs="宋体"/>
          <w:bCs/>
          <w:color w:val="auto"/>
          <w:sz w:val="24"/>
          <w:lang w:val="en-US" w:eastAsia="zh-CN"/>
        </w:rPr>
        <w:t>之</w:t>
      </w:r>
      <w:r>
        <w:rPr>
          <w:rFonts w:hint="eastAsia" w:ascii="宋体" w:hAnsi="宋体" w:cs="宋体"/>
          <w:bCs/>
          <w:color w:val="auto"/>
          <w:sz w:val="24"/>
        </w:rPr>
        <w:t>日起</w:t>
      </w:r>
      <w:r>
        <w:rPr>
          <w:rFonts w:hint="eastAsia" w:ascii="宋体" w:hAnsi="宋体" w:cs="宋体"/>
          <w:bCs/>
          <w:color w:val="auto"/>
          <w:sz w:val="24"/>
          <w:lang w:val="en-US" w:eastAsia="zh-CN"/>
        </w:rPr>
        <w:t>6</w:t>
      </w:r>
      <w:r>
        <w:rPr>
          <w:rFonts w:hint="eastAsia" w:ascii="宋体" w:hAnsi="宋体" w:cs="宋体"/>
          <w:bCs/>
          <w:color w:val="auto"/>
          <w:sz w:val="24"/>
        </w:rPr>
        <w:t>0</w:t>
      </w:r>
      <w:r>
        <w:rPr>
          <w:rFonts w:hint="eastAsia" w:ascii="宋体" w:hAnsi="宋体" w:cs="宋体"/>
          <w:bCs/>
          <w:color w:val="auto"/>
          <w:sz w:val="24"/>
          <w:lang w:val="en-US" w:eastAsia="zh-CN"/>
        </w:rPr>
        <w:t>天</w:t>
      </w:r>
      <w:r>
        <w:rPr>
          <w:rFonts w:hint="eastAsia" w:ascii="宋体" w:hAnsi="宋体" w:cs="宋体"/>
          <w:bCs/>
          <w:color w:val="auto"/>
          <w:sz w:val="24"/>
        </w:rPr>
        <w:t>完成供货，交甲方验收。</w:t>
      </w:r>
    </w:p>
    <w:p w14:paraId="207AB945">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2.供货地点：甲方指定地点。</w:t>
      </w:r>
    </w:p>
    <w:p w14:paraId="45A9A58B">
      <w:pPr>
        <w:adjustRightInd w:val="0"/>
        <w:spacing w:line="360" w:lineRule="auto"/>
        <w:ind w:firstLine="480" w:firstLineChars="200"/>
        <w:rPr>
          <w:rFonts w:ascii="宋体" w:hAnsi="宋体" w:cs="宋体"/>
          <w:b/>
          <w:bCs/>
          <w:color w:val="auto"/>
          <w:sz w:val="24"/>
        </w:rPr>
      </w:pPr>
      <w:r>
        <w:rPr>
          <w:rFonts w:hint="eastAsia" w:ascii="宋体" w:hAnsi="宋体" w:cs="宋体"/>
          <w:color w:val="auto"/>
          <w:sz w:val="24"/>
        </w:rPr>
        <w:t>3.甲方按照政府采购相关法律法规、行业管理规定的要求组织验收。</w:t>
      </w:r>
    </w:p>
    <w:p w14:paraId="10E5B175">
      <w:pPr>
        <w:snapToGrid w:val="0"/>
        <w:spacing w:line="360" w:lineRule="auto"/>
        <w:rPr>
          <w:rFonts w:ascii="宋体" w:hAnsi="宋体" w:cs="宋体"/>
          <w:color w:val="auto"/>
          <w:sz w:val="24"/>
          <w:lang w:val="zh-CN"/>
        </w:rPr>
      </w:pPr>
      <w:r>
        <w:rPr>
          <w:rFonts w:hint="eastAsia" w:ascii="宋体" w:hAnsi="宋体" w:cs="宋体"/>
          <w:b/>
          <w:bCs/>
          <w:color w:val="auto"/>
          <w:sz w:val="24"/>
          <w:lang w:val="zh-CN"/>
        </w:rPr>
        <w:t>七、知识产权</w:t>
      </w:r>
    </w:p>
    <w:p w14:paraId="14904109">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乙方应保证，所供货物无任何抵押、查封等权属瑕疵，且甲方在中华人民共和国使用该货物或货物的任何一部分时，免受第三方提出的侵犯其知识产权的索赔或诉讼。</w:t>
      </w:r>
    </w:p>
    <w:p w14:paraId="3F0FB31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如果甲方在使用该货物或货物的任何一部分时被任何第三方诉称侵犯了该第三方知识产权或任何其它权利，甲方将立即通知乙方。乙方应负责处理</w:t>
      </w:r>
      <w:r>
        <w:rPr>
          <w:rFonts w:hint="eastAsia" w:ascii="宋体" w:hAnsi="宋体" w:cs="宋体"/>
          <w:color w:val="auto"/>
          <w:sz w:val="24"/>
        </w:rPr>
        <w:t>相关纠纷</w:t>
      </w:r>
      <w:r>
        <w:rPr>
          <w:rFonts w:hint="eastAsia" w:ascii="宋体" w:hAnsi="宋体" w:cs="宋体"/>
          <w:color w:val="auto"/>
          <w:sz w:val="24"/>
          <w:lang w:val="zh-CN"/>
        </w:rPr>
        <w:t>并应以乙方的名义自负费用向起诉方提出抗辩</w:t>
      </w:r>
      <w:r>
        <w:rPr>
          <w:rFonts w:hint="eastAsia" w:ascii="宋体" w:hAnsi="宋体" w:cs="宋体"/>
          <w:color w:val="auto"/>
          <w:sz w:val="24"/>
        </w:rPr>
        <w:t>并承担最终的赔偿责任</w:t>
      </w:r>
      <w:r>
        <w:rPr>
          <w:rFonts w:hint="eastAsia" w:ascii="宋体" w:hAnsi="宋体" w:cs="宋体"/>
          <w:color w:val="auto"/>
          <w:sz w:val="24"/>
          <w:lang w:val="zh-CN"/>
        </w:rPr>
        <w:t>。由此可能产生的一切法律责任和经济责任均由乙方承担；</w:t>
      </w:r>
      <w:r>
        <w:rPr>
          <w:rFonts w:hint="eastAsia" w:ascii="宋体" w:hAnsi="宋体" w:cs="宋体"/>
          <w:color w:val="auto"/>
          <w:sz w:val="24"/>
        </w:rPr>
        <w:t>如造成甲方向第三方承担责任的，由乙方赔偿甲方全部损失</w:t>
      </w:r>
      <w:r>
        <w:rPr>
          <w:rFonts w:hint="eastAsia" w:ascii="宋体" w:hAnsi="宋体" w:cs="宋体"/>
          <w:color w:val="auto"/>
          <w:sz w:val="24"/>
          <w:lang w:val="zh-CN"/>
        </w:rPr>
        <w:t>。甲方将尽可能地对乙方抗辩给予协助，由此发生的费用由乙方承担。</w:t>
      </w:r>
    </w:p>
    <w:p w14:paraId="4CC93C6E">
      <w:p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八、违约责任</w:t>
      </w:r>
    </w:p>
    <w:p w14:paraId="23AFE0E4">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1.乙方如不能按照合同规定的时限内供货，需承担违约责任并按</w:t>
      </w:r>
      <w:r>
        <w:rPr>
          <w:rFonts w:hint="eastAsia" w:ascii="宋体" w:hAnsi="宋体" w:cs="宋体"/>
          <w:color w:val="auto"/>
          <w:sz w:val="24"/>
        </w:rPr>
        <w:t>以下约定向甲方支付</w:t>
      </w:r>
      <w:r>
        <w:rPr>
          <w:rFonts w:hint="eastAsia" w:ascii="宋体" w:hAnsi="宋体" w:cs="宋体"/>
          <w:color w:val="auto"/>
          <w:sz w:val="24"/>
          <w:lang w:val="zh-CN"/>
        </w:rPr>
        <w:t>违约金：</w:t>
      </w:r>
      <w:r>
        <w:rPr>
          <w:rFonts w:hint="eastAsia" w:ascii="宋体" w:hAnsi="宋体" w:cs="宋体"/>
          <w:color w:val="auto"/>
          <w:sz w:val="24"/>
        </w:rPr>
        <w:t>逾期30</w:t>
      </w:r>
      <w:r>
        <w:rPr>
          <w:rFonts w:hint="eastAsia" w:ascii="宋体" w:hAnsi="宋体" w:cs="宋体"/>
          <w:color w:val="auto"/>
          <w:sz w:val="24"/>
          <w:lang w:val="zh-CN"/>
        </w:rPr>
        <w:t>天以内，每天支付合同总金额千分之一的违约金；逾期超过一个月的，甲方有权</w:t>
      </w:r>
      <w:r>
        <w:rPr>
          <w:rFonts w:hint="eastAsia" w:ascii="宋体" w:hAnsi="宋体" w:cs="宋体"/>
          <w:color w:val="auto"/>
          <w:sz w:val="24"/>
        </w:rPr>
        <w:t>立即单方面</w:t>
      </w:r>
      <w:r>
        <w:rPr>
          <w:rFonts w:hint="eastAsia" w:ascii="宋体" w:hAnsi="宋体" w:cs="宋体"/>
          <w:color w:val="auto"/>
          <w:sz w:val="24"/>
          <w:lang w:val="zh-CN"/>
        </w:rPr>
        <w:t>解除本合同</w:t>
      </w:r>
      <w:r>
        <w:rPr>
          <w:rFonts w:hint="eastAsia" w:ascii="宋体" w:hAnsi="宋体" w:cs="宋体"/>
          <w:color w:val="auto"/>
          <w:sz w:val="24"/>
        </w:rPr>
        <w:t>,甲方未支付的款项无需支付，乙方应退还已收取甲方的全部款项，并由乙方承担甲方的一切损失</w:t>
      </w:r>
      <w:r>
        <w:rPr>
          <w:rFonts w:hint="eastAsia" w:ascii="宋体" w:hAnsi="宋体" w:cs="宋体"/>
          <w:color w:val="auto"/>
          <w:sz w:val="24"/>
          <w:lang w:val="zh-CN"/>
        </w:rPr>
        <w:t>；</w:t>
      </w:r>
      <w:r>
        <w:rPr>
          <w:rFonts w:hint="eastAsia" w:ascii="宋体" w:hAnsi="宋体" w:cs="宋体"/>
          <w:color w:val="auto"/>
          <w:sz w:val="24"/>
        </w:rPr>
        <w:t>逾期超过一个月的，如甲方允许乙方继续供货，每天支付合同总金额千分之一的违约金，总违约金上限不超过合同价的5%。</w:t>
      </w:r>
    </w:p>
    <w:p w14:paraId="3259E5E1">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2.在履行合同过程中，如果乙方</w:t>
      </w:r>
      <w:r>
        <w:rPr>
          <w:rFonts w:hint="eastAsia" w:ascii="宋体" w:hAnsi="宋体" w:cs="宋体"/>
          <w:color w:val="auto"/>
          <w:sz w:val="24"/>
        </w:rPr>
        <w:t>非因自身原因</w:t>
      </w:r>
      <w:r>
        <w:rPr>
          <w:rFonts w:hint="eastAsia" w:ascii="宋体" w:hAnsi="宋体" w:cs="宋体"/>
          <w:color w:val="auto"/>
          <w:sz w:val="24"/>
          <w:lang w:val="zh-CN"/>
        </w:rPr>
        <w:t>遇到妨碍按时交货和提供服务的情况时，应及时以书面形式将拖延的事实、可能拖延的时间和原因通知甲方。甲方在收到乙方通知后，</w:t>
      </w:r>
      <w:r>
        <w:rPr>
          <w:rFonts w:hint="eastAsia" w:ascii="宋体" w:hAnsi="宋体" w:cs="宋体"/>
          <w:color w:val="auto"/>
          <w:sz w:val="24"/>
        </w:rPr>
        <w:t>有权</w:t>
      </w:r>
      <w:r>
        <w:rPr>
          <w:rFonts w:hint="eastAsia" w:ascii="宋体" w:hAnsi="宋体" w:cs="宋体"/>
          <w:color w:val="auto"/>
          <w:sz w:val="24"/>
          <w:lang w:val="zh-CN"/>
        </w:rPr>
        <w:t>确定是否酌情延长交货时间和提供服务。</w:t>
      </w:r>
      <w:r>
        <w:rPr>
          <w:rFonts w:hint="eastAsia" w:ascii="宋体" w:hAnsi="宋体" w:cs="宋体"/>
          <w:color w:val="auto"/>
          <w:sz w:val="24"/>
        </w:rPr>
        <w:t>乙方在</w:t>
      </w:r>
      <w:r>
        <w:rPr>
          <w:rFonts w:hint="eastAsia" w:ascii="宋体" w:hAnsi="宋体" w:cs="宋体"/>
          <w:color w:val="auto"/>
          <w:sz w:val="24"/>
          <w:lang w:val="zh-CN"/>
        </w:rPr>
        <w:t>经甲方</w:t>
      </w:r>
      <w:r>
        <w:rPr>
          <w:rFonts w:hint="eastAsia" w:ascii="宋体" w:hAnsi="宋体" w:cs="宋体"/>
          <w:color w:val="auto"/>
          <w:sz w:val="24"/>
        </w:rPr>
        <w:t>书面</w:t>
      </w:r>
      <w:r>
        <w:rPr>
          <w:rFonts w:hint="eastAsia" w:ascii="宋体" w:hAnsi="宋体" w:cs="宋体"/>
          <w:color w:val="auto"/>
          <w:sz w:val="24"/>
          <w:lang w:val="zh-CN"/>
        </w:rPr>
        <w:t>确认的延</w:t>
      </w:r>
      <w:r>
        <w:rPr>
          <w:rFonts w:hint="eastAsia" w:ascii="宋体" w:hAnsi="宋体" w:cs="宋体"/>
          <w:color w:val="auto"/>
          <w:sz w:val="24"/>
        </w:rPr>
        <w:t>长</w:t>
      </w:r>
      <w:r>
        <w:rPr>
          <w:rFonts w:hint="eastAsia" w:ascii="宋体" w:hAnsi="宋体" w:cs="宋体"/>
          <w:color w:val="auto"/>
          <w:sz w:val="24"/>
          <w:lang w:val="zh-CN"/>
        </w:rPr>
        <w:t>期</w:t>
      </w:r>
      <w:r>
        <w:rPr>
          <w:rFonts w:hint="eastAsia" w:ascii="宋体" w:hAnsi="宋体" w:cs="宋体"/>
          <w:color w:val="auto"/>
          <w:sz w:val="24"/>
        </w:rPr>
        <w:t>内</w:t>
      </w:r>
      <w:r>
        <w:rPr>
          <w:rFonts w:hint="eastAsia" w:ascii="宋体" w:hAnsi="宋体" w:cs="宋体"/>
          <w:color w:val="auto"/>
          <w:sz w:val="24"/>
          <w:lang w:val="zh-CN"/>
        </w:rPr>
        <w:t>交货和提供服务的，可不作为乙方的履约延误，可免交违约金。</w:t>
      </w:r>
    </w:p>
    <w:p w14:paraId="04AD347B">
      <w:pPr>
        <w:tabs>
          <w:tab w:val="left" w:pos="1200"/>
        </w:tabs>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3.乙方保修、维修响应和项目组成员未按投标承诺履约的，</w:t>
      </w:r>
      <w:r>
        <w:rPr>
          <w:rFonts w:hint="eastAsia" w:ascii="宋体" w:hAnsi="宋体" w:cs="宋体"/>
          <w:color w:val="auto"/>
          <w:sz w:val="24"/>
        </w:rPr>
        <w:t>每次按5000元或合同总价的2%向甲方支付违约金，两者金额相冲突的，以金额高的为准。</w:t>
      </w:r>
    </w:p>
    <w:p w14:paraId="7E201DCE">
      <w:pPr>
        <w:tabs>
          <w:tab w:val="left" w:pos="1200"/>
        </w:tabs>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培训或售后服务乙方</w:t>
      </w:r>
      <w:r>
        <w:rPr>
          <w:rFonts w:hint="eastAsia" w:ascii="宋体" w:hAnsi="宋体" w:cs="宋体"/>
          <w:color w:val="auto"/>
          <w:sz w:val="24"/>
        </w:rPr>
        <w:t>须</w:t>
      </w:r>
      <w:r>
        <w:rPr>
          <w:rFonts w:hint="eastAsia" w:ascii="宋体" w:hAnsi="宋体" w:cs="宋体"/>
          <w:color w:val="auto"/>
          <w:sz w:val="24"/>
          <w:lang w:val="zh-CN"/>
        </w:rPr>
        <w:t>按投标承诺执行，</w:t>
      </w:r>
      <w:r>
        <w:rPr>
          <w:rFonts w:hint="eastAsia" w:ascii="宋体" w:hAnsi="宋体" w:cs="宋体"/>
          <w:color w:val="auto"/>
          <w:sz w:val="24"/>
        </w:rPr>
        <w:t>乙方</w:t>
      </w:r>
      <w:r>
        <w:rPr>
          <w:rFonts w:hint="eastAsia" w:ascii="宋体" w:hAnsi="宋体" w:cs="宋体"/>
          <w:color w:val="auto"/>
          <w:sz w:val="24"/>
          <w:lang w:val="zh-CN"/>
        </w:rPr>
        <w:t>负责提供</w:t>
      </w:r>
      <w:r>
        <w:rPr>
          <w:rFonts w:hint="eastAsia" w:ascii="宋体" w:hAnsi="宋体" w:cs="宋体"/>
          <w:color w:val="auto"/>
          <w:sz w:val="24"/>
        </w:rPr>
        <w:t>甲方</w:t>
      </w:r>
      <w:r>
        <w:rPr>
          <w:rFonts w:hint="eastAsia" w:ascii="宋体" w:hAnsi="宋体" w:cs="宋体"/>
          <w:color w:val="auto"/>
          <w:sz w:val="24"/>
          <w:lang w:val="zh-CN"/>
        </w:rPr>
        <w:t>操作人员的使用培训，提供技术咨询，并在供货后一个月内组织人员对产品的使用、维护等方面进行现场指导，所产生的一切费用由</w:t>
      </w:r>
      <w:r>
        <w:rPr>
          <w:rFonts w:hint="eastAsia" w:ascii="宋体" w:hAnsi="宋体" w:cs="宋体"/>
          <w:color w:val="auto"/>
          <w:sz w:val="24"/>
        </w:rPr>
        <w:t>乙方</w:t>
      </w:r>
      <w:r>
        <w:rPr>
          <w:rFonts w:hint="eastAsia" w:ascii="宋体" w:hAnsi="宋体" w:cs="宋体"/>
          <w:color w:val="auto"/>
          <w:sz w:val="24"/>
          <w:lang w:val="zh-CN"/>
        </w:rPr>
        <w:t>支付。</w:t>
      </w:r>
      <w:r>
        <w:rPr>
          <w:rFonts w:hint="eastAsia" w:ascii="宋体" w:hAnsi="宋体" w:cs="宋体"/>
          <w:color w:val="auto"/>
          <w:sz w:val="24"/>
        </w:rPr>
        <w:t>若乙方违约，每次按5000元或合同总价的2%向甲方支付违约金，两者金额相冲突的，以金额高的为准。</w:t>
      </w:r>
    </w:p>
    <w:p w14:paraId="6A1B5675">
      <w:pPr>
        <w:tabs>
          <w:tab w:val="left" w:pos="1200"/>
        </w:tabs>
        <w:spacing w:line="360" w:lineRule="auto"/>
        <w:ind w:firstLine="480" w:firstLineChars="200"/>
        <w:rPr>
          <w:rFonts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val="zh-CN"/>
        </w:rPr>
        <w:t>乙方不得部分转让或全部转让其应履行的合同义务。否则，乙方应向甲方支付合同总金额30%的违约金，甲方并有权</w:t>
      </w:r>
      <w:r>
        <w:rPr>
          <w:rFonts w:hint="eastAsia" w:ascii="宋体" w:hAnsi="宋体" w:cs="宋体"/>
          <w:color w:val="auto"/>
          <w:sz w:val="24"/>
        </w:rPr>
        <w:t>立即单方</w:t>
      </w:r>
      <w:r>
        <w:rPr>
          <w:rFonts w:hint="eastAsia" w:ascii="宋体" w:hAnsi="宋体" w:cs="宋体"/>
          <w:color w:val="auto"/>
          <w:sz w:val="24"/>
          <w:lang w:val="zh-CN"/>
        </w:rPr>
        <w:t>解除与乙方的合同。</w:t>
      </w:r>
    </w:p>
    <w:p w14:paraId="491CD770">
      <w:pPr>
        <w:tabs>
          <w:tab w:val="left" w:pos="1200"/>
        </w:tabs>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zh-CN"/>
        </w:rPr>
        <w:t>.验收：</w:t>
      </w:r>
      <w:r>
        <w:rPr>
          <w:rFonts w:hint="eastAsia" w:ascii="宋体" w:hAnsi="宋体" w:cs="宋体"/>
          <w:color w:val="auto"/>
          <w:sz w:val="24"/>
        </w:rPr>
        <w:t>由甲方组织验收，对产品技术性能指标验收不合格的（包含所供货物与合同约定不一致的），甲方应督促乙方限期整改，整改期限原则上不超过30天，整改完成后进行复验，复验不合格的，甲方有权终止合同并没收履约保证金。</w:t>
      </w:r>
      <w:r>
        <w:rPr>
          <w:rFonts w:hint="eastAsia" w:ascii="宋体" w:hAnsi="宋体" w:cs="宋体"/>
          <w:color w:val="auto"/>
          <w:sz w:val="24"/>
          <w:lang w:val="zh-CN"/>
        </w:rPr>
        <w:t>验收不合格整改时间计算在供货时间内，超出总体供货时间的按照逾期条款追究违约责任</w:t>
      </w:r>
      <w:r>
        <w:rPr>
          <w:rFonts w:ascii="宋体" w:hAnsi="宋体" w:cs="宋体"/>
          <w:color w:val="auto"/>
          <w:sz w:val="24"/>
        </w:rPr>
        <w:t>。</w:t>
      </w:r>
    </w:p>
    <w:p w14:paraId="361E7328">
      <w:pPr>
        <w:tabs>
          <w:tab w:val="left" w:pos="1200"/>
        </w:tabs>
        <w:spacing w:line="360" w:lineRule="auto"/>
        <w:ind w:firstLine="480" w:firstLineChars="200"/>
        <w:rPr>
          <w:rFonts w:ascii="宋体" w:hAnsi="宋体" w:cs="宋体"/>
          <w:color w:val="auto"/>
          <w:sz w:val="24"/>
          <w:lang w:val="zh-CN"/>
        </w:rPr>
      </w:pPr>
      <w:r>
        <w:rPr>
          <w:rFonts w:hint="eastAsia" w:ascii="宋体" w:hAnsi="宋体" w:cs="宋体"/>
          <w:color w:val="auto"/>
          <w:sz w:val="24"/>
        </w:rPr>
        <w:t>6.</w:t>
      </w:r>
      <w:r>
        <w:rPr>
          <w:rFonts w:hint="eastAsia" w:ascii="宋体" w:hAnsi="宋体" w:cs="宋体"/>
          <w:color w:val="auto"/>
          <w:sz w:val="24"/>
          <w:lang w:val="zh-CN"/>
        </w:rPr>
        <w:t>在项目实施过程中，严格遵守国家相关保密与安全法律法规，遵循采购人各项安全保密制度和规章；</w:t>
      </w:r>
      <w:r>
        <w:rPr>
          <w:rFonts w:hint="eastAsia" w:ascii="宋体" w:hAnsi="宋体" w:cs="宋体"/>
          <w:color w:val="auto"/>
          <w:sz w:val="24"/>
        </w:rPr>
        <w:t>乙方</w:t>
      </w:r>
      <w:r>
        <w:rPr>
          <w:rFonts w:hint="eastAsia" w:ascii="宋体" w:hAnsi="宋体" w:cs="宋体"/>
          <w:color w:val="auto"/>
          <w:sz w:val="24"/>
          <w:lang w:val="zh-CN"/>
        </w:rPr>
        <w:t>对工作中涉及到的</w:t>
      </w:r>
      <w:r>
        <w:rPr>
          <w:rFonts w:hint="eastAsia" w:ascii="宋体" w:hAnsi="宋体" w:cs="宋体"/>
          <w:color w:val="auto"/>
          <w:sz w:val="24"/>
        </w:rPr>
        <w:t>甲方</w:t>
      </w:r>
      <w:r>
        <w:rPr>
          <w:rFonts w:hint="eastAsia" w:ascii="宋体" w:hAnsi="宋体" w:cs="宋体"/>
          <w:color w:val="auto"/>
          <w:sz w:val="24"/>
          <w:lang w:val="zh-CN"/>
        </w:rPr>
        <w:t>的数据、文件等任何资料进行保密。因</w:t>
      </w:r>
      <w:r>
        <w:rPr>
          <w:rFonts w:hint="eastAsia" w:ascii="宋体" w:hAnsi="宋体" w:cs="宋体"/>
          <w:color w:val="auto"/>
          <w:sz w:val="24"/>
        </w:rPr>
        <w:t>乙方</w:t>
      </w:r>
      <w:r>
        <w:rPr>
          <w:rFonts w:hint="eastAsia" w:ascii="宋体" w:hAnsi="宋体" w:cs="宋体"/>
          <w:color w:val="auto"/>
          <w:sz w:val="24"/>
          <w:lang w:val="zh-CN"/>
        </w:rPr>
        <w:t>行为造成泄密等问题，</w:t>
      </w:r>
      <w:r>
        <w:rPr>
          <w:rFonts w:hint="eastAsia" w:ascii="宋体" w:hAnsi="宋体" w:cs="宋体"/>
          <w:color w:val="auto"/>
          <w:sz w:val="24"/>
        </w:rPr>
        <w:t>乙方应</w:t>
      </w:r>
      <w:r>
        <w:rPr>
          <w:rFonts w:hint="eastAsia" w:ascii="宋体" w:hAnsi="宋体" w:cs="宋体"/>
          <w:color w:val="auto"/>
          <w:sz w:val="24"/>
          <w:lang w:val="zh-CN"/>
        </w:rPr>
        <w:t>承担相应的</w:t>
      </w:r>
      <w:r>
        <w:rPr>
          <w:rFonts w:hint="eastAsia" w:ascii="宋体" w:hAnsi="宋体" w:cs="宋体"/>
          <w:color w:val="auto"/>
          <w:sz w:val="24"/>
        </w:rPr>
        <w:t>经济和法律</w:t>
      </w:r>
      <w:r>
        <w:rPr>
          <w:rFonts w:hint="eastAsia" w:ascii="宋体" w:hAnsi="宋体" w:cs="宋体"/>
          <w:color w:val="auto"/>
          <w:sz w:val="24"/>
          <w:lang w:val="zh-CN"/>
        </w:rPr>
        <w:t>责任。</w:t>
      </w:r>
    </w:p>
    <w:p w14:paraId="33B86310">
      <w:pPr>
        <w:pStyle w:val="42"/>
        <w:autoSpaceDE/>
        <w:autoSpaceDN/>
        <w:spacing w:line="360" w:lineRule="auto"/>
        <w:ind w:firstLine="480" w:firstLineChars="200"/>
        <w:rPr>
          <w:rFonts w:ascii="宋体" w:hAnsi="宋体" w:eastAsia="宋体" w:cs="宋体"/>
          <w:color w:val="auto"/>
          <w:lang w:val="zh-CN"/>
        </w:rPr>
      </w:pPr>
      <w:r>
        <w:rPr>
          <w:rFonts w:hint="eastAsia" w:ascii="宋体" w:hAnsi="宋体" w:cs="宋体"/>
          <w:color w:val="auto"/>
        </w:rPr>
        <w:t>7.</w:t>
      </w:r>
      <w:r>
        <w:rPr>
          <w:rFonts w:hint="eastAsia" w:ascii="宋体" w:hAnsi="宋体" w:eastAsia="宋体" w:cs="宋体"/>
          <w:color w:val="auto"/>
        </w:rPr>
        <w:t>经结算审计发现货物有质量问题或不符合合同约定情况的，甲方有权拒绝支付全部货款并取消合同。</w:t>
      </w:r>
    </w:p>
    <w:p w14:paraId="0F0C82C0">
      <w:p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九、不可抗力</w:t>
      </w:r>
    </w:p>
    <w:p w14:paraId="2B1BA746">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以及双方同意的其他不可抗力事件。</w:t>
      </w:r>
    </w:p>
    <w:p w14:paraId="1F7D0FB0">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受阻一方应在不可抗力事件发生后尽快用电报、传真或电话通知对方，并于事件发生后14天内将有关当局出具的证明文件用特快专递或挂号信寄给对方审阅确认。一旦不可抗力事件的影响持续120天以上，双方应通过友好协商在合理的时间内达成进一步履行合同的协议，甲方也可考虑解除合同。</w:t>
      </w:r>
    </w:p>
    <w:p w14:paraId="79C2EEAD">
      <w:p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十、争端的解决</w:t>
      </w:r>
    </w:p>
    <w:p w14:paraId="1CF82061">
      <w:pPr>
        <w:snapToGrid w:val="0"/>
        <w:spacing w:line="360" w:lineRule="auto"/>
        <w:ind w:firstLine="480" w:firstLineChars="200"/>
        <w:rPr>
          <w:rFonts w:ascii="宋体" w:hAnsi="宋体" w:cs="宋体"/>
          <w:color w:val="auto"/>
          <w:sz w:val="24"/>
          <w:szCs w:val="28"/>
          <w:lang w:val="zh-CN"/>
        </w:rPr>
      </w:pPr>
      <w:r>
        <w:rPr>
          <w:rFonts w:hint="eastAsia" w:ascii="宋体" w:hAnsi="宋体" w:cs="宋体"/>
          <w:color w:val="auto"/>
          <w:sz w:val="24"/>
          <w:szCs w:val="28"/>
        </w:rPr>
        <w:t>1.</w:t>
      </w:r>
      <w:r>
        <w:rPr>
          <w:rFonts w:hint="eastAsia" w:ascii="宋体" w:hAnsi="宋体" w:cs="宋体"/>
          <w:color w:val="auto"/>
          <w:sz w:val="24"/>
          <w:szCs w:val="28"/>
          <w:lang w:val="zh-CN"/>
        </w:rPr>
        <w:t>合同实施或与合同有关的一切争端应通过双方友好协商解决。如果友好协商开始后60天还不能解决，可向</w:t>
      </w:r>
      <w:r>
        <w:rPr>
          <w:rFonts w:hint="eastAsia" w:ascii="宋体" w:hAnsi="宋体" w:cs="宋体"/>
          <w:color w:val="auto"/>
          <w:sz w:val="24"/>
          <w:szCs w:val="28"/>
        </w:rPr>
        <w:t>甲方所在地</w:t>
      </w:r>
      <w:r>
        <w:rPr>
          <w:rFonts w:hint="eastAsia" w:ascii="宋体" w:hAnsi="宋体" w:cs="宋体"/>
          <w:color w:val="auto"/>
          <w:sz w:val="24"/>
          <w:szCs w:val="28"/>
          <w:lang w:val="zh-CN"/>
        </w:rPr>
        <w:t>仲裁委员会申请仲裁。</w:t>
      </w:r>
    </w:p>
    <w:p w14:paraId="2155359C">
      <w:pPr>
        <w:snapToGrid w:val="0"/>
        <w:spacing w:line="360" w:lineRule="auto"/>
        <w:ind w:firstLine="480" w:firstLineChars="200"/>
        <w:rPr>
          <w:rFonts w:ascii="宋体" w:hAnsi="宋体" w:cs="宋体"/>
          <w:color w:val="auto"/>
          <w:sz w:val="24"/>
          <w:szCs w:val="28"/>
          <w:lang w:val="zh-CN"/>
        </w:rPr>
      </w:pPr>
      <w:r>
        <w:rPr>
          <w:rFonts w:hint="eastAsia" w:ascii="宋体" w:hAnsi="宋体" w:cs="宋体"/>
          <w:color w:val="auto"/>
          <w:sz w:val="24"/>
          <w:szCs w:val="28"/>
        </w:rPr>
        <w:t>2.</w:t>
      </w:r>
      <w:r>
        <w:rPr>
          <w:rFonts w:hint="eastAsia" w:ascii="宋体" w:hAnsi="宋体" w:cs="宋体"/>
          <w:color w:val="auto"/>
          <w:sz w:val="24"/>
          <w:szCs w:val="28"/>
          <w:lang w:val="zh-CN"/>
        </w:rPr>
        <w:t>仲裁裁决应为最终裁决，对双方均具有约束力。</w:t>
      </w:r>
    </w:p>
    <w:p w14:paraId="4468A4C6">
      <w:pPr>
        <w:snapToGrid w:val="0"/>
        <w:spacing w:line="360" w:lineRule="auto"/>
        <w:ind w:firstLine="480" w:firstLineChars="200"/>
        <w:rPr>
          <w:rFonts w:ascii="宋体" w:hAnsi="宋体" w:cs="宋体"/>
          <w:color w:val="auto"/>
          <w:sz w:val="24"/>
          <w:szCs w:val="28"/>
          <w:lang w:val="zh-CN"/>
        </w:rPr>
      </w:pPr>
      <w:r>
        <w:rPr>
          <w:rFonts w:hint="eastAsia" w:ascii="宋体" w:hAnsi="宋体" w:cs="宋体"/>
          <w:color w:val="auto"/>
          <w:sz w:val="24"/>
          <w:szCs w:val="28"/>
        </w:rPr>
        <w:t>3.</w:t>
      </w:r>
      <w:r>
        <w:rPr>
          <w:rFonts w:hint="eastAsia" w:ascii="宋体" w:hAnsi="宋体" w:cs="宋体"/>
          <w:color w:val="auto"/>
          <w:sz w:val="24"/>
          <w:szCs w:val="28"/>
          <w:lang w:val="zh-CN"/>
        </w:rPr>
        <w:t>仲裁</w:t>
      </w:r>
      <w:r>
        <w:rPr>
          <w:rFonts w:hint="eastAsia" w:ascii="宋体" w:hAnsi="宋体" w:cs="宋体"/>
          <w:color w:val="auto"/>
          <w:sz w:val="24"/>
          <w:szCs w:val="28"/>
        </w:rPr>
        <w:t>期间所产生的</w:t>
      </w:r>
      <w:r>
        <w:rPr>
          <w:rFonts w:hint="eastAsia" w:ascii="宋体" w:hAnsi="宋体" w:cs="宋体"/>
          <w:color w:val="auto"/>
          <w:sz w:val="24"/>
          <w:szCs w:val="28"/>
          <w:lang w:val="zh-CN"/>
        </w:rPr>
        <w:t>律师费、差旅费等诉讼费用由败诉方承担。</w:t>
      </w:r>
    </w:p>
    <w:p w14:paraId="559F6F95">
      <w:pPr>
        <w:snapToGrid w:val="0"/>
        <w:spacing w:line="360" w:lineRule="auto"/>
        <w:ind w:firstLine="480" w:firstLineChars="200"/>
        <w:rPr>
          <w:rFonts w:ascii="宋体" w:hAnsi="宋体" w:cs="宋体"/>
          <w:color w:val="auto"/>
          <w:sz w:val="24"/>
          <w:szCs w:val="28"/>
          <w:lang w:val="zh-CN"/>
        </w:rPr>
      </w:pPr>
      <w:r>
        <w:rPr>
          <w:rFonts w:hint="eastAsia" w:ascii="宋体" w:hAnsi="宋体" w:cs="宋体"/>
          <w:color w:val="auto"/>
          <w:sz w:val="24"/>
          <w:szCs w:val="28"/>
        </w:rPr>
        <w:t>4.</w:t>
      </w:r>
      <w:r>
        <w:rPr>
          <w:rFonts w:hint="eastAsia" w:ascii="宋体" w:hAnsi="宋体" w:cs="宋体"/>
          <w:color w:val="auto"/>
          <w:sz w:val="24"/>
          <w:szCs w:val="28"/>
          <w:lang w:val="zh-CN"/>
        </w:rPr>
        <w:t>在仲裁期间，除正在进行仲裁的部分外，本合同其它部分应继续执行。</w:t>
      </w:r>
    </w:p>
    <w:p w14:paraId="358374D6">
      <w:p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十一、合同生效</w:t>
      </w:r>
    </w:p>
    <w:p w14:paraId="3CB0E8EC">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1.本合同自双方授权代表签字并加盖公章后生效，合同有效期至甲乙双方权利义务履行完毕。</w:t>
      </w:r>
    </w:p>
    <w:p w14:paraId="12D40B9C">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对本合同条款的任何补充、增添或修改应以书面方式进行，由双方授权代表签字盖章，作为合同不可分割的组成部分。</w:t>
      </w:r>
    </w:p>
    <w:p w14:paraId="2A25700F">
      <w:p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十二、其它约定事项</w:t>
      </w:r>
    </w:p>
    <w:p w14:paraId="0A055E45">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在本合同执行过程中，乙方应及时答复和解决与合同设备有关的技术问题，并负责提供相应的技术文件。</w:t>
      </w:r>
    </w:p>
    <w:p w14:paraId="2AE6C7B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双方的单位地址、邮编、开户行及帐号、项目负责人、电话等若有变更，须及时书面通知对方。</w:t>
      </w:r>
    </w:p>
    <w:p w14:paraId="30CD303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3.其他约定事项: （添加乙方售后服务承诺函等其他事项）</w:t>
      </w:r>
    </w:p>
    <w:p w14:paraId="4D4C079A">
      <w:pPr>
        <w:snapToGrid w:val="0"/>
        <w:spacing w:line="360" w:lineRule="auto"/>
        <w:rPr>
          <w:rFonts w:ascii="宋体" w:hAnsi="宋体" w:cs="宋体"/>
          <w:b/>
          <w:bCs/>
          <w:color w:val="auto"/>
          <w:sz w:val="24"/>
        </w:rPr>
      </w:pPr>
      <w:r>
        <w:rPr>
          <w:rFonts w:hint="eastAsia" w:ascii="宋体" w:hAnsi="宋体" w:cs="宋体"/>
          <w:b/>
          <w:bCs/>
          <w:color w:val="auto"/>
          <w:sz w:val="24"/>
        </w:rPr>
        <w:t>十三、附 则</w:t>
      </w:r>
    </w:p>
    <w:p w14:paraId="5914189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1.本合同执行期间，如遇不可抗力，致使合同无法履行时，双方应按有关法律规定及时协商处理。</w:t>
      </w:r>
    </w:p>
    <w:p w14:paraId="24568B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2.本合同未尽事宜，按法律和国家有关部门的规定执行，无规定的，双方协商解决。</w:t>
      </w:r>
    </w:p>
    <w:p w14:paraId="18DEF76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3.本合同在履行中如发生争议，双方友好协商解决，调解不成的，双方同意由甲方所在地仲裁委员会仲裁。</w:t>
      </w:r>
    </w:p>
    <w:p w14:paraId="7101788A">
      <w:pPr>
        <w:spacing w:line="360" w:lineRule="auto"/>
        <w:ind w:firstLine="480" w:firstLineChars="200"/>
        <w:rPr>
          <w:rFonts w:ascii="宋体" w:hAnsi="宋体" w:cs="宋体"/>
          <w:color w:val="auto"/>
          <w:sz w:val="24"/>
        </w:rPr>
      </w:pPr>
      <w:r>
        <w:rPr>
          <w:rFonts w:hint="eastAsia" w:ascii="宋体" w:hAnsi="宋体" w:cs="宋体"/>
          <w:color w:val="auto"/>
          <w:sz w:val="24"/>
        </w:rPr>
        <w:t>4.本合同正本页，一式柒份，甲乙双方各执叁份，代理机构备案壹份。</w:t>
      </w:r>
    </w:p>
    <w:p w14:paraId="5E5D8318">
      <w:pPr>
        <w:spacing w:line="360" w:lineRule="auto"/>
        <w:ind w:firstLine="480" w:firstLineChars="200"/>
        <w:rPr>
          <w:rFonts w:ascii="宋体" w:hAnsi="宋体" w:cs="宋体"/>
          <w:color w:val="auto"/>
          <w:sz w:val="24"/>
        </w:rPr>
      </w:pPr>
      <w:r>
        <w:rPr>
          <w:rFonts w:hint="eastAsia" w:ascii="宋体" w:hAnsi="宋体" w:cs="宋体"/>
          <w:color w:val="auto"/>
          <w:sz w:val="24"/>
        </w:rPr>
        <w:t>5.本合同自甲乙双方签字盖章确认之日起生效。</w:t>
      </w:r>
    </w:p>
    <w:p w14:paraId="66163CB2">
      <w:pPr>
        <w:numPr>
          <w:ilvl w:val="255"/>
          <w:numId w:val="0"/>
        </w:numPr>
        <w:spacing w:line="360" w:lineRule="auto"/>
        <w:ind w:firstLine="480" w:firstLineChars="200"/>
        <w:rPr>
          <w:rFonts w:ascii="宋体" w:hAnsi="宋体" w:cs="宋体"/>
          <w:color w:val="auto"/>
          <w:sz w:val="24"/>
        </w:rPr>
      </w:pPr>
      <w:r>
        <w:rPr>
          <w:rFonts w:hint="eastAsia" w:ascii="宋体" w:hAnsi="宋体" w:cs="宋体"/>
          <w:color w:val="auto"/>
          <w:sz w:val="24"/>
        </w:rPr>
        <w:t>6.下列文件作为合同附件，与本合同具有同等法律效力：</w:t>
      </w:r>
    </w:p>
    <w:p w14:paraId="3388F0EA">
      <w:pPr>
        <w:numPr>
          <w:ilvl w:val="255"/>
          <w:numId w:val="0"/>
        </w:numPr>
        <w:spacing w:line="360" w:lineRule="auto"/>
        <w:ind w:firstLine="480" w:firstLineChars="200"/>
        <w:rPr>
          <w:rFonts w:ascii="宋体" w:hAnsi="宋体" w:cs="宋体"/>
          <w:b/>
          <w:color w:val="auto"/>
          <w:sz w:val="24"/>
        </w:rPr>
      </w:pPr>
      <w:r>
        <w:rPr>
          <w:rFonts w:hint="eastAsia" w:ascii="宋体" w:hAnsi="宋体" w:cs="宋体"/>
          <w:color w:val="auto"/>
          <w:sz w:val="24"/>
        </w:rPr>
        <w:t>1）附件1：</w:t>
      </w:r>
      <w:r>
        <w:rPr>
          <w:rFonts w:hint="eastAsia" w:ascii="宋体" w:hAnsi="宋体" w:cs="宋体"/>
          <w:b/>
          <w:color w:val="auto"/>
          <w:sz w:val="24"/>
        </w:rPr>
        <w:t>装备验收单；</w:t>
      </w:r>
    </w:p>
    <w:p w14:paraId="384F85C5">
      <w:pPr>
        <w:numPr>
          <w:ilvl w:val="255"/>
          <w:numId w:val="0"/>
        </w:numPr>
        <w:spacing w:line="360" w:lineRule="auto"/>
        <w:ind w:firstLine="480" w:firstLineChars="200"/>
        <w:rPr>
          <w:rFonts w:ascii="宋体" w:hAnsi="宋体" w:cs="宋体"/>
          <w:b/>
          <w:color w:val="auto"/>
          <w:sz w:val="24"/>
        </w:rPr>
      </w:pPr>
      <w:r>
        <w:rPr>
          <w:rFonts w:hint="eastAsia" w:ascii="宋体" w:hAnsi="宋体" w:cs="宋体"/>
          <w:color w:val="auto"/>
          <w:sz w:val="24"/>
        </w:rPr>
        <w:t>2）附件2：</w:t>
      </w:r>
      <w:r>
        <w:rPr>
          <w:rFonts w:hint="eastAsia" w:ascii="宋体" w:hAnsi="宋体" w:cs="宋体"/>
          <w:b/>
          <w:color w:val="auto"/>
          <w:sz w:val="24"/>
        </w:rPr>
        <w:t>无质量疑义证明文件</w:t>
      </w:r>
    </w:p>
    <w:p w14:paraId="1FECB135">
      <w:pPr>
        <w:numPr>
          <w:ilvl w:val="255"/>
          <w:numId w:val="0"/>
        </w:numPr>
        <w:spacing w:line="360" w:lineRule="auto"/>
        <w:ind w:firstLine="480" w:firstLineChars="200"/>
        <w:rPr>
          <w:rFonts w:ascii="宋体" w:hAnsi="宋体" w:cs="宋体"/>
          <w:color w:val="auto"/>
          <w:sz w:val="24"/>
        </w:rPr>
      </w:pPr>
      <w:r>
        <w:rPr>
          <w:rFonts w:hint="eastAsia" w:ascii="宋体" w:hAnsi="宋体" w:cs="宋体"/>
          <w:color w:val="auto"/>
          <w:sz w:val="24"/>
        </w:rPr>
        <w:t>3）附件3：</w:t>
      </w:r>
      <w:r>
        <w:rPr>
          <w:rFonts w:hint="eastAsia" w:ascii="宋体" w:hAnsi="宋体" w:cs="宋体"/>
          <w:b/>
          <w:bCs/>
          <w:color w:val="auto"/>
          <w:sz w:val="24"/>
        </w:rPr>
        <w:t>承诺书</w:t>
      </w:r>
    </w:p>
    <w:p w14:paraId="50E43684">
      <w:pPr>
        <w:keepNext w:val="0"/>
        <w:keepLines w:val="0"/>
        <w:pageBreakBefore w:val="0"/>
        <w:numPr>
          <w:ilvl w:val="255"/>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4）附件4：</w:t>
      </w:r>
      <w:r>
        <w:rPr>
          <w:rFonts w:hint="eastAsia" w:ascii="宋体" w:hAnsi="宋体" w:cs="宋体"/>
          <w:b/>
          <w:bCs/>
          <w:color w:val="auto"/>
          <w:sz w:val="24"/>
        </w:rPr>
        <w:t>投标报价明细表、技术参数（投标文件技术响应表参数资料）、配置清单及相关资料</w:t>
      </w:r>
    </w:p>
    <w:p w14:paraId="3CC29E0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default" w:ascii="宋体" w:hAnsi="宋体" w:cs="宋体"/>
          <w:color w:val="auto"/>
          <w:sz w:val="24"/>
          <w:lang w:val="en-US" w:eastAsia="zh-CN"/>
        </w:rPr>
        <w:t>5</w:t>
      </w:r>
      <w:r>
        <w:rPr>
          <w:rFonts w:hint="eastAsia" w:ascii="宋体" w:hAnsi="宋体" w:cs="宋体"/>
          <w:color w:val="auto"/>
          <w:sz w:val="24"/>
          <w:lang w:val="en-US" w:eastAsia="zh-CN"/>
        </w:rPr>
        <w:t>）附件 5：</w:t>
      </w:r>
      <w:r>
        <w:rPr>
          <w:rFonts w:hint="eastAsia" w:ascii="宋体" w:hAnsi="宋体" w:eastAsia="宋体" w:cs="宋体"/>
          <w:b/>
          <w:bCs/>
          <w:color w:val="auto"/>
          <w:kern w:val="0"/>
          <w:sz w:val="24"/>
          <w:szCs w:val="24"/>
          <w:lang w:val="en-US" w:eastAsia="zh-CN" w:bidi="ar"/>
        </w:rPr>
        <w:t xml:space="preserve">《浙江省消防救援总队关于印发浙江省消防救援队伍灭火救援 </w:t>
      </w:r>
    </w:p>
    <w:p w14:paraId="3B145D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rPr>
      </w:pPr>
      <w:r>
        <w:rPr>
          <w:rFonts w:hint="eastAsia" w:ascii="宋体" w:hAnsi="宋体" w:eastAsia="宋体" w:cs="宋体"/>
          <w:b/>
          <w:bCs/>
          <w:color w:val="auto"/>
          <w:kern w:val="0"/>
          <w:sz w:val="24"/>
          <w:szCs w:val="24"/>
          <w:lang w:val="en-US" w:eastAsia="zh-CN" w:bidi="ar"/>
        </w:rPr>
        <w:t>装备验收管理规定（试行）的通知》</w:t>
      </w:r>
    </w:p>
    <w:p w14:paraId="6A1D9552">
      <w:pPr>
        <w:keepNext w:val="0"/>
        <w:keepLines w:val="0"/>
        <w:pageBreakBefore w:val="0"/>
        <w:numPr>
          <w:ilvl w:val="255"/>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rPr>
        <w:t>6）甲方的招标文件与招标补充文件；</w:t>
      </w:r>
    </w:p>
    <w:p w14:paraId="45868BB2">
      <w:pPr>
        <w:numPr>
          <w:ilvl w:val="255"/>
          <w:numId w:val="0"/>
        </w:numPr>
        <w:spacing w:line="360" w:lineRule="auto"/>
        <w:ind w:firstLine="480" w:firstLineChars="200"/>
        <w:rPr>
          <w:rFonts w:ascii="宋体" w:hAnsi="宋体" w:cs="宋体"/>
          <w:color w:val="auto"/>
          <w:sz w:val="24"/>
        </w:rPr>
      </w:pPr>
      <w:r>
        <w:rPr>
          <w:rFonts w:hint="eastAsia" w:ascii="宋体" w:hAnsi="宋体" w:cs="宋体"/>
          <w:color w:val="auto"/>
          <w:sz w:val="24"/>
        </w:rPr>
        <w:t>7）乙方投标文件；</w:t>
      </w:r>
    </w:p>
    <w:p w14:paraId="60209E80">
      <w:pPr>
        <w:spacing w:line="360" w:lineRule="auto"/>
        <w:ind w:firstLine="480" w:firstLineChars="200"/>
        <w:rPr>
          <w:rFonts w:ascii="宋体" w:hAnsi="宋体" w:cs="宋体"/>
          <w:color w:val="auto"/>
          <w:sz w:val="24"/>
        </w:rPr>
      </w:pPr>
      <w:r>
        <w:rPr>
          <w:rFonts w:hint="eastAsia" w:ascii="宋体" w:hAnsi="宋体" w:cs="宋体"/>
          <w:color w:val="auto"/>
          <w:sz w:val="24"/>
        </w:rPr>
        <w:t>8）中标通知书。</w:t>
      </w:r>
    </w:p>
    <w:p w14:paraId="3A8C5D6B">
      <w:pPr>
        <w:spacing w:line="360" w:lineRule="auto"/>
        <w:ind w:firstLine="480" w:firstLineChars="200"/>
        <w:rPr>
          <w:rFonts w:ascii="宋体" w:hAnsi="宋体" w:cs="宋体"/>
          <w:color w:val="auto"/>
          <w:sz w:val="24"/>
        </w:rPr>
      </w:pPr>
      <w:r>
        <w:rPr>
          <w:rFonts w:hint="eastAsia" w:ascii="宋体" w:hAnsi="宋体" w:cs="宋体"/>
          <w:color w:val="auto"/>
          <w:sz w:val="24"/>
        </w:rPr>
        <w:t>上述所指文件应认为是互相补充和解释的，但是有模棱两可或相互矛盾之处，按更优于甲方的标准执行。</w:t>
      </w:r>
    </w:p>
    <w:p w14:paraId="2E77588F">
      <w:pPr>
        <w:spacing w:line="360" w:lineRule="auto"/>
        <w:ind w:firstLine="480" w:firstLineChars="200"/>
        <w:rPr>
          <w:rFonts w:ascii="宋体" w:hAnsi="宋体" w:cs="宋体"/>
          <w:color w:val="auto"/>
          <w:sz w:val="24"/>
        </w:rPr>
      </w:pPr>
      <w:r>
        <w:rPr>
          <w:rFonts w:hint="eastAsia" w:ascii="宋体" w:hAnsi="宋体" w:cs="宋体"/>
          <w:color w:val="auto"/>
          <w:sz w:val="24"/>
        </w:rPr>
        <w:t>甲方（盖章）：                    乙方（盖章）：</w:t>
      </w:r>
    </w:p>
    <w:p w14:paraId="01E77A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地址：                            地址：</w:t>
      </w:r>
    </w:p>
    <w:p w14:paraId="06551111">
      <w:pPr>
        <w:snapToGrid w:val="0"/>
        <w:spacing w:line="360" w:lineRule="auto"/>
        <w:ind w:firstLine="480" w:firstLineChars="200"/>
        <w:rPr>
          <w:rFonts w:ascii="宋体" w:hAnsi="宋体" w:cs="宋体"/>
          <w:color w:val="auto"/>
          <w:sz w:val="24"/>
        </w:rPr>
      </w:pPr>
    </w:p>
    <w:p w14:paraId="3BB512C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法定代表人或委托代理人：          法定代表人或委托代理人：</w:t>
      </w:r>
    </w:p>
    <w:p w14:paraId="4D2A9C07">
      <w:pPr>
        <w:snapToGrid w:val="0"/>
        <w:spacing w:line="360" w:lineRule="auto"/>
        <w:ind w:firstLine="480" w:firstLineChars="200"/>
        <w:rPr>
          <w:rFonts w:ascii="宋体" w:hAnsi="宋体" w:cs="宋体"/>
          <w:color w:val="auto"/>
          <w:sz w:val="24"/>
        </w:rPr>
      </w:pPr>
    </w:p>
    <w:p w14:paraId="13C9AC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电话：                            电话：</w:t>
      </w:r>
    </w:p>
    <w:p w14:paraId="44B5648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传真：                            传真：</w:t>
      </w:r>
    </w:p>
    <w:p w14:paraId="05887EB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邮政编码：                        邮政编码：</w:t>
      </w:r>
    </w:p>
    <w:p w14:paraId="2874B62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开户银行：                        开户银行：</w:t>
      </w:r>
    </w:p>
    <w:p w14:paraId="7EA1C7CA">
      <w:pPr>
        <w:snapToGrid w:val="0"/>
        <w:spacing w:line="360" w:lineRule="auto"/>
        <w:ind w:firstLine="480" w:firstLineChars="200"/>
        <w:rPr>
          <w:rFonts w:ascii="宋体" w:hAnsi="宋体" w:cs="宋体"/>
          <w:color w:val="auto"/>
          <w:sz w:val="24"/>
        </w:rPr>
      </w:pPr>
    </w:p>
    <w:p w14:paraId="1831BE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账号：                            账号：</w:t>
      </w:r>
    </w:p>
    <w:p w14:paraId="32281D65">
      <w:pPr>
        <w:snapToGrid w:val="0"/>
        <w:spacing w:line="360" w:lineRule="auto"/>
        <w:ind w:firstLine="480" w:firstLineChars="200"/>
        <w:rPr>
          <w:rFonts w:ascii="宋体" w:hAnsi="宋体" w:cs="宋体"/>
          <w:color w:val="auto"/>
          <w:sz w:val="24"/>
        </w:rPr>
      </w:pPr>
    </w:p>
    <w:p w14:paraId="0F38C1FB">
      <w:pPr>
        <w:snapToGrid w:val="0"/>
        <w:spacing w:line="360" w:lineRule="auto"/>
        <w:rPr>
          <w:rFonts w:ascii="宋体" w:hAnsi="宋体" w:cs="宋体"/>
          <w:color w:val="auto"/>
          <w:sz w:val="24"/>
        </w:rPr>
      </w:pPr>
      <w:r>
        <w:rPr>
          <w:rFonts w:hint="eastAsia" w:ascii="宋体" w:hAnsi="宋体" w:cs="宋体"/>
          <w:color w:val="auto"/>
          <w:sz w:val="24"/>
        </w:rPr>
        <w:t xml:space="preserve">    签订时间：</w:t>
      </w:r>
    </w:p>
    <w:p w14:paraId="17866D67">
      <w:pPr>
        <w:snapToGrid w:val="0"/>
        <w:spacing w:line="360" w:lineRule="auto"/>
        <w:jc w:val="center"/>
        <w:rPr>
          <w:rFonts w:ascii="宋体" w:hAnsi="宋体" w:cs="宋体"/>
          <w:b/>
          <w:color w:val="auto"/>
          <w:sz w:val="24"/>
        </w:rPr>
        <w:sectPr>
          <w:footerReference r:id="rId11" w:type="first"/>
          <w:pgSz w:w="11906" w:h="16838"/>
          <w:pgMar w:top="1440" w:right="1800" w:bottom="1440" w:left="1800" w:header="851" w:footer="992" w:gutter="0"/>
          <w:cols w:space="720" w:num="1"/>
          <w:titlePg/>
          <w:docGrid w:type="lines" w:linePitch="312" w:charSpace="0"/>
        </w:sectPr>
      </w:pPr>
    </w:p>
    <w:p w14:paraId="32933B8B">
      <w:pPr>
        <w:autoSpaceDE w:val="0"/>
        <w:autoSpaceDN w:val="0"/>
        <w:adjustRightInd w:val="0"/>
        <w:spacing w:line="360" w:lineRule="auto"/>
        <w:jc w:val="left"/>
        <w:rPr>
          <w:rFonts w:ascii="宋体" w:hAnsi="宋体" w:cs="宋体"/>
          <w:b/>
          <w:color w:val="auto"/>
          <w:sz w:val="28"/>
          <w:szCs w:val="28"/>
        </w:rPr>
      </w:pPr>
      <w:r>
        <w:rPr>
          <w:rFonts w:hint="eastAsia" w:ascii="宋体" w:hAnsi="宋体" w:cs="宋体"/>
          <w:b/>
          <w:color w:val="auto"/>
          <w:sz w:val="28"/>
          <w:szCs w:val="28"/>
        </w:rPr>
        <w:t>附件1：</w:t>
      </w:r>
    </w:p>
    <w:p w14:paraId="6EE4B9A3">
      <w:pPr>
        <w:widowControl/>
        <w:adjustRightInd w:val="0"/>
        <w:snapToGrid w:val="0"/>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装备验收单</w:t>
      </w:r>
    </w:p>
    <w:p w14:paraId="7FFA1A38">
      <w:pPr>
        <w:adjustRightInd w:val="0"/>
        <w:snapToGrid w:val="0"/>
        <w:spacing w:line="360" w:lineRule="auto"/>
        <w:rPr>
          <w:rFonts w:ascii="宋体" w:hAnsi="宋体" w:cs="宋体"/>
          <w:bCs/>
          <w:color w:val="auto"/>
          <w:sz w:val="24"/>
        </w:rPr>
      </w:pPr>
      <w:r>
        <w:rPr>
          <w:rFonts w:hint="eastAsia" w:ascii="宋体" w:hAnsi="宋体" w:cs="宋体"/>
          <w:bCs/>
          <w:color w:val="auto"/>
          <w:sz w:val="24"/>
        </w:rPr>
        <w:t xml:space="preserve"> ：</w:t>
      </w:r>
    </w:p>
    <w:p w14:paraId="0ABFB759">
      <w:pPr>
        <w:pStyle w:val="42"/>
        <w:spacing w:line="360" w:lineRule="auto"/>
        <w:rPr>
          <w:rFonts w:ascii="宋体" w:hAnsi="宋体" w:eastAsia="宋体" w:cs="宋体"/>
          <w:color w:val="auto"/>
        </w:rPr>
      </w:pPr>
      <w:r>
        <w:rPr>
          <w:rFonts w:hint="eastAsia" w:ascii="宋体" w:hAnsi="宋体" w:eastAsia="宋体" w:cs="宋体"/>
          <w:bCs/>
          <w:color w:val="auto"/>
          <w:kern w:val="2"/>
        </w:rPr>
        <w:t>根据你公司装备到货验收申请，我单位装备验收小组按照验收相关规定组织开展实地验收，具体情况如下：</w:t>
      </w:r>
    </w:p>
    <w:tbl>
      <w:tblPr>
        <w:tblStyle w:val="34"/>
        <w:tblW w:w="9329" w:type="dxa"/>
        <w:jc w:val="center"/>
        <w:tblLayout w:type="fixed"/>
        <w:tblCellMar>
          <w:top w:w="0" w:type="dxa"/>
          <w:left w:w="108" w:type="dxa"/>
          <w:bottom w:w="0" w:type="dxa"/>
          <w:right w:w="108" w:type="dxa"/>
        </w:tblCellMar>
      </w:tblPr>
      <w:tblGrid>
        <w:gridCol w:w="753"/>
        <w:gridCol w:w="1298"/>
        <w:gridCol w:w="1283"/>
        <w:gridCol w:w="1351"/>
        <w:gridCol w:w="903"/>
        <w:gridCol w:w="204"/>
        <w:gridCol w:w="903"/>
        <w:gridCol w:w="430"/>
        <w:gridCol w:w="691"/>
        <w:gridCol w:w="1513"/>
      </w:tblGrid>
      <w:tr w14:paraId="4C2A3013">
        <w:tblPrEx>
          <w:tblCellMar>
            <w:top w:w="0" w:type="dxa"/>
            <w:left w:w="108" w:type="dxa"/>
            <w:bottom w:w="0" w:type="dxa"/>
            <w:right w:w="108" w:type="dxa"/>
          </w:tblCellMar>
        </w:tblPrEx>
        <w:trPr>
          <w:trHeight w:val="590" w:hRule="atLeast"/>
          <w:jc w:val="center"/>
        </w:trPr>
        <w:tc>
          <w:tcPr>
            <w:tcW w:w="9329" w:type="dxa"/>
            <w:gridSpan w:val="10"/>
            <w:tcBorders>
              <w:top w:val="single" w:color="auto" w:sz="4" w:space="0"/>
              <w:left w:val="single" w:color="auto" w:sz="4" w:space="0"/>
              <w:bottom w:val="single" w:color="auto" w:sz="4" w:space="0"/>
              <w:right w:val="single" w:color="000000" w:sz="4" w:space="0"/>
            </w:tcBorders>
            <w:vAlign w:val="center"/>
          </w:tcPr>
          <w:p w14:paraId="5CE161F9">
            <w:pPr>
              <w:spacing w:line="360" w:lineRule="auto"/>
              <w:jc w:val="center"/>
              <w:rPr>
                <w:rFonts w:ascii="宋体" w:hAnsi="宋体" w:cs="宋体"/>
                <w:bCs/>
                <w:color w:val="auto"/>
                <w:sz w:val="24"/>
              </w:rPr>
            </w:pPr>
            <w:r>
              <w:rPr>
                <w:rFonts w:hint="eastAsia" w:ascii="宋体" w:hAnsi="宋体" w:cs="宋体"/>
                <w:color w:val="auto"/>
                <w:kern w:val="0"/>
                <w:sz w:val="24"/>
              </w:rPr>
              <w:t>验收装备情况</w:t>
            </w:r>
          </w:p>
        </w:tc>
      </w:tr>
      <w:tr w14:paraId="2D63F74E">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48FE04F0">
            <w:pPr>
              <w:spacing w:line="360" w:lineRule="auto"/>
              <w:jc w:val="center"/>
              <w:rPr>
                <w:rFonts w:ascii="宋体" w:hAnsi="宋体" w:cs="宋体"/>
                <w:bCs/>
                <w:color w:val="auto"/>
                <w:sz w:val="24"/>
              </w:rPr>
            </w:pPr>
            <w:r>
              <w:rPr>
                <w:rFonts w:hint="eastAsia" w:ascii="宋体" w:hAnsi="宋体" w:cs="宋体"/>
                <w:bCs/>
                <w:color w:val="auto"/>
                <w:sz w:val="24"/>
              </w:rPr>
              <w:t>序号</w:t>
            </w:r>
          </w:p>
        </w:tc>
        <w:tc>
          <w:tcPr>
            <w:tcW w:w="1299" w:type="dxa"/>
            <w:tcBorders>
              <w:top w:val="single" w:color="auto" w:sz="4" w:space="0"/>
              <w:left w:val="single" w:color="auto" w:sz="4" w:space="0"/>
              <w:bottom w:val="single" w:color="auto" w:sz="4" w:space="0"/>
              <w:right w:val="single" w:color="auto" w:sz="4" w:space="0"/>
            </w:tcBorders>
            <w:vAlign w:val="center"/>
          </w:tcPr>
          <w:p w14:paraId="33F479DE">
            <w:pPr>
              <w:spacing w:line="360" w:lineRule="auto"/>
              <w:jc w:val="center"/>
              <w:rPr>
                <w:rFonts w:ascii="宋体" w:hAnsi="宋体" w:cs="宋体"/>
                <w:bCs/>
                <w:color w:val="auto"/>
                <w:sz w:val="24"/>
              </w:rPr>
            </w:pPr>
            <w:r>
              <w:rPr>
                <w:rFonts w:hint="eastAsia" w:ascii="宋体" w:hAnsi="宋体" w:cs="宋体"/>
                <w:bCs/>
                <w:color w:val="auto"/>
                <w:sz w:val="24"/>
              </w:rPr>
              <w:t>合同编号</w:t>
            </w:r>
          </w:p>
        </w:tc>
        <w:tc>
          <w:tcPr>
            <w:tcW w:w="1283" w:type="dxa"/>
            <w:tcBorders>
              <w:top w:val="single" w:color="auto" w:sz="4" w:space="0"/>
              <w:left w:val="single" w:color="auto" w:sz="4" w:space="0"/>
              <w:bottom w:val="single" w:color="auto" w:sz="4" w:space="0"/>
              <w:right w:val="single" w:color="auto" w:sz="4" w:space="0"/>
            </w:tcBorders>
            <w:vAlign w:val="center"/>
          </w:tcPr>
          <w:p w14:paraId="10B9FE35">
            <w:pPr>
              <w:spacing w:line="360" w:lineRule="auto"/>
              <w:jc w:val="center"/>
              <w:rPr>
                <w:rFonts w:ascii="宋体" w:hAnsi="宋体" w:cs="宋体"/>
                <w:bCs/>
                <w:color w:val="auto"/>
                <w:sz w:val="24"/>
              </w:rPr>
            </w:pPr>
            <w:r>
              <w:rPr>
                <w:rFonts w:hint="eastAsia" w:ascii="宋体" w:hAnsi="宋体" w:cs="宋体"/>
                <w:bCs/>
                <w:color w:val="auto"/>
                <w:sz w:val="24"/>
              </w:rPr>
              <w:t>装备名称</w:t>
            </w:r>
          </w:p>
        </w:tc>
        <w:tc>
          <w:tcPr>
            <w:tcW w:w="1351" w:type="dxa"/>
            <w:tcBorders>
              <w:top w:val="single" w:color="auto" w:sz="4" w:space="0"/>
              <w:left w:val="nil"/>
              <w:bottom w:val="single" w:color="auto" w:sz="4" w:space="0"/>
              <w:right w:val="single" w:color="auto" w:sz="4" w:space="0"/>
            </w:tcBorders>
            <w:vAlign w:val="center"/>
          </w:tcPr>
          <w:p w14:paraId="245AD67F">
            <w:pPr>
              <w:spacing w:line="360" w:lineRule="auto"/>
              <w:jc w:val="center"/>
              <w:rPr>
                <w:rFonts w:ascii="宋体" w:hAnsi="宋体" w:cs="宋体"/>
                <w:bCs/>
                <w:color w:val="auto"/>
                <w:sz w:val="24"/>
              </w:rPr>
            </w:pPr>
            <w:r>
              <w:rPr>
                <w:rFonts w:hint="eastAsia" w:ascii="宋体" w:hAnsi="宋体" w:cs="宋体"/>
                <w:bCs/>
                <w:color w:val="auto"/>
                <w:sz w:val="24"/>
              </w:rPr>
              <w:t>规格型号</w:t>
            </w:r>
          </w:p>
        </w:tc>
        <w:tc>
          <w:tcPr>
            <w:tcW w:w="903" w:type="dxa"/>
            <w:tcBorders>
              <w:top w:val="single" w:color="auto" w:sz="4" w:space="0"/>
              <w:left w:val="single" w:color="auto" w:sz="4" w:space="0"/>
              <w:bottom w:val="single" w:color="auto" w:sz="4" w:space="0"/>
              <w:right w:val="single" w:color="auto" w:sz="4" w:space="0"/>
            </w:tcBorders>
            <w:vAlign w:val="center"/>
          </w:tcPr>
          <w:p w14:paraId="61BAEE73">
            <w:pPr>
              <w:spacing w:line="360" w:lineRule="auto"/>
              <w:jc w:val="center"/>
              <w:rPr>
                <w:rFonts w:ascii="宋体" w:hAnsi="宋体" w:cs="宋体"/>
                <w:bCs/>
                <w:color w:val="auto"/>
                <w:sz w:val="24"/>
              </w:rPr>
            </w:pPr>
            <w:r>
              <w:rPr>
                <w:rFonts w:hint="eastAsia" w:ascii="宋体" w:hAnsi="宋体" w:cs="宋体"/>
                <w:bCs/>
                <w:color w:val="auto"/>
                <w:sz w:val="24"/>
              </w:rPr>
              <w:t>数量</w:t>
            </w: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577182E1">
            <w:pPr>
              <w:spacing w:line="360" w:lineRule="auto"/>
              <w:jc w:val="center"/>
              <w:rPr>
                <w:rFonts w:hint="eastAsia" w:ascii="宋体" w:hAnsi="宋体" w:cs="宋体"/>
                <w:bCs/>
                <w:color w:val="auto"/>
                <w:sz w:val="24"/>
              </w:rPr>
            </w:pPr>
            <w:r>
              <w:rPr>
                <w:rFonts w:hint="eastAsia" w:ascii="宋体" w:hAnsi="宋体" w:cs="宋体"/>
                <w:bCs/>
                <w:color w:val="auto"/>
                <w:sz w:val="24"/>
              </w:rPr>
              <w:t>单价</w:t>
            </w:r>
          </w:p>
          <w:p w14:paraId="56B1AC64">
            <w:pPr>
              <w:spacing w:line="360" w:lineRule="auto"/>
              <w:jc w:val="center"/>
              <w:rPr>
                <w:rFonts w:ascii="宋体" w:hAnsi="宋体" w:cs="宋体"/>
                <w:bCs/>
                <w:color w:val="auto"/>
                <w:sz w:val="24"/>
              </w:rPr>
            </w:pPr>
            <w:r>
              <w:rPr>
                <w:rFonts w:hint="eastAsia" w:ascii="宋体" w:hAnsi="宋体" w:cs="宋体"/>
                <w:bCs/>
                <w:color w:val="auto"/>
                <w:sz w:val="24"/>
              </w:rPr>
              <w:t>（万</w:t>
            </w:r>
            <w:r>
              <w:rPr>
                <w:rFonts w:hint="eastAsia" w:ascii="宋体" w:hAnsi="宋体" w:cs="宋体"/>
                <w:bCs/>
                <w:color w:val="auto"/>
                <w:sz w:val="24"/>
                <w:lang w:val="en-US" w:eastAsia="zh-CN"/>
              </w:rPr>
              <w:t>元</w:t>
            </w:r>
            <w:r>
              <w:rPr>
                <w:rFonts w:hint="eastAsia" w:ascii="宋体" w:hAnsi="宋体" w:cs="宋体"/>
                <w:bCs/>
                <w:color w:val="auto"/>
                <w:sz w:val="24"/>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01DBEF80">
            <w:pPr>
              <w:spacing w:line="360" w:lineRule="auto"/>
              <w:jc w:val="center"/>
              <w:rPr>
                <w:rFonts w:hint="eastAsia" w:ascii="宋体" w:hAnsi="宋体" w:cs="宋体"/>
                <w:bCs/>
                <w:color w:val="auto"/>
                <w:sz w:val="24"/>
              </w:rPr>
            </w:pPr>
            <w:r>
              <w:rPr>
                <w:rFonts w:hint="eastAsia" w:ascii="宋体" w:hAnsi="宋体" w:cs="宋体"/>
                <w:bCs/>
                <w:color w:val="auto"/>
                <w:sz w:val="24"/>
              </w:rPr>
              <w:t>总价</w:t>
            </w:r>
          </w:p>
          <w:p w14:paraId="06A550B6">
            <w:pPr>
              <w:spacing w:line="360" w:lineRule="auto"/>
              <w:jc w:val="center"/>
              <w:rPr>
                <w:rFonts w:ascii="宋体" w:hAnsi="宋体" w:cs="宋体"/>
                <w:bCs/>
                <w:color w:val="auto"/>
                <w:sz w:val="24"/>
              </w:rPr>
            </w:pPr>
            <w:r>
              <w:rPr>
                <w:rFonts w:hint="eastAsia" w:ascii="宋体" w:hAnsi="宋体" w:cs="宋体"/>
                <w:bCs/>
                <w:color w:val="auto"/>
                <w:sz w:val="24"/>
              </w:rPr>
              <w:t>(万</w:t>
            </w:r>
            <w:r>
              <w:rPr>
                <w:rFonts w:hint="eastAsia" w:ascii="宋体" w:hAnsi="宋体" w:cs="宋体"/>
                <w:bCs/>
                <w:color w:val="auto"/>
                <w:sz w:val="24"/>
                <w:lang w:val="en-US" w:eastAsia="zh-CN"/>
              </w:rPr>
              <w:t>元</w:t>
            </w:r>
            <w:r>
              <w:rPr>
                <w:rFonts w:hint="eastAsia" w:ascii="宋体" w:hAnsi="宋体" w:cs="宋体"/>
                <w:bCs/>
                <w:color w:val="auto"/>
                <w:sz w:val="24"/>
              </w:rPr>
              <w:t>)</w:t>
            </w:r>
          </w:p>
        </w:tc>
        <w:tc>
          <w:tcPr>
            <w:tcW w:w="1511" w:type="dxa"/>
            <w:tcBorders>
              <w:top w:val="single" w:color="auto" w:sz="4" w:space="0"/>
              <w:left w:val="single" w:color="auto" w:sz="4" w:space="0"/>
              <w:bottom w:val="single" w:color="auto" w:sz="4" w:space="0"/>
              <w:right w:val="single" w:color="000000" w:sz="4" w:space="0"/>
            </w:tcBorders>
            <w:vAlign w:val="center"/>
          </w:tcPr>
          <w:p w14:paraId="622CE230">
            <w:pPr>
              <w:spacing w:line="360" w:lineRule="auto"/>
              <w:jc w:val="center"/>
              <w:rPr>
                <w:rFonts w:ascii="宋体" w:hAnsi="宋体" w:cs="宋体"/>
                <w:bCs/>
                <w:color w:val="auto"/>
                <w:sz w:val="24"/>
              </w:rPr>
            </w:pPr>
            <w:r>
              <w:rPr>
                <w:rFonts w:hint="eastAsia" w:ascii="宋体" w:hAnsi="宋体" w:cs="宋体"/>
                <w:bCs/>
                <w:color w:val="auto"/>
                <w:sz w:val="24"/>
              </w:rPr>
              <w:t>备注</w:t>
            </w:r>
          </w:p>
        </w:tc>
      </w:tr>
      <w:tr w14:paraId="0E2AC9AA">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1C7065C">
            <w:pPr>
              <w:widowControl/>
              <w:spacing w:line="360" w:lineRule="auto"/>
              <w:jc w:val="center"/>
              <w:rPr>
                <w:rFonts w:ascii="宋体" w:hAnsi="宋体" w:cs="宋体"/>
                <w:bCs/>
                <w:color w:val="auto"/>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239E138A">
            <w:pPr>
              <w:widowControl/>
              <w:spacing w:line="360" w:lineRule="auto"/>
              <w:jc w:val="center"/>
              <w:rPr>
                <w:rFonts w:ascii="宋体" w:hAnsi="宋体" w:cs="宋体"/>
                <w:bCs/>
                <w:color w:val="auto"/>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43A3F9FC">
            <w:pPr>
              <w:widowControl/>
              <w:spacing w:line="360" w:lineRule="auto"/>
              <w:jc w:val="center"/>
              <w:rPr>
                <w:rFonts w:ascii="宋体" w:hAnsi="宋体" w:cs="宋体"/>
                <w:bCs/>
                <w:color w:val="auto"/>
                <w:kern w:val="0"/>
                <w:sz w:val="24"/>
              </w:rPr>
            </w:pPr>
          </w:p>
        </w:tc>
        <w:tc>
          <w:tcPr>
            <w:tcW w:w="1351" w:type="dxa"/>
            <w:tcBorders>
              <w:top w:val="single" w:color="auto" w:sz="4" w:space="0"/>
              <w:left w:val="nil"/>
              <w:bottom w:val="single" w:color="auto" w:sz="4" w:space="0"/>
              <w:right w:val="single" w:color="auto" w:sz="4" w:space="0"/>
            </w:tcBorders>
            <w:vAlign w:val="center"/>
          </w:tcPr>
          <w:p w14:paraId="46D0686F">
            <w:pPr>
              <w:widowControl/>
              <w:spacing w:line="360" w:lineRule="auto"/>
              <w:jc w:val="center"/>
              <w:rPr>
                <w:rFonts w:ascii="宋体" w:hAnsi="宋体" w:cs="宋体"/>
                <w:color w:val="auto"/>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6370EE25">
            <w:pPr>
              <w:widowControl/>
              <w:spacing w:line="360" w:lineRule="auto"/>
              <w:jc w:val="center"/>
              <w:rPr>
                <w:rFonts w:ascii="宋体" w:hAnsi="宋体" w:cs="宋体"/>
                <w:color w:val="auto"/>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46F67ED5">
            <w:pPr>
              <w:widowControl/>
              <w:spacing w:line="360" w:lineRule="auto"/>
              <w:jc w:val="center"/>
              <w:rPr>
                <w:rFonts w:ascii="宋体" w:hAnsi="宋体" w:cs="宋体"/>
                <w:color w:val="auto"/>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2F4C25FE">
            <w:pPr>
              <w:widowControl/>
              <w:spacing w:line="360" w:lineRule="auto"/>
              <w:jc w:val="center"/>
              <w:rPr>
                <w:rFonts w:ascii="宋体" w:hAnsi="宋体" w:cs="宋体"/>
                <w:color w:val="auto"/>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151689FB">
            <w:pPr>
              <w:widowControl/>
              <w:spacing w:line="360" w:lineRule="auto"/>
              <w:jc w:val="center"/>
              <w:rPr>
                <w:rFonts w:ascii="宋体" w:hAnsi="宋体" w:cs="宋体"/>
                <w:color w:val="auto"/>
                <w:sz w:val="24"/>
              </w:rPr>
            </w:pPr>
          </w:p>
        </w:tc>
      </w:tr>
      <w:tr w14:paraId="28699815">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ACB6D9A">
            <w:pPr>
              <w:widowControl/>
              <w:spacing w:line="360" w:lineRule="auto"/>
              <w:jc w:val="center"/>
              <w:rPr>
                <w:rFonts w:ascii="宋体" w:hAnsi="宋体" w:cs="宋体"/>
                <w:bCs/>
                <w:color w:val="auto"/>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3789E461">
            <w:pPr>
              <w:widowControl/>
              <w:spacing w:line="360" w:lineRule="auto"/>
              <w:jc w:val="center"/>
              <w:rPr>
                <w:rFonts w:ascii="宋体" w:hAnsi="宋体" w:cs="宋体"/>
                <w:bCs/>
                <w:color w:val="auto"/>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0AC865B2">
            <w:pPr>
              <w:widowControl/>
              <w:spacing w:line="360" w:lineRule="auto"/>
              <w:jc w:val="center"/>
              <w:rPr>
                <w:rFonts w:ascii="宋体" w:hAnsi="宋体" w:cs="宋体"/>
                <w:bCs/>
                <w:color w:val="auto"/>
                <w:kern w:val="0"/>
                <w:sz w:val="24"/>
              </w:rPr>
            </w:pPr>
          </w:p>
        </w:tc>
        <w:tc>
          <w:tcPr>
            <w:tcW w:w="1351" w:type="dxa"/>
            <w:tcBorders>
              <w:top w:val="single" w:color="auto" w:sz="4" w:space="0"/>
              <w:left w:val="nil"/>
              <w:bottom w:val="single" w:color="auto" w:sz="4" w:space="0"/>
              <w:right w:val="single" w:color="auto" w:sz="4" w:space="0"/>
            </w:tcBorders>
            <w:vAlign w:val="center"/>
          </w:tcPr>
          <w:p w14:paraId="1769978A">
            <w:pPr>
              <w:widowControl/>
              <w:spacing w:line="360" w:lineRule="auto"/>
              <w:jc w:val="center"/>
              <w:rPr>
                <w:rFonts w:ascii="宋体" w:hAnsi="宋体" w:cs="宋体"/>
                <w:color w:val="auto"/>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3AB5C4BC">
            <w:pPr>
              <w:widowControl/>
              <w:spacing w:line="360" w:lineRule="auto"/>
              <w:jc w:val="center"/>
              <w:rPr>
                <w:rFonts w:ascii="宋体" w:hAnsi="宋体" w:cs="宋体"/>
                <w:color w:val="auto"/>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332ADEDE">
            <w:pPr>
              <w:widowControl/>
              <w:spacing w:line="360" w:lineRule="auto"/>
              <w:jc w:val="center"/>
              <w:rPr>
                <w:rFonts w:ascii="宋体" w:hAnsi="宋体" w:cs="宋体"/>
                <w:color w:val="auto"/>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074120B0">
            <w:pPr>
              <w:widowControl/>
              <w:spacing w:line="360" w:lineRule="auto"/>
              <w:jc w:val="center"/>
              <w:rPr>
                <w:rFonts w:ascii="宋体" w:hAnsi="宋体" w:cs="宋体"/>
                <w:color w:val="auto"/>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1174AE20">
            <w:pPr>
              <w:widowControl/>
              <w:spacing w:line="360" w:lineRule="auto"/>
              <w:jc w:val="center"/>
              <w:rPr>
                <w:rFonts w:ascii="宋体" w:hAnsi="宋体" w:cs="宋体"/>
                <w:color w:val="auto"/>
                <w:sz w:val="24"/>
              </w:rPr>
            </w:pPr>
          </w:p>
        </w:tc>
      </w:tr>
      <w:tr w14:paraId="2DFF6810">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55626D5">
            <w:pPr>
              <w:widowControl/>
              <w:spacing w:line="360" w:lineRule="auto"/>
              <w:jc w:val="center"/>
              <w:rPr>
                <w:rFonts w:ascii="宋体" w:hAnsi="宋体" w:cs="宋体"/>
                <w:bCs/>
                <w:color w:val="auto"/>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4984FC3E">
            <w:pPr>
              <w:widowControl/>
              <w:spacing w:line="360" w:lineRule="auto"/>
              <w:jc w:val="center"/>
              <w:rPr>
                <w:rFonts w:ascii="宋体" w:hAnsi="宋体" w:cs="宋体"/>
                <w:bCs/>
                <w:color w:val="auto"/>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7C7B5C7D">
            <w:pPr>
              <w:widowControl/>
              <w:spacing w:line="360" w:lineRule="auto"/>
              <w:jc w:val="center"/>
              <w:rPr>
                <w:rFonts w:ascii="宋体" w:hAnsi="宋体" w:cs="宋体"/>
                <w:bCs/>
                <w:color w:val="auto"/>
                <w:kern w:val="0"/>
                <w:sz w:val="24"/>
              </w:rPr>
            </w:pPr>
          </w:p>
        </w:tc>
        <w:tc>
          <w:tcPr>
            <w:tcW w:w="1351" w:type="dxa"/>
            <w:tcBorders>
              <w:top w:val="single" w:color="auto" w:sz="4" w:space="0"/>
              <w:left w:val="nil"/>
              <w:bottom w:val="single" w:color="auto" w:sz="4" w:space="0"/>
              <w:right w:val="single" w:color="auto" w:sz="4" w:space="0"/>
            </w:tcBorders>
            <w:vAlign w:val="center"/>
          </w:tcPr>
          <w:p w14:paraId="635E9D6A">
            <w:pPr>
              <w:widowControl/>
              <w:spacing w:line="360" w:lineRule="auto"/>
              <w:jc w:val="center"/>
              <w:rPr>
                <w:rFonts w:ascii="宋体" w:hAnsi="宋体" w:cs="宋体"/>
                <w:color w:val="auto"/>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1F860C66">
            <w:pPr>
              <w:widowControl/>
              <w:spacing w:line="360" w:lineRule="auto"/>
              <w:jc w:val="center"/>
              <w:rPr>
                <w:rFonts w:ascii="宋体" w:hAnsi="宋体" w:cs="宋体"/>
                <w:color w:val="auto"/>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2B349111">
            <w:pPr>
              <w:widowControl/>
              <w:spacing w:line="360" w:lineRule="auto"/>
              <w:jc w:val="center"/>
              <w:rPr>
                <w:rFonts w:ascii="宋体" w:hAnsi="宋体" w:cs="宋体"/>
                <w:color w:val="auto"/>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63169EA8">
            <w:pPr>
              <w:widowControl/>
              <w:spacing w:line="360" w:lineRule="auto"/>
              <w:jc w:val="center"/>
              <w:rPr>
                <w:rFonts w:ascii="宋体" w:hAnsi="宋体" w:cs="宋体"/>
                <w:color w:val="auto"/>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783CE354">
            <w:pPr>
              <w:widowControl/>
              <w:spacing w:line="360" w:lineRule="auto"/>
              <w:jc w:val="center"/>
              <w:rPr>
                <w:rFonts w:ascii="宋体" w:hAnsi="宋体" w:cs="宋体"/>
                <w:color w:val="auto"/>
                <w:sz w:val="24"/>
              </w:rPr>
            </w:pPr>
          </w:p>
        </w:tc>
      </w:tr>
      <w:tr w14:paraId="1F02A395">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3D0DF76">
            <w:pPr>
              <w:widowControl/>
              <w:spacing w:line="360" w:lineRule="auto"/>
              <w:jc w:val="center"/>
              <w:rPr>
                <w:rFonts w:ascii="宋体" w:hAnsi="宋体" w:cs="宋体"/>
                <w:bCs/>
                <w:color w:val="auto"/>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56E4CBBF">
            <w:pPr>
              <w:widowControl/>
              <w:spacing w:line="360" w:lineRule="auto"/>
              <w:jc w:val="center"/>
              <w:rPr>
                <w:rFonts w:ascii="宋体" w:hAnsi="宋体" w:cs="宋体"/>
                <w:bCs/>
                <w:color w:val="auto"/>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496DFA9B">
            <w:pPr>
              <w:widowControl/>
              <w:spacing w:line="360" w:lineRule="auto"/>
              <w:jc w:val="center"/>
              <w:rPr>
                <w:rFonts w:ascii="宋体" w:hAnsi="宋体" w:cs="宋体"/>
                <w:bCs/>
                <w:color w:val="auto"/>
                <w:kern w:val="0"/>
                <w:sz w:val="24"/>
              </w:rPr>
            </w:pPr>
          </w:p>
        </w:tc>
        <w:tc>
          <w:tcPr>
            <w:tcW w:w="1351" w:type="dxa"/>
            <w:tcBorders>
              <w:top w:val="single" w:color="auto" w:sz="4" w:space="0"/>
              <w:left w:val="nil"/>
              <w:bottom w:val="single" w:color="auto" w:sz="4" w:space="0"/>
              <w:right w:val="single" w:color="auto" w:sz="4" w:space="0"/>
            </w:tcBorders>
            <w:vAlign w:val="center"/>
          </w:tcPr>
          <w:p w14:paraId="537F52C4">
            <w:pPr>
              <w:widowControl/>
              <w:spacing w:line="360" w:lineRule="auto"/>
              <w:jc w:val="center"/>
              <w:rPr>
                <w:rFonts w:ascii="宋体" w:hAnsi="宋体" w:cs="宋体"/>
                <w:color w:val="auto"/>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7135EB37">
            <w:pPr>
              <w:widowControl/>
              <w:spacing w:line="360" w:lineRule="auto"/>
              <w:jc w:val="center"/>
              <w:rPr>
                <w:rFonts w:ascii="宋体" w:hAnsi="宋体" w:cs="宋体"/>
                <w:color w:val="auto"/>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188EF808">
            <w:pPr>
              <w:widowControl/>
              <w:spacing w:line="360" w:lineRule="auto"/>
              <w:jc w:val="center"/>
              <w:rPr>
                <w:rFonts w:ascii="宋体" w:hAnsi="宋体" w:cs="宋体"/>
                <w:color w:val="auto"/>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336A83F6">
            <w:pPr>
              <w:widowControl/>
              <w:spacing w:line="360" w:lineRule="auto"/>
              <w:jc w:val="center"/>
              <w:rPr>
                <w:rFonts w:ascii="宋体" w:hAnsi="宋体" w:cs="宋体"/>
                <w:color w:val="auto"/>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4A094D03">
            <w:pPr>
              <w:widowControl/>
              <w:spacing w:line="360" w:lineRule="auto"/>
              <w:jc w:val="center"/>
              <w:rPr>
                <w:rFonts w:ascii="宋体" w:hAnsi="宋体" w:cs="宋体"/>
                <w:color w:val="auto"/>
                <w:sz w:val="24"/>
              </w:rPr>
            </w:pPr>
          </w:p>
        </w:tc>
      </w:tr>
      <w:tr w14:paraId="1365A36B">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213605E">
            <w:pPr>
              <w:widowControl/>
              <w:spacing w:line="360" w:lineRule="auto"/>
              <w:jc w:val="center"/>
              <w:rPr>
                <w:rFonts w:ascii="宋体" w:hAnsi="宋体" w:cs="宋体"/>
                <w:bCs/>
                <w:color w:val="auto"/>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5DF06296">
            <w:pPr>
              <w:widowControl/>
              <w:spacing w:line="360" w:lineRule="auto"/>
              <w:jc w:val="center"/>
              <w:rPr>
                <w:rFonts w:ascii="宋体" w:hAnsi="宋体" w:cs="宋体"/>
                <w:bCs/>
                <w:color w:val="auto"/>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38CF48F1">
            <w:pPr>
              <w:widowControl/>
              <w:spacing w:line="360" w:lineRule="auto"/>
              <w:jc w:val="center"/>
              <w:rPr>
                <w:rFonts w:ascii="宋体" w:hAnsi="宋体" w:cs="宋体"/>
                <w:bCs/>
                <w:color w:val="auto"/>
                <w:kern w:val="0"/>
                <w:sz w:val="24"/>
              </w:rPr>
            </w:pPr>
          </w:p>
        </w:tc>
        <w:tc>
          <w:tcPr>
            <w:tcW w:w="1351" w:type="dxa"/>
            <w:tcBorders>
              <w:top w:val="single" w:color="auto" w:sz="4" w:space="0"/>
              <w:left w:val="nil"/>
              <w:bottom w:val="single" w:color="auto" w:sz="4" w:space="0"/>
              <w:right w:val="single" w:color="auto" w:sz="4" w:space="0"/>
            </w:tcBorders>
            <w:vAlign w:val="center"/>
          </w:tcPr>
          <w:p w14:paraId="10FD7A68">
            <w:pPr>
              <w:widowControl/>
              <w:spacing w:line="360" w:lineRule="auto"/>
              <w:jc w:val="center"/>
              <w:rPr>
                <w:rFonts w:ascii="宋体" w:hAnsi="宋体" w:cs="宋体"/>
                <w:color w:val="auto"/>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62013169">
            <w:pPr>
              <w:widowControl/>
              <w:spacing w:line="360" w:lineRule="auto"/>
              <w:jc w:val="center"/>
              <w:rPr>
                <w:rFonts w:ascii="宋体" w:hAnsi="宋体" w:cs="宋体"/>
                <w:color w:val="auto"/>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5466B188">
            <w:pPr>
              <w:widowControl/>
              <w:spacing w:line="360" w:lineRule="auto"/>
              <w:jc w:val="center"/>
              <w:rPr>
                <w:rFonts w:ascii="宋体" w:hAnsi="宋体" w:cs="宋体"/>
                <w:color w:val="auto"/>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1E4C1B34">
            <w:pPr>
              <w:widowControl/>
              <w:spacing w:line="360" w:lineRule="auto"/>
              <w:jc w:val="center"/>
              <w:rPr>
                <w:rFonts w:ascii="宋体" w:hAnsi="宋体" w:cs="宋体"/>
                <w:color w:val="auto"/>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02FA9880">
            <w:pPr>
              <w:widowControl/>
              <w:spacing w:line="360" w:lineRule="auto"/>
              <w:jc w:val="center"/>
              <w:rPr>
                <w:rFonts w:ascii="宋体" w:hAnsi="宋体" w:cs="宋体"/>
                <w:color w:val="auto"/>
                <w:sz w:val="24"/>
              </w:rPr>
            </w:pPr>
          </w:p>
        </w:tc>
      </w:tr>
      <w:tr w14:paraId="50453430">
        <w:tblPrEx>
          <w:tblCellMar>
            <w:top w:w="0" w:type="dxa"/>
            <w:left w:w="108" w:type="dxa"/>
            <w:bottom w:w="0" w:type="dxa"/>
            <w:right w:w="108" w:type="dxa"/>
          </w:tblCellMar>
        </w:tblPrEx>
        <w:trPr>
          <w:trHeight w:val="590" w:hRule="atLeast"/>
          <w:jc w:val="center"/>
        </w:trPr>
        <w:tc>
          <w:tcPr>
            <w:tcW w:w="9329" w:type="dxa"/>
            <w:gridSpan w:val="10"/>
            <w:tcBorders>
              <w:top w:val="single" w:color="auto" w:sz="4" w:space="0"/>
              <w:left w:val="single" w:color="auto" w:sz="4" w:space="0"/>
              <w:bottom w:val="single" w:color="auto" w:sz="4" w:space="0"/>
              <w:right w:val="single" w:color="auto" w:sz="4" w:space="0"/>
            </w:tcBorders>
            <w:vAlign w:val="center"/>
          </w:tcPr>
          <w:p w14:paraId="69FFF1B8">
            <w:pPr>
              <w:widowControl/>
              <w:spacing w:line="360" w:lineRule="auto"/>
              <w:jc w:val="center"/>
              <w:rPr>
                <w:rFonts w:ascii="宋体" w:hAnsi="宋体" w:cs="宋体"/>
                <w:b/>
                <w:bCs/>
                <w:color w:val="auto"/>
                <w:kern w:val="0"/>
                <w:sz w:val="24"/>
              </w:rPr>
            </w:pPr>
            <w:r>
              <w:rPr>
                <w:rFonts w:hint="eastAsia" w:ascii="宋体" w:hAnsi="宋体" w:cs="宋体"/>
                <w:color w:val="auto"/>
                <w:kern w:val="0"/>
                <w:sz w:val="24"/>
              </w:rPr>
              <w:t>一致性检查验收情况</w:t>
            </w:r>
          </w:p>
        </w:tc>
      </w:tr>
      <w:tr w14:paraId="761A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shd w:val="clear" w:color="auto" w:fill="auto"/>
            <w:vAlign w:val="center"/>
          </w:tcPr>
          <w:p w14:paraId="69BD8EA6">
            <w:pPr>
              <w:spacing w:line="360" w:lineRule="auto"/>
              <w:jc w:val="center"/>
              <w:rPr>
                <w:rFonts w:ascii="宋体" w:hAnsi="宋体" w:cs="宋体"/>
                <w:color w:val="auto"/>
                <w:sz w:val="24"/>
              </w:rPr>
            </w:pPr>
            <w:r>
              <w:rPr>
                <w:rFonts w:hint="eastAsia" w:ascii="宋体" w:hAnsi="宋体" w:cs="宋体"/>
                <w:color w:val="auto"/>
                <w:sz w:val="24"/>
              </w:rPr>
              <w:t>序号</w:t>
            </w:r>
          </w:p>
        </w:tc>
        <w:tc>
          <w:tcPr>
            <w:tcW w:w="2582" w:type="dxa"/>
            <w:gridSpan w:val="2"/>
            <w:shd w:val="clear" w:color="auto" w:fill="FFFFFF"/>
            <w:vAlign w:val="center"/>
          </w:tcPr>
          <w:p w14:paraId="054764F5">
            <w:pPr>
              <w:spacing w:line="360" w:lineRule="auto"/>
              <w:jc w:val="center"/>
              <w:rPr>
                <w:rFonts w:ascii="宋体" w:hAnsi="宋体" w:cs="宋体"/>
                <w:color w:val="auto"/>
                <w:sz w:val="24"/>
              </w:rPr>
            </w:pPr>
            <w:r>
              <w:rPr>
                <w:rFonts w:hint="eastAsia" w:ascii="宋体" w:hAnsi="宋体" w:cs="宋体"/>
                <w:color w:val="auto"/>
                <w:sz w:val="24"/>
              </w:rPr>
              <w:t>检查内容</w:t>
            </w:r>
          </w:p>
        </w:tc>
        <w:tc>
          <w:tcPr>
            <w:tcW w:w="3791" w:type="dxa"/>
            <w:gridSpan w:val="5"/>
            <w:shd w:val="clear" w:color="auto" w:fill="FFFFFF"/>
            <w:vAlign w:val="center"/>
          </w:tcPr>
          <w:p w14:paraId="04D2DAFF">
            <w:pPr>
              <w:spacing w:line="360" w:lineRule="auto"/>
              <w:jc w:val="center"/>
              <w:rPr>
                <w:rFonts w:ascii="宋体" w:hAnsi="宋体" w:cs="宋体"/>
                <w:color w:val="auto"/>
                <w:sz w:val="24"/>
              </w:rPr>
            </w:pPr>
            <w:r>
              <w:rPr>
                <w:rFonts w:hint="eastAsia" w:ascii="宋体" w:hAnsi="宋体" w:cs="宋体"/>
                <w:color w:val="auto"/>
                <w:sz w:val="24"/>
              </w:rPr>
              <w:t>检查情况</w:t>
            </w:r>
          </w:p>
        </w:tc>
        <w:tc>
          <w:tcPr>
            <w:tcW w:w="2202" w:type="dxa"/>
            <w:gridSpan w:val="2"/>
            <w:vAlign w:val="center"/>
          </w:tcPr>
          <w:p w14:paraId="2D49AC06">
            <w:pPr>
              <w:spacing w:line="360" w:lineRule="auto"/>
              <w:jc w:val="center"/>
              <w:rPr>
                <w:rFonts w:ascii="宋体" w:hAnsi="宋体" w:cs="宋体"/>
                <w:color w:val="auto"/>
                <w:sz w:val="24"/>
              </w:rPr>
            </w:pPr>
            <w:r>
              <w:rPr>
                <w:rFonts w:hint="eastAsia" w:ascii="宋体" w:hAnsi="宋体" w:cs="宋体"/>
                <w:color w:val="auto"/>
                <w:sz w:val="24"/>
              </w:rPr>
              <w:t>是否合格</w:t>
            </w:r>
          </w:p>
        </w:tc>
      </w:tr>
      <w:tr w14:paraId="59CC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6795DC3C">
            <w:pPr>
              <w:spacing w:line="360" w:lineRule="auto"/>
              <w:jc w:val="center"/>
              <w:rPr>
                <w:rFonts w:ascii="宋体" w:hAnsi="宋体" w:cs="宋体"/>
                <w:color w:val="auto"/>
                <w:sz w:val="24"/>
              </w:rPr>
            </w:pPr>
            <w:r>
              <w:rPr>
                <w:rFonts w:hint="eastAsia" w:ascii="宋体" w:hAnsi="宋体" w:cs="宋体"/>
                <w:color w:val="auto"/>
                <w:sz w:val="24"/>
              </w:rPr>
              <w:t>1</w:t>
            </w:r>
          </w:p>
        </w:tc>
        <w:tc>
          <w:tcPr>
            <w:tcW w:w="2582" w:type="dxa"/>
            <w:gridSpan w:val="2"/>
            <w:vAlign w:val="center"/>
          </w:tcPr>
          <w:p w14:paraId="4864E137">
            <w:pPr>
              <w:spacing w:line="360" w:lineRule="auto"/>
              <w:rPr>
                <w:rFonts w:ascii="宋体" w:hAnsi="宋体" w:cs="宋体"/>
                <w:color w:val="auto"/>
                <w:sz w:val="24"/>
              </w:rPr>
            </w:pPr>
            <w:r>
              <w:rPr>
                <w:rFonts w:hint="eastAsia" w:ascii="宋体" w:hAnsi="宋体" w:cs="宋体"/>
                <w:color w:val="auto"/>
                <w:sz w:val="24"/>
              </w:rPr>
              <w:t>资料审查:...</w:t>
            </w:r>
          </w:p>
        </w:tc>
        <w:tc>
          <w:tcPr>
            <w:tcW w:w="3791" w:type="dxa"/>
            <w:gridSpan w:val="5"/>
            <w:vAlign w:val="center"/>
          </w:tcPr>
          <w:p w14:paraId="72C73850">
            <w:pPr>
              <w:spacing w:line="360" w:lineRule="auto"/>
              <w:rPr>
                <w:rFonts w:ascii="宋体" w:hAnsi="宋体" w:cs="宋体"/>
                <w:color w:val="auto"/>
                <w:sz w:val="24"/>
              </w:rPr>
            </w:pPr>
          </w:p>
        </w:tc>
        <w:tc>
          <w:tcPr>
            <w:tcW w:w="2202" w:type="dxa"/>
            <w:gridSpan w:val="2"/>
            <w:vAlign w:val="center"/>
          </w:tcPr>
          <w:p w14:paraId="1A2BBA29">
            <w:pPr>
              <w:spacing w:line="360" w:lineRule="auto"/>
              <w:jc w:val="center"/>
              <w:rPr>
                <w:rFonts w:ascii="宋体" w:hAnsi="宋体" w:cs="宋体"/>
                <w:color w:val="auto"/>
                <w:sz w:val="24"/>
              </w:rPr>
            </w:pPr>
          </w:p>
        </w:tc>
      </w:tr>
      <w:tr w14:paraId="3F6E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485C8FFE">
            <w:pPr>
              <w:spacing w:line="360" w:lineRule="auto"/>
              <w:jc w:val="center"/>
              <w:rPr>
                <w:rFonts w:ascii="宋体" w:hAnsi="宋体" w:cs="宋体"/>
                <w:color w:val="auto"/>
                <w:sz w:val="24"/>
              </w:rPr>
            </w:pPr>
            <w:r>
              <w:rPr>
                <w:rFonts w:hint="eastAsia" w:ascii="宋体" w:hAnsi="宋体" w:cs="宋体"/>
                <w:color w:val="auto"/>
                <w:sz w:val="24"/>
              </w:rPr>
              <w:t>2</w:t>
            </w:r>
          </w:p>
        </w:tc>
        <w:tc>
          <w:tcPr>
            <w:tcW w:w="2582" w:type="dxa"/>
            <w:gridSpan w:val="2"/>
            <w:vAlign w:val="center"/>
          </w:tcPr>
          <w:p w14:paraId="15F6778C">
            <w:pPr>
              <w:spacing w:line="360" w:lineRule="auto"/>
              <w:rPr>
                <w:rFonts w:ascii="宋体" w:hAnsi="宋体" w:cs="宋体"/>
                <w:color w:val="auto"/>
                <w:sz w:val="24"/>
              </w:rPr>
            </w:pPr>
            <w:r>
              <w:rPr>
                <w:rFonts w:hint="eastAsia" w:ascii="宋体" w:hAnsi="宋体" w:cs="宋体"/>
                <w:color w:val="auto"/>
                <w:sz w:val="24"/>
              </w:rPr>
              <w:t>数量外观检查:...</w:t>
            </w:r>
          </w:p>
        </w:tc>
        <w:tc>
          <w:tcPr>
            <w:tcW w:w="3791" w:type="dxa"/>
            <w:gridSpan w:val="5"/>
            <w:vAlign w:val="center"/>
          </w:tcPr>
          <w:p w14:paraId="7A547755">
            <w:pPr>
              <w:spacing w:line="360" w:lineRule="auto"/>
              <w:rPr>
                <w:rFonts w:ascii="宋体" w:hAnsi="宋体" w:cs="宋体"/>
                <w:color w:val="auto"/>
                <w:sz w:val="24"/>
              </w:rPr>
            </w:pPr>
          </w:p>
        </w:tc>
        <w:tc>
          <w:tcPr>
            <w:tcW w:w="2202" w:type="dxa"/>
            <w:gridSpan w:val="2"/>
            <w:vAlign w:val="center"/>
          </w:tcPr>
          <w:p w14:paraId="0B9DA640">
            <w:pPr>
              <w:spacing w:line="360" w:lineRule="auto"/>
              <w:jc w:val="center"/>
              <w:rPr>
                <w:rFonts w:ascii="宋体" w:hAnsi="宋体" w:cs="宋体"/>
                <w:color w:val="auto"/>
                <w:sz w:val="24"/>
              </w:rPr>
            </w:pPr>
          </w:p>
        </w:tc>
      </w:tr>
      <w:tr w14:paraId="1C04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2C6900D8">
            <w:pPr>
              <w:spacing w:line="360" w:lineRule="auto"/>
              <w:jc w:val="center"/>
              <w:rPr>
                <w:rFonts w:ascii="宋体" w:hAnsi="宋体" w:cs="宋体"/>
                <w:color w:val="auto"/>
                <w:sz w:val="24"/>
              </w:rPr>
            </w:pPr>
            <w:r>
              <w:rPr>
                <w:rFonts w:hint="eastAsia" w:ascii="宋体" w:hAnsi="宋体" w:cs="宋体"/>
                <w:color w:val="auto"/>
                <w:sz w:val="24"/>
              </w:rPr>
              <w:t>3</w:t>
            </w:r>
          </w:p>
        </w:tc>
        <w:tc>
          <w:tcPr>
            <w:tcW w:w="2582" w:type="dxa"/>
            <w:gridSpan w:val="2"/>
            <w:vAlign w:val="center"/>
          </w:tcPr>
          <w:p w14:paraId="680AC9CF">
            <w:pPr>
              <w:spacing w:line="360" w:lineRule="auto"/>
              <w:rPr>
                <w:rFonts w:ascii="宋体" w:hAnsi="宋体" w:cs="宋体"/>
                <w:color w:val="auto"/>
                <w:sz w:val="24"/>
              </w:rPr>
            </w:pPr>
            <w:r>
              <w:rPr>
                <w:rFonts w:hint="eastAsia" w:ascii="宋体" w:hAnsi="宋体" w:cs="宋体"/>
                <w:color w:val="auto"/>
                <w:sz w:val="24"/>
              </w:rPr>
              <w:t>主要部件检查:...</w:t>
            </w:r>
          </w:p>
        </w:tc>
        <w:tc>
          <w:tcPr>
            <w:tcW w:w="3791" w:type="dxa"/>
            <w:gridSpan w:val="5"/>
            <w:vAlign w:val="center"/>
          </w:tcPr>
          <w:p w14:paraId="1AB67C96">
            <w:pPr>
              <w:spacing w:line="360" w:lineRule="auto"/>
              <w:rPr>
                <w:rFonts w:ascii="宋体" w:hAnsi="宋体" w:cs="宋体"/>
                <w:color w:val="auto"/>
                <w:sz w:val="24"/>
              </w:rPr>
            </w:pPr>
          </w:p>
        </w:tc>
        <w:tc>
          <w:tcPr>
            <w:tcW w:w="2202" w:type="dxa"/>
            <w:gridSpan w:val="2"/>
            <w:vAlign w:val="center"/>
          </w:tcPr>
          <w:p w14:paraId="17EDB3AE">
            <w:pPr>
              <w:spacing w:line="360" w:lineRule="auto"/>
              <w:rPr>
                <w:rFonts w:ascii="宋体" w:hAnsi="宋体" w:cs="宋体"/>
                <w:color w:val="auto"/>
                <w:sz w:val="24"/>
              </w:rPr>
            </w:pPr>
          </w:p>
        </w:tc>
      </w:tr>
      <w:tr w14:paraId="1868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3CA09601">
            <w:pPr>
              <w:spacing w:line="360" w:lineRule="auto"/>
              <w:jc w:val="center"/>
              <w:rPr>
                <w:rFonts w:ascii="宋体" w:hAnsi="宋体" w:cs="宋体"/>
                <w:color w:val="auto"/>
                <w:sz w:val="24"/>
              </w:rPr>
            </w:pPr>
            <w:r>
              <w:rPr>
                <w:rFonts w:hint="eastAsia" w:ascii="宋体" w:hAnsi="宋体" w:cs="宋体"/>
                <w:color w:val="auto"/>
                <w:sz w:val="24"/>
              </w:rPr>
              <w:t>4</w:t>
            </w:r>
          </w:p>
        </w:tc>
        <w:tc>
          <w:tcPr>
            <w:tcW w:w="2582" w:type="dxa"/>
            <w:gridSpan w:val="2"/>
            <w:vAlign w:val="center"/>
          </w:tcPr>
          <w:p w14:paraId="408A9AAE">
            <w:pPr>
              <w:spacing w:line="360" w:lineRule="auto"/>
              <w:rPr>
                <w:rFonts w:ascii="宋体" w:hAnsi="宋体" w:cs="宋体"/>
                <w:color w:val="auto"/>
                <w:sz w:val="24"/>
                <w:u w:val="single"/>
              </w:rPr>
            </w:pPr>
            <w:r>
              <w:rPr>
                <w:rFonts w:hint="eastAsia" w:ascii="宋体" w:hAnsi="宋体" w:cs="宋体"/>
                <w:color w:val="auto"/>
                <w:sz w:val="24"/>
              </w:rPr>
              <w:t>履约时间核查...</w:t>
            </w:r>
          </w:p>
        </w:tc>
        <w:tc>
          <w:tcPr>
            <w:tcW w:w="3791" w:type="dxa"/>
            <w:gridSpan w:val="5"/>
            <w:vAlign w:val="center"/>
          </w:tcPr>
          <w:p w14:paraId="366FD622">
            <w:pPr>
              <w:spacing w:line="360" w:lineRule="auto"/>
              <w:rPr>
                <w:rFonts w:ascii="宋体" w:hAnsi="宋体" w:cs="宋体"/>
                <w:color w:val="auto"/>
                <w:sz w:val="24"/>
              </w:rPr>
            </w:pPr>
          </w:p>
        </w:tc>
        <w:tc>
          <w:tcPr>
            <w:tcW w:w="2202" w:type="dxa"/>
            <w:gridSpan w:val="2"/>
            <w:vAlign w:val="center"/>
          </w:tcPr>
          <w:p w14:paraId="154DE641">
            <w:pPr>
              <w:spacing w:line="360" w:lineRule="auto"/>
              <w:rPr>
                <w:rFonts w:ascii="宋体" w:hAnsi="宋体" w:cs="宋体"/>
                <w:color w:val="auto"/>
                <w:sz w:val="24"/>
              </w:rPr>
            </w:pPr>
          </w:p>
        </w:tc>
      </w:tr>
      <w:tr w14:paraId="0CE9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0A3CC43A">
            <w:pPr>
              <w:spacing w:line="360" w:lineRule="auto"/>
              <w:jc w:val="center"/>
              <w:rPr>
                <w:rFonts w:ascii="宋体" w:hAnsi="宋体" w:cs="宋体"/>
                <w:color w:val="auto"/>
                <w:sz w:val="24"/>
              </w:rPr>
            </w:pPr>
            <w:r>
              <w:rPr>
                <w:rFonts w:hint="eastAsia" w:ascii="宋体" w:hAnsi="宋体" w:cs="宋体"/>
                <w:color w:val="auto"/>
                <w:sz w:val="24"/>
              </w:rPr>
              <w:t>5</w:t>
            </w:r>
          </w:p>
        </w:tc>
        <w:tc>
          <w:tcPr>
            <w:tcW w:w="2582" w:type="dxa"/>
            <w:gridSpan w:val="2"/>
            <w:vAlign w:val="center"/>
          </w:tcPr>
          <w:p w14:paraId="1384A7D9">
            <w:pPr>
              <w:spacing w:line="360" w:lineRule="auto"/>
              <w:rPr>
                <w:rFonts w:ascii="宋体" w:hAnsi="宋体" w:cs="宋体"/>
                <w:bCs/>
                <w:color w:val="auto"/>
                <w:kern w:val="0"/>
                <w:sz w:val="24"/>
              </w:rPr>
            </w:pPr>
            <w:r>
              <w:rPr>
                <w:rFonts w:hint="eastAsia" w:ascii="宋体" w:hAnsi="宋体" w:cs="宋体"/>
                <w:bCs/>
                <w:color w:val="auto"/>
                <w:kern w:val="0"/>
                <w:sz w:val="24"/>
              </w:rPr>
              <w:t>其他</w:t>
            </w:r>
            <w:r>
              <w:rPr>
                <w:rFonts w:hint="eastAsia" w:ascii="宋体" w:hAnsi="宋体" w:cs="宋体"/>
                <w:color w:val="auto"/>
                <w:sz w:val="24"/>
              </w:rPr>
              <w:t>...</w:t>
            </w:r>
          </w:p>
        </w:tc>
        <w:tc>
          <w:tcPr>
            <w:tcW w:w="3791" w:type="dxa"/>
            <w:gridSpan w:val="5"/>
            <w:vAlign w:val="center"/>
          </w:tcPr>
          <w:p w14:paraId="73F550CF">
            <w:pPr>
              <w:spacing w:line="360" w:lineRule="auto"/>
              <w:rPr>
                <w:rFonts w:ascii="宋体" w:hAnsi="宋体" w:cs="宋体"/>
                <w:color w:val="auto"/>
                <w:sz w:val="24"/>
              </w:rPr>
            </w:pPr>
          </w:p>
        </w:tc>
        <w:tc>
          <w:tcPr>
            <w:tcW w:w="2202" w:type="dxa"/>
            <w:gridSpan w:val="2"/>
            <w:vAlign w:val="center"/>
          </w:tcPr>
          <w:p w14:paraId="40AFB076">
            <w:pPr>
              <w:spacing w:line="360" w:lineRule="auto"/>
              <w:rPr>
                <w:rFonts w:ascii="宋体" w:hAnsi="宋体" w:cs="宋体"/>
                <w:color w:val="auto"/>
                <w:sz w:val="24"/>
              </w:rPr>
            </w:pPr>
          </w:p>
        </w:tc>
      </w:tr>
      <w:tr w14:paraId="0CFB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29" w:type="dxa"/>
            <w:gridSpan w:val="10"/>
            <w:vAlign w:val="center"/>
          </w:tcPr>
          <w:p w14:paraId="0840E985">
            <w:pPr>
              <w:widowControl/>
              <w:spacing w:line="360" w:lineRule="auto"/>
              <w:jc w:val="center"/>
              <w:rPr>
                <w:rFonts w:ascii="宋体" w:hAnsi="宋体" w:cs="宋体"/>
                <w:b/>
                <w:bCs/>
                <w:color w:val="auto"/>
                <w:kern w:val="0"/>
                <w:sz w:val="24"/>
              </w:rPr>
            </w:pPr>
            <w:r>
              <w:rPr>
                <w:rFonts w:hint="eastAsia" w:ascii="宋体" w:hAnsi="宋体" w:cs="宋体"/>
                <w:color w:val="auto"/>
                <w:kern w:val="0"/>
                <w:sz w:val="24"/>
              </w:rPr>
              <w:t>质量性能测试验收情况</w:t>
            </w:r>
          </w:p>
        </w:tc>
      </w:tr>
      <w:tr w14:paraId="551F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2E2C15AC">
            <w:pPr>
              <w:spacing w:line="360" w:lineRule="auto"/>
              <w:jc w:val="center"/>
              <w:rPr>
                <w:rFonts w:ascii="宋体" w:hAnsi="宋体" w:cs="宋体"/>
                <w:color w:val="auto"/>
                <w:sz w:val="24"/>
              </w:rPr>
            </w:pPr>
            <w:r>
              <w:rPr>
                <w:rFonts w:hint="eastAsia" w:ascii="宋体" w:hAnsi="宋体" w:cs="宋体"/>
                <w:color w:val="auto"/>
                <w:sz w:val="24"/>
              </w:rPr>
              <w:t>序号</w:t>
            </w:r>
          </w:p>
        </w:tc>
        <w:tc>
          <w:tcPr>
            <w:tcW w:w="2582" w:type="dxa"/>
            <w:gridSpan w:val="2"/>
            <w:vAlign w:val="center"/>
          </w:tcPr>
          <w:p w14:paraId="77D3C8B4">
            <w:pPr>
              <w:spacing w:line="360" w:lineRule="auto"/>
              <w:jc w:val="center"/>
              <w:rPr>
                <w:rFonts w:ascii="宋体" w:hAnsi="宋体" w:cs="宋体"/>
                <w:color w:val="auto"/>
                <w:sz w:val="24"/>
              </w:rPr>
            </w:pPr>
            <w:r>
              <w:rPr>
                <w:rFonts w:hint="eastAsia" w:ascii="宋体" w:hAnsi="宋体" w:cs="宋体"/>
                <w:color w:val="auto"/>
                <w:sz w:val="24"/>
              </w:rPr>
              <w:t>测试内容</w:t>
            </w:r>
          </w:p>
        </w:tc>
        <w:tc>
          <w:tcPr>
            <w:tcW w:w="3791" w:type="dxa"/>
            <w:gridSpan w:val="5"/>
            <w:vAlign w:val="center"/>
          </w:tcPr>
          <w:p w14:paraId="6FBDCD5B">
            <w:pPr>
              <w:spacing w:line="360" w:lineRule="auto"/>
              <w:jc w:val="center"/>
              <w:rPr>
                <w:rFonts w:ascii="宋体" w:hAnsi="宋体" w:cs="宋体"/>
                <w:color w:val="auto"/>
                <w:sz w:val="24"/>
              </w:rPr>
            </w:pPr>
            <w:r>
              <w:rPr>
                <w:rFonts w:hint="eastAsia" w:ascii="宋体" w:hAnsi="宋体" w:cs="宋体"/>
                <w:color w:val="auto"/>
                <w:sz w:val="24"/>
              </w:rPr>
              <w:t>测试情况</w:t>
            </w:r>
          </w:p>
        </w:tc>
        <w:tc>
          <w:tcPr>
            <w:tcW w:w="2202" w:type="dxa"/>
            <w:gridSpan w:val="2"/>
            <w:vAlign w:val="center"/>
          </w:tcPr>
          <w:p w14:paraId="691B4C3C">
            <w:pPr>
              <w:spacing w:line="360" w:lineRule="auto"/>
              <w:jc w:val="center"/>
              <w:rPr>
                <w:rFonts w:ascii="宋体" w:hAnsi="宋体" w:cs="宋体"/>
                <w:color w:val="auto"/>
                <w:sz w:val="24"/>
              </w:rPr>
            </w:pPr>
            <w:r>
              <w:rPr>
                <w:rFonts w:hint="eastAsia" w:ascii="宋体" w:hAnsi="宋体" w:cs="宋体"/>
                <w:color w:val="auto"/>
                <w:sz w:val="24"/>
              </w:rPr>
              <w:t>是否合格</w:t>
            </w:r>
          </w:p>
        </w:tc>
      </w:tr>
      <w:tr w14:paraId="4DAD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4489818F">
            <w:pPr>
              <w:spacing w:line="360" w:lineRule="auto"/>
              <w:jc w:val="center"/>
              <w:rPr>
                <w:rFonts w:ascii="宋体" w:hAnsi="宋体" w:cs="宋体"/>
                <w:color w:val="auto"/>
                <w:sz w:val="24"/>
              </w:rPr>
            </w:pPr>
            <w:r>
              <w:rPr>
                <w:rFonts w:hint="eastAsia" w:ascii="宋体" w:hAnsi="宋体" w:cs="宋体"/>
                <w:color w:val="auto"/>
                <w:sz w:val="24"/>
              </w:rPr>
              <w:t xml:space="preserve">1 </w:t>
            </w:r>
          </w:p>
        </w:tc>
        <w:tc>
          <w:tcPr>
            <w:tcW w:w="2582" w:type="dxa"/>
            <w:gridSpan w:val="2"/>
            <w:vAlign w:val="center"/>
          </w:tcPr>
          <w:p w14:paraId="6AEDCCFC">
            <w:pPr>
              <w:spacing w:line="360" w:lineRule="auto"/>
              <w:rPr>
                <w:rFonts w:ascii="宋体" w:hAnsi="宋体" w:cs="宋体"/>
                <w:color w:val="auto"/>
                <w:sz w:val="24"/>
              </w:rPr>
            </w:pPr>
          </w:p>
        </w:tc>
        <w:tc>
          <w:tcPr>
            <w:tcW w:w="3791" w:type="dxa"/>
            <w:gridSpan w:val="5"/>
            <w:vAlign w:val="center"/>
          </w:tcPr>
          <w:p w14:paraId="6815A992">
            <w:pPr>
              <w:spacing w:line="360" w:lineRule="auto"/>
              <w:rPr>
                <w:rFonts w:ascii="宋体" w:hAnsi="宋体" w:cs="宋体"/>
                <w:color w:val="auto"/>
                <w:sz w:val="24"/>
              </w:rPr>
            </w:pPr>
          </w:p>
        </w:tc>
        <w:tc>
          <w:tcPr>
            <w:tcW w:w="2202" w:type="dxa"/>
            <w:gridSpan w:val="2"/>
            <w:vAlign w:val="center"/>
          </w:tcPr>
          <w:p w14:paraId="30B7E0D4">
            <w:pPr>
              <w:spacing w:line="360" w:lineRule="auto"/>
              <w:rPr>
                <w:rFonts w:ascii="宋体" w:hAnsi="宋体" w:cs="宋体"/>
                <w:color w:val="auto"/>
                <w:sz w:val="24"/>
              </w:rPr>
            </w:pPr>
          </w:p>
        </w:tc>
      </w:tr>
      <w:tr w14:paraId="624F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14C81ABF">
            <w:pPr>
              <w:spacing w:line="360" w:lineRule="auto"/>
              <w:jc w:val="center"/>
              <w:rPr>
                <w:rFonts w:ascii="宋体" w:hAnsi="宋体" w:cs="宋体"/>
                <w:color w:val="auto"/>
                <w:sz w:val="24"/>
              </w:rPr>
            </w:pPr>
            <w:r>
              <w:rPr>
                <w:rFonts w:hint="eastAsia" w:ascii="宋体" w:hAnsi="宋体" w:cs="宋体"/>
                <w:color w:val="auto"/>
                <w:sz w:val="24"/>
              </w:rPr>
              <w:t>2</w:t>
            </w:r>
          </w:p>
        </w:tc>
        <w:tc>
          <w:tcPr>
            <w:tcW w:w="2582" w:type="dxa"/>
            <w:gridSpan w:val="2"/>
            <w:vAlign w:val="center"/>
          </w:tcPr>
          <w:p w14:paraId="23C6DE49">
            <w:pPr>
              <w:spacing w:line="360" w:lineRule="auto"/>
              <w:rPr>
                <w:rFonts w:ascii="宋体" w:hAnsi="宋体" w:cs="宋体"/>
                <w:color w:val="auto"/>
                <w:sz w:val="24"/>
              </w:rPr>
            </w:pPr>
          </w:p>
        </w:tc>
        <w:tc>
          <w:tcPr>
            <w:tcW w:w="3791" w:type="dxa"/>
            <w:gridSpan w:val="5"/>
            <w:vAlign w:val="center"/>
          </w:tcPr>
          <w:p w14:paraId="3E8603D0">
            <w:pPr>
              <w:spacing w:line="360" w:lineRule="auto"/>
              <w:rPr>
                <w:rFonts w:ascii="宋体" w:hAnsi="宋体" w:cs="宋体"/>
                <w:color w:val="auto"/>
                <w:sz w:val="24"/>
              </w:rPr>
            </w:pPr>
          </w:p>
        </w:tc>
        <w:tc>
          <w:tcPr>
            <w:tcW w:w="2202" w:type="dxa"/>
            <w:gridSpan w:val="2"/>
            <w:vAlign w:val="center"/>
          </w:tcPr>
          <w:p w14:paraId="047CB010">
            <w:pPr>
              <w:spacing w:line="360" w:lineRule="auto"/>
              <w:rPr>
                <w:rFonts w:ascii="宋体" w:hAnsi="宋体" w:cs="宋体"/>
                <w:color w:val="auto"/>
                <w:sz w:val="24"/>
              </w:rPr>
            </w:pPr>
          </w:p>
        </w:tc>
      </w:tr>
      <w:tr w14:paraId="5131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29" w:type="dxa"/>
            <w:gridSpan w:val="10"/>
            <w:vAlign w:val="center"/>
          </w:tcPr>
          <w:p w14:paraId="701409F1">
            <w:pPr>
              <w:spacing w:line="360" w:lineRule="auto"/>
              <w:jc w:val="center"/>
              <w:rPr>
                <w:rFonts w:ascii="宋体" w:hAnsi="宋体" w:cs="宋体"/>
                <w:color w:val="auto"/>
                <w:sz w:val="24"/>
              </w:rPr>
            </w:pPr>
            <w:r>
              <w:rPr>
                <w:rFonts w:hint="eastAsia" w:ascii="宋体" w:hAnsi="宋体" w:cs="宋体"/>
                <w:b/>
                <w:bCs/>
                <w:color w:val="auto"/>
                <w:kern w:val="0"/>
                <w:sz w:val="24"/>
              </w:rPr>
              <w:t>其他验收情况</w:t>
            </w:r>
          </w:p>
        </w:tc>
      </w:tr>
      <w:tr w14:paraId="66BB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683CC78E">
            <w:pPr>
              <w:spacing w:line="360" w:lineRule="auto"/>
              <w:jc w:val="center"/>
              <w:rPr>
                <w:rFonts w:ascii="宋体" w:hAnsi="宋体" w:cs="宋体"/>
                <w:color w:val="auto"/>
                <w:sz w:val="24"/>
              </w:rPr>
            </w:pPr>
            <w:r>
              <w:rPr>
                <w:rFonts w:hint="eastAsia" w:ascii="宋体" w:hAnsi="宋体" w:cs="宋体"/>
                <w:color w:val="auto"/>
                <w:sz w:val="24"/>
              </w:rPr>
              <w:t>序号</w:t>
            </w:r>
          </w:p>
        </w:tc>
        <w:tc>
          <w:tcPr>
            <w:tcW w:w="2582" w:type="dxa"/>
            <w:gridSpan w:val="2"/>
            <w:vAlign w:val="center"/>
          </w:tcPr>
          <w:p w14:paraId="166122F3">
            <w:pPr>
              <w:spacing w:line="360" w:lineRule="auto"/>
              <w:jc w:val="center"/>
              <w:rPr>
                <w:rFonts w:ascii="宋体" w:hAnsi="宋体" w:cs="宋体"/>
                <w:color w:val="auto"/>
                <w:sz w:val="24"/>
              </w:rPr>
            </w:pPr>
            <w:r>
              <w:rPr>
                <w:rFonts w:hint="eastAsia" w:ascii="宋体" w:hAnsi="宋体" w:cs="宋体"/>
                <w:color w:val="auto"/>
                <w:sz w:val="24"/>
              </w:rPr>
              <w:t>检查内容</w:t>
            </w:r>
          </w:p>
        </w:tc>
        <w:tc>
          <w:tcPr>
            <w:tcW w:w="3791" w:type="dxa"/>
            <w:gridSpan w:val="5"/>
            <w:vAlign w:val="center"/>
          </w:tcPr>
          <w:p w14:paraId="161E10C8">
            <w:pPr>
              <w:spacing w:line="360" w:lineRule="auto"/>
              <w:jc w:val="center"/>
              <w:rPr>
                <w:rFonts w:ascii="宋体" w:hAnsi="宋体" w:cs="宋体"/>
                <w:color w:val="auto"/>
                <w:sz w:val="24"/>
              </w:rPr>
            </w:pPr>
            <w:r>
              <w:rPr>
                <w:rFonts w:hint="eastAsia" w:ascii="宋体" w:hAnsi="宋体" w:cs="宋体"/>
                <w:color w:val="auto"/>
                <w:sz w:val="24"/>
              </w:rPr>
              <w:t>检查情况</w:t>
            </w:r>
          </w:p>
        </w:tc>
        <w:tc>
          <w:tcPr>
            <w:tcW w:w="2202" w:type="dxa"/>
            <w:gridSpan w:val="2"/>
            <w:vAlign w:val="center"/>
          </w:tcPr>
          <w:p w14:paraId="44255B68">
            <w:pPr>
              <w:spacing w:line="360" w:lineRule="auto"/>
              <w:jc w:val="center"/>
              <w:rPr>
                <w:rFonts w:ascii="宋体" w:hAnsi="宋体" w:cs="宋体"/>
                <w:color w:val="auto"/>
                <w:sz w:val="24"/>
              </w:rPr>
            </w:pPr>
            <w:r>
              <w:rPr>
                <w:rFonts w:hint="eastAsia" w:ascii="宋体" w:hAnsi="宋体" w:cs="宋体"/>
                <w:color w:val="auto"/>
                <w:sz w:val="24"/>
              </w:rPr>
              <w:t>是否合格</w:t>
            </w:r>
          </w:p>
        </w:tc>
      </w:tr>
      <w:tr w14:paraId="0D78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502B0102">
            <w:pPr>
              <w:spacing w:line="360" w:lineRule="auto"/>
              <w:jc w:val="center"/>
              <w:rPr>
                <w:rFonts w:ascii="宋体" w:hAnsi="宋体" w:cs="宋体"/>
                <w:color w:val="auto"/>
                <w:sz w:val="24"/>
              </w:rPr>
            </w:pPr>
            <w:r>
              <w:rPr>
                <w:rFonts w:hint="eastAsia" w:ascii="宋体" w:hAnsi="宋体" w:cs="宋体"/>
                <w:color w:val="auto"/>
                <w:sz w:val="24"/>
              </w:rPr>
              <w:t>1</w:t>
            </w:r>
          </w:p>
        </w:tc>
        <w:tc>
          <w:tcPr>
            <w:tcW w:w="2582" w:type="dxa"/>
            <w:gridSpan w:val="2"/>
            <w:vAlign w:val="center"/>
          </w:tcPr>
          <w:p w14:paraId="1C42C5B7">
            <w:pPr>
              <w:spacing w:line="360" w:lineRule="auto"/>
              <w:ind w:firstLine="720" w:firstLineChars="300"/>
              <w:rPr>
                <w:rFonts w:ascii="宋体" w:hAnsi="宋体" w:cs="宋体"/>
                <w:color w:val="auto"/>
                <w:sz w:val="24"/>
              </w:rPr>
            </w:pPr>
          </w:p>
        </w:tc>
        <w:tc>
          <w:tcPr>
            <w:tcW w:w="3791" w:type="dxa"/>
            <w:gridSpan w:val="5"/>
            <w:vAlign w:val="center"/>
          </w:tcPr>
          <w:p w14:paraId="6426DC4A">
            <w:pPr>
              <w:spacing w:line="360" w:lineRule="auto"/>
              <w:rPr>
                <w:rFonts w:ascii="宋体" w:hAnsi="宋体" w:cs="宋体"/>
                <w:color w:val="auto"/>
                <w:sz w:val="24"/>
              </w:rPr>
            </w:pPr>
          </w:p>
        </w:tc>
        <w:tc>
          <w:tcPr>
            <w:tcW w:w="2202" w:type="dxa"/>
            <w:gridSpan w:val="2"/>
            <w:vAlign w:val="center"/>
          </w:tcPr>
          <w:p w14:paraId="57CD0758">
            <w:pPr>
              <w:spacing w:line="360" w:lineRule="auto"/>
              <w:rPr>
                <w:rFonts w:ascii="宋体" w:hAnsi="宋体" w:cs="宋体"/>
                <w:color w:val="auto"/>
                <w:sz w:val="24"/>
              </w:rPr>
            </w:pPr>
          </w:p>
        </w:tc>
      </w:tr>
      <w:tr w14:paraId="7942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6452883E">
            <w:pPr>
              <w:spacing w:line="360" w:lineRule="auto"/>
              <w:jc w:val="center"/>
              <w:rPr>
                <w:rFonts w:ascii="宋体" w:hAnsi="宋体" w:cs="宋体"/>
                <w:color w:val="auto"/>
                <w:sz w:val="24"/>
              </w:rPr>
            </w:pPr>
            <w:r>
              <w:rPr>
                <w:rFonts w:hint="eastAsia" w:ascii="宋体" w:hAnsi="宋体" w:cs="宋体"/>
                <w:color w:val="auto"/>
                <w:sz w:val="24"/>
              </w:rPr>
              <w:t>2</w:t>
            </w:r>
          </w:p>
        </w:tc>
        <w:tc>
          <w:tcPr>
            <w:tcW w:w="2582" w:type="dxa"/>
            <w:gridSpan w:val="2"/>
            <w:vAlign w:val="center"/>
          </w:tcPr>
          <w:p w14:paraId="4C8FF23D">
            <w:pPr>
              <w:spacing w:line="360" w:lineRule="auto"/>
              <w:rPr>
                <w:rFonts w:ascii="宋体" w:hAnsi="宋体" w:cs="宋体"/>
                <w:color w:val="auto"/>
                <w:sz w:val="24"/>
              </w:rPr>
            </w:pPr>
          </w:p>
        </w:tc>
        <w:tc>
          <w:tcPr>
            <w:tcW w:w="3791" w:type="dxa"/>
            <w:gridSpan w:val="5"/>
            <w:vAlign w:val="center"/>
          </w:tcPr>
          <w:p w14:paraId="0E53626C">
            <w:pPr>
              <w:spacing w:line="360" w:lineRule="auto"/>
              <w:rPr>
                <w:rFonts w:ascii="宋体" w:hAnsi="宋体" w:cs="宋体"/>
                <w:color w:val="auto"/>
                <w:sz w:val="24"/>
              </w:rPr>
            </w:pPr>
          </w:p>
        </w:tc>
        <w:tc>
          <w:tcPr>
            <w:tcW w:w="2202" w:type="dxa"/>
            <w:gridSpan w:val="2"/>
            <w:vAlign w:val="center"/>
          </w:tcPr>
          <w:p w14:paraId="3C8205D4">
            <w:pPr>
              <w:spacing w:line="360" w:lineRule="auto"/>
              <w:rPr>
                <w:rFonts w:ascii="宋体" w:hAnsi="宋体" w:cs="宋体"/>
                <w:color w:val="auto"/>
                <w:sz w:val="24"/>
              </w:rPr>
            </w:pPr>
          </w:p>
        </w:tc>
      </w:tr>
      <w:tr w14:paraId="7EDE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29" w:type="dxa"/>
            <w:gridSpan w:val="10"/>
            <w:vAlign w:val="center"/>
          </w:tcPr>
          <w:p w14:paraId="614D56D4">
            <w:pPr>
              <w:spacing w:line="360" w:lineRule="auto"/>
              <w:jc w:val="center"/>
              <w:rPr>
                <w:rFonts w:ascii="宋体" w:hAnsi="宋体" w:cs="宋体"/>
                <w:color w:val="auto"/>
                <w:sz w:val="24"/>
              </w:rPr>
            </w:pPr>
            <w:r>
              <w:rPr>
                <w:rFonts w:hint="eastAsia" w:ascii="宋体" w:hAnsi="宋体" w:cs="宋体"/>
                <w:b/>
                <w:bCs/>
                <w:color w:val="auto"/>
                <w:kern w:val="0"/>
                <w:sz w:val="24"/>
              </w:rPr>
              <w:t>培训情况</w:t>
            </w:r>
          </w:p>
        </w:tc>
      </w:tr>
      <w:tr w14:paraId="3D20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9329" w:type="dxa"/>
            <w:gridSpan w:val="10"/>
            <w:vAlign w:val="center"/>
          </w:tcPr>
          <w:p w14:paraId="7FA2FA3E">
            <w:pPr>
              <w:spacing w:line="360" w:lineRule="auto"/>
              <w:ind w:firstLine="480" w:firstLineChars="200"/>
              <w:rPr>
                <w:rFonts w:ascii="宋体" w:hAnsi="宋体" w:cs="宋体"/>
                <w:color w:val="auto"/>
                <w:sz w:val="24"/>
              </w:rPr>
            </w:pPr>
            <w:r>
              <w:rPr>
                <w:rFonts w:hint="eastAsia" w:ascii="宋体" w:hAnsi="宋体" w:cs="宋体"/>
                <w:color w:val="auto"/>
                <w:sz w:val="24"/>
              </w:rPr>
              <w:t>装备厂家技术人员于年月日至年月日到使用单位开展装备技术培训。装备售货服务联系人：         联系电话：</w:t>
            </w:r>
          </w:p>
          <w:p w14:paraId="27D3AF44">
            <w:pPr>
              <w:pStyle w:val="42"/>
              <w:tabs>
                <w:tab w:val="left" w:pos="6234"/>
              </w:tabs>
              <w:spacing w:line="360" w:lineRule="auto"/>
              <w:rPr>
                <w:rFonts w:ascii="宋体" w:hAnsi="宋体" w:eastAsia="宋体" w:cs="宋体"/>
                <w:color w:val="auto"/>
              </w:rPr>
            </w:pPr>
            <w:r>
              <w:rPr>
                <w:rFonts w:hint="eastAsia" w:ascii="宋体" w:hAnsi="宋体" w:eastAsia="宋体" w:cs="宋体"/>
                <w:color w:val="auto"/>
              </w:rPr>
              <w:tab/>
            </w:r>
          </w:p>
          <w:p w14:paraId="63C5A674">
            <w:pPr>
              <w:pStyle w:val="42"/>
              <w:tabs>
                <w:tab w:val="left" w:pos="6234"/>
              </w:tabs>
              <w:spacing w:line="360" w:lineRule="auto"/>
              <w:ind w:firstLine="5280" w:firstLineChars="2200"/>
              <w:rPr>
                <w:rFonts w:ascii="宋体" w:hAnsi="宋体" w:eastAsia="宋体" w:cs="宋体"/>
                <w:color w:val="auto"/>
                <w:kern w:val="2"/>
              </w:rPr>
            </w:pPr>
          </w:p>
          <w:p w14:paraId="295F9BE3">
            <w:pPr>
              <w:pStyle w:val="42"/>
              <w:tabs>
                <w:tab w:val="left" w:pos="6234"/>
              </w:tabs>
              <w:spacing w:line="360" w:lineRule="auto"/>
              <w:ind w:firstLine="5280" w:firstLineChars="2200"/>
              <w:rPr>
                <w:rFonts w:ascii="宋体" w:hAnsi="宋体" w:eastAsia="宋体" w:cs="宋体"/>
                <w:color w:val="auto"/>
              </w:rPr>
            </w:pPr>
            <w:r>
              <w:rPr>
                <w:rFonts w:hint="eastAsia" w:ascii="宋体" w:hAnsi="宋体" w:eastAsia="宋体" w:cs="宋体"/>
                <w:color w:val="auto"/>
                <w:kern w:val="2"/>
              </w:rPr>
              <w:t>使用单位：（签字盖章）</w:t>
            </w:r>
          </w:p>
        </w:tc>
      </w:tr>
      <w:tr w14:paraId="2731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2" w:type="dxa"/>
            <w:vMerge w:val="restart"/>
            <w:vAlign w:val="center"/>
          </w:tcPr>
          <w:p w14:paraId="494C0B81">
            <w:pPr>
              <w:pStyle w:val="42"/>
              <w:spacing w:line="360" w:lineRule="auto"/>
              <w:jc w:val="center"/>
              <w:rPr>
                <w:rFonts w:ascii="宋体" w:hAnsi="宋体" w:eastAsia="宋体" w:cs="宋体"/>
                <w:b/>
                <w:bCs/>
                <w:color w:val="auto"/>
              </w:rPr>
            </w:pPr>
            <w:r>
              <w:rPr>
                <w:rFonts w:hint="eastAsia" w:ascii="宋体" w:hAnsi="宋体" w:eastAsia="宋体" w:cs="宋体"/>
                <w:b/>
                <w:bCs/>
                <w:color w:val="auto"/>
              </w:rPr>
              <w:t>验</w:t>
            </w:r>
          </w:p>
          <w:p w14:paraId="7A2093A0">
            <w:pPr>
              <w:pStyle w:val="42"/>
              <w:spacing w:line="360" w:lineRule="auto"/>
              <w:jc w:val="center"/>
              <w:rPr>
                <w:rFonts w:ascii="宋体" w:hAnsi="宋体" w:eastAsia="宋体" w:cs="宋体"/>
                <w:b/>
                <w:bCs/>
                <w:color w:val="auto"/>
              </w:rPr>
            </w:pPr>
          </w:p>
          <w:p w14:paraId="107BEAC6">
            <w:pPr>
              <w:pStyle w:val="42"/>
              <w:spacing w:line="360" w:lineRule="auto"/>
              <w:jc w:val="center"/>
              <w:rPr>
                <w:rFonts w:ascii="宋体" w:hAnsi="宋体" w:eastAsia="宋体" w:cs="宋体"/>
                <w:b/>
                <w:bCs/>
                <w:color w:val="auto"/>
              </w:rPr>
            </w:pPr>
            <w:r>
              <w:rPr>
                <w:rFonts w:hint="eastAsia" w:ascii="宋体" w:hAnsi="宋体" w:eastAsia="宋体" w:cs="宋体"/>
                <w:b/>
                <w:bCs/>
                <w:color w:val="auto"/>
              </w:rPr>
              <w:t>收</w:t>
            </w:r>
          </w:p>
          <w:p w14:paraId="27424C67">
            <w:pPr>
              <w:pStyle w:val="42"/>
              <w:spacing w:line="360" w:lineRule="auto"/>
              <w:jc w:val="center"/>
              <w:rPr>
                <w:rFonts w:ascii="宋体" w:hAnsi="宋体" w:eastAsia="宋体" w:cs="宋体"/>
                <w:b/>
                <w:bCs/>
                <w:color w:val="auto"/>
              </w:rPr>
            </w:pPr>
          </w:p>
          <w:p w14:paraId="2165C849">
            <w:pPr>
              <w:pStyle w:val="42"/>
              <w:spacing w:line="360" w:lineRule="auto"/>
              <w:jc w:val="center"/>
              <w:rPr>
                <w:rFonts w:ascii="宋体" w:hAnsi="宋体" w:eastAsia="宋体" w:cs="宋体"/>
                <w:b/>
                <w:bCs/>
                <w:color w:val="auto"/>
              </w:rPr>
            </w:pPr>
            <w:r>
              <w:rPr>
                <w:rFonts w:hint="eastAsia" w:ascii="宋体" w:hAnsi="宋体" w:eastAsia="宋体" w:cs="宋体"/>
                <w:b/>
                <w:bCs/>
                <w:color w:val="auto"/>
              </w:rPr>
              <w:t>结</w:t>
            </w:r>
          </w:p>
          <w:p w14:paraId="1F36783F">
            <w:pPr>
              <w:pStyle w:val="42"/>
              <w:spacing w:line="360" w:lineRule="auto"/>
              <w:jc w:val="center"/>
              <w:rPr>
                <w:rFonts w:ascii="宋体" w:hAnsi="宋体" w:eastAsia="宋体" w:cs="宋体"/>
                <w:b/>
                <w:bCs/>
                <w:color w:val="auto"/>
              </w:rPr>
            </w:pPr>
          </w:p>
          <w:p w14:paraId="1C7EA579">
            <w:pPr>
              <w:pStyle w:val="42"/>
              <w:spacing w:line="360" w:lineRule="auto"/>
              <w:jc w:val="center"/>
              <w:rPr>
                <w:rFonts w:ascii="宋体" w:hAnsi="宋体" w:eastAsia="宋体" w:cs="宋体"/>
                <w:color w:val="auto"/>
              </w:rPr>
            </w:pPr>
            <w:r>
              <w:rPr>
                <w:rFonts w:hint="eastAsia" w:ascii="宋体" w:hAnsi="宋体" w:eastAsia="宋体" w:cs="宋体"/>
                <w:b/>
                <w:bCs/>
                <w:color w:val="auto"/>
              </w:rPr>
              <w:t>论</w:t>
            </w:r>
          </w:p>
        </w:tc>
        <w:tc>
          <w:tcPr>
            <w:tcW w:w="8577" w:type="dxa"/>
            <w:gridSpan w:val="9"/>
            <w:vAlign w:val="center"/>
          </w:tcPr>
          <w:p w14:paraId="061FBDB9">
            <w:pPr>
              <w:pStyle w:val="42"/>
              <w:spacing w:line="360" w:lineRule="auto"/>
              <w:jc w:val="center"/>
              <w:rPr>
                <w:rFonts w:ascii="宋体" w:hAnsi="宋体" w:eastAsia="宋体" w:cs="宋体"/>
                <w:color w:val="auto"/>
              </w:rPr>
            </w:pPr>
            <w:r>
              <w:rPr>
                <w:rFonts w:hint="eastAsia" w:ascii="宋体" w:hAnsi="宋体" w:eastAsia="宋体" w:cs="宋体"/>
                <w:color w:val="auto"/>
                <w:kern w:val="2"/>
              </w:rPr>
              <w:t>经综合判定，该批装备验收</w:t>
            </w:r>
            <w:r>
              <w:rPr>
                <w:rFonts w:hint="eastAsia" w:ascii="宋体" w:hAnsi="宋体" w:eastAsia="宋体" w:cs="宋体"/>
                <w:b/>
                <w:bCs/>
                <w:color w:val="auto"/>
                <w:kern w:val="2"/>
              </w:rPr>
              <w:t>□合格□基本合格□整改□不合格</w:t>
            </w:r>
            <w:r>
              <w:rPr>
                <w:rFonts w:hint="eastAsia" w:ascii="宋体" w:hAnsi="宋体" w:eastAsia="宋体" w:cs="宋体"/>
                <w:color w:val="auto"/>
                <w:kern w:val="2"/>
              </w:rPr>
              <w:t>。</w:t>
            </w:r>
          </w:p>
        </w:tc>
      </w:tr>
      <w:tr w14:paraId="152B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752" w:type="dxa"/>
            <w:vMerge w:val="continue"/>
            <w:tcBorders>
              <w:bottom w:val="single" w:color="auto" w:sz="4" w:space="0"/>
            </w:tcBorders>
            <w:vAlign w:val="center"/>
          </w:tcPr>
          <w:p w14:paraId="7DC3AB69">
            <w:pPr>
              <w:pStyle w:val="42"/>
              <w:spacing w:line="360" w:lineRule="auto"/>
              <w:jc w:val="center"/>
              <w:rPr>
                <w:rFonts w:ascii="宋体" w:hAnsi="宋体" w:eastAsia="宋体" w:cs="宋体"/>
                <w:color w:val="auto"/>
              </w:rPr>
            </w:pPr>
          </w:p>
        </w:tc>
        <w:tc>
          <w:tcPr>
            <w:tcW w:w="5040" w:type="dxa"/>
            <w:gridSpan w:val="5"/>
            <w:tcBorders>
              <w:bottom w:val="single" w:color="auto" w:sz="4" w:space="0"/>
            </w:tcBorders>
            <w:vAlign w:val="center"/>
          </w:tcPr>
          <w:p w14:paraId="6C3C26E2">
            <w:pPr>
              <w:pStyle w:val="42"/>
              <w:spacing w:line="360" w:lineRule="auto"/>
              <w:jc w:val="center"/>
              <w:rPr>
                <w:rFonts w:ascii="宋体" w:hAnsi="宋体" w:eastAsia="宋体" w:cs="宋体"/>
                <w:color w:val="auto"/>
                <w:kern w:val="2"/>
              </w:rPr>
            </w:pPr>
          </w:p>
          <w:p w14:paraId="3E970B36">
            <w:pPr>
              <w:pStyle w:val="42"/>
              <w:spacing w:line="360" w:lineRule="auto"/>
              <w:rPr>
                <w:rFonts w:ascii="宋体" w:hAnsi="宋体" w:eastAsia="宋体" w:cs="宋体"/>
                <w:color w:val="auto"/>
                <w:kern w:val="2"/>
              </w:rPr>
            </w:pPr>
            <w:r>
              <w:rPr>
                <w:rFonts w:hint="eastAsia" w:ascii="宋体" w:hAnsi="宋体" w:eastAsia="宋体" w:cs="宋体"/>
                <w:color w:val="auto"/>
                <w:kern w:val="2"/>
              </w:rPr>
              <w:t>验收分管领导：</w:t>
            </w:r>
          </w:p>
          <w:p w14:paraId="21874303">
            <w:pPr>
              <w:pStyle w:val="42"/>
              <w:spacing w:line="360" w:lineRule="auto"/>
              <w:rPr>
                <w:rFonts w:ascii="宋体" w:hAnsi="宋体" w:eastAsia="宋体" w:cs="宋体"/>
                <w:color w:val="auto"/>
                <w:kern w:val="2"/>
              </w:rPr>
            </w:pPr>
          </w:p>
          <w:p w14:paraId="300451DA">
            <w:pPr>
              <w:pStyle w:val="42"/>
              <w:spacing w:line="360" w:lineRule="auto"/>
              <w:rPr>
                <w:rFonts w:ascii="宋体" w:hAnsi="宋体" w:eastAsia="宋体" w:cs="宋体"/>
                <w:color w:val="auto"/>
                <w:kern w:val="2"/>
              </w:rPr>
            </w:pPr>
          </w:p>
          <w:p w14:paraId="462EF2CE">
            <w:pPr>
              <w:pStyle w:val="42"/>
              <w:spacing w:line="360" w:lineRule="auto"/>
              <w:rPr>
                <w:rFonts w:ascii="宋体" w:hAnsi="宋体" w:eastAsia="宋体" w:cs="宋体"/>
                <w:color w:val="auto"/>
                <w:kern w:val="2"/>
              </w:rPr>
            </w:pPr>
            <w:r>
              <w:rPr>
                <w:rFonts w:hint="eastAsia" w:ascii="宋体" w:hAnsi="宋体" w:eastAsia="宋体" w:cs="宋体"/>
                <w:color w:val="auto"/>
                <w:kern w:val="2"/>
              </w:rPr>
              <w:t>验收小组组长：</w:t>
            </w:r>
          </w:p>
          <w:p w14:paraId="215AE4E1">
            <w:pPr>
              <w:pStyle w:val="42"/>
              <w:spacing w:line="360" w:lineRule="auto"/>
              <w:rPr>
                <w:rFonts w:ascii="宋体" w:hAnsi="宋体" w:eastAsia="宋体" w:cs="宋体"/>
                <w:color w:val="auto"/>
                <w:kern w:val="2"/>
              </w:rPr>
            </w:pPr>
          </w:p>
          <w:p w14:paraId="7B532CEE">
            <w:pPr>
              <w:pStyle w:val="42"/>
              <w:spacing w:line="360" w:lineRule="auto"/>
              <w:rPr>
                <w:rFonts w:ascii="宋体" w:hAnsi="宋体" w:eastAsia="宋体" w:cs="宋体"/>
                <w:color w:val="auto"/>
                <w:kern w:val="2"/>
              </w:rPr>
            </w:pPr>
            <w:r>
              <w:rPr>
                <w:rFonts w:hint="eastAsia" w:ascii="宋体" w:hAnsi="宋体" w:eastAsia="宋体" w:cs="宋体"/>
                <w:color w:val="auto"/>
                <w:kern w:val="2"/>
              </w:rPr>
              <w:t xml:space="preserve">成员：    </w:t>
            </w:r>
          </w:p>
          <w:p w14:paraId="75406679">
            <w:pPr>
              <w:pStyle w:val="42"/>
              <w:spacing w:line="360" w:lineRule="auto"/>
              <w:rPr>
                <w:rFonts w:ascii="宋体" w:hAnsi="宋体" w:eastAsia="宋体" w:cs="宋体"/>
                <w:color w:val="auto"/>
                <w:kern w:val="2"/>
              </w:rPr>
            </w:pPr>
          </w:p>
          <w:p w14:paraId="4A7067B2">
            <w:pPr>
              <w:pStyle w:val="42"/>
              <w:spacing w:line="360" w:lineRule="auto"/>
              <w:rPr>
                <w:rFonts w:ascii="宋体" w:hAnsi="宋体" w:eastAsia="宋体" w:cs="宋体"/>
                <w:color w:val="auto"/>
                <w:kern w:val="2"/>
              </w:rPr>
            </w:pPr>
          </w:p>
          <w:p w14:paraId="7612A048">
            <w:pPr>
              <w:pStyle w:val="42"/>
              <w:spacing w:line="360" w:lineRule="auto"/>
              <w:ind w:firstLine="5760" w:firstLineChars="2400"/>
              <w:rPr>
                <w:rFonts w:ascii="宋体" w:hAnsi="宋体" w:eastAsia="宋体" w:cs="宋体"/>
                <w:color w:val="auto"/>
                <w:kern w:val="2"/>
              </w:rPr>
            </w:pPr>
            <w:r>
              <w:rPr>
                <w:rFonts w:hint="eastAsia" w:ascii="宋体" w:hAnsi="宋体" w:eastAsia="宋体" w:cs="宋体"/>
                <w:color w:val="auto"/>
                <w:kern w:val="2"/>
              </w:rPr>
              <w:t>年                    （签字盖章）</w:t>
            </w:r>
          </w:p>
          <w:p w14:paraId="55543EAF">
            <w:pPr>
              <w:pStyle w:val="42"/>
              <w:spacing w:line="360" w:lineRule="auto"/>
              <w:ind w:firstLine="2640" w:firstLineChars="1100"/>
              <w:rPr>
                <w:rFonts w:ascii="宋体" w:hAnsi="宋体" w:eastAsia="宋体" w:cs="宋体"/>
                <w:color w:val="auto"/>
                <w:kern w:val="2"/>
              </w:rPr>
            </w:pPr>
            <w:r>
              <w:rPr>
                <w:rFonts w:hint="eastAsia" w:ascii="宋体" w:hAnsi="宋体" w:eastAsia="宋体" w:cs="宋体"/>
                <w:color w:val="auto"/>
                <w:kern w:val="2"/>
              </w:rPr>
              <w:t>年  月  日</w:t>
            </w:r>
          </w:p>
          <w:p w14:paraId="7068F6BE">
            <w:pPr>
              <w:pStyle w:val="42"/>
              <w:spacing w:line="360" w:lineRule="auto"/>
              <w:ind w:firstLine="2640" w:firstLineChars="1100"/>
              <w:rPr>
                <w:rFonts w:ascii="宋体" w:hAnsi="宋体" w:eastAsia="宋体" w:cs="宋体"/>
                <w:color w:val="auto"/>
                <w:kern w:val="2"/>
              </w:rPr>
            </w:pPr>
          </w:p>
        </w:tc>
        <w:tc>
          <w:tcPr>
            <w:tcW w:w="3537" w:type="dxa"/>
            <w:gridSpan w:val="4"/>
            <w:vAlign w:val="center"/>
          </w:tcPr>
          <w:p w14:paraId="461BFC19">
            <w:pPr>
              <w:pStyle w:val="42"/>
              <w:spacing w:line="360" w:lineRule="auto"/>
              <w:rPr>
                <w:rFonts w:ascii="宋体" w:hAnsi="宋体" w:eastAsia="宋体" w:cs="宋体"/>
                <w:color w:val="auto"/>
                <w:kern w:val="2"/>
              </w:rPr>
            </w:pPr>
          </w:p>
          <w:p w14:paraId="0F0457FB">
            <w:pPr>
              <w:pStyle w:val="42"/>
              <w:spacing w:line="360" w:lineRule="auto"/>
              <w:rPr>
                <w:rFonts w:ascii="宋体" w:hAnsi="宋体" w:eastAsia="宋体" w:cs="宋体"/>
                <w:color w:val="auto"/>
                <w:kern w:val="2"/>
              </w:rPr>
            </w:pPr>
          </w:p>
          <w:p w14:paraId="736222D1">
            <w:pPr>
              <w:pStyle w:val="42"/>
              <w:spacing w:line="360" w:lineRule="auto"/>
              <w:rPr>
                <w:rFonts w:ascii="宋体" w:hAnsi="宋体" w:eastAsia="宋体" w:cs="宋体"/>
                <w:color w:val="auto"/>
                <w:kern w:val="2"/>
              </w:rPr>
            </w:pPr>
          </w:p>
          <w:p w14:paraId="3418C6EE">
            <w:pPr>
              <w:pStyle w:val="42"/>
              <w:spacing w:line="360" w:lineRule="auto"/>
              <w:rPr>
                <w:rFonts w:ascii="宋体" w:hAnsi="宋体" w:eastAsia="宋体" w:cs="宋体"/>
                <w:color w:val="auto"/>
                <w:kern w:val="2"/>
              </w:rPr>
            </w:pPr>
          </w:p>
          <w:p w14:paraId="43970FE0">
            <w:pPr>
              <w:pStyle w:val="42"/>
              <w:spacing w:line="360" w:lineRule="auto"/>
              <w:rPr>
                <w:rFonts w:ascii="宋体" w:hAnsi="宋体" w:eastAsia="宋体" w:cs="宋体"/>
                <w:color w:val="auto"/>
                <w:kern w:val="2"/>
              </w:rPr>
            </w:pPr>
          </w:p>
          <w:p w14:paraId="47035702">
            <w:pPr>
              <w:pStyle w:val="42"/>
              <w:spacing w:line="360" w:lineRule="auto"/>
              <w:rPr>
                <w:rFonts w:ascii="宋体" w:hAnsi="宋体" w:eastAsia="宋体" w:cs="宋体"/>
                <w:color w:val="auto"/>
                <w:kern w:val="2"/>
              </w:rPr>
            </w:pPr>
          </w:p>
          <w:p w14:paraId="6E75BECA">
            <w:pPr>
              <w:pStyle w:val="42"/>
              <w:spacing w:line="360" w:lineRule="auto"/>
              <w:rPr>
                <w:rFonts w:ascii="宋体" w:hAnsi="宋体" w:eastAsia="宋体" w:cs="宋体"/>
                <w:color w:val="auto"/>
                <w:kern w:val="2"/>
              </w:rPr>
            </w:pPr>
            <w:r>
              <w:rPr>
                <w:rFonts w:hint="eastAsia" w:ascii="宋体" w:hAnsi="宋体" w:eastAsia="宋体" w:cs="宋体"/>
                <w:color w:val="auto"/>
                <w:kern w:val="2"/>
              </w:rPr>
              <w:t>供应商：</w:t>
            </w:r>
          </w:p>
          <w:p w14:paraId="46711FAE">
            <w:pPr>
              <w:pStyle w:val="42"/>
              <w:spacing w:line="360" w:lineRule="auto"/>
              <w:rPr>
                <w:rFonts w:ascii="宋体" w:hAnsi="宋体" w:eastAsia="宋体" w:cs="宋体"/>
                <w:color w:val="auto"/>
                <w:kern w:val="2"/>
              </w:rPr>
            </w:pPr>
          </w:p>
          <w:p w14:paraId="512788B1">
            <w:pPr>
              <w:pStyle w:val="42"/>
              <w:spacing w:line="360" w:lineRule="auto"/>
              <w:rPr>
                <w:rFonts w:ascii="宋体" w:hAnsi="宋体" w:eastAsia="宋体" w:cs="宋体"/>
                <w:color w:val="auto"/>
                <w:kern w:val="2"/>
              </w:rPr>
            </w:pPr>
          </w:p>
          <w:p w14:paraId="12856781">
            <w:pPr>
              <w:pStyle w:val="42"/>
              <w:spacing w:line="360" w:lineRule="auto"/>
              <w:ind w:firstLine="1200" w:firstLineChars="500"/>
              <w:rPr>
                <w:rFonts w:ascii="宋体" w:hAnsi="宋体" w:eastAsia="宋体" w:cs="宋体"/>
                <w:color w:val="auto"/>
                <w:kern w:val="2"/>
              </w:rPr>
            </w:pPr>
            <w:r>
              <w:rPr>
                <w:rFonts w:hint="eastAsia" w:ascii="宋体" w:hAnsi="宋体" w:eastAsia="宋体" w:cs="宋体"/>
                <w:color w:val="auto"/>
                <w:kern w:val="2"/>
              </w:rPr>
              <w:t>（签字盖章）</w:t>
            </w:r>
          </w:p>
          <w:p w14:paraId="6FDD2F38">
            <w:pPr>
              <w:pStyle w:val="42"/>
              <w:spacing w:line="360" w:lineRule="auto"/>
              <w:ind w:firstLine="1440" w:firstLineChars="600"/>
              <w:rPr>
                <w:rFonts w:ascii="宋体" w:hAnsi="宋体" w:eastAsia="宋体" w:cs="宋体"/>
                <w:color w:val="auto"/>
                <w:kern w:val="2"/>
              </w:rPr>
            </w:pPr>
            <w:r>
              <w:rPr>
                <w:rFonts w:hint="eastAsia" w:ascii="宋体" w:hAnsi="宋体" w:eastAsia="宋体" w:cs="宋体"/>
                <w:color w:val="auto"/>
                <w:kern w:val="2"/>
              </w:rPr>
              <w:t>年  月  日</w:t>
            </w:r>
          </w:p>
        </w:tc>
      </w:tr>
    </w:tbl>
    <w:p w14:paraId="22141581">
      <w:pPr>
        <w:adjustRightInd w:val="0"/>
        <w:snapToGrid w:val="0"/>
        <w:spacing w:line="360" w:lineRule="auto"/>
        <w:ind w:firstLine="480"/>
        <w:rPr>
          <w:rFonts w:ascii="宋体" w:hAnsi="宋体" w:cs="宋体"/>
          <w:color w:val="auto"/>
          <w:sz w:val="24"/>
        </w:rPr>
      </w:pPr>
      <w:r>
        <w:rPr>
          <w:rFonts w:hint="eastAsia" w:ascii="宋体" w:hAnsi="宋体" w:cs="宋体"/>
          <w:color w:val="auto"/>
          <w:sz w:val="24"/>
        </w:rPr>
        <w:t>备注：1.装备验收单一式三份，验收单位、使用单位和供应商，正反面打印。</w:t>
      </w:r>
    </w:p>
    <w:p w14:paraId="1F43A967">
      <w:pPr>
        <w:adjustRightInd w:val="0"/>
        <w:snapToGrid w:val="0"/>
        <w:spacing w:line="360" w:lineRule="auto"/>
        <w:ind w:firstLine="1200" w:firstLineChars="500"/>
        <w:rPr>
          <w:rFonts w:ascii="宋体" w:hAnsi="宋体" w:cs="宋体"/>
          <w:color w:val="auto"/>
          <w:sz w:val="24"/>
        </w:rPr>
      </w:pPr>
      <w:r>
        <w:rPr>
          <w:rFonts w:hint="eastAsia" w:ascii="宋体" w:hAnsi="宋体" w:cs="宋体"/>
          <w:color w:val="auto"/>
          <w:sz w:val="24"/>
        </w:rPr>
        <w:t>2.消防车辆验收，同时需填写《新购消防车辆检查验收报告》。</w:t>
      </w:r>
    </w:p>
    <w:p w14:paraId="3ECD0ABB">
      <w:pPr>
        <w:adjustRightInd w:val="0"/>
        <w:snapToGrid w:val="0"/>
        <w:spacing w:line="360" w:lineRule="auto"/>
        <w:ind w:firstLine="720" w:firstLineChars="300"/>
        <w:rPr>
          <w:rFonts w:ascii="宋体" w:hAnsi="宋体" w:cs="宋体"/>
          <w:color w:val="auto"/>
          <w:sz w:val="24"/>
        </w:rPr>
      </w:pPr>
    </w:p>
    <w:p w14:paraId="7417051F">
      <w:pPr>
        <w:spacing w:line="360" w:lineRule="auto"/>
        <w:rPr>
          <w:color w:val="auto"/>
          <w:sz w:val="24"/>
        </w:rPr>
      </w:pPr>
    </w:p>
    <w:p w14:paraId="25B84AEE">
      <w:pPr>
        <w:spacing w:line="360" w:lineRule="auto"/>
        <w:rPr>
          <w:rFonts w:ascii="宋体" w:hAnsi="宋体" w:cs="宋体"/>
          <w:color w:val="auto"/>
          <w:kern w:val="0"/>
          <w:sz w:val="28"/>
          <w:szCs w:val="28"/>
        </w:rPr>
      </w:pPr>
      <w:r>
        <w:rPr>
          <w:rFonts w:hint="eastAsia" w:ascii="宋体" w:hAnsi="宋体" w:cs="宋体"/>
          <w:b/>
          <w:color w:val="auto"/>
          <w:sz w:val="28"/>
          <w:szCs w:val="28"/>
        </w:rPr>
        <w:t>附件2：</w:t>
      </w:r>
    </w:p>
    <w:p w14:paraId="4D877634">
      <w:pPr>
        <w:autoSpaceDE w:val="0"/>
        <w:autoSpaceDN w:val="0"/>
        <w:adjustRightInd w:val="0"/>
        <w:snapToGrid w:val="0"/>
        <w:spacing w:line="360" w:lineRule="auto"/>
        <w:jc w:val="left"/>
        <w:rPr>
          <w:rFonts w:ascii="宋体" w:hAnsi="宋体" w:cs="宋体"/>
          <w:color w:val="auto"/>
          <w:kern w:val="0"/>
          <w:sz w:val="24"/>
        </w:rPr>
      </w:pPr>
    </w:p>
    <w:p w14:paraId="249F58D4">
      <w:pPr>
        <w:autoSpaceDE w:val="0"/>
        <w:autoSpaceDN w:val="0"/>
        <w:adjustRightInd w:val="0"/>
        <w:spacing w:line="360" w:lineRule="auto"/>
        <w:jc w:val="center"/>
        <w:rPr>
          <w:rFonts w:ascii="宋体" w:hAnsi="宋体" w:cs="宋体"/>
          <w:b/>
          <w:color w:val="auto"/>
          <w:kern w:val="28"/>
          <w:sz w:val="28"/>
          <w:szCs w:val="28"/>
        </w:rPr>
      </w:pPr>
      <w:r>
        <w:rPr>
          <w:rFonts w:hint="eastAsia" w:ascii="宋体" w:hAnsi="宋体" w:cs="宋体"/>
          <w:b/>
          <w:color w:val="auto"/>
          <w:kern w:val="28"/>
          <w:sz w:val="28"/>
          <w:szCs w:val="28"/>
        </w:rPr>
        <w:t>无质量疑义证明文件</w:t>
      </w:r>
    </w:p>
    <w:p w14:paraId="01E228D8">
      <w:pPr>
        <w:spacing w:line="360" w:lineRule="auto"/>
        <w:rPr>
          <w:rFonts w:ascii="宋体" w:hAnsi="宋体" w:cs="宋体"/>
          <w:color w:val="auto"/>
          <w:sz w:val="24"/>
        </w:rPr>
      </w:pPr>
      <w:r>
        <w:rPr>
          <w:rFonts w:hint="eastAsia" w:ascii="宋体" w:hAnsi="宋体" w:cs="宋体"/>
          <w:color w:val="auto"/>
          <w:sz w:val="24"/>
        </w:rPr>
        <w:t>致：</w:t>
      </w:r>
    </w:p>
    <w:p w14:paraId="1F10AA0E">
      <w:pPr>
        <w:spacing w:line="360" w:lineRule="auto"/>
        <w:ind w:firstLine="480" w:firstLineChars="200"/>
        <w:rPr>
          <w:rFonts w:ascii="宋体" w:hAnsi="宋体" w:cs="宋体"/>
          <w:color w:val="auto"/>
          <w:sz w:val="24"/>
        </w:rPr>
      </w:pPr>
      <w:r>
        <w:rPr>
          <w:rFonts w:hint="eastAsia" w:ascii="宋体" w:hAnsi="宋体" w:cs="宋体"/>
          <w:color w:val="auto"/>
          <w:sz w:val="24"/>
        </w:rPr>
        <w:t>贵单位合同项</w:t>
      </w:r>
      <w:r>
        <w:rPr>
          <w:rFonts w:hint="eastAsia" w:ascii="宋体" w:hAnsi="宋体" w:cs="宋体"/>
          <w:b w:val="0"/>
          <w:bCs w:val="0"/>
          <w:color w:val="auto"/>
          <w:sz w:val="24"/>
        </w:rPr>
        <w:t>下《</w:t>
      </w:r>
      <w:r>
        <w:rPr>
          <w:rFonts w:hint="eastAsia" w:ascii="宋体" w:hAnsi="宋体" w:cs="宋体"/>
          <w:b w:val="0"/>
          <w:bCs w:val="0"/>
          <w:color w:val="auto"/>
          <w:sz w:val="24"/>
          <w:u w:val="single"/>
          <w:lang w:eastAsia="zh-CN"/>
        </w:rPr>
        <w:t>浙江省嘉兴市消防救援支队2024年度装备器材采购项目(救生、警戒、堵漏和水域救援类）</w:t>
      </w:r>
      <w:r>
        <w:rPr>
          <w:rFonts w:hint="eastAsia" w:ascii="宋体" w:hAnsi="宋体" w:cs="宋体"/>
          <w:b w:val="0"/>
          <w:bCs w:val="0"/>
          <w:color w:val="auto"/>
          <w:sz w:val="24"/>
        </w:rPr>
        <w:t>》(合同编号:</w:t>
      </w:r>
      <w:r>
        <w:rPr>
          <w:rFonts w:hint="eastAsia" w:ascii="宋体" w:hAnsi="宋体" w:cs="宋体"/>
          <w:b w:val="0"/>
          <w:bCs w:val="0"/>
          <w:color w:val="auto"/>
          <w:sz w:val="24"/>
          <w:u w:val="single"/>
          <w:lang w:val="en-US" w:eastAsia="zh-CN"/>
        </w:rPr>
        <w:t xml:space="preserve">    </w:t>
      </w:r>
      <w:r>
        <w:rPr>
          <w:rFonts w:hint="eastAsia" w:ascii="宋体" w:hAnsi="宋体" w:cs="宋体"/>
          <w:b w:val="0"/>
          <w:bCs w:val="0"/>
          <w:color w:val="auto"/>
          <w:sz w:val="24"/>
        </w:rPr>
        <w:t>)</w:t>
      </w:r>
      <w:r>
        <w:rPr>
          <w:rFonts w:hint="eastAsia" w:ascii="宋体" w:hAnsi="宋体" w:cs="宋体"/>
          <w:color w:val="auto"/>
          <w:sz w:val="24"/>
          <w:lang w:val="en-US" w:eastAsia="zh-CN"/>
        </w:rPr>
        <w:t>质保期已满</w:t>
      </w:r>
      <w:r>
        <w:rPr>
          <w:rFonts w:hint="eastAsia" w:ascii="宋体" w:hAnsi="宋体" w:cs="宋体"/>
          <w:color w:val="auto"/>
          <w:sz w:val="24"/>
        </w:rPr>
        <w:t>。过程中无质量问题，现经我单位确认，同意退还履约保证金，特此回复。清单如下：</w:t>
      </w:r>
    </w:p>
    <w:tbl>
      <w:tblPr>
        <w:tblStyle w:val="3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28"/>
        <w:gridCol w:w="1692"/>
        <w:gridCol w:w="864"/>
        <w:gridCol w:w="1476"/>
        <w:gridCol w:w="2160"/>
      </w:tblGrid>
      <w:tr w14:paraId="2F41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6FA96C7">
            <w:pPr>
              <w:spacing w:line="360" w:lineRule="auto"/>
              <w:jc w:val="center"/>
              <w:rPr>
                <w:rFonts w:ascii="宋体" w:hAnsi="宋体" w:cs="宋体"/>
                <w:color w:val="auto"/>
                <w:sz w:val="24"/>
              </w:rPr>
            </w:pPr>
            <w:r>
              <w:rPr>
                <w:rFonts w:hint="eastAsia" w:ascii="宋体" w:hAnsi="宋体" w:cs="宋体"/>
                <w:color w:val="auto"/>
                <w:sz w:val="24"/>
              </w:rPr>
              <w:t>序号</w:t>
            </w:r>
          </w:p>
        </w:tc>
        <w:tc>
          <w:tcPr>
            <w:tcW w:w="1728" w:type="dxa"/>
            <w:vAlign w:val="center"/>
          </w:tcPr>
          <w:p w14:paraId="76334D7A">
            <w:pPr>
              <w:spacing w:line="360" w:lineRule="auto"/>
              <w:jc w:val="center"/>
              <w:rPr>
                <w:rFonts w:ascii="宋体" w:hAnsi="宋体" w:cs="宋体"/>
                <w:color w:val="auto"/>
                <w:sz w:val="24"/>
              </w:rPr>
            </w:pPr>
            <w:r>
              <w:rPr>
                <w:rFonts w:hint="eastAsia" w:ascii="宋体" w:hAnsi="宋体" w:cs="宋体"/>
                <w:color w:val="auto"/>
                <w:sz w:val="24"/>
              </w:rPr>
              <w:t>品名</w:t>
            </w:r>
          </w:p>
        </w:tc>
        <w:tc>
          <w:tcPr>
            <w:tcW w:w="1692" w:type="dxa"/>
            <w:vAlign w:val="center"/>
          </w:tcPr>
          <w:p w14:paraId="7426FEDC">
            <w:pPr>
              <w:spacing w:line="360" w:lineRule="auto"/>
              <w:jc w:val="center"/>
              <w:rPr>
                <w:rFonts w:ascii="宋体" w:hAnsi="宋体" w:cs="宋体"/>
                <w:color w:val="auto"/>
                <w:sz w:val="24"/>
              </w:rPr>
            </w:pPr>
            <w:r>
              <w:rPr>
                <w:rFonts w:hint="eastAsia" w:ascii="宋体" w:hAnsi="宋体" w:cs="宋体"/>
                <w:color w:val="auto"/>
                <w:sz w:val="24"/>
              </w:rPr>
              <w:t>品牌、型号</w:t>
            </w:r>
          </w:p>
        </w:tc>
        <w:tc>
          <w:tcPr>
            <w:tcW w:w="864" w:type="dxa"/>
            <w:vAlign w:val="center"/>
          </w:tcPr>
          <w:p w14:paraId="287914DF">
            <w:pPr>
              <w:spacing w:line="360" w:lineRule="auto"/>
              <w:jc w:val="center"/>
              <w:rPr>
                <w:rFonts w:ascii="宋体" w:hAnsi="宋体" w:cs="宋体"/>
                <w:color w:val="auto"/>
                <w:sz w:val="24"/>
              </w:rPr>
            </w:pPr>
            <w:r>
              <w:rPr>
                <w:rFonts w:hint="eastAsia" w:ascii="宋体" w:hAnsi="宋体" w:cs="宋体"/>
                <w:color w:val="auto"/>
                <w:sz w:val="24"/>
              </w:rPr>
              <w:t>数量</w:t>
            </w:r>
          </w:p>
        </w:tc>
        <w:tc>
          <w:tcPr>
            <w:tcW w:w="1476" w:type="dxa"/>
            <w:vAlign w:val="center"/>
          </w:tcPr>
          <w:p w14:paraId="0AD05DA3">
            <w:pPr>
              <w:spacing w:line="360" w:lineRule="auto"/>
              <w:jc w:val="center"/>
              <w:rPr>
                <w:rFonts w:ascii="宋体" w:hAnsi="宋体" w:cs="宋体"/>
                <w:color w:val="auto"/>
                <w:sz w:val="24"/>
              </w:rPr>
            </w:pPr>
            <w:r>
              <w:rPr>
                <w:rFonts w:hint="eastAsia" w:ascii="宋体" w:hAnsi="宋体" w:cs="宋体"/>
                <w:color w:val="auto"/>
                <w:sz w:val="24"/>
              </w:rPr>
              <w:t>金额</w:t>
            </w:r>
          </w:p>
        </w:tc>
        <w:tc>
          <w:tcPr>
            <w:tcW w:w="2160" w:type="dxa"/>
            <w:vAlign w:val="center"/>
          </w:tcPr>
          <w:p w14:paraId="3B0F109A">
            <w:pPr>
              <w:spacing w:line="360" w:lineRule="auto"/>
              <w:jc w:val="center"/>
              <w:rPr>
                <w:rFonts w:ascii="宋体" w:hAnsi="宋体" w:cs="宋体"/>
                <w:color w:val="auto"/>
                <w:sz w:val="24"/>
              </w:rPr>
            </w:pPr>
            <w:r>
              <w:rPr>
                <w:rFonts w:hint="eastAsia" w:ascii="宋体" w:hAnsi="宋体" w:cs="宋体"/>
                <w:color w:val="auto"/>
                <w:sz w:val="24"/>
              </w:rPr>
              <w:t>配置简述</w:t>
            </w:r>
          </w:p>
        </w:tc>
      </w:tr>
      <w:tr w14:paraId="12C2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9EA052F">
            <w:pPr>
              <w:spacing w:line="360" w:lineRule="auto"/>
              <w:jc w:val="center"/>
              <w:rPr>
                <w:rFonts w:ascii="宋体" w:hAnsi="宋体" w:cs="宋体"/>
                <w:color w:val="auto"/>
                <w:sz w:val="24"/>
              </w:rPr>
            </w:pPr>
            <w:r>
              <w:rPr>
                <w:rFonts w:hint="eastAsia" w:ascii="宋体" w:hAnsi="宋体" w:cs="宋体"/>
                <w:color w:val="auto"/>
                <w:sz w:val="24"/>
              </w:rPr>
              <w:t>1</w:t>
            </w:r>
          </w:p>
        </w:tc>
        <w:tc>
          <w:tcPr>
            <w:tcW w:w="1728" w:type="dxa"/>
            <w:vAlign w:val="center"/>
          </w:tcPr>
          <w:p w14:paraId="19F61470">
            <w:pPr>
              <w:spacing w:line="360" w:lineRule="auto"/>
              <w:jc w:val="center"/>
              <w:rPr>
                <w:rFonts w:ascii="宋体" w:hAnsi="宋体" w:cs="宋体"/>
                <w:color w:val="auto"/>
                <w:sz w:val="24"/>
              </w:rPr>
            </w:pPr>
          </w:p>
        </w:tc>
        <w:tc>
          <w:tcPr>
            <w:tcW w:w="1692" w:type="dxa"/>
            <w:vAlign w:val="center"/>
          </w:tcPr>
          <w:p w14:paraId="69C22BAE">
            <w:pPr>
              <w:spacing w:line="360" w:lineRule="auto"/>
              <w:jc w:val="center"/>
              <w:rPr>
                <w:rFonts w:ascii="宋体" w:hAnsi="宋体" w:cs="宋体"/>
                <w:color w:val="auto"/>
                <w:sz w:val="24"/>
              </w:rPr>
            </w:pPr>
          </w:p>
        </w:tc>
        <w:tc>
          <w:tcPr>
            <w:tcW w:w="864" w:type="dxa"/>
            <w:vAlign w:val="center"/>
          </w:tcPr>
          <w:p w14:paraId="712A4993">
            <w:pPr>
              <w:spacing w:line="360" w:lineRule="auto"/>
              <w:jc w:val="center"/>
              <w:rPr>
                <w:rFonts w:ascii="宋体" w:hAnsi="宋体" w:cs="宋体"/>
                <w:color w:val="auto"/>
                <w:sz w:val="24"/>
              </w:rPr>
            </w:pPr>
          </w:p>
        </w:tc>
        <w:tc>
          <w:tcPr>
            <w:tcW w:w="1476" w:type="dxa"/>
            <w:vAlign w:val="center"/>
          </w:tcPr>
          <w:p w14:paraId="329AFD6D">
            <w:pPr>
              <w:spacing w:line="360" w:lineRule="auto"/>
              <w:jc w:val="center"/>
              <w:rPr>
                <w:rFonts w:ascii="宋体" w:hAnsi="宋体" w:cs="宋体"/>
                <w:color w:val="auto"/>
                <w:sz w:val="24"/>
              </w:rPr>
            </w:pPr>
          </w:p>
        </w:tc>
        <w:tc>
          <w:tcPr>
            <w:tcW w:w="2160" w:type="dxa"/>
            <w:vAlign w:val="center"/>
          </w:tcPr>
          <w:p w14:paraId="0BE706D9">
            <w:pPr>
              <w:spacing w:line="360" w:lineRule="auto"/>
              <w:jc w:val="center"/>
              <w:rPr>
                <w:rFonts w:ascii="宋体" w:hAnsi="宋体" w:cs="宋体"/>
                <w:color w:val="auto"/>
                <w:sz w:val="24"/>
              </w:rPr>
            </w:pPr>
          </w:p>
        </w:tc>
      </w:tr>
      <w:tr w14:paraId="5788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996556C">
            <w:pPr>
              <w:spacing w:line="360" w:lineRule="auto"/>
              <w:jc w:val="center"/>
              <w:rPr>
                <w:rFonts w:ascii="宋体" w:hAnsi="宋体" w:cs="宋体"/>
                <w:color w:val="auto"/>
                <w:sz w:val="24"/>
              </w:rPr>
            </w:pPr>
            <w:r>
              <w:rPr>
                <w:rFonts w:hint="eastAsia" w:ascii="宋体" w:hAnsi="宋体" w:cs="宋体"/>
                <w:color w:val="auto"/>
                <w:sz w:val="24"/>
              </w:rPr>
              <w:t>2</w:t>
            </w:r>
          </w:p>
        </w:tc>
        <w:tc>
          <w:tcPr>
            <w:tcW w:w="1728" w:type="dxa"/>
            <w:vAlign w:val="center"/>
          </w:tcPr>
          <w:p w14:paraId="643D051E">
            <w:pPr>
              <w:spacing w:line="360" w:lineRule="auto"/>
              <w:jc w:val="center"/>
              <w:rPr>
                <w:rFonts w:ascii="宋体" w:hAnsi="宋体" w:cs="宋体"/>
                <w:color w:val="auto"/>
                <w:sz w:val="24"/>
              </w:rPr>
            </w:pPr>
          </w:p>
        </w:tc>
        <w:tc>
          <w:tcPr>
            <w:tcW w:w="1692" w:type="dxa"/>
            <w:vAlign w:val="center"/>
          </w:tcPr>
          <w:p w14:paraId="05B8563E">
            <w:pPr>
              <w:spacing w:line="360" w:lineRule="auto"/>
              <w:jc w:val="center"/>
              <w:rPr>
                <w:rFonts w:ascii="宋体" w:hAnsi="宋体" w:cs="宋体"/>
                <w:color w:val="auto"/>
                <w:sz w:val="24"/>
              </w:rPr>
            </w:pPr>
          </w:p>
        </w:tc>
        <w:tc>
          <w:tcPr>
            <w:tcW w:w="864" w:type="dxa"/>
            <w:vAlign w:val="center"/>
          </w:tcPr>
          <w:p w14:paraId="11AFB469">
            <w:pPr>
              <w:spacing w:line="360" w:lineRule="auto"/>
              <w:jc w:val="center"/>
              <w:rPr>
                <w:rFonts w:ascii="宋体" w:hAnsi="宋体" w:cs="宋体"/>
                <w:color w:val="auto"/>
                <w:sz w:val="24"/>
              </w:rPr>
            </w:pPr>
          </w:p>
        </w:tc>
        <w:tc>
          <w:tcPr>
            <w:tcW w:w="1476" w:type="dxa"/>
            <w:vAlign w:val="center"/>
          </w:tcPr>
          <w:p w14:paraId="3E11F085">
            <w:pPr>
              <w:spacing w:line="360" w:lineRule="auto"/>
              <w:jc w:val="center"/>
              <w:rPr>
                <w:rFonts w:ascii="宋体" w:hAnsi="宋体" w:cs="宋体"/>
                <w:color w:val="auto"/>
                <w:sz w:val="24"/>
              </w:rPr>
            </w:pPr>
          </w:p>
        </w:tc>
        <w:tc>
          <w:tcPr>
            <w:tcW w:w="2160" w:type="dxa"/>
            <w:vAlign w:val="center"/>
          </w:tcPr>
          <w:p w14:paraId="35324D75">
            <w:pPr>
              <w:spacing w:line="360" w:lineRule="auto"/>
              <w:jc w:val="center"/>
              <w:rPr>
                <w:rFonts w:ascii="宋体" w:hAnsi="宋体" w:cs="宋体"/>
                <w:color w:val="auto"/>
                <w:sz w:val="24"/>
              </w:rPr>
            </w:pPr>
          </w:p>
        </w:tc>
      </w:tr>
      <w:tr w14:paraId="156B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8512C56">
            <w:pPr>
              <w:spacing w:line="360" w:lineRule="auto"/>
              <w:jc w:val="center"/>
              <w:rPr>
                <w:rFonts w:ascii="宋体" w:hAnsi="宋体" w:cs="宋体"/>
                <w:color w:val="auto"/>
                <w:sz w:val="24"/>
              </w:rPr>
            </w:pPr>
            <w:r>
              <w:rPr>
                <w:rFonts w:hint="eastAsia" w:ascii="宋体" w:hAnsi="宋体" w:cs="宋体"/>
                <w:color w:val="auto"/>
                <w:sz w:val="24"/>
              </w:rPr>
              <w:t>3</w:t>
            </w:r>
          </w:p>
        </w:tc>
        <w:tc>
          <w:tcPr>
            <w:tcW w:w="1728" w:type="dxa"/>
            <w:vAlign w:val="center"/>
          </w:tcPr>
          <w:p w14:paraId="39527D33">
            <w:pPr>
              <w:spacing w:line="360" w:lineRule="auto"/>
              <w:jc w:val="center"/>
              <w:rPr>
                <w:rFonts w:ascii="宋体" w:hAnsi="宋体" w:cs="宋体"/>
                <w:color w:val="auto"/>
                <w:sz w:val="24"/>
              </w:rPr>
            </w:pPr>
          </w:p>
        </w:tc>
        <w:tc>
          <w:tcPr>
            <w:tcW w:w="1692" w:type="dxa"/>
            <w:vAlign w:val="center"/>
          </w:tcPr>
          <w:p w14:paraId="26603586">
            <w:pPr>
              <w:spacing w:line="360" w:lineRule="auto"/>
              <w:jc w:val="center"/>
              <w:rPr>
                <w:rFonts w:ascii="宋体" w:hAnsi="宋体" w:cs="宋体"/>
                <w:color w:val="auto"/>
                <w:sz w:val="24"/>
              </w:rPr>
            </w:pPr>
          </w:p>
        </w:tc>
        <w:tc>
          <w:tcPr>
            <w:tcW w:w="864" w:type="dxa"/>
            <w:vAlign w:val="center"/>
          </w:tcPr>
          <w:p w14:paraId="6CE0E896">
            <w:pPr>
              <w:spacing w:line="360" w:lineRule="auto"/>
              <w:jc w:val="center"/>
              <w:rPr>
                <w:rFonts w:ascii="宋体" w:hAnsi="宋体" w:cs="宋体"/>
                <w:color w:val="auto"/>
                <w:sz w:val="24"/>
              </w:rPr>
            </w:pPr>
          </w:p>
        </w:tc>
        <w:tc>
          <w:tcPr>
            <w:tcW w:w="1476" w:type="dxa"/>
            <w:vAlign w:val="center"/>
          </w:tcPr>
          <w:p w14:paraId="680C59B2">
            <w:pPr>
              <w:spacing w:line="360" w:lineRule="auto"/>
              <w:jc w:val="center"/>
              <w:rPr>
                <w:rFonts w:ascii="宋体" w:hAnsi="宋体" w:cs="宋体"/>
                <w:color w:val="auto"/>
                <w:sz w:val="24"/>
              </w:rPr>
            </w:pPr>
          </w:p>
        </w:tc>
        <w:tc>
          <w:tcPr>
            <w:tcW w:w="2160" w:type="dxa"/>
            <w:vAlign w:val="center"/>
          </w:tcPr>
          <w:p w14:paraId="5382B2BF">
            <w:pPr>
              <w:spacing w:line="360" w:lineRule="auto"/>
              <w:jc w:val="center"/>
              <w:rPr>
                <w:rFonts w:ascii="宋体" w:hAnsi="宋体" w:cs="宋体"/>
                <w:color w:val="auto"/>
                <w:sz w:val="24"/>
              </w:rPr>
            </w:pPr>
          </w:p>
        </w:tc>
      </w:tr>
      <w:tr w14:paraId="0F05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6AAF6C0">
            <w:pPr>
              <w:spacing w:line="360" w:lineRule="auto"/>
              <w:jc w:val="center"/>
              <w:rPr>
                <w:rFonts w:ascii="宋体" w:hAnsi="宋体" w:cs="宋体"/>
                <w:color w:val="auto"/>
                <w:sz w:val="24"/>
              </w:rPr>
            </w:pPr>
            <w:r>
              <w:rPr>
                <w:rFonts w:hint="eastAsia" w:ascii="宋体" w:hAnsi="宋体" w:cs="宋体"/>
                <w:color w:val="auto"/>
                <w:sz w:val="24"/>
              </w:rPr>
              <w:t>4</w:t>
            </w:r>
          </w:p>
        </w:tc>
        <w:tc>
          <w:tcPr>
            <w:tcW w:w="1728" w:type="dxa"/>
            <w:vAlign w:val="center"/>
          </w:tcPr>
          <w:p w14:paraId="5B59E045">
            <w:pPr>
              <w:spacing w:line="360" w:lineRule="auto"/>
              <w:jc w:val="center"/>
              <w:rPr>
                <w:rFonts w:ascii="宋体" w:hAnsi="宋体" w:cs="宋体"/>
                <w:color w:val="auto"/>
                <w:sz w:val="24"/>
              </w:rPr>
            </w:pPr>
          </w:p>
        </w:tc>
        <w:tc>
          <w:tcPr>
            <w:tcW w:w="1692" w:type="dxa"/>
            <w:vAlign w:val="center"/>
          </w:tcPr>
          <w:p w14:paraId="6FB0DD9C">
            <w:pPr>
              <w:spacing w:line="360" w:lineRule="auto"/>
              <w:jc w:val="center"/>
              <w:rPr>
                <w:rFonts w:ascii="宋体" w:hAnsi="宋体" w:cs="宋体"/>
                <w:color w:val="auto"/>
                <w:sz w:val="24"/>
              </w:rPr>
            </w:pPr>
          </w:p>
        </w:tc>
        <w:tc>
          <w:tcPr>
            <w:tcW w:w="864" w:type="dxa"/>
            <w:vAlign w:val="center"/>
          </w:tcPr>
          <w:p w14:paraId="1EFF6B0B">
            <w:pPr>
              <w:spacing w:line="360" w:lineRule="auto"/>
              <w:jc w:val="center"/>
              <w:rPr>
                <w:rFonts w:ascii="宋体" w:hAnsi="宋体" w:cs="宋体"/>
                <w:color w:val="auto"/>
                <w:sz w:val="24"/>
              </w:rPr>
            </w:pPr>
          </w:p>
        </w:tc>
        <w:tc>
          <w:tcPr>
            <w:tcW w:w="1476" w:type="dxa"/>
            <w:vAlign w:val="center"/>
          </w:tcPr>
          <w:p w14:paraId="32D7E3BF">
            <w:pPr>
              <w:spacing w:line="360" w:lineRule="auto"/>
              <w:jc w:val="center"/>
              <w:rPr>
                <w:rFonts w:ascii="宋体" w:hAnsi="宋体" w:cs="宋体"/>
                <w:color w:val="auto"/>
                <w:sz w:val="24"/>
              </w:rPr>
            </w:pPr>
          </w:p>
        </w:tc>
        <w:tc>
          <w:tcPr>
            <w:tcW w:w="2160" w:type="dxa"/>
            <w:vAlign w:val="center"/>
          </w:tcPr>
          <w:p w14:paraId="569C215A">
            <w:pPr>
              <w:spacing w:line="360" w:lineRule="auto"/>
              <w:jc w:val="center"/>
              <w:rPr>
                <w:rFonts w:ascii="宋体" w:hAnsi="宋体" w:cs="宋体"/>
                <w:color w:val="auto"/>
                <w:sz w:val="24"/>
              </w:rPr>
            </w:pPr>
          </w:p>
        </w:tc>
      </w:tr>
      <w:tr w14:paraId="6665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343E232">
            <w:pPr>
              <w:spacing w:line="360" w:lineRule="auto"/>
              <w:jc w:val="center"/>
              <w:rPr>
                <w:rFonts w:ascii="宋体" w:hAnsi="宋体" w:cs="宋体"/>
                <w:color w:val="auto"/>
                <w:sz w:val="24"/>
              </w:rPr>
            </w:pPr>
            <w:r>
              <w:rPr>
                <w:rFonts w:hint="eastAsia" w:ascii="宋体" w:hAnsi="宋体" w:cs="宋体"/>
                <w:color w:val="auto"/>
                <w:sz w:val="24"/>
              </w:rPr>
              <w:t>5</w:t>
            </w:r>
          </w:p>
        </w:tc>
        <w:tc>
          <w:tcPr>
            <w:tcW w:w="1728" w:type="dxa"/>
            <w:vAlign w:val="center"/>
          </w:tcPr>
          <w:p w14:paraId="639EE404">
            <w:pPr>
              <w:spacing w:line="360" w:lineRule="auto"/>
              <w:jc w:val="center"/>
              <w:rPr>
                <w:rFonts w:ascii="宋体" w:hAnsi="宋体" w:cs="宋体"/>
                <w:color w:val="auto"/>
                <w:sz w:val="24"/>
              </w:rPr>
            </w:pPr>
          </w:p>
        </w:tc>
        <w:tc>
          <w:tcPr>
            <w:tcW w:w="1692" w:type="dxa"/>
            <w:vAlign w:val="center"/>
          </w:tcPr>
          <w:p w14:paraId="7436320C">
            <w:pPr>
              <w:spacing w:line="360" w:lineRule="auto"/>
              <w:jc w:val="center"/>
              <w:rPr>
                <w:rFonts w:ascii="宋体" w:hAnsi="宋体" w:cs="宋体"/>
                <w:color w:val="auto"/>
                <w:sz w:val="24"/>
              </w:rPr>
            </w:pPr>
          </w:p>
        </w:tc>
        <w:tc>
          <w:tcPr>
            <w:tcW w:w="864" w:type="dxa"/>
            <w:vAlign w:val="center"/>
          </w:tcPr>
          <w:p w14:paraId="42628BCD">
            <w:pPr>
              <w:spacing w:line="360" w:lineRule="auto"/>
              <w:jc w:val="center"/>
              <w:rPr>
                <w:rFonts w:ascii="宋体" w:hAnsi="宋体" w:cs="宋体"/>
                <w:color w:val="auto"/>
                <w:sz w:val="24"/>
              </w:rPr>
            </w:pPr>
          </w:p>
        </w:tc>
        <w:tc>
          <w:tcPr>
            <w:tcW w:w="1476" w:type="dxa"/>
            <w:vAlign w:val="center"/>
          </w:tcPr>
          <w:p w14:paraId="1D2D7A81">
            <w:pPr>
              <w:spacing w:line="360" w:lineRule="auto"/>
              <w:jc w:val="center"/>
              <w:rPr>
                <w:rFonts w:ascii="宋体" w:hAnsi="宋体" w:cs="宋体"/>
                <w:color w:val="auto"/>
                <w:sz w:val="24"/>
              </w:rPr>
            </w:pPr>
          </w:p>
        </w:tc>
        <w:tc>
          <w:tcPr>
            <w:tcW w:w="2160" w:type="dxa"/>
            <w:vAlign w:val="center"/>
          </w:tcPr>
          <w:p w14:paraId="773A7254">
            <w:pPr>
              <w:spacing w:line="360" w:lineRule="auto"/>
              <w:jc w:val="center"/>
              <w:rPr>
                <w:rFonts w:ascii="宋体" w:hAnsi="宋体" w:cs="宋体"/>
                <w:color w:val="auto"/>
                <w:sz w:val="24"/>
              </w:rPr>
            </w:pPr>
          </w:p>
        </w:tc>
      </w:tr>
    </w:tbl>
    <w:p w14:paraId="05964B25">
      <w:pPr>
        <w:spacing w:line="360" w:lineRule="auto"/>
        <w:rPr>
          <w:rFonts w:ascii="宋体" w:hAnsi="宋体" w:cs="宋体"/>
          <w:color w:val="auto"/>
          <w:sz w:val="24"/>
        </w:rPr>
      </w:pPr>
    </w:p>
    <w:p w14:paraId="273E2E4C">
      <w:pPr>
        <w:spacing w:line="360" w:lineRule="auto"/>
        <w:rPr>
          <w:rFonts w:ascii="宋体" w:hAnsi="宋体" w:cs="宋体"/>
          <w:color w:val="auto"/>
          <w:sz w:val="24"/>
        </w:rPr>
      </w:pPr>
      <w:r>
        <w:rPr>
          <w:rFonts w:hint="eastAsia" w:ascii="宋体" w:hAnsi="宋体" w:cs="宋体"/>
          <w:color w:val="auto"/>
          <w:sz w:val="24"/>
        </w:rPr>
        <w:t>使用单位(大中队签字盖章)：</w:t>
      </w:r>
    </w:p>
    <w:p w14:paraId="3CED48C7">
      <w:pPr>
        <w:spacing w:line="360" w:lineRule="auto"/>
        <w:rPr>
          <w:rFonts w:ascii="宋体" w:hAnsi="宋体" w:cs="宋体"/>
          <w:color w:val="auto"/>
          <w:sz w:val="24"/>
        </w:rPr>
      </w:pPr>
    </w:p>
    <w:p w14:paraId="58501C14">
      <w:pPr>
        <w:spacing w:line="360" w:lineRule="auto"/>
        <w:rPr>
          <w:rFonts w:ascii="宋体" w:hAnsi="宋体" w:cs="宋体"/>
          <w:color w:val="auto"/>
          <w:sz w:val="24"/>
        </w:rPr>
      </w:pPr>
      <w:r>
        <w:rPr>
          <w:rFonts w:hint="eastAsia" w:ascii="宋体" w:hAnsi="宋体" w:cs="宋体"/>
          <w:color w:val="auto"/>
          <w:sz w:val="24"/>
        </w:rPr>
        <w:t>审核单位(支队签字盖章)：</w:t>
      </w:r>
    </w:p>
    <w:p w14:paraId="2F54E884">
      <w:pPr>
        <w:spacing w:line="360" w:lineRule="auto"/>
        <w:rPr>
          <w:rFonts w:ascii="宋体" w:hAnsi="宋体" w:cs="宋体"/>
          <w:color w:val="auto"/>
          <w:sz w:val="24"/>
        </w:rPr>
      </w:pPr>
      <w:r>
        <w:rPr>
          <w:rFonts w:hint="eastAsia" w:ascii="宋体" w:hAnsi="宋体" w:cs="宋体"/>
          <w:color w:val="auto"/>
          <w:sz w:val="24"/>
        </w:rPr>
        <w:t>联系人：</w:t>
      </w:r>
    </w:p>
    <w:p w14:paraId="5AA9471D">
      <w:pPr>
        <w:spacing w:line="360" w:lineRule="auto"/>
        <w:rPr>
          <w:rFonts w:ascii="宋体" w:hAnsi="宋体" w:cs="宋体"/>
          <w:color w:val="auto"/>
          <w:sz w:val="24"/>
        </w:rPr>
      </w:pPr>
      <w:r>
        <w:rPr>
          <w:rFonts w:hint="eastAsia" w:ascii="宋体" w:hAnsi="宋体" w:cs="宋体"/>
          <w:color w:val="auto"/>
          <w:sz w:val="24"/>
        </w:rPr>
        <w:t>联系电话：</w:t>
      </w:r>
    </w:p>
    <w:p w14:paraId="168CB23D">
      <w:pPr>
        <w:spacing w:line="360" w:lineRule="auto"/>
        <w:rPr>
          <w:rFonts w:ascii="宋体" w:hAnsi="宋体" w:cs="宋体"/>
          <w:color w:val="auto"/>
          <w:sz w:val="24"/>
        </w:rPr>
      </w:pPr>
      <w:r>
        <w:rPr>
          <w:rFonts w:hint="eastAsia" w:ascii="宋体" w:hAnsi="宋体" w:cs="宋体"/>
          <w:color w:val="auto"/>
          <w:sz w:val="24"/>
        </w:rPr>
        <w:t>日期：    年  月  日</w:t>
      </w:r>
    </w:p>
    <w:p w14:paraId="159CC09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cs="宋体"/>
          <w:color w:val="auto"/>
          <w:sz w:val="24"/>
        </w:rPr>
      </w:pPr>
      <w:r>
        <w:rPr>
          <w:rFonts w:hint="eastAsia" w:ascii="宋体" w:hAnsi="宋体" w:cs="宋体"/>
          <w:color w:val="auto"/>
          <w:sz w:val="24"/>
        </w:rPr>
        <w:t>注：本证明文件由使用单位打印填写，由审核单位查对后签字盖章。本证明文件一式三份，</w:t>
      </w:r>
      <w:r>
        <w:rPr>
          <w:rFonts w:hint="eastAsia" w:ascii="宋体" w:hAnsi="宋体" w:eastAsia="宋体" w:cs="宋体"/>
          <w:color w:val="auto"/>
          <w:kern w:val="0"/>
          <w:sz w:val="24"/>
          <w:szCs w:val="24"/>
          <w:lang w:val="en-US" w:eastAsia="zh-CN" w:bidi="ar"/>
        </w:rPr>
        <w:t>一份交采购人做 1%履约保证金退还支付凭证</w:t>
      </w:r>
      <w:r>
        <w:rPr>
          <w:rFonts w:hint="eastAsia" w:ascii="宋体" w:hAnsi="宋体" w:cs="宋体"/>
          <w:color w:val="auto"/>
          <w:sz w:val="24"/>
        </w:rPr>
        <w:t>，一份由使用单位留存，一份由供应商留存。</w:t>
      </w:r>
    </w:p>
    <w:p w14:paraId="6003AB07">
      <w:pPr>
        <w:spacing w:line="360" w:lineRule="auto"/>
        <w:rPr>
          <w:rFonts w:ascii="宋体" w:hAnsi="宋体" w:cs="宋体"/>
          <w:b/>
          <w:color w:val="auto"/>
          <w:sz w:val="24"/>
        </w:rPr>
        <w:sectPr>
          <w:footerReference r:id="rId12" w:type="first"/>
          <w:pgSz w:w="11906" w:h="16838"/>
          <w:pgMar w:top="1440" w:right="1800" w:bottom="1440" w:left="1800" w:header="851" w:footer="992" w:gutter="0"/>
          <w:cols w:space="720" w:num="1"/>
          <w:titlePg/>
          <w:docGrid w:type="lines" w:linePitch="312" w:charSpace="0"/>
        </w:sectPr>
      </w:pPr>
      <w:bookmarkStart w:id="26" w:name="_Toc12849"/>
      <w:bookmarkStart w:id="27" w:name="_Toc19244"/>
    </w:p>
    <w:p w14:paraId="29CDC410">
      <w:pPr>
        <w:spacing w:line="360" w:lineRule="auto"/>
        <w:rPr>
          <w:rFonts w:ascii="宋体" w:hAnsi="宋体" w:cs="宋体"/>
          <w:b/>
          <w:bCs/>
          <w:color w:val="auto"/>
          <w:sz w:val="28"/>
          <w:szCs w:val="28"/>
        </w:rPr>
      </w:pPr>
      <w:r>
        <w:rPr>
          <w:rFonts w:hint="eastAsia" w:ascii="宋体" w:hAnsi="宋体" w:cs="宋体"/>
          <w:b/>
          <w:color w:val="auto"/>
          <w:sz w:val="28"/>
          <w:szCs w:val="28"/>
        </w:rPr>
        <w:t>附件3：</w:t>
      </w:r>
      <w:r>
        <w:rPr>
          <w:rFonts w:hint="eastAsia" w:ascii="宋体" w:hAnsi="宋体" w:cs="宋体"/>
          <w:b/>
          <w:bCs/>
          <w:color w:val="auto"/>
          <w:sz w:val="28"/>
          <w:szCs w:val="28"/>
        </w:rPr>
        <w:t>承诺书</w:t>
      </w:r>
    </w:p>
    <w:p w14:paraId="4EC8679C">
      <w:pPr>
        <w:spacing w:line="360" w:lineRule="auto"/>
        <w:rPr>
          <w:rFonts w:ascii="宋体" w:hAnsi="宋体" w:cs="宋体"/>
          <w:b/>
          <w:bCs/>
          <w:color w:val="auto"/>
          <w:sz w:val="24"/>
        </w:rPr>
      </w:pPr>
    </w:p>
    <w:p w14:paraId="4DF05490">
      <w:pPr>
        <w:spacing w:line="360" w:lineRule="auto"/>
        <w:rPr>
          <w:rFonts w:ascii="宋体" w:hAnsi="宋体" w:cs="宋体"/>
          <w:b/>
          <w:bCs/>
          <w:color w:val="auto"/>
          <w:sz w:val="24"/>
        </w:rPr>
      </w:pPr>
    </w:p>
    <w:p w14:paraId="275E41D5">
      <w:pPr>
        <w:spacing w:line="360" w:lineRule="auto"/>
        <w:rPr>
          <w:rFonts w:hint="eastAsia" w:ascii="宋体" w:hAnsi="宋体" w:cs="宋体"/>
          <w:b/>
          <w:bCs/>
          <w:color w:val="auto"/>
          <w:sz w:val="28"/>
          <w:szCs w:val="28"/>
        </w:rPr>
      </w:pPr>
      <w:r>
        <w:rPr>
          <w:rFonts w:hint="eastAsia" w:ascii="宋体" w:hAnsi="宋体" w:cs="宋体"/>
          <w:b/>
          <w:bCs/>
          <w:color w:val="auto"/>
          <w:sz w:val="28"/>
          <w:szCs w:val="28"/>
        </w:rPr>
        <w:t>附件4：投标报价明细表、技术参数（投标文件技术响应表参数资料）、配置清单及相关资料（乙方提供）</w:t>
      </w:r>
    </w:p>
    <w:p w14:paraId="09108EDB">
      <w:pPr>
        <w:spacing w:line="360" w:lineRule="auto"/>
        <w:rPr>
          <w:rFonts w:hint="eastAsia" w:ascii="宋体" w:hAnsi="宋体" w:cs="宋体"/>
          <w:b/>
          <w:bCs/>
          <w:color w:val="auto"/>
          <w:sz w:val="28"/>
          <w:szCs w:val="28"/>
        </w:rPr>
      </w:pPr>
    </w:p>
    <w:p w14:paraId="59E1594D">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附件 5： </w:t>
      </w:r>
    </w:p>
    <w:p w14:paraId="6595B4CC">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《浙江省消防救援总队关于印发浙江省消防救援队伍灭火救援装备验收管理规</w:t>
      </w:r>
    </w:p>
    <w:p w14:paraId="058C9FFD">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定（试行）的通知》</w:t>
      </w:r>
    </w:p>
    <w:p w14:paraId="079EA36E">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第一章总 则 </w:t>
      </w:r>
    </w:p>
    <w:p w14:paraId="60C4E84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第一条 为规范全省消防救援队伍灭火救援装备验收工作，保证装备质量，保护 </w:t>
      </w:r>
    </w:p>
    <w:p w14:paraId="3E7D6F9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采购当事人的合法权益，按照消防救援局《消防救援队伍政府采购管理暂行办法》 </w:t>
      </w:r>
    </w:p>
    <w:p w14:paraId="59A019C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（应急消〔2021〕1 号）及总队相关采购管理规定，结合全省消防救援队伍实际， </w:t>
      </w:r>
    </w:p>
    <w:p w14:paraId="1A3820C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制定本规定。 </w:t>
      </w:r>
    </w:p>
    <w:p w14:paraId="6763CA7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第二条 本规定适用于全省消防救援队伍新购、调拨、捐赠等用于灭火救援的装 </w:t>
      </w:r>
    </w:p>
    <w:p w14:paraId="743CAF8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备验收工作。所指灭火救援装备（以下统称“装备”）包括消防车辆、消防船艇、 </w:t>
      </w:r>
    </w:p>
    <w:p w14:paraId="30A88BB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消防飞行器、消防员防护装备、抢险救援器材、灭火器材、灭火药剂等用于消防 </w:t>
      </w:r>
    </w:p>
    <w:p w14:paraId="1B0427E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救援队伍完成灭火救援和训练、信息通信、战勤保障等任务的车辆、器材和物资。 </w:t>
      </w:r>
    </w:p>
    <w:p w14:paraId="2401717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第三条 本规定所指装备验收是指依据相关国家或行业标准以及采购合同、响应 </w:t>
      </w:r>
    </w:p>
    <w:p w14:paraId="70B8839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文件、补充协议等证明性文件进行的装备数量、规格型号、外观标识、检测报告 </w:t>
      </w:r>
    </w:p>
    <w:p w14:paraId="774A5E0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或产品认证、质量性能的验收检查行为。 </w:t>
      </w:r>
    </w:p>
    <w:p w14:paraId="179E0E9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第四条 本规定所指装备验收的权限划分为，总队签订装备采购合同的由总队组 </w:t>
      </w:r>
    </w:p>
    <w:p w14:paraId="5B45711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织实施，支队签订装备采购合同的由支队组织实施。其中，消防车辆先由总队委 </w:t>
      </w:r>
    </w:p>
    <w:p w14:paraId="0120FD3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托中国救援浙江机动专业支队开展水力性能等测试；同一厂家同一批次采购的消 </w:t>
      </w:r>
    </w:p>
    <w:p w14:paraId="5FE4EEC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防器材，且合同金额累加超过 500 万元的支队验收项目，由总队随机安排其他支队进行交叉验收。 </w:t>
      </w:r>
    </w:p>
    <w:p w14:paraId="2465BD8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第五条 装备验收人员应严格遵守各项法律法规，保持廉洁自律，自觉接受各级监督。按照“谁验收谁负责、谁签字谁负责”原则，严格执行验收管理有关规定， </w:t>
      </w:r>
    </w:p>
    <w:p w14:paraId="43501A6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不弄虚作假，不敷衍塞责，对发现有违法违纪违规等行为的实行责任倒查，并按 </w:t>
      </w:r>
    </w:p>
    <w:p w14:paraId="399E5EB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相关规定和程序追究相关人员责任。对于工作认真负责，严格把好验收关口，有 </w:t>
      </w:r>
    </w:p>
    <w:p w14:paraId="149F3BD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效维护单位利益的人员要予以褒奖。 </w:t>
      </w:r>
    </w:p>
    <w:p w14:paraId="155339B1">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第二章 </w:t>
      </w:r>
    </w:p>
    <w:p w14:paraId="6CBA2238">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组织机构 </w:t>
      </w:r>
    </w:p>
    <w:p w14:paraId="2730DF7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第六条 在总（支）队党委统一领导下成立装备验收领导小组，组长由总（支） </w:t>
      </w:r>
    </w:p>
    <w:p w14:paraId="5BC3AF9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队主官担任，副组长由分管后勤装备、战勤保障的领导担任，成员由采购办、后 </w:t>
      </w:r>
    </w:p>
    <w:p w14:paraId="74DD203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勤装备处（科）、战勤保障处（科）、作战训练处（科）、信息通信处（科）等 </w:t>
      </w:r>
    </w:p>
    <w:p w14:paraId="64CB770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需求部门相关人员组成。负责验收过程的组织、实施、监督和验收档案归档等工 </w:t>
      </w:r>
    </w:p>
    <w:p w14:paraId="2435D6F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作。</w:t>
      </w:r>
    </w:p>
    <w:p w14:paraId="05D5465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第七条 总（支）队要建立装备验收人员库，由装备质量检验员，战训、信通、装备等业务骨干和专业机构专家组成。装备验收库人员应具备以下条件： </w:t>
      </w:r>
    </w:p>
    <w:p w14:paraId="5D19E29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（一）具有良好的职业道德和较高的业务素质； </w:t>
      </w:r>
    </w:p>
    <w:p w14:paraId="300A0BF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（二）具备消防装备、作战、通信等相关领域中级专业技术职称以上或从事该岗 </w:t>
      </w:r>
    </w:p>
    <w:p w14:paraId="6DBA445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位累计满 5 年； </w:t>
      </w:r>
    </w:p>
    <w:p w14:paraId="0522A07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（三）无违法违规等不良行为记录。 </w:t>
      </w:r>
    </w:p>
    <w:p w14:paraId="1129C30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各支队组建的装备验收人员库每年或有人员调整变动要及时上报总队后勤装备 </w:t>
      </w:r>
    </w:p>
    <w:p w14:paraId="55446C8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处备案。 </w:t>
      </w:r>
    </w:p>
    <w:p w14:paraId="45379BAF">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验收程序和内容 </w:t>
      </w:r>
    </w:p>
    <w:p w14:paraId="1ACFE9D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第八条 装备验收按照验收申请、验收准备、现场验收、验收结论等程序进行。 </w:t>
      </w:r>
    </w:p>
    <w:p w14:paraId="2137D0B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验收结论应当及时向供应商反馈，并监督供应商按照合同及验收结论履行相关义 </w:t>
      </w:r>
    </w:p>
    <w:p w14:paraId="2D19389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务。 </w:t>
      </w:r>
    </w:p>
    <w:p w14:paraId="56199EB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第九条 验收申请。消防装备供应商按照合同约定将采购的消防装备运送至指定 </w:t>
      </w:r>
    </w:p>
    <w:p w14:paraId="70CCFC2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地点后，向总（支）队提交验收申请，总（支）队根据实际确定验收时间、地点， </w:t>
      </w:r>
    </w:p>
    <w:p w14:paraId="78AD36F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并向装备验收领导小组报告，同意后方可组织实施。除不可抗力因素外，验收开 </w:t>
      </w:r>
    </w:p>
    <w:p w14:paraId="2942CC6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始时间原则上为消防车辆到货 5 个工作日内、器材到货 10 个工作日内。 </w:t>
      </w:r>
    </w:p>
    <w:p w14:paraId="35A0E24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第十条 验收准备。验收前，验收领导小组根据拟验收装备类别提前一天从装备验收人员库中随机抽取验收人员，组成验收小组。验收小组由组长、装备质量检验员、战训、信通和装备业务骨干等组成，人数不少于 5 人。参与该验收项目评标和测试的人员不得作为该项目验收小组人员。验收前要对抽取的验收人员开展廉政谈话。 </w:t>
      </w:r>
    </w:p>
    <w:p w14:paraId="3E8A1A7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验收小组应根据验收装备类别制定验收装备检查测试方案，准备验收所需设备、 </w:t>
      </w:r>
    </w:p>
    <w:p w14:paraId="62EC12C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工具，对验收装备的采购合同、补充协议、招投标文件、测试样品和数据等进行 </w:t>
      </w:r>
    </w:p>
    <w:p w14:paraId="3C87308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熟悉。 </w:t>
      </w:r>
    </w:p>
    <w:p w14:paraId="0B3D49A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第十一条 现场验收。主要包括装备一致性检查和装备质量性能检测。现场验收时，验收装备供应商代表应在场，验收现场应组织严密，全程录像。 </w:t>
      </w:r>
    </w:p>
    <w:p w14:paraId="7C0103F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一致性检查内容：1.资料审查：检查装备产品认证证书、检测报告、产品合格证、 </w:t>
      </w:r>
    </w:p>
    <w:p w14:paraId="0BC1BC0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车辆公告信息、进口装备报关资料、使用说明书等是否齐全、有效。2.数量外观 </w:t>
      </w:r>
    </w:p>
    <w:p w14:paraId="0C186D3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检查：检查装备数量以及装备外观、颜色、光亮度、永久性铭牌标识、装备编码 </w:t>
      </w:r>
    </w:p>
    <w:p w14:paraId="67834D0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等是否符合。3.部件检查：检查装备各组成部件是否齐全、规格型号是否与响应 </w:t>
      </w:r>
    </w:p>
    <w:p w14:paraId="17E848A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文件一致等。4.履约时间核查：对照合同约定的交货期限核算供应商是否按期交 </w:t>
      </w:r>
    </w:p>
    <w:p w14:paraId="2296AE9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货。 </w:t>
      </w:r>
    </w:p>
    <w:p w14:paraId="09093BE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装备质量性能检测内容：按照验收小组制定的装备验收检查测试方案，利用装备 </w:t>
      </w:r>
    </w:p>
    <w:p w14:paraId="34A968F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验收检测工具等设备，检测核对验收装备质量性能是否满足相关标准和投标响应 </w:t>
      </w:r>
    </w:p>
    <w:p w14:paraId="467F9D1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文件技术性能参数要求。现场验收检查过程中，对装备质量性能情况难以判定的， </w:t>
      </w:r>
    </w:p>
    <w:p w14:paraId="3A78472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可对验收装备进行抽样，送具有资质的国家级装备产品检测机构进行检测，出具 </w:t>
      </w:r>
    </w:p>
    <w:p w14:paraId="6D7DE14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的检测报告。 </w:t>
      </w:r>
    </w:p>
    <w:p w14:paraId="13498E0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第十二条 验收结论。验收小组应根据装备验收检查测试情况，本着依法依规、 </w:t>
      </w:r>
    </w:p>
    <w:p w14:paraId="027A039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客观公正、符合实战的原则，综合判定验收结果，形成验收结论（涉及抽样送检 </w:t>
      </w:r>
    </w:p>
    <w:p w14:paraId="402D86B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的验收装备，验收结论待送检装备检测报告出具后确定），填写装备验收单，验 </w:t>
      </w:r>
    </w:p>
    <w:p w14:paraId="748AFD9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收小组人员和装备供应商代表共同签字确认。验收结论分为合格、整改合格、不 </w:t>
      </w:r>
    </w:p>
    <w:p w14:paraId="7CA607C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合格，验收情况及时向装备验收领导小组报告。 </w:t>
      </w:r>
    </w:p>
    <w:p w14:paraId="680B798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合格是指所验收装备性能符合或优于技术标准、投标文件响应、合同约定等相关 </w:t>
      </w:r>
    </w:p>
    <w:p w14:paraId="53C2B40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条款的装备。整改合格是指所验收装备供应商暂时未能提供必要法定技术资料， </w:t>
      </w:r>
    </w:p>
    <w:p w14:paraId="36E4EC8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或缺配、更换非主要器材、零配件等，其性能基本符合技术标准、投标文件响应、 </w:t>
      </w:r>
    </w:p>
    <w:p w14:paraId="00EEE46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合同约定等相关条款，不存在安全隐患、不影响灭火救援，且供应商承诺进行限 </w:t>
      </w:r>
    </w:p>
    <w:p w14:paraId="3D03421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期整改的装备。不合格是指所验收装备主要性能不符合技术标准、投标文件响应、 </w:t>
      </w:r>
    </w:p>
    <w:p w14:paraId="49C6DAC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合同约定等相关条款，或不能提供必要法定技术资料、缺配、更换主要器材、零 </w:t>
      </w:r>
    </w:p>
    <w:p w14:paraId="1207228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配件等，存在安全隐患、不能投入执勤备战的装备。 </w:t>
      </w:r>
    </w:p>
    <w:p w14:paraId="70688B7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第十三条 验收合格的装备，应及时配发至使用单位，由供应商到使用单位进行装备操作使用和维护保养培训；验收整改合格的装备，应督促供应商限期整改，整改期限原则上不宜超过 30 天，整改完成后进行复验，合格后配发至使用单位， </w:t>
      </w:r>
    </w:p>
    <w:p w14:paraId="538B339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由供应商开展培训。验收不合格的装备，按照合同约定和总队消防装备供应商诚 </w:t>
      </w:r>
    </w:p>
    <w:p w14:paraId="0EC5D024">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信管理办法进行处理。 </w:t>
      </w:r>
    </w:p>
    <w:p w14:paraId="69A5EA5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第十四条</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装备验收采用全数验收和抽样验收的方式，对于单件价格大于 1 万元的装备，应采用全数验收方式，对交付的所有车辆器材装备进行逐件验收。对于单件金额不大于1万元的装备，一般采用抽样验收方式，每批次同类产品抽检率不得低于 5%且不得少于5件。对于部分性能要求高、技术较为复杂但单价未超过1万元的装备宜采用全数验收方式。 </w:t>
      </w:r>
    </w:p>
    <w:p w14:paraId="6544A678">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第四章 </w:t>
      </w:r>
    </w:p>
    <w:p w14:paraId="620F584E">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档案管理 </w:t>
      </w:r>
    </w:p>
    <w:p w14:paraId="0DC3D92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第十五条 验收档案是指验收活动中形成的反映验收活动过程和结果的具有查 </w:t>
      </w:r>
    </w:p>
    <w:p w14:paraId="251B327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询、证明作用和保存价值的文字、图表、图片、声像等不同形式、不同载体的记 </w:t>
      </w:r>
    </w:p>
    <w:p w14:paraId="609A0BB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录。包括审批文件、验收申请、验收意见、整改情况、视频等及供应商所提供的 </w:t>
      </w:r>
    </w:p>
    <w:p w14:paraId="6BA03F8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相关证明性文件和资料。 </w:t>
      </w:r>
    </w:p>
    <w:p w14:paraId="4BC238D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第十六条 验收活动中的验收档案应当妥善保存，不得伪造、变更、隐匿或者销 </w:t>
      </w:r>
    </w:p>
    <w:p w14:paraId="583C3DE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毁。验收档案由后勤装备等经办业务部门归口存档。 </w:t>
      </w:r>
    </w:p>
    <w:p w14:paraId="6D14920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第五章附则 </w:t>
      </w:r>
    </w:p>
    <w:p w14:paraId="1A30E6D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第十七条 本规定未尽事宜，按照国家相关法律法规执行。各支队依据本规定， </w:t>
      </w:r>
    </w:p>
    <w:p w14:paraId="6AA3A28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结合实际制定本支队装备验收管理规定，报总队备案。 </w:t>
      </w:r>
    </w:p>
    <w:p w14:paraId="5CAF30E3">
      <w:pPr>
        <w:keepNext w:val="0"/>
        <w:keepLines w:val="0"/>
        <w:widowControl/>
        <w:suppressLineNumbers w:val="0"/>
        <w:jc w:val="left"/>
      </w:pPr>
      <w:r>
        <w:rPr>
          <w:rFonts w:hint="eastAsia" w:ascii="宋体" w:hAnsi="宋体" w:eastAsia="宋体" w:cs="宋体"/>
          <w:color w:val="000000"/>
          <w:kern w:val="0"/>
          <w:sz w:val="24"/>
          <w:szCs w:val="24"/>
          <w:lang w:val="en-US" w:eastAsia="zh-CN" w:bidi="ar"/>
        </w:rPr>
        <w:t>第十八条 本规定自颁布之日起施行，由浙江省消防救援总队后勤装备处负责解释。</w:t>
      </w:r>
    </w:p>
    <w:p w14:paraId="13BE1514">
      <w:pPr>
        <w:spacing w:line="360" w:lineRule="auto"/>
        <w:rPr>
          <w:rFonts w:hint="eastAsia" w:ascii="宋体" w:hAnsi="宋体" w:cs="宋体"/>
          <w:b/>
          <w:bCs/>
          <w:color w:val="auto"/>
          <w:sz w:val="28"/>
          <w:szCs w:val="28"/>
        </w:rPr>
      </w:pPr>
    </w:p>
    <w:p w14:paraId="5AC79204">
      <w:pPr>
        <w:spacing w:line="360" w:lineRule="auto"/>
        <w:rPr>
          <w:color w:val="auto"/>
          <w:sz w:val="24"/>
        </w:rPr>
      </w:pPr>
    </w:p>
    <w:bookmarkEnd w:id="26"/>
    <w:bookmarkEnd w:id="27"/>
    <w:p w14:paraId="60FBC413">
      <w:pPr>
        <w:snapToGrid w:val="0"/>
        <w:spacing w:line="360" w:lineRule="auto"/>
        <w:jc w:val="center"/>
        <w:outlineLvl w:val="0"/>
        <w:rPr>
          <w:rFonts w:ascii="宋体" w:hAnsi="宋体" w:cs="宋体"/>
          <w:b/>
          <w:color w:val="auto"/>
          <w:sz w:val="32"/>
          <w:szCs w:val="32"/>
        </w:rPr>
      </w:pPr>
      <w:bookmarkStart w:id="28" w:name="_Toc28239"/>
    </w:p>
    <w:p w14:paraId="70CD2EF9">
      <w:pPr>
        <w:snapToGrid w:val="0"/>
        <w:spacing w:line="360" w:lineRule="auto"/>
        <w:jc w:val="center"/>
        <w:outlineLvl w:val="0"/>
        <w:rPr>
          <w:rFonts w:ascii="宋体" w:hAnsi="宋体" w:cs="宋体"/>
          <w:b/>
          <w:color w:val="auto"/>
          <w:sz w:val="32"/>
          <w:szCs w:val="32"/>
        </w:rPr>
      </w:pPr>
    </w:p>
    <w:p w14:paraId="6C803829">
      <w:pPr>
        <w:snapToGrid w:val="0"/>
        <w:spacing w:line="360" w:lineRule="auto"/>
        <w:jc w:val="center"/>
        <w:outlineLvl w:val="0"/>
        <w:rPr>
          <w:rFonts w:ascii="宋体" w:hAnsi="宋体" w:cs="宋体"/>
          <w:b/>
          <w:color w:val="auto"/>
          <w:sz w:val="32"/>
          <w:szCs w:val="32"/>
        </w:rPr>
      </w:pPr>
    </w:p>
    <w:p w14:paraId="55FD4DDF">
      <w:pPr>
        <w:snapToGrid w:val="0"/>
        <w:spacing w:line="360" w:lineRule="auto"/>
        <w:jc w:val="center"/>
        <w:outlineLvl w:val="0"/>
        <w:rPr>
          <w:rFonts w:ascii="宋体" w:hAnsi="宋体" w:cs="宋体"/>
          <w:b/>
          <w:color w:val="auto"/>
          <w:sz w:val="32"/>
          <w:szCs w:val="32"/>
        </w:rPr>
        <w:sectPr>
          <w:footerReference r:id="rId14" w:type="first"/>
          <w:footerReference r:id="rId13" w:type="default"/>
          <w:pgSz w:w="11906" w:h="16838"/>
          <w:pgMar w:top="1440" w:right="1800" w:bottom="1440" w:left="1800" w:header="851" w:footer="992" w:gutter="0"/>
          <w:cols w:space="720" w:num="1"/>
          <w:titlePg/>
          <w:docGrid w:type="lines" w:linePitch="312" w:charSpace="0"/>
        </w:sectPr>
      </w:pPr>
    </w:p>
    <w:p w14:paraId="3AE42B47">
      <w:pPr>
        <w:snapToGrid w:val="0"/>
        <w:spacing w:line="360" w:lineRule="auto"/>
        <w:jc w:val="center"/>
        <w:outlineLvl w:val="0"/>
        <w:rPr>
          <w:rFonts w:ascii="宋体" w:hAnsi="宋体" w:cs="宋体"/>
          <w:b/>
          <w:bCs/>
          <w:color w:val="auto"/>
          <w:sz w:val="32"/>
          <w:szCs w:val="32"/>
        </w:rPr>
      </w:pPr>
      <w:r>
        <w:rPr>
          <w:rFonts w:hint="eastAsia" w:ascii="宋体" w:hAnsi="宋体" w:cs="宋体"/>
          <w:b/>
          <w:color w:val="auto"/>
          <w:sz w:val="32"/>
          <w:szCs w:val="32"/>
        </w:rPr>
        <w:t>第六部分  投标文件格式</w:t>
      </w:r>
      <w:bookmarkEnd w:id="28"/>
    </w:p>
    <w:p w14:paraId="6D677C1B">
      <w:pPr>
        <w:snapToGrid w:val="0"/>
        <w:spacing w:line="360" w:lineRule="auto"/>
        <w:jc w:val="left"/>
        <w:rPr>
          <w:rFonts w:ascii="宋体" w:hAnsi="宋体" w:cs="宋体"/>
          <w:color w:val="auto"/>
          <w:sz w:val="24"/>
        </w:rPr>
      </w:pPr>
      <w:r>
        <w:rPr>
          <w:rFonts w:hint="eastAsia" w:ascii="宋体" w:hAnsi="宋体" w:cs="宋体"/>
          <w:color w:val="auto"/>
          <w:sz w:val="24"/>
        </w:rPr>
        <w:t>说明：</w:t>
      </w:r>
    </w:p>
    <w:p w14:paraId="36FCF21F">
      <w:pPr>
        <w:snapToGrid w:val="0"/>
        <w:spacing w:line="360" w:lineRule="auto"/>
        <w:jc w:val="left"/>
        <w:rPr>
          <w:rFonts w:ascii="宋体" w:hAnsi="宋体" w:cs="宋体"/>
          <w:color w:val="auto"/>
          <w:sz w:val="24"/>
        </w:rPr>
      </w:pPr>
      <w:r>
        <w:rPr>
          <w:rFonts w:hint="eastAsia" w:ascii="宋体" w:hAnsi="宋体" w:cs="宋体"/>
          <w:color w:val="auto"/>
          <w:sz w:val="24"/>
        </w:rPr>
        <w:t>1.投标文件由投标人根据招标文件要求参照附件格式编制。</w:t>
      </w:r>
    </w:p>
    <w:p w14:paraId="77DDF8C6">
      <w:pPr>
        <w:snapToGrid w:val="0"/>
        <w:spacing w:line="360" w:lineRule="auto"/>
        <w:jc w:val="left"/>
        <w:rPr>
          <w:rFonts w:ascii="宋体" w:hAnsi="宋体" w:cs="宋体"/>
          <w:color w:val="auto"/>
          <w:sz w:val="24"/>
        </w:rPr>
      </w:pPr>
      <w:r>
        <w:rPr>
          <w:rFonts w:hint="eastAsia" w:ascii="宋体" w:hAnsi="宋体" w:cs="宋体"/>
          <w:color w:val="auto"/>
          <w:sz w:val="24"/>
        </w:rPr>
        <w:t>2.投标人根据实际情况填写。</w:t>
      </w:r>
    </w:p>
    <w:p w14:paraId="4228AF3B">
      <w:pPr>
        <w:snapToGrid w:val="0"/>
        <w:spacing w:line="360" w:lineRule="auto"/>
        <w:jc w:val="left"/>
        <w:rPr>
          <w:rFonts w:ascii="宋体" w:hAnsi="宋体" w:cs="宋体"/>
          <w:color w:val="auto"/>
          <w:sz w:val="24"/>
        </w:rPr>
      </w:pPr>
      <w:r>
        <w:rPr>
          <w:rFonts w:hint="eastAsia" w:ascii="宋体" w:hAnsi="宋体" w:cs="宋体"/>
          <w:color w:val="auto"/>
          <w:sz w:val="24"/>
        </w:rPr>
        <w:t>3.招标文件中没有参考格式的，由投标人自行编制。</w:t>
      </w:r>
    </w:p>
    <w:p w14:paraId="0CEC17EB">
      <w:pPr>
        <w:snapToGrid w:val="0"/>
        <w:spacing w:line="360" w:lineRule="auto"/>
        <w:jc w:val="left"/>
        <w:rPr>
          <w:rFonts w:ascii="宋体" w:hAnsi="宋体" w:cs="宋体"/>
          <w:color w:val="auto"/>
          <w:sz w:val="24"/>
        </w:rPr>
      </w:pPr>
    </w:p>
    <w:p w14:paraId="4EF05CE6">
      <w:pPr>
        <w:snapToGrid w:val="0"/>
        <w:spacing w:line="360" w:lineRule="auto"/>
        <w:rPr>
          <w:rFonts w:ascii="宋体" w:hAnsi="宋体" w:cs="宋体"/>
          <w:color w:val="auto"/>
        </w:rPr>
      </w:pPr>
    </w:p>
    <w:p w14:paraId="1C58A609">
      <w:pPr>
        <w:snapToGrid w:val="0"/>
        <w:spacing w:line="360" w:lineRule="auto"/>
        <w:rPr>
          <w:rFonts w:ascii="宋体" w:hAnsi="宋体" w:cs="宋体"/>
          <w:color w:val="auto"/>
        </w:rPr>
      </w:pPr>
    </w:p>
    <w:p w14:paraId="3A97582B">
      <w:pPr>
        <w:snapToGrid w:val="0"/>
        <w:spacing w:line="360" w:lineRule="auto"/>
        <w:rPr>
          <w:rFonts w:ascii="宋体" w:hAnsi="宋体" w:cs="宋体"/>
          <w:color w:val="auto"/>
        </w:rPr>
      </w:pPr>
    </w:p>
    <w:p w14:paraId="4AEBF0A1">
      <w:pPr>
        <w:snapToGrid w:val="0"/>
        <w:spacing w:line="360" w:lineRule="auto"/>
        <w:rPr>
          <w:rFonts w:ascii="宋体" w:hAnsi="宋体" w:cs="宋体"/>
          <w:color w:val="auto"/>
        </w:rPr>
      </w:pPr>
    </w:p>
    <w:p w14:paraId="553FE1DC">
      <w:pPr>
        <w:snapToGrid w:val="0"/>
        <w:spacing w:line="360" w:lineRule="auto"/>
        <w:rPr>
          <w:rFonts w:ascii="宋体" w:hAnsi="宋体" w:cs="宋体"/>
          <w:color w:val="auto"/>
        </w:rPr>
      </w:pPr>
    </w:p>
    <w:p w14:paraId="6483E10C">
      <w:pPr>
        <w:snapToGrid w:val="0"/>
        <w:spacing w:line="360" w:lineRule="auto"/>
        <w:rPr>
          <w:rFonts w:ascii="宋体" w:hAnsi="宋体" w:cs="宋体"/>
          <w:color w:val="auto"/>
        </w:rPr>
      </w:pPr>
    </w:p>
    <w:p w14:paraId="7302DB52">
      <w:pPr>
        <w:snapToGrid w:val="0"/>
        <w:spacing w:line="360" w:lineRule="auto"/>
        <w:rPr>
          <w:rFonts w:ascii="宋体" w:hAnsi="宋体" w:cs="宋体"/>
          <w:color w:val="auto"/>
        </w:rPr>
      </w:pPr>
    </w:p>
    <w:p w14:paraId="2E27EFE3">
      <w:pPr>
        <w:snapToGrid w:val="0"/>
        <w:spacing w:line="360" w:lineRule="auto"/>
        <w:rPr>
          <w:rFonts w:ascii="宋体" w:hAnsi="宋体" w:cs="宋体"/>
          <w:color w:val="auto"/>
        </w:rPr>
      </w:pPr>
    </w:p>
    <w:p w14:paraId="7625ED7C">
      <w:pPr>
        <w:snapToGrid w:val="0"/>
        <w:spacing w:line="360" w:lineRule="auto"/>
        <w:rPr>
          <w:rFonts w:ascii="宋体" w:hAnsi="宋体" w:cs="宋体"/>
          <w:color w:val="auto"/>
        </w:rPr>
      </w:pPr>
    </w:p>
    <w:p w14:paraId="56505385">
      <w:pPr>
        <w:snapToGrid w:val="0"/>
        <w:spacing w:line="360" w:lineRule="auto"/>
        <w:rPr>
          <w:rFonts w:ascii="宋体" w:hAnsi="宋体" w:cs="宋体"/>
          <w:color w:val="auto"/>
        </w:rPr>
      </w:pPr>
    </w:p>
    <w:p w14:paraId="5428C4D2">
      <w:pPr>
        <w:snapToGrid w:val="0"/>
        <w:spacing w:line="360" w:lineRule="auto"/>
        <w:rPr>
          <w:rFonts w:ascii="宋体" w:hAnsi="宋体" w:cs="宋体"/>
          <w:color w:val="auto"/>
        </w:rPr>
      </w:pPr>
    </w:p>
    <w:p w14:paraId="10695481">
      <w:pPr>
        <w:snapToGrid w:val="0"/>
        <w:spacing w:line="360" w:lineRule="auto"/>
        <w:rPr>
          <w:rFonts w:ascii="宋体" w:hAnsi="宋体" w:cs="宋体"/>
          <w:color w:val="auto"/>
        </w:rPr>
      </w:pPr>
    </w:p>
    <w:p w14:paraId="39D07AFE">
      <w:pPr>
        <w:snapToGrid w:val="0"/>
        <w:spacing w:line="360" w:lineRule="auto"/>
        <w:rPr>
          <w:rFonts w:ascii="宋体" w:hAnsi="宋体" w:cs="宋体"/>
          <w:color w:val="auto"/>
        </w:rPr>
      </w:pPr>
    </w:p>
    <w:p w14:paraId="714A4331">
      <w:pPr>
        <w:snapToGrid w:val="0"/>
        <w:spacing w:line="360" w:lineRule="auto"/>
        <w:rPr>
          <w:rFonts w:ascii="宋体" w:hAnsi="宋体" w:cs="宋体"/>
          <w:color w:val="auto"/>
        </w:rPr>
      </w:pPr>
    </w:p>
    <w:p w14:paraId="688E78A8">
      <w:pPr>
        <w:snapToGrid w:val="0"/>
        <w:spacing w:line="360" w:lineRule="auto"/>
        <w:rPr>
          <w:rFonts w:ascii="宋体" w:hAnsi="宋体" w:cs="宋体"/>
          <w:color w:val="auto"/>
        </w:rPr>
      </w:pPr>
    </w:p>
    <w:p w14:paraId="60F1C1F1">
      <w:pPr>
        <w:snapToGrid w:val="0"/>
        <w:spacing w:before="156" w:beforeLines="50" w:after="50" w:line="360" w:lineRule="auto"/>
        <w:outlineLvl w:val="0"/>
        <w:rPr>
          <w:rFonts w:ascii="宋体" w:hAnsi="宋体" w:cs="宋体"/>
          <w:b/>
          <w:color w:val="auto"/>
          <w:sz w:val="30"/>
          <w:szCs w:val="30"/>
        </w:rPr>
      </w:pPr>
      <w:r>
        <w:rPr>
          <w:rFonts w:hint="eastAsia" w:ascii="宋体" w:hAnsi="宋体" w:cs="宋体"/>
          <w:color w:val="auto"/>
        </w:rPr>
        <w:br w:type="page"/>
      </w:r>
      <w:bookmarkStart w:id="29" w:name="_Toc30674"/>
      <w:bookmarkStart w:id="30" w:name="_Toc23472"/>
      <w:r>
        <w:rPr>
          <w:rFonts w:hint="eastAsia" w:ascii="宋体" w:hAnsi="宋体" w:cs="宋体"/>
          <w:color w:val="auto"/>
          <w:sz w:val="30"/>
          <w:szCs w:val="30"/>
        </w:rPr>
        <w:t>封面</w:t>
      </w:r>
      <w:r>
        <w:rPr>
          <w:rFonts w:hint="eastAsia" w:ascii="宋体" w:hAnsi="宋体" w:cs="宋体"/>
          <w:b/>
          <w:color w:val="auto"/>
          <w:sz w:val="30"/>
          <w:szCs w:val="30"/>
        </w:rPr>
        <w:t xml:space="preserve">：                                     </w:t>
      </w:r>
      <w:r>
        <w:rPr>
          <w:rFonts w:hint="eastAsia" w:ascii="宋体" w:hAnsi="宋体" w:cs="宋体"/>
          <w:bCs/>
          <w:color w:val="auto"/>
          <w:sz w:val="30"/>
          <w:szCs w:val="30"/>
        </w:rPr>
        <w:t>正本或副本</w:t>
      </w:r>
      <w:bookmarkEnd w:id="29"/>
      <w:bookmarkEnd w:id="30"/>
    </w:p>
    <w:p w14:paraId="59EA213E">
      <w:pPr>
        <w:snapToGrid w:val="0"/>
        <w:spacing w:before="156" w:beforeLines="50" w:after="50" w:line="360" w:lineRule="auto"/>
        <w:jc w:val="right"/>
        <w:rPr>
          <w:rFonts w:ascii="宋体" w:hAnsi="宋体" w:cs="宋体"/>
          <w:bCs/>
          <w:color w:val="auto"/>
          <w:sz w:val="30"/>
          <w:szCs w:val="30"/>
        </w:rPr>
      </w:pPr>
    </w:p>
    <w:p w14:paraId="3B5540EC">
      <w:pPr>
        <w:snapToGrid w:val="0"/>
        <w:spacing w:line="360" w:lineRule="auto"/>
        <w:ind w:left="1900" w:right="-110" w:hanging="1900"/>
        <w:jc w:val="center"/>
        <w:outlineLvl w:val="0"/>
        <w:rPr>
          <w:rFonts w:ascii="宋体" w:hAnsi="宋体" w:cs="宋体"/>
          <w:color w:val="auto"/>
          <w:spacing w:val="40"/>
          <w:sz w:val="36"/>
          <w:szCs w:val="36"/>
          <w:u w:val="single"/>
        </w:rPr>
      </w:pPr>
      <w:bookmarkStart w:id="31" w:name="_Toc11655"/>
      <w:bookmarkStart w:id="32" w:name="_Toc19883"/>
      <w:r>
        <w:rPr>
          <w:rFonts w:hint="eastAsia" w:ascii="宋体" w:hAnsi="宋体" w:cs="宋体"/>
          <w:color w:val="auto"/>
          <w:spacing w:val="40"/>
          <w:sz w:val="36"/>
          <w:szCs w:val="36"/>
        </w:rPr>
        <w:t>项目名称：</w:t>
      </w:r>
      <w:bookmarkEnd w:id="31"/>
      <w:bookmarkEnd w:id="32"/>
      <w:r>
        <w:rPr>
          <w:rFonts w:hint="eastAsia" w:ascii="宋体" w:hAnsi="宋体" w:cs="宋体"/>
          <w:color w:val="auto"/>
          <w:spacing w:val="40"/>
          <w:sz w:val="36"/>
          <w:szCs w:val="36"/>
          <w:u w:val="single"/>
          <w:lang w:eastAsia="zh-CN"/>
        </w:rPr>
        <w:t>浙江省嘉兴市消防救援支队2024年度装备器材采购项目(救生、警戒、堵漏和水域救援类）</w:t>
      </w:r>
    </w:p>
    <w:p w14:paraId="44C2E8C6">
      <w:pPr>
        <w:snapToGrid w:val="0"/>
        <w:spacing w:before="312" w:beforeLines="100" w:line="360" w:lineRule="auto"/>
        <w:ind w:right="-108"/>
        <w:outlineLvl w:val="0"/>
        <w:rPr>
          <w:rFonts w:ascii="宋体" w:hAnsi="宋体" w:cs="宋体"/>
          <w:color w:val="auto"/>
          <w:spacing w:val="40"/>
          <w:sz w:val="28"/>
          <w:szCs w:val="28"/>
        </w:rPr>
      </w:pPr>
      <w:bookmarkStart w:id="33" w:name="_Toc18207"/>
      <w:bookmarkStart w:id="34" w:name="_Toc12229"/>
    </w:p>
    <w:p w14:paraId="59684B81">
      <w:pPr>
        <w:snapToGrid w:val="0"/>
        <w:spacing w:before="312" w:beforeLines="100" w:line="360" w:lineRule="auto"/>
        <w:ind w:right="-108"/>
        <w:outlineLvl w:val="0"/>
        <w:rPr>
          <w:rFonts w:hint="default" w:ascii="宋体" w:hAnsi="宋体" w:eastAsia="宋体" w:cs="宋体"/>
          <w:color w:val="auto"/>
          <w:sz w:val="36"/>
          <w:szCs w:val="36"/>
          <w:lang w:val="en-US" w:eastAsia="zh-CN"/>
        </w:rPr>
      </w:pPr>
      <w:r>
        <w:rPr>
          <w:rFonts w:hint="eastAsia" w:ascii="宋体" w:hAnsi="宋体" w:cs="宋体"/>
          <w:color w:val="auto"/>
          <w:spacing w:val="40"/>
          <w:sz w:val="36"/>
          <w:szCs w:val="36"/>
        </w:rPr>
        <w:t>项目编号：</w:t>
      </w:r>
      <w:bookmarkEnd w:id="33"/>
      <w:bookmarkEnd w:id="34"/>
      <w:r>
        <w:rPr>
          <w:rFonts w:hint="eastAsia" w:ascii="宋体" w:hAnsi="宋体" w:cs="宋体"/>
          <w:color w:val="auto"/>
          <w:spacing w:val="40"/>
          <w:sz w:val="36"/>
          <w:szCs w:val="36"/>
        </w:rPr>
        <w:t>嘉消采-GK20240</w:t>
      </w:r>
      <w:r>
        <w:rPr>
          <w:rFonts w:hint="eastAsia" w:ascii="宋体" w:hAnsi="宋体" w:cs="宋体"/>
          <w:color w:val="auto"/>
          <w:spacing w:val="40"/>
          <w:sz w:val="36"/>
          <w:szCs w:val="36"/>
          <w:lang w:val="en-US" w:eastAsia="zh-CN"/>
        </w:rPr>
        <w:t>17</w:t>
      </w:r>
    </w:p>
    <w:p w14:paraId="4F7F9ED8">
      <w:pPr>
        <w:snapToGrid w:val="0"/>
        <w:spacing w:before="312" w:beforeLines="100" w:line="360" w:lineRule="auto"/>
        <w:ind w:right="-108"/>
        <w:outlineLvl w:val="0"/>
        <w:rPr>
          <w:rFonts w:ascii="宋体" w:hAnsi="宋体" w:cs="宋体"/>
          <w:b/>
          <w:color w:val="auto"/>
          <w:spacing w:val="40"/>
          <w:szCs w:val="21"/>
        </w:rPr>
      </w:pPr>
      <w:bookmarkStart w:id="35" w:name="_Toc30177"/>
      <w:bookmarkStart w:id="36" w:name="_Toc7109"/>
      <w:r>
        <w:rPr>
          <w:rFonts w:hint="eastAsia" w:ascii="宋体" w:hAnsi="宋体" w:cs="宋体"/>
          <w:color w:val="auto"/>
          <w:sz w:val="36"/>
          <w:szCs w:val="36"/>
        </w:rPr>
        <w:t>标项：</w:t>
      </w:r>
      <w:bookmarkEnd w:id="35"/>
      <w:bookmarkEnd w:id="36"/>
      <w:r>
        <w:rPr>
          <w:rFonts w:hint="eastAsia" w:ascii="宋体" w:hAnsi="宋体" w:cs="宋体"/>
          <w:b/>
          <w:color w:val="auto"/>
          <w:spacing w:val="40"/>
          <w:szCs w:val="21"/>
        </w:rPr>
        <w:t>(封面必须标注具体标项）</w:t>
      </w:r>
    </w:p>
    <w:p w14:paraId="660C2D7D">
      <w:pPr>
        <w:snapToGrid w:val="0"/>
        <w:spacing w:line="360" w:lineRule="auto"/>
        <w:ind w:right="-108"/>
        <w:jc w:val="center"/>
        <w:outlineLvl w:val="0"/>
        <w:rPr>
          <w:rFonts w:ascii="宋体" w:hAnsi="宋体" w:cs="宋体"/>
          <w:b/>
          <w:color w:val="auto"/>
          <w:spacing w:val="40"/>
          <w:sz w:val="72"/>
          <w:szCs w:val="72"/>
        </w:rPr>
      </w:pPr>
      <w:bookmarkStart w:id="37" w:name="_Toc13291"/>
      <w:bookmarkStart w:id="38" w:name="_Toc12687"/>
    </w:p>
    <w:p w14:paraId="6A8EAEED">
      <w:pPr>
        <w:snapToGrid w:val="0"/>
        <w:spacing w:line="360" w:lineRule="auto"/>
        <w:ind w:right="-108"/>
        <w:jc w:val="center"/>
        <w:outlineLvl w:val="0"/>
        <w:rPr>
          <w:rFonts w:ascii="宋体" w:hAnsi="宋体" w:cs="宋体"/>
          <w:b/>
          <w:color w:val="auto"/>
          <w:spacing w:val="40"/>
          <w:sz w:val="72"/>
          <w:szCs w:val="72"/>
        </w:rPr>
      </w:pPr>
      <w:r>
        <w:rPr>
          <w:rFonts w:hint="eastAsia" w:ascii="宋体" w:hAnsi="宋体" w:cs="宋体"/>
          <w:b/>
          <w:color w:val="auto"/>
          <w:spacing w:val="40"/>
          <w:sz w:val="72"/>
          <w:szCs w:val="72"/>
        </w:rPr>
        <w:t>投</w:t>
      </w:r>
      <w:bookmarkEnd w:id="37"/>
      <w:bookmarkEnd w:id="38"/>
      <w:bookmarkStart w:id="39" w:name="_Toc28864"/>
      <w:bookmarkStart w:id="40" w:name="_Toc9229"/>
      <w:r>
        <w:rPr>
          <w:rFonts w:hint="eastAsia" w:ascii="宋体" w:hAnsi="宋体" w:cs="宋体"/>
          <w:b/>
          <w:color w:val="auto"/>
          <w:spacing w:val="40"/>
          <w:sz w:val="72"/>
          <w:szCs w:val="72"/>
        </w:rPr>
        <w:t>标</w:t>
      </w:r>
      <w:bookmarkEnd w:id="39"/>
      <w:bookmarkEnd w:id="40"/>
      <w:bookmarkStart w:id="41" w:name="_Toc18351"/>
      <w:bookmarkStart w:id="42" w:name="_Toc31067"/>
      <w:r>
        <w:rPr>
          <w:rFonts w:hint="eastAsia" w:ascii="宋体" w:hAnsi="宋体" w:cs="宋体"/>
          <w:b/>
          <w:color w:val="auto"/>
          <w:spacing w:val="40"/>
          <w:sz w:val="72"/>
          <w:szCs w:val="72"/>
        </w:rPr>
        <w:t>文</w:t>
      </w:r>
      <w:bookmarkEnd w:id="41"/>
      <w:bookmarkEnd w:id="42"/>
      <w:bookmarkStart w:id="43" w:name="_Toc23297"/>
      <w:bookmarkStart w:id="44" w:name="_Toc720"/>
      <w:r>
        <w:rPr>
          <w:rFonts w:hint="eastAsia" w:ascii="宋体" w:hAnsi="宋体" w:cs="宋体"/>
          <w:b/>
          <w:color w:val="auto"/>
          <w:spacing w:val="40"/>
          <w:sz w:val="72"/>
          <w:szCs w:val="72"/>
        </w:rPr>
        <w:t>件</w:t>
      </w:r>
      <w:bookmarkEnd w:id="43"/>
      <w:bookmarkEnd w:id="44"/>
    </w:p>
    <w:p w14:paraId="4875E7CA">
      <w:pPr>
        <w:pStyle w:val="3"/>
        <w:spacing w:before="0" w:after="0" w:line="360" w:lineRule="auto"/>
        <w:jc w:val="center"/>
        <w:rPr>
          <w:rFonts w:ascii="宋体" w:hAnsi="宋体" w:cs="宋体"/>
          <w:b/>
          <w:color w:val="auto"/>
          <w:spacing w:val="40"/>
          <w:sz w:val="32"/>
          <w:szCs w:val="32"/>
        </w:rPr>
      </w:pPr>
      <w:r>
        <w:rPr>
          <w:rFonts w:hint="eastAsia" w:ascii="宋体" w:hAnsi="宋体" w:cs="宋体"/>
          <w:b/>
          <w:color w:val="auto"/>
          <w:spacing w:val="40"/>
          <w:sz w:val="32"/>
          <w:szCs w:val="32"/>
        </w:rPr>
        <w:t>（</w:t>
      </w:r>
      <w:r>
        <w:rPr>
          <w:rFonts w:hint="eastAsia" w:ascii="宋体" w:hAnsi="宋体" w:cs="宋体"/>
          <w:b/>
          <w:color w:val="auto"/>
          <w:spacing w:val="40"/>
          <w:sz w:val="32"/>
          <w:szCs w:val="32"/>
          <w:u w:val="single"/>
        </w:rPr>
        <w:t>资格、商务技术文件</w:t>
      </w:r>
      <w:r>
        <w:rPr>
          <w:rFonts w:hint="eastAsia" w:ascii="宋体" w:hAnsi="宋体" w:cs="宋体"/>
          <w:b/>
          <w:color w:val="auto"/>
          <w:spacing w:val="40"/>
          <w:sz w:val="32"/>
          <w:szCs w:val="32"/>
        </w:rPr>
        <w:t>/</w:t>
      </w:r>
      <w:r>
        <w:rPr>
          <w:rFonts w:hint="eastAsia" w:ascii="宋体" w:hAnsi="宋体" w:cs="宋体"/>
          <w:b/>
          <w:color w:val="auto"/>
          <w:spacing w:val="40"/>
          <w:sz w:val="32"/>
          <w:szCs w:val="32"/>
          <w:u w:val="single"/>
        </w:rPr>
        <w:t>报价文件</w:t>
      </w:r>
      <w:r>
        <w:rPr>
          <w:rFonts w:hint="eastAsia" w:ascii="宋体" w:hAnsi="宋体" w:cs="宋体"/>
          <w:b/>
          <w:color w:val="auto"/>
          <w:spacing w:val="40"/>
          <w:sz w:val="32"/>
          <w:szCs w:val="32"/>
        </w:rPr>
        <w:t>）</w:t>
      </w:r>
    </w:p>
    <w:p w14:paraId="04B67E7C">
      <w:pPr>
        <w:spacing w:line="360" w:lineRule="auto"/>
        <w:jc w:val="center"/>
        <w:rPr>
          <w:color w:val="auto"/>
        </w:rPr>
      </w:pPr>
      <w:r>
        <w:rPr>
          <w:rFonts w:hint="eastAsia" w:ascii="宋体" w:hAnsi="宋体" w:cs="宋体"/>
          <w:b/>
          <w:color w:val="auto"/>
          <w:spacing w:val="40"/>
          <w:szCs w:val="21"/>
        </w:rPr>
        <w:t>注：具体文件名称根据投标文件实际内容标注</w:t>
      </w:r>
    </w:p>
    <w:p w14:paraId="5F1C53C4">
      <w:pPr>
        <w:snapToGrid w:val="0"/>
        <w:spacing w:line="360" w:lineRule="auto"/>
        <w:ind w:right="532"/>
        <w:rPr>
          <w:rFonts w:ascii="宋体" w:hAnsi="宋体" w:cs="宋体"/>
          <w:color w:val="auto"/>
          <w:sz w:val="32"/>
          <w:szCs w:val="32"/>
        </w:rPr>
      </w:pPr>
    </w:p>
    <w:p w14:paraId="65013706">
      <w:pPr>
        <w:snapToGrid w:val="0"/>
        <w:spacing w:line="360" w:lineRule="auto"/>
        <w:ind w:right="532" w:firstLine="640" w:firstLineChars="200"/>
        <w:outlineLvl w:val="0"/>
        <w:rPr>
          <w:rFonts w:ascii="宋体" w:hAnsi="宋体" w:cs="宋体"/>
          <w:color w:val="auto"/>
          <w:sz w:val="32"/>
          <w:szCs w:val="32"/>
        </w:rPr>
      </w:pPr>
      <w:bookmarkStart w:id="45" w:name="_Toc22859"/>
      <w:bookmarkStart w:id="46" w:name="_Toc22865"/>
    </w:p>
    <w:p w14:paraId="79FC849B">
      <w:pPr>
        <w:snapToGrid w:val="0"/>
        <w:spacing w:line="360" w:lineRule="auto"/>
        <w:ind w:right="532" w:firstLine="640" w:firstLineChars="200"/>
        <w:outlineLvl w:val="0"/>
        <w:rPr>
          <w:rFonts w:ascii="宋体" w:hAnsi="宋体" w:cs="宋体"/>
          <w:color w:val="auto"/>
          <w:sz w:val="32"/>
          <w:szCs w:val="32"/>
        </w:rPr>
      </w:pPr>
    </w:p>
    <w:p w14:paraId="06F6D3E4">
      <w:pPr>
        <w:snapToGrid w:val="0"/>
        <w:spacing w:line="360" w:lineRule="auto"/>
        <w:ind w:right="532" w:firstLine="640" w:firstLineChars="200"/>
        <w:outlineLvl w:val="0"/>
        <w:rPr>
          <w:rFonts w:ascii="宋体" w:hAnsi="宋体" w:cs="宋体"/>
          <w:color w:val="auto"/>
          <w:sz w:val="32"/>
          <w:szCs w:val="32"/>
        </w:rPr>
      </w:pPr>
      <w:r>
        <w:rPr>
          <w:rFonts w:hint="eastAsia" w:ascii="宋体" w:hAnsi="宋体" w:cs="宋体"/>
          <w:color w:val="auto"/>
          <w:sz w:val="32"/>
          <w:szCs w:val="32"/>
        </w:rPr>
        <w:t>投标人全称（盖单位公章）：</w:t>
      </w:r>
      <w:bookmarkEnd w:id="45"/>
      <w:bookmarkEnd w:id="46"/>
    </w:p>
    <w:p w14:paraId="2F0C0B53">
      <w:pPr>
        <w:snapToGrid w:val="0"/>
        <w:spacing w:line="360" w:lineRule="auto"/>
        <w:ind w:right="532" w:firstLine="640" w:firstLineChars="200"/>
        <w:outlineLvl w:val="0"/>
        <w:rPr>
          <w:rFonts w:ascii="宋体" w:hAnsi="宋体" w:cs="宋体"/>
          <w:color w:val="auto"/>
          <w:sz w:val="32"/>
          <w:szCs w:val="32"/>
        </w:rPr>
      </w:pPr>
      <w:bookmarkStart w:id="47" w:name="_Toc9997"/>
      <w:bookmarkStart w:id="48" w:name="_Toc23785"/>
      <w:r>
        <w:rPr>
          <w:rFonts w:hint="eastAsia" w:ascii="宋体" w:hAnsi="宋体" w:cs="宋体"/>
          <w:color w:val="auto"/>
          <w:sz w:val="32"/>
          <w:szCs w:val="32"/>
        </w:rPr>
        <w:t>投标文件签署人（签字或盖章）：</w:t>
      </w:r>
      <w:bookmarkEnd w:id="47"/>
      <w:bookmarkEnd w:id="48"/>
    </w:p>
    <w:p w14:paraId="5CAD55D0">
      <w:pPr>
        <w:snapToGrid w:val="0"/>
        <w:spacing w:line="360" w:lineRule="auto"/>
        <w:ind w:right="532" w:firstLine="640" w:firstLineChars="200"/>
        <w:outlineLvl w:val="0"/>
        <w:rPr>
          <w:rFonts w:ascii="宋体" w:hAnsi="宋体" w:cs="宋体"/>
          <w:color w:val="auto"/>
          <w:sz w:val="32"/>
          <w:szCs w:val="32"/>
        </w:rPr>
        <w:sectPr>
          <w:pgSz w:w="11906" w:h="16838"/>
          <w:pgMar w:top="1440" w:right="1800" w:bottom="1440" w:left="1800" w:header="851" w:footer="992" w:gutter="0"/>
          <w:cols w:space="720" w:num="1"/>
          <w:titlePg/>
          <w:docGrid w:type="lines" w:linePitch="312" w:charSpace="0"/>
        </w:sectPr>
      </w:pPr>
      <w:bookmarkStart w:id="49" w:name="_Toc21164"/>
      <w:bookmarkStart w:id="50" w:name="_Toc24658"/>
      <w:r>
        <w:rPr>
          <w:rFonts w:hint="eastAsia" w:ascii="宋体" w:hAnsi="宋体" w:cs="宋体"/>
          <w:color w:val="auto"/>
          <w:sz w:val="32"/>
          <w:szCs w:val="32"/>
        </w:rPr>
        <w:t>日期：</w:t>
      </w:r>
      <w:bookmarkEnd w:id="49"/>
      <w:bookmarkEnd w:id="50"/>
      <w:r>
        <w:rPr>
          <w:rFonts w:hint="eastAsia" w:ascii="宋体" w:hAnsi="宋体" w:cs="宋体"/>
          <w:color w:val="auto"/>
          <w:sz w:val="32"/>
          <w:szCs w:val="32"/>
        </w:rPr>
        <w:t xml:space="preserve">  年  月  日</w:t>
      </w:r>
    </w:p>
    <w:p w14:paraId="67C6F74F">
      <w:pPr>
        <w:snapToGrid w:val="0"/>
        <w:spacing w:line="360" w:lineRule="auto"/>
        <w:jc w:val="center"/>
        <w:outlineLvl w:val="0"/>
        <w:rPr>
          <w:rFonts w:ascii="宋体" w:hAnsi="宋体" w:cs="宋体"/>
          <w:b/>
          <w:bCs/>
          <w:color w:val="auto"/>
          <w:sz w:val="32"/>
          <w:szCs w:val="32"/>
        </w:rPr>
      </w:pPr>
      <w:bookmarkStart w:id="51" w:name="_Toc744"/>
      <w:bookmarkStart w:id="52" w:name="_Toc2908"/>
      <w:r>
        <w:rPr>
          <w:rFonts w:hint="eastAsia" w:ascii="宋体" w:hAnsi="宋体" w:cs="宋体"/>
          <w:b/>
          <w:bCs/>
          <w:color w:val="auto"/>
          <w:sz w:val="32"/>
          <w:szCs w:val="32"/>
        </w:rPr>
        <w:t>资格证明文件</w:t>
      </w:r>
      <w:bookmarkEnd w:id="51"/>
      <w:bookmarkEnd w:id="52"/>
    </w:p>
    <w:p w14:paraId="470F0258">
      <w:pPr>
        <w:pStyle w:val="3"/>
        <w:spacing w:before="0" w:after="0" w:line="360" w:lineRule="auto"/>
        <w:jc w:val="center"/>
        <w:rPr>
          <w:rFonts w:ascii="宋体" w:hAnsi="宋体" w:cs="宋体"/>
          <w:color w:val="auto"/>
          <w:sz w:val="24"/>
          <w:szCs w:val="24"/>
          <w:highlight w:val="none"/>
        </w:rPr>
      </w:pPr>
      <w:bookmarkStart w:id="53" w:name="_Toc27634"/>
      <w:bookmarkStart w:id="54" w:name="_Toc30479"/>
      <w:r>
        <w:rPr>
          <w:rFonts w:hint="eastAsia" w:ascii="宋体" w:hAnsi="宋体" w:cs="宋体"/>
          <w:b/>
          <w:color w:val="auto"/>
          <w:sz w:val="24"/>
          <w:szCs w:val="24"/>
          <w:highlight w:val="none"/>
        </w:rPr>
        <w:t>（有格式的参照格式，无格式的自拟）</w:t>
      </w:r>
      <w:bookmarkEnd w:id="53"/>
      <w:bookmarkEnd w:id="54"/>
    </w:p>
    <w:p w14:paraId="2F906F7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（1）法人或者其他组织的营业执照等证明文件</w:t>
      </w:r>
      <w:r>
        <w:rPr>
          <w:rFonts w:hint="eastAsia" w:ascii="宋体" w:hAnsi="宋体" w:cs="宋体"/>
          <w:color w:val="auto"/>
          <w:kern w:val="0"/>
          <w:sz w:val="24"/>
          <w:highlight w:val="none"/>
        </w:rPr>
        <w:t>复印件加盖公章</w:t>
      </w:r>
      <w:r>
        <w:rPr>
          <w:rFonts w:hint="eastAsia" w:ascii="宋体" w:hAnsi="宋体" w:cs="宋体"/>
          <w:color w:val="auto"/>
          <w:sz w:val="24"/>
          <w:highlight w:val="none"/>
        </w:rPr>
        <w:t>（如投标人为自然人，则应提供自然人的身份证明）；</w:t>
      </w:r>
    </w:p>
    <w:p w14:paraId="62717661">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（2）财务状况报告：开标日的最近一个年度（2023年）资产负债表等财务报表资料文件或其基本开户银行开标日前六个月内出具的资信证明或其他能证明其财务情况的材料（新成立的公司，提供情况说明）；</w:t>
      </w:r>
    </w:p>
    <w:p w14:paraId="568193EB">
      <w:pPr>
        <w:snapToGrid w:val="0"/>
        <w:spacing w:line="360" w:lineRule="auto"/>
        <w:ind w:firstLine="480" w:firstLineChars="200"/>
        <w:jc w:val="left"/>
        <w:rPr>
          <w:rFonts w:ascii="宋体" w:hAnsi="宋体" w:cs="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）具有良好的商业信誉、依法缴纳税收和社会保障资金的良好记录的承诺函</w:t>
      </w:r>
      <w:r>
        <w:rPr>
          <w:rFonts w:hint="eastAsia" w:ascii="宋体" w:hAnsi="宋体"/>
          <w:color w:val="auto"/>
          <w:sz w:val="24"/>
          <w:highlight w:val="none"/>
        </w:rPr>
        <w:t>（</w:t>
      </w:r>
      <w:r>
        <w:rPr>
          <w:rFonts w:ascii="宋体" w:hAnsi="宋体"/>
          <w:color w:val="auto"/>
          <w:sz w:val="24"/>
          <w:highlight w:val="none"/>
        </w:rPr>
        <w:t>格式见第六部分</w:t>
      </w:r>
      <w:r>
        <w:rPr>
          <w:rFonts w:hint="eastAsia" w:ascii="宋体" w:hAnsi="宋体"/>
          <w:color w:val="auto"/>
          <w:sz w:val="24"/>
          <w:highlight w:val="none"/>
        </w:rPr>
        <w:t>）</w:t>
      </w:r>
      <w:r>
        <w:rPr>
          <w:rFonts w:ascii="宋体" w:hAnsi="宋体"/>
          <w:color w:val="auto"/>
          <w:sz w:val="24"/>
          <w:highlight w:val="none"/>
        </w:rPr>
        <w:t xml:space="preserve">； </w:t>
      </w:r>
    </w:p>
    <w:p w14:paraId="3483AB3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）具有履行合同所必需的设备和专业技术能力的承诺函(格式见第六部分)</w:t>
      </w:r>
    </w:p>
    <w:p w14:paraId="26286A4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（5</w:t>
      </w:r>
      <w:r>
        <w:rPr>
          <w:rFonts w:ascii="宋体" w:hAnsi="宋体" w:cs="宋体"/>
          <w:color w:val="auto"/>
          <w:sz w:val="24"/>
          <w:highlight w:val="none"/>
        </w:rPr>
        <w:t>）投标声明书(格式见第六部分)</w:t>
      </w:r>
      <w:r>
        <w:rPr>
          <w:rFonts w:hint="eastAsia" w:ascii="宋体" w:hAnsi="宋体" w:cs="宋体"/>
          <w:color w:val="auto"/>
          <w:sz w:val="24"/>
          <w:highlight w:val="none"/>
        </w:rPr>
        <w:t xml:space="preserve"> </w:t>
      </w:r>
    </w:p>
    <w:p w14:paraId="079A4CA5">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）投标人资格条件中要求的其他材料（如：中小企业声明函</w:t>
      </w:r>
      <w:r>
        <w:rPr>
          <w:rFonts w:hint="eastAsia" w:ascii="宋体" w:hAnsi="宋体"/>
          <w:color w:val="auto"/>
          <w:sz w:val="24"/>
          <w:highlight w:val="none"/>
        </w:rPr>
        <w:t>、监狱企业、残疾人福利性单位证明材料</w:t>
      </w:r>
      <w:r>
        <w:rPr>
          <w:rFonts w:ascii="宋体" w:hAnsi="宋体"/>
          <w:color w:val="auto"/>
          <w:sz w:val="24"/>
          <w:highlight w:val="none"/>
        </w:rPr>
        <w:t>）。</w:t>
      </w:r>
    </w:p>
    <w:p w14:paraId="6BDEA7C0">
      <w:pPr>
        <w:rPr>
          <w:rFonts w:ascii="宋体" w:hAnsi="宋体"/>
          <w:sz w:val="24"/>
        </w:rPr>
      </w:pPr>
      <w:r>
        <w:rPr>
          <w:rFonts w:ascii="宋体" w:hAnsi="宋体"/>
          <w:sz w:val="24"/>
        </w:rPr>
        <w:br w:type="page"/>
      </w:r>
    </w:p>
    <w:p w14:paraId="42C8DA0E">
      <w:pPr>
        <w:snapToGrid w:val="0"/>
        <w:spacing w:line="360" w:lineRule="auto"/>
        <w:ind w:firstLine="562" w:firstLineChars="200"/>
        <w:jc w:val="left"/>
        <w:rPr>
          <w:color w:val="auto"/>
        </w:rPr>
      </w:pPr>
      <w:r>
        <w:rPr>
          <w:rFonts w:hint="eastAsia" w:ascii="宋体" w:hAnsi="宋体" w:cs="宋体"/>
          <w:b/>
          <w:bCs/>
          <w:color w:val="auto"/>
          <w:sz w:val="28"/>
          <w:szCs w:val="28"/>
        </w:rPr>
        <w:t>一、法人或者其他组织的营业执照等证明文件复印件加盖公章（如投标人为自然人，则应提供自然人的身份证明）</w:t>
      </w:r>
    </w:p>
    <w:p w14:paraId="41A4E087">
      <w:pPr>
        <w:snapToGrid w:val="0"/>
        <w:spacing w:line="360" w:lineRule="auto"/>
        <w:jc w:val="center"/>
        <w:rPr>
          <w:rFonts w:ascii="宋体" w:hAnsi="宋体" w:cs="宋体"/>
          <w:b/>
          <w:bCs/>
          <w:color w:val="auto"/>
          <w:sz w:val="28"/>
          <w:szCs w:val="28"/>
        </w:rPr>
      </w:pPr>
    </w:p>
    <w:p w14:paraId="11A1243A">
      <w:pPr>
        <w:snapToGrid w:val="0"/>
        <w:spacing w:line="360" w:lineRule="auto"/>
        <w:ind w:firstLine="562" w:firstLineChars="200"/>
        <w:rPr>
          <w:rFonts w:ascii="宋体" w:hAnsi="宋体" w:cs="宋体"/>
          <w:b/>
          <w:bCs/>
          <w:color w:val="auto"/>
          <w:sz w:val="28"/>
          <w:szCs w:val="28"/>
        </w:rPr>
      </w:pPr>
    </w:p>
    <w:p w14:paraId="10FCB09B">
      <w:pPr>
        <w:snapToGrid w:val="0"/>
        <w:spacing w:line="360" w:lineRule="auto"/>
        <w:ind w:firstLine="562" w:firstLineChars="200"/>
        <w:rPr>
          <w:rFonts w:ascii="宋体" w:hAnsi="宋体" w:cs="宋体"/>
          <w:b/>
          <w:bCs/>
          <w:color w:val="auto"/>
          <w:sz w:val="28"/>
          <w:szCs w:val="28"/>
        </w:rPr>
      </w:pPr>
    </w:p>
    <w:p w14:paraId="580D470C">
      <w:pPr>
        <w:snapToGrid w:val="0"/>
        <w:spacing w:line="360" w:lineRule="auto"/>
        <w:ind w:firstLine="562" w:firstLineChars="200"/>
        <w:rPr>
          <w:rFonts w:ascii="宋体" w:hAnsi="宋体" w:cs="宋体"/>
          <w:b/>
          <w:bCs/>
          <w:color w:val="auto"/>
          <w:sz w:val="28"/>
          <w:szCs w:val="28"/>
        </w:rPr>
      </w:pPr>
    </w:p>
    <w:p w14:paraId="094251D8">
      <w:pPr>
        <w:snapToGrid w:val="0"/>
        <w:spacing w:line="360" w:lineRule="auto"/>
        <w:ind w:firstLine="562" w:firstLineChars="200"/>
        <w:rPr>
          <w:rFonts w:ascii="宋体" w:hAnsi="宋体" w:cs="宋体"/>
          <w:b/>
          <w:bCs/>
          <w:color w:val="auto"/>
          <w:sz w:val="28"/>
          <w:szCs w:val="28"/>
        </w:rPr>
      </w:pPr>
    </w:p>
    <w:p w14:paraId="6026E780">
      <w:pPr>
        <w:snapToGrid w:val="0"/>
        <w:spacing w:line="360" w:lineRule="auto"/>
        <w:jc w:val="left"/>
        <w:rPr>
          <w:rFonts w:hint="eastAsia" w:ascii="宋体" w:hAnsi="宋体" w:cs="宋体"/>
          <w:b/>
          <w:bCs/>
          <w:color w:val="auto"/>
          <w:sz w:val="28"/>
          <w:szCs w:val="28"/>
          <w:highlight w:val="none"/>
        </w:rPr>
      </w:pPr>
      <w:r>
        <w:rPr>
          <w:rFonts w:hint="eastAsia" w:ascii="宋体" w:hAnsi="宋体" w:cs="宋体"/>
          <w:b/>
          <w:bCs/>
          <w:color w:val="auto"/>
          <w:sz w:val="28"/>
          <w:szCs w:val="28"/>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二、财务状况报告</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开标日的最近一个年度（2023年）资产负债表等财务报表资料文件或其基本开户银行开标日前六个月内出具的资信证明或其他能证明其财务情况的材料（新成立的公司，提供情况说明）</w:t>
      </w:r>
    </w:p>
    <w:p w14:paraId="2A6435A3">
      <w:pPr>
        <w:snapToGrid w:val="0"/>
        <w:spacing w:line="360" w:lineRule="auto"/>
        <w:jc w:val="center"/>
        <w:rPr>
          <w:rFonts w:ascii="宋体" w:hAnsi="宋体" w:cs="宋体"/>
          <w:b/>
          <w:bCs/>
          <w:color w:val="auto"/>
          <w:sz w:val="28"/>
          <w:szCs w:val="28"/>
          <w:highlight w:val="none"/>
        </w:rPr>
      </w:pPr>
    </w:p>
    <w:p w14:paraId="5471BAE5">
      <w:pPr>
        <w:snapToGrid w:val="0"/>
        <w:spacing w:line="360" w:lineRule="auto"/>
        <w:jc w:val="center"/>
        <w:rPr>
          <w:rFonts w:ascii="宋体" w:hAnsi="宋体" w:cs="宋体"/>
          <w:b/>
          <w:bCs/>
          <w:color w:val="auto"/>
          <w:sz w:val="28"/>
          <w:szCs w:val="28"/>
          <w:highlight w:val="none"/>
        </w:rPr>
      </w:pPr>
    </w:p>
    <w:p w14:paraId="5E9FC30A">
      <w:pPr>
        <w:snapToGrid w:val="0"/>
        <w:spacing w:line="360" w:lineRule="auto"/>
        <w:jc w:val="center"/>
        <w:rPr>
          <w:rFonts w:ascii="宋体" w:hAnsi="宋体" w:cs="宋体"/>
          <w:b/>
          <w:bCs/>
          <w:color w:val="auto"/>
          <w:sz w:val="28"/>
          <w:szCs w:val="28"/>
          <w:highlight w:val="none"/>
        </w:rPr>
      </w:pPr>
    </w:p>
    <w:p w14:paraId="484B715F">
      <w:pPr>
        <w:snapToGrid w:val="0"/>
        <w:spacing w:line="360" w:lineRule="auto"/>
        <w:jc w:val="center"/>
        <w:rPr>
          <w:rFonts w:ascii="宋体" w:hAnsi="宋体" w:cs="宋体"/>
          <w:b/>
          <w:bCs/>
          <w:color w:val="auto"/>
          <w:sz w:val="28"/>
          <w:szCs w:val="28"/>
          <w:highlight w:val="none"/>
        </w:rPr>
      </w:pPr>
    </w:p>
    <w:p w14:paraId="354DAF95">
      <w:pPr>
        <w:snapToGrid w:val="0"/>
        <w:spacing w:line="360" w:lineRule="auto"/>
        <w:ind w:right="480"/>
        <w:jc w:val="center"/>
        <w:rPr>
          <w:rFonts w:ascii="宋体" w:hAnsi="宋体"/>
          <w:color w:val="auto"/>
          <w:sz w:val="24"/>
          <w:highlight w:val="none"/>
        </w:rPr>
      </w:pPr>
      <w:r>
        <w:rPr>
          <w:rFonts w:hint="eastAsia" w:ascii="宋体" w:hAnsi="宋体" w:cs="宋体"/>
          <w:b/>
          <w:bCs/>
          <w:color w:val="auto"/>
          <w:sz w:val="28"/>
          <w:szCs w:val="28"/>
          <w:highlight w:val="none"/>
        </w:rPr>
        <w:t>三、</w:t>
      </w:r>
      <w:r>
        <w:rPr>
          <w:rFonts w:ascii="宋体" w:hAnsi="宋体"/>
          <w:b/>
          <w:color w:val="auto"/>
          <w:sz w:val="30"/>
          <w:highlight w:val="none"/>
        </w:rPr>
        <w:t>具有良好的商业信誉、依法缴纳税收和社会保障资金的良好记录的承诺函</w:t>
      </w:r>
    </w:p>
    <w:p w14:paraId="7DCC02EB">
      <w:pPr>
        <w:snapToGrid w:val="0"/>
        <w:spacing w:line="360" w:lineRule="auto"/>
        <w:rPr>
          <w:rFonts w:ascii="宋体" w:hAnsi="宋体"/>
          <w:color w:val="auto"/>
          <w:sz w:val="24"/>
          <w:highlight w:val="none"/>
        </w:rPr>
      </w:pPr>
      <w:r>
        <w:rPr>
          <w:rFonts w:ascii="宋体" w:hAnsi="宋体"/>
          <w:color w:val="auto"/>
          <w:sz w:val="24"/>
          <w:highlight w:val="none"/>
          <w:u w:val="single"/>
        </w:rPr>
        <w:t>（采购人）</w:t>
      </w:r>
      <w:r>
        <w:rPr>
          <w:rFonts w:ascii="宋体" w:hAnsi="宋体"/>
          <w:color w:val="auto"/>
          <w:sz w:val="24"/>
          <w:highlight w:val="none"/>
        </w:rPr>
        <w:t>、</w:t>
      </w:r>
      <w:r>
        <w:rPr>
          <w:rFonts w:ascii="宋体" w:hAnsi="宋体"/>
          <w:color w:val="auto"/>
          <w:sz w:val="24"/>
          <w:highlight w:val="none"/>
          <w:u w:val="single"/>
        </w:rPr>
        <w:t>（采购代理机构）</w:t>
      </w:r>
      <w:r>
        <w:rPr>
          <w:rFonts w:ascii="宋体" w:hAnsi="宋体"/>
          <w:color w:val="auto"/>
          <w:kern w:val="0"/>
          <w:sz w:val="24"/>
          <w:highlight w:val="none"/>
        </w:rPr>
        <w:t>：</w:t>
      </w:r>
    </w:p>
    <w:p w14:paraId="15048045">
      <w:pPr>
        <w:snapToGrid w:val="0"/>
        <w:spacing w:before="50" w:after="156" w:afterLines="50" w:line="360" w:lineRule="auto"/>
        <w:jc w:val="both"/>
        <w:rPr>
          <w:rFonts w:ascii="宋体" w:hAnsi="宋体"/>
          <w:color w:val="auto"/>
          <w:szCs w:val="21"/>
          <w:highlight w:val="none"/>
        </w:rPr>
      </w:pPr>
    </w:p>
    <w:p w14:paraId="3B296D8F">
      <w:pPr>
        <w:snapToGrid w:val="0"/>
        <w:spacing w:before="50" w:after="156" w:afterLines="50" w:line="360" w:lineRule="auto"/>
        <w:ind w:firstLine="800" w:firstLineChars="250"/>
        <w:jc w:val="center"/>
        <w:rPr>
          <w:rFonts w:ascii="宋体" w:hAnsi="宋体"/>
          <w:color w:val="auto"/>
          <w:sz w:val="32"/>
          <w:szCs w:val="32"/>
          <w:highlight w:val="none"/>
        </w:rPr>
      </w:pPr>
      <w:r>
        <w:rPr>
          <w:rFonts w:ascii="宋体" w:hAnsi="宋体"/>
          <w:color w:val="auto"/>
          <w:sz w:val="32"/>
          <w:szCs w:val="32"/>
          <w:highlight w:val="none"/>
        </w:rPr>
        <w:t>（格式自拟）</w:t>
      </w:r>
    </w:p>
    <w:p w14:paraId="4FDCF734">
      <w:pPr>
        <w:numPr>
          <w:ilvl w:val="255"/>
          <w:numId w:val="0"/>
        </w:numPr>
        <w:snapToGrid w:val="0"/>
        <w:spacing w:line="360" w:lineRule="auto"/>
        <w:jc w:val="center"/>
        <w:rPr>
          <w:rFonts w:ascii="宋体" w:hAnsi="宋体" w:cs="宋体"/>
          <w:b/>
          <w:bCs/>
          <w:color w:val="auto"/>
          <w:szCs w:val="21"/>
          <w:highlight w:val="none"/>
        </w:rPr>
      </w:pPr>
    </w:p>
    <w:p w14:paraId="740252F7">
      <w:pPr>
        <w:wordWrap w:val="0"/>
        <w:snapToGrid w:val="0"/>
        <w:spacing w:before="156" w:beforeLines="50" w:line="336" w:lineRule="auto"/>
        <w:ind w:firstLine="480" w:firstLineChars="200"/>
        <w:jc w:val="right"/>
        <w:rPr>
          <w:rFonts w:hint="default" w:ascii="宋体" w:hAnsi="宋体" w:eastAsia="宋体"/>
          <w:color w:val="auto"/>
          <w:sz w:val="24"/>
          <w:highlight w:val="none"/>
          <w:lang w:val="en-US" w:eastAsia="zh-CN"/>
        </w:rPr>
      </w:pPr>
      <w:r>
        <w:rPr>
          <w:rFonts w:ascii="宋体" w:hAnsi="宋体"/>
          <w:color w:val="auto"/>
          <w:sz w:val="24"/>
          <w:highlight w:val="none"/>
        </w:rPr>
        <w:t>投标人：</w:t>
      </w:r>
      <w:r>
        <w:rPr>
          <w:rFonts w:ascii="宋体" w:hAnsi="宋体"/>
          <w:color w:val="auto"/>
          <w:sz w:val="24"/>
          <w:highlight w:val="none"/>
          <w:u w:val="single"/>
        </w:rPr>
        <w:t>（盖章）</w:t>
      </w:r>
      <w:r>
        <w:rPr>
          <w:rFonts w:hint="eastAsia" w:ascii="宋体" w:hAnsi="宋体"/>
          <w:color w:val="auto"/>
          <w:sz w:val="24"/>
          <w:highlight w:val="none"/>
          <w:u w:val="single"/>
          <w:lang w:val="en-US" w:eastAsia="zh-CN"/>
        </w:rPr>
        <w:t xml:space="preserve">      </w:t>
      </w:r>
    </w:p>
    <w:p w14:paraId="237E61AB">
      <w:pPr>
        <w:snapToGrid w:val="0"/>
        <w:spacing w:before="156" w:beforeLines="50" w:line="336" w:lineRule="auto"/>
        <w:ind w:firstLine="480" w:firstLineChars="200"/>
        <w:jc w:val="right"/>
        <w:rPr>
          <w:rFonts w:ascii="宋体" w:hAnsi="宋体"/>
          <w:color w:val="auto"/>
          <w:sz w:val="24"/>
          <w:highlight w:val="none"/>
        </w:rPr>
      </w:pPr>
      <w:r>
        <w:rPr>
          <w:rFonts w:ascii="宋体" w:hAnsi="宋体"/>
          <w:color w:val="auto"/>
          <w:sz w:val="24"/>
          <w:highlight w:val="none"/>
        </w:rPr>
        <w:t>法定代表人或授权委托人：</w:t>
      </w:r>
      <w:r>
        <w:rPr>
          <w:rFonts w:ascii="宋体" w:hAnsi="宋体"/>
          <w:color w:val="auto"/>
          <w:sz w:val="24"/>
          <w:highlight w:val="none"/>
          <w:u w:val="single"/>
        </w:rPr>
        <w:t>（签字或盖章）</w:t>
      </w:r>
    </w:p>
    <w:p w14:paraId="0603D807">
      <w:pPr>
        <w:jc w:val="right"/>
        <w:rPr>
          <w:rFonts w:ascii="宋体" w:hAnsi="宋体" w:cs="宋体"/>
          <w:b/>
          <w:bCs/>
          <w:color w:val="auto"/>
          <w:sz w:val="28"/>
          <w:szCs w:val="28"/>
          <w:highlight w:val="none"/>
        </w:rPr>
      </w:pPr>
      <w:r>
        <w:rPr>
          <w:rFonts w:ascii="宋体" w:hAnsi="宋体"/>
          <w:color w:val="auto"/>
          <w:sz w:val="24"/>
          <w:highlight w:val="none"/>
        </w:rPr>
        <w:t>年</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ascii="宋体" w:hAnsi="宋体"/>
          <w:color w:val="auto"/>
          <w:sz w:val="24"/>
          <w:highlight w:val="none"/>
        </w:rPr>
        <w:t>日</w:t>
      </w:r>
    </w:p>
    <w:p w14:paraId="4814ADCF">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AD58B9B">
      <w:pPr>
        <w:snapToGrid w:val="0"/>
        <w:spacing w:line="360" w:lineRule="auto"/>
        <w:ind w:right="480"/>
        <w:jc w:val="center"/>
        <w:rPr>
          <w:b/>
          <w:color w:val="auto"/>
          <w:sz w:val="30"/>
        </w:rPr>
      </w:pPr>
      <w:r>
        <w:rPr>
          <w:rFonts w:hint="eastAsia" w:ascii="宋体" w:hAnsi="宋体" w:cs="宋体"/>
          <w:b/>
          <w:bCs/>
          <w:color w:val="auto"/>
          <w:sz w:val="28"/>
          <w:szCs w:val="28"/>
        </w:rPr>
        <w:t>四、</w:t>
      </w:r>
      <w:r>
        <w:rPr>
          <w:rFonts w:hAnsi="宋体"/>
          <w:b/>
          <w:color w:val="auto"/>
          <w:sz w:val="30"/>
        </w:rPr>
        <w:t>具有履行合同所必需的设备和专业技术能力的承诺函</w:t>
      </w:r>
    </w:p>
    <w:p w14:paraId="43F1E585">
      <w:pPr>
        <w:snapToGrid w:val="0"/>
        <w:spacing w:before="156" w:beforeLines="50" w:after="50" w:line="480" w:lineRule="auto"/>
        <w:rPr>
          <w:color w:val="auto"/>
          <w:sz w:val="24"/>
        </w:rPr>
      </w:pPr>
    </w:p>
    <w:p w14:paraId="12E65398">
      <w:pPr>
        <w:snapToGrid w:val="0"/>
        <w:spacing w:line="360" w:lineRule="auto"/>
        <w:rPr>
          <w:color w:val="auto"/>
          <w:sz w:val="24"/>
        </w:rPr>
      </w:pPr>
      <w:r>
        <w:rPr>
          <w:rFonts w:hint="eastAsia" w:ascii="宋体" w:hAnsi="宋体" w:cs="宋体"/>
          <w:color w:val="auto"/>
          <w:sz w:val="24"/>
          <w:u w:val="single"/>
        </w:rPr>
        <w:t>（采购人）</w:t>
      </w:r>
      <w:r>
        <w:rPr>
          <w:rFonts w:hint="eastAsia" w:ascii="宋体" w:hAnsi="宋体" w:cs="宋体"/>
          <w:color w:val="auto"/>
          <w:sz w:val="24"/>
        </w:rPr>
        <w:t>、</w:t>
      </w:r>
      <w:r>
        <w:rPr>
          <w:rFonts w:hint="eastAsia" w:ascii="宋体" w:hAnsi="宋体" w:cs="宋体"/>
          <w:color w:val="auto"/>
          <w:sz w:val="24"/>
          <w:u w:val="single"/>
        </w:rPr>
        <w:t>（采购代理机构）</w:t>
      </w:r>
      <w:r>
        <w:rPr>
          <w:rFonts w:hint="eastAsia" w:ascii="宋体" w:hAnsi="宋体" w:cs="宋体"/>
          <w:color w:val="auto"/>
          <w:kern w:val="0"/>
          <w:sz w:val="24"/>
        </w:rPr>
        <w:t>：</w:t>
      </w:r>
    </w:p>
    <w:p w14:paraId="2D40CDBC">
      <w:pPr>
        <w:snapToGrid w:val="0"/>
        <w:spacing w:before="50" w:after="156" w:afterLines="50" w:line="360" w:lineRule="auto"/>
        <w:ind w:firstLine="525" w:firstLineChars="250"/>
        <w:jc w:val="center"/>
        <w:rPr>
          <w:color w:val="auto"/>
          <w:szCs w:val="21"/>
        </w:rPr>
      </w:pPr>
    </w:p>
    <w:p w14:paraId="0EFCC443">
      <w:pPr>
        <w:snapToGrid w:val="0"/>
        <w:spacing w:before="50" w:after="156" w:afterLines="50" w:line="360" w:lineRule="auto"/>
        <w:ind w:firstLine="525" w:firstLineChars="250"/>
        <w:jc w:val="center"/>
        <w:rPr>
          <w:color w:val="auto"/>
          <w:szCs w:val="21"/>
        </w:rPr>
      </w:pPr>
    </w:p>
    <w:p w14:paraId="18E35FCA">
      <w:pPr>
        <w:snapToGrid w:val="0"/>
        <w:spacing w:before="50" w:after="156" w:afterLines="50" w:line="360" w:lineRule="auto"/>
        <w:ind w:firstLine="800" w:firstLineChars="250"/>
        <w:jc w:val="center"/>
        <w:rPr>
          <w:color w:val="auto"/>
          <w:sz w:val="32"/>
          <w:szCs w:val="32"/>
        </w:rPr>
      </w:pPr>
      <w:r>
        <w:rPr>
          <w:rFonts w:hAnsi="宋体"/>
          <w:color w:val="auto"/>
          <w:sz w:val="32"/>
          <w:szCs w:val="32"/>
        </w:rPr>
        <w:t>（格式自拟）</w:t>
      </w:r>
    </w:p>
    <w:p w14:paraId="4CBC1976">
      <w:pPr>
        <w:snapToGrid w:val="0"/>
        <w:spacing w:before="50" w:after="156" w:afterLines="50" w:line="360" w:lineRule="auto"/>
        <w:jc w:val="left"/>
        <w:rPr>
          <w:color w:val="FF0000"/>
          <w:sz w:val="24"/>
        </w:rPr>
      </w:pPr>
    </w:p>
    <w:p w14:paraId="3EB9F0E6">
      <w:pPr>
        <w:snapToGrid w:val="0"/>
        <w:spacing w:before="50" w:after="156" w:afterLines="50" w:line="360" w:lineRule="auto"/>
        <w:jc w:val="left"/>
        <w:rPr>
          <w:color w:val="FF0000"/>
          <w:sz w:val="24"/>
        </w:rPr>
      </w:pPr>
    </w:p>
    <w:p w14:paraId="55719B44">
      <w:pPr>
        <w:snapToGrid w:val="0"/>
        <w:spacing w:before="50" w:after="156" w:afterLines="50" w:line="360" w:lineRule="auto"/>
        <w:jc w:val="left"/>
        <w:rPr>
          <w:color w:val="FF0000"/>
          <w:sz w:val="24"/>
        </w:rPr>
      </w:pPr>
    </w:p>
    <w:p w14:paraId="7EA9B31C">
      <w:pPr>
        <w:snapToGrid w:val="0"/>
        <w:spacing w:before="50" w:after="156" w:afterLines="50" w:line="360" w:lineRule="auto"/>
        <w:jc w:val="left"/>
        <w:rPr>
          <w:color w:val="FF0000"/>
          <w:sz w:val="24"/>
        </w:rPr>
      </w:pPr>
    </w:p>
    <w:p w14:paraId="748F5BC6">
      <w:pPr>
        <w:snapToGrid w:val="0"/>
        <w:spacing w:before="50" w:after="156" w:afterLines="50" w:line="360" w:lineRule="auto"/>
        <w:jc w:val="left"/>
        <w:rPr>
          <w:color w:val="FF0000"/>
          <w:sz w:val="24"/>
        </w:rPr>
      </w:pPr>
    </w:p>
    <w:p w14:paraId="1F3FEFF3">
      <w:pPr>
        <w:snapToGrid w:val="0"/>
        <w:spacing w:before="50" w:after="156" w:afterLines="50" w:line="360" w:lineRule="auto"/>
        <w:jc w:val="left"/>
        <w:rPr>
          <w:color w:val="FF0000"/>
          <w:sz w:val="24"/>
        </w:rPr>
      </w:pPr>
    </w:p>
    <w:p w14:paraId="2CDC85CA">
      <w:pPr>
        <w:snapToGrid w:val="0"/>
        <w:spacing w:before="50" w:after="156" w:afterLines="50" w:line="360" w:lineRule="auto"/>
        <w:jc w:val="left"/>
        <w:rPr>
          <w:color w:val="FF0000"/>
          <w:sz w:val="24"/>
        </w:rPr>
      </w:pPr>
    </w:p>
    <w:p w14:paraId="4341F87B">
      <w:pPr>
        <w:snapToGrid w:val="0"/>
        <w:spacing w:before="50" w:after="156" w:afterLines="50" w:line="360" w:lineRule="auto"/>
        <w:jc w:val="left"/>
        <w:rPr>
          <w:color w:val="auto"/>
          <w:sz w:val="24"/>
        </w:rPr>
      </w:pPr>
    </w:p>
    <w:p w14:paraId="015D4F9D">
      <w:pPr>
        <w:snapToGrid w:val="0"/>
        <w:spacing w:before="50" w:after="156" w:afterLines="50" w:line="360" w:lineRule="auto"/>
        <w:jc w:val="left"/>
        <w:rPr>
          <w:color w:val="auto"/>
          <w:sz w:val="24"/>
        </w:rPr>
      </w:pPr>
    </w:p>
    <w:p w14:paraId="1478CDF6">
      <w:pPr>
        <w:wordWrap w:val="0"/>
        <w:snapToGrid w:val="0"/>
        <w:spacing w:before="156" w:beforeLines="50" w:line="336" w:lineRule="auto"/>
        <w:ind w:firstLine="480" w:firstLineChars="200"/>
        <w:jc w:val="right"/>
        <w:rPr>
          <w:rFonts w:hint="default" w:ascii="宋体" w:hAnsi="宋体" w:eastAsia="宋体"/>
          <w:color w:val="auto"/>
          <w:sz w:val="24"/>
          <w:lang w:val="en-US" w:eastAsia="zh-CN"/>
        </w:rPr>
      </w:pPr>
      <w:r>
        <w:rPr>
          <w:rFonts w:ascii="宋体" w:hAnsi="宋体"/>
          <w:color w:val="auto"/>
          <w:sz w:val="24"/>
        </w:rPr>
        <w:t>投标人：</w:t>
      </w:r>
      <w:r>
        <w:rPr>
          <w:rFonts w:ascii="宋体" w:hAnsi="宋体"/>
          <w:color w:val="auto"/>
          <w:sz w:val="24"/>
          <w:u w:val="single"/>
        </w:rPr>
        <w:t>（盖章）</w:t>
      </w:r>
      <w:r>
        <w:rPr>
          <w:rFonts w:hint="eastAsia" w:ascii="宋体" w:hAnsi="宋体"/>
          <w:color w:val="auto"/>
          <w:sz w:val="24"/>
          <w:u w:val="single"/>
          <w:lang w:val="en-US" w:eastAsia="zh-CN"/>
        </w:rPr>
        <w:t xml:space="preserve">      </w:t>
      </w:r>
    </w:p>
    <w:p w14:paraId="24E02C86">
      <w:pPr>
        <w:wordWrap w:val="0"/>
        <w:snapToGrid w:val="0"/>
        <w:spacing w:before="156" w:beforeLines="50" w:line="336" w:lineRule="auto"/>
        <w:ind w:firstLine="480" w:firstLineChars="200"/>
        <w:jc w:val="right"/>
        <w:rPr>
          <w:rFonts w:ascii="宋体" w:hAnsi="宋体"/>
          <w:color w:val="auto"/>
          <w:sz w:val="24"/>
        </w:rPr>
      </w:pPr>
      <w:r>
        <w:rPr>
          <w:rFonts w:ascii="宋体" w:hAnsi="宋体"/>
          <w:color w:val="auto"/>
          <w:sz w:val="24"/>
        </w:rPr>
        <w:t>法定代表人或授权委托人：</w:t>
      </w:r>
      <w:r>
        <w:rPr>
          <w:rFonts w:ascii="宋体" w:hAnsi="宋体"/>
          <w:color w:val="auto"/>
          <w:sz w:val="24"/>
          <w:u w:val="single"/>
        </w:rPr>
        <w:t>（签字或盖章）</w:t>
      </w:r>
    </w:p>
    <w:p w14:paraId="7FD56CC4">
      <w:pPr>
        <w:wordWrap w:val="0"/>
        <w:snapToGrid w:val="0"/>
        <w:spacing w:before="156" w:beforeLines="50" w:line="336" w:lineRule="auto"/>
        <w:ind w:firstLine="480" w:firstLineChars="200"/>
        <w:jc w:val="right"/>
        <w:rPr>
          <w:rFonts w:hint="eastAsia" w:ascii="宋体" w:hAnsi="宋体"/>
          <w:color w:val="auto"/>
          <w:sz w:val="24"/>
        </w:rPr>
      </w:pPr>
      <w:r>
        <w:rPr>
          <w:rFonts w:ascii="宋体" w:hAnsi="宋体"/>
          <w:color w:val="auto"/>
          <w:sz w:val="24"/>
        </w:rPr>
        <w:t>年</w:t>
      </w:r>
      <w:r>
        <w:rPr>
          <w:rFonts w:hint="eastAsia" w:ascii="宋体" w:hAnsi="宋体"/>
          <w:color w:val="auto"/>
          <w:sz w:val="24"/>
          <w:lang w:val="en-US" w:eastAsia="zh-CN"/>
        </w:rPr>
        <w:t xml:space="preserve">    </w:t>
      </w:r>
      <w:r>
        <w:rPr>
          <w:rFonts w:ascii="宋体" w:hAnsi="宋体"/>
          <w:color w:val="auto"/>
          <w:sz w:val="24"/>
        </w:rPr>
        <w:t>月</w:t>
      </w:r>
      <w:r>
        <w:rPr>
          <w:rFonts w:hint="eastAsia" w:ascii="宋体" w:hAnsi="宋体"/>
          <w:color w:val="auto"/>
          <w:sz w:val="24"/>
          <w:lang w:val="en-US" w:eastAsia="zh-CN"/>
        </w:rPr>
        <w:t xml:space="preserve">    </w:t>
      </w:r>
      <w:r>
        <w:rPr>
          <w:rFonts w:ascii="宋体" w:hAnsi="宋体"/>
          <w:color w:val="auto"/>
          <w:sz w:val="24"/>
        </w:rPr>
        <w:t>日</w:t>
      </w:r>
    </w:p>
    <w:p w14:paraId="53954256">
      <w:pPr>
        <w:rPr>
          <w:rFonts w:hint="eastAsia" w:ascii="宋体" w:hAnsi="宋体" w:cs="宋体"/>
          <w:b/>
          <w:bCs/>
          <w:color w:val="auto"/>
          <w:sz w:val="28"/>
          <w:szCs w:val="28"/>
        </w:rPr>
      </w:pPr>
      <w:r>
        <w:rPr>
          <w:rFonts w:hint="eastAsia" w:ascii="宋体" w:hAnsi="宋体" w:cs="宋体"/>
          <w:b/>
          <w:bCs/>
          <w:color w:val="auto"/>
          <w:sz w:val="28"/>
          <w:szCs w:val="28"/>
        </w:rPr>
        <w:br w:type="page"/>
      </w:r>
    </w:p>
    <w:p w14:paraId="6C129307">
      <w:pPr>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lang w:val="en-US" w:eastAsia="zh-CN"/>
        </w:rPr>
        <w:t>五、</w:t>
      </w:r>
      <w:r>
        <w:rPr>
          <w:rFonts w:hint="eastAsia" w:ascii="宋体" w:hAnsi="宋体" w:cs="宋体"/>
          <w:b/>
          <w:bCs/>
          <w:color w:val="auto"/>
          <w:sz w:val="28"/>
          <w:szCs w:val="28"/>
        </w:rPr>
        <w:t>投标声明书</w:t>
      </w:r>
    </w:p>
    <w:p w14:paraId="556D3C99">
      <w:pPr>
        <w:snapToGrid w:val="0"/>
        <w:spacing w:line="360" w:lineRule="auto"/>
        <w:rPr>
          <w:rFonts w:ascii="宋体" w:hAnsi="宋体" w:cs="宋体"/>
          <w:color w:val="auto"/>
          <w:kern w:val="0"/>
          <w:sz w:val="24"/>
        </w:rPr>
      </w:pPr>
      <w:r>
        <w:rPr>
          <w:rFonts w:hint="eastAsia" w:ascii="宋体" w:hAnsi="宋体" w:cs="宋体"/>
          <w:color w:val="auto"/>
          <w:sz w:val="24"/>
          <w:u w:val="single"/>
        </w:rPr>
        <w:t>（采购人）</w:t>
      </w:r>
      <w:r>
        <w:rPr>
          <w:rFonts w:hint="eastAsia" w:ascii="宋体" w:hAnsi="宋体" w:cs="宋体"/>
          <w:color w:val="auto"/>
          <w:sz w:val="24"/>
        </w:rPr>
        <w:t>、</w:t>
      </w:r>
      <w:r>
        <w:rPr>
          <w:rFonts w:hint="eastAsia" w:ascii="宋体" w:hAnsi="宋体" w:cs="宋体"/>
          <w:color w:val="auto"/>
          <w:sz w:val="24"/>
          <w:u w:val="single"/>
        </w:rPr>
        <w:t>（采购代理机构）</w:t>
      </w:r>
      <w:r>
        <w:rPr>
          <w:rFonts w:hint="eastAsia" w:ascii="宋体" w:hAnsi="宋体" w:cs="宋体"/>
          <w:color w:val="auto"/>
          <w:kern w:val="0"/>
          <w:sz w:val="24"/>
        </w:rPr>
        <w:t>：</w:t>
      </w:r>
    </w:p>
    <w:p w14:paraId="5F67BC6C">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我公司</w:t>
      </w:r>
      <w:r>
        <w:rPr>
          <w:rFonts w:hint="eastAsia" w:ascii="宋体" w:hAnsi="宋体" w:cs="宋体"/>
          <w:color w:val="auto"/>
          <w:sz w:val="24"/>
        </w:rPr>
        <w:t>声明截止投标时间近三年以来，在</w:t>
      </w:r>
      <w:r>
        <w:rPr>
          <w:rFonts w:hint="eastAsia" w:ascii="宋体" w:hAnsi="宋体" w:cs="宋体"/>
          <w:color w:val="auto"/>
          <w:kern w:val="0"/>
          <w:sz w:val="24"/>
        </w:rPr>
        <w:t>政府采购领域中</w:t>
      </w:r>
      <w:r>
        <w:rPr>
          <w:rFonts w:hint="eastAsia" w:ascii="宋体" w:hAnsi="宋体" w:cs="宋体"/>
          <w:color w:val="auto"/>
          <w:sz w:val="24"/>
        </w:rPr>
        <w:t>，在项目招标、投标和合同履约期间无任何不良行为记录和违法、违规行为</w:t>
      </w:r>
      <w:r>
        <w:rPr>
          <w:rFonts w:hint="eastAsia" w:ascii="宋体" w:hAnsi="宋体" w:cs="宋体"/>
          <w:color w:val="auto"/>
          <w:kern w:val="0"/>
          <w:sz w:val="24"/>
          <w:lang w:val="zh-CN"/>
        </w:rPr>
        <w:t>。</w:t>
      </w:r>
    </w:p>
    <w:p w14:paraId="00819E7D">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我公司自愿参</w:t>
      </w:r>
      <w:r>
        <w:rPr>
          <w:rFonts w:hint="eastAsia" w:ascii="宋体" w:hAnsi="宋体" w:cs="宋体"/>
          <w:color w:val="auto"/>
          <w:sz w:val="24"/>
        </w:rPr>
        <w:t>加</w:t>
      </w:r>
      <w:r>
        <w:rPr>
          <w:rFonts w:hint="eastAsia" w:ascii="宋体" w:hAnsi="宋体" w:cs="宋体"/>
          <w:color w:val="auto"/>
          <w:sz w:val="24"/>
          <w:lang w:eastAsia="zh-CN"/>
        </w:rPr>
        <w:t>浙江省嘉兴市消防救援支队2024年度装备器材采购项目(救生、警戒、堵漏和水域救援类）</w:t>
      </w:r>
      <w:r>
        <w:rPr>
          <w:rFonts w:hint="eastAsia" w:ascii="宋体" w:hAnsi="宋体" w:cs="宋体"/>
          <w:color w:val="auto"/>
          <w:sz w:val="24"/>
          <w:u w:val="single"/>
        </w:rPr>
        <w:t xml:space="preserve"> （填写标项）     </w:t>
      </w:r>
      <w:r>
        <w:rPr>
          <w:rFonts w:hint="eastAsia" w:ascii="宋体" w:hAnsi="宋体" w:cs="宋体"/>
          <w:color w:val="auto"/>
          <w:kern w:val="0"/>
          <w:sz w:val="24"/>
          <w:lang w:val="zh-CN"/>
        </w:rPr>
        <w:t>(</w:t>
      </w:r>
      <w:r>
        <w:rPr>
          <w:rFonts w:hint="eastAsia" w:ascii="宋体" w:hAnsi="宋体" w:cs="宋体"/>
          <w:color w:val="auto"/>
          <w:sz w:val="24"/>
        </w:rPr>
        <w:t>项目编号</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的投标，并保证投标文件中所列举的投标报价文件及相关资料和公司基本情况资料是真实的、合法的。</w:t>
      </w:r>
    </w:p>
    <w:p w14:paraId="7D8CD554">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我公司已详细阅读全部“招标文件”，包括修改文件（如果有）以及全部招标资料和相关附件，并已了解我公司在招投标过程中的权利和义务。</w:t>
      </w:r>
    </w:p>
    <w:p w14:paraId="5A9A47CB">
      <w:pPr>
        <w:snapToGrid w:val="0"/>
        <w:spacing w:line="360" w:lineRule="auto"/>
        <w:ind w:firstLine="480"/>
        <w:rPr>
          <w:rFonts w:ascii="宋体" w:hAnsi="宋体" w:cs="宋体"/>
          <w:color w:val="auto"/>
          <w:kern w:val="0"/>
          <w:sz w:val="24"/>
        </w:rPr>
      </w:pPr>
      <w:r>
        <w:rPr>
          <w:rFonts w:hint="eastAsia" w:ascii="宋体" w:hAnsi="宋体" w:cs="宋体"/>
          <w:color w:val="auto"/>
          <w:kern w:val="0"/>
          <w:sz w:val="24"/>
          <w:lang w:val="zh-CN"/>
        </w:rPr>
        <w:t>我公司理解并接受招标文件的各项规定和要求，同意此次招标文件中的各项内容，</w:t>
      </w:r>
      <w:r>
        <w:rPr>
          <w:rFonts w:hint="eastAsia" w:ascii="宋体" w:hAnsi="宋体" w:cs="宋体"/>
          <w:color w:val="auto"/>
          <w:kern w:val="0"/>
          <w:sz w:val="24"/>
        </w:rPr>
        <w:t>并</w:t>
      </w:r>
      <w:r>
        <w:rPr>
          <w:rFonts w:hint="eastAsia" w:ascii="宋体" w:hAnsi="宋体" w:cs="宋体"/>
          <w:color w:val="auto"/>
          <w:kern w:val="0"/>
          <w:sz w:val="24"/>
          <w:lang w:val="zh-CN"/>
        </w:rPr>
        <w:t>同意提供按照贵方可能要求的与投标有关的一切数据或资料等。</w:t>
      </w:r>
    </w:p>
    <w:p w14:paraId="2CF8C874">
      <w:pPr>
        <w:snapToGrid w:val="0"/>
        <w:spacing w:line="360" w:lineRule="auto"/>
        <w:ind w:firstLine="480"/>
        <w:rPr>
          <w:rFonts w:ascii="宋体" w:hAnsi="宋体" w:cs="宋体"/>
          <w:color w:val="auto"/>
          <w:kern w:val="0"/>
          <w:sz w:val="24"/>
        </w:rPr>
      </w:pPr>
      <w:r>
        <w:rPr>
          <w:rFonts w:hint="eastAsia" w:ascii="宋体" w:hAnsi="宋体" w:cs="宋体"/>
          <w:color w:val="auto"/>
          <w:kern w:val="0"/>
          <w:sz w:val="24"/>
          <w:lang w:val="zh-CN"/>
        </w:rPr>
        <w:t>本公司如中标，保证按照投标文件的承诺与贵方签订合同，保证履行合同条款。</w:t>
      </w:r>
    </w:p>
    <w:p w14:paraId="72349876">
      <w:pPr>
        <w:autoSpaceDE w:val="0"/>
        <w:autoSpaceDN w:val="0"/>
        <w:snapToGrid w:val="0"/>
        <w:spacing w:line="360" w:lineRule="auto"/>
        <w:ind w:firstLine="4320" w:firstLineChars="1800"/>
        <w:jc w:val="left"/>
        <w:rPr>
          <w:rFonts w:ascii="宋体" w:hAnsi="宋体" w:cs="宋体"/>
          <w:color w:val="auto"/>
          <w:kern w:val="0"/>
          <w:sz w:val="24"/>
        </w:rPr>
      </w:pPr>
      <w:r>
        <w:rPr>
          <w:rFonts w:hint="eastAsia" w:ascii="宋体" w:hAnsi="宋体" w:cs="宋体"/>
          <w:color w:val="auto"/>
          <w:kern w:val="0"/>
          <w:sz w:val="24"/>
        </w:rPr>
        <w:t>投标人名称（公章）：</w:t>
      </w:r>
    </w:p>
    <w:p w14:paraId="0078F4D8">
      <w:pPr>
        <w:autoSpaceDE w:val="0"/>
        <w:autoSpaceDN w:val="0"/>
        <w:snapToGrid w:val="0"/>
        <w:spacing w:line="360" w:lineRule="auto"/>
        <w:ind w:firstLine="4320" w:firstLineChars="1800"/>
        <w:jc w:val="left"/>
        <w:rPr>
          <w:rFonts w:ascii="宋体" w:hAnsi="宋体" w:cs="宋体"/>
          <w:color w:val="auto"/>
          <w:kern w:val="0"/>
          <w:sz w:val="24"/>
        </w:rPr>
      </w:pPr>
      <w:r>
        <w:rPr>
          <w:rFonts w:hint="eastAsia" w:ascii="宋体" w:hAnsi="宋体" w:cs="宋体"/>
          <w:color w:val="auto"/>
          <w:kern w:val="0"/>
          <w:sz w:val="24"/>
        </w:rPr>
        <w:t>法定代表人或授权代表（签字）：</w:t>
      </w:r>
    </w:p>
    <w:p w14:paraId="3AD96B68">
      <w:pPr>
        <w:snapToGrid w:val="0"/>
        <w:spacing w:line="360" w:lineRule="auto"/>
        <w:ind w:firstLine="4320" w:firstLineChars="1800"/>
        <w:jc w:val="left"/>
        <w:rPr>
          <w:rFonts w:ascii="宋体" w:hAnsi="宋体" w:cs="宋体"/>
          <w:b/>
          <w:bCs/>
          <w:color w:val="auto"/>
          <w:sz w:val="28"/>
          <w:szCs w:val="28"/>
        </w:rPr>
      </w:pPr>
      <w:r>
        <w:rPr>
          <w:rFonts w:hint="eastAsia" w:ascii="宋体" w:hAnsi="宋体" w:cs="宋体"/>
          <w:color w:val="auto"/>
          <w:kern w:val="0"/>
          <w:sz w:val="24"/>
        </w:rPr>
        <w:t>日期：  年  月   日</w:t>
      </w:r>
    </w:p>
    <w:p w14:paraId="067D87C6">
      <w:pPr>
        <w:rPr>
          <w:rFonts w:hint="eastAsia" w:ascii="宋体" w:hAnsi="宋体" w:cs="宋体"/>
          <w:b/>
          <w:bCs/>
          <w:color w:val="auto"/>
          <w:sz w:val="28"/>
          <w:szCs w:val="28"/>
        </w:rPr>
      </w:pPr>
    </w:p>
    <w:p w14:paraId="7DF73110">
      <w:pPr>
        <w:snapToGrid w:val="0"/>
        <w:spacing w:line="360" w:lineRule="auto"/>
        <w:ind w:firstLine="562" w:firstLineChars="200"/>
        <w:jc w:val="lef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六、投标人资格条件中要求的其他材料（如：中小企业声明函、监狱企业、残疾人福利性单位证明材料）。</w:t>
      </w:r>
    </w:p>
    <w:p w14:paraId="60A19506">
      <w:pPr>
        <w:jc w:val="center"/>
        <w:rPr>
          <w:rFonts w:hint="eastAsia" w:ascii="宋体" w:hAnsi="宋体" w:cs="宋体"/>
          <w:b/>
          <w:bCs/>
          <w:color w:val="auto"/>
          <w:szCs w:val="21"/>
        </w:rPr>
      </w:pPr>
    </w:p>
    <w:p w14:paraId="24934A73">
      <w:pP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bidi="ar"/>
        </w:rPr>
        <w:t>本项目</w:t>
      </w:r>
      <w:r>
        <w:rPr>
          <w:rFonts w:hint="eastAsia" w:ascii="宋体" w:hAnsi="宋体" w:cs="宋体"/>
          <w:b/>
          <w:bCs/>
          <w:color w:val="auto"/>
          <w:sz w:val="24"/>
          <w:highlight w:val="none"/>
          <w:lang w:bidi="ar"/>
        </w:rPr>
        <w:t>为专门面向中小企业采购</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须提供中小企业声明函（格式见附件）。</w:t>
      </w:r>
    </w:p>
    <w:p w14:paraId="1C0EBE73">
      <w:pPr>
        <w:snapToGrid w:val="0"/>
        <w:spacing w:line="360" w:lineRule="auto"/>
        <w:jc w:val="left"/>
        <w:rPr>
          <w:rFonts w:ascii="宋体" w:hAnsi="宋体"/>
          <w:sz w:val="24"/>
        </w:rPr>
      </w:pPr>
    </w:p>
    <w:p w14:paraId="01D1D398">
      <w:pPr>
        <w:rPr>
          <w:rFonts w:hint="eastAsia" w:ascii="宋体" w:hAnsi="宋体" w:cs="宋体"/>
          <w:b/>
          <w:bCs/>
          <w:color w:val="auto"/>
          <w:sz w:val="24"/>
          <w:highlight w:val="none"/>
          <w:lang w:val="en-US" w:eastAsia="zh-CN"/>
        </w:rPr>
      </w:pPr>
    </w:p>
    <w:p w14:paraId="083086A2">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14:paraId="09E92D4F">
      <w:pP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附件：</w:t>
      </w:r>
    </w:p>
    <w:p w14:paraId="488C4674">
      <w:pPr>
        <w:spacing w:before="2" w:after="120" w:line="360" w:lineRule="auto"/>
        <w:jc w:val="center"/>
        <w:rPr>
          <w:rFonts w:hint="eastAsia" w:ascii="宋体" w:hAnsi="宋体" w:cs="宋体"/>
          <w:b/>
          <w:color w:val="auto"/>
          <w:sz w:val="24"/>
        </w:rPr>
      </w:pPr>
      <w:r>
        <w:rPr>
          <w:rFonts w:hint="eastAsia" w:ascii="宋体" w:hAnsi="宋体" w:cs="宋体"/>
          <w:b/>
          <w:bCs/>
          <w:color w:val="auto"/>
          <w:sz w:val="28"/>
          <w:szCs w:val="28"/>
        </w:rPr>
        <w:t>中小企业声明函（货物）</w:t>
      </w:r>
    </w:p>
    <w:p w14:paraId="562A11DE">
      <w:pPr>
        <w:spacing w:before="2" w:after="120" w:line="360" w:lineRule="auto"/>
        <w:rPr>
          <w:rFonts w:ascii="宋体" w:hAnsi="宋体" w:cs="宋体"/>
          <w:b/>
          <w:color w:val="auto"/>
          <w:sz w:val="24"/>
        </w:rPr>
      </w:pPr>
      <w:r>
        <w:rPr>
          <w:rFonts w:hint="eastAsia" w:ascii="宋体" w:hAnsi="宋体" w:cs="宋体"/>
          <w:b/>
          <w:color w:val="auto"/>
          <w:sz w:val="24"/>
        </w:rPr>
        <w:t>针对标项一：</w:t>
      </w:r>
    </w:p>
    <w:p w14:paraId="612F076D">
      <w:pPr>
        <w:pStyle w:val="33"/>
        <w:jc w:val="center"/>
        <w:rPr>
          <w:color w:val="auto"/>
        </w:rPr>
      </w:pPr>
      <w:r>
        <w:rPr>
          <w:rFonts w:hint="eastAsia" w:ascii="宋体" w:hAnsi="宋体" w:cs="宋体"/>
          <w:b/>
          <w:bCs/>
          <w:color w:val="auto"/>
          <w:sz w:val="28"/>
          <w:szCs w:val="28"/>
        </w:rPr>
        <w:t>中小企业声明函（货物）</w:t>
      </w:r>
    </w:p>
    <w:p w14:paraId="78660F3B">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。相关企业（含联合体中的中小企业、签订分包意向协议的中小企业）的具体情况如下：</w:t>
      </w:r>
    </w:p>
    <w:p w14:paraId="49062997">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b/>
          <w:bCs/>
          <w:color w:val="auto"/>
          <w:sz w:val="24"/>
          <w:szCs w:val="24"/>
          <w:u w:val="single"/>
        </w:rPr>
        <w:t>救生照明线</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742E5FDB">
      <w:pPr>
        <w:autoSpaceDE w:val="0"/>
        <w:autoSpaceDN w:val="0"/>
        <w:spacing w:after="120" w:line="360" w:lineRule="auto"/>
        <w:ind w:right="-65" w:rightChars="-31" w:firstLine="480" w:firstLineChars="200"/>
        <w:rPr>
          <w:rFonts w:ascii="宋体" w:hAnsi="宋体" w:cs="宋体"/>
          <w:color w:val="auto"/>
          <w:sz w:val="24"/>
        </w:rPr>
      </w:pPr>
    </w:p>
    <w:p w14:paraId="085EAFB5">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1CA3061">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FE6E1AE">
      <w:pPr>
        <w:autoSpaceDE w:val="0"/>
        <w:autoSpaceDN w:val="0"/>
        <w:spacing w:after="120" w:line="360" w:lineRule="auto"/>
        <w:ind w:right="372" w:firstLine="645"/>
        <w:jc w:val="right"/>
        <w:rPr>
          <w:rFonts w:ascii="宋体" w:hAnsi="宋体" w:cs="宋体"/>
          <w:color w:val="auto"/>
          <w:sz w:val="24"/>
        </w:rPr>
      </w:pPr>
    </w:p>
    <w:p w14:paraId="2D0573A8">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企业名称（盖章）：</w:t>
      </w:r>
    </w:p>
    <w:p w14:paraId="6012BA9D">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日期：</w:t>
      </w:r>
    </w:p>
    <w:p w14:paraId="4CF82B8E">
      <w:pPr>
        <w:snapToGrid w:val="0"/>
        <w:spacing w:line="360" w:lineRule="auto"/>
        <w:ind w:left="105" w:firstLine="360"/>
        <w:rPr>
          <w:rFonts w:ascii="宋体" w:hAnsi="宋体" w:cs="宋体"/>
          <w:color w:val="auto"/>
          <w:sz w:val="24"/>
        </w:rPr>
      </w:pPr>
      <w:r>
        <w:rPr>
          <w:rFonts w:hint="eastAsia" w:ascii="宋体" w:hAnsi="宋体" w:cs="宋体"/>
          <w:color w:val="auto"/>
          <w:sz w:val="24"/>
        </w:rPr>
        <w:t>注：从业人员、营业收入、资产总额填报上一年度数据，无上一年度数据的新成立企业可不填报。</w:t>
      </w:r>
    </w:p>
    <w:p w14:paraId="0CBA084C">
      <w:pPr>
        <w:rPr>
          <w:rFonts w:ascii="宋体" w:hAnsi="宋体" w:cs="宋体"/>
          <w:color w:val="auto"/>
          <w:sz w:val="24"/>
        </w:rPr>
      </w:pPr>
      <w:r>
        <w:rPr>
          <w:rFonts w:hint="eastAsia" w:ascii="宋体" w:hAnsi="宋体" w:cs="宋体"/>
          <w:color w:val="auto"/>
          <w:sz w:val="24"/>
        </w:rPr>
        <w:br w:type="page"/>
      </w:r>
    </w:p>
    <w:p w14:paraId="73931826">
      <w:pPr>
        <w:spacing w:before="2" w:after="120" w:line="360" w:lineRule="auto"/>
        <w:rPr>
          <w:rFonts w:ascii="宋体" w:hAnsi="宋体" w:cs="宋体"/>
          <w:b/>
          <w:color w:val="auto"/>
          <w:sz w:val="24"/>
        </w:rPr>
      </w:pPr>
      <w:r>
        <w:rPr>
          <w:rFonts w:hint="eastAsia" w:ascii="宋体" w:hAnsi="宋体" w:cs="宋体"/>
          <w:b/>
          <w:color w:val="auto"/>
          <w:sz w:val="24"/>
        </w:rPr>
        <w:t>针对标项二：</w:t>
      </w:r>
    </w:p>
    <w:p w14:paraId="5113F671">
      <w:pPr>
        <w:pStyle w:val="33"/>
        <w:jc w:val="center"/>
        <w:rPr>
          <w:color w:val="auto"/>
        </w:rPr>
      </w:pPr>
      <w:r>
        <w:rPr>
          <w:rFonts w:hint="eastAsia" w:ascii="宋体" w:hAnsi="宋体" w:cs="宋体"/>
          <w:b/>
          <w:bCs/>
          <w:color w:val="auto"/>
          <w:sz w:val="28"/>
          <w:szCs w:val="28"/>
        </w:rPr>
        <w:t>中小企业声明函（货物）</w:t>
      </w:r>
    </w:p>
    <w:p w14:paraId="3ED2725C">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。相关企业（含联合体中的中小企业、签订分包意向协议的中小企业）的具体情况如下：</w:t>
      </w:r>
    </w:p>
    <w:p w14:paraId="226BAB8B">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b/>
          <w:bCs/>
          <w:color w:val="auto"/>
          <w:sz w:val="24"/>
          <w:u w:val="single"/>
        </w:rPr>
        <w:t>消防救生气垫</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59CF11B1">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肢体固定气囊</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4588F3C9">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躯体固定气囊</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6308DED2">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折叠式担架</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2F6B19DC">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伤员固定抬板</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6745A43D">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多功能担架</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4A9C6F7A">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漂浮救援板</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67FFBE3A">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漂浮担架</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56A3E2BC">
      <w:pPr>
        <w:autoSpaceDE w:val="0"/>
        <w:autoSpaceDN w:val="0"/>
        <w:spacing w:after="120" w:line="360" w:lineRule="auto"/>
        <w:ind w:right="-65" w:rightChars="-31" w:firstLine="482" w:firstLineChars="200"/>
        <w:rPr>
          <w:rFonts w:ascii="宋体" w:hAnsi="宋体" w:cs="宋体"/>
          <w:color w:val="auto"/>
          <w:sz w:val="24"/>
        </w:rPr>
      </w:pPr>
      <w:r>
        <w:rPr>
          <w:rFonts w:hint="eastAsia" w:ascii="宋体" w:hAnsi="宋体" w:cs="宋体"/>
          <w:b/>
          <w:bCs/>
          <w:color w:val="auto"/>
          <w:sz w:val="24"/>
          <w:u w:val="single"/>
        </w:rPr>
        <w:t>篮式担架</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5A528DA1">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打捞杆</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626D38F1">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救生缓降器</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47AB5CA8">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救援支架</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056C0388">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救生抛投器</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5EC0A763">
      <w:pPr>
        <w:autoSpaceDE w:val="0"/>
        <w:autoSpaceDN w:val="0"/>
        <w:spacing w:after="120" w:line="360" w:lineRule="auto"/>
        <w:ind w:right="-65" w:rightChars="-31" w:firstLine="482" w:firstLineChars="200"/>
        <w:rPr>
          <w:rFonts w:hint="eastAsia" w:ascii="宋体" w:hAnsi="宋体" w:cs="宋体"/>
          <w:color w:val="auto"/>
          <w:sz w:val="24"/>
        </w:rPr>
      </w:pPr>
      <w:r>
        <w:rPr>
          <w:rFonts w:hint="eastAsia" w:ascii="宋体" w:hAnsi="宋体" w:cs="宋体"/>
          <w:b/>
          <w:bCs/>
          <w:color w:val="auto"/>
          <w:sz w:val="24"/>
          <w:u w:val="single"/>
        </w:rPr>
        <w:t>救生软梯</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2057F279">
      <w:pPr>
        <w:tabs>
          <w:tab w:val="left" w:pos="1183"/>
          <w:tab w:val="left" w:pos="1484"/>
          <w:tab w:val="left" w:pos="4662"/>
          <w:tab w:val="left" w:pos="6903"/>
        </w:tabs>
        <w:autoSpaceDE w:val="0"/>
        <w:autoSpaceDN w:val="0"/>
        <w:spacing w:line="360" w:lineRule="auto"/>
        <w:ind w:right="-65" w:rightChars="-31" w:firstLine="429" w:firstLineChars="178"/>
        <w:jc w:val="left"/>
        <w:rPr>
          <w:rFonts w:hint="eastAsia" w:ascii="宋体" w:hAnsi="宋体" w:cs="宋体"/>
          <w:b/>
          <w:bCs/>
          <w:color w:val="auto"/>
          <w:sz w:val="24"/>
          <w:u w:val="single"/>
        </w:rPr>
      </w:pPr>
      <w:r>
        <w:rPr>
          <w:rFonts w:hint="eastAsia" w:ascii="宋体" w:hAnsi="宋体" w:cs="宋体"/>
          <w:b/>
          <w:bCs/>
          <w:color w:val="auto"/>
          <w:sz w:val="24"/>
          <w:u w:val="single"/>
          <w:lang w:val="en-US" w:eastAsia="zh-CN"/>
        </w:rPr>
        <w:t>消防过滤式自救呼吸器</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2CD2E22F">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指南针</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1E7E6353">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夜视仪</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5D48F4D5">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望远镜</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099D9C79">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测风仪</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3AD90466">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运动相机</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137BE496">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频闪灯</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11437E88">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多功能刀具</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1DEEEBCD">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自喷荧光漆</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30CEF94C">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各类警示牌</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133889E6">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隔离警示带</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06C57E32">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注入式堵漏工具</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14BBB13C">
      <w:pPr>
        <w:autoSpaceDE w:val="0"/>
        <w:autoSpaceDN w:val="0"/>
        <w:spacing w:after="120" w:line="360" w:lineRule="auto"/>
        <w:ind w:right="-65" w:rightChars="-31" w:firstLine="482" w:firstLineChars="200"/>
        <w:rPr>
          <w:rFonts w:hint="eastAsia" w:ascii="宋体" w:hAnsi="宋体" w:cs="宋体"/>
          <w:color w:val="auto"/>
          <w:sz w:val="24"/>
        </w:rPr>
      </w:pPr>
      <w:r>
        <w:rPr>
          <w:rFonts w:hint="eastAsia" w:ascii="宋体" w:hAnsi="宋体" w:cs="宋体"/>
          <w:b/>
          <w:bCs/>
          <w:color w:val="auto"/>
          <w:sz w:val="24"/>
          <w:highlight w:val="none"/>
          <w:u w:val="single"/>
        </w:rPr>
        <w:t>无火花工具</w:t>
      </w:r>
      <w:r>
        <w:rPr>
          <w:rFonts w:hint="eastAsia" w:ascii="宋体" w:hAnsi="宋体" w:cs="宋体"/>
          <w:color w:val="auto"/>
          <w:sz w:val="24"/>
          <w:highlight w:val="none"/>
        </w:rPr>
        <w:t>，</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51F1CD83">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ABB41A6">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BDCDD4C">
      <w:pPr>
        <w:autoSpaceDE w:val="0"/>
        <w:autoSpaceDN w:val="0"/>
        <w:spacing w:after="120" w:line="360" w:lineRule="auto"/>
        <w:ind w:right="372" w:firstLine="645"/>
        <w:jc w:val="right"/>
        <w:rPr>
          <w:rFonts w:ascii="宋体" w:hAnsi="宋体" w:cs="宋体"/>
          <w:color w:val="auto"/>
          <w:sz w:val="24"/>
        </w:rPr>
      </w:pPr>
    </w:p>
    <w:p w14:paraId="002FD9F4">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企业名称（盖章）：</w:t>
      </w:r>
    </w:p>
    <w:p w14:paraId="3EB52851">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日期：</w:t>
      </w:r>
    </w:p>
    <w:p w14:paraId="5A621932">
      <w:pPr>
        <w:snapToGrid w:val="0"/>
        <w:spacing w:line="360" w:lineRule="auto"/>
        <w:ind w:left="105" w:firstLine="360"/>
        <w:rPr>
          <w:rFonts w:ascii="宋体" w:hAnsi="宋体" w:cs="宋体"/>
          <w:color w:val="auto"/>
          <w:sz w:val="24"/>
        </w:rPr>
      </w:pPr>
      <w:r>
        <w:rPr>
          <w:rFonts w:hint="eastAsia" w:ascii="宋体" w:hAnsi="宋体" w:cs="宋体"/>
          <w:color w:val="auto"/>
          <w:sz w:val="24"/>
        </w:rPr>
        <w:t>注：从业人员、营业收入、资产总额填报上一年度数据，无上一年度数据的新成立企业可不填报。</w:t>
      </w:r>
    </w:p>
    <w:p w14:paraId="121CF56A">
      <w:pPr>
        <w:rPr>
          <w:rFonts w:ascii="宋体" w:hAnsi="宋体" w:cs="宋体"/>
          <w:color w:val="auto"/>
          <w:sz w:val="24"/>
        </w:rPr>
      </w:pPr>
      <w:r>
        <w:rPr>
          <w:rFonts w:hint="eastAsia" w:ascii="宋体" w:hAnsi="宋体" w:cs="宋体"/>
          <w:color w:val="auto"/>
          <w:sz w:val="24"/>
        </w:rPr>
        <w:br w:type="page"/>
      </w:r>
    </w:p>
    <w:p w14:paraId="3A884BC3">
      <w:pPr>
        <w:spacing w:before="2" w:after="120" w:line="360" w:lineRule="auto"/>
        <w:rPr>
          <w:rFonts w:ascii="宋体" w:hAnsi="宋体" w:cs="宋体"/>
          <w:b/>
          <w:color w:val="auto"/>
          <w:sz w:val="24"/>
        </w:rPr>
      </w:pPr>
      <w:r>
        <w:rPr>
          <w:rFonts w:hint="eastAsia" w:ascii="宋体" w:hAnsi="宋体" w:cs="宋体"/>
          <w:b/>
          <w:color w:val="auto"/>
          <w:sz w:val="24"/>
        </w:rPr>
        <w:t>针对标项三：</w:t>
      </w:r>
    </w:p>
    <w:p w14:paraId="17EFBCCA">
      <w:pPr>
        <w:pStyle w:val="33"/>
        <w:jc w:val="center"/>
        <w:rPr>
          <w:color w:val="auto"/>
        </w:rPr>
      </w:pPr>
      <w:r>
        <w:rPr>
          <w:rFonts w:hint="eastAsia" w:ascii="宋体" w:hAnsi="宋体" w:cs="宋体"/>
          <w:b/>
          <w:bCs/>
          <w:color w:val="auto"/>
          <w:sz w:val="28"/>
          <w:szCs w:val="28"/>
        </w:rPr>
        <w:t>中小企业声明函（货物）</w:t>
      </w:r>
    </w:p>
    <w:p w14:paraId="1814F5F3">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。相关企业（含联合体中的中小企业、签订分包意向协议的中小企业）的具体情况如下：</w:t>
      </w:r>
    </w:p>
    <w:p w14:paraId="5A3135A9">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橡皮艇≥8人（不配舷外机）</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41469162">
      <w:pPr>
        <w:tabs>
          <w:tab w:val="left" w:pos="1183"/>
          <w:tab w:val="left" w:pos="1484"/>
          <w:tab w:val="left" w:pos="4662"/>
          <w:tab w:val="left" w:pos="6903"/>
        </w:tabs>
        <w:autoSpaceDE w:val="0"/>
        <w:autoSpaceDN w:val="0"/>
        <w:spacing w:line="360" w:lineRule="auto"/>
        <w:ind w:right="-65" w:rightChars="-31" w:firstLine="429" w:firstLineChars="178"/>
        <w:jc w:val="left"/>
        <w:rPr>
          <w:rFonts w:hint="eastAsia" w:ascii="宋体" w:hAnsi="宋体" w:cs="宋体"/>
          <w:color w:val="auto"/>
          <w:w w:val="99"/>
          <w:sz w:val="24"/>
          <w:u w:val="single"/>
        </w:rPr>
      </w:pPr>
      <w:r>
        <w:rPr>
          <w:rFonts w:hint="eastAsia" w:ascii="宋体" w:hAnsi="宋体" w:cs="宋体"/>
          <w:b/>
          <w:bCs/>
          <w:color w:val="auto"/>
          <w:sz w:val="24"/>
          <w:u w:val="single"/>
        </w:rPr>
        <w:t>橡皮艇≥6人（不配舷外机）</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05EEF641">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螺旋桨式舷外机≥30马力（短轴）</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44AC07BA">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螺旋桨式舷外机≥40马力（短轴）</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3BE2E0DE">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highlight w:val="none"/>
          <w:u w:val="single"/>
        </w:rPr>
        <w:t>水域救援个人携行包</w:t>
      </w:r>
      <w:r>
        <w:rPr>
          <w:rFonts w:hint="eastAsia" w:ascii="宋体" w:hAnsi="宋体" w:cs="宋体"/>
          <w:color w:val="auto"/>
          <w:sz w:val="24"/>
          <w:highlight w:val="none"/>
        </w:rPr>
        <w:t>，</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28AD99B1">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消防用救生衣</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18210D8D">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水域救援漂浮救生绳（100米）</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766AE08F">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消防员水域救援防护服</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4CB503E1">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水域救援服（速干型）</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37D62772">
      <w:pPr>
        <w:autoSpaceDE w:val="0"/>
        <w:autoSpaceDN w:val="0"/>
        <w:spacing w:after="120" w:line="360" w:lineRule="auto"/>
        <w:ind w:right="-65" w:rightChars="-31" w:firstLine="482" w:firstLineChars="200"/>
        <w:rPr>
          <w:rFonts w:hint="eastAsia" w:ascii="宋体" w:hAnsi="宋体" w:cs="宋体"/>
          <w:color w:val="auto"/>
          <w:sz w:val="24"/>
        </w:rPr>
      </w:pPr>
      <w:r>
        <w:rPr>
          <w:rFonts w:hint="eastAsia" w:ascii="宋体" w:hAnsi="宋体" w:cs="宋体"/>
          <w:b/>
          <w:bCs/>
          <w:color w:val="auto"/>
          <w:sz w:val="24"/>
          <w:u w:val="single"/>
        </w:rPr>
        <w:t>水面遥控救援机器人</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59F3D447">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900B913">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7C206D4">
      <w:pPr>
        <w:autoSpaceDE w:val="0"/>
        <w:autoSpaceDN w:val="0"/>
        <w:spacing w:after="120" w:line="360" w:lineRule="auto"/>
        <w:ind w:right="372" w:firstLine="645"/>
        <w:jc w:val="right"/>
        <w:rPr>
          <w:rFonts w:ascii="宋体" w:hAnsi="宋体" w:cs="宋体"/>
          <w:color w:val="auto"/>
          <w:sz w:val="24"/>
        </w:rPr>
      </w:pPr>
    </w:p>
    <w:p w14:paraId="20153E00">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企业名称（盖章）：</w:t>
      </w:r>
    </w:p>
    <w:p w14:paraId="5EBB71D2">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日期：</w:t>
      </w:r>
    </w:p>
    <w:p w14:paraId="0E878085">
      <w:pPr>
        <w:snapToGrid w:val="0"/>
        <w:spacing w:line="360" w:lineRule="auto"/>
        <w:ind w:left="105" w:firstLine="360"/>
        <w:rPr>
          <w:rFonts w:hint="default"/>
          <w:color w:val="auto"/>
          <w:lang w:val="en-US" w:eastAsia="zh-CN"/>
        </w:rPr>
      </w:pPr>
      <w:r>
        <w:rPr>
          <w:rFonts w:hint="eastAsia" w:ascii="宋体" w:hAnsi="宋体" w:cs="宋体"/>
          <w:color w:val="auto"/>
          <w:sz w:val="24"/>
        </w:rPr>
        <w:t>注：从业人员、营业收入、资产总额填报上一年度数据，无上一年度数据的新成立企业可不填报。</w:t>
      </w:r>
    </w:p>
    <w:p w14:paraId="33C9A5E6">
      <w:pPr>
        <w:rPr>
          <w:color w:val="auto"/>
        </w:rPr>
      </w:pPr>
    </w:p>
    <w:p w14:paraId="1693DEDA">
      <w:pPr>
        <w:spacing w:line="360" w:lineRule="auto"/>
        <w:rPr>
          <w:color w:val="auto"/>
        </w:rPr>
        <w:sectPr>
          <w:pgSz w:w="11906" w:h="16838"/>
          <w:pgMar w:top="1440" w:right="1800" w:bottom="1440" w:left="1800" w:header="851" w:footer="992" w:gutter="0"/>
          <w:cols w:space="720" w:num="1"/>
          <w:titlePg/>
          <w:docGrid w:type="lines" w:linePitch="312" w:charSpace="0"/>
        </w:sectPr>
      </w:pPr>
    </w:p>
    <w:p w14:paraId="1A1F0DCF">
      <w:pPr>
        <w:spacing w:before="2" w:after="120" w:line="360" w:lineRule="auto"/>
        <w:rPr>
          <w:rFonts w:ascii="宋体" w:hAnsi="宋体" w:cs="宋体"/>
          <w:b/>
          <w:color w:val="auto"/>
          <w:sz w:val="24"/>
        </w:rPr>
      </w:pPr>
      <w:r>
        <w:rPr>
          <w:rFonts w:hint="eastAsia" w:ascii="宋体" w:hAnsi="宋体" w:cs="宋体"/>
          <w:b/>
          <w:color w:val="auto"/>
          <w:sz w:val="24"/>
        </w:rPr>
        <w:t>针对标项</w:t>
      </w:r>
      <w:r>
        <w:rPr>
          <w:rFonts w:hint="eastAsia" w:ascii="宋体" w:hAnsi="宋体" w:cs="宋体"/>
          <w:b/>
          <w:color w:val="auto"/>
          <w:sz w:val="24"/>
          <w:lang w:val="en-US" w:eastAsia="zh-CN"/>
        </w:rPr>
        <w:t>四</w:t>
      </w:r>
      <w:r>
        <w:rPr>
          <w:rFonts w:hint="eastAsia" w:ascii="宋体" w:hAnsi="宋体" w:cs="宋体"/>
          <w:b/>
          <w:color w:val="auto"/>
          <w:sz w:val="24"/>
        </w:rPr>
        <w:t>：</w:t>
      </w:r>
    </w:p>
    <w:p w14:paraId="64BDA864">
      <w:pPr>
        <w:pStyle w:val="33"/>
        <w:jc w:val="center"/>
        <w:rPr>
          <w:color w:val="auto"/>
        </w:rPr>
      </w:pPr>
      <w:r>
        <w:rPr>
          <w:rFonts w:hint="eastAsia" w:ascii="宋体" w:hAnsi="宋体" w:cs="宋体"/>
          <w:b/>
          <w:bCs/>
          <w:color w:val="auto"/>
          <w:sz w:val="28"/>
          <w:szCs w:val="28"/>
        </w:rPr>
        <w:t>中小企业声明函（货物）</w:t>
      </w:r>
    </w:p>
    <w:p w14:paraId="5C9591E3">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。相关企业（含联合体中的中小企业、签订分包意向协议的中小企业）的具体情况如下：</w:t>
      </w:r>
    </w:p>
    <w:p w14:paraId="5002C00D">
      <w:pPr>
        <w:tabs>
          <w:tab w:val="left" w:pos="1183"/>
          <w:tab w:val="left" w:pos="1484"/>
          <w:tab w:val="left" w:pos="4662"/>
          <w:tab w:val="left" w:pos="6903"/>
        </w:tabs>
        <w:autoSpaceDE w:val="0"/>
        <w:autoSpaceDN w:val="0"/>
        <w:spacing w:line="360" w:lineRule="auto"/>
        <w:ind w:right="-65" w:rightChars="-31" w:firstLine="429" w:firstLineChars="178"/>
        <w:jc w:val="left"/>
        <w:rPr>
          <w:rFonts w:hint="eastAsia" w:ascii="宋体" w:hAnsi="宋体" w:cs="宋体"/>
          <w:b/>
          <w:bCs/>
          <w:color w:val="auto"/>
          <w:sz w:val="24"/>
          <w:u w:val="single"/>
        </w:rPr>
      </w:pPr>
      <w:r>
        <w:rPr>
          <w:rFonts w:hint="eastAsia" w:ascii="宋体" w:hAnsi="宋体" w:cs="宋体"/>
          <w:b/>
          <w:bCs/>
          <w:color w:val="auto"/>
          <w:sz w:val="24"/>
          <w:u w:val="single"/>
        </w:rPr>
        <w:t>止坠器</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1432C4B7">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锚点扁带</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2EB69279">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脚踏绳</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21D8A26E">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绳索保护垫</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7DB8F998">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D型自动主锁</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453B227F">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D型丝扣主锁</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0B8A0ACA">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O型丝扣钢锁</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1F19708D">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悬挂装备</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4AB33704">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大开口工程挂钩</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371E236A">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梨形自动扣主锁</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3069FF3C">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5:1滑轮组</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6C32B4E5">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O型丝扣主锁</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73CA45A9">
      <w:pPr>
        <w:autoSpaceDE w:val="0"/>
        <w:autoSpaceDN w:val="0"/>
        <w:spacing w:after="120" w:line="360" w:lineRule="auto"/>
        <w:ind w:right="-65" w:rightChars="-31" w:firstLine="482" w:firstLineChars="200"/>
        <w:rPr>
          <w:rFonts w:hint="eastAsia" w:ascii="宋体" w:hAnsi="宋体" w:cs="宋体"/>
          <w:color w:val="auto"/>
          <w:w w:val="99"/>
          <w:sz w:val="24"/>
          <w:u w:val="single"/>
        </w:rPr>
      </w:pPr>
      <w:r>
        <w:rPr>
          <w:rFonts w:hint="eastAsia" w:ascii="宋体" w:hAnsi="宋体" w:cs="宋体"/>
          <w:b/>
          <w:bCs/>
          <w:color w:val="auto"/>
          <w:sz w:val="24"/>
          <w:u w:val="single"/>
        </w:rPr>
        <w:t>机械抓结</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03153996">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1C76279">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0AD362B">
      <w:pPr>
        <w:autoSpaceDE w:val="0"/>
        <w:autoSpaceDN w:val="0"/>
        <w:spacing w:after="120" w:line="360" w:lineRule="auto"/>
        <w:ind w:right="372" w:firstLine="645"/>
        <w:jc w:val="right"/>
        <w:rPr>
          <w:rFonts w:ascii="宋体" w:hAnsi="宋体" w:cs="宋体"/>
          <w:color w:val="auto"/>
          <w:sz w:val="24"/>
        </w:rPr>
      </w:pPr>
    </w:p>
    <w:p w14:paraId="6BF668D7">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企业名称（盖章）：</w:t>
      </w:r>
    </w:p>
    <w:p w14:paraId="25C2D033">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日期：</w:t>
      </w:r>
    </w:p>
    <w:p w14:paraId="1602BA6A">
      <w:pPr>
        <w:rPr>
          <w:rFonts w:hint="eastAsia" w:ascii="宋体" w:hAnsi="宋体" w:cs="宋体"/>
          <w:b/>
          <w:bCs/>
          <w:color w:val="auto"/>
          <w:sz w:val="32"/>
          <w:szCs w:val="32"/>
        </w:rPr>
      </w:pPr>
      <w:r>
        <w:rPr>
          <w:rFonts w:hint="eastAsia" w:ascii="宋体" w:hAnsi="宋体" w:cs="宋体"/>
          <w:color w:val="auto"/>
          <w:sz w:val="24"/>
        </w:rPr>
        <w:t>注：从业人员、营业收入、资产总额填报上一年度数据，无上一年度数据的新成立企业可不填报。</w:t>
      </w:r>
      <w:r>
        <w:rPr>
          <w:rFonts w:hint="eastAsia" w:ascii="宋体" w:hAnsi="宋体" w:cs="宋体"/>
          <w:b/>
          <w:bCs/>
          <w:color w:val="auto"/>
          <w:sz w:val="32"/>
          <w:szCs w:val="32"/>
        </w:rPr>
        <w:br w:type="page"/>
      </w:r>
    </w:p>
    <w:p w14:paraId="60347F08">
      <w:pPr>
        <w:snapToGrid w:val="0"/>
        <w:spacing w:line="360" w:lineRule="auto"/>
        <w:rPr>
          <w:rFonts w:ascii="宋体" w:hAnsi="宋体" w:cs="宋体"/>
          <w:b/>
          <w:bCs/>
          <w:color w:val="auto"/>
          <w:sz w:val="28"/>
          <w:szCs w:val="28"/>
        </w:rPr>
      </w:pPr>
      <w:r>
        <w:rPr>
          <w:rFonts w:hint="eastAsia" w:ascii="宋体" w:hAnsi="宋体" w:cs="宋体"/>
          <w:b/>
          <w:bCs/>
          <w:color w:val="auto"/>
          <w:sz w:val="28"/>
          <w:szCs w:val="28"/>
        </w:rPr>
        <w:t>投标人为监狱企业的证明文件：省级以上监狱管理局、戒毒管理局（含新疆生产建设兵团）出具（如有）</w:t>
      </w:r>
    </w:p>
    <w:p w14:paraId="4ACDB8E3">
      <w:pPr>
        <w:autoSpaceDE w:val="0"/>
        <w:autoSpaceDN w:val="0"/>
        <w:spacing w:after="120" w:line="360" w:lineRule="auto"/>
        <w:ind w:right="2166"/>
        <w:rPr>
          <w:rFonts w:ascii="宋体" w:hAnsi="宋体" w:cs="宋体"/>
          <w:sz w:val="24"/>
        </w:rPr>
      </w:pPr>
    </w:p>
    <w:p w14:paraId="59F50CD0">
      <w:pPr>
        <w:snapToGrid w:val="0"/>
        <w:spacing w:line="360" w:lineRule="auto"/>
        <w:ind w:firstLine="480" w:firstLineChars="200"/>
        <w:rPr>
          <w:rFonts w:ascii="宋体" w:hAnsi="宋体" w:cs="宋体"/>
          <w:sz w:val="24"/>
        </w:rPr>
      </w:pPr>
    </w:p>
    <w:p w14:paraId="1B8E5D17">
      <w:pPr>
        <w:snapToGrid w:val="0"/>
        <w:spacing w:line="360" w:lineRule="auto"/>
        <w:ind w:firstLine="480" w:firstLineChars="200"/>
        <w:rPr>
          <w:rFonts w:ascii="宋体" w:hAnsi="宋体" w:cs="宋体"/>
          <w:sz w:val="24"/>
        </w:rPr>
      </w:pPr>
    </w:p>
    <w:p w14:paraId="47C96049">
      <w:pPr>
        <w:snapToGrid w:val="0"/>
        <w:spacing w:before="50" w:after="50" w:line="360" w:lineRule="auto"/>
        <w:jc w:val="left"/>
        <w:rPr>
          <w:rFonts w:ascii="宋体" w:hAnsi="宋体" w:cs="宋体"/>
          <w:b/>
          <w:bCs/>
          <w:sz w:val="28"/>
          <w:szCs w:val="28"/>
        </w:rPr>
      </w:pPr>
      <w:r>
        <w:rPr>
          <w:rFonts w:ascii="宋体" w:hAnsi="宋体" w:cs="宋体"/>
          <w:b/>
          <w:bCs/>
          <w:sz w:val="24"/>
        </w:rPr>
        <w:br w:type="page"/>
      </w:r>
    </w:p>
    <w:p w14:paraId="25B0DCAB">
      <w:pPr>
        <w:snapToGrid w:val="0"/>
        <w:spacing w:before="50" w:after="50" w:line="360" w:lineRule="auto"/>
        <w:jc w:val="center"/>
        <w:rPr>
          <w:rFonts w:ascii="宋体" w:hAnsi="宋体" w:cs="宋体"/>
          <w:b/>
          <w:bCs/>
          <w:color w:val="auto"/>
          <w:sz w:val="28"/>
          <w:szCs w:val="28"/>
        </w:rPr>
      </w:pPr>
      <w:r>
        <w:rPr>
          <w:rFonts w:hint="eastAsia" w:ascii="宋体" w:hAnsi="宋体" w:cs="宋体"/>
          <w:b/>
          <w:bCs/>
          <w:color w:val="auto"/>
          <w:sz w:val="28"/>
          <w:szCs w:val="28"/>
        </w:rPr>
        <w:t>残疾人福利性单位声明函</w:t>
      </w:r>
    </w:p>
    <w:p w14:paraId="70AFE8E2">
      <w:pPr>
        <w:snapToGrid w:val="0"/>
        <w:spacing w:line="360" w:lineRule="auto"/>
        <w:rPr>
          <w:rFonts w:ascii="宋体" w:hAnsi="宋体" w:cs="宋体"/>
          <w:b/>
          <w:color w:val="auto"/>
          <w:spacing w:val="6"/>
          <w:sz w:val="30"/>
          <w:szCs w:val="30"/>
        </w:rPr>
      </w:pPr>
    </w:p>
    <w:p w14:paraId="32640AD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w:t>
      </w:r>
      <w:r>
        <w:rPr>
          <w:rFonts w:ascii="宋体" w:hAnsi="宋体" w:cs="宋体"/>
          <w:color w:val="auto"/>
          <w:sz w:val="24"/>
        </w:rPr>
        <w:t xml:space="preserve"> </w:t>
      </w:r>
      <w:r>
        <w:rPr>
          <w:rFonts w:hint="eastAsia" w:ascii="宋体" w:hAnsi="宋体" w:cs="宋体"/>
          <w:color w:val="auto"/>
          <w:sz w:val="24"/>
        </w:rPr>
        <w:t>民政部</w:t>
      </w:r>
      <w:r>
        <w:rPr>
          <w:rFonts w:ascii="宋体" w:hAnsi="宋体" w:cs="宋体"/>
          <w:color w:val="auto"/>
          <w:sz w:val="24"/>
        </w:rPr>
        <w:t xml:space="preserve"> </w:t>
      </w:r>
      <w:r>
        <w:rPr>
          <w:rFonts w:hint="eastAsia" w:ascii="宋体" w:hAnsi="宋体" w:cs="宋体"/>
          <w:color w:val="auto"/>
          <w:sz w:val="24"/>
        </w:rPr>
        <w:t>中国残疾人联合会关于促进残疾人就业政府采购政策的通知》（财库〔</w:t>
      </w:r>
      <w:r>
        <w:rPr>
          <w:rFonts w:ascii="宋体" w:hAnsi="宋体" w:cs="宋体"/>
          <w:color w:val="auto"/>
          <w:sz w:val="24"/>
        </w:rPr>
        <w:t>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60683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B636863">
      <w:pPr>
        <w:snapToGrid w:val="0"/>
        <w:spacing w:line="360" w:lineRule="auto"/>
        <w:ind w:firstLine="480" w:firstLineChars="200"/>
        <w:rPr>
          <w:rFonts w:ascii="宋体" w:hAnsi="宋体" w:cs="宋体"/>
          <w:color w:val="auto"/>
          <w:sz w:val="24"/>
        </w:rPr>
      </w:pPr>
    </w:p>
    <w:p w14:paraId="5152B366">
      <w:pPr>
        <w:snapToGrid w:val="0"/>
        <w:spacing w:line="360" w:lineRule="auto"/>
        <w:ind w:firstLine="480" w:firstLineChars="200"/>
        <w:rPr>
          <w:rFonts w:ascii="宋体" w:hAnsi="宋体" w:cs="宋体"/>
          <w:color w:val="auto"/>
          <w:sz w:val="24"/>
        </w:rPr>
      </w:pPr>
    </w:p>
    <w:p w14:paraId="30E91A6D">
      <w:pPr>
        <w:snapToGrid w:val="0"/>
        <w:spacing w:line="360" w:lineRule="auto"/>
        <w:ind w:firstLine="480" w:firstLineChars="200"/>
        <w:rPr>
          <w:rFonts w:ascii="宋体" w:hAnsi="宋体" w:cs="宋体"/>
          <w:color w:val="auto"/>
          <w:sz w:val="24"/>
        </w:rPr>
      </w:pPr>
      <w:r>
        <w:rPr>
          <w:rFonts w:ascii="宋体" w:hAnsi="宋体" w:cs="宋体"/>
          <w:color w:val="auto"/>
          <w:sz w:val="24"/>
        </w:rPr>
        <w:t xml:space="preserve">                                    单位名称（盖章）：</w:t>
      </w:r>
    </w:p>
    <w:p w14:paraId="4EE4582C">
      <w:pPr>
        <w:snapToGrid w:val="0"/>
        <w:spacing w:before="156" w:beforeLines="50" w:after="156" w:afterLines="50" w:line="360" w:lineRule="auto"/>
        <w:rPr>
          <w:rFonts w:ascii="宋体" w:hAnsi="宋体" w:cs="宋体"/>
          <w:b/>
          <w:color w:val="auto"/>
          <w:sz w:val="24"/>
        </w:rPr>
      </w:pPr>
      <w:r>
        <w:rPr>
          <w:rFonts w:ascii="宋体" w:hAnsi="宋体" w:cs="宋体"/>
          <w:color w:val="auto"/>
          <w:sz w:val="24"/>
        </w:rPr>
        <w:t xml:space="preserve">                                        日  期：</w:t>
      </w:r>
    </w:p>
    <w:p w14:paraId="6848677F">
      <w:pPr>
        <w:rPr>
          <w:rFonts w:hint="eastAsia" w:ascii="宋体" w:hAnsi="宋体" w:cs="宋体"/>
          <w:b/>
          <w:bCs/>
          <w:color w:val="auto"/>
          <w:sz w:val="32"/>
          <w:szCs w:val="32"/>
        </w:rPr>
      </w:pPr>
      <w:r>
        <w:rPr>
          <w:rFonts w:hint="eastAsia" w:ascii="宋体" w:hAnsi="宋体" w:cs="宋体"/>
          <w:b/>
          <w:bCs/>
          <w:color w:val="auto"/>
          <w:sz w:val="32"/>
          <w:szCs w:val="32"/>
        </w:rPr>
        <w:br w:type="page"/>
      </w:r>
    </w:p>
    <w:p w14:paraId="75E45FEF">
      <w:pPr>
        <w:snapToGrid w:val="0"/>
        <w:ind w:firstLine="3200" w:firstLineChars="996"/>
        <w:jc w:val="left"/>
        <w:rPr>
          <w:rFonts w:ascii="宋体" w:hAnsi="宋体" w:cs="宋体"/>
          <w:b/>
          <w:bCs/>
          <w:color w:val="auto"/>
          <w:sz w:val="32"/>
          <w:szCs w:val="32"/>
        </w:rPr>
      </w:pPr>
      <w:r>
        <w:rPr>
          <w:rFonts w:hint="eastAsia" w:ascii="宋体" w:hAnsi="宋体" w:cs="宋体"/>
          <w:b/>
          <w:bCs/>
          <w:color w:val="auto"/>
          <w:sz w:val="32"/>
          <w:szCs w:val="32"/>
        </w:rPr>
        <w:t>商务技术文件</w:t>
      </w:r>
      <w:bookmarkStart w:id="55" w:name="_Toc32643"/>
      <w:bookmarkStart w:id="56" w:name="_Toc12343"/>
    </w:p>
    <w:p w14:paraId="560AD1F6">
      <w:pPr>
        <w:snapToGrid w:val="0"/>
        <w:ind w:firstLine="3200" w:firstLineChars="996"/>
        <w:jc w:val="left"/>
        <w:rPr>
          <w:rFonts w:ascii="宋体" w:hAnsi="宋体" w:cs="宋体"/>
          <w:b/>
          <w:bCs/>
          <w:color w:val="auto"/>
          <w:sz w:val="32"/>
          <w:szCs w:val="32"/>
        </w:rPr>
      </w:pPr>
    </w:p>
    <w:p w14:paraId="29D81C58">
      <w:pPr>
        <w:snapToGrid w:val="0"/>
        <w:ind w:firstLine="2400" w:firstLineChars="996"/>
        <w:jc w:val="left"/>
        <w:rPr>
          <w:rFonts w:ascii="宋体" w:hAnsi="宋体" w:cs="宋体"/>
          <w:color w:val="auto"/>
          <w:sz w:val="24"/>
        </w:rPr>
      </w:pPr>
      <w:r>
        <w:rPr>
          <w:rFonts w:hint="eastAsia" w:ascii="宋体" w:hAnsi="宋体" w:cs="宋体"/>
          <w:b/>
          <w:color w:val="auto"/>
          <w:sz w:val="24"/>
        </w:rPr>
        <w:t>（有格式的参照格式，无格式的自拟）</w:t>
      </w:r>
      <w:bookmarkEnd w:id="55"/>
      <w:bookmarkEnd w:id="56"/>
    </w:p>
    <w:p w14:paraId="17F56239">
      <w:pPr>
        <w:snapToGrid w:val="0"/>
        <w:spacing w:line="360" w:lineRule="auto"/>
        <w:ind w:firstLine="470" w:firstLineChars="196"/>
        <w:jc w:val="left"/>
        <w:rPr>
          <w:rFonts w:ascii="宋体" w:hAnsi="宋体" w:cs="宋体"/>
          <w:color w:val="auto"/>
          <w:kern w:val="0"/>
          <w:sz w:val="24"/>
        </w:rPr>
      </w:pPr>
      <w:r>
        <w:rPr>
          <w:rFonts w:hint="eastAsia" w:ascii="宋体" w:hAnsi="宋体" w:cs="宋体"/>
          <w:color w:val="auto"/>
          <w:sz w:val="24"/>
        </w:rPr>
        <w:t>（1）法定代表人授权委托书(格式见第六部分)；</w:t>
      </w:r>
    </w:p>
    <w:p w14:paraId="6B720961">
      <w:pPr>
        <w:snapToGrid w:val="0"/>
        <w:spacing w:line="360" w:lineRule="auto"/>
        <w:ind w:firstLine="470" w:firstLineChars="196"/>
        <w:jc w:val="left"/>
        <w:rPr>
          <w:rFonts w:ascii="宋体" w:hAnsi="宋体" w:cs="宋体"/>
          <w:color w:val="auto"/>
          <w:kern w:val="0"/>
          <w:sz w:val="24"/>
        </w:rPr>
      </w:pPr>
      <w:r>
        <w:rPr>
          <w:rFonts w:hint="eastAsia" w:ascii="宋体" w:hAnsi="宋体" w:cs="宋体"/>
          <w:color w:val="auto"/>
          <w:sz w:val="24"/>
        </w:rPr>
        <w:t>（2）节能产品的相关证明材料、</w:t>
      </w:r>
      <w:r>
        <w:rPr>
          <w:rFonts w:hint="eastAsia" w:ascii="宋体" w:hAnsi="宋体" w:cs="宋体"/>
          <w:color w:val="auto"/>
          <w:kern w:val="0"/>
          <w:sz w:val="24"/>
        </w:rPr>
        <w:t>环境标志产品的相关证明材料：</w:t>
      </w:r>
    </w:p>
    <w:p w14:paraId="08436FD9">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（3）投标人情况介绍（格式自拟）；</w:t>
      </w:r>
    </w:p>
    <w:p w14:paraId="744AB974">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（4）商务响应表（格式见第六部分）；</w:t>
      </w:r>
    </w:p>
    <w:p w14:paraId="6E4CEE69">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 xml:space="preserve">（5）同类项目业绩（格式见第六部分）； </w:t>
      </w:r>
    </w:p>
    <w:p w14:paraId="3BE16175">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（6）针对本项目建设的详细实施计划，包括技术方案、装备详细配置清单及所用材质等明细（品牌、产地、规格、参数）</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及必要的产品彩页等证明资料</w:t>
      </w:r>
      <w:r>
        <w:rPr>
          <w:rFonts w:hint="eastAsia" w:ascii="宋体" w:hAnsi="宋体" w:cs="宋体"/>
          <w:color w:val="auto"/>
          <w:kern w:val="0"/>
          <w:sz w:val="24"/>
        </w:rPr>
        <w:t>；</w:t>
      </w:r>
    </w:p>
    <w:p w14:paraId="0CD09A81">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（7）</w:t>
      </w:r>
      <w:r>
        <w:rPr>
          <w:rFonts w:ascii="宋体" w:hAnsi="宋体" w:cs="宋体"/>
          <w:color w:val="auto"/>
          <w:kern w:val="0"/>
          <w:sz w:val="24"/>
        </w:rPr>
        <w:t>生产工艺流程，质量控制措施</w:t>
      </w:r>
      <w:r>
        <w:rPr>
          <w:rFonts w:hint="eastAsia" w:ascii="宋体" w:hAnsi="宋体" w:cs="宋体"/>
          <w:color w:val="auto"/>
          <w:sz w:val="24"/>
        </w:rPr>
        <w:t>和投标产品整体质量的可靠性详细说明：包括1）短期内频繁高效使用的质量可靠、2）恶劣环境情况下产品使用的质量可靠、3）投标产品生命周期内长期使用情况下的质量可靠</w:t>
      </w:r>
      <w:r>
        <w:rPr>
          <w:rFonts w:ascii="宋体" w:hAnsi="宋体" w:cs="宋体"/>
          <w:color w:val="auto"/>
          <w:kern w:val="0"/>
          <w:sz w:val="24"/>
        </w:rPr>
        <w:t>；</w:t>
      </w:r>
    </w:p>
    <w:p w14:paraId="01482D2B">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（8）所投产品或主要材质的检测报告；</w:t>
      </w:r>
    </w:p>
    <w:p w14:paraId="2616D851">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（9）产品及原材料验收标准及检测具体办法；</w:t>
      </w:r>
    </w:p>
    <w:p w14:paraId="11AF372B">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（10）技术偏离表（格式见附件）；</w:t>
      </w:r>
    </w:p>
    <w:p w14:paraId="2E270F32">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（11）项目的组织实施方案，包括产品的供货、验收、安装调试方案及配送承诺等；</w:t>
      </w:r>
    </w:p>
    <w:p w14:paraId="6EA0D3D4">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（12）技术服务、售后服务的内容和措施，明确售后服务承诺（范围、标准、期限、质保期外维修及零配件等费用），并明示服务承诺可能涉及的前提设定和费用，否则将被认为是无条件和免费的；</w:t>
      </w:r>
    </w:p>
    <w:p w14:paraId="7C7D239B">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（13）</w:t>
      </w:r>
      <w:r>
        <w:rPr>
          <w:rFonts w:ascii="宋体" w:hAnsi="宋体" w:cs="宋体"/>
          <w:color w:val="auto"/>
          <w:kern w:val="0"/>
          <w:sz w:val="24"/>
        </w:rPr>
        <w:t>本项目实施人员一览表、</w:t>
      </w:r>
      <w:r>
        <w:rPr>
          <w:rFonts w:hint="eastAsia" w:ascii="宋体" w:hAnsi="宋体" w:cs="宋体"/>
          <w:color w:val="auto"/>
          <w:kern w:val="0"/>
          <w:sz w:val="24"/>
        </w:rPr>
        <w:t>项目实施人员安排详细情况</w:t>
      </w:r>
      <w:r>
        <w:rPr>
          <w:rFonts w:ascii="宋体" w:hAnsi="宋体" w:cs="宋体"/>
          <w:color w:val="auto"/>
          <w:kern w:val="0"/>
          <w:sz w:val="24"/>
        </w:rPr>
        <w:t>；</w:t>
      </w:r>
    </w:p>
    <w:p w14:paraId="48EEF7A4">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（14）项目保障应急预案；</w:t>
      </w:r>
    </w:p>
    <w:p w14:paraId="007CF4DD">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（15）</w:t>
      </w:r>
      <w:r>
        <w:rPr>
          <w:rFonts w:ascii="宋体" w:hAnsi="宋体" w:cs="宋体"/>
          <w:color w:val="auto"/>
          <w:kern w:val="0"/>
          <w:sz w:val="24"/>
        </w:rPr>
        <w:t>承诺函，提供承诺关于“交货前，所有器材供货厂家须在应急管理部消防救援局消防装备物资信息采集系统（http://xfzb.119.gov.cn）录入装备信息，申请装备编码，并按照应急管理部消防救援局和浙江省消防救援总队要求，制作RFID数字管理标签。中标人提供装备要正确安装RFID标签并预先填写系统分配的RFID编码”内容的承诺函。投标人必须对上述要求在投标文件中做出承诺(格式自拟)，并且由此所产生的费用必须包含在投标报价内，投标人不提供相关承诺的，视为未实质性响应招标文件要求，投标无效。”；</w:t>
      </w:r>
    </w:p>
    <w:p w14:paraId="7C028FDB">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（16）供应商提出的对本项目的实质性优惠条件和承诺情况；</w:t>
      </w:r>
    </w:p>
    <w:p w14:paraId="6B79EBB2">
      <w:pPr>
        <w:snapToGrid w:val="0"/>
        <w:spacing w:line="360" w:lineRule="auto"/>
        <w:ind w:firstLine="468" w:firstLineChars="195"/>
        <w:jc w:val="left"/>
        <w:rPr>
          <w:rFonts w:ascii="宋体" w:hAnsi="宋体" w:cs="宋体"/>
          <w:b/>
          <w:color w:val="auto"/>
          <w:sz w:val="24"/>
        </w:rPr>
      </w:pPr>
      <w:r>
        <w:rPr>
          <w:rFonts w:hint="eastAsia" w:ascii="宋体" w:hAnsi="宋体" w:cs="宋体"/>
          <w:color w:val="auto"/>
          <w:kern w:val="0"/>
          <w:sz w:val="24"/>
        </w:rPr>
        <w:t>（17）供应商认为需要说明的其他文件和资料（请结合评标办法自行添加相应内容）。</w:t>
      </w:r>
    </w:p>
    <w:p w14:paraId="1474B52F">
      <w:pPr>
        <w:rPr>
          <w:rFonts w:ascii="宋体" w:hAnsi="宋体" w:cs="宋体"/>
          <w:b/>
          <w:color w:val="auto"/>
          <w:sz w:val="28"/>
          <w:szCs w:val="28"/>
        </w:rPr>
      </w:pPr>
      <w:r>
        <w:rPr>
          <w:rFonts w:hint="eastAsia" w:ascii="宋体" w:hAnsi="宋体" w:cs="宋体"/>
          <w:b/>
          <w:color w:val="auto"/>
          <w:sz w:val="28"/>
          <w:szCs w:val="28"/>
        </w:rPr>
        <w:br w:type="page"/>
      </w:r>
    </w:p>
    <w:p w14:paraId="515606FD">
      <w:pPr>
        <w:snapToGrid w:val="0"/>
        <w:spacing w:line="360" w:lineRule="auto"/>
        <w:jc w:val="left"/>
        <w:rPr>
          <w:rFonts w:ascii="宋体" w:hAnsi="宋体" w:cs="宋体"/>
          <w:b/>
          <w:bCs/>
          <w:color w:val="auto"/>
          <w:sz w:val="28"/>
          <w:szCs w:val="28"/>
        </w:rPr>
      </w:pPr>
      <w:r>
        <w:rPr>
          <w:rFonts w:hint="eastAsia" w:ascii="宋体" w:hAnsi="宋体" w:cs="宋体"/>
          <w:b/>
          <w:color w:val="auto"/>
          <w:sz w:val="28"/>
          <w:szCs w:val="28"/>
        </w:rPr>
        <w:t>法定代表人授权委托书或法定代表人身份证明书格式（2选1）</w:t>
      </w:r>
      <w:r>
        <w:rPr>
          <w:rFonts w:hint="eastAsia" w:ascii="宋体" w:hAnsi="宋体" w:cs="宋体"/>
          <w:b/>
          <w:bCs/>
          <w:color w:val="auto"/>
          <w:sz w:val="28"/>
          <w:szCs w:val="28"/>
        </w:rPr>
        <w:t>：</w:t>
      </w:r>
    </w:p>
    <w:p w14:paraId="667B821B">
      <w:pPr>
        <w:snapToGrid w:val="0"/>
        <w:spacing w:line="360" w:lineRule="auto"/>
        <w:jc w:val="left"/>
        <w:rPr>
          <w:rFonts w:ascii="宋体" w:hAnsi="宋体" w:cs="宋体"/>
          <w:b/>
          <w:bCs/>
          <w:color w:val="auto"/>
          <w:sz w:val="24"/>
        </w:rPr>
      </w:pPr>
      <w:r>
        <w:rPr>
          <w:rFonts w:hint="eastAsia" w:ascii="宋体" w:hAnsi="宋体" w:cs="宋体"/>
          <w:color w:val="auto"/>
          <w:sz w:val="24"/>
        </w:rPr>
        <w:t xml:space="preserve">    投标人代表须携带有效身份证件。如投标人代表不是法定代表人，须有法定代表人出具的授权委托书;若是法定代表人参加，须填写法定代表人身份证明书。</w:t>
      </w:r>
    </w:p>
    <w:p w14:paraId="2A4E56E2">
      <w:pPr>
        <w:snapToGrid w:val="0"/>
        <w:spacing w:line="360" w:lineRule="auto"/>
        <w:jc w:val="center"/>
        <w:rPr>
          <w:rFonts w:ascii="宋体" w:hAnsi="宋体" w:cs="宋体"/>
          <w:b/>
          <w:bCs/>
          <w:color w:val="auto"/>
          <w:sz w:val="24"/>
        </w:rPr>
      </w:pPr>
    </w:p>
    <w:p w14:paraId="6F0804AF">
      <w:pPr>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法定代表人授权委托书</w:t>
      </w:r>
    </w:p>
    <w:p w14:paraId="7C145B13">
      <w:pPr>
        <w:snapToGrid w:val="0"/>
        <w:spacing w:line="360" w:lineRule="auto"/>
        <w:rPr>
          <w:rFonts w:ascii="宋体" w:hAnsi="宋体" w:cs="宋体"/>
          <w:color w:val="auto"/>
          <w:kern w:val="0"/>
          <w:sz w:val="24"/>
        </w:rPr>
      </w:pPr>
      <w:r>
        <w:rPr>
          <w:rFonts w:hint="eastAsia" w:ascii="宋体" w:hAnsi="宋体" w:cs="宋体"/>
          <w:color w:val="auto"/>
          <w:sz w:val="24"/>
          <w:u w:val="single"/>
        </w:rPr>
        <w:t>（采购人）</w:t>
      </w:r>
      <w:r>
        <w:rPr>
          <w:rFonts w:hint="eastAsia" w:ascii="宋体" w:hAnsi="宋体" w:cs="宋体"/>
          <w:color w:val="auto"/>
          <w:sz w:val="24"/>
        </w:rPr>
        <w:t>、</w:t>
      </w:r>
      <w:r>
        <w:rPr>
          <w:rFonts w:hint="eastAsia" w:ascii="宋体" w:hAnsi="宋体" w:cs="宋体"/>
          <w:color w:val="auto"/>
          <w:sz w:val="24"/>
          <w:u w:val="single"/>
        </w:rPr>
        <w:t>（采购代理机构）</w:t>
      </w:r>
      <w:r>
        <w:rPr>
          <w:rFonts w:hint="eastAsia" w:ascii="宋体" w:hAnsi="宋体" w:cs="宋体"/>
          <w:color w:val="auto"/>
          <w:kern w:val="0"/>
          <w:sz w:val="24"/>
          <w:lang w:val="zh-CN"/>
        </w:rPr>
        <w:t>：</w:t>
      </w:r>
    </w:p>
    <w:p w14:paraId="251C459F">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兹委派我公司先生/女士(其在本公司的职务是：联系电话：手机：传真：)，代表我公司全权处理</w:t>
      </w:r>
      <w:r>
        <w:rPr>
          <w:rFonts w:hint="eastAsia" w:ascii="宋体" w:hAnsi="宋体" w:cs="宋体"/>
          <w:color w:val="auto"/>
          <w:sz w:val="24"/>
          <w:lang w:eastAsia="zh-CN"/>
        </w:rPr>
        <w:t>浙江省嘉兴市消防救援支队2024年度装备器材采购项目</w:t>
      </w:r>
      <w:r>
        <w:rPr>
          <w:rFonts w:hint="eastAsia" w:ascii="宋体" w:hAnsi="宋体" w:cs="宋体"/>
          <w:color w:val="auto"/>
          <w:kern w:val="0"/>
          <w:sz w:val="24"/>
          <w:lang w:val="zh-CN" w:eastAsia="zh-CN"/>
        </w:rPr>
        <w:t>(救生、警戒、堵漏和水域救援类）</w:t>
      </w:r>
      <w:r>
        <w:rPr>
          <w:rFonts w:hint="eastAsia" w:ascii="宋体" w:hAnsi="宋体" w:cs="宋体"/>
          <w:color w:val="auto"/>
          <w:kern w:val="0"/>
          <w:sz w:val="24"/>
          <w:lang w:val="zh-CN"/>
        </w:rPr>
        <w:t>(</w:t>
      </w:r>
      <w:r>
        <w:rPr>
          <w:rFonts w:hint="eastAsia" w:ascii="宋体" w:hAnsi="宋体" w:cs="宋体"/>
          <w:color w:val="auto"/>
          <w:sz w:val="24"/>
        </w:rPr>
        <w:t>项目编号</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政府采购投标的一切事项，若中标则全权代表本公司签订相关合同，并负责处理合同履行等事宜。</w:t>
      </w:r>
    </w:p>
    <w:p w14:paraId="1C0F3C0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本授权书有效期：自   年 月  日起至  年  月  日止。</w:t>
      </w:r>
    </w:p>
    <w:p w14:paraId="1F300FC2">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特此告知。</w:t>
      </w:r>
    </w:p>
    <w:p w14:paraId="6E051FBB">
      <w:pPr>
        <w:snapToGrid w:val="0"/>
        <w:spacing w:line="360" w:lineRule="auto"/>
        <w:ind w:firstLine="480"/>
        <w:rPr>
          <w:rFonts w:ascii="宋体" w:hAnsi="宋体" w:cs="宋体"/>
          <w:color w:val="auto"/>
          <w:kern w:val="0"/>
          <w:sz w:val="24"/>
          <w:lang w:val="zh-CN"/>
        </w:rPr>
      </w:pPr>
    </w:p>
    <w:p w14:paraId="5A632C51">
      <w:pPr>
        <w:snapToGrid w:val="0"/>
        <w:spacing w:line="360" w:lineRule="auto"/>
        <w:ind w:firstLine="480"/>
        <w:rPr>
          <w:rFonts w:ascii="宋体" w:hAnsi="宋体" w:cs="宋体"/>
          <w:color w:val="auto"/>
          <w:kern w:val="0"/>
          <w:sz w:val="24"/>
          <w:lang w:val="zh-CN"/>
        </w:rPr>
      </w:pPr>
    </w:p>
    <w:p w14:paraId="7AC7F5BF">
      <w:pPr>
        <w:snapToGrid w:val="0"/>
        <w:spacing w:line="360" w:lineRule="auto"/>
        <w:ind w:firstLine="5160" w:firstLineChars="2150"/>
        <w:jc w:val="left"/>
        <w:rPr>
          <w:rFonts w:ascii="宋体" w:hAnsi="宋体" w:cs="宋体"/>
          <w:color w:val="auto"/>
          <w:kern w:val="0"/>
          <w:sz w:val="24"/>
        </w:rPr>
      </w:pPr>
      <w:r>
        <w:rPr>
          <w:rFonts w:hint="eastAsia" w:ascii="宋体" w:hAnsi="宋体" w:cs="宋体"/>
          <w:color w:val="auto"/>
          <w:kern w:val="0"/>
          <w:sz w:val="24"/>
          <w:lang w:val="zh-CN"/>
        </w:rPr>
        <w:t>投标人名称(公章)：</w:t>
      </w:r>
    </w:p>
    <w:p w14:paraId="231841DB">
      <w:pPr>
        <w:snapToGrid w:val="0"/>
        <w:spacing w:line="360" w:lineRule="auto"/>
        <w:ind w:firstLine="5160" w:firstLineChars="2150"/>
        <w:jc w:val="left"/>
        <w:rPr>
          <w:rFonts w:ascii="宋体" w:hAnsi="宋体" w:cs="宋体"/>
          <w:color w:val="auto"/>
          <w:kern w:val="0"/>
          <w:sz w:val="24"/>
        </w:rPr>
      </w:pPr>
      <w:r>
        <w:rPr>
          <w:rFonts w:hint="eastAsia" w:ascii="宋体" w:hAnsi="宋体" w:cs="宋体"/>
          <w:color w:val="auto"/>
          <w:kern w:val="0"/>
          <w:sz w:val="24"/>
          <w:lang w:val="zh-CN"/>
        </w:rPr>
        <w:t>法定代表人(签字或盖章)：</w:t>
      </w:r>
    </w:p>
    <w:p w14:paraId="6F64A612">
      <w:pPr>
        <w:wordWrap w:val="0"/>
        <w:snapToGrid w:val="0"/>
        <w:spacing w:line="360" w:lineRule="auto"/>
        <w:ind w:right="240" w:firstLine="5160" w:firstLineChars="2150"/>
        <w:jc w:val="left"/>
        <w:rPr>
          <w:rFonts w:ascii="宋体" w:hAnsi="宋体" w:cs="宋体"/>
          <w:color w:val="auto"/>
          <w:kern w:val="0"/>
          <w:sz w:val="24"/>
          <w:lang w:val="zh-CN"/>
        </w:rPr>
      </w:pPr>
      <w:r>
        <w:rPr>
          <w:rFonts w:hint="eastAsia" w:ascii="宋体" w:hAnsi="宋体" w:cs="宋体"/>
          <w:color w:val="auto"/>
          <w:kern w:val="0"/>
          <w:sz w:val="24"/>
          <w:lang w:val="zh-CN"/>
        </w:rPr>
        <w:t>签发日期：  年  月   日</w:t>
      </w:r>
    </w:p>
    <w:p w14:paraId="565DA504">
      <w:pPr>
        <w:wordWrap w:val="0"/>
        <w:snapToGrid w:val="0"/>
        <w:spacing w:line="360" w:lineRule="auto"/>
        <w:ind w:right="240" w:firstLine="5160" w:firstLineChars="2150"/>
        <w:jc w:val="left"/>
        <w:rPr>
          <w:rFonts w:ascii="宋体" w:hAnsi="宋体" w:cs="宋体"/>
          <w:color w:val="auto"/>
          <w:kern w:val="0"/>
          <w:sz w:val="24"/>
          <w:lang w:val="zh-CN"/>
        </w:rPr>
      </w:pPr>
    </w:p>
    <w:p w14:paraId="547AB541">
      <w:pPr>
        <w:wordWrap w:val="0"/>
        <w:snapToGrid w:val="0"/>
        <w:spacing w:line="360" w:lineRule="auto"/>
        <w:ind w:right="240" w:firstLine="5160" w:firstLineChars="2150"/>
        <w:jc w:val="left"/>
        <w:rPr>
          <w:rFonts w:ascii="宋体" w:hAnsi="宋体" w:cs="宋体"/>
          <w:color w:val="auto"/>
          <w:kern w:val="0"/>
          <w:sz w:val="24"/>
          <w:lang w:val="zh-CN"/>
        </w:rPr>
      </w:pPr>
    </w:p>
    <w:p w14:paraId="580E84B4">
      <w:pPr>
        <w:snapToGrid w:val="0"/>
        <w:spacing w:line="360" w:lineRule="auto"/>
        <w:rPr>
          <w:rFonts w:ascii="宋体" w:hAnsi="宋体" w:cs="宋体"/>
          <w:b/>
          <w:color w:val="auto"/>
          <w:sz w:val="24"/>
        </w:rPr>
      </w:pPr>
      <w:r>
        <w:rPr>
          <w:rFonts w:hint="eastAsia" w:ascii="宋体" w:hAnsi="宋体" w:cs="宋体"/>
          <w:b/>
          <w:color w:val="auto"/>
          <w:sz w:val="24"/>
        </w:rPr>
        <w:t>附：法定代表人和授权代表身份证复印件（须正反面复印）。</w:t>
      </w:r>
    </w:p>
    <w:p w14:paraId="42A080CB">
      <w:pPr>
        <w:snapToGrid w:val="0"/>
        <w:spacing w:line="360" w:lineRule="auto"/>
        <w:rPr>
          <w:rFonts w:ascii="宋体" w:hAnsi="宋体" w:cs="宋体"/>
          <w:color w:val="auto"/>
          <w:sz w:val="24"/>
        </w:rPr>
      </w:pPr>
    </w:p>
    <w:p w14:paraId="55BFCFAA">
      <w:pPr>
        <w:snapToGrid w:val="0"/>
        <w:spacing w:line="360" w:lineRule="auto"/>
        <w:rPr>
          <w:rFonts w:ascii="宋体" w:hAnsi="宋体" w:cs="宋体"/>
          <w:color w:val="auto"/>
          <w:sz w:val="24"/>
        </w:rPr>
      </w:pPr>
    </w:p>
    <w:p w14:paraId="610EB664">
      <w:pPr>
        <w:snapToGrid w:val="0"/>
        <w:spacing w:line="360" w:lineRule="auto"/>
        <w:rPr>
          <w:rFonts w:ascii="宋体" w:hAnsi="宋体" w:cs="宋体"/>
          <w:color w:val="auto"/>
          <w:sz w:val="24"/>
        </w:rPr>
      </w:pPr>
    </w:p>
    <w:p w14:paraId="18859DE9">
      <w:pPr>
        <w:autoSpaceDE w:val="0"/>
        <w:autoSpaceDN w:val="0"/>
        <w:snapToGrid w:val="0"/>
        <w:spacing w:line="360" w:lineRule="auto"/>
        <w:ind w:firstLine="4320" w:firstLineChars="1800"/>
        <w:jc w:val="left"/>
        <w:rPr>
          <w:rFonts w:ascii="宋体" w:hAnsi="宋体" w:cs="宋体"/>
          <w:color w:val="auto"/>
          <w:kern w:val="0"/>
          <w:sz w:val="24"/>
        </w:rPr>
      </w:pPr>
      <w:r>
        <w:rPr>
          <w:rFonts w:hint="eastAsia" w:ascii="宋体" w:hAnsi="宋体" w:cs="宋体"/>
          <w:color w:val="auto"/>
          <w:kern w:val="0"/>
          <w:sz w:val="24"/>
        </w:rPr>
        <w:t>投标人名称（公章）：</w:t>
      </w:r>
    </w:p>
    <w:p w14:paraId="796ADD12">
      <w:pPr>
        <w:autoSpaceDE w:val="0"/>
        <w:autoSpaceDN w:val="0"/>
        <w:snapToGrid w:val="0"/>
        <w:spacing w:line="360" w:lineRule="auto"/>
        <w:ind w:firstLine="4320" w:firstLineChars="1800"/>
        <w:jc w:val="left"/>
        <w:rPr>
          <w:rFonts w:ascii="宋体" w:hAnsi="宋体" w:cs="宋体"/>
          <w:color w:val="auto"/>
          <w:kern w:val="0"/>
          <w:sz w:val="24"/>
        </w:rPr>
      </w:pPr>
      <w:r>
        <w:rPr>
          <w:rFonts w:hint="eastAsia" w:ascii="宋体" w:hAnsi="宋体" w:cs="宋体"/>
          <w:color w:val="auto"/>
          <w:kern w:val="0"/>
          <w:sz w:val="24"/>
        </w:rPr>
        <w:t>法定代表人或授权代表（签字）：</w:t>
      </w:r>
    </w:p>
    <w:p w14:paraId="6DDC37F2">
      <w:pPr>
        <w:snapToGrid w:val="0"/>
        <w:spacing w:line="360" w:lineRule="auto"/>
        <w:ind w:firstLine="4320" w:firstLineChars="1800"/>
        <w:jc w:val="left"/>
        <w:rPr>
          <w:rFonts w:ascii="宋体" w:hAnsi="宋体" w:cs="宋体"/>
          <w:color w:val="auto"/>
          <w:sz w:val="24"/>
        </w:rPr>
      </w:pPr>
      <w:r>
        <w:rPr>
          <w:rFonts w:hint="eastAsia" w:ascii="宋体" w:hAnsi="宋体" w:cs="宋体"/>
          <w:color w:val="auto"/>
          <w:kern w:val="0"/>
          <w:sz w:val="24"/>
        </w:rPr>
        <w:t>日期：  年  月   日</w:t>
      </w:r>
    </w:p>
    <w:p w14:paraId="74231762">
      <w:pPr>
        <w:snapToGrid w:val="0"/>
        <w:spacing w:line="360" w:lineRule="auto"/>
        <w:rPr>
          <w:rFonts w:ascii="宋体" w:hAnsi="宋体" w:cs="宋体"/>
          <w:color w:val="auto"/>
          <w:sz w:val="24"/>
        </w:rPr>
      </w:pPr>
    </w:p>
    <w:p w14:paraId="0F2F51D4">
      <w:pPr>
        <w:snapToGrid w:val="0"/>
        <w:spacing w:before="156" w:beforeLines="50" w:after="156" w:afterLines="50" w:line="360" w:lineRule="auto"/>
        <w:rPr>
          <w:rFonts w:ascii="宋体" w:hAnsi="宋体" w:cs="宋体"/>
          <w:b/>
          <w:color w:val="auto"/>
          <w:sz w:val="24"/>
        </w:rPr>
      </w:pPr>
    </w:p>
    <w:p w14:paraId="7C8EA559">
      <w:pPr>
        <w:snapToGrid w:val="0"/>
        <w:spacing w:before="156" w:beforeLines="50" w:after="156" w:afterLines="50" w:line="360" w:lineRule="auto"/>
        <w:jc w:val="center"/>
        <w:outlineLvl w:val="1"/>
        <w:rPr>
          <w:rFonts w:ascii="宋体" w:hAnsi="宋体" w:cs="宋体"/>
          <w:b/>
          <w:color w:val="auto"/>
          <w:sz w:val="28"/>
          <w:szCs w:val="28"/>
        </w:rPr>
      </w:pPr>
      <w:r>
        <w:rPr>
          <w:rFonts w:hint="eastAsia" w:ascii="宋体" w:hAnsi="宋体" w:cs="宋体"/>
          <w:b/>
          <w:color w:val="auto"/>
          <w:sz w:val="24"/>
        </w:rPr>
        <w:br w:type="page"/>
      </w:r>
      <w:r>
        <w:rPr>
          <w:rFonts w:hint="eastAsia" w:ascii="宋体" w:hAnsi="宋体" w:cs="宋体"/>
          <w:b/>
          <w:color w:val="auto"/>
          <w:sz w:val="28"/>
          <w:szCs w:val="28"/>
        </w:rPr>
        <w:t>法定代表人身份证明书</w:t>
      </w:r>
    </w:p>
    <w:p w14:paraId="18B2C0A8">
      <w:pPr>
        <w:snapToGrid w:val="0"/>
        <w:spacing w:line="360" w:lineRule="auto"/>
        <w:ind w:firstLine="612"/>
        <w:rPr>
          <w:rFonts w:ascii="宋体" w:hAnsi="宋体" w:cs="宋体"/>
          <w:color w:val="auto"/>
          <w:sz w:val="24"/>
        </w:rPr>
      </w:pPr>
      <w:r>
        <w:rPr>
          <w:rFonts w:hint="eastAsia" w:ascii="宋体" w:hAnsi="宋体" w:cs="宋体"/>
          <w:color w:val="auto"/>
          <w:sz w:val="24"/>
        </w:rPr>
        <w:t>单位名称：</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15344A2D">
      <w:pPr>
        <w:snapToGrid w:val="0"/>
        <w:spacing w:line="360" w:lineRule="auto"/>
        <w:ind w:firstLine="610"/>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2BDCC46F">
      <w:pPr>
        <w:snapToGrid w:val="0"/>
        <w:spacing w:line="360" w:lineRule="auto"/>
        <w:ind w:firstLine="61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14096C81">
      <w:pPr>
        <w:snapToGrid w:val="0"/>
        <w:spacing w:line="360" w:lineRule="auto"/>
        <w:ind w:firstLine="610"/>
        <w:rPr>
          <w:rFonts w:ascii="宋体" w:hAnsi="宋体" w:cs="宋体"/>
          <w:color w:val="auto"/>
          <w:sz w:val="24"/>
        </w:rPr>
      </w:pPr>
      <w:r>
        <w:rPr>
          <w:rFonts w:hint="eastAsia" w:ascii="宋体" w:hAnsi="宋体" w:cs="宋体"/>
          <w:color w:val="auto"/>
          <w:sz w:val="24"/>
        </w:rPr>
        <w:t>成立时间：年月日</w:t>
      </w:r>
    </w:p>
    <w:p w14:paraId="5FE03297">
      <w:pPr>
        <w:snapToGrid w:val="0"/>
        <w:spacing w:line="360" w:lineRule="auto"/>
        <w:ind w:firstLine="610"/>
        <w:rPr>
          <w:rFonts w:ascii="宋体" w:hAnsi="宋体" w:cs="宋体"/>
          <w:color w:val="auto"/>
          <w:sz w:val="24"/>
          <w:u w:val="single"/>
        </w:rPr>
      </w:pPr>
      <w:r>
        <w:rPr>
          <w:rFonts w:hint="eastAsia" w:ascii="宋体" w:hAnsi="宋体" w:cs="宋体"/>
          <w:color w:val="auto"/>
          <w:sz w:val="24"/>
        </w:rPr>
        <w:t>经营期限：</w:t>
      </w:r>
      <w:r>
        <w:rPr>
          <w:rFonts w:hint="eastAsia" w:ascii="宋体" w:hAnsi="宋体" w:cs="宋体"/>
          <w:color w:val="auto"/>
          <w:sz w:val="24"/>
          <w:u w:val="single"/>
        </w:rPr>
        <w:tab/>
      </w:r>
      <w:r>
        <w:rPr>
          <w:rFonts w:hint="eastAsia" w:ascii="宋体" w:hAnsi="宋体" w:cs="宋体"/>
          <w:color w:val="auto"/>
          <w:sz w:val="24"/>
          <w:u w:val="single"/>
        </w:rPr>
        <w:tab/>
      </w:r>
    </w:p>
    <w:p w14:paraId="602205BA">
      <w:pPr>
        <w:snapToGrid w:val="0"/>
        <w:spacing w:line="360" w:lineRule="auto"/>
        <w:ind w:firstLine="610"/>
        <w:rPr>
          <w:rFonts w:ascii="宋体" w:hAnsi="宋体" w:cs="宋体"/>
          <w:color w:val="auto"/>
          <w:sz w:val="24"/>
          <w:u w:val="single"/>
        </w:rPr>
      </w:pPr>
      <w:r>
        <w:rPr>
          <w:rFonts w:hint="eastAsia" w:ascii="宋体" w:hAnsi="宋体" w:cs="宋体"/>
          <w:color w:val="auto"/>
          <w:sz w:val="24"/>
        </w:rPr>
        <w:t>姓    名： 性别：年龄： 职务：</w:t>
      </w:r>
      <w:r>
        <w:rPr>
          <w:rFonts w:hint="eastAsia" w:ascii="宋体" w:hAnsi="宋体" w:cs="宋体"/>
          <w:color w:val="auto"/>
          <w:sz w:val="24"/>
          <w:u w:val="single"/>
        </w:rPr>
        <w:tab/>
      </w:r>
      <w:r>
        <w:rPr>
          <w:rFonts w:hint="eastAsia" w:ascii="宋体" w:hAnsi="宋体" w:cs="宋体"/>
          <w:color w:val="auto"/>
          <w:sz w:val="24"/>
          <w:u w:val="single"/>
        </w:rPr>
        <w:tab/>
      </w:r>
    </w:p>
    <w:p w14:paraId="5B6201B0">
      <w:pPr>
        <w:snapToGrid w:val="0"/>
        <w:spacing w:line="360" w:lineRule="auto"/>
        <w:ind w:firstLine="61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（投标人单位名称）         </w:t>
      </w:r>
      <w:r>
        <w:rPr>
          <w:rFonts w:hint="eastAsia" w:ascii="宋体" w:hAnsi="宋体" w:cs="宋体"/>
          <w:color w:val="auto"/>
          <w:sz w:val="24"/>
        </w:rPr>
        <w:t>的法定代表人。</w:t>
      </w:r>
    </w:p>
    <w:p w14:paraId="527BE60F">
      <w:pPr>
        <w:snapToGrid w:val="0"/>
        <w:spacing w:line="360" w:lineRule="auto"/>
        <w:ind w:firstLine="610"/>
        <w:rPr>
          <w:rFonts w:ascii="宋体" w:hAnsi="宋体" w:cs="宋体"/>
          <w:color w:val="auto"/>
          <w:sz w:val="24"/>
        </w:rPr>
      </w:pPr>
    </w:p>
    <w:p w14:paraId="009580FB">
      <w:pPr>
        <w:snapToGrid w:val="0"/>
        <w:spacing w:line="360" w:lineRule="auto"/>
        <w:ind w:firstLine="1329" w:firstLineChars="554"/>
        <w:rPr>
          <w:rFonts w:ascii="宋体" w:hAnsi="宋体" w:cs="宋体"/>
          <w:color w:val="auto"/>
          <w:sz w:val="24"/>
        </w:rPr>
      </w:pPr>
      <w:r>
        <w:rPr>
          <w:rFonts w:hint="eastAsia" w:ascii="宋体" w:hAnsi="宋体" w:cs="宋体"/>
          <w:color w:val="auto"/>
          <w:sz w:val="24"/>
        </w:rPr>
        <w:t>特此证明。</w:t>
      </w:r>
    </w:p>
    <w:p w14:paraId="012B12F6">
      <w:pPr>
        <w:snapToGrid w:val="0"/>
        <w:spacing w:line="360" w:lineRule="auto"/>
        <w:rPr>
          <w:rFonts w:ascii="宋体" w:hAnsi="宋体" w:cs="宋体"/>
          <w:color w:val="auto"/>
          <w:sz w:val="24"/>
        </w:rPr>
      </w:pPr>
    </w:p>
    <w:p w14:paraId="73F30597">
      <w:pPr>
        <w:snapToGrid w:val="0"/>
        <w:spacing w:line="360" w:lineRule="auto"/>
        <w:ind w:firstLine="480" w:firstLineChars="200"/>
        <w:rPr>
          <w:color w:val="auto"/>
          <w:szCs w:val="21"/>
        </w:rPr>
      </w:pPr>
      <w:r>
        <w:rPr>
          <w:rFonts w:hint="eastAsia" w:ascii="宋体" w:hAnsi="宋体" w:cs="宋体"/>
          <w:color w:val="auto"/>
          <w:sz w:val="24"/>
        </w:rPr>
        <w:t>附：法定代表人身份证复印件（须正反面复印）。</w:t>
      </w:r>
    </w:p>
    <w:p w14:paraId="0FBB2782">
      <w:pPr>
        <w:autoSpaceDE w:val="0"/>
        <w:autoSpaceDN w:val="0"/>
        <w:snapToGrid w:val="0"/>
        <w:spacing w:line="360" w:lineRule="auto"/>
        <w:ind w:firstLine="4320" w:firstLineChars="1800"/>
        <w:jc w:val="left"/>
        <w:rPr>
          <w:rFonts w:ascii="宋体" w:hAnsi="宋体" w:cs="宋体"/>
          <w:color w:val="auto"/>
          <w:kern w:val="0"/>
          <w:sz w:val="24"/>
        </w:rPr>
      </w:pPr>
    </w:p>
    <w:p w14:paraId="48BF738C">
      <w:pPr>
        <w:autoSpaceDE w:val="0"/>
        <w:autoSpaceDN w:val="0"/>
        <w:snapToGrid w:val="0"/>
        <w:spacing w:line="360" w:lineRule="auto"/>
        <w:ind w:firstLine="4320" w:firstLineChars="1800"/>
        <w:jc w:val="left"/>
        <w:rPr>
          <w:rFonts w:ascii="宋体" w:hAnsi="宋体" w:cs="宋体"/>
          <w:color w:val="auto"/>
          <w:kern w:val="0"/>
          <w:sz w:val="24"/>
        </w:rPr>
      </w:pPr>
    </w:p>
    <w:p w14:paraId="1D7E6410">
      <w:pPr>
        <w:autoSpaceDE w:val="0"/>
        <w:autoSpaceDN w:val="0"/>
        <w:snapToGrid w:val="0"/>
        <w:spacing w:line="360" w:lineRule="auto"/>
        <w:ind w:firstLine="4320" w:firstLineChars="1800"/>
        <w:jc w:val="left"/>
        <w:rPr>
          <w:rFonts w:ascii="宋体" w:hAnsi="宋体" w:cs="宋体"/>
          <w:color w:val="auto"/>
          <w:kern w:val="0"/>
          <w:sz w:val="24"/>
        </w:rPr>
      </w:pPr>
    </w:p>
    <w:p w14:paraId="17BFF990">
      <w:pPr>
        <w:autoSpaceDE w:val="0"/>
        <w:autoSpaceDN w:val="0"/>
        <w:snapToGrid w:val="0"/>
        <w:spacing w:line="360" w:lineRule="auto"/>
        <w:ind w:firstLine="4320" w:firstLineChars="1800"/>
        <w:jc w:val="left"/>
        <w:rPr>
          <w:rFonts w:ascii="宋体" w:hAnsi="宋体" w:cs="宋体"/>
          <w:color w:val="auto"/>
          <w:kern w:val="0"/>
          <w:sz w:val="24"/>
        </w:rPr>
      </w:pPr>
    </w:p>
    <w:p w14:paraId="62C6B43F">
      <w:pPr>
        <w:autoSpaceDE w:val="0"/>
        <w:autoSpaceDN w:val="0"/>
        <w:snapToGrid w:val="0"/>
        <w:spacing w:line="360" w:lineRule="auto"/>
        <w:ind w:firstLine="4320" w:firstLineChars="1800"/>
        <w:jc w:val="left"/>
        <w:rPr>
          <w:rFonts w:ascii="宋体" w:hAnsi="宋体" w:cs="宋体"/>
          <w:color w:val="auto"/>
          <w:kern w:val="0"/>
          <w:sz w:val="24"/>
        </w:rPr>
      </w:pPr>
    </w:p>
    <w:p w14:paraId="19B2F765">
      <w:pPr>
        <w:autoSpaceDE w:val="0"/>
        <w:autoSpaceDN w:val="0"/>
        <w:snapToGrid w:val="0"/>
        <w:spacing w:line="360" w:lineRule="auto"/>
        <w:ind w:firstLine="4320" w:firstLineChars="1800"/>
        <w:jc w:val="left"/>
        <w:rPr>
          <w:rFonts w:ascii="宋体" w:hAnsi="宋体" w:cs="宋体"/>
          <w:color w:val="auto"/>
          <w:kern w:val="0"/>
          <w:sz w:val="24"/>
        </w:rPr>
      </w:pPr>
    </w:p>
    <w:p w14:paraId="7C02F0DA">
      <w:pPr>
        <w:autoSpaceDE w:val="0"/>
        <w:autoSpaceDN w:val="0"/>
        <w:snapToGrid w:val="0"/>
        <w:spacing w:line="360" w:lineRule="auto"/>
        <w:ind w:firstLine="4320" w:firstLineChars="1800"/>
        <w:jc w:val="left"/>
        <w:rPr>
          <w:rFonts w:ascii="宋体" w:hAnsi="宋体" w:cs="宋体"/>
          <w:color w:val="auto"/>
          <w:kern w:val="0"/>
          <w:sz w:val="24"/>
        </w:rPr>
      </w:pPr>
    </w:p>
    <w:p w14:paraId="2E460867">
      <w:pPr>
        <w:autoSpaceDE w:val="0"/>
        <w:autoSpaceDN w:val="0"/>
        <w:snapToGrid w:val="0"/>
        <w:spacing w:line="360" w:lineRule="auto"/>
        <w:ind w:firstLine="4320" w:firstLineChars="1800"/>
        <w:jc w:val="left"/>
        <w:rPr>
          <w:rFonts w:ascii="宋体" w:hAnsi="宋体" w:cs="宋体"/>
          <w:color w:val="auto"/>
          <w:kern w:val="0"/>
          <w:sz w:val="24"/>
        </w:rPr>
      </w:pPr>
    </w:p>
    <w:p w14:paraId="38ED7D5D">
      <w:pPr>
        <w:autoSpaceDE w:val="0"/>
        <w:autoSpaceDN w:val="0"/>
        <w:snapToGrid w:val="0"/>
        <w:spacing w:line="360" w:lineRule="auto"/>
        <w:ind w:firstLine="4320" w:firstLineChars="1800"/>
        <w:jc w:val="left"/>
        <w:rPr>
          <w:rFonts w:ascii="宋体" w:hAnsi="宋体" w:cs="宋体"/>
          <w:color w:val="auto"/>
          <w:kern w:val="0"/>
          <w:sz w:val="24"/>
        </w:rPr>
      </w:pPr>
      <w:r>
        <w:rPr>
          <w:rFonts w:hint="eastAsia" w:ascii="宋体" w:hAnsi="宋体" w:cs="宋体"/>
          <w:color w:val="auto"/>
          <w:kern w:val="0"/>
          <w:sz w:val="24"/>
        </w:rPr>
        <w:t>投标人名称（公章）：</w:t>
      </w:r>
    </w:p>
    <w:p w14:paraId="376AA1AC">
      <w:pPr>
        <w:autoSpaceDE w:val="0"/>
        <w:autoSpaceDN w:val="0"/>
        <w:snapToGrid w:val="0"/>
        <w:spacing w:line="360" w:lineRule="auto"/>
        <w:ind w:firstLine="4320" w:firstLineChars="1800"/>
        <w:jc w:val="left"/>
        <w:rPr>
          <w:rFonts w:ascii="宋体" w:hAnsi="宋体" w:cs="宋体"/>
          <w:color w:val="auto"/>
          <w:kern w:val="0"/>
          <w:sz w:val="24"/>
        </w:rPr>
      </w:pPr>
      <w:r>
        <w:rPr>
          <w:rFonts w:hint="eastAsia" w:ascii="宋体" w:hAnsi="宋体" w:cs="宋体"/>
          <w:color w:val="auto"/>
          <w:kern w:val="0"/>
          <w:sz w:val="24"/>
        </w:rPr>
        <w:t>法定代表人或授权代表（签字）：</w:t>
      </w:r>
    </w:p>
    <w:p w14:paraId="1C9DDAC7">
      <w:pPr>
        <w:snapToGrid w:val="0"/>
        <w:spacing w:line="360" w:lineRule="auto"/>
        <w:ind w:firstLine="4320" w:firstLineChars="1800"/>
        <w:jc w:val="left"/>
        <w:rPr>
          <w:rFonts w:ascii="宋体" w:hAnsi="宋体" w:cs="宋体"/>
          <w:color w:val="auto"/>
          <w:sz w:val="24"/>
        </w:rPr>
      </w:pPr>
      <w:r>
        <w:rPr>
          <w:rFonts w:hint="eastAsia" w:ascii="宋体" w:hAnsi="宋体" w:cs="宋体"/>
          <w:color w:val="auto"/>
          <w:kern w:val="0"/>
          <w:sz w:val="24"/>
        </w:rPr>
        <w:t>日期：  年  月   日</w:t>
      </w:r>
    </w:p>
    <w:p w14:paraId="4C9EB7FB">
      <w:pPr>
        <w:snapToGrid w:val="0"/>
        <w:spacing w:line="360" w:lineRule="auto"/>
        <w:rPr>
          <w:rFonts w:ascii="宋体" w:hAnsi="宋体" w:cs="宋体"/>
          <w:b/>
          <w:color w:val="auto"/>
          <w:sz w:val="24"/>
        </w:rPr>
      </w:pPr>
    </w:p>
    <w:p w14:paraId="0366A6EB">
      <w:pPr>
        <w:snapToGrid w:val="0"/>
        <w:spacing w:line="360" w:lineRule="auto"/>
        <w:rPr>
          <w:rFonts w:ascii="宋体" w:hAnsi="宋体" w:cs="宋体"/>
          <w:b/>
          <w:color w:val="auto"/>
          <w:sz w:val="24"/>
        </w:rPr>
      </w:pPr>
    </w:p>
    <w:p w14:paraId="6665316A">
      <w:pPr>
        <w:snapToGrid w:val="0"/>
        <w:spacing w:line="360" w:lineRule="auto"/>
        <w:jc w:val="center"/>
        <w:rPr>
          <w:rFonts w:ascii="宋体" w:hAnsi="宋体" w:cs="宋体"/>
          <w:color w:val="auto"/>
          <w:sz w:val="24"/>
        </w:rPr>
      </w:pPr>
    </w:p>
    <w:p w14:paraId="3057B75B">
      <w:pPr>
        <w:snapToGrid w:val="0"/>
        <w:spacing w:before="156" w:beforeLines="50" w:after="156" w:afterLines="50" w:line="360" w:lineRule="auto"/>
        <w:jc w:val="center"/>
        <w:rPr>
          <w:rFonts w:ascii="宋体" w:hAnsi="宋体" w:cs="宋体"/>
          <w:b/>
          <w:bCs/>
          <w:color w:val="auto"/>
          <w:sz w:val="24"/>
        </w:rPr>
        <w:sectPr>
          <w:pgSz w:w="11906" w:h="16838"/>
          <w:pgMar w:top="1440" w:right="1800" w:bottom="1440" w:left="1800" w:header="851" w:footer="992" w:gutter="0"/>
          <w:cols w:space="720" w:num="1"/>
          <w:titlePg/>
          <w:docGrid w:type="lines" w:linePitch="312" w:charSpace="0"/>
        </w:sectPr>
      </w:pPr>
    </w:p>
    <w:p w14:paraId="7C88E1D2">
      <w:pPr>
        <w:snapToGrid w:val="0"/>
        <w:spacing w:before="156" w:beforeLines="50" w:after="156" w:afterLines="50" w:line="360" w:lineRule="auto"/>
        <w:jc w:val="center"/>
        <w:rPr>
          <w:rFonts w:ascii="宋体" w:hAnsi="宋体" w:cs="宋体"/>
          <w:b/>
          <w:bCs/>
          <w:color w:val="auto"/>
          <w:sz w:val="28"/>
          <w:szCs w:val="28"/>
        </w:rPr>
      </w:pPr>
      <w:r>
        <w:rPr>
          <w:rFonts w:hint="eastAsia" w:ascii="宋体" w:hAnsi="宋体" w:cs="宋体"/>
          <w:b/>
          <w:bCs/>
          <w:color w:val="auto"/>
          <w:sz w:val="28"/>
          <w:szCs w:val="28"/>
        </w:rPr>
        <w:t>类似成功业绩一览表</w:t>
      </w:r>
    </w:p>
    <w:tbl>
      <w:tblPr>
        <w:tblStyle w:val="34"/>
        <w:tblW w:w="9148" w:type="dxa"/>
        <w:jc w:val="center"/>
        <w:tblLayout w:type="fixed"/>
        <w:tblCellMar>
          <w:top w:w="0" w:type="dxa"/>
          <w:left w:w="108" w:type="dxa"/>
          <w:bottom w:w="0" w:type="dxa"/>
          <w:right w:w="108" w:type="dxa"/>
        </w:tblCellMar>
      </w:tblPr>
      <w:tblGrid>
        <w:gridCol w:w="1498"/>
        <w:gridCol w:w="951"/>
        <w:gridCol w:w="1356"/>
        <w:gridCol w:w="1008"/>
        <w:gridCol w:w="1155"/>
        <w:gridCol w:w="1965"/>
        <w:gridCol w:w="1215"/>
      </w:tblGrid>
      <w:tr w14:paraId="1D6A1D6C">
        <w:tblPrEx>
          <w:tblCellMar>
            <w:top w:w="0" w:type="dxa"/>
            <w:left w:w="108" w:type="dxa"/>
            <w:bottom w:w="0" w:type="dxa"/>
            <w:right w:w="108" w:type="dxa"/>
          </w:tblCellMar>
        </w:tblPrEx>
        <w:trPr>
          <w:trHeight w:val="817" w:hRule="atLeast"/>
          <w:jc w:val="center"/>
        </w:trPr>
        <w:tc>
          <w:tcPr>
            <w:tcW w:w="1498" w:type="dxa"/>
            <w:tcBorders>
              <w:top w:val="single" w:color="auto" w:sz="6" w:space="0"/>
              <w:left w:val="single" w:color="auto" w:sz="6" w:space="0"/>
              <w:bottom w:val="single" w:color="auto" w:sz="6" w:space="0"/>
              <w:right w:val="single" w:color="auto" w:sz="6" w:space="0"/>
            </w:tcBorders>
            <w:vAlign w:val="center"/>
          </w:tcPr>
          <w:p w14:paraId="1759A405">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C755F29">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项目</w:t>
            </w:r>
          </w:p>
          <w:p w14:paraId="43C785C4">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481596B">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简要描述</w:t>
            </w:r>
          </w:p>
        </w:tc>
        <w:tc>
          <w:tcPr>
            <w:tcW w:w="1008" w:type="dxa"/>
            <w:tcBorders>
              <w:top w:val="single" w:color="auto" w:sz="6" w:space="0"/>
              <w:left w:val="single" w:color="auto" w:sz="6" w:space="0"/>
              <w:bottom w:val="single" w:color="auto" w:sz="6" w:space="0"/>
              <w:right w:val="single" w:color="auto" w:sz="6" w:space="0"/>
            </w:tcBorders>
            <w:vAlign w:val="center"/>
          </w:tcPr>
          <w:p w14:paraId="6D6D2B43">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服务</w:t>
            </w:r>
          </w:p>
          <w:p w14:paraId="7B759B3C">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规模</w:t>
            </w:r>
          </w:p>
        </w:tc>
        <w:tc>
          <w:tcPr>
            <w:tcW w:w="1155" w:type="dxa"/>
            <w:tcBorders>
              <w:top w:val="single" w:color="auto" w:sz="6" w:space="0"/>
              <w:left w:val="single" w:color="auto" w:sz="6" w:space="0"/>
              <w:bottom w:val="single" w:color="auto" w:sz="6" w:space="0"/>
              <w:right w:val="single" w:color="auto" w:sz="6" w:space="0"/>
            </w:tcBorders>
            <w:vAlign w:val="center"/>
          </w:tcPr>
          <w:p w14:paraId="2D9F9B3A">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服务起始日期</w:t>
            </w:r>
          </w:p>
        </w:tc>
        <w:tc>
          <w:tcPr>
            <w:tcW w:w="1965" w:type="dxa"/>
            <w:tcBorders>
              <w:top w:val="single" w:color="auto" w:sz="6" w:space="0"/>
              <w:left w:val="single" w:color="auto" w:sz="6" w:space="0"/>
              <w:bottom w:val="single" w:color="auto" w:sz="6" w:space="0"/>
              <w:right w:val="single" w:color="auto" w:sz="6" w:space="0"/>
            </w:tcBorders>
            <w:vAlign w:val="center"/>
          </w:tcPr>
          <w:p w14:paraId="56967369">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BAFA396">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所在页码</w:t>
            </w:r>
          </w:p>
        </w:tc>
      </w:tr>
      <w:tr w14:paraId="18E72127">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tcPr>
          <w:p w14:paraId="5B4F82B5">
            <w:pPr>
              <w:autoSpaceDE w:val="0"/>
              <w:autoSpaceDN w:val="0"/>
              <w:adjustRightInd w:val="0"/>
              <w:snapToGrid w:val="0"/>
              <w:spacing w:line="360" w:lineRule="auto"/>
              <w:jc w:val="center"/>
              <w:rPr>
                <w:rFonts w:ascii="宋体" w:hAnsi="宋体" w:cs="宋体"/>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4727CD0E">
            <w:pPr>
              <w:autoSpaceDE w:val="0"/>
              <w:autoSpaceDN w:val="0"/>
              <w:adjustRightInd w:val="0"/>
              <w:snapToGrid w:val="0"/>
              <w:spacing w:line="360" w:lineRule="auto"/>
              <w:rPr>
                <w:rFonts w:ascii="宋体" w:hAnsi="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61A7C58">
            <w:pPr>
              <w:autoSpaceDE w:val="0"/>
              <w:autoSpaceDN w:val="0"/>
              <w:adjustRightInd w:val="0"/>
              <w:snapToGrid w:val="0"/>
              <w:spacing w:line="360" w:lineRule="auto"/>
              <w:rPr>
                <w:rFonts w:ascii="宋体" w:hAnsi="宋体" w:cs="宋体"/>
                <w:color w:val="auto"/>
                <w:sz w:val="24"/>
              </w:rPr>
            </w:pPr>
          </w:p>
        </w:tc>
        <w:tc>
          <w:tcPr>
            <w:tcW w:w="1008" w:type="dxa"/>
            <w:tcBorders>
              <w:top w:val="single" w:color="auto" w:sz="6" w:space="0"/>
              <w:left w:val="single" w:color="auto" w:sz="6" w:space="0"/>
              <w:bottom w:val="single" w:color="auto" w:sz="6" w:space="0"/>
              <w:right w:val="single" w:color="auto" w:sz="6" w:space="0"/>
            </w:tcBorders>
          </w:tcPr>
          <w:p w14:paraId="539B7FC2">
            <w:pPr>
              <w:autoSpaceDE w:val="0"/>
              <w:autoSpaceDN w:val="0"/>
              <w:adjustRightInd w:val="0"/>
              <w:snapToGrid w:val="0"/>
              <w:spacing w:line="360" w:lineRule="auto"/>
              <w:rPr>
                <w:rFonts w:ascii="宋体" w:hAnsi="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741534DF">
            <w:pPr>
              <w:autoSpaceDE w:val="0"/>
              <w:autoSpaceDN w:val="0"/>
              <w:adjustRightInd w:val="0"/>
              <w:snapToGrid w:val="0"/>
              <w:spacing w:line="360" w:lineRule="auto"/>
              <w:rPr>
                <w:rFonts w:ascii="宋体" w:hAnsi="宋体" w:cs="宋体"/>
                <w:color w:val="auto"/>
                <w:sz w:val="24"/>
              </w:rPr>
            </w:pPr>
          </w:p>
        </w:tc>
        <w:tc>
          <w:tcPr>
            <w:tcW w:w="1965" w:type="dxa"/>
            <w:tcBorders>
              <w:top w:val="single" w:color="auto" w:sz="6" w:space="0"/>
              <w:left w:val="single" w:color="auto" w:sz="6" w:space="0"/>
              <w:bottom w:val="single" w:color="auto" w:sz="6" w:space="0"/>
              <w:right w:val="single" w:color="auto" w:sz="6" w:space="0"/>
            </w:tcBorders>
          </w:tcPr>
          <w:p w14:paraId="1F34C49E">
            <w:pPr>
              <w:autoSpaceDE w:val="0"/>
              <w:autoSpaceDN w:val="0"/>
              <w:adjustRightInd w:val="0"/>
              <w:snapToGrid w:val="0"/>
              <w:spacing w:line="360" w:lineRule="auto"/>
              <w:rPr>
                <w:rFonts w:ascii="宋体" w:hAnsi="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FE42356">
            <w:pPr>
              <w:autoSpaceDE w:val="0"/>
              <w:autoSpaceDN w:val="0"/>
              <w:adjustRightInd w:val="0"/>
              <w:snapToGrid w:val="0"/>
              <w:spacing w:line="360" w:lineRule="auto"/>
              <w:rPr>
                <w:rFonts w:ascii="宋体" w:hAnsi="宋体" w:cs="宋体"/>
                <w:color w:val="auto"/>
                <w:sz w:val="24"/>
              </w:rPr>
            </w:pPr>
          </w:p>
        </w:tc>
      </w:tr>
      <w:tr w14:paraId="37CC286B">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tcPr>
          <w:p w14:paraId="5759EE8B">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w:t>
            </w:r>
          </w:p>
        </w:tc>
        <w:tc>
          <w:tcPr>
            <w:tcW w:w="951" w:type="dxa"/>
            <w:tcBorders>
              <w:top w:val="single" w:color="auto" w:sz="6" w:space="0"/>
              <w:left w:val="single" w:color="auto" w:sz="6" w:space="0"/>
              <w:bottom w:val="single" w:color="auto" w:sz="6" w:space="0"/>
              <w:right w:val="single" w:color="auto" w:sz="6" w:space="0"/>
            </w:tcBorders>
          </w:tcPr>
          <w:p w14:paraId="279572AD">
            <w:pPr>
              <w:autoSpaceDE w:val="0"/>
              <w:autoSpaceDN w:val="0"/>
              <w:adjustRightInd w:val="0"/>
              <w:snapToGrid w:val="0"/>
              <w:spacing w:line="360" w:lineRule="auto"/>
              <w:rPr>
                <w:rFonts w:ascii="宋体" w:hAnsi="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A188FA4">
            <w:pPr>
              <w:autoSpaceDE w:val="0"/>
              <w:autoSpaceDN w:val="0"/>
              <w:adjustRightInd w:val="0"/>
              <w:snapToGrid w:val="0"/>
              <w:spacing w:line="360" w:lineRule="auto"/>
              <w:rPr>
                <w:rFonts w:ascii="宋体" w:hAnsi="宋体" w:cs="宋体"/>
                <w:color w:val="auto"/>
                <w:sz w:val="24"/>
              </w:rPr>
            </w:pPr>
          </w:p>
        </w:tc>
        <w:tc>
          <w:tcPr>
            <w:tcW w:w="1008" w:type="dxa"/>
            <w:tcBorders>
              <w:top w:val="single" w:color="auto" w:sz="6" w:space="0"/>
              <w:left w:val="single" w:color="auto" w:sz="6" w:space="0"/>
              <w:bottom w:val="single" w:color="auto" w:sz="6" w:space="0"/>
              <w:right w:val="single" w:color="auto" w:sz="6" w:space="0"/>
            </w:tcBorders>
          </w:tcPr>
          <w:p w14:paraId="1FBFD700">
            <w:pPr>
              <w:autoSpaceDE w:val="0"/>
              <w:autoSpaceDN w:val="0"/>
              <w:adjustRightInd w:val="0"/>
              <w:snapToGrid w:val="0"/>
              <w:spacing w:line="360" w:lineRule="auto"/>
              <w:rPr>
                <w:rFonts w:ascii="宋体" w:hAnsi="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470F687E">
            <w:pPr>
              <w:autoSpaceDE w:val="0"/>
              <w:autoSpaceDN w:val="0"/>
              <w:adjustRightInd w:val="0"/>
              <w:snapToGrid w:val="0"/>
              <w:spacing w:line="360" w:lineRule="auto"/>
              <w:rPr>
                <w:rFonts w:ascii="宋体" w:hAnsi="宋体" w:cs="宋体"/>
                <w:color w:val="auto"/>
                <w:sz w:val="24"/>
              </w:rPr>
            </w:pPr>
          </w:p>
        </w:tc>
        <w:tc>
          <w:tcPr>
            <w:tcW w:w="1965" w:type="dxa"/>
            <w:tcBorders>
              <w:top w:val="single" w:color="auto" w:sz="6" w:space="0"/>
              <w:left w:val="single" w:color="auto" w:sz="6" w:space="0"/>
              <w:bottom w:val="single" w:color="auto" w:sz="6" w:space="0"/>
              <w:right w:val="single" w:color="auto" w:sz="6" w:space="0"/>
            </w:tcBorders>
          </w:tcPr>
          <w:p w14:paraId="3652D71D">
            <w:pPr>
              <w:autoSpaceDE w:val="0"/>
              <w:autoSpaceDN w:val="0"/>
              <w:adjustRightInd w:val="0"/>
              <w:snapToGrid w:val="0"/>
              <w:spacing w:line="360" w:lineRule="auto"/>
              <w:rPr>
                <w:rFonts w:ascii="宋体" w:hAnsi="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34918114">
            <w:pPr>
              <w:autoSpaceDE w:val="0"/>
              <w:autoSpaceDN w:val="0"/>
              <w:adjustRightInd w:val="0"/>
              <w:snapToGrid w:val="0"/>
              <w:spacing w:line="360" w:lineRule="auto"/>
              <w:rPr>
                <w:rFonts w:ascii="宋体" w:hAnsi="宋体" w:cs="宋体"/>
                <w:color w:val="auto"/>
                <w:sz w:val="24"/>
              </w:rPr>
            </w:pPr>
          </w:p>
        </w:tc>
      </w:tr>
    </w:tbl>
    <w:p w14:paraId="7C9981CE">
      <w:pPr>
        <w:snapToGrid w:val="0"/>
        <w:spacing w:line="360" w:lineRule="auto"/>
        <w:rPr>
          <w:rFonts w:ascii="宋体" w:hAnsi="宋体" w:cs="宋体"/>
          <w:color w:val="auto"/>
          <w:sz w:val="24"/>
        </w:rPr>
      </w:pPr>
      <w:r>
        <w:rPr>
          <w:rFonts w:hint="eastAsia" w:ascii="宋体" w:hAnsi="宋体" w:cs="宋体"/>
          <w:b/>
          <w:color w:val="auto"/>
          <w:sz w:val="24"/>
        </w:rPr>
        <w:t>注：供应商可按上述的格式自行编制。</w:t>
      </w:r>
    </w:p>
    <w:p w14:paraId="421BC224">
      <w:pPr>
        <w:snapToGrid w:val="0"/>
        <w:spacing w:line="360" w:lineRule="auto"/>
        <w:ind w:firstLine="480" w:firstLineChars="200"/>
        <w:jc w:val="left"/>
        <w:rPr>
          <w:rFonts w:ascii="宋体" w:hAnsi="宋体" w:cs="宋体"/>
          <w:color w:val="auto"/>
          <w:sz w:val="24"/>
        </w:rPr>
      </w:pPr>
    </w:p>
    <w:p w14:paraId="6C3C1F4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供应商名称（公章）：</w:t>
      </w:r>
    </w:p>
    <w:p w14:paraId="2082675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法定代表人或授权代表</w:t>
      </w:r>
      <w:r>
        <w:rPr>
          <w:rFonts w:hint="eastAsia" w:ascii="宋体" w:hAnsi="宋体" w:cs="宋体"/>
          <w:color w:val="auto"/>
          <w:sz w:val="24"/>
          <w:lang w:eastAsia="zh-CN"/>
        </w:rPr>
        <w:t>（</w:t>
      </w: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w:t>
      </w:r>
    </w:p>
    <w:p w14:paraId="3EC1DA3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    年  月  日</w:t>
      </w:r>
    </w:p>
    <w:p w14:paraId="256C3094">
      <w:pPr>
        <w:snapToGrid w:val="0"/>
        <w:spacing w:line="360" w:lineRule="auto"/>
        <w:jc w:val="left"/>
        <w:rPr>
          <w:rFonts w:ascii="宋体" w:hAnsi="宋体" w:cs="宋体"/>
          <w:b/>
          <w:bCs/>
          <w:color w:val="auto"/>
          <w:sz w:val="24"/>
        </w:rPr>
      </w:pPr>
    </w:p>
    <w:p w14:paraId="08F082C4">
      <w:pPr>
        <w:snapToGrid w:val="0"/>
        <w:spacing w:line="360" w:lineRule="auto"/>
        <w:jc w:val="left"/>
        <w:rPr>
          <w:rFonts w:ascii="宋体" w:hAnsi="宋体" w:cs="宋体"/>
          <w:b/>
          <w:bCs/>
          <w:color w:val="auto"/>
          <w:sz w:val="24"/>
        </w:rPr>
        <w:sectPr>
          <w:pgSz w:w="11906" w:h="16838"/>
          <w:pgMar w:top="1440" w:right="1800" w:bottom="1440" w:left="1800" w:header="851" w:footer="992" w:gutter="0"/>
          <w:cols w:space="720" w:num="1"/>
          <w:titlePg/>
          <w:docGrid w:type="lines" w:linePitch="312" w:charSpace="0"/>
        </w:sectPr>
      </w:pPr>
    </w:p>
    <w:p w14:paraId="4D785EF5">
      <w:pPr>
        <w:snapToGrid w:val="0"/>
        <w:spacing w:line="360" w:lineRule="auto"/>
        <w:jc w:val="left"/>
        <w:rPr>
          <w:rFonts w:ascii="宋体" w:hAnsi="宋体" w:cs="宋体"/>
          <w:color w:val="auto"/>
          <w:sz w:val="28"/>
          <w:szCs w:val="28"/>
        </w:rPr>
      </w:pPr>
      <w:r>
        <w:rPr>
          <w:rFonts w:hint="eastAsia" w:ascii="宋体" w:hAnsi="宋体" w:cs="宋体"/>
          <w:b/>
          <w:bCs/>
          <w:color w:val="auto"/>
          <w:sz w:val="28"/>
          <w:szCs w:val="28"/>
        </w:rPr>
        <w:t>商务响应表格式：</w:t>
      </w:r>
    </w:p>
    <w:p w14:paraId="4426F5B4">
      <w:pPr>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商务响应表</w:t>
      </w:r>
    </w:p>
    <w:p w14:paraId="07D3A48F">
      <w:pPr>
        <w:snapToGrid w:val="0"/>
        <w:spacing w:line="360" w:lineRule="auto"/>
        <w:jc w:val="left"/>
        <w:rPr>
          <w:rFonts w:ascii="宋体" w:hAnsi="宋体" w:cs="宋体"/>
          <w:color w:val="auto"/>
          <w:sz w:val="24"/>
          <w:u w:val="single"/>
        </w:rPr>
      </w:pPr>
      <w:r>
        <w:rPr>
          <w:rFonts w:hint="eastAsia" w:ascii="宋体" w:hAnsi="宋体" w:cs="宋体"/>
          <w:color w:val="auto"/>
          <w:sz w:val="24"/>
        </w:rPr>
        <w:t>项目名称：</w:t>
      </w:r>
    </w:p>
    <w:p w14:paraId="7EF894B0">
      <w:pPr>
        <w:snapToGrid w:val="0"/>
        <w:spacing w:line="360" w:lineRule="auto"/>
        <w:jc w:val="left"/>
        <w:rPr>
          <w:rFonts w:ascii="宋体" w:hAnsi="宋体" w:cs="宋体"/>
          <w:color w:val="auto"/>
          <w:sz w:val="24"/>
        </w:rPr>
      </w:pPr>
      <w:r>
        <w:rPr>
          <w:rFonts w:hint="eastAsia" w:ascii="宋体" w:hAnsi="宋体" w:cs="宋体"/>
          <w:color w:val="auto"/>
          <w:sz w:val="24"/>
        </w:rPr>
        <w:t>项目编号：</w:t>
      </w:r>
    </w:p>
    <w:tbl>
      <w:tblPr>
        <w:tblStyle w:val="34"/>
        <w:tblW w:w="8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1"/>
        <w:gridCol w:w="2423"/>
        <w:gridCol w:w="1365"/>
        <w:gridCol w:w="2441"/>
      </w:tblGrid>
      <w:tr w14:paraId="6FC9F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861" w:type="dxa"/>
            <w:tcBorders>
              <w:top w:val="single" w:color="auto" w:sz="4" w:space="0"/>
              <w:left w:val="single" w:color="auto" w:sz="4" w:space="0"/>
              <w:bottom w:val="single" w:color="auto" w:sz="4" w:space="0"/>
              <w:right w:val="single" w:color="auto" w:sz="4" w:space="0"/>
            </w:tcBorders>
            <w:vAlign w:val="center"/>
          </w:tcPr>
          <w:p w14:paraId="6271431B">
            <w:pPr>
              <w:snapToGrid w:val="0"/>
              <w:spacing w:line="360" w:lineRule="auto"/>
              <w:jc w:val="center"/>
              <w:rPr>
                <w:rFonts w:ascii="宋体" w:hAnsi="宋体" w:cs="宋体"/>
                <w:color w:val="auto"/>
                <w:sz w:val="24"/>
              </w:rPr>
            </w:pPr>
            <w:r>
              <w:rPr>
                <w:rFonts w:hint="eastAsia" w:ascii="宋体" w:hAnsi="宋体" w:cs="宋体"/>
                <w:color w:val="auto"/>
                <w:sz w:val="24"/>
              </w:rPr>
              <w:t>项目</w:t>
            </w:r>
          </w:p>
        </w:tc>
        <w:tc>
          <w:tcPr>
            <w:tcW w:w="2423" w:type="dxa"/>
            <w:tcBorders>
              <w:top w:val="single" w:color="auto" w:sz="4" w:space="0"/>
              <w:left w:val="single" w:color="auto" w:sz="4" w:space="0"/>
              <w:bottom w:val="single" w:color="auto" w:sz="4" w:space="0"/>
              <w:right w:val="single" w:color="auto" w:sz="4" w:space="0"/>
            </w:tcBorders>
            <w:vAlign w:val="center"/>
          </w:tcPr>
          <w:p w14:paraId="2869FC86">
            <w:pPr>
              <w:snapToGrid w:val="0"/>
              <w:spacing w:line="360" w:lineRule="auto"/>
              <w:jc w:val="center"/>
              <w:rPr>
                <w:rFonts w:ascii="宋体" w:hAnsi="宋体" w:cs="宋体"/>
                <w:color w:val="auto"/>
                <w:sz w:val="24"/>
              </w:rPr>
            </w:pPr>
            <w:r>
              <w:rPr>
                <w:rFonts w:hint="eastAsia" w:ascii="宋体" w:hAnsi="宋体" w:cs="宋体"/>
                <w:color w:val="auto"/>
                <w:sz w:val="24"/>
              </w:rPr>
              <w:t>招标文件要求</w:t>
            </w:r>
          </w:p>
        </w:tc>
        <w:tc>
          <w:tcPr>
            <w:tcW w:w="1365" w:type="dxa"/>
            <w:tcBorders>
              <w:top w:val="single" w:color="auto" w:sz="4" w:space="0"/>
              <w:left w:val="single" w:color="auto" w:sz="4" w:space="0"/>
              <w:bottom w:val="single" w:color="auto" w:sz="4" w:space="0"/>
              <w:right w:val="single" w:color="auto" w:sz="4" w:space="0"/>
            </w:tcBorders>
            <w:vAlign w:val="center"/>
          </w:tcPr>
          <w:p w14:paraId="784E3138">
            <w:pPr>
              <w:snapToGrid w:val="0"/>
              <w:spacing w:line="360" w:lineRule="auto"/>
              <w:jc w:val="center"/>
              <w:rPr>
                <w:rFonts w:ascii="宋体" w:hAnsi="宋体" w:cs="宋体"/>
                <w:color w:val="auto"/>
                <w:sz w:val="24"/>
              </w:rPr>
            </w:pPr>
            <w:r>
              <w:rPr>
                <w:rFonts w:hint="eastAsia" w:ascii="宋体" w:hAnsi="宋体" w:cs="宋体"/>
                <w:color w:val="auto"/>
                <w:sz w:val="24"/>
              </w:rPr>
              <w:t>是否响应</w:t>
            </w:r>
          </w:p>
        </w:tc>
        <w:tc>
          <w:tcPr>
            <w:tcW w:w="2441" w:type="dxa"/>
            <w:tcBorders>
              <w:top w:val="single" w:color="auto" w:sz="4" w:space="0"/>
              <w:left w:val="single" w:color="auto" w:sz="4" w:space="0"/>
              <w:bottom w:val="single" w:color="auto" w:sz="4" w:space="0"/>
              <w:right w:val="single" w:color="auto" w:sz="4" w:space="0"/>
            </w:tcBorders>
            <w:vAlign w:val="center"/>
          </w:tcPr>
          <w:p w14:paraId="4A82A44C">
            <w:pPr>
              <w:snapToGrid w:val="0"/>
              <w:spacing w:line="360" w:lineRule="auto"/>
              <w:jc w:val="center"/>
              <w:rPr>
                <w:rFonts w:ascii="宋体" w:hAnsi="宋体" w:cs="宋体"/>
                <w:color w:val="auto"/>
                <w:sz w:val="24"/>
              </w:rPr>
            </w:pPr>
            <w:r>
              <w:rPr>
                <w:rFonts w:hint="eastAsia" w:ascii="宋体" w:hAnsi="宋体" w:cs="宋体"/>
                <w:color w:val="auto"/>
                <w:sz w:val="24"/>
              </w:rPr>
              <w:t>投标人的承诺或说明</w:t>
            </w:r>
          </w:p>
        </w:tc>
      </w:tr>
      <w:tr w14:paraId="28CD6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861" w:type="dxa"/>
            <w:tcBorders>
              <w:top w:val="single" w:color="auto" w:sz="4" w:space="0"/>
              <w:left w:val="single" w:color="auto" w:sz="4" w:space="0"/>
              <w:bottom w:val="single" w:color="auto" w:sz="4" w:space="0"/>
              <w:right w:val="single" w:color="auto" w:sz="4" w:space="0"/>
            </w:tcBorders>
            <w:vAlign w:val="center"/>
          </w:tcPr>
          <w:p w14:paraId="339A83B7">
            <w:pPr>
              <w:snapToGrid w:val="0"/>
              <w:spacing w:line="360" w:lineRule="auto"/>
              <w:jc w:val="center"/>
              <w:rPr>
                <w:rFonts w:ascii="宋体" w:hAnsi="宋体" w:cs="宋体"/>
                <w:color w:val="auto"/>
                <w:sz w:val="24"/>
              </w:rPr>
            </w:pPr>
            <w:r>
              <w:rPr>
                <w:rFonts w:hint="eastAsia" w:ascii="宋体" w:hAnsi="宋体" w:cs="宋体"/>
                <w:color w:val="auto"/>
                <w:sz w:val="24"/>
              </w:rPr>
              <w:t>付款方式</w:t>
            </w:r>
          </w:p>
        </w:tc>
        <w:tc>
          <w:tcPr>
            <w:tcW w:w="2423" w:type="dxa"/>
            <w:tcBorders>
              <w:top w:val="single" w:color="auto" w:sz="4" w:space="0"/>
              <w:left w:val="single" w:color="auto" w:sz="4" w:space="0"/>
              <w:bottom w:val="single" w:color="auto" w:sz="4" w:space="0"/>
              <w:right w:val="single" w:color="auto" w:sz="4" w:space="0"/>
            </w:tcBorders>
            <w:vAlign w:val="center"/>
          </w:tcPr>
          <w:p w14:paraId="5440B8BE">
            <w:pPr>
              <w:snapToGrid w:val="0"/>
              <w:spacing w:line="360" w:lineRule="auto"/>
              <w:jc w:val="center"/>
              <w:rPr>
                <w:rFonts w:ascii="宋体" w:hAnsi="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14CE81BC">
            <w:pPr>
              <w:snapToGrid w:val="0"/>
              <w:spacing w:line="360" w:lineRule="auto"/>
              <w:jc w:val="center"/>
              <w:rPr>
                <w:rFonts w:ascii="宋体" w:hAnsi="宋体" w:cs="宋体"/>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3A3DEFDA">
            <w:pPr>
              <w:snapToGrid w:val="0"/>
              <w:spacing w:line="360" w:lineRule="auto"/>
              <w:jc w:val="center"/>
              <w:rPr>
                <w:rFonts w:ascii="宋体" w:hAnsi="宋体" w:cs="宋体"/>
                <w:color w:val="auto"/>
                <w:sz w:val="24"/>
              </w:rPr>
            </w:pPr>
          </w:p>
        </w:tc>
      </w:tr>
      <w:tr w14:paraId="7B373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861" w:type="dxa"/>
            <w:tcBorders>
              <w:top w:val="single" w:color="auto" w:sz="4" w:space="0"/>
              <w:left w:val="single" w:color="auto" w:sz="4" w:space="0"/>
              <w:bottom w:val="single" w:color="auto" w:sz="4" w:space="0"/>
              <w:right w:val="single" w:color="auto" w:sz="4" w:space="0"/>
            </w:tcBorders>
            <w:vAlign w:val="center"/>
          </w:tcPr>
          <w:p w14:paraId="5B4EC292">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rPr>
              <w:t>…</w:t>
            </w:r>
          </w:p>
        </w:tc>
        <w:tc>
          <w:tcPr>
            <w:tcW w:w="2423" w:type="dxa"/>
            <w:tcBorders>
              <w:top w:val="single" w:color="auto" w:sz="4" w:space="0"/>
              <w:left w:val="single" w:color="auto" w:sz="4" w:space="0"/>
              <w:bottom w:val="single" w:color="auto" w:sz="4" w:space="0"/>
              <w:right w:val="single" w:color="auto" w:sz="4" w:space="0"/>
            </w:tcBorders>
            <w:vAlign w:val="center"/>
          </w:tcPr>
          <w:p w14:paraId="6986CB56">
            <w:pPr>
              <w:snapToGrid w:val="0"/>
              <w:spacing w:line="360" w:lineRule="auto"/>
              <w:jc w:val="center"/>
              <w:rPr>
                <w:rFonts w:hint="eastAsia" w:ascii="宋体" w:hAnsi="宋体"/>
                <w:b/>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0F1AE655">
            <w:pPr>
              <w:snapToGrid w:val="0"/>
              <w:spacing w:line="360" w:lineRule="auto"/>
              <w:ind w:left="43"/>
              <w:jc w:val="center"/>
              <w:rPr>
                <w:rFonts w:ascii="宋体" w:hAnsi="宋体" w:cs="宋体"/>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5976B205">
            <w:pPr>
              <w:snapToGrid w:val="0"/>
              <w:spacing w:line="360" w:lineRule="auto"/>
              <w:ind w:left="43"/>
              <w:jc w:val="center"/>
              <w:rPr>
                <w:rFonts w:ascii="宋体" w:hAnsi="宋体" w:cs="宋体"/>
                <w:color w:val="auto"/>
                <w:sz w:val="24"/>
              </w:rPr>
            </w:pPr>
          </w:p>
        </w:tc>
      </w:tr>
      <w:tr w14:paraId="569D5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861" w:type="dxa"/>
            <w:tcBorders>
              <w:top w:val="single" w:color="auto" w:sz="4" w:space="0"/>
              <w:left w:val="single" w:color="auto" w:sz="4" w:space="0"/>
              <w:bottom w:val="single" w:color="auto" w:sz="4" w:space="0"/>
              <w:right w:val="single" w:color="auto" w:sz="4" w:space="0"/>
            </w:tcBorders>
            <w:vAlign w:val="center"/>
          </w:tcPr>
          <w:p w14:paraId="1811DE6A">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其他要求</w:t>
            </w:r>
          </w:p>
        </w:tc>
        <w:tc>
          <w:tcPr>
            <w:tcW w:w="2423" w:type="dxa"/>
            <w:tcBorders>
              <w:top w:val="single" w:color="auto" w:sz="4" w:space="0"/>
              <w:left w:val="single" w:color="auto" w:sz="4" w:space="0"/>
              <w:bottom w:val="single" w:color="auto" w:sz="4" w:space="0"/>
              <w:right w:val="single" w:color="auto" w:sz="4" w:space="0"/>
            </w:tcBorders>
            <w:vAlign w:val="center"/>
          </w:tcPr>
          <w:p w14:paraId="5AA8A7B0">
            <w:pPr>
              <w:snapToGrid w:val="0"/>
              <w:spacing w:line="360" w:lineRule="auto"/>
              <w:jc w:val="left"/>
              <w:rPr>
                <w:rFonts w:ascii="宋体" w:hAnsi="宋体" w:cs="宋体"/>
                <w:color w:val="auto"/>
                <w:sz w:val="24"/>
              </w:rPr>
            </w:pPr>
            <w:r>
              <w:rPr>
                <w:rFonts w:hint="eastAsia" w:ascii="宋体" w:hAnsi="宋体"/>
                <w:b/>
                <w:color w:val="auto"/>
                <w:szCs w:val="21"/>
                <w:highlight w:val="none"/>
              </w:rPr>
              <w:t>3.▲对列入强制性认证产品目录中的产品须提供强制性认证证书（CCC证书）。</w:t>
            </w:r>
          </w:p>
        </w:tc>
        <w:tc>
          <w:tcPr>
            <w:tcW w:w="1365" w:type="dxa"/>
            <w:tcBorders>
              <w:top w:val="single" w:color="auto" w:sz="4" w:space="0"/>
              <w:left w:val="single" w:color="auto" w:sz="4" w:space="0"/>
              <w:bottom w:val="single" w:color="auto" w:sz="4" w:space="0"/>
              <w:right w:val="single" w:color="auto" w:sz="4" w:space="0"/>
            </w:tcBorders>
            <w:vAlign w:val="center"/>
          </w:tcPr>
          <w:p w14:paraId="6923914C">
            <w:pPr>
              <w:snapToGrid w:val="0"/>
              <w:spacing w:line="360" w:lineRule="auto"/>
              <w:ind w:left="43"/>
              <w:jc w:val="center"/>
              <w:rPr>
                <w:rFonts w:ascii="宋体" w:hAnsi="宋体" w:cs="宋体"/>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14AA33B9">
            <w:pPr>
              <w:snapToGrid w:val="0"/>
              <w:spacing w:line="360" w:lineRule="auto"/>
              <w:ind w:left="43"/>
              <w:jc w:val="left"/>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填写说明：</w:t>
            </w:r>
          </w:p>
          <w:p w14:paraId="776B44B4">
            <w:pPr>
              <w:snapToGrid w:val="0"/>
              <w:spacing w:line="360" w:lineRule="auto"/>
              <w:ind w:left="43"/>
              <w:jc w:val="left"/>
              <w:rPr>
                <w:rFonts w:hint="eastAsia" w:ascii="宋体" w:hAnsi="宋体"/>
                <w:b/>
                <w:color w:val="auto"/>
                <w:szCs w:val="21"/>
                <w:highlight w:val="none"/>
                <w:lang w:eastAsia="zh-CN"/>
              </w:rPr>
            </w:pPr>
            <w:r>
              <w:rPr>
                <w:rFonts w:hint="eastAsia" w:ascii="宋体" w:hAnsi="宋体"/>
                <w:b/>
                <w:color w:val="auto"/>
                <w:szCs w:val="21"/>
                <w:highlight w:val="none"/>
              </w:rPr>
              <w:t>列入强制性认证产品目录</w:t>
            </w:r>
            <w:r>
              <w:rPr>
                <w:rFonts w:hint="eastAsia" w:ascii="宋体" w:hAnsi="宋体"/>
                <w:b/>
                <w:color w:val="auto"/>
                <w:szCs w:val="21"/>
                <w:highlight w:val="none"/>
                <w:lang w:val="en-US" w:eastAsia="zh-CN"/>
              </w:rPr>
              <w:t>的提供</w:t>
            </w:r>
            <w:r>
              <w:rPr>
                <w:rFonts w:hint="eastAsia" w:ascii="宋体" w:hAnsi="宋体"/>
                <w:b/>
                <w:color w:val="auto"/>
                <w:szCs w:val="21"/>
                <w:highlight w:val="none"/>
              </w:rPr>
              <w:t>CCC证书</w:t>
            </w:r>
            <w:r>
              <w:rPr>
                <w:rFonts w:hint="eastAsia" w:ascii="宋体" w:hAnsi="宋体"/>
                <w:b/>
                <w:color w:val="auto"/>
                <w:szCs w:val="21"/>
                <w:highlight w:val="none"/>
                <w:lang w:eastAsia="zh-CN"/>
              </w:rPr>
              <w:t>。</w:t>
            </w:r>
          </w:p>
          <w:p w14:paraId="4B64BD1C">
            <w:pPr>
              <w:snapToGrid w:val="0"/>
              <w:spacing w:line="360" w:lineRule="auto"/>
              <w:ind w:left="43"/>
              <w:jc w:val="left"/>
              <w:rPr>
                <w:rFonts w:hint="default" w:ascii="宋体" w:hAnsi="宋体" w:eastAsia="宋体" w:cs="宋体"/>
                <w:color w:val="auto"/>
                <w:sz w:val="24"/>
                <w:lang w:val="en-US" w:eastAsia="zh-CN"/>
              </w:rPr>
            </w:pPr>
            <w:r>
              <w:rPr>
                <w:rFonts w:hint="eastAsia" w:ascii="宋体" w:hAnsi="宋体"/>
                <w:b/>
                <w:color w:val="auto"/>
                <w:szCs w:val="21"/>
                <w:highlight w:val="none"/>
                <w:lang w:val="en-US" w:eastAsia="zh-CN"/>
              </w:rPr>
              <w:t>未列入</w:t>
            </w:r>
            <w:r>
              <w:rPr>
                <w:rFonts w:hint="eastAsia" w:ascii="宋体" w:hAnsi="宋体"/>
                <w:b/>
                <w:color w:val="auto"/>
                <w:szCs w:val="21"/>
                <w:highlight w:val="none"/>
              </w:rPr>
              <w:t>强制性认证产品目录</w:t>
            </w:r>
            <w:r>
              <w:rPr>
                <w:rFonts w:hint="eastAsia" w:ascii="宋体" w:hAnsi="宋体"/>
                <w:b/>
                <w:color w:val="auto"/>
                <w:szCs w:val="21"/>
                <w:highlight w:val="none"/>
                <w:lang w:val="en-US" w:eastAsia="zh-CN"/>
              </w:rPr>
              <w:t>的说明未列入即可，不要写负偏离。</w:t>
            </w:r>
          </w:p>
        </w:tc>
      </w:tr>
      <w:tr w14:paraId="3D44D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861" w:type="dxa"/>
            <w:tcBorders>
              <w:top w:val="single" w:color="auto" w:sz="4" w:space="0"/>
              <w:left w:val="single" w:color="auto" w:sz="4" w:space="0"/>
              <w:bottom w:val="single" w:color="auto" w:sz="4" w:space="0"/>
              <w:right w:val="single" w:color="auto" w:sz="4" w:space="0"/>
            </w:tcBorders>
            <w:vAlign w:val="center"/>
          </w:tcPr>
          <w:p w14:paraId="1A194375">
            <w:pPr>
              <w:snapToGrid w:val="0"/>
              <w:spacing w:line="360" w:lineRule="auto"/>
              <w:jc w:val="center"/>
              <w:rPr>
                <w:rFonts w:ascii="宋体" w:hAnsi="宋体" w:cs="宋体"/>
                <w:color w:val="auto"/>
                <w:sz w:val="24"/>
              </w:rPr>
            </w:pPr>
            <w:r>
              <w:rPr>
                <w:rFonts w:hint="eastAsia" w:ascii="宋体" w:hAnsi="宋体" w:cs="宋体"/>
                <w:color w:val="auto"/>
                <w:sz w:val="24"/>
              </w:rPr>
              <w:t>…</w:t>
            </w:r>
          </w:p>
        </w:tc>
        <w:tc>
          <w:tcPr>
            <w:tcW w:w="2423" w:type="dxa"/>
            <w:tcBorders>
              <w:top w:val="single" w:color="auto" w:sz="4" w:space="0"/>
              <w:left w:val="single" w:color="auto" w:sz="4" w:space="0"/>
              <w:bottom w:val="single" w:color="auto" w:sz="4" w:space="0"/>
              <w:right w:val="single" w:color="auto" w:sz="4" w:space="0"/>
            </w:tcBorders>
            <w:vAlign w:val="center"/>
          </w:tcPr>
          <w:p w14:paraId="48640A74">
            <w:pPr>
              <w:snapToGrid w:val="0"/>
              <w:spacing w:line="360" w:lineRule="auto"/>
              <w:jc w:val="center"/>
              <w:rPr>
                <w:rFonts w:ascii="宋体" w:hAnsi="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1BAF0CCC">
            <w:pPr>
              <w:snapToGrid w:val="0"/>
              <w:spacing w:line="360" w:lineRule="auto"/>
              <w:jc w:val="center"/>
              <w:rPr>
                <w:rFonts w:ascii="宋体" w:hAnsi="宋体" w:cs="宋体"/>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3992A66A">
            <w:pPr>
              <w:snapToGrid w:val="0"/>
              <w:spacing w:line="360" w:lineRule="auto"/>
              <w:jc w:val="center"/>
              <w:rPr>
                <w:rFonts w:ascii="宋体" w:hAnsi="宋体" w:cs="宋体"/>
                <w:color w:val="auto"/>
                <w:sz w:val="24"/>
              </w:rPr>
            </w:pPr>
          </w:p>
        </w:tc>
      </w:tr>
    </w:tbl>
    <w:p w14:paraId="31DEAA29">
      <w:pPr>
        <w:snapToGrid w:val="0"/>
        <w:spacing w:line="360" w:lineRule="auto"/>
        <w:jc w:val="left"/>
        <w:rPr>
          <w:rFonts w:ascii="宋体" w:hAnsi="宋体" w:cs="宋体"/>
          <w:color w:val="auto"/>
          <w:sz w:val="24"/>
        </w:rPr>
      </w:pPr>
    </w:p>
    <w:p w14:paraId="40FCD28E">
      <w:pPr>
        <w:snapToGrid w:val="0"/>
        <w:spacing w:line="360" w:lineRule="auto"/>
        <w:jc w:val="left"/>
        <w:rPr>
          <w:rFonts w:ascii="宋体" w:hAnsi="宋体" w:cs="宋体"/>
          <w:color w:val="auto"/>
          <w:sz w:val="24"/>
        </w:rPr>
      </w:pPr>
      <w:r>
        <w:rPr>
          <w:rFonts w:hint="eastAsia" w:ascii="宋体" w:hAnsi="宋体" w:cs="宋体"/>
          <w:color w:val="auto"/>
          <w:sz w:val="24"/>
        </w:rPr>
        <w:t>投标人全称（公章）：</w:t>
      </w:r>
    </w:p>
    <w:p w14:paraId="1692D734">
      <w:pPr>
        <w:snapToGrid w:val="0"/>
        <w:spacing w:line="360" w:lineRule="auto"/>
        <w:rPr>
          <w:rFonts w:ascii="宋体" w:hAnsi="宋体" w:cs="宋体"/>
          <w:color w:val="auto"/>
          <w:sz w:val="24"/>
          <w:u w:val="single"/>
        </w:rPr>
      </w:pPr>
      <w:r>
        <w:rPr>
          <w:rFonts w:hint="eastAsia" w:ascii="宋体" w:hAnsi="宋体" w:cs="宋体"/>
          <w:color w:val="auto"/>
          <w:sz w:val="24"/>
        </w:rPr>
        <w:t>法定代表人或授权代表（签字）：</w:t>
      </w:r>
    </w:p>
    <w:p w14:paraId="0278EEA2">
      <w:pPr>
        <w:snapToGrid w:val="0"/>
        <w:spacing w:line="360" w:lineRule="auto"/>
        <w:jc w:val="left"/>
        <w:rPr>
          <w:rFonts w:ascii="宋体" w:hAnsi="宋体" w:cs="宋体"/>
          <w:color w:val="auto"/>
          <w:sz w:val="24"/>
        </w:rPr>
      </w:pPr>
      <w:r>
        <w:rPr>
          <w:rFonts w:hint="eastAsia" w:ascii="宋体" w:hAnsi="宋体" w:cs="宋体"/>
          <w:color w:val="auto"/>
          <w:sz w:val="24"/>
        </w:rPr>
        <w:t>日期：     年    月  日</w:t>
      </w:r>
    </w:p>
    <w:p w14:paraId="40E1C9F4">
      <w:pPr>
        <w:snapToGrid w:val="0"/>
        <w:spacing w:line="360" w:lineRule="auto"/>
        <w:jc w:val="left"/>
        <w:rPr>
          <w:rFonts w:ascii="宋体" w:hAnsi="宋体" w:cs="宋体"/>
          <w:b/>
          <w:bCs/>
          <w:color w:val="auto"/>
          <w:sz w:val="24"/>
          <w:lang w:val="zh-CN"/>
        </w:rPr>
      </w:pPr>
    </w:p>
    <w:p w14:paraId="4FEFE324">
      <w:pPr>
        <w:snapToGrid w:val="0"/>
        <w:spacing w:line="360" w:lineRule="auto"/>
        <w:jc w:val="left"/>
        <w:rPr>
          <w:rFonts w:ascii="宋体" w:hAnsi="宋体" w:cs="宋体"/>
          <w:b/>
          <w:bCs/>
          <w:color w:val="auto"/>
          <w:sz w:val="24"/>
          <w:lang w:val="zh-CN"/>
        </w:rPr>
      </w:pPr>
    </w:p>
    <w:p w14:paraId="69B5F8FE">
      <w:pPr>
        <w:snapToGrid w:val="0"/>
        <w:spacing w:line="360" w:lineRule="auto"/>
        <w:jc w:val="left"/>
        <w:rPr>
          <w:rFonts w:ascii="宋体" w:hAnsi="宋体" w:cs="宋体"/>
          <w:b/>
          <w:bCs/>
          <w:color w:val="auto"/>
          <w:sz w:val="24"/>
          <w:lang w:val="zh-CN"/>
        </w:rPr>
      </w:pPr>
    </w:p>
    <w:p w14:paraId="7E0CE6A4">
      <w:pPr>
        <w:snapToGrid w:val="0"/>
        <w:spacing w:line="360" w:lineRule="auto"/>
        <w:jc w:val="left"/>
        <w:rPr>
          <w:rFonts w:ascii="宋体" w:hAnsi="宋体" w:cs="宋体"/>
          <w:b/>
          <w:bCs/>
          <w:color w:val="auto"/>
          <w:sz w:val="24"/>
          <w:lang w:val="zh-CN"/>
        </w:rPr>
      </w:pPr>
    </w:p>
    <w:p w14:paraId="18E66074">
      <w:pPr>
        <w:snapToGrid w:val="0"/>
        <w:spacing w:line="360" w:lineRule="auto"/>
        <w:jc w:val="left"/>
        <w:rPr>
          <w:rFonts w:ascii="宋体" w:hAnsi="宋体" w:cs="宋体"/>
          <w:b/>
          <w:bCs/>
          <w:color w:val="auto"/>
          <w:sz w:val="24"/>
          <w:lang w:val="zh-CN"/>
        </w:rPr>
      </w:pPr>
    </w:p>
    <w:p w14:paraId="22D40A2B">
      <w:pPr>
        <w:snapToGrid w:val="0"/>
        <w:spacing w:line="360" w:lineRule="auto"/>
        <w:jc w:val="left"/>
        <w:rPr>
          <w:rFonts w:ascii="宋体" w:hAnsi="宋体" w:cs="宋体"/>
          <w:b/>
          <w:bCs/>
          <w:color w:val="auto"/>
          <w:sz w:val="24"/>
          <w:lang w:val="zh-CN"/>
        </w:rPr>
      </w:pPr>
    </w:p>
    <w:p w14:paraId="5ABE9665">
      <w:pPr>
        <w:snapToGrid w:val="0"/>
        <w:spacing w:line="360" w:lineRule="auto"/>
        <w:jc w:val="left"/>
        <w:rPr>
          <w:rFonts w:ascii="宋体" w:hAnsi="宋体" w:cs="宋体"/>
          <w:b/>
          <w:bCs/>
          <w:color w:val="auto"/>
          <w:sz w:val="24"/>
          <w:lang w:val="zh-CN"/>
        </w:rPr>
      </w:pPr>
    </w:p>
    <w:p w14:paraId="0A866F15">
      <w:pPr>
        <w:snapToGrid w:val="0"/>
        <w:spacing w:line="360" w:lineRule="auto"/>
        <w:jc w:val="left"/>
        <w:rPr>
          <w:rFonts w:ascii="宋体" w:hAnsi="宋体" w:cs="宋体"/>
          <w:b/>
          <w:bCs/>
          <w:color w:val="auto"/>
          <w:sz w:val="24"/>
          <w:lang w:val="zh-CN"/>
        </w:rPr>
      </w:pPr>
    </w:p>
    <w:p w14:paraId="273E098C">
      <w:pPr>
        <w:snapToGrid w:val="0"/>
        <w:spacing w:line="360" w:lineRule="auto"/>
        <w:jc w:val="left"/>
        <w:rPr>
          <w:rFonts w:ascii="宋体" w:hAnsi="宋体" w:cs="宋体"/>
          <w:b/>
          <w:bCs/>
          <w:color w:val="auto"/>
          <w:sz w:val="24"/>
          <w:lang w:val="zh-CN"/>
        </w:rPr>
      </w:pPr>
    </w:p>
    <w:p w14:paraId="75C5DAEE">
      <w:pPr>
        <w:snapToGrid w:val="0"/>
        <w:spacing w:line="360" w:lineRule="auto"/>
        <w:jc w:val="left"/>
        <w:rPr>
          <w:rFonts w:ascii="宋体" w:hAnsi="宋体" w:cs="宋体"/>
          <w:b/>
          <w:bCs/>
          <w:color w:val="auto"/>
          <w:sz w:val="24"/>
          <w:lang w:val="zh-CN"/>
        </w:rPr>
      </w:pPr>
    </w:p>
    <w:p w14:paraId="278B3969">
      <w:pPr>
        <w:snapToGrid w:val="0"/>
        <w:spacing w:line="360" w:lineRule="auto"/>
        <w:jc w:val="left"/>
        <w:rPr>
          <w:rFonts w:ascii="宋体" w:hAnsi="宋体" w:cs="宋体"/>
          <w:b/>
          <w:bCs/>
          <w:color w:val="auto"/>
          <w:sz w:val="24"/>
          <w:lang w:val="zh-CN"/>
        </w:rPr>
      </w:pPr>
    </w:p>
    <w:p w14:paraId="34EC8980">
      <w:pPr>
        <w:jc w:val="left"/>
        <w:rPr>
          <w:rFonts w:ascii="宋体" w:hAnsi="宋体" w:cs="宋体"/>
          <w:color w:val="auto"/>
          <w:sz w:val="28"/>
          <w:szCs w:val="28"/>
          <w:lang w:val="zh-CN"/>
        </w:rPr>
      </w:pPr>
      <w:r>
        <w:rPr>
          <w:rFonts w:hint="eastAsia" w:ascii="宋体" w:hAnsi="宋体" w:cs="宋体"/>
          <w:b/>
          <w:bCs/>
          <w:color w:val="auto"/>
          <w:sz w:val="28"/>
          <w:szCs w:val="28"/>
          <w:lang w:val="zh-CN"/>
        </w:rPr>
        <w:t>投标人、投标人法定代表人及本次投标的授权代表违法犯罪情况表</w:t>
      </w:r>
    </w:p>
    <w:tbl>
      <w:tblPr>
        <w:tblStyle w:val="3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6132"/>
      </w:tblGrid>
      <w:tr w14:paraId="48AB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724" w:type="dxa"/>
            <w:vAlign w:val="center"/>
          </w:tcPr>
          <w:p w14:paraId="3C8A5157">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内容</w:t>
            </w:r>
          </w:p>
        </w:tc>
        <w:tc>
          <w:tcPr>
            <w:tcW w:w="6132" w:type="dxa"/>
            <w:vAlign w:val="center"/>
          </w:tcPr>
          <w:p w14:paraId="2DD2E7EF">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投标截止之日前</w:t>
            </w:r>
            <w:r>
              <w:rPr>
                <w:rFonts w:hint="eastAsia" w:ascii="宋体" w:hAnsi="宋体" w:cs="宋体"/>
                <w:color w:val="auto"/>
                <w:sz w:val="24"/>
              </w:rPr>
              <w:t>3</w:t>
            </w:r>
            <w:r>
              <w:rPr>
                <w:rFonts w:hint="eastAsia" w:ascii="宋体" w:hAnsi="宋体" w:cs="宋体"/>
                <w:color w:val="auto"/>
                <w:sz w:val="24"/>
                <w:lang w:val="zh-CN"/>
              </w:rPr>
              <w:t>年内违法犯罪情况</w:t>
            </w:r>
          </w:p>
        </w:tc>
      </w:tr>
      <w:tr w14:paraId="4BB4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24" w:type="dxa"/>
            <w:vAlign w:val="center"/>
          </w:tcPr>
          <w:p w14:paraId="27A08197">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1.投标人违法犯罪记录</w:t>
            </w:r>
          </w:p>
        </w:tc>
        <w:tc>
          <w:tcPr>
            <w:tcW w:w="6132" w:type="dxa"/>
            <w:vAlign w:val="center"/>
          </w:tcPr>
          <w:p w14:paraId="69F0F67B">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投标人                           无违法犯罪记录。</w:t>
            </w:r>
          </w:p>
        </w:tc>
      </w:tr>
      <w:tr w14:paraId="0E9D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2724" w:type="dxa"/>
            <w:vAlign w:val="center"/>
          </w:tcPr>
          <w:p w14:paraId="69FF8513">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2.投标人法定代表人违法犯罪记录</w:t>
            </w:r>
          </w:p>
        </w:tc>
        <w:tc>
          <w:tcPr>
            <w:tcW w:w="6132" w:type="dxa"/>
            <w:vAlign w:val="center"/>
          </w:tcPr>
          <w:p w14:paraId="18B12A6A">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投标人法定代表人（姓名：     、身份证号码：        ）无违法犯罪记录。</w:t>
            </w:r>
          </w:p>
        </w:tc>
      </w:tr>
      <w:tr w14:paraId="5FC8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24" w:type="dxa"/>
            <w:vAlign w:val="center"/>
          </w:tcPr>
          <w:p w14:paraId="4065C9DC">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3.本次投标授权代表违法犯罪记录</w:t>
            </w:r>
          </w:p>
        </w:tc>
        <w:tc>
          <w:tcPr>
            <w:tcW w:w="6132" w:type="dxa"/>
            <w:vAlign w:val="center"/>
          </w:tcPr>
          <w:p w14:paraId="2B93FC96">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本次投标授权代表（姓名：       、身份证号码：       ）无违法犯罪记录。</w:t>
            </w:r>
          </w:p>
        </w:tc>
      </w:tr>
    </w:tbl>
    <w:p w14:paraId="5C9907DA">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注：若中标人经违法犯罪档案查询存在违法犯罪记录的，投标文件将被视为无效，取消中标资格。</w:t>
      </w:r>
    </w:p>
    <w:p w14:paraId="708F498C">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 xml:space="preserve">投标人全称（公章）：                  </w:t>
      </w:r>
    </w:p>
    <w:p w14:paraId="2BF1A304">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法定代表人或授权代表（签字）：</w:t>
      </w:r>
    </w:p>
    <w:p w14:paraId="2016DF8A">
      <w:pPr>
        <w:snapToGrid w:val="0"/>
        <w:spacing w:line="360" w:lineRule="auto"/>
        <w:jc w:val="left"/>
        <w:rPr>
          <w:rFonts w:ascii="宋体" w:hAnsi="宋体" w:cs="宋体"/>
          <w:color w:val="auto"/>
          <w:kern w:val="0"/>
          <w:sz w:val="24"/>
          <w:lang w:val="zh-CN"/>
        </w:rPr>
      </w:pPr>
      <w:r>
        <w:rPr>
          <w:rFonts w:hint="eastAsia" w:ascii="宋体" w:hAnsi="宋体" w:cs="宋体"/>
          <w:color w:val="auto"/>
          <w:sz w:val="24"/>
          <w:lang w:val="zh-CN"/>
        </w:rPr>
        <w:t>日期：     年    月    日</w:t>
      </w:r>
    </w:p>
    <w:p w14:paraId="345174B5">
      <w:pPr>
        <w:snapToGrid w:val="0"/>
        <w:spacing w:line="360" w:lineRule="auto"/>
        <w:jc w:val="left"/>
        <w:rPr>
          <w:rFonts w:ascii="宋体" w:hAnsi="宋体" w:cs="宋体"/>
          <w:color w:val="auto"/>
          <w:kern w:val="0"/>
          <w:sz w:val="24"/>
          <w:lang w:val="zh-CN"/>
        </w:rPr>
      </w:pPr>
    </w:p>
    <w:p w14:paraId="7D658315">
      <w:pPr>
        <w:snapToGrid w:val="0"/>
        <w:spacing w:line="360" w:lineRule="auto"/>
        <w:jc w:val="left"/>
        <w:rPr>
          <w:rFonts w:ascii="宋体" w:hAnsi="宋体" w:cs="宋体"/>
          <w:b/>
          <w:bCs/>
          <w:color w:val="auto"/>
          <w:kern w:val="0"/>
          <w:sz w:val="24"/>
          <w:lang w:val="zh-CN"/>
        </w:rPr>
      </w:pPr>
    </w:p>
    <w:p w14:paraId="3BDDA0CE">
      <w:pPr>
        <w:snapToGrid w:val="0"/>
        <w:spacing w:line="360" w:lineRule="auto"/>
        <w:jc w:val="left"/>
        <w:rPr>
          <w:rFonts w:ascii="宋体" w:hAnsi="宋体" w:cs="宋体"/>
          <w:b/>
          <w:bCs/>
          <w:color w:val="auto"/>
          <w:kern w:val="0"/>
          <w:sz w:val="24"/>
          <w:lang w:val="zh-CN"/>
        </w:rPr>
      </w:pPr>
    </w:p>
    <w:p w14:paraId="7A056795">
      <w:pPr>
        <w:snapToGrid w:val="0"/>
        <w:spacing w:line="360" w:lineRule="auto"/>
        <w:jc w:val="left"/>
        <w:rPr>
          <w:rFonts w:ascii="宋体" w:hAnsi="宋体" w:cs="宋体"/>
          <w:color w:val="auto"/>
          <w:sz w:val="24"/>
        </w:rPr>
      </w:pPr>
    </w:p>
    <w:p w14:paraId="3E678A0A">
      <w:pPr>
        <w:snapToGrid w:val="0"/>
        <w:spacing w:line="360" w:lineRule="auto"/>
        <w:jc w:val="left"/>
        <w:rPr>
          <w:rFonts w:ascii="宋体" w:hAnsi="宋体" w:cs="宋体"/>
          <w:b/>
          <w:bCs/>
          <w:color w:val="auto"/>
          <w:sz w:val="24"/>
          <w:lang w:val="zh-CN"/>
        </w:rPr>
      </w:pPr>
    </w:p>
    <w:p w14:paraId="7E3144F1">
      <w:pPr>
        <w:snapToGrid w:val="0"/>
        <w:spacing w:line="360" w:lineRule="auto"/>
        <w:ind w:right="-108"/>
        <w:rPr>
          <w:rFonts w:ascii="宋体" w:hAnsi="宋体" w:cs="宋体"/>
          <w:b/>
          <w:color w:val="auto"/>
          <w:sz w:val="36"/>
          <w:szCs w:val="36"/>
        </w:rPr>
        <w:sectPr>
          <w:pgSz w:w="11906" w:h="16838"/>
          <w:pgMar w:top="1440" w:right="1800" w:bottom="1440" w:left="1800" w:header="851" w:footer="992" w:gutter="0"/>
          <w:cols w:space="720" w:num="1"/>
          <w:titlePg/>
          <w:docGrid w:type="lines" w:linePitch="312" w:charSpace="0"/>
        </w:sectPr>
      </w:pPr>
    </w:p>
    <w:p w14:paraId="096E379F">
      <w:pPr>
        <w:snapToGrid w:val="0"/>
        <w:spacing w:before="156" w:beforeLines="50" w:after="156" w:afterLines="50" w:line="360" w:lineRule="auto"/>
        <w:jc w:val="center"/>
        <w:rPr>
          <w:rFonts w:ascii="宋体" w:hAnsi="宋体" w:cs="宋体"/>
          <w:b/>
          <w:bCs/>
          <w:color w:val="auto"/>
          <w:sz w:val="28"/>
          <w:szCs w:val="28"/>
        </w:rPr>
      </w:pPr>
      <w:r>
        <w:rPr>
          <w:rFonts w:hint="eastAsia" w:ascii="宋体" w:hAnsi="宋体" w:cs="宋体"/>
          <w:b/>
          <w:bCs/>
          <w:color w:val="auto"/>
          <w:sz w:val="28"/>
          <w:szCs w:val="28"/>
        </w:rPr>
        <w:t>技术偏离表</w:t>
      </w:r>
    </w:p>
    <w:p w14:paraId="098FA874">
      <w:pPr>
        <w:snapToGrid w:val="0"/>
        <w:spacing w:line="360" w:lineRule="auto"/>
        <w:rPr>
          <w:rFonts w:ascii="宋体" w:hAnsi="宋体" w:cs="宋体"/>
          <w:color w:val="auto"/>
          <w:sz w:val="24"/>
          <w:u w:val="single"/>
        </w:rPr>
      </w:pPr>
      <w:r>
        <w:rPr>
          <w:rFonts w:hint="eastAsia" w:ascii="宋体" w:hAnsi="宋体" w:cs="宋体"/>
          <w:color w:val="auto"/>
          <w:sz w:val="24"/>
        </w:rPr>
        <w:t>项目名称：</w:t>
      </w:r>
    </w:p>
    <w:p w14:paraId="6AD1F17B">
      <w:pPr>
        <w:snapToGrid w:val="0"/>
        <w:spacing w:line="360" w:lineRule="auto"/>
        <w:rPr>
          <w:rFonts w:ascii="宋体" w:hAnsi="宋体" w:cs="宋体"/>
          <w:color w:val="auto"/>
          <w:sz w:val="24"/>
        </w:rPr>
      </w:pPr>
      <w:r>
        <w:rPr>
          <w:rFonts w:hint="eastAsia" w:ascii="宋体" w:hAnsi="宋体" w:cs="宋体"/>
          <w:color w:val="auto"/>
          <w:sz w:val="24"/>
        </w:rPr>
        <w:t>项目编号：</w:t>
      </w:r>
    </w:p>
    <w:p w14:paraId="2AFE1D28">
      <w:pPr>
        <w:snapToGrid w:val="0"/>
        <w:spacing w:line="360" w:lineRule="auto"/>
        <w:rPr>
          <w:rFonts w:ascii="宋体" w:hAnsi="宋体" w:cs="宋体"/>
          <w:color w:val="auto"/>
          <w:sz w:val="24"/>
        </w:rPr>
      </w:pPr>
      <w:r>
        <w:rPr>
          <w:rFonts w:hint="eastAsia" w:ascii="宋体" w:hAnsi="宋体" w:cs="宋体"/>
          <w:color w:val="auto"/>
          <w:sz w:val="24"/>
        </w:rPr>
        <w:t>标项：</w:t>
      </w:r>
    </w:p>
    <w:tbl>
      <w:tblPr>
        <w:tblStyle w:val="34"/>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1"/>
        <w:gridCol w:w="1917"/>
        <w:gridCol w:w="2132"/>
        <w:gridCol w:w="1696"/>
        <w:gridCol w:w="1566"/>
      </w:tblGrid>
      <w:tr w14:paraId="1A1B9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vAlign w:val="center"/>
          </w:tcPr>
          <w:p w14:paraId="5BDDA0EA">
            <w:pPr>
              <w:snapToGrid w:val="0"/>
              <w:spacing w:line="360" w:lineRule="auto"/>
              <w:jc w:val="center"/>
              <w:rPr>
                <w:rFonts w:ascii="宋体" w:hAnsi="宋体" w:cs="宋体"/>
                <w:color w:val="auto"/>
                <w:sz w:val="24"/>
              </w:rPr>
            </w:pPr>
            <w:r>
              <w:rPr>
                <w:rFonts w:hint="eastAsia" w:ascii="宋体" w:hAnsi="宋体" w:cs="宋体"/>
                <w:color w:val="auto"/>
                <w:sz w:val="24"/>
              </w:rPr>
              <w:t>名称</w:t>
            </w:r>
          </w:p>
        </w:tc>
        <w:tc>
          <w:tcPr>
            <w:tcW w:w="1917" w:type="dxa"/>
            <w:tcBorders>
              <w:top w:val="single" w:color="auto" w:sz="4" w:space="0"/>
              <w:left w:val="single" w:color="auto" w:sz="4" w:space="0"/>
              <w:bottom w:val="single" w:color="auto" w:sz="4" w:space="0"/>
              <w:right w:val="single" w:color="auto" w:sz="4" w:space="0"/>
            </w:tcBorders>
            <w:vAlign w:val="center"/>
          </w:tcPr>
          <w:p w14:paraId="72498FD2">
            <w:pPr>
              <w:snapToGrid w:val="0"/>
              <w:spacing w:line="360" w:lineRule="auto"/>
              <w:jc w:val="center"/>
              <w:rPr>
                <w:rFonts w:ascii="宋体" w:hAnsi="宋体" w:cs="宋体"/>
                <w:color w:val="auto"/>
                <w:sz w:val="24"/>
              </w:rPr>
            </w:pPr>
            <w:r>
              <w:rPr>
                <w:rFonts w:hint="eastAsia" w:ascii="宋体" w:hAnsi="宋体" w:cs="宋体"/>
                <w:color w:val="auto"/>
                <w:sz w:val="24"/>
              </w:rPr>
              <w:t>招标文件要求</w:t>
            </w:r>
          </w:p>
        </w:tc>
        <w:tc>
          <w:tcPr>
            <w:tcW w:w="2132" w:type="dxa"/>
            <w:tcBorders>
              <w:top w:val="single" w:color="auto" w:sz="4" w:space="0"/>
              <w:left w:val="single" w:color="auto" w:sz="4" w:space="0"/>
              <w:bottom w:val="single" w:color="auto" w:sz="4" w:space="0"/>
              <w:right w:val="single" w:color="auto" w:sz="4" w:space="0"/>
            </w:tcBorders>
            <w:vAlign w:val="center"/>
          </w:tcPr>
          <w:p w14:paraId="0D62908B">
            <w:pPr>
              <w:snapToGrid w:val="0"/>
              <w:spacing w:line="360" w:lineRule="auto"/>
              <w:jc w:val="center"/>
              <w:rPr>
                <w:rFonts w:ascii="宋体" w:hAnsi="宋体" w:cs="宋体"/>
                <w:color w:val="auto"/>
                <w:sz w:val="24"/>
              </w:rPr>
            </w:pPr>
            <w:r>
              <w:rPr>
                <w:rFonts w:hint="eastAsia" w:ascii="宋体" w:hAnsi="宋体" w:cs="宋体"/>
                <w:color w:val="auto"/>
                <w:sz w:val="24"/>
              </w:rPr>
              <w:t>投标文件响应</w:t>
            </w:r>
          </w:p>
        </w:tc>
        <w:tc>
          <w:tcPr>
            <w:tcW w:w="1696" w:type="dxa"/>
            <w:tcBorders>
              <w:top w:val="single" w:color="auto" w:sz="4" w:space="0"/>
              <w:left w:val="single" w:color="auto" w:sz="4" w:space="0"/>
              <w:bottom w:val="single" w:color="auto" w:sz="4" w:space="0"/>
              <w:right w:val="single" w:color="auto" w:sz="4" w:space="0"/>
            </w:tcBorders>
            <w:vAlign w:val="center"/>
          </w:tcPr>
          <w:p w14:paraId="1438695C">
            <w:pPr>
              <w:snapToGrid w:val="0"/>
              <w:spacing w:line="360" w:lineRule="auto"/>
              <w:jc w:val="center"/>
              <w:rPr>
                <w:rFonts w:ascii="宋体" w:hAnsi="宋体" w:cs="宋体"/>
                <w:color w:val="auto"/>
                <w:sz w:val="24"/>
              </w:rPr>
            </w:pPr>
            <w:r>
              <w:rPr>
                <w:rFonts w:hint="eastAsia" w:ascii="宋体" w:hAnsi="宋体" w:cs="宋体"/>
                <w:color w:val="auto"/>
                <w:sz w:val="24"/>
              </w:rPr>
              <w:t>偏离情况</w:t>
            </w:r>
          </w:p>
        </w:tc>
        <w:tc>
          <w:tcPr>
            <w:tcW w:w="1566" w:type="dxa"/>
            <w:tcBorders>
              <w:top w:val="single" w:color="auto" w:sz="4" w:space="0"/>
              <w:left w:val="single" w:color="auto" w:sz="4" w:space="0"/>
              <w:bottom w:val="single" w:color="auto" w:sz="4" w:space="0"/>
              <w:right w:val="single" w:color="auto" w:sz="4" w:space="0"/>
            </w:tcBorders>
            <w:vAlign w:val="center"/>
          </w:tcPr>
          <w:p w14:paraId="4F36EC00">
            <w:pPr>
              <w:snapToGrid w:val="0"/>
              <w:spacing w:line="360" w:lineRule="auto"/>
              <w:jc w:val="center"/>
              <w:rPr>
                <w:rFonts w:ascii="宋体" w:hAnsi="宋体" w:cs="宋体"/>
                <w:color w:val="auto"/>
                <w:sz w:val="24"/>
              </w:rPr>
            </w:pPr>
            <w:r>
              <w:rPr>
                <w:rFonts w:hint="eastAsia" w:ascii="宋体" w:hAnsi="宋体" w:cs="宋体"/>
                <w:color w:val="auto"/>
                <w:sz w:val="24"/>
              </w:rPr>
              <w:t>说明</w:t>
            </w:r>
          </w:p>
        </w:tc>
      </w:tr>
      <w:tr w14:paraId="4DFC5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7FE6F09B">
            <w:pPr>
              <w:snapToGrid w:val="0"/>
              <w:spacing w:line="360" w:lineRule="auto"/>
              <w:jc w:val="center"/>
              <w:rPr>
                <w:rFonts w:ascii="宋体" w:hAnsi="宋体" w:cs="宋体"/>
                <w:color w:val="auto"/>
                <w:sz w:val="24"/>
              </w:rPr>
            </w:pPr>
          </w:p>
        </w:tc>
        <w:tc>
          <w:tcPr>
            <w:tcW w:w="1917" w:type="dxa"/>
            <w:tcBorders>
              <w:top w:val="single" w:color="auto" w:sz="4" w:space="0"/>
              <w:left w:val="single" w:color="auto" w:sz="4" w:space="0"/>
              <w:bottom w:val="single" w:color="auto" w:sz="4" w:space="0"/>
              <w:right w:val="single" w:color="auto" w:sz="4" w:space="0"/>
            </w:tcBorders>
          </w:tcPr>
          <w:p w14:paraId="529233B9">
            <w:pPr>
              <w:snapToGrid w:val="0"/>
              <w:spacing w:line="360" w:lineRule="auto"/>
              <w:jc w:val="center"/>
              <w:rPr>
                <w:rFonts w:ascii="宋体" w:hAnsi="宋体" w:cs="宋体"/>
                <w:color w:val="auto"/>
                <w:sz w:val="24"/>
              </w:rPr>
            </w:pPr>
          </w:p>
        </w:tc>
        <w:tc>
          <w:tcPr>
            <w:tcW w:w="2132" w:type="dxa"/>
            <w:tcBorders>
              <w:top w:val="single" w:color="auto" w:sz="4" w:space="0"/>
              <w:left w:val="single" w:color="auto" w:sz="4" w:space="0"/>
              <w:bottom w:val="single" w:color="auto" w:sz="4" w:space="0"/>
              <w:right w:val="single" w:color="auto" w:sz="4" w:space="0"/>
            </w:tcBorders>
          </w:tcPr>
          <w:p w14:paraId="69FACE74">
            <w:pPr>
              <w:snapToGrid w:val="0"/>
              <w:spacing w:line="360" w:lineRule="auto"/>
              <w:jc w:val="center"/>
              <w:rPr>
                <w:rFonts w:ascii="宋体" w:hAnsi="宋体" w:cs="宋体"/>
                <w:color w:val="auto"/>
                <w:sz w:val="24"/>
              </w:rPr>
            </w:pPr>
          </w:p>
        </w:tc>
        <w:tc>
          <w:tcPr>
            <w:tcW w:w="1696" w:type="dxa"/>
            <w:tcBorders>
              <w:top w:val="single" w:color="auto" w:sz="4" w:space="0"/>
              <w:left w:val="single" w:color="auto" w:sz="4" w:space="0"/>
              <w:bottom w:val="single" w:color="auto" w:sz="4" w:space="0"/>
              <w:right w:val="single" w:color="auto" w:sz="4" w:space="0"/>
            </w:tcBorders>
          </w:tcPr>
          <w:p w14:paraId="139D3101">
            <w:pPr>
              <w:snapToGrid w:val="0"/>
              <w:spacing w:line="360" w:lineRule="auto"/>
              <w:jc w:val="center"/>
              <w:rPr>
                <w:rFonts w:ascii="宋体" w:hAnsi="宋体" w:cs="宋体"/>
                <w:color w:val="auto"/>
                <w:sz w:val="24"/>
              </w:rPr>
            </w:pPr>
          </w:p>
        </w:tc>
        <w:tc>
          <w:tcPr>
            <w:tcW w:w="1566" w:type="dxa"/>
            <w:tcBorders>
              <w:top w:val="single" w:color="auto" w:sz="4" w:space="0"/>
              <w:left w:val="single" w:color="auto" w:sz="4" w:space="0"/>
              <w:bottom w:val="single" w:color="auto" w:sz="4" w:space="0"/>
              <w:right w:val="single" w:color="auto" w:sz="4" w:space="0"/>
            </w:tcBorders>
          </w:tcPr>
          <w:p w14:paraId="266F6B75">
            <w:pPr>
              <w:snapToGrid w:val="0"/>
              <w:spacing w:line="360" w:lineRule="auto"/>
              <w:jc w:val="center"/>
              <w:rPr>
                <w:rFonts w:ascii="宋体" w:hAnsi="宋体" w:cs="宋体"/>
                <w:color w:val="auto"/>
                <w:sz w:val="24"/>
              </w:rPr>
            </w:pPr>
          </w:p>
        </w:tc>
      </w:tr>
      <w:tr w14:paraId="5743E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49C6148E">
            <w:pPr>
              <w:snapToGrid w:val="0"/>
              <w:spacing w:line="360" w:lineRule="auto"/>
              <w:jc w:val="center"/>
              <w:rPr>
                <w:rFonts w:ascii="宋体" w:hAnsi="宋体" w:cs="宋体"/>
                <w:color w:val="auto"/>
                <w:sz w:val="24"/>
              </w:rPr>
            </w:pPr>
          </w:p>
        </w:tc>
        <w:tc>
          <w:tcPr>
            <w:tcW w:w="1917" w:type="dxa"/>
            <w:tcBorders>
              <w:top w:val="single" w:color="auto" w:sz="4" w:space="0"/>
              <w:left w:val="single" w:color="auto" w:sz="4" w:space="0"/>
              <w:bottom w:val="single" w:color="auto" w:sz="4" w:space="0"/>
              <w:right w:val="single" w:color="auto" w:sz="4" w:space="0"/>
            </w:tcBorders>
          </w:tcPr>
          <w:p w14:paraId="32B41EB3">
            <w:pPr>
              <w:snapToGrid w:val="0"/>
              <w:spacing w:line="360" w:lineRule="auto"/>
              <w:jc w:val="center"/>
              <w:rPr>
                <w:rFonts w:ascii="宋体" w:hAnsi="宋体" w:cs="宋体"/>
                <w:color w:val="auto"/>
                <w:sz w:val="24"/>
              </w:rPr>
            </w:pPr>
          </w:p>
        </w:tc>
        <w:tc>
          <w:tcPr>
            <w:tcW w:w="2132" w:type="dxa"/>
            <w:tcBorders>
              <w:top w:val="single" w:color="auto" w:sz="4" w:space="0"/>
              <w:left w:val="single" w:color="auto" w:sz="4" w:space="0"/>
              <w:bottom w:val="single" w:color="auto" w:sz="4" w:space="0"/>
              <w:right w:val="single" w:color="auto" w:sz="4" w:space="0"/>
            </w:tcBorders>
          </w:tcPr>
          <w:p w14:paraId="7B25BE37">
            <w:pPr>
              <w:snapToGrid w:val="0"/>
              <w:spacing w:line="360" w:lineRule="auto"/>
              <w:jc w:val="center"/>
              <w:rPr>
                <w:rFonts w:ascii="宋体" w:hAnsi="宋体" w:cs="宋体"/>
                <w:color w:val="auto"/>
                <w:sz w:val="24"/>
              </w:rPr>
            </w:pPr>
          </w:p>
        </w:tc>
        <w:tc>
          <w:tcPr>
            <w:tcW w:w="1696" w:type="dxa"/>
            <w:tcBorders>
              <w:top w:val="single" w:color="auto" w:sz="4" w:space="0"/>
              <w:left w:val="single" w:color="auto" w:sz="4" w:space="0"/>
              <w:bottom w:val="single" w:color="auto" w:sz="4" w:space="0"/>
              <w:right w:val="single" w:color="auto" w:sz="4" w:space="0"/>
            </w:tcBorders>
          </w:tcPr>
          <w:p w14:paraId="1EB1AEAE">
            <w:pPr>
              <w:snapToGrid w:val="0"/>
              <w:spacing w:line="360" w:lineRule="auto"/>
              <w:jc w:val="center"/>
              <w:rPr>
                <w:rFonts w:ascii="宋体" w:hAnsi="宋体" w:cs="宋体"/>
                <w:color w:val="auto"/>
                <w:sz w:val="24"/>
              </w:rPr>
            </w:pPr>
          </w:p>
        </w:tc>
        <w:tc>
          <w:tcPr>
            <w:tcW w:w="1566" w:type="dxa"/>
            <w:tcBorders>
              <w:top w:val="single" w:color="auto" w:sz="4" w:space="0"/>
              <w:left w:val="single" w:color="auto" w:sz="4" w:space="0"/>
              <w:bottom w:val="single" w:color="auto" w:sz="4" w:space="0"/>
              <w:right w:val="single" w:color="auto" w:sz="4" w:space="0"/>
            </w:tcBorders>
          </w:tcPr>
          <w:p w14:paraId="03F3EC4C">
            <w:pPr>
              <w:snapToGrid w:val="0"/>
              <w:spacing w:line="360" w:lineRule="auto"/>
              <w:jc w:val="center"/>
              <w:rPr>
                <w:rFonts w:ascii="宋体" w:hAnsi="宋体" w:cs="宋体"/>
                <w:color w:val="auto"/>
                <w:sz w:val="24"/>
              </w:rPr>
            </w:pPr>
          </w:p>
        </w:tc>
      </w:tr>
      <w:tr w14:paraId="7D26E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6AA22946">
            <w:pPr>
              <w:snapToGrid w:val="0"/>
              <w:spacing w:line="360" w:lineRule="auto"/>
              <w:jc w:val="center"/>
              <w:rPr>
                <w:rFonts w:ascii="宋体" w:hAnsi="宋体" w:cs="宋体"/>
                <w:color w:val="auto"/>
                <w:sz w:val="24"/>
              </w:rPr>
            </w:pPr>
          </w:p>
        </w:tc>
        <w:tc>
          <w:tcPr>
            <w:tcW w:w="1917" w:type="dxa"/>
            <w:tcBorders>
              <w:top w:val="single" w:color="auto" w:sz="4" w:space="0"/>
              <w:left w:val="single" w:color="auto" w:sz="4" w:space="0"/>
              <w:bottom w:val="single" w:color="auto" w:sz="4" w:space="0"/>
              <w:right w:val="single" w:color="auto" w:sz="4" w:space="0"/>
            </w:tcBorders>
          </w:tcPr>
          <w:p w14:paraId="2351B84D">
            <w:pPr>
              <w:snapToGrid w:val="0"/>
              <w:spacing w:line="360" w:lineRule="auto"/>
              <w:jc w:val="center"/>
              <w:rPr>
                <w:rFonts w:ascii="宋体" w:hAnsi="宋体" w:cs="宋体"/>
                <w:color w:val="auto"/>
                <w:sz w:val="24"/>
              </w:rPr>
            </w:pPr>
          </w:p>
        </w:tc>
        <w:tc>
          <w:tcPr>
            <w:tcW w:w="2132" w:type="dxa"/>
            <w:tcBorders>
              <w:top w:val="single" w:color="auto" w:sz="4" w:space="0"/>
              <w:left w:val="single" w:color="auto" w:sz="4" w:space="0"/>
              <w:bottom w:val="single" w:color="auto" w:sz="4" w:space="0"/>
              <w:right w:val="single" w:color="auto" w:sz="4" w:space="0"/>
            </w:tcBorders>
          </w:tcPr>
          <w:p w14:paraId="73E49D91">
            <w:pPr>
              <w:snapToGrid w:val="0"/>
              <w:spacing w:line="360" w:lineRule="auto"/>
              <w:jc w:val="center"/>
              <w:rPr>
                <w:rFonts w:ascii="宋体" w:hAnsi="宋体" w:cs="宋体"/>
                <w:color w:val="auto"/>
                <w:sz w:val="24"/>
              </w:rPr>
            </w:pPr>
          </w:p>
        </w:tc>
        <w:tc>
          <w:tcPr>
            <w:tcW w:w="1696" w:type="dxa"/>
            <w:tcBorders>
              <w:top w:val="single" w:color="auto" w:sz="4" w:space="0"/>
              <w:left w:val="single" w:color="auto" w:sz="4" w:space="0"/>
              <w:bottom w:val="single" w:color="auto" w:sz="4" w:space="0"/>
              <w:right w:val="single" w:color="auto" w:sz="4" w:space="0"/>
            </w:tcBorders>
          </w:tcPr>
          <w:p w14:paraId="209A08ED">
            <w:pPr>
              <w:snapToGrid w:val="0"/>
              <w:spacing w:line="360" w:lineRule="auto"/>
              <w:jc w:val="center"/>
              <w:rPr>
                <w:rFonts w:ascii="宋体" w:hAnsi="宋体" w:cs="宋体"/>
                <w:color w:val="auto"/>
                <w:sz w:val="24"/>
              </w:rPr>
            </w:pPr>
          </w:p>
        </w:tc>
        <w:tc>
          <w:tcPr>
            <w:tcW w:w="1566" w:type="dxa"/>
            <w:tcBorders>
              <w:top w:val="single" w:color="auto" w:sz="4" w:space="0"/>
              <w:left w:val="single" w:color="auto" w:sz="4" w:space="0"/>
              <w:bottom w:val="single" w:color="auto" w:sz="4" w:space="0"/>
              <w:right w:val="single" w:color="auto" w:sz="4" w:space="0"/>
            </w:tcBorders>
          </w:tcPr>
          <w:p w14:paraId="1FFD8692">
            <w:pPr>
              <w:snapToGrid w:val="0"/>
              <w:spacing w:line="360" w:lineRule="auto"/>
              <w:jc w:val="center"/>
              <w:rPr>
                <w:rFonts w:ascii="宋体" w:hAnsi="宋体" w:cs="宋体"/>
                <w:color w:val="auto"/>
                <w:sz w:val="24"/>
              </w:rPr>
            </w:pPr>
          </w:p>
        </w:tc>
      </w:tr>
      <w:tr w14:paraId="3DA87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626A78A4">
            <w:pPr>
              <w:snapToGrid w:val="0"/>
              <w:spacing w:line="360" w:lineRule="auto"/>
              <w:jc w:val="center"/>
              <w:rPr>
                <w:rFonts w:ascii="宋体" w:hAnsi="宋体" w:cs="宋体"/>
                <w:color w:val="auto"/>
                <w:sz w:val="24"/>
              </w:rPr>
            </w:pPr>
          </w:p>
        </w:tc>
        <w:tc>
          <w:tcPr>
            <w:tcW w:w="1917" w:type="dxa"/>
            <w:tcBorders>
              <w:top w:val="single" w:color="auto" w:sz="4" w:space="0"/>
              <w:left w:val="single" w:color="auto" w:sz="4" w:space="0"/>
              <w:bottom w:val="single" w:color="auto" w:sz="4" w:space="0"/>
              <w:right w:val="single" w:color="auto" w:sz="4" w:space="0"/>
            </w:tcBorders>
          </w:tcPr>
          <w:p w14:paraId="02BD08CD">
            <w:pPr>
              <w:snapToGrid w:val="0"/>
              <w:spacing w:line="360" w:lineRule="auto"/>
              <w:jc w:val="center"/>
              <w:rPr>
                <w:rFonts w:ascii="宋体" w:hAnsi="宋体" w:cs="宋体"/>
                <w:color w:val="auto"/>
                <w:sz w:val="24"/>
              </w:rPr>
            </w:pPr>
          </w:p>
        </w:tc>
        <w:tc>
          <w:tcPr>
            <w:tcW w:w="2132" w:type="dxa"/>
            <w:tcBorders>
              <w:top w:val="single" w:color="auto" w:sz="4" w:space="0"/>
              <w:left w:val="single" w:color="auto" w:sz="4" w:space="0"/>
              <w:bottom w:val="single" w:color="auto" w:sz="4" w:space="0"/>
              <w:right w:val="single" w:color="auto" w:sz="4" w:space="0"/>
            </w:tcBorders>
          </w:tcPr>
          <w:p w14:paraId="0CDABBAB">
            <w:pPr>
              <w:snapToGrid w:val="0"/>
              <w:spacing w:line="360" w:lineRule="auto"/>
              <w:jc w:val="center"/>
              <w:rPr>
                <w:rFonts w:ascii="宋体" w:hAnsi="宋体" w:cs="宋体"/>
                <w:color w:val="auto"/>
                <w:sz w:val="24"/>
              </w:rPr>
            </w:pPr>
          </w:p>
        </w:tc>
        <w:tc>
          <w:tcPr>
            <w:tcW w:w="1696" w:type="dxa"/>
            <w:tcBorders>
              <w:top w:val="single" w:color="auto" w:sz="4" w:space="0"/>
              <w:left w:val="single" w:color="auto" w:sz="4" w:space="0"/>
              <w:bottom w:val="single" w:color="auto" w:sz="4" w:space="0"/>
              <w:right w:val="single" w:color="auto" w:sz="4" w:space="0"/>
            </w:tcBorders>
          </w:tcPr>
          <w:p w14:paraId="193AA3B4">
            <w:pPr>
              <w:snapToGrid w:val="0"/>
              <w:spacing w:line="360" w:lineRule="auto"/>
              <w:jc w:val="center"/>
              <w:rPr>
                <w:rFonts w:ascii="宋体" w:hAnsi="宋体" w:cs="宋体"/>
                <w:color w:val="auto"/>
                <w:sz w:val="24"/>
              </w:rPr>
            </w:pPr>
          </w:p>
        </w:tc>
        <w:tc>
          <w:tcPr>
            <w:tcW w:w="1566" w:type="dxa"/>
            <w:tcBorders>
              <w:top w:val="single" w:color="auto" w:sz="4" w:space="0"/>
              <w:left w:val="single" w:color="auto" w:sz="4" w:space="0"/>
              <w:bottom w:val="single" w:color="auto" w:sz="4" w:space="0"/>
              <w:right w:val="single" w:color="auto" w:sz="4" w:space="0"/>
            </w:tcBorders>
          </w:tcPr>
          <w:p w14:paraId="175430CC">
            <w:pPr>
              <w:snapToGrid w:val="0"/>
              <w:spacing w:line="360" w:lineRule="auto"/>
              <w:jc w:val="center"/>
              <w:rPr>
                <w:rFonts w:ascii="宋体" w:hAnsi="宋体" w:cs="宋体"/>
                <w:color w:val="auto"/>
                <w:sz w:val="24"/>
              </w:rPr>
            </w:pPr>
          </w:p>
        </w:tc>
      </w:tr>
      <w:tr w14:paraId="71E97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512CFAF7">
            <w:pPr>
              <w:snapToGrid w:val="0"/>
              <w:spacing w:line="360" w:lineRule="auto"/>
              <w:jc w:val="center"/>
              <w:rPr>
                <w:rFonts w:ascii="宋体" w:hAnsi="宋体" w:cs="宋体"/>
                <w:color w:val="auto"/>
                <w:sz w:val="24"/>
              </w:rPr>
            </w:pPr>
          </w:p>
        </w:tc>
        <w:tc>
          <w:tcPr>
            <w:tcW w:w="1917" w:type="dxa"/>
            <w:tcBorders>
              <w:top w:val="single" w:color="auto" w:sz="4" w:space="0"/>
              <w:left w:val="single" w:color="auto" w:sz="4" w:space="0"/>
              <w:bottom w:val="single" w:color="auto" w:sz="4" w:space="0"/>
              <w:right w:val="single" w:color="auto" w:sz="4" w:space="0"/>
            </w:tcBorders>
          </w:tcPr>
          <w:p w14:paraId="0A8F174E">
            <w:pPr>
              <w:snapToGrid w:val="0"/>
              <w:spacing w:line="360" w:lineRule="auto"/>
              <w:jc w:val="center"/>
              <w:rPr>
                <w:rFonts w:ascii="宋体" w:hAnsi="宋体" w:cs="宋体"/>
                <w:color w:val="auto"/>
                <w:sz w:val="24"/>
              </w:rPr>
            </w:pPr>
          </w:p>
        </w:tc>
        <w:tc>
          <w:tcPr>
            <w:tcW w:w="2132" w:type="dxa"/>
            <w:tcBorders>
              <w:top w:val="single" w:color="auto" w:sz="4" w:space="0"/>
              <w:left w:val="single" w:color="auto" w:sz="4" w:space="0"/>
              <w:bottom w:val="single" w:color="auto" w:sz="4" w:space="0"/>
              <w:right w:val="single" w:color="auto" w:sz="4" w:space="0"/>
            </w:tcBorders>
          </w:tcPr>
          <w:p w14:paraId="2D065828">
            <w:pPr>
              <w:snapToGrid w:val="0"/>
              <w:spacing w:line="360" w:lineRule="auto"/>
              <w:jc w:val="center"/>
              <w:rPr>
                <w:rFonts w:ascii="宋体" w:hAnsi="宋体" w:cs="宋体"/>
                <w:color w:val="auto"/>
                <w:sz w:val="24"/>
              </w:rPr>
            </w:pPr>
          </w:p>
        </w:tc>
        <w:tc>
          <w:tcPr>
            <w:tcW w:w="1696" w:type="dxa"/>
            <w:tcBorders>
              <w:top w:val="single" w:color="auto" w:sz="4" w:space="0"/>
              <w:left w:val="single" w:color="auto" w:sz="4" w:space="0"/>
              <w:bottom w:val="single" w:color="auto" w:sz="4" w:space="0"/>
              <w:right w:val="single" w:color="auto" w:sz="4" w:space="0"/>
            </w:tcBorders>
          </w:tcPr>
          <w:p w14:paraId="340F22CC">
            <w:pPr>
              <w:snapToGrid w:val="0"/>
              <w:spacing w:line="360" w:lineRule="auto"/>
              <w:jc w:val="center"/>
              <w:rPr>
                <w:rFonts w:ascii="宋体" w:hAnsi="宋体" w:cs="宋体"/>
                <w:color w:val="auto"/>
                <w:sz w:val="24"/>
              </w:rPr>
            </w:pPr>
          </w:p>
        </w:tc>
        <w:tc>
          <w:tcPr>
            <w:tcW w:w="1566" w:type="dxa"/>
            <w:tcBorders>
              <w:top w:val="single" w:color="auto" w:sz="4" w:space="0"/>
              <w:left w:val="single" w:color="auto" w:sz="4" w:space="0"/>
              <w:bottom w:val="single" w:color="auto" w:sz="4" w:space="0"/>
              <w:right w:val="single" w:color="auto" w:sz="4" w:space="0"/>
            </w:tcBorders>
          </w:tcPr>
          <w:p w14:paraId="02D575D1">
            <w:pPr>
              <w:snapToGrid w:val="0"/>
              <w:spacing w:line="360" w:lineRule="auto"/>
              <w:jc w:val="center"/>
              <w:rPr>
                <w:rFonts w:ascii="宋体" w:hAnsi="宋体" w:cs="宋体"/>
                <w:color w:val="auto"/>
                <w:sz w:val="24"/>
              </w:rPr>
            </w:pPr>
          </w:p>
        </w:tc>
      </w:tr>
      <w:tr w14:paraId="3D0AE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6FF37613">
            <w:pPr>
              <w:snapToGrid w:val="0"/>
              <w:spacing w:line="360" w:lineRule="auto"/>
              <w:jc w:val="center"/>
              <w:rPr>
                <w:rFonts w:ascii="宋体" w:hAnsi="宋体" w:cs="宋体"/>
                <w:color w:val="auto"/>
                <w:sz w:val="24"/>
              </w:rPr>
            </w:pPr>
          </w:p>
        </w:tc>
        <w:tc>
          <w:tcPr>
            <w:tcW w:w="1917" w:type="dxa"/>
            <w:tcBorders>
              <w:top w:val="single" w:color="auto" w:sz="4" w:space="0"/>
              <w:left w:val="single" w:color="auto" w:sz="4" w:space="0"/>
              <w:bottom w:val="single" w:color="auto" w:sz="4" w:space="0"/>
              <w:right w:val="single" w:color="auto" w:sz="4" w:space="0"/>
            </w:tcBorders>
          </w:tcPr>
          <w:p w14:paraId="6AAAFF23">
            <w:pPr>
              <w:snapToGrid w:val="0"/>
              <w:spacing w:line="360" w:lineRule="auto"/>
              <w:jc w:val="center"/>
              <w:rPr>
                <w:rFonts w:ascii="宋体" w:hAnsi="宋体" w:cs="宋体"/>
                <w:color w:val="auto"/>
                <w:sz w:val="24"/>
              </w:rPr>
            </w:pPr>
          </w:p>
        </w:tc>
        <w:tc>
          <w:tcPr>
            <w:tcW w:w="2132" w:type="dxa"/>
            <w:tcBorders>
              <w:top w:val="single" w:color="auto" w:sz="4" w:space="0"/>
              <w:left w:val="single" w:color="auto" w:sz="4" w:space="0"/>
              <w:bottom w:val="single" w:color="auto" w:sz="4" w:space="0"/>
              <w:right w:val="single" w:color="auto" w:sz="4" w:space="0"/>
            </w:tcBorders>
          </w:tcPr>
          <w:p w14:paraId="3A3F7EB7">
            <w:pPr>
              <w:snapToGrid w:val="0"/>
              <w:spacing w:line="360" w:lineRule="auto"/>
              <w:jc w:val="center"/>
              <w:rPr>
                <w:rFonts w:ascii="宋体" w:hAnsi="宋体" w:cs="宋体"/>
                <w:color w:val="auto"/>
                <w:sz w:val="24"/>
              </w:rPr>
            </w:pPr>
          </w:p>
        </w:tc>
        <w:tc>
          <w:tcPr>
            <w:tcW w:w="1696" w:type="dxa"/>
            <w:tcBorders>
              <w:top w:val="single" w:color="auto" w:sz="4" w:space="0"/>
              <w:left w:val="single" w:color="auto" w:sz="4" w:space="0"/>
              <w:bottom w:val="single" w:color="auto" w:sz="4" w:space="0"/>
              <w:right w:val="single" w:color="auto" w:sz="4" w:space="0"/>
            </w:tcBorders>
          </w:tcPr>
          <w:p w14:paraId="2D03D8E4">
            <w:pPr>
              <w:snapToGrid w:val="0"/>
              <w:spacing w:line="360" w:lineRule="auto"/>
              <w:jc w:val="center"/>
              <w:rPr>
                <w:rFonts w:ascii="宋体" w:hAnsi="宋体" w:cs="宋体"/>
                <w:color w:val="auto"/>
                <w:sz w:val="24"/>
              </w:rPr>
            </w:pPr>
          </w:p>
        </w:tc>
        <w:tc>
          <w:tcPr>
            <w:tcW w:w="1566" w:type="dxa"/>
            <w:tcBorders>
              <w:top w:val="single" w:color="auto" w:sz="4" w:space="0"/>
              <w:left w:val="single" w:color="auto" w:sz="4" w:space="0"/>
              <w:bottom w:val="single" w:color="auto" w:sz="4" w:space="0"/>
              <w:right w:val="single" w:color="auto" w:sz="4" w:space="0"/>
            </w:tcBorders>
          </w:tcPr>
          <w:p w14:paraId="43790E85">
            <w:pPr>
              <w:snapToGrid w:val="0"/>
              <w:spacing w:line="360" w:lineRule="auto"/>
              <w:jc w:val="center"/>
              <w:rPr>
                <w:rFonts w:ascii="宋体" w:hAnsi="宋体" w:cs="宋体"/>
                <w:color w:val="auto"/>
                <w:sz w:val="24"/>
              </w:rPr>
            </w:pPr>
          </w:p>
        </w:tc>
      </w:tr>
    </w:tbl>
    <w:p w14:paraId="44CB65E1">
      <w:pPr>
        <w:snapToGrid w:val="0"/>
        <w:spacing w:after="120" w:line="360" w:lineRule="auto"/>
        <w:rPr>
          <w:rFonts w:ascii="宋体" w:hAnsi="宋体" w:cs="宋体"/>
          <w:color w:val="auto"/>
          <w:spacing w:val="20"/>
          <w:sz w:val="24"/>
        </w:rPr>
      </w:pPr>
      <w:r>
        <w:rPr>
          <w:rFonts w:hint="eastAsia" w:ascii="宋体" w:hAnsi="宋体" w:cs="宋体"/>
          <w:color w:val="auto"/>
          <w:sz w:val="24"/>
        </w:rPr>
        <w:t>注：供应商应根据投标设备的性能指标、对照招标文件要求在“偏离情况”栏注明“正偏离”、“负偏离”或“无偏离”。</w:t>
      </w:r>
    </w:p>
    <w:p w14:paraId="4F82CABF">
      <w:pPr>
        <w:snapToGrid w:val="0"/>
        <w:spacing w:line="360" w:lineRule="auto"/>
        <w:jc w:val="left"/>
        <w:rPr>
          <w:rFonts w:ascii="宋体" w:hAnsi="宋体" w:cs="宋体"/>
          <w:color w:val="auto"/>
          <w:sz w:val="24"/>
        </w:rPr>
      </w:pPr>
    </w:p>
    <w:p w14:paraId="038279DA">
      <w:pPr>
        <w:snapToGrid w:val="0"/>
        <w:spacing w:line="360" w:lineRule="auto"/>
        <w:jc w:val="left"/>
        <w:rPr>
          <w:rFonts w:ascii="宋体" w:hAnsi="宋体" w:cs="宋体"/>
          <w:color w:val="auto"/>
          <w:sz w:val="24"/>
        </w:rPr>
      </w:pPr>
      <w:r>
        <w:rPr>
          <w:rFonts w:hint="eastAsia" w:ascii="宋体" w:hAnsi="宋体" w:cs="宋体"/>
          <w:color w:val="auto"/>
          <w:sz w:val="24"/>
        </w:rPr>
        <w:t xml:space="preserve">供应商全称（公章）： </w:t>
      </w:r>
    </w:p>
    <w:p w14:paraId="65E3A37D">
      <w:pPr>
        <w:snapToGrid w:val="0"/>
        <w:spacing w:before="152" w:after="160" w:line="360" w:lineRule="auto"/>
        <w:rPr>
          <w:rFonts w:ascii="宋体" w:hAnsi="宋体" w:cs="宋体"/>
          <w:color w:val="auto"/>
          <w:sz w:val="24"/>
          <w:u w:val="single"/>
        </w:rPr>
      </w:pPr>
      <w:r>
        <w:rPr>
          <w:rFonts w:hint="eastAsia" w:ascii="宋体" w:hAnsi="宋体" w:cs="宋体"/>
          <w:color w:val="auto"/>
          <w:sz w:val="24"/>
        </w:rPr>
        <w:t>法定代表人或授权代表（签字）：</w:t>
      </w:r>
    </w:p>
    <w:p w14:paraId="6294A0E0">
      <w:pPr>
        <w:snapToGrid w:val="0"/>
        <w:spacing w:before="156" w:beforeLines="50" w:after="156" w:afterLines="50" w:line="360" w:lineRule="auto"/>
        <w:rPr>
          <w:rFonts w:ascii="宋体" w:hAnsi="宋体" w:cs="宋体"/>
          <w:b/>
          <w:bCs/>
          <w:color w:val="auto"/>
          <w:sz w:val="24"/>
          <w:lang w:val="zh-CN"/>
        </w:rPr>
      </w:pPr>
      <w:r>
        <w:rPr>
          <w:rFonts w:hint="eastAsia" w:ascii="宋体" w:hAnsi="宋体" w:cs="宋体"/>
          <w:color w:val="auto"/>
          <w:sz w:val="24"/>
        </w:rPr>
        <w:t>日期：     年    月    日</w:t>
      </w:r>
    </w:p>
    <w:p w14:paraId="390E1A4E">
      <w:pPr>
        <w:snapToGrid w:val="0"/>
        <w:spacing w:line="360" w:lineRule="auto"/>
        <w:jc w:val="left"/>
        <w:rPr>
          <w:rFonts w:ascii="宋体" w:hAnsi="宋体" w:cs="宋体"/>
          <w:b/>
          <w:bCs/>
          <w:color w:val="auto"/>
          <w:sz w:val="24"/>
        </w:rPr>
      </w:pPr>
    </w:p>
    <w:p w14:paraId="18C262E7">
      <w:pPr>
        <w:snapToGrid w:val="0"/>
        <w:spacing w:line="360" w:lineRule="auto"/>
        <w:jc w:val="left"/>
        <w:rPr>
          <w:rFonts w:ascii="宋体" w:hAnsi="宋体" w:cs="宋体"/>
          <w:color w:val="auto"/>
          <w:kern w:val="0"/>
          <w:sz w:val="24"/>
          <w:lang w:val="zh-CN"/>
        </w:rPr>
      </w:pPr>
    </w:p>
    <w:p w14:paraId="09E7004F">
      <w:pPr>
        <w:snapToGrid w:val="0"/>
        <w:spacing w:before="156" w:beforeLines="50" w:after="156" w:afterLines="50" w:line="360" w:lineRule="auto"/>
        <w:rPr>
          <w:rFonts w:ascii="宋体" w:hAnsi="宋体" w:cs="宋体"/>
          <w:b/>
          <w:bCs/>
          <w:color w:val="auto"/>
          <w:kern w:val="0"/>
          <w:sz w:val="24"/>
        </w:rPr>
      </w:pPr>
    </w:p>
    <w:p w14:paraId="31BC9CED">
      <w:pPr>
        <w:snapToGrid w:val="0"/>
        <w:spacing w:before="156" w:beforeLines="50" w:after="156" w:afterLines="50" w:line="360" w:lineRule="auto"/>
        <w:rPr>
          <w:rFonts w:ascii="宋体" w:hAnsi="宋体" w:cs="宋体"/>
          <w:b/>
          <w:bCs/>
          <w:color w:val="auto"/>
          <w:kern w:val="0"/>
          <w:sz w:val="24"/>
          <w:lang w:val="zh-CN"/>
        </w:rPr>
        <w:sectPr>
          <w:pgSz w:w="11906" w:h="16838"/>
          <w:pgMar w:top="1440" w:right="1800" w:bottom="1440" w:left="1800" w:header="851" w:footer="992" w:gutter="0"/>
          <w:cols w:space="720" w:num="1"/>
          <w:titlePg/>
          <w:docGrid w:type="lines" w:linePitch="312" w:charSpace="0"/>
        </w:sectPr>
      </w:pPr>
    </w:p>
    <w:p w14:paraId="03D5C764">
      <w:pPr>
        <w:snapToGrid w:val="0"/>
        <w:spacing w:before="156" w:beforeLines="50" w:after="156" w:afterLines="50" w:line="360" w:lineRule="auto"/>
        <w:jc w:val="center"/>
        <w:rPr>
          <w:rFonts w:ascii="宋体" w:hAnsi="宋体" w:cs="宋体"/>
          <w:color w:val="auto"/>
          <w:sz w:val="24"/>
        </w:rPr>
      </w:pPr>
      <w:r>
        <w:rPr>
          <w:rFonts w:hint="eastAsia" w:ascii="宋体" w:hAnsi="宋体" w:cs="宋体"/>
          <w:b/>
          <w:bCs/>
          <w:color w:val="auto"/>
          <w:kern w:val="0"/>
          <w:sz w:val="28"/>
          <w:szCs w:val="28"/>
          <w:lang w:val="zh-CN"/>
        </w:rPr>
        <w:t>项目实施方案和人力资源安排，以及本项目实施人员一览</w:t>
      </w:r>
    </w:p>
    <w:p w14:paraId="76BCB609">
      <w:pPr>
        <w:snapToGrid w:val="0"/>
        <w:spacing w:line="360" w:lineRule="auto"/>
        <w:rPr>
          <w:rFonts w:ascii="宋体" w:hAnsi="宋体" w:cs="宋体"/>
          <w:color w:val="auto"/>
          <w:sz w:val="24"/>
        </w:rPr>
      </w:pPr>
      <w:r>
        <w:rPr>
          <w:rFonts w:hint="eastAsia" w:ascii="宋体" w:hAnsi="宋体" w:cs="宋体"/>
          <w:color w:val="auto"/>
          <w:sz w:val="24"/>
        </w:rPr>
        <w:t xml:space="preserve">项目名称： </w:t>
      </w:r>
    </w:p>
    <w:p w14:paraId="432419B1">
      <w:pPr>
        <w:snapToGrid w:val="0"/>
        <w:spacing w:line="360" w:lineRule="auto"/>
        <w:rPr>
          <w:rFonts w:ascii="宋体" w:hAnsi="宋体" w:cs="宋体"/>
          <w:color w:val="auto"/>
          <w:sz w:val="24"/>
        </w:rPr>
      </w:pPr>
      <w:r>
        <w:rPr>
          <w:rFonts w:hint="eastAsia" w:ascii="宋体" w:hAnsi="宋体" w:cs="宋体"/>
          <w:color w:val="auto"/>
          <w:sz w:val="24"/>
        </w:rPr>
        <w:t>项目编号：</w:t>
      </w:r>
    </w:p>
    <w:p w14:paraId="566160FB">
      <w:pPr>
        <w:snapToGrid w:val="0"/>
        <w:spacing w:line="360" w:lineRule="auto"/>
        <w:rPr>
          <w:rFonts w:ascii="宋体" w:hAnsi="宋体" w:cs="宋体"/>
          <w:color w:val="auto"/>
          <w:sz w:val="24"/>
        </w:rPr>
      </w:pPr>
      <w:r>
        <w:rPr>
          <w:rFonts w:hint="eastAsia" w:ascii="宋体" w:hAnsi="宋体" w:cs="宋体"/>
          <w:color w:val="auto"/>
          <w:sz w:val="24"/>
        </w:rPr>
        <w:t>标项：</w:t>
      </w:r>
    </w:p>
    <w:tbl>
      <w:tblPr>
        <w:tblStyle w:val="34"/>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960"/>
        <w:gridCol w:w="1830"/>
        <w:gridCol w:w="1200"/>
        <w:gridCol w:w="1854"/>
        <w:gridCol w:w="1657"/>
      </w:tblGrid>
      <w:tr w14:paraId="02B8D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3B076E2B">
            <w:pPr>
              <w:snapToGrid w:val="0"/>
              <w:spacing w:line="360" w:lineRule="auto"/>
              <w:jc w:val="center"/>
              <w:rPr>
                <w:rFonts w:ascii="宋体" w:hAnsi="宋体" w:cs="宋体"/>
                <w:color w:val="auto"/>
                <w:sz w:val="24"/>
              </w:rPr>
            </w:pPr>
            <w:r>
              <w:rPr>
                <w:rFonts w:hint="eastAsia" w:ascii="宋体" w:hAnsi="宋体" w:cs="宋体"/>
                <w:color w:val="auto"/>
                <w:sz w:val="24"/>
              </w:rPr>
              <w:t>姓名</w:t>
            </w:r>
          </w:p>
        </w:tc>
        <w:tc>
          <w:tcPr>
            <w:tcW w:w="960" w:type="dxa"/>
            <w:tcBorders>
              <w:top w:val="single" w:color="auto" w:sz="4" w:space="0"/>
              <w:left w:val="single" w:color="auto" w:sz="4" w:space="0"/>
              <w:bottom w:val="single" w:color="auto" w:sz="4" w:space="0"/>
              <w:right w:val="single" w:color="auto" w:sz="4" w:space="0"/>
            </w:tcBorders>
            <w:vAlign w:val="center"/>
          </w:tcPr>
          <w:p w14:paraId="4E2E64BD">
            <w:pPr>
              <w:snapToGrid w:val="0"/>
              <w:spacing w:line="360" w:lineRule="auto"/>
              <w:jc w:val="center"/>
              <w:rPr>
                <w:rFonts w:ascii="宋体" w:hAnsi="宋体" w:cs="宋体"/>
                <w:color w:val="auto"/>
                <w:sz w:val="24"/>
              </w:rPr>
            </w:pPr>
            <w:r>
              <w:rPr>
                <w:rFonts w:hint="eastAsia" w:ascii="宋体" w:hAnsi="宋体" w:cs="宋体"/>
                <w:color w:val="auto"/>
                <w:sz w:val="24"/>
              </w:rPr>
              <w:t>职务</w:t>
            </w:r>
          </w:p>
        </w:tc>
        <w:tc>
          <w:tcPr>
            <w:tcW w:w="1830" w:type="dxa"/>
            <w:tcBorders>
              <w:top w:val="single" w:color="auto" w:sz="4" w:space="0"/>
              <w:left w:val="single" w:color="auto" w:sz="4" w:space="0"/>
              <w:bottom w:val="single" w:color="auto" w:sz="4" w:space="0"/>
              <w:right w:val="single" w:color="auto" w:sz="4" w:space="0"/>
            </w:tcBorders>
            <w:vAlign w:val="center"/>
          </w:tcPr>
          <w:p w14:paraId="7224230A">
            <w:pPr>
              <w:snapToGrid w:val="0"/>
              <w:spacing w:line="360" w:lineRule="auto"/>
              <w:jc w:val="center"/>
              <w:rPr>
                <w:rFonts w:ascii="宋体" w:hAnsi="宋体" w:cs="宋体"/>
                <w:color w:val="auto"/>
                <w:sz w:val="24"/>
              </w:rPr>
            </w:pPr>
            <w:r>
              <w:rPr>
                <w:rFonts w:hint="eastAsia" w:ascii="宋体" w:hAnsi="宋体" w:cs="宋体"/>
                <w:color w:val="auto"/>
                <w:sz w:val="24"/>
              </w:rPr>
              <w:t>专业技术资格</w:t>
            </w:r>
          </w:p>
        </w:tc>
        <w:tc>
          <w:tcPr>
            <w:tcW w:w="1200" w:type="dxa"/>
            <w:tcBorders>
              <w:top w:val="single" w:color="auto" w:sz="4" w:space="0"/>
              <w:left w:val="single" w:color="auto" w:sz="4" w:space="0"/>
              <w:bottom w:val="single" w:color="auto" w:sz="4" w:space="0"/>
              <w:right w:val="single" w:color="auto" w:sz="4" w:space="0"/>
            </w:tcBorders>
            <w:vAlign w:val="center"/>
          </w:tcPr>
          <w:p w14:paraId="47EFECB1">
            <w:pPr>
              <w:snapToGrid w:val="0"/>
              <w:spacing w:line="360" w:lineRule="auto"/>
              <w:jc w:val="center"/>
              <w:rPr>
                <w:rFonts w:ascii="宋体" w:hAnsi="宋体" w:cs="宋体"/>
                <w:color w:val="auto"/>
                <w:sz w:val="24"/>
              </w:rPr>
            </w:pPr>
            <w:r>
              <w:rPr>
                <w:rFonts w:hint="eastAsia" w:ascii="宋体" w:hAnsi="宋体" w:cs="宋体"/>
                <w:color w:val="auto"/>
                <w:sz w:val="24"/>
              </w:rPr>
              <w:t>证书编号</w:t>
            </w:r>
          </w:p>
        </w:tc>
        <w:tc>
          <w:tcPr>
            <w:tcW w:w="1854" w:type="dxa"/>
            <w:tcBorders>
              <w:top w:val="single" w:color="auto" w:sz="4" w:space="0"/>
              <w:left w:val="single" w:color="auto" w:sz="4" w:space="0"/>
              <w:bottom w:val="single" w:color="auto" w:sz="4" w:space="0"/>
              <w:right w:val="single" w:color="auto" w:sz="4" w:space="0"/>
            </w:tcBorders>
            <w:vAlign w:val="center"/>
          </w:tcPr>
          <w:p w14:paraId="5D8F7B80">
            <w:pPr>
              <w:snapToGrid w:val="0"/>
              <w:spacing w:line="360" w:lineRule="auto"/>
              <w:jc w:val="center"/>
              <w:rPr>
                <w:rFonts w:ascii="宋体" w:hAnsi="宋体" w:cs="宋体"/>
                <w:bCs/>
                <w:color w:val="auto"/>
                <w:sz w:val="24"/>
              </w:rPr>
            </w:pPr>
            <w:r>
              <w:rPr>
                <w:rFonts w:hint="eastAsia" w:ascii="宋体" w:hAnsi="宋体" w:cs="宋体"/>
                <w:bCs/>
                <w:color w:val="auto"/>
                <w:sz w:val="24"/>
              </w:rPr>
              <w:t>参加本单位工作时间</w:t>
            </w:r>
          </w:p>
        </w:tc>
        <w:tc>
          <w:tcPr>
            <w:tcW w:w="1657" w:type="dxa"/>
            <w:tcBorders>
              <w:top w:val="single" w:color="auto" w:sz="4" w:space="0"/>
              <w:left w:val="single" w:color="auto" w:sz="4" w:space="0"/>
              <w:bottom w:val="single" w:color="auto" w:sz="4" w:space="0"/>
              <w:right w:val="single" w:color="auto" w:sz="4" w:space="0"/>
            </w:tcBorders>
            <w:vAlign w:val="center"/>
          </w:tcPr>
          <w:p w14:paraId="68FC9C2C">
            <w:pPr>
              <w:snapToGrid w:val="0"/>
              <w:spacing w:line="360" w:lineRule="auto"/>
              <w:jc w:val="center"/>
              <w:rPr>
                <w:rFonts w:ascii="宋体" w:hAnsi="宋体" w:cs="宋体"/>
                <w:bCs/>
                <w:color w:val="auto"/>
                <w:sz w:val="24"/>
              </w:rPr>
            </w:pPr>
            <w:r>
              <w:rPr>
                <w:rFonts w:hint="eastAsia" w:ascii="宋体" w:hAnsi="宋体" w:cs="宋体"/>
                <w:bCs/>
                <w:color w:val="auto"/>
                <w:sz w:val="24"/>
              </w:rPr>
              <w:t>相关工作经验</w:t>
            </w:r>
          </w:p>
        </w:tc>
      </w:tr>
      <w:tr w14:paraId="47A84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22114F0C">
            <w:pPr>
              <w:snapToGrid w:val="0"/>
              <w:spacing w:line="360" w:lineRule="auto"/>
              <w:rPr>
                <w:rFonts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023617CA">
            <w:pPr>
              <w:snapToGrid w:val="0"/>
              <w:spacing w:line="360" w:lineRule="auto"/>
              <w:rPr>
                <w:rFonts w:ascii="宋体" w:hAnsi="宋体" w:cs="宋体"/>
                <w:color w:val="auto"/>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6235042C">
            <w:pPr>
              <w:snapToGrid w:val="0"/>
              <w:spacing w:line="360" w:lineRule="auto"/>
              <w:rPr>
                <w:rFonts w:ascii="宋体" w:hAnsi="宋体" w:cs="宋体"/>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1485FBDD">
            <w:pPr>
              <w:snapToGrid w:val="0"/>
              <w:spacing w:line="360" w:lineRule="auto"/>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0BEBE106">
            <w:pPr>
              <w:snapToGrid w:val="0"/>
              <w:spacing w:line="360" w:lineRule="auto"/>
              <w:rPr>
                <w:rFonts w:ascii="宋体" w:hAnsi="宋体" w:cs="宋体"/>
                <w:color w:val="auto"/>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1C699724">
            <w:pPr>
              <w:snapToGrid w:val="0"/>
              <w:spacing w:line="360" w:lineRule="auto"/>
              <w:rPr>
                <w:rFonts w:ascii="宋体" w:hAnsi="宋体" w:cs="宋体"/>
                <w:color w:val="auto"/>
                <w:sz w:val="24"/>
              </w:rPr>
            </w:pPr>
          </w:p>
        </w:tc>
      </w:tr>
      <w:tr w14:paraId="1909A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2F41E535">
            <w:pPr>
              <w:snapToGrid w:val="0"/>
              <w:spacing w:line="360" w:lineRule="auto"/>
              <w:rPr>
                <w:rFonts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36792415">
            <w:pPr>
              <w:snapToGrid w:val="0"/>
              <w:spacing w:line="360" w:lineRule="auto"/>
              <w:rPr>
                <w:rFonts w:ascii="宋体" w:hAnsi="宋体" w:cs="宋体"/>
                <w:color w:val="auto"/>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32A442E4">
            <w:pPr>
              <w:snapToGrid w:val="0"/>
              <w:spacing w:line="360" w:lineRule="auto"/>
              <w:rPr>
                <w:rFonts w:ascii="宋体" w:hAnsi="宋体" w:cs="宋体"/>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4C03C09">
            <w:pPr>
              <w:snapToGrid w:val="0"/>
              <w:spacing w:line="360" w:lineRule="auto"/>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54D8028C">
            <w:pPr>
              <w:snapToGrid w:val="0"/>
              <w:spacing w:line="360" w:lineRule="auto"/>
              <w:rPr>
                <w:rFonts w:ascii="宋体" w:hAnsi="宋体" w:cs="宋体"/>
                <w:color w:val="auto"/>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0793E984">
            <w:pPr>
              <w:snapToGrid w:val="0"/>
              <w:spacing w:line="360" w:lineRule="auto"/>
              <w:rPr>
                <w:rFonts w:ascii="宋体" w:hAnsi="宋体" w:cs="宋体"/>
                <w:color w:val="auto"/>
                <w:sz w:val="24"/>
              </w:rPr>
            </w:pPr>
          </w:p>
        </w:tc>
      </w:tr>
      <w:tr w14:paraId="3811A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2189F3F8">
            <w:pPr>
              <w:snapToGrid w:val="0"/>
              <w:spacing w:line="360" w:lineRule="auto"/>
              <w:rPr>
                <w:rFonts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21549BBB">
            <w:pPr>
              <w:snapToGrid w:val="0"/>
              <w:spacing w:line="360" w:lineRule="auto"/>
              <w:rPr>
                <w:rFonts w:ascii="宋体" w:hAnsi="宋体" w:cs="宋体"/>
                <w:color w:val="auto"/>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0DF2752B">
            <w:pPr>
              <w:snapToGrid w:val="0"/>
              <w:spacing w:line="360" w:lineRule="auto"/>
              <w:rPr>
                <w:rFonts w:ascii="宋体" w:hAnsi="宋体" w:cs="宋体"/>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6D392E0F">
            <w:pPr>
              <w:snapToGrid w:val="0"/>
              <w:spacing w:line="360" w:lineRule="auto"/>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4147ADA4">
            <w:pPr>
              <w:snapToGrid w:val="0"/>
              <w:spacing w:line="360" w:lineRule="auto"/>
              <w:rPr>
                <w:rFonts w:ascii="宋体" w:hAnsi="宋体" w:cs="宋体"/>
                <w:color w:val="auto"/>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7F6F89AB">
            <w:pPr>
              <w:snapToGrid w:val="0"/>
              <w:spacing w:line="360" w:lineRule="auto"/>
              <w:rPr>
                <w:rFonts w:ascii="宋体" w:hAnsi="宋体" w:cs="宋体"/>
                <w:color w:val="auto"/>
                <w:sz w:val="24"/>
              </w:rPr>
            </w:pPr>
          </w:p>
        </w:tc>
      </w:tr>
      <w:tr w14:paraId="0743A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670708AF">
            <w:pPr>
              <w:snapToGrid w:val="0"/>
              <w:spacing w:line="360" w:lineRule="auto"/>
              <w:rPr>
                <w:rFonts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335000DE">
            <w:pPr>
              <w:snapToGrid w:val="0"/>
              <w:spacing w:line="360" w:lineRule="auto"/>
              <w:rPr>
                <w:rFonts w:ascii="宋体" w:hAnsi="宋体" w:cs="宋体"/>
                <w:color w:val="auto"/>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190AAA80">
            <w:pPr>
              <w:snapToGrid w:val="0"/>
              <w:spacing w:line="360" w:lineRule="auto"/>
              <w:rPr>
                <w:rFonts w:ascii="宋体" w:hAnsi="宋体" w:cs="宋体"/>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2264909">
            <w:pPr>
              <w:snapToGrid w:val="0"/>
              <w:spacing w:line="360" w:lineRule="auto"/>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25121D22">
            <w:pPr>
              <w:snapToGrid w:val="0"/>
              <w:spacing w:line="360" w:lineRule="auto"/>
              <w:rPr>
                <w:rFonts w:ascii="宋体" w:hAnsi="宋体" w:cs="宋体"/>
                <w:color w:val="auto"/>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7A1119A1">
            <w:pPr>
              <w:snapToGrid w:val="0"/>
              <w:spacing w:line="360" w:lineRule="auto"/>
              <w:rPr>
                <w:rFonts w:ascii="宋体" w:hAnsi="宋体" w:cs="宋体"/>
                <w:color w:val="auto"/>
                <w:sz w:val="24"/>
              </w:rPr>
            </w:pPr>
          </w:p>
        </w:tc>
      </w:tr>
    </w:tbl>
    <w:p w14:paraId="7FB1C94A">
      <w:pPr>
        <w:snapToGrid w:val="0"/>
        <w:spacing w:line="360" w:lineRule="auto"/>
        <w:rPr>
          <w:rFonts w:ascii="宋体" w:hAnsi="宋体" w:cs="宋体"/>
          <w:color w:val="auto"/>
          <w:sz w:val="24"/>
        </w:rPr>
      </w:pPr>
      <w:r>
        <w:rPr>
          <w:rFonts w:hint="eastAsia" w:ascii="宋体" w:hAnsi="宋体" w:cs="宋体"/>
          <w:color w:val="auto"/>
          <w:sz w:val="24"/>
        </w:rPr>
        <w:t>注：在填写时，如本表格不适合投标单位的实际情况，可根据本表格式自行划表填写。</w:t>
      </w:r>
    </w:p>
    <w:p w14:paraId="4DAA5995">
      <w:pPr>
        <w:snapToGrid w:val="0"/>
        <w:spacing w:line="360" w:lineRule="auto"/>
        <w:jc w:val="left"/>
        <w:rPr>
          <w:rFonts w:ascii="宋体" w:hAnsi="宋体" w:cs="宋体"/>
          <w:b/>
          <w:color w:val="auto"/>
          <w:sz w:val="24"/>
        </w:rPr>
      </w:pPr>
    </w:p>
    <w:p w14:paraId="5EBE2E47">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 xml:space="preserve">供应商全称（公章）： </w:t>
      </w:r>
    </w:p>
    <w:p w14:paraId="354AEF0A">
      <w:pPr>
        <w:snapToGrid w:val="0"/>
        <w:spacing w:line="360" w:lineRule="auto"/>
        <w:ind w:firstLine="240" w:firstLineChars="100"/>
        <w:rPr>
          <w:rFonts w:ascii="宋体" w:hAnsi="宋体" w:cs="宋体"/>
          <w:color w:val="auto"/>
          <w:sz w:val="24"/>
          <w:u w:val="single"/>
        </w:rPr>
      </w:pPr>
      <w:r>
        <w:rPr>
          <w:rFonts w:hint="eastAsia" w:ascii="宋体" w:hAnsi="宋体" w:cs="宋体"/>
          <w:color w:val="auto"/>
          <w:sz w:val="24"/>
        </w:rPr>
        <w:t>法定代表人或授权代表（签字）：</w:t>
      </w:r>
    </w:p>
    <w:p w14:paraId="778D0B93">
      <w:pPr>
        <w:snapToGrid w:val="0"/>
        <w:spacing w:line="360" w:lineRule="auto"/>
        <w:ind w:firstLine="240" w:firstLineChars="100"/>
        <w:rPr>
          <w:rFonts w:ascii="宋体" w:hAnsi="宋体" w:cs="宋体"/>
          <w:b/>
          <w:color w:val="auto"/>
          <w:sz w:val="24"/>
        </w:rPr>
      </w:pPr>
      <w:r>
        <w:rPr>
          <w:rFonts w:hint="eastAsia" w:ascii="宋体" w:hAnsi="宋体" w:cs="宋体"/>
          <w:color w:val="auto"/>
          <w:sz w:val="24"/>
        </w:rPr>
        <w:t>日期：      年    月    日</w:t>
      </w:r>
    </w:p>
    <w:p w14:paraId="4432ED21">
      <w:pPr>
        <w:snapToGrid w:val="0"/>
        <w:spacing w:line="360" w:lineRule="auto"/>
        <w:rPr>
          <w:rFonts w:ascii="宋体" w:hAnsi="宋体" w:cs="宋体"/>
          <w:b/>
          <w:color w:val="auto"/>
          <w:sz w:val="24"/>
        </w:rPr>
      </w:pPr>
      <w:r>
        <w:rPr>
          <w:rFonts w:hint="eastAsia" w:ascii="宋体" w:hAnsi="宋体" w:cs="宋体"/>
          <w:b/>
          <w:color w:val="auto"/>
          <w:sz w:val="24"/>
        </w:rPr>
        <w:t>附：项目实施人员相关经验或资质证明文件复印件</w:t>
      </w:r>
    </w:p>
    <w:p w14:paraId="5CDF9A5E">
      <w:pPr>
        <w:snapToGrid w:val="0"/>
        <w:spacing w:line="360" w:lineRule="auto"/>
        <w:rPr>
          <w:rFonts w:ascii="宋体" w:hAnsi="宋体" w:cs="宋体"/>
          <w:b/>
          <w:color w:val="auto"/>
          <w:sz w:val="24"/>
          <w:u w:val="single"/>
        </w:rPr>
      </w:pPr>
      <w:r>
        <w:rPr>
          <w:rFonts w:hint="eastAsia" w:ascii="宋体" w:hAnsi="宋体" w:cs="宋体"/>
          <w:b/>
          <w:color w:val="auto"/>
          <w:sz w:val="24"/>
        </w:rPr>
        <w:t>姓名：职务：</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B77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8522" w:type="dxa"/>
          </w:tcPr>
          <w:p w14:paraId="6B7F1564">
            <w:pPr>
              <w:snapToGrid w:val="0"/>
              <w:spacing w:line="360" w:lineRule="auto"/>
              <w:rPr>
                <w:rFonts w:ascii="宋体" w:hAnsi="宋体" w:cs="宋体"/>
                <w:color w:val="auto"/>
                <w:sz w:val="24"/>
              </w:rPr>
            </w:pPr>
            <w:r>
              <w:rPr>
                <w:rFonts w:hint="eastAsia" w:ascii="宋体" w:hAnsi="宋体" w:cs="宋体"/>
                <w:color w:val="auto"/>
                <w:sz w:val="24"/>
              </w:rPr>
              <w:t>经验或资质证明文件复印件</w:t>
            </w:r>
          </w:p>
        </w:tc>
      </w:tr>
    </w:tbl>
    <w:p w14:paraId="439D6221">
      <w:pPr>
        <w:snapToGrid w:val="0"/>
        <w:spacing w:line="360" w:lineRule="auto"/>
        <w:rPr>
          <w:rFonts w:hint="eastAsia" w:ascii="宋体" w:hAnsi="宋体" w:cs="宋体"/>
          <w:b/>
          <w:bCs/>
          <w:kern w:val="0"/>
          <w:sz w:val="28"/>
          <w:szCs w:val="28"/>
          <w:lang w:val="zh-CN"/>
        </w:rPr>
      </w:pPr>
    </w:p>
    <w:p w14:paraId="48581B04">
      <w:pPr>
        <w:snapToGrid w:val="0"/>
        <w:spacing w:line="360" w:lineRule="auto"/>
        <w:rPr>
          <w:rFonts w:ascii="宋体" w:hAnsi="宋体" w:cs="宋体"/>
          <w:b/>
          <w:bCs/>
          <w:color w:val="auto"/>
          <w:sz w:val="24"/>
        </w:rPr>
      </w:pPr>
      <w:r>
        <w:rPr>
          <w:rFonts w:hint="eastAsia" w:ascii="宋体" w:hAnsi="宋体" w:cs="宋体"/>
          <w:b/>
          <w:bCs/>
          <w:color w:val="auto"/>
          <w:kern w:val="0"/>
          <w:sz w:val="28"/>
          <w:szCs w:val="28"/>
          <w:lang w:val="zh-CN"/>
        </w:rPr>
        <w:t>项目实施人员安排详细情况：</w:t>
      </w:r>
    </w:p>
    <w:p w14:paraId="6AC54793">
      <w:pPr>
        <w:snapToGrid w:val="0"/>
        <w:spacing w:before="156" w:beforeLines="50" w:after="156" w:afterLines="50" w:line="360" w:lineRule="auto"/>
        <w:rPr>
          <w:rFonts w:ascii="宋体" w:hAnsi="宋体" w:cs="宋体"/>
          <w:color w:val="auto"/>
          <w:sz w:val="24"/>
        </w:rPr>
      </w:pPr>
    </w:p>
    <w:p w14:paraId="33D110C5">
      <w:pPr>
        <w:snapToGrid w:val="0"/>
        <w:spacing w:line="360" w:lineRule="auto"/>
        <w:rPr>
          <w:rFonts w:ascii="宋体" w:hAnsi="宋体" w:cs="宋体"/>
          <w:b/>
          <w:bCs/>
          <w:color w:val="auto"/>
          <w:sz w:val="24"/>
        </w:rPr>
      </w:pPr>
    </w:p>
    <w:p w14:paraId="288A2F9F">
      <w:pPr>
        <w:snapToGrid w:val="0"/>
        <w:spacing w:line="360" w:lineRule="auto"/>
        <w:rPr>
          <w:rFonts w:ascii="宋体" w:hAnsi="宋体" w:cs="宋体"/>
          <w:b/>
          <w:bCs/>
          <w:color w:val="auto"/>
          <w:sz w:val="24"/>
          <w:lang w:val="zh-CN"/>
        </w:rPr>
      </w:pPr>
    </w:p>
    <w:p w14:paraId="13F35AE0">
      <w:pPr>
        <w:snapToGrid w:val="0"/>
        <w:spacing w:line="360" w:lineRule="auto"/>
        <w:jc w:val="center"/>
        <w:outlineLvl w:val="0"/>
        <w:rPr>
          <w:rFonts w:ascii="宋体" w:hAnsi="宋体" w:cs="宋体"/>
          <w:b/>
          <w:color w:val="auto"/>
          <w:sz w:val="32"/>
          <w:szCs w:val="32"/>
        </w:rPr>
      </w:pPr>
      <w:r>
        <w:rPr>
          <w:rFonts w:hint="eastAsia" w:ascii="宋体" w:hAnsi="宋体" w:cs="宋体"/>
          <w:color w:val="auto"/>
        </w:rPr>
        <w:br w:type="page"/>
      </w:r>
      <w:bookmarkStart w:id="57" w:name="_Toc21891"/>
      <w:bookmarkStart w:id="58" w:name="_Toc5972"/>
      <w:r>
        <w:rPr>
          <w:rFonts w:hint="eastAsia" w:ascii="宋体" w:hAnsi="宋体" w:cs="宋体"/>
          <w:b/>
          <w:color w:val="auto"/>
          <w:sz w:val="32"/>
          <w:szCs w:val="32"/>
        </w:rPr>
        <w:t>报价文件</w:t>
      </w:r>
      <w:bookmarkEnd w:id="57"/>
      <w:bookmarkEnd w:id="58"/>
    </w:p>
    <w:p w14:paraId="1BD036ED">
      <w:pPr>
        <w:snapToGrid w:val="0"/>
        <w:spacing w:line="360" w:lineRule="auto"/>
        <w:jc w:val="center"/>
        <w:rPr>
          <w:rFonts w:ascii="宋体" w:hAnsi="宋体" w:cs="宋体"/>
          <w:b/>
          <w:color w:val="auto"/>
          <w:kern w:val="44"/>
          <w:sz w:val="28"/>
          <w:szCs w:val="28"/>
        </w:rPr>
      </w:pPr>
      <w:bookmarkStart w:id="59" w:name="_Toc415734855"/>
      <w:r>
        <w:rPr>
          <w:rFonts w:hint="eastAsia" w:ascii="宋体" w:hAnsi="宋体" w:cs="宋体"/>
          <w:b/>
          <w:color w:val="auto"/>
          <w:kern w:val="44"/>
          <w:sz w:val="28"/>
          <w:szCs w:val="28"/>
        </w:rPr>
        <w:t>投标响应函</w:t>
      </w:r>
      <w:bookmarkEnd w:id="59"/>
      <w:r>
        <w:rPr>
          <w:rFonts w:hint="eastAsia" w:ascii="宋体" w:hAnsi="宋体" w:cs="宋体"/>
          <w:b/>
          <w:color w:val="auto"/>
          <w:kern w:val="44"/>
          <w:sz w:val="28"/>
          <w:szCs w:val="28"/>
        </w:rPr>
        <w:t>（格式）</w:t>
      </w:r>
    </w:p>
    <w:p w14:paraId="279A1006">
      <w:pPr>
        <w:snapToGrid w:val="0"/>
        <w:spacing w:line="360" w:lineRule="auto"/>
        <w:jc w:val="left"/>
        <w:rPr>
          <w:rFonts w:ascii="宋体" w:hAnsi="宋体" w:cs="宋体"/>
          <w:color w:val="auto"/>
          <w:sz w:val="24"/>
        </w:rPr>
      </w:pPr>
      <w:r>
        <w:rPr>
          <w:rFonts w:hint="eastAsia" w:ascii="宋体" w:hAnsi="宋体" w:cs="宋体"/>
          <w:color w:val="auto"/>
          <w:sz w:val="24"/>
          <w:u w:val="single"/>
        </w:rPr>
        <w:t>（采购人）</w:t>
      </w:r>
      <w:r>
        <w:rPr>
          <w:rFonts w:hint="eastAsia" w:ascii="宋体" w:hAnsi="宋体" w:cs="宋体"/>
          <w:color w:val="auto"/>
          <w:sz w:val="24"/>
        </w:rPr>
        <w:t>、</w:t>
      </w:r>
      <w:r>
        <w:rPr>
          <w:rFonts w:hint="eastAsia" w:ascii="宋体" w:hAnsi="宋体" w:cs="宋体"/>
          <w:color w:val="auto"/>
          <w:sz w:val="24"/>
          <w:u w:val="single"/>
        </w:rPr>
        <w:t>（采购代理机构）</w:t>
      </w:r>
      <w:r>
        <w:rPr>
          <w:rFonts w:hint="eastAsia" w:ascii="宋体" w:hAnsi="宋体" w:cs="宋体"/>
          <w:color w:val="auto"/>
          <w:sz w:val="24"/>
        </w:rPr>
        <w:t>：</w:t>
      </w:r>
    </w:p>
    <w:p w14:paraId="04FE3AC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(投标人全称)授权(全权代表姓名)(职务、职称)为全权代表，参加贵方组织的</w:t>
      </w:r>
      <w:r>
        <w:rPr>
          <w:rFonts w:hint="eastAsia" w:ascii="宋体" w:hAnsi="宋体" w:cs="宋体"/>
          <w:color w:val="auto"/>
          <w:sz w:val="24"/>
          <w:lang w:eastAsia="zh-CN"/>
        </w:rPr>
        <w:t>浙江省嘉兴市消防救援支队2024年度装备器材采购项目(救生、警戒、堵漏和水域救援类）     （填写标项）</w:t>
      </w:r>
      <w:r>
        <w:rPr>
          <w:rFonts w:hint="eastAsia" w:ascii="宋体" w:hAnsi="宋体" w:cs="宋体"/>
          <w:color w:val="auto"/>
          <w:sz w:val="24"/>
          <w:u w:val="single"/>
        </w:rPr>
        <w:t xml:space="preserve">     </w:t>
      </w:r>
      <w:r>
        <w:rPr>
          <w:rFonts w:hint="eastAsia" w:ascii="宋体" w:hAnsi="宋体" w:cs="宋体"/>
          <w:color w:val="auto"/>
          <w:sz w:val="24"/>
        </w:rPr>
        <w:t>(项目编号： ) 招标的有关活动，并对此项目进行投标。为此：</w:t>
      </w:r>
    </w:p>
    <w:p w14:paraId="48C464B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1.我方同意在投标人</w:t>
      </w:r>
      <w:r>
        <w:rPr>
          <w:rFonts w:hint="eastAsia" w:ascii="宋体" w:hAnsi="宋体" w:cs="宋体"/>
          <w:color w:val="auto"/>
          <w:kern w:val="44"/>
          <w:sz w:val="24"/>
        </w:rPr>
        <w:t>编制和提交采购响应文件须知</w:t>
      </w:r>
      <w:r>
        <w:rPr>
          <w:rFonts w:hint="eastAsia" w:ascii="宋体" w:hAnsi="宋体" w:cs="宋体"/>
          <w:color w:val="auto"/>
          <w:sz w:val="24"/>
        </w:rPr>
        <w:t>规定的开标日期起遵守本投标文件中的承诺且在投标有效期满之前均具有约束力。</w:t>
      </w:r>
    </w:p>
    <w:p w14:paraId="0528C10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2.我方承诺已经具备《中华人民共和国政府采购法》中规定的参加政府采购活动的供应商应当具备的条件：</w:t>
      </w:r>
    </w:p>
    <w:p w14:paraId="3A1D0B9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(1)具有独立承担民事责任的能力；</w:t>
      </w:r>
    </w:p>
    <w:p w14:paraId="7B9325B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(2)遵守国家法律、行政法规，具有良好的信誉和商业道德；</w:t>
      </w:r>
    </w:p>
    <w:p w14:paraId="036B679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(3)具有履行合同的能力和良好的履行合同记录；</w:t>
      </w:r>
    </w:p>
    <w:p w14:paraId="521105B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(4)良好的资金、财务状况；</w:t>
      </w:r>
    </w:p>
    <w:p w14:paraId="670D8F8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(5)产品及生产所需装备符合中国政府规定的相应技术标准和环保标准；</w:t>
      </w:r>
    </w:p>
    <w:p w14:paraId="22F5A28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(6)没有违反政府采购法规、政策的记录；</w:t>
      </w:r>
    </w:p>
    <w:p w14:paraId="5025073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(7)没有发生重大经济纠纷和走私犯罪记录。</w:t>
      </w:r>
    </w:p>
    <w:p w14:paraId="0AE0B77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3.提供</w:t>
      </w:r>
      <w:r>
        <w:rPr>
          <w:rFonts w:hint="eastAsia" w:ascii="宋体" w:hAnsi="宋体" w:cs="宋体"/>
          <w:color w:val="auto"/>
          <w:kern w:val="44"/>
          <w:sz w:val="24"/>
        </w:rPr>
        <w:t>编制和提交采购响应文件须知</w:t>
      </w:r>
      <w:r>
        <w:rPr>
          <w:rFonts w:hint="eastAsia" w:ascii="宋体" w:hAnsi="宋体" w:cs="宋体"/>
          <w:color w:val="auto"/>
          <w:sz w:val="24"/>
        </w:rPr>
        <w:t>规定的全部投标文件，包括投标文件</w:t>
      </w:r>
      <w:r>
        <w:rPr>
          <w:rFonts w:hint="eastAsia" w:ascii="宋体" w:hAnsi="宋体" w:cs="宋体"/>
          <w:color w:val="auto"/>
          <w:kern w:val="44"/>
          <w:sz w:val="24"/>
        </w:rPr>
        <w:t>正本</w:t>
      </w:r>
      <w:r>
        <w:rPr>
          <w:rFonts w:hint="eastAsia" w:ascii="宋体" w:hAnsi="宋体" w:cs="宋体"/>
          <w:color w:val="auto"/>
          <w:kern w:val="44"/>
          <w:sz w:val="24"/>
          <w:u w:val="single"/>
        </w:rPr>
        <w:t>1</w:t>
      </w:r>
      <w:r>
        <w:rPr>
          <w:rFonts w:hint="eastAsia" w:ascii="宋体" w:hAnsi="宋体" w:cs="宋体"/>
          <w:color w:val="auto"/>
          <w:kern w:val="44"/>
          <w:sz w:val="24"/>
        </w:rPr>
        <w:t>份，副本</w:t>
      </w:r>
      <w:r>
        <w:rPr>
          <w:rFonts w:hint="eastAsia" w:ascii="宋体" w:hAnsi="宋体" w:cs="宋体"/>
          <w:color w:val="auto"/>
          <w:kern w:val="44"/>
          <w:sz w:val="24"/>
          <w:u w:val="single"/>
          <w:lang w:val="en-US" w:eastAsia="zh-CN"/>
        </w:rPr>
        <w:t>3</w:t>
      </w:r>
      <w:r>
        <w:rPr>
          <w:rFonts w:hint="eastAsia" w:ascii="宋体" w:hAnsi="宋体" w:cs="宋体"/>
          <w:color w:val="auto"/>
          <w:kern w:val="44"/>
          <w:sz w:val="24"/>
        </w:rPr>
        <w:t>份（见投标须知前附表所述）。</w:t>
      </w:r>
      <w:r>
        <w:rPr>
          <w:rFonts w:hint="eastAsia" w:ascii="宋体" w:hAnsi="宋体" w:cs="宋体"/>
          <w:color w:val="auto"/>
          <w:sz w:val="24"/>
        </w:rPr>
        <w:t>具体内容为：</w:t>
      </w:r>
    </w:p>
    <w:p w14:paraId="547564B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(1)投标(开标)一览表及投标报价明细清单；</w:t>
      </w:r>
    </w:p>
    <w:p w14:paraId="41CC6EC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(2)投标</w:t>
      </w:r>
      <w:r>
        <w:rPr>
          <w:rFonts w:hint="eastAsia" w:ascii="宋体" w:hAnsi="宋体" w:cs="宋体"/>
          <w:color w:val="auto"/>
          <w:kern w:val="0"/>
          <w:sz w:val="24"/>
          <w:lang w:val="zh-CN"/>
        </w:rPr>
        <w:t>技术文件和</w:t>
      </w:r>
      <w:r>
        <w:rPr>
          <w:rFonts w:hint="eastAsia" w:ascii="宋体" w:hAnsi="宋体" w:cs="宋体"/>
          <w:color w:val="auto"/>
          <w:sz w:val="24"/>
          <w:lang w:val="zh-CN"/>
        </w:rPr>
        <w:t>商务文件</w:t>
      </w:r>
      <w:r>
        <w:rPr>
          <w:rFonts w:hint="eastAsia" w:ascii="宋体" w:hAnsi="宋体" w:cs="宋体"/>
          <w:color w:val="auto"/>
          <w:sz w:val="24"/>
        </w:rPr>
        <w:t>；</w:t>
      </w:r>
    </w:p>
    <w:p w14:paraId="5268807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w:t>
      </w:r>
      <w:r>
        <w:rPr>
          <w:rFonts w:hint="eastAsia" w:ascii="宋体" w:hAnsi="宋体" w:cs="宋体"/>
          <w:color w:val="auto"/>
          <w:kern w:val="44"/>
          <w:sz w:val="24"/>
        </w:rPr>
        <w:t>编制和提交采购响应文件须知</w:t>
      </w:r>
      <w:r>
        <w:rPr>
          <w:rFonts w:hint="eastAsia" w:ascii="宋体" w:hAnsi="宋体" w:cs="宋体"/>
          <w:color w:val="auto"/>
          <w:sz w:val="24"/>
        </w:rPr>
        <w:t>要求投标人提交的全部文件；</w:t>
      </w:r>
    </w:p>
    <w:p w14:paraId="785A7AC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(4)按招标文件要求提供和交付的货物和服务的投标报价详见投标(开标)一览表；</w:t>
      </w:r>
    </w:p>
    <w:p w14:paraId="4767E72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(5)保证忠实地执行双方所签订的合同，并承担合同规定的责任和义务；</w:t>
      </w:r>
    </w:p>
    <w:p w14:paraId="20EDFF9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(6)保证遵守招标文件中的其他有关规定。</w:t>
      </w:r>
    </w:p>
    <w:p w14:paraId="22712D5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4.我方完全理解贵方不一定要接受最低价的投标。</w:t>
      </w:r>
    </w:p>
    <w:p w14:paraId="574B1DF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5.我方愿意向贵方提供任何与该项投标有关的数据、情况和技术资料。若贵方需要，我方愿意提供我方作出的一切承诺的证明材料。</w:t>
      </w:r>
    </w:p>
    <w:p w14:paraId="678754A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6.我方已详细审核全部招标文件，包括招标文件修改书(如果有)、参考资料及有关附件，确认无误。</w:t>
      </w:r>
    </w:p>
    <w:p w14:paraId="25D3F6D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7576EB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a)提供虚假材料谋取中标、成交的；</w:t>
      </w:r>
    </w:p>
    <w:p w14:paraId="10105F6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b)采取不正当手段诋毁、排挤其他供应商的；</w:t>
      </w:r>
    </w:p>
    <w:p w14:paraId="4E95C21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c)与采购人、其它供应商或者采购代理机构恶意串通的；</w:t>
      </w:r>
    </w:p>
    <w:p w14:paraId="418A6D4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d)向采购人、采购代理机构行贿或者提供其他不正当利益的；</w:t>
      </w:r>
    </w:p>
    <w:p w14:paraId="70228DA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e)在招标采购过程中与采购人进行协商谈判的；</w:t>
      </w:r>
    </w:p>
    <w:p w14:paraId="31D24E2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f)拒绝有关部门监督检查或提供虚假情况的。</w:t>
      </w:r>
    </w:p>
    <w:p w14:paraId="6941EBF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供应商有前款第a)至e)项情形之一的，中标、成交无效。</w:t>
      </w:r>
    </w:p>
    <w:p w14:paraId="49EB7DA9">
      <w:pPr>
        <w:snapToGrid w:val="0"/>
        <w:spacing w:line="360" w:lineRule="auto"/>
        <w:ind w:firstLine="3600" w:firstLineChars="1500"/>
        <w:jc w:val="left"/>
        <w:rPr>
          <w:rFonts w:ascii="宋体" w:hAnsi="宋体" w:cs="宋体"/>
          <w:color w:val="auto"/>
          <w:sz w:val="24"/>
        </w:rPr>
      </w:pPr>
    </w:p>
    <w:p w14:paraId="6B394EBF">
      <w:pPr>
        <w:snapToGrid w:val="0"/>
        <w:spacing w:line="360" w:lineRule="auto"/>
        <w:ind w:firstLine="3600" w:firstLineChars="1500"/>
        <w:jc w:val="left"/>
        <w:rPr>
          <w:rFonts w:ascii="宋体" w:hAnsi="宋体" w:cs="宋体"/>
          <w:color w:val="auto"/>
          <w:sz w:val="24"/>
        </w:rPr>
      </w:pPr>
      <w:r>
        <w:rPr>
          <w:rFonts w:hint="eastAsia" w:ascii="宋体" w:hAnsi="宋体" w:cs="宋体"/>
          <w:color w:val="auto"/>
          <w:sz w:val="24"/>
        </w:rPr>
        <w:t>投标人名称（公章）：</w:t>
      </w:r>
    </w:p>
    <w:p w14:paraId="54EDE412">
      <w:pPr>
        <w:snapToGrid w:val="0"/>
        <w:spacing w:line="360" w:lineRule="auto"/>
        <w:ind w:firstLine="3600" w:firstLineChars="1500"/>
        <w:jc w:val="left"/>
        <w:rPr>
          <w:rFonts w:ascii="宋体" w:hAnsi="宋体" w:cs="宋体"/>
          <w:color w:val="auto"/>
          <w:sz w:val="24"/>
        </w:rPr>
      </w:pPr>
      <w:r>
        <w:rPr>
          <w:rFonts w:hint="eastAsia" w:ascii="宋体" w:hAnsi="宋体" w:cs="宋体"/>
          <w:color w:val="auto"/>
          <w:sz w:val="24"/>
        </w:rPr>
        <w:t>法定代表人或授权代表（签字）：</w:t>
      </w:r>
    </w:p>
    <w:p w14:paraId="0DCBA68E">
      <w:pPr>
        <w:snapToGrid w:val="0"/>
        <w:spacing w:line="360" w:lineRule="auto"/>
        <w:ind w:firstLine="3600" w:firstLineChars="1500"/>
        <w:jc w:val="left"/>
        <w:rPr>
          <w:rFonts w:ascii="宋体" w:hAnsi="宋体" w:cs="宋体"/>
          <w:color w:val="auto"/>
          <w:sz w:val="24"/>
        </w:rPr>
      </w:pPr>
      <w:r>
        <w:rPr>
          <w:rFonts w:hint="eastAsia" w:ascii="宋体" w:hAnsi="宋体" w:cs="宋体"/>
          <w:color w:val="auto"/>
          <w:sz w:val="24"/>
        </w:rPr>
        <w:t>日期：  年   月   日</w:t>
      </w:r>
    </w:p>
    <w:p w14:paraId="4224FB8A">
      <w:pPr>
        <w:snapToGrid w:val="0"/>
        <w:spacing w:line="360" w:lineRule="auto"/>
        <w:ind w:left="420" w:leftChars="200" w:firstLine="4200" w:firstLineChars="1750"/>
        <w:rPr>
          <w:rFonts w:ascii="宋体" w:hAnsi="宋体" w:cs="宋体"/>
          <w:color w:val="auto"/>
          <w:kern w:val="0"/>
          <w:sz w:val="24"/>
          <w:u w:val="single"/>
          <w:lang w:val="zh-CN"/>
        </w:rPr>
      </w:pPr>
    </w:p>
    <w:p w14:paraId="316E26CE">
      <w:pPr>
        <w:snapToGrid w:val="0"/>
        <w:spacing w:line="360" w:lineRule="auto"/>
        <w:ind w:left="420" w:leftChars="200"/>
        <w:rPr>
          <w:rFonts w:ascii="宋体" w:hAnsi="宋体" w:cs="宋体"/>
          <w:color w:val="auto"/>
          <w:kern w:val="0"/>
          <w:sz w:val="24"/>
        </w:rPr>
      </w:pPr>
      <w:r>
        <w:rPr>
          <w:rFonts w:hint="eastAsia" w:ascii="宋体" w:hAnsi="宋体" w:cs="宋体"/>
          <w:color w:val="auto"/>
          <w:kern w:val="0"/>
          <w:sz w:val="24"/>
          <w:lang w:val="zh-CN"/>
        </w:rPr>
        <w:t xml:space="preserve">联系人：                               联系电话： </w:t>
      </w:r>
    </w:p>
    <w:p w14:paraId="585522A3">
      <w:pPr>
        <w:snapToGrid w:val="0"/>
        <w:spacing w:line="360" w:lineRule="auto"/>
        <w:ind w:left="420" w:leftChars="200"/>
        <w:rPr>
          <w:rFonts w:ascii="宋体" w:hAnsi="宋体" w:cs="宋体"/>
          <w:color w:val="auto"/>
          <w:kern w:val="0"/>
          <w:sz w:val="24"/>
        </w:rPr>
      </w:pPr>
      <w:r>
        <w:rPr>
          <w:rFonts w:hint="eastAsia" w:ascii="宋体" w:hAnsi="宋体" w:cs="宋体"/>
          <w:color w:val="auto"/>
          <w:kern w:val="0"/>
          <w:sz w:val="24"/>
          <w:lang w:val="zh-CN"/>
        </w:rPr>
        <w:t>联系地址：</w:t>
      </w:r>
    </w:p>
    <w:p w14:paraId="6F54C7C0">
      <w:pPr>
        <w:snapToGrid w:val="0"/>
        <w:spacing w:line="360" w:lineRule="auto"/>
        <w:ind w:left="420" w:leftChars="200"/>
        <w:rPr>
          <w:rFonts w:ascii="宋体" w:hAnsi="宋体" w:cs="宋体"/>
          <w:color w:val="auto"/>
          <w:kern w:val="0"/>
          <w:sz w:val="24"/>
        </w:rPr>
      </w:pPr>
      <w:r>
        <w:rPr>
          <w:rFonts w:hint="eastAsia" w:ascii="宋体" w:hAnsi="宋体" w:cs="宋体"/>
          <w:color w:val="auto"/>
          <w:kern w:val="0"/>
          <w:sz w:val="24"/>
          <w:lang w:val="zh-CN"/>
        </w:rPr>
        <w:t>邮政编码：                             传真号码：</w:t>
      </w:r>
    </w:p>
    <w:p w14:paraId="7EE9D2C0">
      <w:pPr>
        <w:snapToGrid w:val="0"/>
        <w:spacing w:line="360" w:lineRule="auto"/>
        <w:rPr>
          <w:rFonts w:ascii="宋体" w:hAnsi="宋体" w:cs="宋体"/>
          <w:b/>
          <w:color w:val="auto"/>
          <w:kern w:val="0"/>
          <w:sz w:val="24"/>
          <w:lang w:val="zh-CN"/>
        </w:rPr>
      </w:pPr>
    </w:p>
    <w:p w14:paraId="4CB45166">
      <w:pPr>
        <w:snapToGrid w:val="0"/>
        <w:spacing w:line="360" w:lineRule="auto"/>
        <w:rPr>
          <w:rFonts w:ascii="宋体" w:hAnsi="宋体" w:cs="宋体"/>
          <w:color w:val="auto"/>
          <w:kern w:val="0"/>
          <w:sz w:val="24"/>
          <w:lang w:val="zh-CN"/>
        </w:rPr>
      </w:pPr>
      <w:r>
        <w:rPr>
          <w:rFonts w:hint="eastAsia" w:ascii="宋体" w:hAnsi="宋体" w:cs="宋体"/>
          <w:b/>
          <w:color w:val="auto"/>
          <w:kern w:val="0"/>
          <w:sz w:val="24"/>
          <w:lang w:val="zh-CN"/>
        </w:rPr>
        <w:t>注：未按照本投标响应函要求填报的将被视为非实质性响应投标，从而可能导致该投标被拒绝。</w:t>
      </w:r>
    </w:p>
    <w:p w14:paraId="5A0E006D">
      <w:pPr>
        <w:snapToGrid w:val="0"/>
        <w:spacing w:line="360" w:lineRule="auto"/>
        <w:rPr>
          <w:rFonts w:ascii="宋体" w:hAnsi="宋体" w:cs="宋体"/>
          <w:color w:val="auto"/>
          <w:sz w:val="24"/>
        </w:rPr>
      </w:pPr>
    </w:p>
    <w:p w14:paraId="71CA41E8">
      <w:pPr>
        <w:snapToGrid w:val="0"/>
        <w:spacing w:line="360" w:lineRule="auto"/>
        <w:rPr>
          <w:rFonts w:ascii="宋体" w:hAnsi="宋体" w:cs="宋体"/>
          <w:b/>
          <w:bCs/>
          <w:color w:val="auto"/>
          <w:sz w:val="24"/>
        </w:rPr>
      </w:pPr>
    </w:p>
    <w:p w14:paraId="2BD00FFB">
      <w:pPr>
        <w:snapToGrid w:val="0"/>
        <w:spacing w:line="360" w:lineRule="auto"/>
        <w:rPr>
          <w:rFonts w:ascii="宋体" w:hAnsi="宋体" w:cs="宋体"/>
          <w:b/>
          <w:bCs/>
          <w:color w:val="auto"/>
          <w:sz w:val="24"/>
        </w:rPr>
      </w:pPr>
    </w:p>
    <w:p w14:paraId="7A1A042A">
      <w:pPr>
        <w:snapToGrid w:val="0"/>
        <w:spacing w:line="360" w:lineRule="auto"/>
        <w:rPr>
          <w:rFonts w:ascii="宋体" w:hAnsi="宋体" w:cs="宋体"/>
          <w:b/>
          <w:bCs/>
          <w:color w:val="auto"/>
          <w:sz w:val="24"/>
        </w:rPr>
      </w:pPr>
    </w:p>
    <w:p w14:paraId="4655FF16">
      <w:pPr>
        <w:snapToGrid w:val="0"/>
        <w:spacing w:line="360" w:lineRule="auto"/>
        <w:rPr>
          <w:rFonts w:ascii="宋体" w:hAnsi="宋体" w:cs="宋体"/>
          <w:b/>
          <w:bCs/>
          <w:color w:val="auto"/>
          <w:sz w:val="24"/>
        </w:rPr>
      </w:pPr>
    </w:p>
    <w:p w14:paraId="435F2319">
      <w:pPr>
        <w:snapToGrid w:val="0"/>
        <w:spacing w:line="360" w:lineRule="auto"/>
        <w:rPr>
          <w:rFonts w:ascii="宋体" w:hAnsi="宋体" w:cs="宋体"/>
          <w:b/>
          <w:bCs/>
          <w:color w:val="auto"/>
          <w:sz w:val="24"/>
        </w:rPr>
      </w:pPr>
    </w:p>
    <w:p w14:paraId="7F6F8438">
      <w:pPr>
        <w:rPr>
          <w:rFonts w:ascii="宋体" w:hAnsi="宋体" w:cs="宋体"/>
          <w:b/>
          <w:bCs/>
          <w:color w:val="auto"/>
          <w:sz w:val="28"/>
          <w:szCs w:val="28"/>
        </w:rPr>
      </w:pPr>
      <w:r>
        <w:rPr>
          <w:rFonts w:hint="eastAsia" w:ascii="宋体" w:hAnsi="宋体" w:cs="宋体"/>
          <w:b/>
          <w:bCs/>
          <w:color w:val="auto"/>
          <w:sz w:val="28"/>
          <w:szCs w:val="28"/>
        </w:rPr>
        <w:br w:type="page"/>
      </w:r>
    </w:p>
    <w:p w14:paraId="0B0BD4EB">
      <w:pPr>
        <w:snapToGrid w:val="0"/>
        <w:spacing w:line="360" w:lineRule="auto"/>
        <w:rPr>
          <w:rFonts w:ascii="宋体" w:hAnsi="宋体" w:cs="宋体"/>
          <w:b/>
          <w:bCs/>
          <w:color w:val="auto"/>
          <w:sz w:val="28"/>
          <w:szCs w:val="28"/>
        </w:rPr>
      </w:pPr>
      <w:r>
        <w:rPr>
          <w:rFonts w:hint="eastAsia" w:ascii="宋体" w:hAnsi="宋体" w:cs="宋体"/>
          <w:b/>
          <w:bCs/>
          <w:color w:val="auto"/>
          <w:sz w:val="28"/>
          <w:szCs w:val="28"/>
        </w:rPr>
        <w:t>投标（开标）一览表格式：</w:t>
      </w:r>
    </w:p>
    <w:p w14:paraId="428C0B46">
      <w:pPr>
        <w:snapToGrid w:val="0"/>
        <w:spacing w:line="360" w:lineRule="auto"/>
        <w:jc w:val="center"/>
        <w:rPr>
          <w:rFonts w:ascii="宋体" w:hAnsi="宋体" w:cs="宋体"/>
          <w:b/>
          <w:bCs/>
          <w:color w:val="auto"/>
          <w:sz w:val="24"/>
        </w:rPr>
      </w:pPr>
    </w:p>
    <w:p w14:paraId="23CC3699">
      <w:pPr>
        <w:snapToGrid w:val="0"/>
        <w:spacing w:line="360" w:lineRule="auto"/>
        <w:jc w:val="center"/>
        <w:rPr>
          <w:rFonts w:ascii="宋体" w:hAnsi="宋体" w:cs="宋体"/>
          <w:b/>
          <w:bCs/>
          <w:color w:val="auto"/>
          <w:sz w:val="28"/>
          <w:szCs w:val="28"/>
        </w:rPr>
      </w:pPr>
      <w:r>
        <w:rPr>
          <w:rFonts w:hint="eastAsia" w:ascii="宋体" w:hAnsi="宋体" w:cs="宋体"/>
          <w:b/>
          <w:color w:val="auto"/>
          <w:sz w:val="28"/>
          <w:szCs w:val="28"/>
        </w:rPr>
        <w:t>标项</w:t>
      </w:r>
      <w:r>
        <w:rPr>
          <w:rFonts w:hint="eastAsia" w:ascii="宋体" w:hAnsi="宋体" w:cs="宋体"/>
          <w:b/>
          <w:bCs/>
          <w:color w:val="auto"/>
          <w:sz w:val="28"/>
          <w:szCs w:val="28"/>
        </w:rPr>
        <w:t>投标（开标）一览表</w:t>
      </w:r>
    </w:p>
    <w:p w14:paraId="04A72B79">
      <w:pPr>
        <w:snapToGrid w:val="0"/>
        <w:spacing w:line="360" w:lineRule="auto"/>
        <w:rPr>
          <w:rFonts w:hint="eastAsia" w:ascii="宋体" w:hAnsi="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浙江省嘉兴市消防救援支队2024年度装备器材采购项目(救生、警戒、堵漏和水域救援类）</w:t>
      </w:r>
    </w:p>
    <w:p w14:paraId="3EB75152">
      <w:pPr>
        <w:snapToGrid w:val="0"/>
        <w:spacing w:line="360" w:lineRule="auto"/>
        <w:rPr>
          <w:rFonts w:ascii="宋体" w:hAnsi="宋体" w:cs="宋体"/>
          <w:color w:val="auto"/>
          <w:sz w:val="24"/>
        </w:rPr>
      </w:pPr>
      <w:r>
        <w:rPr>
          <w:rFonts w:hint="eastAsia" w:ascii="宋体" w:hAnsi="宋体" w:cs="宋体"/>
          <w:color w:val="auto"/>
          <w:sz w:val="24"/>
        </w:rPr>
        <w:t xml:space="preserve">项目编号：         </w:t>
      </w:r>
    </w:p>
    <w:p w14:paraId="0269D448">
      <w:pPr>
        <w:snapToGrid w:val="0"/>
        <w:spacing w:line="360" w:lineRule="auto"/>
        <w:rPr>
          <w:rFonts w:ascii="宋体" w:hAnsi="宋体" w:cs="宋体"/>
          <w:color w:val="auto"/>
          <w:sz w:val="24"/>
        </w:rPr>
      </w:pPr>
      <w:r>
        <w:rPr>
          <w:rFonts w:ascii="宋体" w:hAnsi="宋体" w:cs="宋体"/>
          <w:color w:val="auto"/>
          <w:sz w:val="24"/>
        </w:rPr>
        <w:t>标项：</w:t>
      </w:r>
      <w:r>
        <w:rPr>
          <w:rFonts w:hint="eastAsia" w:ascii="宋体" w:hAnsi="宋体" w:cs="宋体"/>
          <w:color w:val="auto"/>
          <w:sz w:val="24"/>
        </w:rPr>
        <w:t xml:space="preserve">       </w:t>
      </w:r>
    </w:p>
    <w:p w14:paraId="1AB9011A">
      <w:pPr>
        <w:snapToGrid w:val="0"/>
        <w:spacing w:line="360" w:lineRule="auto"/>
        <w:ind w:firstLine="240" w:firstLineChars="100"/>
        <w:jc w:val="right"/>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金额单位：人民币（元）</w:t>
      </w:r>
    </w:p>
    <w:tbl>
      <w:tblPr>
        <w:tblStyle w:val="3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2359"/>
        <w:gridCol w:w="1473"/>
        <w:gridCol w:w="1524"/>
        <w:gridCol w:w="1580"/>
      </w:tblGrid>
      <w:tr w14:paraId="5ED3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001" w:type="dxa"/>
            <w:vAlign w:val="center"/>
          </w:tcPr>
          <w:p w14:paraId="414BC58C">
            <w:pPr>
              <w:autoSpaceDE w:val="0"/>
              <w:autoSpaceDN w:val="0"/>
              <w:snapToGrid w:val="0"/>
              <w:spacing w:line="360" w:lineRule="auto"/>
              <w:jc w:val="center"/>
              <w:textAlignment w:val="bottom"/>
              <w:outlineLvl w:val="0"/>
              <w:rPr>
                <w:rFonts w:ascii="宋体" w:hAnsi="宋体" w:cs="宋体"/>
                <w:color w:val="auto"/>
                <w:kern w:val="0"/>
                <w:sz w:val="24"/>
              </w:rPr>
            </w:pPr>
            <w:bookmarkStart w:id="60" w:name="_Toc28654"/>
            <w:bookmarkStart w:id="61" w:name="_Toc20313"/>
            <w:r>
              <w:rPr>
                <w:rFonts w:hint="eastAsia" w:ascii="宋体" w:hAnsi="宋体" w:cs="宋体"/>
                <w:color w:val="auto"/>
                <w:kern w:val="0"/>
                <w:sz w:val="24"/>
              </w:rPr>
              <w:t>项目内容</w:t>
            </w:r>
            <w:bookmarkEnd w:id="60"/>
            <w:bookmarkEnd w:id="61"/>
          </w:p>
        </w:tc>
        <w:tc>
          <w:tcPr>
            <w:tcW w:w="2359" w:type="dxa"/>
            <w:vAlign w:val="center"/>
          </w:tcPr>
          <w:p w14:paraId="1F15BC08">
            <w:pPr>
              <w:autoSpaceDE w:val="0"/>
              <w:autoSpaceDN w:val="0"/>
              <w:snapToGrid w:val="0"/>
              <w:spacing w:line="360" w:lineRule="auto"/>
              <w:jc w:val="center"/>
              <w:textAlignment w:val="bottom"/>
              <w:outlineLvl w:val="0"/>
              <w:rPr>
                <w:rFonts w:ascii="宋体" w:hAnsi="宋体" w:cs="宋体"/>
                <w:color w:val="auto"/>
                <w:kern w:val="0"/>
                <w:sz w:val="24"/>
              </w:rPr>
            </w:pPr>
            <w:bookmarkStart w:id="62" w:name="_Toc9344"/>
            <w:bookmarkStart w:id="63" w:name="_Toc11075"/>
            <w:r>
              <w:rPr>
                <w:rFonts w:hint="eastAsia" w:ascii="宋体" w:hAnsi="宋体" w:cs="宋体"/>
                <w:color w:val="auto"/>
                <w:kern w:val="0"/>
                <w:sz w:val="24"/>
              </w:rPr>
              <w:t>投标报价</w:t>
            </w:r>
            <w:bookmarkEnd w:id="62"/>
            <w:bookmarkEnd w:id="63"/>
          </w:p>
        </w:tc>
        <w:tc>
          <w:tcPr>
            <w:tcW w:w="1473" w:type="dxa"/>
            <w:vAlign w:val="center"/>
          </w:tcPr>
          <w:p w14:paraId="7BAAB486">
            <w:pPr>
              <w:autoSpaceDE w:val="0"/>
              <w:autoSpaceDN w:val="0"/>
              <w:snapToGrid w:val="0"/>
              <w:spacing w:line="360" w:lineRule="auto"/>
              <w:jc w:val="center"/>
              <w:textAlignment w:val="bottom"/>
              <w:outlineLvl w:val="0"/>
              <w:rPr>
                <w:rFonts w:ascii="宋体" w:hAnsi="宋体" w:cs="宋体"/>
                <w:color w:val="auto"/>
                <w:kern w:val="0"/>
                <w:sz w:val="24"/>
              </w:rPr>
            </w:pPr>
            <w:bookmarkStart w:id="64" w:name="_Toc31362"/>
            <w:bookmarkStart w:id="65" w:name="_Toc7434"/>
            <w:r>
              <w:rPr>
                <w:rFonts w:hint="eastAsia" w:ascii="宋体" w:hAnsi="宋体" w:cs="宋体"/>
                <w:color w:val="auto"/>
                <w:sz w:val="24"/>
              </w:rPr>
              <w:t>质保期</w:t>
            </w:r>
            <w:bookmarkEnd w:id="64"/>
            <w:bookmarkEnd w:id="65"/>
          </w:p>
        </w:tc>
        <w:tc>
          <w:tcPr>
            <w:tcW w:w="1524" w:type="dxa"/>
            <w:vAlign w:val="center"/>
          </w:tcPr>
          <w:p w14:paraId="264F061F">
            <w:pPr>
              <w:autoSpaceDE w:val="0"/>
              <w:autoSpaceDN w:val="0"/>
              <w:snapToGrid w:val="0"/>
              <w:spacing w:line="360" w:lineRule="auto"/>
              <w:jc w:val="center"/>
              <w:textAlignment w:val="bottom"/>
              <w:outlineLvl w:val="0"/>
              <w:rPr>
                <w:rFonts w:ascii="宋体" w:hAnsi="宋体" w:cs="宋体"/>
                <w:color w:val="auto"/>
                <w:kern w:val="0"/>
                <w:sz w:val="24"/>
              </w:rPr>
            </w:pPr>
            <w:bookmarkStart w:id="66" w:name="_Toc24521"/>
            <w:bookmarkStart w:id="67" w:name="_Toc17104"/>
            <w:r>
              <w:rPr>
                <w:rFonts w:hint="eastAsia" w:ascii="宋体" w:hAnsi="宋体" w:cs="宋体"/>
                <w:color w:val="auto"/>
                <w:kern w:val="0"/>
                <w:sz w:val="24"/>
              </w:rPr>
              <w:t>交货期</w:t>
            </w:r>
            <w:bookmarkEnd w:id="66"/>
            <w:bookmarkEnd w:id="67"/>
          </w:p>
        </w:tc>
        <w:tc>
          <w:tcPr>
            <w:tcW w:w="1580" w:type="dxa"/>
            <w:vAlign w:val="center"/>
          </w:tcPr>
          <w:p w14:paraId="0787C2A9">
            <w:pPr>
              <w:autoSpaceDE w:val="0"/>
              <w:autoSpaceDN w:val="0"/>
              <w:snapToGrid w:val="0"/>
              <w:spacing w:line="360" w:lineRule="auto"/>
              <w:jc w:val="center"/>
              <w:textAlignment w:val="bottom"/>
              <w:outlineLvl w:val="0"/>
              <w:rPr>
                <w:rFonts w:ascii="宋体" w:hAnsi="宋体" w:cs="宋体"/>
                <w:color w:val="auto"/>
                <w:kern w:val="0"/>
                <w:sz w:val="24"/>
              </w:rPr>
            </w:pPr>
            <w:bookmarkStart w:id="68" w:name="_Toc763"/>
            <w:bookmarkStart w:id="69" w:name="_Toc27869"/>
            <w:r>
              <w:rPr>
                <w:rFonts w:hint="eastAsia" w:ascii="宋体" w:hAnsi="宋体" w:cs="宋体"/>
                <w:color w:val="auto"/>
                <w:kern w:val="0"/>
                <w:sz w:val="24"/>
              </w:rPr>
              <w:t>备注</w:t>
            </w:r>
            <w:bookmarkEnd w:id="68"/>
            <w:bookmarkEnd w:id="69"/>
          </w:p>
        </w:tc>
      </w:tr>
      <w:tr w14:paraId="113F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2001" w:type="dxa"/>
            <w:vAlign w:val="center"/>
          </w:tcPr>
          <w:p w14:paraId="6E2F44C5">
            <w:pPr>
              <w:keepNext/>
              <w:keepLines/>
              <w:autoSpaceDE w:val="0"/>
              <w:autoSpaceDN w:val="0"/>
              <w:snapToGrid w:val="0"/>
              <w:spacing w:before="340" w:after="330" w:line="360" w:lineRule="auto"/>
              <w:jc w:val="center"/>
              <w:textAlignment w:val="bottom"/>
              <w:outlineLvl w:val="0"/>
              <w:rPr>
                <w:rFonts w:ascii="宋体" w:hAnsi="宋体" w:cs="宋体"/>
                <w:color w:val="auto"/>
                <w:kern w:val="0"/>
                <w:sz w:val="24"/>
              </w:rPr>
            </w:pPr>
            <w:r>
              <w:rPr>
                <w:rFonts w:ascii="宋体" w:hAnsi="宋体" w:cs="宋体"/>
                <w:color w:val="auto"/>
                <w:kern w:val="0"/>
                <w:sz w:val="24"/>
              </w:rPr>
              <w:t>（填写所投标项的装备名称）</w:t>
            </w:r>
          </w:p>
        </w:tc>
        <w:tc>
          <w:tcPr>
            <w:tcW w:w="2359" w:type="dxa"/>
            <w:vAlign w:val="center"/>
          </w:tcPr>
          <w:p w14:paraId="0B845A2B">
            <w:pPr>
              <w:autoSpaceDE w:val="0"/>
              <w:autoSpaceDN w:val="0"/>
              <w:snapToGrid w:val="0"/>
              <w:spacing w:line="360" w:lineRule="auto"/>
              <w:textAlignment w:val="bottom"/>
              <w:outlineLvl w:val="0"/>
              <w:rPr>
                <w:rFonts w:ascii="宋体" w:hAnsi="宋体" w:cs="宋体"/>
                <w:color w:val="auto"/>
                <w:kern w:val="0"/>
                <w:sz w:val="24"/>
              </w:rPr>
            </w:pPr>
            <w:bookmarkStart w:id="70" w:name="_Toc29741"/>
            <w:bookmarkStart w:id="71" w:name="_Toc18969"/>
            <w:r>
              <w:rPr>
                <w:rFonts w:hint="eastAsia" w:ascii="宋体" w:hAnsi="宋体" w:cs="宋体"/>
                <w:color w:val="auto"/>
                <w:kern w:val="0"/>
                <w:sz w:val="24"/>
              </w:rPr>
              <w:t>小写：￥</w:t>
            </w:r>
            <w:bookmarkEnd w:id="70"/>
            <w:bookmarkEnd w:id="71"/>
          </w:p>
          <w:p w14:paraId="3D70CA96">
            <w:pPr>
              <w:autoSpaceDE w:val="0"/>
              <w:autoSpaceDN w:val="0"/>
              <w:snapToGrid w:val="0"/>
              <w:spacing w:line="360" w:lineRule="auto"/>
              <w:textAlignment w:val="bottom"/>
              <w:outlineLvl w:val="0"/>
              <w:rPr>
                <w:rFonts w:ascii="宋体" w:hAnsi="宋体" w:cs="宋体"/>
                <w:color w:val="auto"/>
                <w:kern w:val="0"/>
                <w:sz w:val="24"/>
              </w:rPr>
            </w:pPr>
            <w:bookmarkStart w:id="72" w:name="_Toc21686"/>
            <w:bookmarkStart w:id="73" w:name="_Toc9869"/>
            <w:r>
              <w:rPr>
                <w:rFonts w:hint="eastAsia" w:ascii="宋体" w:hAnsi="宋体" w:cs="宋体"/>
                <w:color w:val="auto"/>
                <w:kern w:val="0"/>
                <w:sz w:val="24"/>
              </w:rPr>
              <w:t>大写：</w:t>
            </w:r>
            <w:bookmarkEnd w:id="72"/>
            <w:bookmarkEnd w:id="73"/>
          </w:p>
        </w:tc>
        <w:tc>
          <w:tcPr>
            <w:tcW w:w="1473" w:type="dxa"/>
            <w:vAlign w:val="center"/>
          </w:tcPr>
          <w:p w14:paraId="6116CD2C">
            <w:pPr>
              <w:keepNext/>
              <w:keepLines/>
              <w:autoSpaceDE w:val="0"/>
              <w:autoSpaceDN w:val="0"/>
              <w:snapToGrid w:val="0"/>
              <w:spacing w:before="260" w:after="260" w:line="360" w:lineRule="auto"/>
              <w:jc w:val="center"/>
              <w:textAlignment w:val="bottom"/>
              <w:outlineLvl w:val="2"/>
              <w:rPr>
                <w:rFonts w:ascii="宋体" w:hAnsi="宋体" w:cs="宋体"/>
                <w:color w:val="auto"/>
                <w:kern w:val="0"/>
                <w:sz w:val="24"/>
              </w:rPr>
            </w:pPr>
          </w:p>
        </w:tc>
        <w:tc>
          <w:tcPr>
            <w:tcW w:w="1524" w:type="dxa"/>
            <w:vAlign w:val="center"/>
          </w:tcPr>
          <w:p w14:paraId="6BFF4AED">
            <w:pPr>
              <w:keepNext/>
              <w:keepLines/>
              <w:autoSpaceDE w:val="0"/>
              <w:autoSpaceDN w:val="0"/>
              <w:snapToGrid w:val="0"/>
              <w:spacing w:before="260" w:after="260" w:line="360" w:lineRule="auto"/>
              <w:jc w:val="center"/>
              <w:textAlignment w:val="bottom"/>
              <w:outlineLvl w:val="2"/>
              <w:rPr>
                <w:rFonts w:ascii="宋体" w:hAnsi="宋体" w:cs="宋体"/>
                <w:color w:val="auto"/>
                <w:kern w:val="0"/>
                <w:sz w:val="24"/>
              </w:rPr>
            </w:pPr>
          </w:p>
        </w:tc>
        <w:tc>
          <w:tcPr>
            <w:tcW w:w="1580" w:type="dxa"/>
            <w:vAlign w:val="center"/>
          </w:tcPr>
          <w:p w14:paraId="67AD9227">
            <w:pPr>
              <w:keepNext/>
              <w:keepLines/>
              <w:autoSpaceDE w:val="0"/>
              <w:autoSpaceDN w:val="0"/>
              <w:snapToGrid w:val="0"/>
              <w:spacing w:before="260" w:after="260" w:line="360" w:lineRule="auto"/>
              <w:jc w:val="center"/>
              <w:textAlignment w:val="bottom"/>
              <w:outlineLvl w:val="2"/>
              <w:rPr>
                <w:rFonts w:ascii="宋体" w:hAnsi="宋体" w:cs="宋体"/>
                <w:color w:val="auto"/>
                <w:kern w:val="0"/>
                <w:sz w:val="24"/>
              </w:rPr>
            </w:pPr>
          </w:p>
        </w:tc>
      </w:tr>
    </w:tbl>
    <w:p w14:paraId="30ACEF25">
      <w:pPr>
        <w:snapToGrid w:val="0"/>
        <w:spacing w:line="360" w:lineRule="auto"/>
        <w:jc w:val="left"/>
        <w:rPr>
          <w:rFonts w:ascii="宋体" w:hAnsi="宋体" w:cs="宋体"/>
          <w:color w:val="auto"/>
          <w:sz w:val="24"/>
        </w:rPr>
      </w:pPr>
      <w:r>
        <w:rPr>
          <w:rFonts w:hint="eastAsia" w:ascii="宋体" w:hAnsi="宋体" w:cs="宋体"/>
          <w:color w:val="auto"/>
          <w:sz w:val="24"/>
        </w:rPr>
        <w:t>注: 1.报价一经涂改，应在涂改处加盖单位公章或者由法定代表人或授权代表签字，否则其投标作无效标处理；</w:t>
      </w:r>
    </w:p>
    <w:p w14:paraId="0E96D6D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2.投标报价应包括为完成本项目所涉及的一切费用；</w:t>
      </w:r>
    </w:p>
    <w:p w14:paraId="4C5C8E6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3.以上报价应与“投标报价明细表”中的“合计”相一致。</w:t>
      </w:r>
    </w:p>
    <w:p w14:paraId="3FE16DA9">
      <w:pPr>
        <w:snapToGrid w:val="0"/>
        <w:spacing w:line="360" w:lineRule="auto"/>
        <w:jc w:val="left"/>
        <w:rPr>
          <w:rFonts w:ascii="宋体" w:hAnsi="宋体" w:cs="宋体"/>
          <w:color w:val="auto"/>
          <w:sz w:val="24"/>
        </w:rPr>
      </w:pPr>
    </w:p>
    <w:p w14:paraId="4E765905">
      <w:pPr>
        <w:snapToGrid w:val="0"/>
        <w:spacing w:line="360" w:lineRule="auto"/>
        <w:rPr>
          <w:rFonts w:ascii="宋体" w:hAnsi="宋体" w:cs="宋体"/>
          <w:color w:val="auto"/>
          <w:spacing w:val="20"/>
          <w:sz w:val="24"/>
        </w:rPr>
      </w:pPr>
      <w:r>
        <w:rPr>
          <w:rFonts w:hint="eastAsia" w:ascii="宋体" w:hAnsi="宋体" w:cs="宋体"/>
          <w:color w:val="auto"/>
          <w:spacing w:val="20"/>
          <w:sz w:val="24"/>
        </w:rPr>
        <w:t xml:space="preserve">投标人全称（公章）： </w:t>
      </w:r>
    </w:p>
    <w:p w14:paraId="1C34A251">
      <w:pPr>
        <w:snapToGrid w:val="0"/>
        <w:spacing w:line="360" w:lineRule="auto"/>
        <w:ind w:right="-817" w:rightChars="-389"/>
        <w:rPr>
          <w:rFonts w:ascii="宋体" w:hAnsi="宋体" w:cs="宋体"/>
          <w:color w:val="auto"/>
          <w:sz w:val="24"/>
        </w:rPr>
      </w:pPr>
      <w:r>
        <w:rPr>
          <w:rFonts w:hint="eastAsia" w:ascii="宋体" w:hAnsi="宋体" w:cs="宋体"/>
          <w:color w:val="auto"/>
          <w:sz w:val="24"/>
        </w:rPr>
        <w:t xml:space="preserve">法定代表人或授权代表（签字）： </w:t>
      </w:r>
    </w:p>
    <w:p w14:paraId="2A148A8B">
      <w:pPr>
        <w:snapToGrid w:val="0"/>
        <w:spacing w:line="360" w:lineRule="auto"/>
        <w:rPr>
          <w:rFonts w:ascii="宋体" w:hAnsi="宋体" w:cs="宋体"/>
          <w:color w:val="auto"/>
          <w:spacing w:val="20"/>
          <w:sz w:val="24"/>
          <w:u w:val="single"/>
        </w:rPr>
      </w:pPr>
      <w:r>
        <w:rPr>
          <w:rFonts w:hint="eastAsia" w:ascii="宋体" w:hAnsi="宋体" w:cs="宋体"/>
          <w:color w:val="auto"/>
          <w:spacing w:val="20"/>
          <w:sz w:val="24"/>
        </w:rPr>
        <w:t>日 期：</w:t>
      </w:r>
    </w:p>
    <w:p w14:paraId="370AD94A">
      <w:pPr>
        <w:snapToGrid w:val="0"/>
        <w:spacing w:line="360" w:lineRule="auto"/>
        <w:rPr>
          <w:rFonts w:ascii="宋体" w:hAnsi="宋体" w:cs="宋体"/>
          <w:color w:val="auto"/>
          <w:sz w:val="24"/>
        </w:rPr>
      </w:pPr>
    </w:p>
    <w:p w14:paraId="24E0C4F6">
      <w:pPr>
        <w:snapToGrid w:val="0"/>
        <w:spacing w:line="360" w:lineRule="auto"/>
        <w:rPr>
          <w:rFonts w:ascii="宋体" w:hAnsi="宋体" w:cs="宋体"/>
          <w:color w:val="auto"/>
          <w:sz w:val="24"/>
        </w:rPr>
      </w:pPr>
    </w:p>
    <w:p w14:paraId="110E9AE8">
      <w:pPr>
        <w:snapToGrid w:val="0"/>
        <w:spacing w:line="360" w:lineRule="auto"/>
        <w:rPr>
          <w:rFonts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8"/>
          <w:szCs w:val="28"/>
        </w:rPr>
        <w:t>投标报价明细表格式：</w:t>
      </w:r>
    </w:p>
    <w:p w14:paraId="4B044599">
      <w:pPr>
        <w:snapToGrid w:val="0"/>
        <w:spacing w:line="360" w:lineRule="auto"/>
        <w:jc w:val="center"/>
        <w:rPr>
          <w:rFonts w:ascii="宋体" w:hAnsi="宋体" w:cs="宋体"/>
          <w:b/>
          <w:color w:val="auto"/>
          <w:sz w:val="24"/>
        </w:rPr>
      </w:pPr>
      <w:r>
        <w:rPr>
          <w:rFonts w:hint="eastAsia" w:ascii="宋体" w:hAnsi="宋体" w:cs="宋体"/>
          <w:b/>
          <w:color w:val="auto"/>
          <w:sz w:val="28"/>
          <w:szCs w:val="28"/>
        </w:rPr>
        <w:t>标项投标报价明细表(每个标项单独一张表格)</w:t>
      </w:r>
    </w:p>
    <w:p w14:paraId="1AE2FF8D">
      <w:pPr>
        <w:snapToGrid w:val="0"/>
        <w:spacing w:line="360" w:lineRule="auto"/>
        <w:rPr>
          <w:rFonts w:ascii="宋体" w:hAnsi="宋体" w:cs="宋体"/>
          <w:sz w:val="24"/>
        </w:rPr>
      </w:pPr>
      <w:r>
        <w:rPr>
          <w:rFonts w:hint="eastAsia" w:ascii="宋体" w:hAnsi="宋体" w:cs="宋体"/>
          <w:sz w:val="24"/>
        </w:rPr>
        <w:t>项目名称：</w:t>
      </w:r>
    </w:p>
    <w:p w14:paraId="5F4F2730">
      <w:pPr>
        <w:snapToGrid w:val="0"/>
        <w:spacing w:line="360" w:lineRule="auto"/>
        <w:rPr>
          <w:rFonts w:ascii="宋体" w:hAnsi="宋体" w:cs="宋体"/>
          <w:sz w:val="24"/>
        </w:rPr>
      </w:pPr>
      <w:r>
        <w:rPr>
          <w:rFonts w:hint="eastAsia" w:ascii="宋体" w:hAnsi="宋体" w:cs="宋体"/>
          <w:sz w:val="24"/>
        </w:rPr>
        <w:t>项目编号：</w:t>
      </w:r>
    </w:p>
    <w:p w14:paraId="1482AC7E">
      <w:pPr>
        <w:snapToGrid w:val="0"/>
        <w:spacing w:line="360" w:lineRule="auto"/>
        <w:rPr>
          <w:rFonts w:ascii="宋体" w:hAnsi="宋体" w:cs="宋体"/>
          <w:sz w:val="24"/>
        </w:rPr>
      </w:pPr>
      <w:r>
        <w:rPr>
          <w:rFonts w:hint="eastAsia" w:ascii="宋体" w:hAnsi="宋体" w:cs="宋体"/>
          <w:sz w:val="24"/>
        </w:rPr>
        <w:t>标项：</w:t>
      </w:r>
    </w:p>
    <w:p w14:paraId="337E44FF">
      <w:pPr>
        <w:snapToGrid w:val="0"/>
        <w:spacing w:line="360" w:lineRule="auto"/>
        <w:rPr>
          <w:rFonts w:ascii="宋体" w:hAnsi="宋体" w:cs="宋体"/>
          <w:sz w:val="24"/>
        </w:rPr>
      </w:pPr>
    </w:p>
    <w:p w14:paraId="7FC2DD77">
      <w:pPr>
        <w:snapToGrid w:val="0"/>
        <w:spacing w:line="360" w:lineRule="auto"/>
        <w:ind w:firstLine="3120" w:firstLineChars="1300"/>
        <w:jc w:val="right"/>
        <w:rPr>
          <w:rFonts w:ascii="宋体" w:hAnsi="宋体" w:cs="宋体"/>
          <w:sz w:val="24"/>
        </w:rPr>
      </w:pPr>
      <w:r>
        <w:rPr>
          <w:rFonts w:hint="eastAsia" w:ascii="宋体" w:hAnsi="宋体" w:cs="宋体"/>
          <w:sz w:val="24"/>
        </w:rPr>
        <w:t>金额单位：人民币（元）</w:t>
      </w:r>
    </w:p>
    <w:tbl>
      <w:tblPr>
        <w:tblStyle w:val="34"/>
        <w:tblW w:w="104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4"/>
        <w:gridCol w:w="1396"/>
        <w:gridCol w:w="1774"/>
        <w:gridCol w:w="887"/>
        <w:gridCol w:w="887"/>
        <w:gridCol w:w="887"/>
        <w:gridCol w:w="698"/>
        <w:gridCol w:w="781"/>
        <w:gridCol w:w="892"/>
        <w:gridCol w:w="804"/>
        <w:gridCol w:w="804"/>
      </w:tblGrid>
      <w:tr w14:paraId="6600B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14:paraId="482C6A2B">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1396" w:type="dxa"/>
            <w:tcBorders>
              <w:top w:val="single" w:color="auto" w:sz="4" w:space="0"/>
              <w:left w:val="single" w:color="auto" w:sz="4" w:space="0"/>
              <w:bottom w:val="single" w:color="auto" w:sz="4" w:space="0"/>
              <w:right w:val="single" w:color="auto" w:sz="4" w:space="0"/>
            </w:tcBorders>
            <w:vAlign w:val="center"/>
          </w:tcPr>
          <w:p w14:paraId="53C9A64B">
            <w:pPr>
              <w:adjustRightInd w:val="0"/>
              <w:snapToGrid w:val="0"/>
              <w:spacing w:line="360" w:lineRule="auto"/>
              <w:jc w:val="center"/>
              <w:rPr>
                <w:rFonts w:ascii="宋体" w:hAnsi="宋体" w:cs="宋体"/>
                <w:sz w:val="24"/>
              </w:rPr>
            </w:pPr>
            <w:r>
              <w:rPr>
                <w:rFonts w:hint="eastAsia" w:ascii="宋体" w:hAnsi="宋体" w:cs="宋体"/>
                <w:sz w:val="24"/>
              </w:rPr>
              <w:t>名称</w:t>
            </w:r>
          </w:p>
        </w:tc>
        <w:tc>
          <w:tcPr>
            <w:tcW w:w="1774" w:type="dxa"/>
            <w:tcBorders>
              <w:top w:val="single" w:color="auto" w:sz="4" w:space="0"/>
              <w:left w:val="single" w:color="auto" w:sz="4" w:space="0"/>
              <w:bottom w:val="single" w:color="auto" w:sz="4" w:space="0"/>
              <w:right w:val="single" w:color="auto" w:sz="4" w:space="0"/>
            </w:tcBorders>
            <w:vAlign w:val="center"/>
          </w:tcPr>
          <w:p w14:paraId="677C4BDC">
            <w:pPr>
              <w:adjustRightInd w:val="0"/>
              <w:snapToGrid w:val="0"/>
              <w:spacing w:line="360" w:lineRule="auto"/>
              <w:jc w:val="center"/>
              <w:rPr>
                <w:rFonts w:ascii="宋体" w:hAnsi="宋体" w:cs="宋体"/>
                <w:sz w:val="24"/>
              </w:rPr>
            </w:pPr>
            <w:r>
              <w:rPr>
                <w:rFonts w:hint="eastAsia" w:ascii="宋体" w:hAnsi="宋体" w:cs="宋体"/>
                <w:sz w:val="24"/>
              </w:rPr>
              <w:t>品牌</w:t>
            </w:r>
          </w:p>
        </w:tc>
        <w:tc>
          <w:tcPr>
            <w:tcW w:w="887" w:type="dxa"/>
            <w:tcBorders>
              <w:top w:val="single" w:color="auto" w:sz="4" w:space="0"/>
              <w:left w:val="single" w:color="auto" w:sz="4" w:space="0"/>
              <w:bottom w:val="single" w:color="auto" w:sz="4" w:space="0"/>
              <w:right w:val="single" w:color="auto" w:sz="4" w:space="0"/>
            </w:tcBorders>
            <w:vAlign w:val="center"/>
          </w:tcPr>
          <w:p w14:paraId="4035DEF1">
            <w:pPr>
              <w:adjustRightInd w:val="0"/>
              <w:snapToGrid w:val="0"/>
              <w:spacing w:line="360" w:lineRule="auto"/>
              <w:jc w:val="center"/>
              <w:rPr>
                <w:rFonts w:ascii="宋体" w:hAnsi="宋体" w:cs="宋体"/>
                <w:sz w:val="24"/>
              </w:rPr>
            </w:pPr>
            <w:r>
              <w:rPr>
                <w:rFonts w:hint="eastAsia" w:ascii="宋体" w:hAnsi="宋体" w:cs="宋体"/>
                <w:sz w:val="24"/>
              </w:rPr>
              <w:t>产地</w:t>
            </w:r>
          </w:p>
        </w:tc>
        <w:tc>
          <w:tcPr>
            <w:tcW w:w="887" w:type="dxa"/>
            <w:tcBorders>
              <w:top w:val="single" w:color="auto" w:sz="4" w:space="0"/>
              <w:left w:val="single" w:color="auto" w:sz="4" w:space="0"/>
              <w:bottom w:val="single" w:color="auto" w:sz="4" w:space="0"/>
              <w:right w:val="single" w:color="auto" w:sz="4" w:space="0"/>
            </w:tcBorders>
            <w:vAlign w:val="center"/>
          </w:tcPr>
          <w:p w14:paraId="1F9384F5">
            <w:pPr>
              <w:adjustRightInd w:val="0"/>
              <w:snapToGrid w:val="0"/>
              <w:spacing w:line="360" w:lineRule="auto"/>
              <w:jc w:val="center"/>
              <w:rPr>
                <w:rFonts w:ascii="宋体" w:hAnsi="宋体" w:cs="宋体"/>
                <w:sz w:val="24"/>
              </w:rPr>
            </w:pPr>
            <w:r>
              <w:rPr>
                <w:rFonts w:hint="eastAsia" w:ascii="宋体" w:hAnsi="宋体" w:cs="宋体"/>
                <w:sz w:val="24"/>
              </w:rPr>
              <w:t>规格</w:t>
            </w:r>
          </w:p>
        </w:tc>
        <w:tc>
          <w:tcPr>
            <w:tcW w:w="887" w:type="dxa"/>
            <w:tcBorders>
              <w:top w:val="single" w:color="auto" w:sz="4" w:space="0"/>
              <w:left w:val="single" w:color="auto" w:sz="4" w:space="0"/>
              <w:bottom w:val="single" w:color="auto" w:sz="4" w:space="0"/>
              <w:right w:val="single" w:color="auto" w:sz="4" w:space="0"/>
            </w:tcBorders>
            <w:vAlign w:val="center"/>
          </w:tcPr>
          <w:p w14:paraId="3AAD4E0A">
            <w:pPr>
              <w:adjustRightInd w:val="0"/>
              <w:snapToGrid w:val="0"/>
              <w:spacing w:line="360" w:lineRule="auto"/>
              <w:jc w:val="center"/>
              <w:rPr>
                <w:rFonts w:ascii="宋体" w:hAnsi="宋体" w:cs="宋体"/>
                <w:sz w:val="24"/>
              </w:rPr>
            </w:pPr>
            <w:r>
              <w:rPr>
                <w:rFonts w:hint="eastAsia" w:ascii="宋体" w:hAnsi="宋体" w:cs="宋体"/>
                <w:sz w:val="24"/>
              </w:rPr>
              <w:t>型号</w:t>
            </w:r>
          </w:p>
        </w:tc>
        <w:tc>
          <w:tcPr>
            <w:tcW w:w="698" w:type="dxa"/>
            <w:tcBorders>
              <w:top w:val="single" w:color="auto" w:sz="4" w:space="0"/>
              <w:left w:val="single" w:color="auto" w:sz="4" w:space="0"/>
              <w:bottom w:val="single" w:color="auto" w:sz="4" w:space="0"/>
              <w:right w:val="single" w:color="auto" w:sz="4" w:space="0"/>
            </w:tcBorders>
            <w:vAlign w:val="center"/>
          </w:tcPr>
          <w:p w14:paraId="74A4B331">
            <w:pPr>
              <w:adjustRightInd w:val="0"/>
              <w:snapToGrid w:val="0"/>
              <w:spacing w:line="360" w:lineRule="auto"/>
              <w:jc w:val="center"/>
              <w:rPr>
                <w:rFonts w:ascii="宋体" w:hAnsi="宋体" w:cs="宋体"/>
                <w:sz w:val="24"/>
              </w:rPr>
            </w:pPr>
            <w:r>
              <w:rPr>
                <w:rFonts w:hint="eastAsia" w:ascii="宋体" w:hAnsi="宋体" w:cs="宋体"/>
                <w:sz w:val="24"/>
              </w:rPr>
              <w:t>数量</w:t>
            </w:r>
          </w:p>
        </w:tc>
        <w:tc>
          <w:tcPr>
            <w:tcW w:w="781" w:type="dxa"/>
            <w:tcBorders>
              <w:top w:val="single" w:color="auto" w:sz="4" w:space="0"/>
              <w:left w:val="single" w:color="auto" w:sz="4" w:space="0"/>
              <w:bottom w:val="single" w:color="auto" w:sz="4" w:space="0"/>
              <w:right w:val="single" w:color="auto" w:sz="4" w:space="0"/>
            </w:tcBorders>
            <w:vAlign w:val="center"/>
          </w:tcPr>
          <w:p w14:paraId="322FD516">
            <w:pPr>
              <w:adjustRightInd w:val="0"/>
              <w:snapToGrid w:val="0"/>
              <w:spacing w:line="360" w:lineRule="auto"/>
              <w:jc w:val="center"/>
              <w:rPr>
                <w:rFonts w:ascii="宋体" w:hAnsi="宋体" w:cs="宋体"/>
                <w:sz w:val="24"/>
              </w:rPr>
            </w:pPr>
            <w:r>
              <w:rPr>
                <w:rFonts w:hint="eastAsia" w:ascii="宋体" w:hAnsi="宋体" w:cs="宋体"/>
                <w:b/>
                <w:bCs/>
                <w:sz w:val="24"/>
              </w:rPr>
              <w:t>单价</w:t>
            </w:r>
          </w:p>
        </w:tc>
        <w:tc>
          <w:tcPr>
            <w:tcW w:w="892" w:type="dxa"/>
            <w:tcBorders>
              <w:top w:val="single" w:color="auto" w:sz="4" w:space="0"/>
              <w:left w:val="single" w:color="auto" w:sz="4" w:space="0"/>
              <w:bottom w:val="single" w:color="auto" w:sz="4" w:space="0"/>
              <w:right w:val="single" w:color="auto" w:sz="4" w:space="0"/>
            </w:tcBorders>
            <w:vAlign w:val="center"/>
          </w:tcPr>
          <w:p w14:paraId="5ECED238">
            <w:pPr>
              <w:adjustRightInd w:val="0"/>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小计</w:t>
            </w:r>
          </w:p>
        </w:tc>
        <w:tc>
          <w:tcPr>
            <w:tcW w:w="804" w:type="dxa"/>
            <w:tcBorders>
              <w:top w:val="single" w:color="auto" w:sz="4" w:space="0"/>
              <w:left w:val="single" w:color="auto" w:sz="4" w:space="0"/>
              <w:bottom w:val="single" w:color="auto" w:sz="4" w:space="0"/>
              <w:right w:val="single" w:color="auto" w:sz="4" w:space="0"/>
            </w:tcBorders>
            <w:vAlign w:val="center"/>
          </w:tcPr>
          <w:p w14:paraId="4076793C">
            <w:pPr>
              <w:adjustRightInd w:val="0"/>
              <w:snapToGrid w:val="0"/>
              <w:spacing w:line="360" w:lineRule="auto"/>
              <w:jc w:val="center"/>
              <w:rPr>
                <w:rFonts w:hint="default" w:ascii="宋体" w:hAnsi="宋体" w:eastAsia="宋体" w:cs="宋体"/>
                <w:sz w:val="24"/>
                <w:lang w:val="en-US" w:eastAsia="zh-CN"/>
              </w:rPr>
            </w:pPr>
            <w:r>
              <w:rPr>
                <w:rFonts w:hint="eastAsia" w:ascii="宋体" w:hAnsi="宋体" w:cs="宋体"/>
                <w:b/>
                <w:bCs/>
                <w:sz w:val="24"/>
                <w:highlight w:val="none"/>
                <w:lang w:val="en-US" w:eastAsia="zh-CN"/>
              </w:rPr>
              <w:t>分项合计</w:t>
            </w:r>
          </w:p>
        </w:tc>
        <w:tc>
          <w:tcPr>
            <w:tcW w:w="804" w:type="dxa"/>
            <w:tcBorders>
              <w:top w:val="single" w:color="auto" w:sz="4" w:space="0"/>
              <w:left w:val="single" w:color="auto" w:sz="4" w:space="0"/>
              <w:bottom w:val="single" w:color="auto" w:sz="4" w:space="0"/>
              <w:right w:val="single" w:color="auto" w:sz="4" w:space="0"/>
            </w:tcBorders>
            <w:vAlign w:val="center"/>
          </w:tcPr>
          <w:p w14:paraId="19F56CEB">
            <w:pPr>
              <w:adjustRightInd w:val="0"/>
              <w:snapToGrid w:val="0"/>
              <w:spacing w:line="360" w:lineRule="auto"/>
              <w:jc w:val="center"/>
              <w:rPr>
                <w:rFonts w:ascii="宋体" w:hAnsi="宋体" w:cs="宋体"/>
                <w:sz w:val="24"/>
              </w:rPr>
            </w:pPr>
            <w:r>
              <w:rPr>
                <w:rFonts w:hint="eastAsia" w:ascii="宋体" w:hAnsi="宋体" w:cs="宋体"/>
                <w:sz w:val="24"/>
              </w:rPr>
              <w:t>有关说明</w:t>
            </w:r>
          </w:p>
        </w:tc>
      </w:tr>
      <w:tr w14:paraId="3671C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vMerge w:val="restart"/>
            <w:tcBorders>
              <w:top w:val="single" w:color="auto" w:sz="4" w:space="0"/>
              <w:left w:val="single" w:color="auto" w:sz="4" w:space="0"/>
              <w:right w:val="single" w:color="auto" w:sz="4" w:space="0"/>
            </w:tcBorders>
            <w:vAlign w:val="center"/>
          </w:tcPr>
          <w:p w14:paraId="7474E0F8">
            <w:pPr>
              <w:adjustRightInd w:val="0"/>
              <w:snapToGrid w:val="0"/>
              <w:spacing w:line="360" w:lineRule="auto"/>
              <w:jc w:val="center"/>
              <w:rPr>
                <w:rFonts w:ascii="宋体" w:hAnsi="宋体" w:cs="宋体"/>
                <w:sz w:val="24"/>
              </w:rPr>
            </w:pPr>
            <w:r>
              <w:rPr>
                <w:rFonts w:hint="eastAsia" w:ascii="宋体" w:hAnsi="宋体" w:cs="宋体"/>
                <w:sz w:val="24"/>
              </w:rPr>
              <w:t>1</w:t>
            </w:r>
          </w:p>
        </w:tc>
        <w:tc>
          <w:tcPr>
            <w:tcW w:w="1396" w:type="dxa"/>
            <w:vMerge w:val="restart"/>
            <w:tcBorders>
              <w:top w:val="single" w:color="auto" w:sz="4" w:space="0"/>
              <w:left w:val="single" w:color="auto" w:sz="4" w:space="0"/>
              <w:right w:val="single" w:color="auto" w:sz="4" w:space="0"/>
            </w:tcBorders>
            <w:vAlign w:val="center"/>
          </w:tcPr>
          <w:p w14:paraId="449F6A6A">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3FDE70E7">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0C88E9BA">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1B9C1FFA">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5BED84C">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2E35335B">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33031477">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6A87AFC9">
            <w:pPr>
              <w:adjustRightInd w:val="0"/>
              <w:snapToGrid w:val="0"/>
              <w:spacing w:line="360" w:lineRule="auto"/>
              <w:jc w:val="center"/>
              <w:rPr>
                <w:rFonts w:ascii="宋体" w:hAnsi="宋体" w:cs="宋体"/>
                <w:sz w:val="24"/>
              </w:rPr>
            </w:pPr>
          </w:p>
        </w:tc>
        <w:tc>
          <w:tcPr>
            <w:tcW w:w="804" w:type="dxa"/>
            <w:vMerge w:val="restart"/>
            <w:tcBorders>
              <w:top w:val="single" w:color="auto" w:sz="4" w:space="0"/>
              <w:left w:val="single" w:color="auto" w:sz="4" w:space="0"/>
              <w:right w:val="single" w:color="auto" w:sz="4" w:space="0"/>
            </w:tcBorders>
            <w:vAlign w:val="center"/>
          </w:tcPr>
          <w:p w14:paraId="531584BD">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0032F5E5">
            <w:pPr>
              <w:adjustRightInd w:val="0"/>
              <w:snapToGrid w:val="0"/>
              <w:spacing w:line="360" w:lineRule="auto"/>
              <w:jc w:val="center"/>
              <w:rPr>
                <w:rFonts w:ascii="宋体" w:hAnsi="宋体" w:cs="宋体"/>
                <w:sz w:val="24"/>
              </w:rPr>
            </w:pPr>
          </w:p>
        </w:tc>
      </w:tr>
      <w:tr w14:paraId="350F5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vMerge w:val="continue"/>
            <w:tcBorders>
              <w:left w:val="single" w:color="auto" w:sz="4" w:space="0"/>
              <w:bottom w:val="single" w:color="auto" w:sz="4" w:space="0"/>
              <w:right w:val="single" w:color="auto" w:sz="4" w:space="0"/>
            </w:tcBorders>
            <w:vAlign w:val="center"/>
          </w:tcPr>
          <w:p w14:paraId="3F8E2564">
            <w:pPr>
              <w:adjustRightInd w:val="0"/>
              <w:snapToGrid w:val="0"/>
              <w:spacing w:line="360" w:lineRule="auto"/>
              <w:jc w:val="center"/>
              <w:rPr>
                <w:rFonts w:ascii="宋体" w:hAnsi="宋体" w:cs="宋体"/>
                <w:sz w:val="24"/>
              </w:rPr>
            </w:pPr>
          </w:p>
        </w:tc>
        <w:tc>
          <w:tcPr>
            <w:tcW w:w="1396" w:type="dxa"/>
            <w:vMerge w:val="continue"/>
            <w:tcBorders>
              <w:left w:val="single" w:color="auto" w:sz="4" w:space="0"/>
              <w:bottom w:val="single" w:color="auto" w:sz="4" w:space="0"/>
              <w:right w:val="single" w:color="auto" w:sz="4" w:space="0"/>
            </w:tcBorders>
            <w:vAlign w:val="center"/>
          </w:tcPr>
          <w:p w14:paraId="53215107">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71D64817">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A609938">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000B3FEA">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45E90821">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6DBD3D1B">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30C5B4A7">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50B8C874">
            <w:pPr>
              <w:adjustRightInd w:val="0"/>
              <w:snapToGrid w:val="0"/>
              <w:spacing w:line="360" w:lineRule="auto"/>
              <w:jc w:val="center"/>
              <w:rPr>
                <w:rFonts w:ascii="宋体" w:hAnsi="宋体" w:cs="宋体"/>
                <w:sz w:val="24"/>
              </w:rPr>
            </w:pPr>
          </w:p>
        </w:tc>
        <w:tc>
          <w:tcPr>
            <w:tcW w:w="804" w:type="dxa"/>
            <w:vMerge w:val="continue"/>
            <w:tcBorders>
              <w:left w:val="single" w:color="auto" w:sz="4" w:space="0"/>
              <w:bottom w:val="single" w:color="auto" w:sz="4" w:space="0"/>
              <w:right w:val="single" w:color="auto" w:sz="4" w:space="0"/>
            </w:tcBorders>
            <w:vAlign w:val="center"/>
          </w:tcPr>
          <w:p w14:paraId="40D57A53">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44BC3C7D">
            <w:pPr>
              <w:adjustRightInd w:val="0"/>
              <w:snapToGrid w:val="0"/>
              <w:spacing w:line="360" w:lineRule="auto"/>
              <w:jc w:val="center"/>
              <w:rPr>
                <w:rFonts w:ascii="宋体" w:hAnsi="宋体" w:cs="宋体"/>
                <w:sz w:val="24"/>
              </w:rPr>
            </w:pPr>
          </w:p>
        </w:tc>
      </w:tr>
      <w:tr w14:paraId="65397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vMerge w:val="restart"/>
            <w:tcBorders>
              <w:top w:val="single" w:color="auto" w:sz="4" w:space="0"/>
              <w:left w:val="single" w:color="auto" w:sz="4" w:space="0"/>
              <w:right w:val="single" w:color="auto" w:sz="4" w:space="0"/>
            </w:tcBorders>
            <w:vAlign w:val="center"/>
          </w:tcPr>
          <w:p w14:paraId="39B97BE8">
            <w:pPr>
              <w:adjustRightInd w:val="0"/>
              <w:snapToGrid w:val="0"/>
              <w:spacing w:line="360" w:lineRule="auto"/>
              <w:jc w:val="center"/>
              <w:rPr>
                <w:rFonts w:ascii="宋体" w:hAnsi="宋体" w:cs="宋体"/>
                <w:sz w:val="24"/>
              </w:rPr>
            </w:pPr>
            <w:r>
              <w:rPr>
                <w:rFonts w:hint="eastAsia" w:ascii="宋体" w:hAnsi="宋体" w:cs="宋体"/>
                <w:sz w:val="24"/>
              </w:rPr>
              <w:t>2</w:t>
            </w:r>
          </w:p>
        </w:tc>
        <w:tc>
          <w:tcPr>
            <w:tcW w:w="1396" w:type="dxa"/>
            <w:vMerge w:val="restart"/>
            <w:tcBorders>
              <w:top w:val="single" w:color="auto" w:sz="4" w:space="0"/>
              <w:left w:val="single" w:color="auto" w:sz="4" w:space="0"/>
              <w:right w:val="single" w:color="auto" w:sz="4" w:space="0"/>
            </w:tcBorders>
            <w:vAlign w:val="center"/>
          </w:tcPr>
          <w:p w14:paraId="240A5BE6">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64ECCF85">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DC82181">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31C28680">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A14DC62">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79E1C2A7">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74A189C2">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311C706D">
            <w:pPr>
              <w:adjustRightInd w:val="0"/>
              <w:snapToGrid w:val="0"/>
              <w:spacing w:line="360" w:lineRule="auto"/>
              <w:jc w:val="center"/>
              <w:rPr>
                <w:rFonts w:ascii="宋体" w:hAnsi="宋体" w:cs="宋体"/>
                <w:sz w:val="24"/>
              </w:rPr>
            </w:pPr>
          </w:p>
        </w:tc>
        <w:tc>
          <w:tcPr>
            <w:tcW w:w="804" w:type="dxa"/>
            <w:vMerge w:val="restart"/>
            <w:tcBorders>
              <w:top w:val="single" w:color="auto" w:sz="4" w:space="0"/>
              <w:left w:val="single" w:color="auto" w:sz="4" w:space="0"/>
              <w:right w:val="single" w:color="auto" w:sz="4" w:space="0"/>
            </w:tcBorders>
            <w:vAlign w:val="center"/>
          </w:tcPr>
          <w:p w14:paraId="573168DC">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5CE5EDFB">
            <w:pPr>
              <w:adjustRightInd w:val="0"/>
              <w:snapToGrid w:val="0"/>
              <w:spacing w:line="360" w:lineRule="auto"/>
              <w:jc w:val="center"/>
              <w:rPr>
                <w:rFonts w:ascii="宋体" w:hAnsi="宋体" w:cs="宋体"/>
                <w:sz w:val="24"/>
              </w:rPr>
            </w:pPr>
          </w:p>
        </w:tc>
      </w:tr>
      <w:tr w14:paraId="0D0AE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vMerge w:val="continue"/>
            <w:tcBorders>
              <w:left w:val="single" w:color="auto" w:sz="4" w:space="0"/>
              <w:bottom w:val="single" w:color="auto" w:sz="4" w:space="0"/>
              <w:right w:val="single" w:color="auto" w:sz="4" w:space="0"/>
            </w:tcBorders>
            <w:vAlign w:val="center"/>
          </w:tcPr>
          <w:p w14:paraId="1E70A0C0">
            <w:pPr>
              <w:adjustRightInd w:val="0"/>
              <w:snapToGrid w:val="0"/>
              <w:spacing w:line="360" w:lineRule="auto"/>
              <w:jc w:val="center"/>
              <w:rPr>
                <w:rFonts w:ascii="宋体" w:hAnsi="宋体" w:cs="宋体"/>
                <w:sz w:val="24"/>
              </w:rPr>
            </w:pPr>
          </w:p>
        </w:tc>
        <w:tc>
          <w:tcPr>
            <w:tcW w:w="1396" w:type="dxa"/>
            <w:vMerge w:val="continue"/>
            <w:tcBorders>
              <w:left w:val="single" w:color="auto" w:sz="4" w:space="0"/>
              <w:bottom w:val="single" w:color="auto" w:sz="4" w:space="0"/>
              <w:right w:val="single" w:color="auto" w:sz="4" w:space="0"/>
            </w:tcBorders>
            <w:vAlign w:val="center"/>
          </w:tcPr>
          <w:p w14:paraId="6D9CE8CC">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68E8DC44">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4F05A44C">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4DA21669">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1C34209">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60D2DB2A">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4942A145">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7395C09B">
            <w:pPr>
              <w:adjustRightInd w:val="0"/>
              <w:snapToGrid w:val="0"/>
              <w:spacing w:line="360" w:lineRule="auto"/>
              <w:jc w:val="center"/>
              <w:rPr>
                <w:rFonts w:ascii="宋体" w:hAnsi="宋体" w:cs="宋体"/>
                <w:sz w:val="24"/>
              </w:rPr>
            </w:pPr>
          </w:p>
        </w:tc>
        <w:tc>
          <w:tcPr>
            <w:tcW w:w="804" w:type="dxa"/>
            <w:vMerge w:val="continue"/>
            <w:tcBorders>
              <w:left w:val="single" w:color="auto" w:sz="4" w:space="0"/>
              <w:bottom w:val="single" w:color="auto" w:sz="4" w:space="0"/>
              <w:right w:val="single" w:color="auto" w:sz="4" w:space="0"/>
            </w:tcBorders>
            <w:vAlign w:val="center"/>
          </w:tcPr>
          <w:p w14:paraId="3C7E9FA7">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09800F8A">
            <w:pPr>
              <w:adjustRightInd w:val="0"/>
              <w:snapToGrid w:val="0"/>
              <w:spacing w:line="360" w:lineRule="auto"/>
              <w:jc w:val="center"/>
              <w:rPr>
                <w:rFonts w:ascii="宋体" w:hAnsi="宋体" w:cs="宋体"/>
                <w:sz w:val="24"/>
              </w:rPr>
            </w:pPr>
          </w:p>
        </w:tc>
      </w:tr>
      <w:tr w14:paraId="2B6EC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4" w:type="dxa"/>
            <w:vMerge w:val="restart"/>
            <w:tcBorders>
              <w:top w:val="single" w:color="auto" w:sz="4" w:space="0"/>
              <w:left w:val="single" w:color="auto" w:sz="4" w:space="0"/>
              <w:right w:val="single" w:color="auto" w:sz="4" w:space="0"/>
            </w:tcBorders>
            <w:vAlign w:val="center"/>
          </w:tcPr>
          <w:p w14:paraId="1F7A5F2B">
            <w:pPr>
              <w:adjustRightInd w:val="0"/>
              <w:snapToGrid w:val="0"/>
              <w:spacing w:line="360" w:lineRule="auto"/>
              <w:jc w:val="center"/>
              <w:rPr>
                <w:rFonts w:ascii="宋体" w:hAnsi="宋体" w:cs="宋体"/>
                <w:sz w:val="24"/>
              </w:rPr>
            </w:pPr>
            <w:r>
              <w:rPr>
                <w:rFonts w:hint="eastAsia" w:ascii="宋体" w:hAnsi="宋体" w:cs="宋体"/>
                <w:sz w:val="24"/>
              </w:rPr>
              <w:t>3</w:t>
            </w:r>
          </w:p>
        </w:tc>
        <w:tc>
          <w:tcPr>
            <w:tcW w:w="1396" w:type="dxa"/>
            <w:vMerge w:val="restart"/>
            <w:tcBorders>
              <w:top w:val="single" w:color="auto" w:sz="4" w:space="0"/>
              <w:left w:val="single" w:color="auto" w:sz="4" w:space="0"/>
              <w:right w:val="single" w:color="auto" w:sz="4" w:space="0"/>
            </w:tcBorders>
            <w:vAlign w:val="center"/>
          </w:tcPr>
          <w:p w14:paraId="02600519">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47A434EE">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4624DCA">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07BAFF7E">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4BBE2AB7">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6F7F1624">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5ABBDDA2">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3EF3945C">
            <w:pPr>
              <w:adjustRightInd w:val="0"/>
              <w:snapToGrid w:val="0"/>
              <w:spacing w:line="360" w:lineRule="auto"/>
              <w:jc w:val="center"/>
              <w:rPr>
                <w:rFonts w:ascii="宋体" w:hAnsi="宋体" w:cs="宋体"/>
                <w:sz w:val="24"/>
              </w:rPr>
            </w:pPr>
          </w:p>
        </w:tc>
        <w:tc>
          <w:tcPr>
            <w:tcW w:w="804" w:type="dxa"/>
            <w:vMerge w:val="restart"/>
            <w:tcBorders>
              <w:top w:val="single" w:color="auto" w:sz="4" w:space="0"/>
              <w:left w:val="single" w:color="auto" w:sz="4" w:space="0"/>
              <w:right w:val="single" w:color="auto" w:sz="4" w:space="0"/>
            </w:tcBorders>
            <w:vAlign w:val="center"/>
          </w:tcPr>
          <w:p w14:paraId="3B75310E">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75D67C67">
            <w:pPr>
              <w:adjustRightInd w:val="0"/>
              <w:snapToGrid w:val="0"/>
              <w:spacing w:line="360" w:lineRule="auto"/>
              <w:jc w:val="center"/>
              <w:rPr>
                <w:rFonts w:ascii="宋体" w:hAnsi="宋体" w:cs="宋体"/>
                <w:sz w:val="24"/>
              </w:rPr>
            </w:pPr>
          </w:p>
        </w:tc>
      </w:tr>
      <w:tr w14:paraId="1D937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34" w:type="dxa"/>
            <w:vMerge w:val="continue"/>
            <w:tcBorders>
              <w:left w:val="single" w:color="auto" w:sz="4" w:space="0"/>
              <w:bottom w:val="single" w:color="auto" w:sz="4" w:space="0"/>
              <w:right w:val="single" w:color="auto" w:sz="4" w:space="0"/>
            </w:tcBorders>
            <w:vAlign w:val="center"/>
          </w:tcPr>
          <w:p w14:paraId="2BC0FF2A">
            <w:pPr>
              <w:adjustRightInd w:val="0"/>
              <w:snapToGrid w:val="0"/>
              <w:spacing w:line="360" w:lineRule="auto"/>
              <w:jc w:val="center"/>
              <w:rPr>
                <w:rFonts w:ascii="宋体" w:hAnsi="宋体" w:cs="宋体"/>
                <w:sz w:val="24"/>
              </w:rPr>
            </w:pPr>
          </w:p>
        </w:tc>
        <w:tc>
          <w:tcPr>
            <w:tcW w:w="1396" w:type="dxa"/>
            <w:vMerge w:val="continue"/>
            <w:tcBorders>
              <w:left w:val="single" w:color="auto" w:sz="4" w:space="0"/>
              <w:bottom w:val="single" w:color="auto" w:sz="4" w:space="0"/>
              <w:right w:val="single" w:color="auto" w:sz="4" w:space="0"/>
            </w:tcBorders>
            <w:vAlign w:val="center"/>
          </w:tcPr>
          <w:p w14:paraId="6E3BD0DE">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25FD3CA3">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478334E">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CA9CCFD">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71582DD">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0C1AD847">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704EE3D">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2B0F2D0C">
            <w:pPr>
              <w:adjustRightInd w:val="0"/>
              <w:snapToGrid w:val="0"/>
              <w:spacing w:line="360" w:lineRule="auto"/>
              <w:jc w:val="center"/>
              <w:rPr>
                <w:rFonts w:ascii="宋体" w:hAnsi="宋体" w:cs="宋体"/>
                <w:sz w:val="24"/>
              </w:rPr>
            </w:pPr>
          </w:p>
        </w:tc>
        <w:tc>
          <w:tcPr>
            <w:tcW w:w="804" w:type="dxa"/>
            <w:vMerge w:val="continue"/>
            <w:tcBorders>
              <w:left w:val="single" w:color="auto" w:sz="4" w:space="0"/>
              <w:bottom w:val="single" w:color="auto" w:sz="4" w:space="0"/>
              <w:right w:val="single" w:color="auto" w:sz="4" w:space="0"/>
            </w:tcBorders>
            <w:vAlign w:val="center"/>
          </w:tcPr>
          <w:p w14:paraId="78D556F9">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3E40716E">
            <w:pPr>
              <w:adjustRightInd w:val="0"/>
              <w:snapToGrid w:val="0"/>
              <w:spacing w:line="360" w:lineRule="auto"/>
              <w:jc w:val="center"/>
              <w:rPr>
                <w:rFonts w:ascii="宋体" w:hAnsi="宋体" w:cs="宋体"/>
                <w:sz w:val="24"/>
              </w:rPr>
            </w:pPr>
          </w:p>
        </w:tc>
      </w:tr>
      <w:tr w14:paraId="7B483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34" w:type="dxa"/>
            <w:vMerge w:val="restart"/>
            <w:tcBorders>
              <w:top w:val="single" w:color="auto" w:sz="4" w:space="0"/>
              <w:left w:val="single" w:color="auto" w:sz="4" w:space="0"/>
              <w:right w:val="single" w:color="auto" w:sz="4" w:space="0"/>
            </w:tcBorders>
            <w:vAlign w:val="center"/>
          </w:tcPr>
          <w:p w14:paraId="45AB06A7">
            <w:pPr>
              <w:adjustRightInd w:val="0"/>
              <w:snapToGrid w:val="0"/>
              <w:spacing w:line="360" w:lineRule="auto"/>
              <w:jc w:val="center"/>
              <w:rPr>
                <w:rFonts w:ascii="宋体" w:hAnsi="宋体" w:cs="宋体"/>
                <w:sz w:val="24"/>
              </w:rPr>
            </w:pPr>
            <w:r>
              <w:rPr>
                <w:rFonts w:hint="eastAsia" w:ascii="宋体" w:hAnsi="宋体" w:cs="宋体"/>
                <w:sz w:val="24"/>
              </w:rPr>
              <w:t>4</w:t>
            </w:r>
          </w:p>
        </w:tc>
        <w:tc>
          <w:tcPr>
            <w:tcW w:w="1396" w:type="dxa"/>
            <w:vMerge w:val="restart"/>
            <w:tcBorders>
              <w:top w:val="single" w:color="auto" w:sz="4" w:space="0"/>
              <w:left w:val="single" w:color="auto" w:sz="4" w:space="0"/>
              <w:right w:val="single" w:color="auto" w:sz="4" w:space="0"/>
            </w:tcBorders>
            <w:vAlign w:val="center"/>
          </w:tcPr>
          <w:p w14:paraId="1F824D5C">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5F4F9156">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93D2D63">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16C4D671">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83D2E32">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7DE63FCF">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BA0FB59">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4AE96CF0">
            <w:pPr>
              <w:adjustRightInd w:val="0"/>
              <w:snapToGrid w:val="0"/>
              <w:spacing w:line="360" w:lineRule="auto"/>
              <w:jc w:val="center"/>
              <w:rPr>
                <w:rFonts w:ascii="宋体" w:hAnsi="宋体" w:cs="宋体"/>
                <w:sz w:val="24"/>
              </w:rPr>
            </w:pPr>
          </w:p>
        </w:tc>
        <w:tc>
          <w:tcPr>
            <w:tcW w:w="804" w:type="dxa"/>
            <w:vMerge w:val="restart"/>
            <w:tcBorders>
              <w:top w:val="single" w:color="auto" w:sz="4" w:space="0"/>
              <w:left w:val="single" w:color="auto" w:sz="4" w:space="0"/>
              <w:right w:val="single" w:color="auto" w:sz="4" w:space="0"/>
            </w:tcBorders>
            <w:vAlign w:val="center"/>
          </w:tcPr>
          <w:p w14:paraId="3487F775">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6A9C4D7A">
            <w:pPr>
              <w:adjustRightInd w:val="0"/>
              <w:snapToGrid w:val="0"/>
              <w:spacing w:line="360" w:lineRule="auto"/>
              <w:jc w:val="center"/>
              <w:rPr>
                <w:rFonts w:ascii="宋体" w:hAnsi="宋体" w:cs="宋体"/>
                <w:sz w:val="24"/>
              </w:rPr>
            </w:pPr>
          </w:p>
        </w:tc>
      </w:tr>
      <w:tr w14:paraId="0089F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34" w:type="dxa"/>
            <w:vMerge w:val="continue"/>
            <w:tcBorders>
              <w:left w:val="single" w:color="auto" w:sz="4" w:space="0"/>
              <w:bottom w:val="single" w:color="auto" w:sz="4" w:space="0"/>
              <w:right w:val="single" w:color="auto" w:sz="4" w:space="0"/>
            </w:tcBorders>
            <w:vAlign w:val="center"/>
          </w:tcPr>
          <w:p w14:paraId="6430F520">
            <w:pPr>
              <w:adjustRightInd w:val="0"/>
              <w:snapToGrid w:val="0"/>
              <w:spacing w:line="360" w:lineRule="auto"/>
              <w:jc w:val="center"/>
              <w:rPr>
                <w:rFonts w:ascii="宋体" w:hAnsi="宋体" w:cs="宋体"/>
                <w:sz w:val="24"/>
              </w:rPr>
            </w:pPr>
          </w:p>
        </w:tc>
        <w:tc>
          <w:tcPr>
            <w:tcW w:w="1396" w:type="dxa"/>
            <w:vMerge w:val="continue"/>
            <w:tcBorders>
              <w:left w:val="single" w:color="auto" w:sz="4" w:space="0"/>
              <w:bottom w:val="single" w:color="auto" w:sz="4" w:space="0"/>
              <w:right w:val="single" w:color="auto" w:sz="4" w:space="0"/>
            </w:tcBorders>
            <w:vAlign w:val="center"/>
          </w:tcPr>
          <w:p w14:paraId="4C5AC004">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26577465">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B370AC3">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417DF167">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9D862D0">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2CEF027C">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9CA4776">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3A1D2581">
            <w:pPr>
              <w:adjustRightInd w:val="0"/>
              <w:snapToGrid w:val="0"/>
              <w:spacing w:line="360" w:lineRule="auto"/>
              <w:jc w:val="center"/>
              <w:rPr>
                <w:rFonts w:ascii="宋体" w:hAnsi="宋体" w:cs="宋体"/>
                <w:sz w:val="24"/>
              </w:rPr>
            </w:pPr>
          </w:p>
        </w:tc>
        <w:tc>
          <w:tcPr>
            <w:tcW w:w="804" w:type="dxa"/>
            <w:vMerge w:val="continue"/>
            <w:tcBorders>
              <w:left w:val="single" w:color="auto" w:sz="4" w:space="0"/>
              <w:bottom w:val="single" w:color="auto" w:sz="4" w:space="0"/>
              <w:right w:val="single" w:color="auto" w:sz="4" w:space="0"/>
            </w:tcBorders>
            <w:vAlign w:val="center"/>
          </w:tcPr>
          <w:p w14:paraId="301DC469">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1D93E0D0">
            <w:pPr>
              <w:adjustRightInd w:val="0"/>
              <w:snapToGrid w:val="0"/>
              <w:spacing w:line="360" w:lineRule="auto"/>
              <w:jc w:val="center"/>
              <w:rPr>
                <w:rFonts w:ascii="宋体" w:hAnsi="宋体" w:cs="宋体"/>
                <w:sz w:val="24"/>
              </w:rPr>
            </w:pPr>
          </w:p>
        </w:tc>
      </w:tr>
      <w:tr w14:paraId="58B07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34" w:type="dxa"/>
            <w:vMerge w:val="restart"/>
            <w:tcBorders>
              <w:top w:val="single" w:color="auto" w:sz="4" w:space="0"/>
              <w:left w:val="single" w:color="auto" w:sz="4" w:space="0"/>
              <w:right w:val="single" w:color="auto" w:sz="4" w:space="0"/>
            </w:tcBorders>
            <w:vAlign w:val="center"/>
          </w:tcPr>
          <w:p w14:paraId="56AA6CB5">
            <w:pPr>
              <w:adjustRightInd w:val="0"/>
              <w:snapToGrid w:val="0"/>
              <w:spacing w:line="360" w:lineRule="auto"/>
              <w:jc w:val="center"/>
              <w:rPr>
                <w:rFonts w:ascii="宋体" w:hAnsi="宋体" w:cs="宋体"/>
                <w:sz w:val="24"/>
              </w:rPr>
            </w:pPr>
            <w:r>
              <w:rPr>
                <w:rFonts w:hint="eastAsia" w:ascii="宋体" w:hAnsi="宋体" w:cs="宋体"/>
                <w:sz w:val="24"/>
              </w:rPr>
              <w:t>...</w:t>
            </w:r>
          </w:p>
        </w:tc>
        <w:tc>
          <w:tcPr>
            <w:tcW w:w="1396" w:type="dxa"/>
            <w:vMerge w:val="restart"/>
            <w:tcBorders>
              <w:top w:val="single" w:color="auto" w:sz="4" w:space="0"/>
              <w:left w:val="single" w:color="auto" w:sz="4" w:space="0"/>
              <w:right w:val="single" w:color="auto" w:sz="4" w:space="0"/>
            </w:tcBorders>
            <w:vAlign w:val="center"/>
          </w:tcPr>
          <w:p w14:paraId="602174F2">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35623180">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1958879B">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3344F5A5">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05F65DEB">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2825C5CC">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194DD6E2">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7E57D095">
            <w:pPr>
              <w:adjustRightInd w:val="0"/>
              <w:snapToGrid w:val="0"/>
              <w:spacing w:line="360" w:lineRule="auto"/>
              <w:jc w:val="center"/>
              <w:rPr>
                <w:rFonts w:ascii="宋体" w:hAnsi="宋体" w:cs="宋体"/>
                <w:sz w:val="24"/>
              </w:rPr>
            </w:pPr>
          </w:p>
        </w:tc>
        <w:tc>
          <w:tcPr>
            <w:tcW w:w="804" w:type="dxa"/>
            <w:vMerge w:val="restart"/>
            <w:tcBorders>
              <w:top w:val="single" w:color="auto" w:sz="4" w:space="0"/>
              <w:left w:val="single" w:color="auto" w:sz="4" w:space="0"/>
              <w:right w:val="single" w:color="auto" w:sz="4" w:space="0"/>
            </w:tcBorders>
            <w:vAlign w:val="center"/>
          </w:tcPr>
          <w:p w14:paraId="3920592D">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2DC8E7FB">
            <w:pPr>
              <w:adjustRightInd w:val="0"/>
              <w:snapToGrid w:val="0"/>
              <w:spacing w:line="360" w:lineRule="auto"/>
              <w:jc w:val="center"/>
              <w:rPr>
                <w:rFonts w:ascii="宋体" w:hAnsi="宋体" w:cs="宋体"/>
                <w:sz w:val="24"/>
              </w:rPr>
            </w:pPr>
          </w:p>
        </w:tc>
      </w:tr>
      <w:tr w14:paraId="15A5E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34" w:type="dxa"/>
            <w:vMerge w:val="continue"/>
            <w:tcBorders>
              <w:left w:val="single" w:color="auto" w:sz="4" w:space="0"/>
              <w:bottom w:val="single" w:color="auto" w:sz="4" w:space="0"/>
              <w:right w:val="single" w:color="auto" w:sz="4" w:space="0"/>
            </w:tcBorders>
            <w:vAlign w:val="center"/>
          </w:tcPr>
          <w:p w14:paraId="0638C923">
            <w:pPr>
              <w:adjustRightInd w:val="0"/>
              <w:snapToGrid w:val="0"/>
              <w:spacing w:line="360" w:lineRule="auto"/>
              <w:jc w:val="center"/>
              <w:rPr>
                <w:rFonts w:ascii="宋体" w:hAnsi="宋体" w:cs="宋体"/>
                <w:sz w:val="24"/>
              </w:rPr>
            </w:pPr>
          </w:p>
        </w:tc>
        <w:tc>
          <w:tcPr>
            <w:tcW w:w="1396" w:type="dxa"/>
            <w:vMerge w:val="continue"/>
            <w:tcBorders>
              <w:left w:val="single" w:color="auto" w:sz="4" w:space="0"/>
              <w:bottom w:val="single" w:color="auto" w:sz="4" w:space="0"/>
              <w:right w:val="single" w:color="auto" w:sz="4" w:space="0"/>
            </w:tcBorders>
            <w:vAlign w:val="center"/>
          </w:tcPr>
          <w:p w14:paraId="6302443F">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5A7D5B08">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502D4AB">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BD90B4C">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F4564C9">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38A34BF0">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7B713DE9">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7BA5A519">
            <w:pPr>
              <w:adjustRightInd w:val="0"/>
              <w:snapToGrid w:val="0"/>
              <w:spacing w:line="360" w:lineRule="auto"/>
              <w:jc w:val="center"/>
              <w:rPr>
                <w:rFonts w:ascii="宋体" w:hAnsi="宋体" w:cs="宋体"/>
                <w:sz w:val="24"/>
              </w:rPr>
            </w:pPr>
          </w:p>
        </w:tc>
        <w:tc>
          <w:tcPr>
            <w:tcW w:w="804" w:type="dxa"/>
            <w:vMerge w:val="continue"/>
            <w:tcBorders>
              <w:left w:val="single" w:color="auto" w:sz="4" w:space="0"/>
              <w:bottom w:val="single" w:color="auto" w:sz="4" w:space="0"/>
              <w:right w:val="single" w:color="auto" w:sz="4" w:space="0"/>
            </w:tcBorders>
            <w:vAlign w:val="center"/>
          </w:tcPr>
          <w:p w14:paraId="4AF9FB8A">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47CFE3C0">
            <w:pPr>
              <w:adjustRightInd w:val="0"/>
              <w:snapToGrid w:val="0"/>
              <w:spacing w:line="360" w:lineRule="auto"/>
              <w:jc w:val="center"/>
              <w:rPr>
                <w:rFonts w:ascii="宋体" w:hAnsi="宋体" w:cs="宋体"/>
                <w:sz w:val="24"/>
              </w:rPr>
            </w:pPr>
          </w:p>
        </w:tc>
      </w:tr>
      <w:tr w14:paraId="638E6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44" w:type="dxa"/>
            <w:gridSpan w:val="8"/>
            <w:tcBorders>
              <w:top w:val="single" w:color="auto" w:sz="4" w:space="0"/>
              <w:left w:val="single" w:color="auto" w:sz="4" w:space="0"/>
              <w:bottom w:val="single" w:color="auto" w:sz="4" w:space="0"/>
              <w:right w:val="single" w:color="auto" w:sz="4" w:space="0"/>
            </w:tcBorders>
            <w:vAlign w:val="center"/>
          </w:tcPr>
          <w:p w14:paraId="40D3008F">
            <w:pPr>
              <w:adjustRightInd w:val="0"/>
              <w:snapToGrid w:val="0"/>
              <w:spacing w:line="360" w:lineRule="auto"/>
              <w:jc w:val="right"/>
              <w:rPr>
                <w:rFonts w:ascii="宋体" w:hAnsi="宋体" w:cs="宋体"/>
                <w:sz w:val="24"/>
              </w:rPr>
            </w:pPr>
            <w:r>
              <w:rPr>
                <w:rFonts w:hint="eastAsia" w:ascii="宋体" w:hAnsi="宋体" w:cs="宋体"/>
                <w:b/>
                <w:bCs/>
                <w:sz w:val="24"/>
                <w:highlight w:val="none"/>
                <w:lang w:val="en-US" w:eastAsia="zh-CN"/>
              </w:rPr>
              <w:t>标项</w:t>
            </w:r>
            <w:r>
              <w:rPr>
                <w:rFonts w:hint="eastAsia" w:ascii="宋体" w:hAnsi="宋体" w:cs="宋体"/>
                <w:b/>
                <w:bCs/>
                <w:sz w:val="24"/>
                <w:highlight w:val="none"/>
              </w:rPr>
              <w:t>合计</w:t>
            </w:r>
          </w:p>
        </w:tc>
        <w:tc>
          <w:tcPr>
            <w:tcW w:w="2500" w:type="dxa"/>
            <w:gridSpan w:val="3"/>
            <w:tcBorders>
              <w:top w:val="single" w:color="auto" w:sz="4" w:space="0"/>
              <w:left w:val="single" w:color="auto" w:sz="4" w:space="0"/>
              <w:bottom w:val="single" w:color="auto" w:sz="4" w:space="0"/>
              <w:right w:val="single" w:color="auto" w:sz="4" w:space="0"/>
            </w:tcBorders>
            <w:vAlign w:val="center"/>
          </w:tcPr>
          <w:p w14:paraId="113505D5">
            <w:pPr>
              <w:adjustRightInd w:val="0"/>
              <w:snapToGrid w:val="0"/>
              <w:spacing w:line="360" w:lineRule="auto"/>
              <w:jc w:val="center"/>
              <w:rPr>
                <w:rFonts w:ascii="宋体" w:hAnsi="宋体" w:cs="宋体"/>
                <w:sz w:val="24"/>
              </w:rPr>
            </w:pPr>
          </w:p>
        </w:tc>
      </w:tr>
    </w:tbl>
    <w:p w14:paraId="30CE6BF8">
      <w:pPr>
        <w:tabs>
          <w:tab w:val="left" w:pos="1418"/>
        </w:tabs>
        <w:snapToGrid w:val="0"/>
        <w:spacing w:line="360" w:lineRule="auto"/>
        <w:rPr>
          <w:rFonts w:ascii="宋体" w:hAnsi="宋体" w:cs="宋体"/>
          <w:sz w:val="24"/>
        </w:rPr>
      </w:pPr>
      <w:r>
        <w:rPr>
          <w:rFonts w:hint="eastAsia" w:ascii="宋体" w:hAnsi="宋体" w:cs="宋体"/>
          <w:sz w:val="24"/>
        </w:rPr>
        <w:t>注：1.此表总计金额应与 “开标一览表”中投标报价相一致；</w:t>
      </w:r>
    </w:p>
    <w:p w14:paraId="67EAE6C1">
      <w:pPr>
        <w:tabs>
          <w:tab w:val="left" w:pos="1418"/>
        </w:tabs>
        <w:snapToGrid w:val="0"/>
        <w:spacing w:line="360" w:lineRule="auto"/>
        <w:rPr>
          <w:rFonts w:ascii="宋体" w:hAnsi="宋体" w:cs="宋体"/>
          <w:sz w:val="24"/>
        </w:rPr>
      </w:pPr>
      <w:r>
        <w:rPr>
          <w:rFonts w:hint="eastAsia" w:ascii="宋体" w:hAnsi="宋体" w:cs="宋体"/>
          <w:sz w:val="24"/>
        </w:rPr>
        <w:t xml:space="preserve">    2.此表可进一步细分，栏目可另加，应包括为完成本项目可能发生的全部费用。</w:t>
      </w:r>
    </w:p>
    <w:p w14:paraId="56935E77">
      <w:pPr>
        <w:snapToGrid w:val="0"/>
        <w:spacing w:line="360" w:lineRule="auto"/>
        <w:rPr>
          <w:rFonts w:ascii="宋体" w:hAnsi="宋体" w:cs="宋体"/>
          <w:spacing w:val="20"/>
          <w:sz w:val="24"/>
        </w:rPr>
      </w:pPr>
    </w:p>
    <w:p w14:paraId="7128B8AB">
      <w:pPr>
        <w:tabs>
          <w:tab w:val="left" w:pos="1418"/>
        </w:tabs>
        <w:snapToGrid w:val="0"/>
        <w:spacing w:line="360" w:lineRule="auto"/>
        <w:rPr>
          <w:rFonts w:ascii="宋体" w:hAnsi="宋体" w:cs="宋体"/>
          <w:color w:val="auto"/>
          <w:sz w:val="24"/>
        </w:rPr>
      </w:pPr>
      <w:r>
        <w:rPr>
          <w:rFonts w:hint="eastAsia" w:ascii="宋体" w:hAnsi="宋体" w:cs="宋体"/>
          <w:b/>
          <w:bCs/>
          <w:spacing w:val="-6"/>
          <w:sz w:val="24"/>
          <w:lang w:val="en-US" w:eastAsia="zh-CN"/>
        </w:rPr>
        <w:t>提醒</w:t>
      </w:r>
      <w:r>
        <w:rPr>
          <w:rFonts w:hint="eastAsia" w:ascii="宋体" w:hAnsi="宋体" w:cs="宋体"/>
          <w:b/>
          <w:bCs/>
          <w:spacing w:val="-6"/>
          <w:sz w:val="24"/>
        </w:rPr>
        <w:t>：</w:t>
      </w:r>
      <w:r>
        <w:rPr>
          <w:rFonts w:hint="eastAsia" w:ascii="宋体" w:hAnsi="宋体" w:cs="宋体"/>
          <w:b/>
          <w:sz w:val="24"/>
          <w:u w:val="single"/>
        </w:rPr>
        <w:t>单价</w:t>
      </w:r>
      <w:r>
        <w:rPr>
          <w:rFonts w:hint="eastAsia" w:ascii="宋体" w:hAnsi="宋体" w:cs="宋体"/>
          <w:b/>
          <w:sz w:val="24"/>
          <w:u w:val="single"/>
          <w:lang w:val="en-US" w:eastAsia="zh-CN"/>
        </w:rPr>
        <w:t>报价</w:t>
      </w:r>
      <w:r>
        <w:rPr>
          <w:rFonts w:hint="eastAsia" w:ascii="宋体" w:hAnsi="宋体" w:cs="宋体"/>
          <w:b/>
          <w:sz w:val="24"/>
          <w:u w:val="single"/>
        </w:rPr>
        <w:t>、</w:t>
      </w:r>
      <w:r>
        <w:rPr>
          <w:rFonts w:hint="eastAsia" w:ascii="宋体" w:hAnsi="宋体" w:cs="宋体"/>
          <w:b/>
          <w:sz w:val="24"/>
          <w:u w:val="single"/>
          <w:lang w:val="en-US" w:eastAsia="zh-CN"/>
        </w:rPr>
        <w:t>分项合计</w:t>
      </w:r>
      <w:r>
        <w:rPr>
          <w:rFonts w:hint="eastAsia" w:ascii="宋体" w:hAnsi="宋体" w:cs="宋体"/>
          <w:b/>
          <w:sz w:val="24"/>
          <w:u w:val="single"/>
        </w:rPr>
        <w:t>报价</w:t>
      </w:r>
      <w:r>
        <w:rPr>
          <w:rFonts w:hint="eastAsia" w:ascii="宋体" w:hAnsi="宋体" w:cs="宋体"/>
          <w:b/>
          <w:sz w:val="24"/>
          <w:u w:val="single"/>
          <w:lang w:eastAsia="zh-CN"/>
        </w:rPr>
        <w:t>、</w:t>
      </w:r>
      <w:r>
        <w:rPr>
          <w:rFonts w:hint="eastAsia" w:ascii="宋体" w:hAnsi="宋体" w:cs="宋体"/>
          <w:b/>
          <w:sz w:val="24"/>
          <w:u w:val="single"/>
          <w:lang w:val="en-US" w:eastAsia="zh-CN"/>
        </w:rPr>
        <w:t>标项合计报价</w:t>
      </w:r>
      <w:r>
        <w:rPr>
          <w:rFonts w:hint="eastAsia" w:ascii="宋体" w:hAnsi="宋体" w:cs="宋体"/>
          <w:b/>
          <w:sz w:val="24"/>
        </w:rPr>
        <w:t>，以上所有报价均不得超过招标文件第一部分标明的对应最高限价。</w:t>
      </w:r>
    </w:p>
    <w:p w14:paraId="0EA355B7">
      <w:pPr>
        <w:snapToGrid w:val="0"/>
        <w:spacing w:line="360" w:lineRule="auto"/>
        <w:rPr>
          <w:rFonts w:ascii="宋体" w:hAnsi="宋体" w:cs="宋体"/>
          <w:color w:val="auto"/>
          <w:spacing w:val="20"/>
          <w:sz w:val="24"/>
        </w:rPr>
      </w:pPr>
    </w:p>
    <w:p w14:paraId="2AAB3A54">
      <w:pPr>
        <w:snapToGrid w:val="0"/>
        <w:spacing w:line="360" w:lineRule="auto"/>
        <w:rPr>
          <w:rFonts w:ascii="宋体" w:hAnsi="宋体" w:cs="宋体"/>
          <w:color w:val="auto"/>
          <w:spacing w:val="20"/>
          <w:sz w:val="24"/>
        </w:rPr>
      </w:pPr>
      <w:r>
        <w:rPr>
          <w:rFonts w:hint="eastAsia" w:ascii="宋体" w:hAnsi="宋体" w:cs="宋体"/>
          <w:color w:val="auto"/>
          <w:sz w:val="24"/>
        </w:rPr>
        <w:t>投标人全称（公章）</w:t>
      </w:r>
      <w:r>
        <w:rPr>
          <w:rFonts w:hint="eastAsia" w:ascii="宋体" w:hAnsi="宋体" w:cs="宋体"/>
          <w:color w:val="auto"/>
          <w:spacing w:val="20"/>
          <w:sz w:val="24"/>
        </w:rPr>
        <w:t xml:space="preserve">：      </w:t>
      </w:r>
    </w:p>
    <w:p w14:paraId="7E247C73">
      <w:pPr>
        <w:snapToGrid w:val="0"/>
        <w:spacing w:line="360" w:lineRule="auto"/>
        <w:rPr>
          <w:rFonts w:ascii="宋体" w:hAnsi="宋体" w:cs="宋体"/>
          <w:color w:val="auto"/>
          <w:spacing w:val="20"/>
          <w:sz w:val="24"/>
          <w:u w:val="single"/>
        </w:rPr>
      </w:pPr>
      <w:r>
        <w:rPr>
          <w:rFonts w:hint="eastAsia" w:ascii="宋体" w:hAnsi="宋体" w:cs="宋体"/>
          <w:color w:val="auto"/>
          <w:sz w:val="24"/>
        </w:rPr>
        <w:t>法定代表人或授权代表（签字）</w:t>
      </w:r>
      <w:r>
        <w:rPr>
          <w:rFonts w:hint="eastAsia" w:ascii="宋体" w:hAnsi="宋体" w:cs="宋体"/>
          <w:color w:val="auto"/>
          <w:spacing w:val="20"/>
          <w:sz w:val="24"/>
        </w:rPr>
        <w:t>：</w:t>
      </w:r>
    </w:p>
    <w:p w14:paraId="45167C70">
      <w:pPr>
        <w:snapToGrid w:val="0"/>
        <w:spacing w:line="360" w:lineRule="auto"/>
        <w:rPr>
          <w:rFonts w:ascii="宋体" w:hAnsi="宋体" w:cs="宋体"/>
          <w:b/>
          <w:color w:val="auto"/>
          <w:sz w:val="24"/>
        </w:rPr>
      </w:pPr>
      <w:r>
        <w:rPr>
          <w:rFonts w:hint="eastAsia" w:ascii="宋体" w:hAnsi="宋体" w:cs="宋体"/>
          <w:color w:val="auto"/>
          <w:spacing w:val="20"/>
          <w:sz w:val="24"/>
        </w:rPr>
        <w:t>日  期：</w:t>
      </w:r>
      <w:r>
        <w:rPr>
          <w:rFonts w:hint="eastAsia" w:ascii="宋体" w:hAnsi="宋体" w:cs="宋体"/>
          <w:color w:val="auto"/>
          <w:sz w:val="24"/>
        </w:rPr>
        <w:t xml:space="preserve">     年    月    日</w:t>
      </w:r>
    </w:p>
    <w:p w14:paraId="6B25AA60">
      <w:pPr>
        <w:snapToGrid w:val="0"/>
        <w:spacing w:line="360" w:lineRule="auto"/>
        <w:jc w:val="center"/>
        <w:rPr>
          <w:rFonts w:ascii="宋体" w:hAnsi="宋体" w:cs="宋体"/>
          <w:b/>
          <w:bCs/>
          <w:color w:val="auto"/>
          <w:sz w:val="28"/>
          <w:szCs w:val="28"/>
        </w:rPr>
        <w:sectPr>
          <w:footerReference r:id="rId15" w:type="default"/>
          <w:pgSz w:w="11906" w:h="16838"/>
          <w:pgMar w:top="1440" w:right="1274" w:bottom="1440" w:left="1276" w:header="851" w:footer="992" w:gutter="0"/>
          <w:cols w:space="425" w:num="1"/>
          <w:docGrid w:type="lines" w:linePitch="312" w:charSpace="0"/>
        </w:sectPr>
      </w:pPr>
    </w:p>
    <w:p w14:paraId="1401BAAB">
      <w:pPr>
        <w:snapToGrid w:val="0"/>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t>投标人针对报价需要说明的其他文件和说明（如有）</w:t>
      </w:r>
    </w:p>
    <w:p w14:paraId="6BC7DF2F">
      <w:pPr>
        <w:pStyle w:val="2"/>
        <w:rPr>
          <w:color w:val="auto"/>
        </w:rPr>
      </w:pPr>
    </w:p>
    <w:p w14:paraId="7FE4637F">
      <w:pPr>
        <w:rPr>
          <w:rFonts w:hint="eastAsia" w:ascii="宋体" w:hAnsi="宋体" w:eastAsia="宋体" w:cs="宋体"/>
          <w:color w:val="auto"/>
          <w:kern w:val="0"/>
          <w:sz w:val="24"/>
        </w:rPr>
      </w:pPr>
    </w:p>
    <w:p w14:paraId="7C38BDAB">
      <w:pPr>
        <w:jc w:val="center"/>
        <w:rPr>
          <w:rFonts w:ascii="宋体" w:hAnsi="宋体"/>
          <w:b/>
          <w:color w:val="auto"/>
          <w:sz w:val="24"/>
          <w:szCs w:val="20"/>
        </w:rPr>
      </w:pPr>
      <w:r>
        <w:rPr>
          <w:rFonts w:hint="eastAsia" w:ascii="宋体" w:hAnsi="宋体"/>
          <w:b/>
          <w:color w:val="auto"/>
          <w:spacing w:val="6"/>
          <w:sz w:val="24"/>
          <w:szCs w:val="20"/>
        </w:rPr>
        <w:t>节能环保产品证明材料（如有）</w:t>
      </w:r>
    </w:p>
    <w:p w14:paraId="0C8E9924">
      <w:pPr>
        <w:snapToGrid w:val="0"/>
        <w:rPr>
          <w:rFonts w:ascii="宋体" w:hAnsi="宋体"/>
          <w:color w:val="auto"/>
          <w:sz w:val="24"/>
          <w:szCs w:val="20"/>
        </w:rPr>
      </w:pPr>
    </w:p>
    <w:p w14:paraId="79C20D1F">
      <w:pPr>
        <w:snapToGrid w:val="0"/>
        <w:spacing w:line="360" w:lineRule="auto"/>
        <w:ind w:firstLine="504"/>
        <w:rPr>
          <w:rFonts w:ascii="宋体" w:hAnsi="宋体"/>
          <w:color w:val="auto"/>
          <w:spacing w:val="6"/>
          <w:sz w:val="24"/>
          <w:szCs w:val="22"/>
        </w:rPr>
      </w:pPr>
      <w:r>
        <w:rPr>
          <w:rFonts w:hint="eastAsia" w:ascii="宋体" w:hAnsi="宋体"/>
          <w:color w:val="auto"/>
          <w:spacing w:val="6"/>
          <w:sz w:val="24"/>
          <w:szCs w:val="22"/>
        </w:rPr>
        <w:t>说明：</w:t>
      </w:r>
    </w:p>
    <w:p w14:paraId="29F02D11">
      <w:pPr>
        <w:spacing w:line="360" w:lineRule="auto"/>
        <w:ind w:firstLine="504" w:firstLineChars="200"/>
        <w:rPr>
          <w:color w:val="auto"/>
        </w:rPr>
      </w:pPr>
      <w:r>
        <w:rPr>
          <w:rFonts w:hint="eastAsia" w:ascii="宋体" w:hAnsi="宋体"/>
          <w:color w:val="auto"/>
          <w:spacing w:val="6"/>
          <w:sz w:val="24"/>
          <w:szCs w:val="22"/>
        </w:rPr>
        <w:t>所投的产品属于《关于印发节能产品政府采购品目清单的通知》（财库〔2019〕19号文）、《关于印发环境标志产品政府采购品目清单的通知》（财库〔2019〕18号文），规定的节能产品与环境标志产品政府采购品目清单范围的，投标人须在投标文件中提供国家确定的认证机构出具的、处于有效期之内的节能产品、环境标志产品认证证书。对获得证书的产品实施政府优先采购或强制采购。</w:t>
      </w:r>
    </w:p>
    <w:sectPr>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A876">
    <w:pPr>
      <w:pStyle w:val="2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734EC">
    <w:pPr>
      <w:pStyle w:val="2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857F2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OrUyAgAAZ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sLsWRY2&#10;+t7yCB3l8Xa5D5AzqRxF6ZVAd+IG05f6dH4pcbz/3Keox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9w6tTICAABlBAAADgAAAAAAAAABACAAAAAfAQAAZHJzL2Uyb0RvYy54bWxQSwUG&#10;AAAAAAYABgBZAQAAwwUAAAAA&#10;">
              <v:fill on="f" focussize="0,0"/>
              <v:stroke on="f" weight="0.5pt"/>
              <v:imagedata o:title=""/>
              <o:lock v:ext="edit" aspectratio="f"/>
              <v:textbox inset="0mm,0mm,0mm,0mm" style="mso-fit-shape-to-text:t;">
                <w:txbxContent>
                  <w:p w14:paraId="23857F2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F547">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AFA19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KUn8z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mKUn8zAgAAZQQAAA4AAAAAAAAAAQAgAAAAHwEAAGRycy9lMm9Eb2MueG1sUEsF&#10;BgAAAAAGAAYAWQEAAMQFAAAAAA==&#10;">
              <v:fill on="f" focussize="0,0"/>
              <v:stroke on="f" weight="0.5pt"/>
              <v:imagedata o:title=""/>
              <o:lock v:ext="edit" aspectratio="f"/>
              <v:textbox inset="0mm,0mm,0mm,0mm" style="mso-fit-shape-to-text:t;">
                <w:txbxContent>
                  <w:p w14:paraId="71AFA19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99D7">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7BD60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jEGUz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SE2bMs&#10;bPWj5RE6yuPt6hAgZ1I5itIpge7EA6Yv9anflDjef55T1N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jEGUzAgAAZQQAAA4AAAAAAAAAAQAgAAAAHwEAAGRycy9lMm9Eb2MueG1sUEsF&#10;BgAAAAAGAAYAWQEAAMQFAAAAAA==&#10;">
              <v:fill on="f" focussize="0,0"/>
              <v:stroke on="f" weight="0.5pt"/>
              <v:imagedata o:title=""/>
              <o:lock v:ext="edit" aspectratio="f"/>
              <v:textbox inset="0mm,0mm,0mm,0mm" style="mso-fit-shape-to-text:t;">
                <w:txbxContent>
                  <w:p w14:paraId="047BD60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E5BB">
    <w:pPr>
      <w:pStyle w:val="21"/>
      <w:tabs>
        <w:tab w:val="left" w:pos="5101"/>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BE17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jTsQ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we5aF&#10;rX6wPEJHebxdHQLkTCpHUTol0J14wPSlPvWbEsf7z3OKevp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FjTsQzAgAAZQQAAA4AAAAAAAAAAQAgAAAAHwEAAGRycy9lMm9Eb2MueG1sUEsF&#10;BgAAAAAGAAYAWQEAAMQFAAAAAA==&#10;">
              <v:fill on="f" focussize="0,0"/>
              <v:stroke on="f" weight="0.5pt"/>
              <v:imagedata o:title=""/>
              <o:lock v:ext="edit" aspectratio="f"/>
              <v:textbox inset="0mm,0mm,0mm,0mm" style="mso-fit-shape-to-text:t;">
                <w:txbxContent>
                  <w:p w14:paraId="67BE17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41A7">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BAD3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wlVEzAgAAZ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ewlVEzAgAAZQQAAA4AAAAAAAAAAQAgAAAAHwEAAGRycy9lMm9Eb2MueG1sUEsF&#10;BgAAAAAGAAYAWQEAAMQFAAAAAA==&#10;">
              <v:fill on="f" focussize="0,0"/>
              <v:stroke on="f" weight="0.5pt"/>
              <v:imagedata o:title=""/>
              <o:lock v:ext="edit" aspectratio="f"/>
              <v:textbox inset="0mm,0mm,0mm,0mm" style="mso-fit-shape-to-text:t;">
                <w:txbxContent>
                  <w:p w14:paraId="27BAD3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A91C">
    <w:pPr>
      <w:pStyle w:val="2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F0B1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KDN4zAgAAZ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uKDN4zAgAAZQQAAA4AAAAAAAAAAQAgAAAAHwEAAGRycy9lMm9Eb2MueG1sUEsF&#10;BgAAAAAGAAYAWQEAAMQFAAAAAA==&#10;">
              <v:fill on="f" focussize="0,0"/>
              <v:stroke on="f" weight="0.5pt"/>
              <v:imagedata o:title=""/>
              <o:lock v:ext="edit" aspectratio="f"/>
              <v:textbox inset="0mm,0mm,0mm,0mm" style="mso-fit-shape-to-text:t;">
                <w:txbxContent>
                  <w:p w14:paraId="29F0B1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FC063">
    <w:pPr>
      <w:pStyle w:val="2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02F8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1eK8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sLsWRY2&#10;+t7yCB3l8Xa5D5AzqRxF6ZVAd+IB05f6dN6UON5/nlPU4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TV4rzICAABlBAAADgAAAAAAAAABACAAAAAfAQAAZHJzL2Uyb0RvYy54bWxQSwUG&#10;AAAAAAYABgBZAQAAwwUAAAAA&#10;">
              <v:fill on="f" focussize="0,0"/>
              <v:stroke on="f" weight="0.5pt"/>
              <v:imagedata o:title=""/>
              <o:lock v:ext="edit" aspectratio="f"/>
              <v:textbox inset="0mm,0mm,0mm,0mm" style="mso-fit-shape-to-text:t;">
                <w:txbxContent>
                  <w:p w14:paraId="1F02F85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C9076">
    <w:pPr>
      <w:pStyle w:val="21"/>
      <w:tabs>
        <w:tab w:val="left" w:pos="5101"/>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974E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Sc8YzAgAAZ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2Sc8YzAgAAZQQAAA4AAAAAAAAAAQAgAAAAHwEAAGRycy9lMm9Eb2MueG1sUEsF&#10;BgAAAAAGAAYAWQEAAMQFAAAAAA==&#10;">
              <v:fill on="f" focussize="0,0"/>
              <v:stroke on="f" weight="0.5pt"/>
              <v:imagedata o:title=""/>
              <o:lock v:ext="edit" aspectratio="f"/>
              <v:textbox inset="0mm,0mm,0mm,0mm" style="mso-fit-shape-to-text:t;">
                <w:txbxContent>
                  <w:p w14:paraId="07974E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90</w:t>
                    </w:r>
                    <w:r>
                      <w:rPr>
                        <w:rFonts w:hint="eastAsia"/>
                        <w:sz w:val="18"/>
                      </w:rPr>
                      <w:fldChar w:fldCharType="end"/>
                    </w:r>
                  </w:p>
                </w:txbxContent>
              </v:textbox>
            </v:shape>
          </w:pict>
        </mc:Fallback>
      </mc:AlternateConten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9292B">
    <w:pPr>
      <w:pStyle w:val="21"/>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2DD36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7MdwzAgAAZ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7MdwzAgAAZQQAAA4AAAAAAAAAAQAgAAAAHwEAAGRycy9lMm9Eb2MueG1sUEsF&#10;BgAAAAAGAAYAWQEAAMQFAAAAAA==&#10;">
              <v:fill on="f" focussize="0,0"/>
              <v:stroke on="f" weight="0.5pt"/>
              <v:imagedata o:title=""/>
              <o:lock v:ext="edit" aspectratio="f"/>
              <v:textbox inset="0mm,0mm,0mm,0mm" style="mso-fit-shape-to-text:t;">
                <w:txbxContent>
                  <w:p w14:paraId="3B2DD36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5BB7">
    <w:pPr>
      <w:widowControl/>
      <w:spacing w:line="360" w:lineRule="auto"/>
      <w:jc w:val="left"/>
      <w:rPr>
        <w:rFonts w:hint="eastAsia" w:ascii="宋体" w:hAnsi="宋体" w:cs="宋体"/>
        <w:bCs/>
        <w:spacing w:val="-11"/>
        <w:szCs w:val="21"/>
        <w:u w:val="single"/>
        <w:lang w:eastAsia="zh-CN"/>
      </w:rPr>
    </w:pPr>
    <w:r>
      <w:rPr>
        <w:rFonts w:hint="eastAsia" w:ascii="宋体" w:hAnsi="宋体" w:cs="宋体"/>
        <w:bCs/>
        <w:spacing w:val="-11"/>
        <w:szCs w:val="21"/>
        <w:u w:val="single"/>
        <w:lang w:eastAsia="zh-CN"/>
      </w:rPr>
      <w:t>浙江省嘉兴市消防救援支队2024年度装备器材采购项目(救生、警戒、堵漏和水域救援类）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0E7E">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856EA">
    <w:pPr>
      <w:widowControl/>
      <w:spacing w:line="360" w:lineRule="auto"/>
      <w:jc w:val="left"/>
      <w:rPr>
        <w:rFonts w:hint="eastAsia" w:ascii="宋体" w:hAnsi="宋体" w:cs="宋体"/>
        <w:bCs/>
        <w:spacing w:val="-20"/>
        <w:szCs w:val="21"/>
        <w:u w:val="single"/>
        <w:lang w:eastAsia="zh-CN"/>
      </w:rPr>
    </w:pPr>
    <w:r>
      <w:rPr>
        <w:rFonts w:hint="eastAsia" w:ascii="宋体" w:hAnsi="宋体" w:cs="宋体"/>
        <w:bCs/>
        <w:spacing w:val="-20"/>
        <w:szCs w:val="21"/>
        <w:u w:val="single"/>
        <w:lang w:eastAsia="zh-CN"/>
      </w:rPr>
      <w:t>浙江省嘉兴市消防救援支队2024年度装备器材采购项目(救生、警戒、堵漏和水域救援类）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91CDC"/>
    <w:multiLevelType w:val="singleLevel"/>
    <w:tmpl w:val="C7B91CDC"/>
    <w:lvl w:ilvl="0" w:tentative="0">
      <w:start w:val="1"/>
      <w:numFmt w:val="decimal"/>
      <w:suff w:val="nothing"/>
      <w:lvlText w:val="%1、"/>
      <w:lvlJc w:val="left"/>
    </w:lvl>
  </w:abstractNum>
  <w:abstractNum w:abstractNumId="1">
    <w:nsid w:val="E02575C6"/>
    <w:multiLevelType w:val="singleLevel"/>
    <w:tmpl w:val="E02575C6"/>
    <w:lvl w:ilvl="0" w:tentative="0">
      <w:start w:val="6"/>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8"/>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39172B00"/>
    <w:multiLevelType w:val="singleLevel"/>
    <w:tmpl w:val="39172B00"/>
    <w:lvl w:ilvl="0" w:tentative="0">
      <w:start w:val="6"/>
      <w:numFmt w:val="chineseCounting"/>
      <w:suff w:val="nothing"/>
      <w:lvlText w:val="%1、"/>
      <w:lvlJc w:val="left"/>
      <w:rPr>
        <w:rFonts w:hint="eastAsia"/>
      </w:rPr>
    </w:lvl>
  </w:abstractNum>
  <w:abstractNum w:abstractNumId="4">
    <w:nsid w:val="4E197FD4"/>
    <w:multiLevelType w:val="singleLevel"/>
    <w:tmpl w:val="4E197FD4"/>
    <w:lvl w:ilvl="0" w:tentative="0">
      <w:start w:val="2"/>
      <w:numFmt w:val="chineseCounting"/>
      <w:suff w:val="nothing"/>
      <w:lvlText w:val="（%1）"/>
      <w:lvlJc w:val="left"/>
      <w:pPr>
        <w:ind w:left="206"/>
      </w:pPr>
      <w:rPr>
        <w:rFonts w:hint="eastAsia"/>
      </w:rPr>
    </w:lvl>
  </w:abstractNum>
  <w:abstractNum w:abstractNumId="5">
    <w:nsid w:val="63F0414A"/>
    <w:multiLevelType w:val="singleLevel"/>
    <w:tmpl w:val="63F0414A"/>
    <w:lvl w:ilvl="0" w:tentative="0">
      <w:start w:val="1"/>
      <w:numFmt w:val="decimal"/>
      <w:suff w:val="nothing"/>
      <w:lvlText w:val="(%1)"/>
      <w:lvlJc w:val="left"/>
    </w:lvl>
  </w:abstractNum>
  <w:abstractNum w:abstractNumId="6">
    <w:nsid w:val="640A8526"/>
    <w:multiLevelType w:val="singleLevel"/>
    <w:tmpl w:val="640A8526"/>
    <w:lvl w:ilvl="0" w:tentative="0">
      <w:start w:val="2"/>
      <w:numFmt w:val="chineseCounting"/>
      <w:suff w:val="nothing"/>
      <w:lvlText w:val="%1、"/>
      <w:lvlJc w:val="left"/>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Yjc1ZjY5YjA4ZjBhMjIzMDY5MjI0NGQxN2YzNDMifQ=="/>
  </w:docVars>
  <w:rsids>
    <w:rsidRoot w:val="00F953F1"/>
    <w:rsid w:val="000061A4"/>
    <w:rsid w:val="00024F7E"/>
    <w:rsid w:val="00030203"/>
    <w:rsid w:val="00053F2A"/>
    <w:rsid w:val="000A002F"/>
    <w:rsid w:val="000B7DB0"/>
    <w:rsid w:val="000E636A"/>
    <w:rsid w:val="000E7BF5"/>
    <w:rsid w:val="001033BD"/>
    <w:rsid w:val="001108F4"/>
    <w:rsid w:val="00135281"/>
    <w:rsid w:val="0014149F"/>
    <w:rsid w:val="00151F4C"/>
    <w:rsid w:val="00160331"/>
    <w:rsid w:val="0016088D"/>
    <w:rsid w:val="00163264"/>
    <w:rsid w:val="00180739"/>
    <w:rsid w:val="00184F03"/>
    <w:rsid w:val="00195307"/>
    <w:rsid w:val="001A02C5"/>
    <w:rsid w:val="001A4BA1"/>
    <w:rsid w:val="001B02BF"/>
    <w:rsid w:val="001B0DB4"/>
    <w:rsid w:val="001C3A62"/>
    <w:rsid w:val="001C3FD8"/>
    <w:rsid w:val="001C46DC"/>
    <w:rsid w:val="001D0E39"/>
    <w:rsid w:val="001D2FD6"/>
    <w:rsid w:val="001D7301"/>
    <w:rsid w:val="001D7470"/>
    <w:rsid w:val="001F12B6"/>
    <w:rsid w:val="001F17EA"/>
    <w:rsid w:val="001F61FA"/>
    <w:rsid w:val="001F7EDF"/>
    <w:rsid w:val="00200C85"/>
    <w:rsid w:val="00201B24"/>
    <w:rsid w:val="0020682D"/>
    <w:rsid w:val="00212355"/>
    <w:rsid w:val="00220582"/>
    <w:rsid w:val="002213A0"/>
    <w:rsid w:val="002328D1"/>
    <w:rsid w:val="00254CCD"/>
    <w:rsid w:val="002714F7"/>
    <w:rsid w:val="0027379B"/>
    <w:rsid w:val="00275535"/>
    <w:rsid w:val="00283845"/>
    <w:rsid w:val="002A6C47"/>
    <w:rsid w:val="002A767A"/>
    <w:rsid w:val="002C5D33"/>
    <w:rsid w:val="002C662A"/>
    <w:rsid w:val="002D4343"/>
    <w:rsid w:val="00302FDF"/>
    <w:rsid w:val="00303666"/>
    <w:rsid w:val="003046AA"/>
    <w:rsid w:val="00307A15"/>
    <w:rsid w:val="003121DD"/>
    <w:rsid w:val="00317990"/>
    <w:rsid w:val="003259FC"/>
    <w:rsid w:val="00334213"/>
    <w:rsid w:val="00343ABA"/>
    <w:rsid w:val="00357F5D"/>
    <w:rsid w:val="00363F47"/>
    <w:rsid w:val="00364A4D"/>
    <w:rsid w:val="003C2951"/>
    <w:rsid w:val="003D3F4A"/>
    <w:rsid w:val="003E74F6"/>
    <w:rsid w:val="00401B4E"/>
    <w:rsid w:val="00410350"/>
    <w:rsid w:val="00412C27"/>
    <w:rsid w:val="00422E6C"/>
    <w:rsid w:val="004240CD"/>
    <w:rsid w:val="00431027"/>
    <w:rsid w:val="00445F0B"/>
    <w:rsid w:val="00453AEC"/>
    <w:rsid w:val="004550B3"/>
    <w:rsid w:val="004568E6"/>
    <w:rsid w:val="004720B3"/>
    <w:rsid w:val="00472895"/>
    <w:rsid w:val="00481DD8"/>
    <w:rsid w:val="004841A0"/>
    <w:rsid w:val="00493F1F"/>
    <w:rsid w:val="00497508"/>
    <w:rsid w:val="004A0E6F"/>
    <w:rsid w:val="004C422F"/>
    <w:rsid w:val="004D6F6F"/>
    <w:rsid w:val="004E7FDD"/>
    <w:rsid w:val="004F045E"/>
    <w:rsid w:val="004F0DF2"/>
    <w:rsid w:val="00502BEA"/>
    <w:rsid w:val="00514864"/>
    <w:rsid w:val="0053687F"/>
    <w:rsid w:val="00536F65"/>
    <w:rsid w:val="00541878"/>
    <w:rsid w:val="00541BEF"/>
    <w:rsid w:val="00551A6E"/>
    <w:rsid w:val="005A15BC"/>
    <w:rsid w:val="005B60B4"/>
    <w:rsid w:val="005C2570"/>
    <w:rsid w:val="005C47AF"/>
    <w:rsid w:val="005D0B0C"/>
    <w:rsid w:val="005E69AA"/>
    <w:rsid w:val="005F5ABB"/>
    <w:rsid w:val="00602E2B"/>
    <w:rsid w:val="006065B0"/>
    <w:rsid w:val="00666551"/>
    <w:rsid w:val="006710D3"/>
    <w:rsid w:val="006737EE"/>
    <w:rsid w:val="0068196F"/>
    <w:rsid w:val="006838E9"/>
    <w:rsid w:val="00683EFD"/>
    <w:rsid w:val="006A08A7"/>
    <w:rsid w:val="006B056D"/>
    <w:rsid w:val="006B5C99"/>
    <w:rsid w:val="006B7C09"/>
    <w:rsid w:val="006C3EF8"/>
    <w:rsid w:val="006F0EE1"/>
    <w:rsid w:val="006F1BBC"/>
    <w:rsid w:val="006F377B"/>
    <w:rsid w:val="007009AE"/>
    <w:rsid w:val="00705635"/>
    <w:rsid w:val="00705694"/>
    <w:rsid w:val="00721306"/>
    <w:rsid w:val="007323F3"/>
    <w:rsid w:val="00762857"/>
    <w:rsid w:val="0077275A"/>
    <w:rsid w:val="007821CA"/>
    <w:rsid w:val="00782329"/>
    <w:rsid w:val="00783C74"/>
    <w:rsid w:val="007901E1"/>
    <w:rsid w:val="00791CEA"/>
    <w:rsid w:val="007A3406"/>
    <w:rsid w:val="007A51D7"/>
    <w:rsid w:val="007B72F6"/>
    <w:rsid w:val="007B7320"/>
    <w:rsid w:val="007C5775"/>
    <w:rsid w:val="007D30A2"/>
    <w:rsid w:val="007E5E82"/>
    <w:rsid w:val="007E7BAA"/>
    <w:rsid w:val="007F2DF6"/>
    <w:rsid w:val="007F5C35"/>
    <w:rsid w:val="00811E09"/>
    <w:rsid w:val="008269F5"/>
    <w:rsid w:val="00837DE2"/>
    <w:rsid w:val="0084779D"/>
    <w:rsid w:val="0085548E"/>
    <w:rsid w:val="00861F51"/>
    <w:rsid w:val="0086492C"/>
    <w:rsid w:val="0086784B"/>
    <w:rsid w:val="00875FBF"/>
    <w:rsid w:val="00877F35"/>
    <w:rsid w:val="008820EE"/>
    <w:rsid w:val="00891B2C"/>
    <w:rsid w:val="00893F98"/>
    <w:rsid w:val="008A6DDB"/>
    <w:rsid w:val="008B299E"/>
    <w:rsid w:val="008C0149"/>
    <w:rsid w:val="008C6C64"/>
    <w:rsid w:val="00900520"/>
    <w:rsid w:val="00904915"/>
    <w:rsid w:val="00905078"/>
    <w:rsid w:val="00921FDC"/>
    <w:rsid w:val="009223E0"/>
    <w:rsid w:val="009230D3"/>
    <w:rsid w:val="00951637"/>
    <w:rsid w:val="00953905"/>
    <w:rsid w:val="00977B4B"/>
    <w:rsid w:val="00983A2F"/>
    <w:rsid w:val="00993A54"/>
    <w:rsid w:val="00997AC2"/>
    <w:rsid w:val="009A282B"/>
    <w:rsid w:val="009B31C4"/>
    <w:rsid w:val="009E16AA"/>
    <w:rsid w:val="009E43E6"/>
    <w:rsid w:val="00A05F96"/>
    <w:rsid w:val="00A06D66"/>
    <w:rsid w:val="00A07010"/>
    <w:rsid w:val="00A071C7"/>
    <w:rsid w:val="00A13AD7"/>
    <w:rsid w:val="00A35496"/>
    <w:rsid w:val="00A578DB"/>
    <w:rsid w:val="00A637B8"/>
    <w:rsid w:val="00A661F4"/>
    <w:rsid w:val="00A66218"/>
    <w:rsid w:val="00A72F57"/>
    <w:rsid w:val="00A732F5"/>
    <w:rsid w:val="00A81B6D"/>
    <w:rsid w:val="00A949C5"/>
    <w:rsid w:val="00A9632E"/>
    <w:rsid w:val="00AB3AE4"/>
    <w:rsid w:val="00AB428D"/>
    <w:rsid w:val="00AC36F7"/>
    <w:rsid w:val="00AD11D2"/>
    <w:rsid w:val="00AD1530"/>
    <w:rsid w:val="00AD4014"/>
    <w:rsid w:val="00AD674A"/>
    <w:rsid w:val="00AE5262"/>
    <w:rsid w:val="00B1140A"/>
    <w:rsid w:val="00B233D1"/>
    <w:rsid w:val="00B33929"/>
    <w:rsid w:val="00B428C8"/>
    <w:rsid w:val="00B627AF"/>
    <w:rsid w:val="00B715BC"/>
    <w:rsid w:val="00B81BA8"/>
    <w:rsid w:val="00B83A22"/>
    <w:rsid w:val="00BA45B1"/>
    <w:rsid w:val="00BC6027"/>
    <w:rsid w:val="00BF0C61"/>
    <w:rsid w:val="00BF5B58"/>
    <w:rsid w:val="00C012D7"/>
    <w:rsid w:val="00C14045"/>
    <w:rsid w:val="00C2351A"/>
    <w:rsid w:val="00C25C6D"/>
    <w:rsid w:val="00C26259"/>
    <w:rsid w:val="00C34DAD"/>
    <w:rsid w:val="00C42443"/>
    <w:rsid w:val="00C505AF"/>
    <w:rsid w:val="00C60EFA"/>
    <w:rsid w:val="00C77808"/>
    <w:rsid w:val="00CB3E56"/>
    <w:rsid w:val="00CD3E5A"/>
    <w:rsid w:val="00CE1AF7"/>
    <w:rsid w:val="00CF0180"/>
    <w:rsid w:val="00CF4209"/>
    <w:rsid w:val="00D23833"/>
    <w:rsid w:val="00D33E52"/>
    <w:rsid w:val="00D70859"/>
    <w:rsid w:val="00D7317E"/>
    <w:rsid w:val="00D84920"/>
    <w:rsid w:val="00DB674F"/>
    <w:rsid w:val="00DB7E75"/>
    <w:rsid w:val="00DF0B4B"/>
    <w:rsid w:val="00DF376B"/>
    <w:rsid w:val="00E01707"/>
    <w:rsid w:val="00E06404"/>
    <w:rsid w:val="00E260B1"/>
    <w:rsid w:val="00E40A45"/>
    <w:rsid w:val="00E421A1"/>
    <w:rsid w:val="00E4615B"/>
    <w:rsid w:val="00E46B5B"/>
    <w:rsid w:val="00E535A9"/>
    <w:rsid w:val="00E738CE"/>
    <w:rsid w:val="00E843E7"/>
    <w:rsid w:val="00E84CCF"/>
    <w:rsid w:val="00E87E54"/>
    <w:rsid w:val="00E93604"/>
    <w:rsid w:val="00EA1FDA"/>
    <w:rsid w:val="00EA2B31"/>
    <w:rsid w:val="00EA3A35"/>
    <w:rsid w:val="00EB19C1"/>
    <w:rsid w:val="00EC6614"/>
    <w:rsid w:val="00EF2F0F"/>
    <w:rsid w:val="00F01DB8"/>
    <w:rsid w:val="00F10D00"/>
    <w:rsid w:val="00F15EAF"/>
    <w:rsid w:val="00F24D6A"/>
    <w:rsid w:val="00F26F17"/>
    <w:rsid w:val="00F3453E"/>
    <w:rsid w:val="00F66F31"/>
    <w:rsid w:val="00F815F3"/>
    <w:rsid w:val="00F86EA3"/>
    <w:rsid w:val="00F953F1"/>
    <w:rsid w:val="00FA2BD5"/>
    <w:rsid w:val="00FA3F2A"/>
    <w:rsid w:val="00FA52D5"/>
    <w:rsid w:val="00FB4668"/>
    <w:rsid w:val="00FC2B2E"/>
    <w:rsid w:val="00FD071D"/>
    <w:rsid w:val="00FF2D20"/>
    <w:rsid w:val="01062EEC"/>
    <w:rsid w:val="010941FC"/>
    <w:rsid w:val="010C0502"/>
    <w:rsid w:val="01196E7A"/>
    <w:rsid w:val="011C44BE"/>
    <w:rsid w:val="011D3D11"/>
    <w:rsid w:val="01255120"/>
    <w:rsid w:val="012E6501"/>
    <w:rsid w:val="01352628"/>
    <w:rsid w:val="014D28C9"/>
    <w:rsid w:val="014F03EF"/>
    <w:rsid w:val="01565C22"/>
    <w:rsid w:val="015B3238"/>
    <w:rsid w:val="016E5A1A"/>
    <w:rsid w:val="016F3BA8"/>
    <w:rsid w:val="017442FA"/>
    <w:rsid w:val="01745C50"/>
    <w:rsid w:val="01904138"/>
    <w:rsid w:val="01983EB6"/>
    <w:rsid w:val="01A52705"/>
    <w:rsid w:val="01AD75A6"/>
    <w:rsid w:val="01B02489"/>
    <w:rsid w:val="01B64CBD"/>
    <w:rsid w:val="01B82CBF"/>
    <w:rsid w:val="01C83CDC"/>
    <w:rsid w:val="01CE57B8"/>
    <w:rsid w:val="01CF1530"/>
    <w:rsid w:val="01D408F4"/>
    <w:rsid w:val="01D929A8"/>
    <w:rsid w:val="01FD609D"/>
    <w:rsid w:val="0204567E"/>
    <w:rsid w:val="020E02AA"/>
    <w:rsid w:val="0213141D"/>
    <w:rsid w:val="02186A33"/>
    <w:rsid w:val="02317096"/>
    <w:rsid w:val="023D6EC0"/>
    <w:rsid w:val="02686CF7"/>
    <w:rsid w:val="02691984"/>
    <w:rsid w:val="026D3D68"/>
    <w:rsid w:val="02894CCF"/>
    <w:rsid w:val="0299348F"/>
    <w:rsid w:val="029F39B6"/>
    <w:rsid w:val="02A477D8"/>
    <w:rsid w:val="02AA528C"/>
    <w:rsid w:val="02D23086"/>
    <w:rsid w:val="02ED6112"/>
    <w:rsid w:val="02FA25DD"/>
    <w:rsid w:val="031713E0"/>
    <w:rsid w:val="031C3BCC"/>
    <w:rsid w:val="03220E0E"/>
    <w:rsid w:val="03304250"/>
    <w:rsid w:val="034A70C0"/>
    <w:rsid w:val="034F088E"/>
    <w:rsid w:val="035148F2"/>
    <w:rsid w:val="03525F75"/>
    <w:rsid w:val="036363D4"/>
    <w:rsid w:val="03655CA8"/>
    <w:rsid w:val="036D28B4"/>
    <w:rsid w:val="0388408C"/>
    <w:rsid w:val="03887BE8"/>
    <w:rsid w:val="03894E44"/>
    <w:rsid w:val="039B780B"/>
    <w:rsid w:val="03BB7FBE"/>
    <w:rsid w:val="03BC4CFD"/>
    <w:rsid w:val="03BD2820"/>
    <w:rsid w:val="03BD3D36"/>
    <w:rsid w:val="03D96696"/>
    <w:rsid w:val="03EC35E2"/>
    <w:rsid w:val="03EF7C67"/>
    <w:rsid w:val="040D00EE"/>
    <w:rsid w:val="041D37C2"/>
    <w:rsid w:val="042F62B6"/>
    <w:rsid w:val="043842A6"/>
    <w:rsid w:val="044A022A"/>
    <w:rsid w:val="04547BE4"/>
    <w:rsid w:val="045D04DB"/>
    <w:rsid w:val="045D1075"/>
    <w:rsid w:val="046820B1"/>
    <w:rsid w:val="046C6BAD"/>
    <w:rsid w:val="046C717B"/>
    <w:rsid w:val="046E0AF1"/>
    <w:rsid w:val="047D46E8"/>
    <w:rsid w:val="048D195A"/>
    <w:rsid w:val="04925711"/>
    <w:rsid w:val="04970315"/>
    <w:rsid w:val="04C9670A"/>
    <w:rsid w:val="04D651D4"/>
    <w:rsid w:val="04E377CC"/>
    <w:rsid w:val="04ED5A22"/>
    <w:rsid w:val="04EE6171"/>
    <w:rsid w:val="04F33828"/>
    <w:rsid w:val="04FF3EDA"/>
    <w:rsid w:val="05235E1B"/>
    <w:rsid w:val="054879E7"/>
    <w:rsid w:val="054E2642"/>
    <w:rsid w:val="056735C4"/>
    <w:rsid w:val="058014BF"/>
    <w:rsid w:val="058A7DC0"/>
    <w:rsid w:val="05971D90"/>
    <w:rsid w:val="05B025B9"/>
    <w:rsid w:val="05D35133"/>
    <w:rsid w:val="05F41565"/>
    <w:rsid w:val="06112117"/>
    <w:rsid w:val="062310E7"/>
    <w:rsid w:val="062E35C3"/>
    <w:rsid w:val="065F7326"/>
    <w:rsid w:val="06652463"/>
    <w:rsid w:val="066D0BE7"/>
    <w:rsid w:val="06834DAE"/>
    <w:rsid w:val="06880AF1"/>
    <w:rsid w:val="068A3C77"/>
    <w:rsid w:val="06905726"/>
    <w:rsid w:val="069B7C33"/>
    <w:rsid w:val="06C95DDB"/>
    <w:rsid w:val="06CB676A"/>
    <w:rsid w:val="06D875C7"/>
    <w:rsid w:val="06DC357B"/>
    <w:rsid w:val="06F13FE9"/>
    <w:rsid w:val="06F757B1"/>
    <w:rsid w:val="06F85085"/>
    <w:rsid w:val="070752C8"/>
    <w:rsid w:val="07131EBF"/>
    <w:rsid w:val="072909FF"/>
    <w:rsid w:val="073A435E"/>
    <w:rsid w:val="074321DF"/>
    <w:rsid w:val="074A0591"/>
    <w:rsid w:val="075F5104"/>
    <w:rsid w:val="07606C53"/>
    <w:rsid w:val="07746E01"/>
    <w:rsid w:val="077961C6"/>
    <w:rsid w:val="07AB0349"/>
    <w:rsid w:val="07C256A4"/>
    <w:rsid w:val="07CA189A"/>
    <w:rsid w:val="07CA73BB"/>
    <w:rsid w:val="07D57174"/>
    <w:rsid w:val="07F615C4"/>
    <w:rsid w:val="07F65A68"/>
    <w:rsid w:val="07FD4DC5"/>
    <w:rsid w:val="07FE4D16"/>
    <w:rsid w:val="080737D2"/>
    <w:rsid w:val="080B332E"/>
    <w:rsid w:val="082A73B1"/>
    <w:rsid w:val="08332E99"/>
    <w:rsid w:val="084D31AF"/>
    <w:rsid w:val="08512C9F"/>
    <w:rsid w:val="085A6080"/>
    <w:rsid w:val="085D7896"/>
    <w:rsid w:val="0881185D"/>
    <w:rsid w:val="08867A10"/>
    <w:rsid w:val="089A4646"/>
    <w:rsid w:val="08A059D4"/>
    <w:rsid w:val="08A76D63"/>
    <w:rsid w:val="08A8109F"/>
    <w:rsid w:val="08BB636A"/>
    <w:rsid w:val="08C23B9D"/>
    <w:rsid w:val="08C54326"/>
    <w:rsid w:val="08DD2BA6"/>
    <w:rsid w:val="08E5784E"/>
    <w:rsid w:val="08EC67E7"/>
    <w:rsid w:val="08F07502"/>
    <w:rsid w:val="08F17FDE"/>
    <w:rsid w:val="08F9554F"/>
    <w:rsid w:val="08FB2C0B"/>
    <w:rsid w:val="090441B5"/>
    <w:rsid w:val="090917CB"/>
    <w:rsid w:val="091F4B4B"/>
    <w:rsid w:val="0934727A"/>
    <w:rsid w:val="094571EA"/>
    <w:rsid w:val="09516917"/>
    <w:rsid w:val="09724DB5"/>
    <w:rsid w:val="09B41737"/>
    <w:rsid w:val="09B5725D"/>
    <w:rsid w:val="09B80B68"/>
    <w:rsid w:val="09BE5E69"/>
    <w:rsid w:val="09C807B0"/>
    <w:rsid w:val="0A060DE8"/>
    <w:rsid w:val="0A13403D"/>
    <w:rsid w:val="0A2148F3"/>
    <w:rsid w:val="0A252635"/>
    <w:rsid w:val="0A2C751F"/>
    <w:rsid w:val="0A4047F0"/>
    <w:rsid w:val="0A4725AB"/>
    <w:rsid w:val="0A5C4C50"/>
    <w:rsid w:val="0A5F6D1F"/>
    <w:rsid w:val="0A6610BB"/>
    <w:rsid w:val="0A6D017A"/>
    <w:rsid w:val="0A7D7D7B"/>
    <w:rsid w:val="0A8266DE"/>
    <w:rsid w:val="0A9304A6"/>
    <w:rsid w:val="0AAE78F9"/>
    <w:rsid w:val="0AB819EC"/>
    <w:rsid w:val="0AC6388D"/>
    <w:rsid w:val="0ACE29C5"/>
    <w:rsid w:val="0AD36E36"/>
    <w:rsid w:val="0ADD6A6C"/>
    <w:rsid w:val="0AE14E9A"/>
    <w:rsid w:val="0AE861B1"/>
    <w:rsid w:val="0AEF1EE3"/>
    <w:rsid w:val="0B100BEF"/>
    <w:rsid w:val="0B2C354F"/>
    <w:rsid w:val="0B3A5C6C"/>
    <w:rsid w:val="0B534F80"/>
    <w:rsid w:val="0B5968C5"/>
    <w:rsid w:val="0B6E5916"/>
    <w:rsid w:val="0B776EC0"/>
    <w:rsid w:val="0B815649"/>
    <w:rsid w:val="0B835865"/>
    <w:rsid w:val="0BB75B5F"/>
    <w:rsid w:val="0BBA7F7A"/>
    <w:rsid w:val="0BBC0D77"/>
    <w:rsid w:val="0BBE2834"/>
    <w:rsid w:val="0BC503B0"/>
    <w:rsid w:val="0BC639A4"/>
    <w:rsid w:val="0BDC6D23"/>
    <w:rsid w:val="0BE80195"/>
    <w:rsid w:val="0C0F534B"/>
    <w:rsid w:val="0C1C7A68"/>
    <w:rsid w:val="0C4A3E07"/>
    <w:rsid w:val="0C6367E1"/>
    <w:rsid w:val="0C6D2071"/>
    <w:rsid w:val="0C6D3E1F"/>
    <w:rsid w:val="0C730925"/>
    <w:rsid w:val="0CBB4B90"/>
    <w:rsid w:val="0CC22901"/>
    <w:rsid w:val="0CC47EE3"/>
    <w:rsid w:val="0CD22B8F"/>
    <w:rsid w:val="0CD8573D"/>
    <w:rsid w:val="0CD94D10"/>
    <w:rsid w:val="0CE0168F"/>
    <w:rsid w:val="0CE70A00"/>
    <w:rsid w:val="0CE834F8"/>
    <w:rsid w:val="0CF461D8"/>
    <w:rsid w:val="0CFB148C"/>
    <w:rsid w:val="0D284335"/>
    <w:rsid w:val="0D311E61"/>
    <w:rsid w:val="0D3E1A08"/>
    <w:rsid w:val="0D3F3A0E"/>
    <w:rsid w:val="0D4973EC"/>
    <w:rsid w:val="0D674D12"/>
    <w:rsid w:val="0D690A8B"/>
    <w:rsid w:val="0D6C2329"/>
    <w:rsid w:val="0D7161F6"/>
    <w:rsid w:val="0D766D04"/>
    <w:rsid w:val="0D817B82"/>
    <w:rsid w:val="0D870F11"/>
    <w:rsid w:val="0D8A1217"/>
    <w:rsid w:val="0D8F6A6A"/>
    <w:rsid w:val="0D915000"/>
    <w:rsid w:val="0D917081"/>
    <w:rsid w:val="0D961154"/>
    <w:rsid w:val="0D9E5A0B"/>
    <w:rsid w:val="0D9E6E36"/>
    <w:rsid w:val="0D9F625A"/>
    <w:rsid w:val="0DB461AA"/>
    <w:rsid w:val="0DB5782C"/>
    <w:rsid w:val="0DE40111"/>
    <w:rsid w:val="0DE97EF3"/>
    <w:rsid w:val="0DF06AB6"/>
    <w:rsid w:val="0E176739"/>
    <w:rsid w:val="0E46377B"/>
    <w:rsid w:val="0E574D87"/>
    <w:rsid w:val="0E5928AD"/>
    <w:rsid w:val="0E5C0944"/>
    <w:rsid w:val="0E5C287C"/>
    <w:rsid w:val="0E5F1E8C"/>
    <w:rsid w:val="0E646DB9"/>
    <w:rsid w:val="0E6B438E"/>
    <w:rsid w:val="0E6C60B9"/>
    <w:rsid w:val="0E6F425B"/>
    <w:rsid w:val="0E70013B"/>
    <w:rsid w:val="0E795B72"/>
    <w:rsid w:val="0E957A50"/>
    <w:rsid w:val="0E980759"/>
    <w:rsid w:val="0EA87391"/>
    <w:rsid w:val="0EAF1E2A"/>
    <w:rsid w:val="0EB9159E"/>
    <w:rsid w:val="0EC3241C"/>
    <w:rsid w:val="0ED8201D"/>
    <w:rsid w:val="0EDB7766"/>
    <w:rsid w:val="0EE52393"/>
    <w:rsid w:val="0EEA1757"/>
    <w:rsid w:val="0EEA493A"/>
    <w:rsid w:val="0EF736FD"/>
    <w:rsid w:val="0EF820C6"/>
    <w:rsid w:val="0F0F11BE"/>
    <w:rsid w:val="0F276507"/>
    <w:rsid w:val="0F294CCD"/>
    <w:rsid w:val="0F2E5AE8"/>
    <w:rsid w:val="0F40099C"/>
    <w:rsid w:val="0F4D5ADD"/>
    <w:rsid w:val="0F6A6D45"/>
    <w:rsid w:val="0F7756E1"/>
    <w:rsid w:val="0F791285"/>
    <w:rsid w:val="0F7F00F1"/>
    <w:rsid w:val="0F914CE4"/>
    <w:rsid w:val="0F917701"/>
    <w:rsid w:val="0FAB0948"/>
    <w:rsid w:val="0FBF2BE4"/>
    <w:rsid w:val="0FCD2334"/>
    <w:rsid w:val="0FDC34BA"/>
    <w:rsid w:val="0FE443F8"/>
    <w:rsid w:val="0FEB20AE"/>
    <w:rsid w:val="0FF6270E"/>
    <w:rsid w:val="0FFD2710"/>
    <w:rsid w:val="10030D22"/>
    <w:rsid w:val="100920B1"/>
    <w:rsid w:val="100F5919"/>
    <w:rsid w:val="101543ED"/>
    <w:rsid w:val="102869DB"/>
    <w:rsid w:val="102F6440"/>
    <w:rsid w:val="103837FD"/>
    <w:rsid w:val="10417A9D"/>
    <w:rsid w:val="10634DBB"/>
    <w:rsid w:val="10780801"/>
    <w:rsid w:val="109D1177"/>
    <w:rsid w:val="10A926FD"/>
    <w:rsid w:val="10B22749"/>
    <w:rsid w:val="10CC0393"/>
    <w:rsid w:val="10CD181F"/>
    <w:rsid w:val="10CE77DA"/>
    <w:rsid w:val="10D10E21"/>
    <w:rsid w:val="10D211E8"/>
    <w:rsid w:val="10E00411"/>
    <w:rsid w:val="10EF574B"/>
    <w:rsid w:val="110F36F7"/>
    <w:rsid w:val="11466EFA"/>
    <w:rsid w:val="11515ABE"/>
    <w:rsid w:val="11535CDA"/>
    <w:rsid w:val="115E3A20"/>
    <w:rsid w:val="11677DCA"/>
    <w:rsid w:val="117B4D02"/>
    <w:rsid w:val="118D6763"/>
    <w:rsid w:val="11950E8F"/>
    <w:rsid w:val="119D6F55"/>
    <w:rsid w:val="11A55E09"/>
    <w:rsid w:val="11B118CB"/>
    <w:rsid w:val="11B136A4"/>
    <w:rsid w:val="11C23F91"/>
    <w:rsid w:val="11CE5575"/>
    <w:rsid w:val="11D566EF"/>
    <w:rsid w:val="11DF1879"/>
    <w:rsid w:val="121B7D2D"/>
    <w:rsid w:val="121E3A90"/>
    <w:rsid w:val="121E7D94"/>
    <w:rsid w:val="122B4561"/>
    <w:rsid w:val="12442667"/>
    <w:rsid w:val="12555A81"/>
    <w:rsid w:val="12744159"/>
    <w:rsid w:val="127C300E"/>
    <w:rsid w:val="127F665A"/>
    <w:rsid w:val="12A775F9"/>
    <w:rsid w:val="12AF6A58"/>
    <w:rsid w:val="12BE3627"/>
    <w:rsid w:val="12C96440"/>
    <w:rsid w:val="12E9234C"/>
    <w:rsid w:val="130152C1"/>
    <w:rsid w:val="130A23C8"/>
    <w:rsid w:val="131566FB"/>
    <w:rsid w:val="13161C63"/>
    <w:rsid w:val="13166FBF"/>
    <w:rsid w:val="131C555B"/>
    <w:rsid w:val="132C0590"/>
    <w:rsid w:val="13382D62"/>
    <w:rsid w:val="13436557"/>
    <w:rsid w:val="13547AE7"/>
    <w:rsid w:val="138603C4"/>
    <w:rsid w:val="138E08A4"/>
    <w:rsid w:val="139E4F28"/>
    <w:rsid w:val="139F5D8C"/>
    <w:rsid w:val="13B660AC"/>
    <w:rsid w:val="13EF7E7D"/>
    <w:rsid w:val="13F22D47"/>
    <w:rsid w:val="13F4007D"/>
    <w:rsid w:val="1407156E"/>
    <w:rsid w:val="14107EB2"/>
    <w:rsid w:val="142B6A61"/>
    <w:rsid w:val="1432607A"/>
    <w:rsid w:val="14397409"/>
    <w:rsid w:val="143D5922"/>
    <w:rsid w:val="14531B4D"/>
    <w:rsid w:val="14887A48"/>
    <w:rsid w:val="149F4D92"/>
    <w:rsid w:val="14B92C89"/>
    <w:rsid w:val="14C33176"/>
    <w:rsid w:val="14D64C58"/>
    <w:rsid w:val="14DE6A21"/>
    <w:rsid w:val="150F1F18"/>
    <w:rsid w:val="151E215B"/>
    <w:rsid w:val="152B2F60"/>
    <w:rsid w:val="152D6842"/>
    <w:rsid w:val="153C60B9"/>
    <w:rsid w:val="1548367B"/>
    <w:rsid w:val="154B4D55"/>
    <w:rsid w:val="15525411"/>
    <w:rsid w:val="15597637"/>
    <w:rsid w:val="156F2112"/>
    <w:rsid w:val="1571710F"/>
    <w:rsid w:val="157B51E3"/>
    <w:rsid w:val="15804BC3"/>
    <w:rsid w:val="158707F5"/>
    <w:rsid w:val="159B53F7"/>
    <w:rsid w:val="15A776FC"/>
    <w:rsid w:val="15AE34DE"/>
    <w:rsid w:val="15B10EC9"/>
    <w:rsid w:val="15B8610B"/>
    <w:rsid w:val="15BF56EC"/>
    <w:rsid w:val="15CD5A17"/>
    <w:rsid w:val="15CD6BAA"/>
    <w:rsid w:val="15E038B4"/>
    <w:rsid w:val="15E213DA"/>
    <w:rsid w:val="160550C9"/>
    <w:rsid w:val="16065913"/>
    <w:rsid w:val="161A6DC6"/>
    <w:rsid w:val="161F43DC"/>
    <w:rsid w:val="162426A6"/>
    <w:rsid w:val="16314C03"/>
    <w:rsid w:val="164756E1"/>
    <w:rsid w:val="165B045C"/>
    <w:rsid w:val="165C118C"/>
    <w:rsid w:val="168B55A7"/>
    <w:rsid w:val="16A05D95"/>
    <w:rsid w:val="16A92647"/>
    <w:rsid w:val="16B012A6"/>
    <w:rsid w:val="16B9038D"/>
    <w:rsid w:val="16C83DF0"/>
    <w:rsid w:val="16CC48D0"/>
    <w:rsid w:val="16D12E22"/>
    <w:rsid w:val="16D2532F"/>
    <w:rsid w:val="16DB3640"/>
    <w:rsid w:val="16E42186"/>
    <w:rsid w:val="171F1E57"/>
    <w:rsid w:val="17247BCF"/>
    <w:rsid w:val="17367C2F"/>
    <w:rsid w:val="173B3498"/>
    <w:rsid w:val="174E67B9"/>
    <w:rsid w:val="175F22DC"/>
    <w:rsid w:val="17710C68"/>
    <w:rsid w:val="1776627E"/>
    <w:rsid w:val="17793AAE"/>
    <w:rsid w:val="177F7DC5"/>
    <w:rsid w:val="17800EAB"/>
    <w:rsid w:val="178C5AA1"/>
    <w:rsid w:val="17B603AC"/>
    <w:rsid w:val="17B9616B"/>
    <w:rsid w:val="17C1780C"/>
    <w:rsid w:val="17D64F6F"/>
    <w:rsid w:val="17E51656"/>
    <w:rsid w:val="17EC50B3"/>
    <w:rsid w:val="17EF517D"/>
    <w:rsid w:val="17F84EE5"/>
    <w:rsid w:val="180475F9"/>
    <w:rsid w:val="180C40FF"/>
    <w:rsid w:val="18282BB7"/>
    <w:rsid w:val="1853036D"/>
    <w:rsid w:val="18565892"/>
    <w:rsid w:val="1864257A"/>
    <w:rsid w:val="18642EE1"/>
    <w:rsid w:val="187327BD"/>
    <w:rsid w:val="18790B29"/>
    <w:rsid w:val="187B15CB"/>
    <w:rsid w:val="18853327"/>
    <w:rsid w:val="188D1AD1"/>
    <w:rsid w:val="18962A55"/>
    <w:rsid w:val="189D537A"/>
    <w:rsid w:val="18B30C10"/>
    <w:rsid w:val="18BC23B6"/>
    <w:rsid w:val="18DE3549"/>
    <w:rsid w:val="18F275FC"/>
    <w:rsid w:val="18FB66E5"/>
    <w:rsid w:val="190C4E70"/>
    <w:rsid w:val="19157D18"/>
    <w:rsid w:val="191D1108"/>
    <w:rsid w:val="191F46F3"/>
    <w:rsid w:val="19241D0A"/>
    <w:rsid w:val="19291407"/>
    <w:rsid w:val="1929489D"/>
    <w:rsid w:val="19404D95"/>
    <w:rsid w:val="19436634"/>
    <w:rsid w:val="194B5BAC"/>
    <w:rsid w:val="194C1B82"/>
    <w:rsid w:val="194F6D87"/>
    <w:rsid w:val="1954439D"/>
    <w:rsid w:val="1968209C"/>
    <w:rsid w:val="19684FDE"/>
    <w:rsid w:val="19742C91"/>
    <w:rsid w:val="19762565"/>
    <w:rsid w:val="197B5DCD"/>
    <w:rsid w:val="198F7ACB"/>
    <w:rsid w:val="199C7AF2"/>
    <w:rsid w:val="19A2596F"/>
    <w:rsid w:val="19A33916"/>
    <w:rsid w:val="19BB1D72"/>
    <w:rsid w:val="19C87A59"/>
    <w:rsid w:val="19CF1C75"/>
    <w:rsid w:val="19D21766"/>
    <w:rsid w:val="19DE33F1"/>
    <w:rsid w:val="19E36822"/>
    <w:rsid w:val="19F33BB6"/>
    <w:rsid w:val="19FF5865"/>
    <w:rsid w:val="1A044015"/>
    <w:rsid w:val="1A0C78C6"/>
    <w:rsid w:val="1A116732"/>
    <w:rsid w:val="1A1B3D93"/>
    <w:rsid w:val="1A3022CF"/>
    <w:rsid w:val="1A386243"/>
    <w:rsid w:val="1A420D87"/>
    <w:rsid w:val="1A4408B5"/>
    <w:rsid w:val="1A473F02"/>
    <w:rsid w:val="1A50725A"/>
    <w:rsid w:val="1A516B2E"/>
    <w:rsid w:val="1A5B5BFF"/>
    <w:rsid w:val="1A6F3854"/>
    <w:rsid w:val="1A8213DE"/>
    <w:rsid w:val="1A8567D8"/>
    <w:rsid w:val="1A864A2A"/>
    <w:rsid w:val="1AA524C6"/>
    <w:rsid w:val="1AB23A71"/>
    <w:rsid w:val="1AB471EC"/>
    <w:rsid w:val="1ABF3738"/>
    <w:rsid w:val="1AC76DF0"/>
    <w:rsid w:val="1AE14356"/>
    <w:rsid w:val="1AFA34B2"/>
    <w:rsid w:val="1B00078C"/>
    <w:rsid w:val="1B0166D3"/>
    <w:rsid w:val="1B0C34A1"/>
    <w:rsid w:val="1B0E4A1F"/>
    <w:rsid w:val="1B1C7737"/>
    <w:rsid w:val="1B1D1533"/>
    <w:rsid w:val="1B1F4E7E"/>
    <w:rsid w:val="1B35528E"/>
    <w:rsid w:val="1B3A75C2"/>
    <w:rsid w:val="1B3E70B3"/>
    <w:rsid w:val="1B457DFB"/>
    <w:rsid w:val="1B6034CD"/>
    <w:rsid w:val="1B612DA1"/>
    <w:rsid w:val="1B682381"/>
    <w:rsid w:val="1B6A2AA1"/>
    <w:rsid w:val="1B820372"/>
    <w:rsid w:val="1B851185"/>
    <w:rsid w:val="1B94523D"/>
    <w:rsid w:val="1BA610EE"/>
    <w:rsid w:val="1BAB04C0"/>
    <w:rsid w:val="1BAE0D09"/>
    <w:rsid w:val="1BBB060D"/>
    <w:rsid w:val="1BBE01F3"/>
    <w:rsid w:val="1BCC50C0"/>
    <w:rsid w:val="1BE25346"/>
    <w:rsid w:val="1BF74872"/>
    <w:rsid w:val="1C057BD0"/>
    <w:rsid w:val="1C141762"/>
    <w:rsid w:val="1C1632AF"/>
    <w:rsid w:val="1C285F01"/>
    <w:rsid w:val="1C365FDC"/>
    <w:rsid w:val="1C542906"/>
    <w:rsid w:val="1C784846"/>
    <w:rsid w:val="1C7C30FD"/>
    <w:rsid w:val="1C80413E"/>
    <w:rsid w:val="1C9D7FFD"/>
    <w:rsid w:val="1CA53161"/>
    <w:rsid w:val="1CAE0268"/>
    <w:rsid w:val="1CBF723D"/>
    <w:rsid w:val="1CC8165E"/>
    <w:rsid w:val="1CD43891"/>
    <w:rsid w:val="1CE41EDC"/>
    <w:rsid w:val="1CF70591"/>
    <w:rsid w:val="1CFD57C0"/>
    <w:rsid w:val="1D0E4C42"/>
    <w:rsid w:val="1D1125A5"/>
    <w:rsid w:val="1D1F34C2"/>
    <w:rsid w:val="1D210A3A"/>
    <w:rsid w:val="1D257DE8"/>
    <w:rsid w:val="1D2859E8"/>
    <w:rsid w:val="1D40486A"/>
    <w:rsid w:val="1D497F91"/>
    <w:rsid w:val="1D4E37F9"/>
    <w:rsid w:val="1D541830"/>
    <w:rsid w:val="1D5A219E"/>
    <w:rsid w:val="1D5E6E3B"/>
    <w:rsid w:val="1D6222E7"/>
    <w:rsid w:val="1D916D0B"/>
    <w:rsid w:val="1D974E91"/>
    <w:rsid w:val="1DA14BC8"/>
    <w:rsid w:val="1DB33764"/>
    <w:rsid w:val="1DCA10D2"/>
    <w:rsid w:val="1DD435CF"/>
    <w:rsid w:val="1DE7047D"/>
    <w:rsid w:val="1DE83745"/>
    <w:rsid w:val="1DF4614E"/>
    <w:rsid w:val="1E05035C"/>
    <w:rsid w:val="1E085F02"/>
    <w:rsid w:val="1E097E8B"/>
    <w:rsid w:val="1E165ED8"/>
    <w:rsid w:val="1E1862E1"/>
    <w:rsid w:val="1E3B5065"/>
    <w:rsid w:val="1E5B441F"/>
    <w:rsid w:val="1E61373D"/>
    <w:rsid w:val="1E6B4261"/>
    <w:rsid w:val="1E6C76B0"/>
    <w:rsid w:val="1E9E3037"/>
    <w:rsid w:val="1EB23EEA"/>
    <w:rsid w:val="1EBF49AE"/>
    <w:rsid w:val="1EC37FF1"/>
    <w:rsid w:val="1EDA17E8"/>
    <w:rsid w:val="1EDB1391"/>
    <w:rsid w:val="1EDB3DA9"/>
    <w:rsid w:val="1EF108E0"/>
    <w:rsid w:val="1EF70436"/>
    <w:rsid w:val="1EFD3AF0"/>
    <w:rsid w:val="1F024D9C"/>
    <w:rsid w:val="1F100D66"/>
    <w:rsid w:val="1F132604"/>
    <w:rsid w:val="1F136AA8"/>
    <w:rsid w:val="1F30529C"/>
    <w:rsid w:val="1F321CEC"/>
    <w:rsid w:val="1F364345"/>
    <w:rsid w:val="1F3F789D"/>
    <w:rsid w:val="1F4153C3"/>
    <w:rsid w:val="1F4853F4"/>
    <w:rsid w:val="1F604CFF"/>
    <w:rsid w:val="1F677925"/>
    <w:rsid w:val="1F827B58"/>
    <w:rsid w:val="1F95179E"/>
    <w:rsid w:val="1F98501D"/>
    <w:rsid w:val="1F9A0F77"/>
    <w:rsid w:val="1FA20FAE"/>
    <w:rsid w:val="1FD83FE7"/>
    <w:rsid w:val="1FDC50EC"/>
    <w:rsid w:val="1FE346CD"/>
    <w:rsid w:val="1FF02946"/>
    <w:rsid w:val="1FFC12EA"/>
    <w:rsid w:val="20011B8B"/>
    <w:rsid w:val="201C3916"/>
    <w:rsid w:val="202F5658"/>
    <w:rsid w:val="20344F28"/>
    <w:rsid w:val="203A5A9F"/>
    <w:rsid w:val="20405F59"/>
    <w:rsid w:val="204C4020"/>
    <w:rsid w:val="205253AE"/>
    <w:rsid w:val="20541126"/>
    <w:rsid w:val="20562C61"/>
    <w:rsid w:val="205816A1"/>
    <w:rsid w:val="205E024D"/>
    <w:rsid w:val="20675088"/>
    <w:rsid w:val="206C021E"/>
    <w:rsid w:val="20747A3C"/>
    <w:rsid w:val="20887022"/>
    <w:rsid w:val="20A07A26"/>
    <w:rsid w:val="20A51982"/>
    <w:rsid w:val="20AC0BBD"/>
    <w:rsid w:val="20BF6FF2"/>
    <w:rsid w:val="20EB18FC"/>
    <w:rsid w:val="20FE387C"/>
    <w:rsid w:val="2100305C"/>
    <w:rsid w:val="211D5C1E"/>
    <w:rsid w:val="214D44F3"/>
    <w:rsid w:val="21583FAD"/>
    <w:rsid w:val="21602400"/>
    <w:rsid w:val="216711AC"/>
    <w:rsid w:val="216E446A"/>
    <w:rsid w:val="21703D3E"/>
    <w:rsid w:val="2173382E"/>
    <w:rsid w:val="217A01D4"/>
    <w:rsid w:val="21937A2C"/>
    <w:rsid w:val="21970E1E"/>
    <w:rsid w:val="219B44B8"/>
    <w:rsid w:val="21B35FFD"/>
    <w:rsid w:val="21BF23CF"/>
    <w:rsid w:val="21CA5B44"/>
    <w:rsid w:val="21CF4F08"/>
    <w:rsid w:val="21DE32F5"/>
    <w:rsid w:val="21ED1832"/>
    <w:rsid w:val="21EE1107"/>
    <w:rsid w:val="21F4671D"/>
    <w:rsid w:val="2224784D"/>
    <w:rsid w:val="223C35D1"/>
    <w:rsid w:val="223D11A3"/>
    <w:rsid w:val="2244692D"/>
    <w:rsid w:val="224A5B4C"/>
    <w:rsid w:val="224D3964"/>
    <w:rsid w:val="22557319"/>
    <w:rsid w:val="227F435A"/>
    <w:rsid w:val="22862341"/>
    <w:rsid w:val="228A52D3"/>
    <w:rsid w:val="228F31DD"/>
    <w:rsid w:val="22B442C7"/>
    <w:rsid w:val="22B87D4D"/>
    <w:rsid w:val="22BA468E"/>
    <w:rsid w:val="22BB36DF"/>
    <w:rsid w:val="22C4018D"/>
    <w:rsid w:val="22C75BE0"/>
    <w:rsid w:val="22D14CB0"/>
    <w:rsid w:val="22D67CEE"/>
    <w:rsid w:val="22EC5646"/>
    <w:rsid w:val="22F12886"/>
    <w:rsid w:val="22FB68AD"/>
    <w:rsid w:val="230E0951"/>
    <w:rsid w:val="231921B3"/>
    <w:rsid w:val="23193E1E"/>
    <w:rsid w:val="231E77CA"/>
    <w:rsid w:val="23353491"/>
    <w:rsid w:val="234F4ED7"/>
    <w:rsid w:val="2351194D"/>
    <w:rsid w:val="23775858"/>
    <w:rsid w:val="237A4B32"/>
    <w:rsid w:val="23863CED"/>
    <w:rsid w:val="239A7798"/>
    <w:rsid w:val="23A979DB"/>
    <w:rsid w:val="23C02279"/>
    <w:rsid w:val="23DA7B95"/>
    <w:rsid w:val="23E6478B"/>
    <w:rsid w:val="23F54D7D"/>
    <w:rsid w:val="24092228"/>
    <w:rsid w:val="2419690F"/>
    <w:rsid w:val="243F42C9"/>
    <w:rsid w:val="24415E66"/>
    <w:rsid w:val="244B2840"/>
    <w:rsid w:val="244C626C"/>
    <w:rsid w:val="244F2331"/>
    <w:rsid w:val="24577437"/>
    <w:rsid w:val="2463402E"/>
    <w:rsid w:val="246B6A3F"/>
    <w:rsid w:val="248118CF"/>
    <w:rsid w:val="2492046F"/>
    <w:rsid w:val="249557F8"/>
    <w:rsid w:val="249A09F2"/>
    <w:rsid w:val="24A26904"/>
    <w:rsid w:val="24A54BEC"/>
    <w:rsid w:val="24AE5303"/>
    <w:rsid w:val="24B339B8"/>
    <w:rsid w:val="24BD3593"/>
    <w:rsid w:val="24CF5AF0"/>
    <w:rsid w:val="250824DF"/>
    <w:rsid w:val="251437FA"/>
    <w:rsid w:val="25147E11"/>
    <w:rsid w:val="25166F06"/>
    <w:rsid w:val="2524556B"/>
    <w:rsid w:val="252B0D77"/>
    <w:rsid w:val="252C0A49"/>
    <w:rsid w:val="253F05F7"/>
    <w:rsid w:val="254259F1"/>
    <w:rsid w:val="25554512"/>
    <w:rsid w:val="25610B11"/>
    <w:rsid w:val="25660F6D"/>
    <w:rsid w:val="257D0D91"/>
    <w:rsid w:val="2594658A"/>
    <w:rsid w:val="259A582D"/>
    <w:rsid w:val="259C15A5"/>
    <w:rsid w:val="25AB24BA"/>
    <w:rsid w:val="25AE12D9"/>
    <w:rsid w:val="25B35E69"/>
    <w:rsid w:val="25BC1C48"/>
    <w:rsid w:val="25BF5294"/>
    <w:rsid w:val="25D034DD"/>
    <w:rsid w:val="25D935A1"/>
    <w:rsid w:val="25F018F1"/>
    <w:rsid w:val="2601765A"/>
    <w:rsid w:val="26034B6D"/>
    <w:rsid w:val="260809E9"/>
    <w:rsid w:val="260D5F9E"/>
    <w:rsid w:val="261D0249"/>
    <w:rsid w:val="2626046E"/>
    <w:rsid w:val="26271456"/>
    <w:rsid w:val="262A0B85"/>
    <w:rsid w:val="26352FE1"/>
    <w:rsid w:val="26377520"/>
    <w:rsid w:val="263E0836"/>
    <w:rsid w:val="265064E5"/>
    <w:rsid w:val="265E6FAE"/>
    <w:rsid w:val="266B541C"/>
    <w:rsid w:val="266B71CA"/>
    <w:rsid w:val="266E3FAA"/>
    <w:rsid w:val="2677074C"/>
    <w:rsid w:val="268D0EEE"/>
    <w:rsid w:val="26914E82"/>
    <w:rsid w:val="26A210E8"/>
    <w:rsid w:val="26CF7759"/>
    <w:rsid w:val="26E8081A"/>
    <w:rsid w:val="270C366A"/>
    <w:rsid w:val="271124EF"/>
    <w:rsid w:val="27151FA3"/>
    <w:rsid w:val="271909D4"/>
    <w:rsid w:val="27190F91"/>
    <w:rsid w:val="27206206"/>
    <w:rsid w:val="27223D2C"/>
    <w:rsid w:val="272A0E33"/>
    <w:rsid w:val="27362AE1"/>
    <w:rsid w:val="2737124A"/>
    <w:rsid w:val="27377A3C"/>
    <w:rsid w:val="273F48DE"/>
    <w:rsid w:val="27402404"/>
    <w:rsid w:val="2743281C"/>
    <w:rsid w:val="274B58B2"/>
    <w:rsid w:val="2786566E"/>
    <w:rsid w:val="278A3680"/>
    <w:rsid w:val="279544FE"/>
    <w:rsid w:val="279D6A4B"/>
    <w:rsid w:val="27A91B45"/>
    <w:rsid w:val="27AD7318"/>
    <w:rsid w:val="27C43035"/>
    <w:rsid w:val="27D96930"/>
    <w:rsid w:val="27E64D5A"/>
    <w:rsid w:val="27ED46BB"/>
    <w:rsid w:val="27F356C9"/>
    <w:rsid w:val="280E2503"/>
    <w:rsid w:val="282E6701"/>
    <w:rsid w:val="283E5555"/>
    <w:rsid w:val="28447CD2"/>
    <w:rsid w:val="28463A4A"/>
    <w:rsid w:val="28475DF4"/>
    <w:rsid w:val="2852435D"/>
    <w:rsid w:val="286B10DA"/>
    <w:rsid w:val="286B34B1"/>
    <w:rsid w:val="28702875"/>
    <w:rsid w:val="28706D19"/>
    <w:rsid w:val="287451FA"/>
    <w:rsid w:val="28747858"/>
    <w:rsid w:val="28810F26"/>
    <w:rsid w:val="288527C5"/>
    <w:rsid w:val="28853AA6"/>
    <w:rsid w:val="28A54C15"/>
    <w:rsid w:val="28B974C5"/>
    <w:rsid w:val="290C0CDA"/>
    <w:rsid w:val="295C1530"/>
    <w:rsid w:val="296323DA"/>
    <w:rsid w:val="296A3769"/>
    <w:rsid w:val="296E1D86"/>
    <w:rsid w:val="29707140"/>
    <w:rsid w:val="29785E86"/>
    <w:rsid w:val="29817FCB"/>
    <w:rsid w:val="2984482A"/>
    <w:rsid w:val="29882A0F"/>
    <w:rsid w:val="298F1421"/>
    <w:rsid w:val="299D41D3"/>
    <w:rsid w:val="29B13146"/>
    <w:rsid w:val="29B844D4"/>
    <w:rsid w:val="29BA46F0"/>
    <w:rsid w:val="29CD63FC"/>
    <w:rsid w:val="29D30A87"/>
    <w:rsid w:val="29DB01C2"/>
    <w:rsid w:val="29EC0622"/>
    <w:rsid w:val="29FA72FE"/>
    <w:rsid w:val="2A0E0598"/>
    <w:rsid w:val="2A157B78"/>
    <w:rsid w:val="2A2E5310"/>
    <w:rsid w:val="2A3A7CCF"/>
    <w:rsid w:val="2A3F1017"/>
    <w:rsid w:val="2A497119"/>
    <w:rsid w:val="2A516A58"/>
    <w:rsid w:val="2A52703F"/>
    <w:rsid w:val="2A5871FF"/>
    <w:rsid w:val="2A6B6F23"/>
    <w:rsid w:val="2A703001"/>
    <w:rsid w:val="2A7C7CFB"/>
    <w:rsid w:val="2A903BA0"/>
    <w:rsid w:val="2A9A1E2C"/>
    <w:rsid w:val="2ABF0586"/>
    <w:rsid w:val="2AC311BF"/>
    <w:rsid w:val="2ACC7C8C"/>
    <w:rsid w:val="2ACD3FAF"/>
    <w:rsid w:val="2ACF595D"/>
    <w:rsid w:val="2AE87A45"/>
    <w:rsid w:val="2AE93FB4"/>
    <w:rsid w:val="2AEC0F3A"/>
    <w:rsid w:val="2AF124FA"/>
    <w:rsid w:val="2B0C6369"/>
    <w:rsid w:val="2B1E7055"/>
    <w:rsid w:val="2B352C39"/>
    <w:rsid w:val="2B3B1717"/>
    <w:rsid w:val="2B4D50E5"/>
    <w:rsid w:val="2B7A63E5"/>
    <w:rsid w:val="2B7E051F"/>
    <w:rsid w:val="2B7E34FB"/>
    <w:rsid w:val="2B863E98"/>
    <w:rsid w:val="2B8B0A09"/>
    <w:rsid w:val="2B8C625C"/>
    <w:rsid w:val="2B990335"/>
    <w:rsid w:val="2BA271EA"/>
    <w:rsid w:val="2BA94A1C"/>
    <w:rsid w:val="2BC52ED8"/>
    <w:rsid w:val="2BD63337"/>
    <w:rsid w:val="2BEF4EFD"/>
    <w:rsid w:val="2BF83045"/>
    <w:rsid w:val="2BFA0DD4"/>
    <w:rsid w:val="2C0003B4"/>
    <w:rsid w:val="2C0270CB"/>
    <w:rsid w:val="2C06259D"/>
    <w:rsid w:val="2C097269"/>
    <w:rsid w:val="2C2E443B"/>
    <w:rsid w:val="2C333D33"/>
    <w:rsid w:val="2C480E40"/>
    <w:rsid w:val="2C4826E7"/>
    <w:rsid w:val="2C5E5C7B"/>
    <w:rsid w:val="2C770676"/>
    <w:rsid w:val="2C931228"/>
    <w:rsid w:val="2C9E2B6B"/>
    <w:rsid w:val="2CA05C37"/>
    <w:rsid w:val="2CA45F60"/>
    <w:rsid w:val="2CB41C1C"/>
    <w:rsid w:val="2CC413E2"/>
    <w:rsid w:val="2CC94C4A"/>
    <w:rsid w:val="2CD1251B"/>
    <w:rsid w:val="2CD55A8E"/>
    <w:rsid w:val="2CD828CB"/>
    <w:rsid w:val="2CE101E6"/>
    <w:rsid w:val="2CE130DC"/>
    <w:rsid w:val="2CE23F97"/>
    <w:rsid w:val="2CF71E8B"/>
    <w:rsid w:val="2CFE28F9"/>
    <w:rsid w:val="2CFE66A2"/>
    <w:rsid w:val="2D0143E4"/>
    <w:rsid w:val="2D1E6D44"/>
    <w:rsid w:val="2D1F330A"/>
    <w:rsid w:val="2D2307FE"/>
    <w:rsid w:val="2D263E4A"/>
    <w:rsid w:val="2D2A362A"/>
    <w:rsid w:val="2D2A6B17"/>
    <w:rsid w:val="2D345082"/>
    <w:rsid w:val="2D353649"/>
    <w:rsid w:val="2D36101B"/>
    <w:rsid w:val="2D462BBC"/>
    <w:rsid w:val="2D5B79F0"/>
    <w:rsid w:val="2D6B4704"/>
    <w:rsid w:val="2D71156A"/>
    <w:rsid w:val="2D716CA8"/>
    <w:rsid w:val="2D7F052B"/>
    <w:rsid w:val="2D8079FF"/>
    <w:rsid w:val="2D934E4D"/>
    <w:rsid w:val="2D9D21F4"/>
    <w:rsid w:val="2DA233D1"/>
    <w:rsid w:val="2DA438C7"/>
    <w:rsid w:val="2DAF08E4"/>
    <w:rsid w:val="2DB41456"/>
    <w:rsid w:val="2DC3422E"/>
    <w:rsid w:val="2DC518B5"/>
    <w:rsid w:val="2DD218DC"/>
    <w:rsid w:val="2DDA16CB"/>
    <w:rsid w:val="2DDD0ECC"/>
    <w:rsid w:val="2DDD6BFF"/>
    <w:rsid w:val="2DF85443"/>
    <w:rsid w:val="2DFB0E33"/>
    <w:rsid w:val="2DFF6B75"/>
    <w:rsid w:val="2E0E2659"/>
    <w:rsid w:val="2E0F31CC"/>
    <w:rsid w:val="2E100294"/>
    <w:rsid w:val="2E19753A"/>
    <w:rsid w:val="2E1F0FC6"/>
    <w:rsid w:val="2E201C3F"/>
    <w:rsid w:val="2E233D6C"/>
    <w:rsid w:val="2E2804A8"/>
    <w:rsid w:val="2E2C30E9"/>
    <w:rsid w:val="2E5A6ECA"/>
    <w:rsid w:val="2E5E5221"/>
    <w:rsid w:val="2E691115"/>
    <w:rsid w:val="2E722435"/>
    <w:rsid w:val="2E7F79A8"/>
    <w:rsid w:val="2EA469EA"/>
    <w:rsid w:val="2EBC4C8D"/>
    <w:rsid w:val="2EC06D5A"/>
    <w:rsid w:val="2ED2157D"/>
    <w:rsid w:val="2ED973C6"/>
    <w:rsid w:val="2EDB5F69"/>
    <w:rsid w:val="2EE23DA1"/>
    <w:rsid w:val="2EE978BD"/>
    <w:rsid w:val="2EFC30B5"/>
    <w:rsid w:val="2F003114"/>
    <w:rsid w:val="2F02474B"/>
    <w:rsid w:val="2F124686"/>
    <w:rsid w:val="2F2A1ECC"/>
    <w:rsid w:val="2F3E191F"/>
    <w:rsid w:val="2F44018D"/>
    <w:rsid w:val="2F4D1B62"/>
    <w:rsid w:val="2F557BA0"/>
    <w:rsid w:val="2F6A1BD1"/>
    <w:rsid w:val="2F9E77FF"/>
    <w:rsid w:val="2FAB0637"/>
    <w:rsid w:val="2FE60E90"/>
    <w:rsid w:val="2FEC4ED7"/>
    <w:rsid w:val="2FED29FE"/>
    <w:rsid w:val="2FFE4C0B"/>
    <w:rsid w:val="30014F7B"/>
    <w:rsid w:val="300606AA"/>
    <w:rsid w:val="30077F63"/>
    <w:rsid w:val="301139ED"/>
    <w:rsid w:val="30226B4B"/>
    <w:rsid w:val="302B2F18"/>
    <w:rsid w:val="304D6345"/>
    <w:rsid w:val="304E1B36"/>
    <w:rsid w:val="30586A11"/>
    <w:rsid w:val="305B053E"/>
    <w:rsid w:val="306317B9"/>
    <w:rsid w:val="30662EDC"/>
    <w:rsid w:val="30695F83"/>
    <w:rsid w:val="307849BD"/>
    <w:rsid w:val="307D0225"/>
    <w:rsid w:val="30814AD4"/>
    <w:rsid w:val="308B46F0"/>
    <w:rsid w:val="309C68FD"/>
    <w:rsid w:val="309D4424"/>
    <w:rsid w:val="30B86170"/>
    <w:rsid w:val="30D34ADC"/>
    <w:rsid w:val="30E42053"/>
    <w:rsid w:val="30EE2484"/>
    <w:rsid w:val="30F228C9"/>
    <w:rsid w:val="31061FC9"/>
    <w:rsid w:val="3115045E"/>
    <w:rsid w:val="312805F0"/>
    <w:rsid w:val="312866CF"/>
    <w:rsid w:val="31295890"/>
    <w:rsid w:val="312C7E96"/>
    <w:rsid w:val="31374878"/>
    <w:rsid w:val="31462D0D"/>
    <w:rsid w:val="314C343E"/>
    <w:rsid w:val="315F689E"/>
    <w:rsid w:val="31684A32"/>
    <w:rsid w:val="316B4522"/>
    <w:rsid w:val="317848E4"/>
    <w:rsid w:val="31880C30"/>
    <w:rsid w:val="318B0720"/>
    <w:rsid w:val="31D04385"/>
    <w:rsid w:val="31E657AC"/>
    <w:rsid w:val="31F46875"/>
    <w:rsid w:val="320C19B0"/>
    <w:rsid w:val="321D310C"/>
    <w:rsid w:val="322E52C1"/>
    <w:rsid w:val="32313075"/>
    <w:rsid w:val="323B0922"/>
    <w:rsid w:val="324C6101"/>
    <w:rsid w:val="324C7EAF"/>
    <w:rsid w:val="32546D64"/>
    <w:rsid w:val="325F4087"/>
    <w:rsid w:val="326F3587"/>
    <w:rsid w:val="32754B0F"/>
    <w:rsid w:val="3282531E"/>
    <w:rsid w:val="328C0BF4"/>
    <w:rsid w:val="32985987"/>
    <w:rsid w:val="32990C1B"/>
    <w:rsid w:val="32A234EA"/>
    <w:rsid w:val="32A627A2"/>
    <w:rsid w:val="32A934AD"/>
    <w:rsid w:val="32B36180"/>
    <w:rsid w:val="32C95D45"/>
    <w:rsid w:val="32F56799"/>
    <w:rsid w:val="33322B71"/>
    <w:rsid w:val="3333002F"/>
    <w:rsid w:val="333657D8"/>
    <w:rsid w:val="33506BA3"/>
    <w:rsid w:val="335F1A92"/>
    <w:rsid w:val="33652038"/>
    <w:rsid w:val="336B6A5B"/>
    <w:rsid w:val="33730803"/>
    <w:rsid w:val="337E10AB"/>
    <w:rsid w:val="3385162F"/>
    <w:rsid w:val="338A5133"/>
    <w:rsid w:val="33A45AC9"/>
    <w:rsid w:val="33A56467"/>
    <w:rsid w:val="33AF6948"/>
    <w:rsid w:val="33C61EE3"/>
    <w:rsid w:val="33CB4C12"/>
    <w:rsid w:val="33D20888"/>
    <w:rsid w:val="33DB773D"/>
    <w:rsid w:val="33E02E16"/>
    <w:rsid w:val="33E40333"/>
    <w:rsid w:val="33ED5604"/>
    <w:rsid w:val="33ED7470"/>
    <w:rsid w:val="340028C2"/>
    <w:rsid w:val="340C710E"/>
    <w:rsid w:val="34237336"/>
    <w:rsid w:val="34401C96"/>
    <w:rsid w:val="344A6559"/>
    <w:rsid w:val="345F01A4"/>
    <w:rsid w:val="345F2C5D"/>
    <w:rsid w:val="345F38B1"/>
    <w:rsid w:val="346C2A8B"/>
    <w:rsid w:val="348735F3"/>
    <w:rsid w:val="348E656B"/>
    <w:rsid w:val="34906079"/>
    <w:rsid w:val="3494526F"/>
    <w:rsid w:val="34AC732B"/>
    <w:rsid w:val="34B34216"/>
    <w:rsid w:val="34C53F49"/>
    <w:rsid w:val="34D41EF3"/>
    <w:rsid w:val="34DF61CD"/>
    <w:rsid w:val="34E72111"/>
    <w:rsid w:val="34E742F4"/>
    <w:rsid w:val="34FA0097"/>
    <w:rsid w:val="35170C48"/>
    <w:rsid w:val="35231919"/>
    <w:rsid w:val="35243365"/>
    <w:rsid w:val="35380BBF"/>
    <w:rsid w:val="35394C73"/>
    <w:rsid w:val="35496BE1"/>
    <w:rsid w:val="354C14E3"/>
    <w:rsid w:val="355B2CDD"/>
    <w:rsid w:val="355F7EFA"/>
    <w:rsid w:val="356F7AE3"/>
    <w:rsid w:val="3575771D"/>
    <w:rsid w:val="35777939"/>
    <w:rsid w:val="35941976"/>
    <w:rsid w:val="359564D8"/>
    <w:rsid w:val="35971A38"/>
    <w:rsid w:val="35A522BA"/>
    <w:rsid w:val="35AD62A7"/>
    <w:rsid w:val="35B33E1F"/>
    <w:rsid w:val="35BB5A78"/>
    <w:rsid w:val="35C26A12"/>
    <w:rsid w:val="35CA10F6"/>
    <w:rsid w:val="35F92060"/>
    <w:rsid w:val="35FC1BEC"/>
    <w:rsid w:val="360016DD"/>
    <w:rsid w:val="360410EC"/>
    <w:rsid w:val="360845B7"/>
    <w:rsid w:val="361B3B70"/>
    <w:rsid w:val="362058DB"/>
    <w:rsid w:val="36252EF1"/>
    <w:rsid w:val="36275EA7"/>
    <w:rsid w:val="36280C33"/>
    <w:rsid w:val="362A2D48"/>
    <w:rsid w:val="362A675A"/>
    <w:rsid w:val="363B2715"/>
    <w:rsid w:val="366E2B3B"/>
    <w:rsid w:val="36723C5D"/>
    <w:rsid w:val="367C1CF9"/>
    <w:rsid w:val="36820193"/>
    <w:rsid w:val="36877708"/>
    <w:rsid w:val="369D4D62"/>
    <w:rsid w:val="369D517D"/>
    <w:rsid w:val="36A1602E"/>
    <w:rsid w:val="36B83D65"/>
    <w:rsid w:val="36BB77C0"/>
    <w:rsid w:val="36FF7BE6"/>
    <w:rsid w:val="372E157F"/>
    <w:rsid w:val="37376487"/>
    <w:rsid w:val="373A6E70"/>
    <w:rsid w:val="37465815"/>
    <w:rsid w:val="375970CC"/>
    <w:rsid w:val="375B20E4"/>
    <w:rsid w:val="375C1259"/>
    <w:rsid w:val="375D66BB"/>
    <w:rsid w:val="37680BAE"/>
    <w:rsid w:val="377203B8"/>
    <w:rsid w:val="377D01F3"/>
    <w:rsid w:val="378325C5"/>
    <w:rsid w:val="378753AD"/>
    <w:rsid w:val="37892452"/>
    <w:rsid w:val="3790206F"/>
    <w:rsid w:val="37902B02"/>
    <w:rsid w:val="37906A90"/>
    <w:rsid w:val="379506F8"/>
    <w:rsid w:val="37A75B88"/>
    <w:rsid w:val="37A81D6D"/>
    <w:rsid w:val="37BE0F24"/>
    <w:rsid w:val="37C642B9"/>
    <w:rsid w:val="37CC5A57"/>
    <w:rsid w:val="37E05DE8"/>
    <w:rsid w:val="3801554A"/>
    <w:rsid w:val="380F3E59"/>
    <w:rsid w:val="380F5D14"/>
    <w:rsid w:val="38165640"/>
    <w:rsid w:val="38305A13"/>
    <w:rsid w:val="38305B7D"/>
    <w:rsid w:val="38340E35"/>
    <w:rsid w:val="383B3E3B"/>
    <w:rsid w:val="383B4C4E"/>
    <w:rsid w:val="384531ED"/>
    <w:rsid w:val="384A30E3"/>
    <w:rsid w:val="38504A71"/>
    <w:rsid w:val="38575789"/>
    <w:rsid w:val="38740160"/>
    <w:rsid w:val="38912AC0"/>
    <w:rsid w:val="3894610C"/>
    <w:rsid w:val="389B62D3"/>
    <w:rsid w:val="38A071A7"/>
    <w:rsid w:val="38A26D15"/>
    <w:rsid w:val="38A345A1"/>
    <w:rsid w:val="38A74091"/>
    <w:rsid w:val="38B8307E"/>
    <w:rsid w:val="38E023CF"/>
    <w:rsid w:val="38EF5A38"/>
    <w:rsid w:val="38FE5445"/>
    <w:rsid w:val="390B1389"/>
    <w:rsid w:val="391F21FB"/>
    <w:rsid w:val="392107AD"/>
    <w:rsid w:val="3928657B"/>
    <w:rsid w:val="3943670D"/>
    <w:rsid w:val="39491395"/>
    <w:rsid w:val="394A0EC1"/>
    <w:rsid w:val="394B606C"/>
    <w:rsid w:val="3954558D"/>
    <w:rsid w:val="396962E8"/>
    <w:rsid w:val="396A3EF8"/>
    <w:rsid w:val="39783D3A"/>
    <w:rsid w:val="3981628A"/>
    <w:rsid w:val="398546DC"/>
    <w:rsid w:val="39873EC3"/>
    <w:rsid w:val="399C17A9"/>
    <w:rsid w:val="399C796E"/>
    <w:rsid w:val="39B527DE"/>
    <w:rsid w:val="39B55219"/>
    <w:rsid w:val="39BF18AF"/>
    <w:rsid w:val="39C66799"/>
    <w:rsid w:val="39D709A6"/>
    <w:rsid w:val="39E14846"/>
    <w:rsid w:val="39E8099F"/>
    <w:rsid w:val="3A363D30"/>
    <w:rsid w:val="3A4018D3"/>
    <w:rsid w:val="3A4715E7"/>
    <w:rsid w:val="3A504254"/>
    <w:rsid w:val="3A695373"/>
    <w:rsid w:val="3A6D0AD6"/>
    <w:rsid w:val="3A8F302F"/>
    <w:rsid w:val="3A8F3946"/>
    <w:rsid w:val="3A960861"/>
    <w:rsid w:val="3A9C399E"/>
    <w:rsid w:val="3AB17449"/>
    <w:rsid w:val="3AB6213A"/>
    <w:rsid w:val="3AB74334"/>
    <w:rsid w:val="3AD460FB"/>
    <w:rsid w:val="3AEF1D20"/>
    <w:rsid w:val="3AF410E4"/>
    <w:rsid w:val="3B023801"/>
    <w:rsid w:val="3B0D21A6"/>
    <w:rsid w:val="3B2A0FAA"/>
    <w:rsid w:val="3B3B4F57"/>
    <w:rsid w:val="3B487E4F"/>
    <w:rsid w:val="3B4E7744"/>
    <w:rsid w:val="3B6567D9"/>
    <w:rsid w:val="3B6E70E8"/>
    <w:rsid w:val="3B914B85"/>
    <w:rsid w:val="3B9D177C"/>
    <w:rsid w:val="3B9D4C98"/>
    <w:rsid w:val="3BC46D08"/>
    <w:rsid w:val="3BC9431F"/>
    <w:rsid w:val="3BD038FF"/>
    <w:rsid w:val="3BE23D50"/>
    <w:rsid w:val="3BE850ED"/>
    <w:rsid w:val="3BF21AC7"/>
    <w:rsid w:val="3C046AB8"/>
    <w:rsid w:val="3C0B52F7"/>
    <w:rsid w:val="3C0C3679"/>
    <w:rsid w:val="3C1033A2"/>
    <w:rsid w:val="3C1C0D3B"/>
    <w:rsid w:val="3C302214"/>
    <w:rsid w:val="3C320447"/>
    <w:rsid w:val="3C4816E7"/>
    <w:rsid w:val="3C4D400B"/>
    <w:rsid w:val="3C5C5193"/>
    <w:rsid w:val="3C5E53AF"/>
    <w:rsid w:val="3C6526A9"/>
    <w:rsid w:val="3C664263"/>
    <w:rsid w:val="3C6978B0"/>
    <w:rsid w:val="3C6A302C"/>
    <w:rsid w:val="3C742A03"/>
    <w:rsid w:val="3C7D1CAB"/>
    <w:rsid w:val="3C9F54DE"/>
    <w:rsid w:val="3CA37266"/>
    <w:rsid w:val="3CB30BE8"/>
    <w:rsid w:val="3CB925E5"/>
    <w:rsid w:val="3CBC5107"/>
    <w:rsid w:val="3CBD1A67"/>
    <w:rsid w:val="3CC15E65"/>
    <w:rsid w:val="3CC20E66"/>
    <w:rsid w:val="3CC928FC"/>
    <w:rsid w:val="3CD34399"/>
    <w:rsid w:val="3CE66D82"/>
    <w:rsid w:val="3D09599C"/>
    <w:rsid w:val="3D0D4C91"/>
    <w:rsid w:val="3D0E0B83"/>
    <w:rsid w:val="3D304D1A"/>
    <w:rsid w:val="3D384F86"/>
    <w:rsid w:val="3D3D1A63"/>
    <w:rsid w:val="3D510A70"/>
    <w:rsid w:val="3D6C3AFB"/>
    <w:rsid w:val="3D851BF5"/>
    <w:rsid w:val="3D8C7CFA"/>
    <w:rsid w:val="3D96660D"/>
    <w:rsid w:val="3DA1343C"/>
    <w:rsid w:val="3DA212CB"/>
    <w:rsid w:val="3DA54918"/>
    <w:rsid w:val="3DC85D27"/>
    <w:rsid w:val="3DD1200A"/>
    <w:rsid w:val="3DD81C5A"/>
    <w:rsid w:val="3DE10046"/>
    <w:rsid w:val="3DE37E86"/>
    <w:rsid w:val="3DE418E4"/>
    <w:rsid w:val="3DE536B4"/>
    <w:rsid w:val="3DED6FD2"/>
    <w:rsid w:val="3DEE2942"/>
    <w:rsid w:val="3DEE4511"/>
    <w:rsid w:val="3DF064DB"/>
    <w:rsid w:val="3DFA585D"/>
    <w:rsid w:val="3E2C6DE7"/>
    <w:rsid w:val="3E3839DE"/>
    <w:rsid w:val="3E3B0B17"/>
    <w:rsid w:val="3E447693"/>
    <w:rsid w:val="3E472553"/>
    <w:rsid w:val="3E5720B6"/>
    <w:rsid w:val="3E6030BB"/>
    <w:rsid w:val="3E667AC4"/>
    <w:rsid w:val="3E6D427D"/>
    <w:rsid w:val="3E71537A"/>
    <w:rsid w:val="3E7E3A33"/>
    <w:rsid w:val="3E8565B7"/>
    <w:rsid w:val="3EAD617A"/>
    <w:rsid w:val="3EAE00FC"/>
    <w:rsid w:val="3EB75EC2"/>
    <w:rsid w:val="3EBA3E19"/>
    <w:rsid w:val="3EC139D3"/>
    <w:rsid w:val="3ECF60F0"/>
    <w:rsid w:val="3ED22504"/>
    <w:rsid w:val="3ED6747E"/>
    <w:rsid w:val="3EEF6792"/>
    <w:rsid w:val="3EF24E9F"/>
    <w:rsid w:val="3F0F0BE2"/>
    <w:rsid w:val="3F1104B7"/>
    <w:rsid w:val="3F12422F"/>
    <w:rsid w:val="3F237357"/>
    <w:rsid w:val="3F373C95"/>
    <w:rsid w:val="3F3917BB"/>
    <w:rsid w:val="3F436DEF"/>
    <w:rsid w:val="3F450269"/>
    <w:rsid w:val="3F4B51D3"/>
    <w:rsid w:val="3F4C44A0"/>
    <w:rsid w:val="3F56776C"/>
    <w:rsid w:val="3F581370"/>
    <w:rsid w:val="3F5D194E"/>
    <w:rsid w:val="3F626F64"/>
    <w:rsid w:val="3F67457A"/>
    <w:rsid w:val="3F760C61"/>
    <w:rsid w:val="3F921308"/>
    <w:rsid w:val="3F9B685D"/>
    <w:rsid w:val="3FB2564C"/>
    <w:rsid w:val="3FBB48C6"/>
    <w:rsid w:val="3FC56198"/>
    <w:rsid w:val="3FC74D01"/>
    <w:rsid w:val="3FDA11F0"/>
    <w:rsid w:val="3FE34229"/>
    <w:rsid w:val="3FE931E1"/>
    <w:rsid w:val="3FF33BAC"/>
    <w:rsid w:val="400661D0"/>
    <w:rsid w:val="40095632"/>
    <w:rsid w:val="402F329D"/>
    <w:rsid w:val="403F1053"/>
    <w:rsid w:val="404B5C4A"/>
    <w:rsid w:val="404D16F1"/>
    <w:rsid w:val="40597B49"/>
    <w:rsid w:val="406A3E04"/>
    <w:rsid w:val="40752CC7"/>
    <w:rsid w:val="40794297"/>
    <w:rsid w:val="407A17E8"/>
    <w:rsid w:val="407C22A8"/>
    <w:rsid w:val="40A1586A"/>
    <w:rsid w:val="40A84193"/>
    <w:rsid w:val="40A85022"/>
    <w:rsid w:val="40B72F1B"/>
    <w:rsid w:val="40C96B6F"/>
    <w:rsid w:val="40CE294A"/>
    <w:rsid w:val="40D0780B"/>
    <w:rsid w:val="40DE1E52"/>
    <w:rsid w:val="40EB1258"/>
    <w:rsid w:val="40ED4F53"/>
    <w:rsid w:val="40EF1D5C"/>
    <w:rsid w:val="40F167F2"/>
    <w:rsid w:val="410879E6"/>
    <w:rsid w:val="411E6EBB"/>
    <w:rsid w:val="41200E9D"/>
    <w:rsid w:val="41210759"/>
    <w:rsid w:val="413F7690"/>
    <w:rsid w:val="414C4BDE"/>
    <w:rsid w:val="418272A9"/>
    <w:rsid w:val="41904C50"/>
    <w:rsid w:val="41AA4BF2"/>
    <w:rsid w:val="41B65345"/>
    <w:rsid w:val="41BC1514"/>
    <w:rsid w:val="41BD4926"/>
    <w:rsid w:val="41C20B7B"/>
    <w:rsid w:val="41DF3C61"/>
    <w:rsid w:val="41E33C60"/>
    <w:rsid w:val="41F52311"/>
    <w:rsid w:val="4210424C"/>
    <w:rsid w:val="421953C1"/>
    <w:rsid w:val="42295B17"/>
    <w:rsid w:val="422D77E5"/>
    <w:rsid w:val="423544BC"/>
    <w:rsid w:val="423F67D5"/>
    <w:rsid w:val="42445798"/>
    <w:rsid w:val="424569F3"/>
    <w:rsid w:val="424974CE"/>
    <w:rsid w:val="42643B4C"/>
    <w:rsid w:val="426445DB"/>
    <w:rsid w:val="42663C1F"/>
    <w:rsid w:val="42664FBD"/>
    <w:rsid w:val="42767E78"/>
    <w:rsid w:val="42784CF1"/>
    <w:rsid w:val="427B5797"/>
    <w:rsid w:val="42813811"/>
    <w:rsid w:val="428C1735"/>
    <w:rsid w:val="42B50F15"/>
    <w:rsid w:val="42C17FC9"/>
    <w:rsid w:val="42CF7F43"/>
    <w:rsid w:val="42D9753D"/>
    <w:rsid w:val="42DA6267"/>
    <w:rsid w:val="42E91BC2"/>
    <w:rsid w:val="42F1735B"/>
    <w:rsid w:val="42F82AC1"/>
    <w:rsid w:val="43014CE6"/>
    <w:rsid w:val="430567F7"/>
    <w:rsid w:val="43091BE7"/>
    <w:rsid w:val="43430E5B"/>
    <w:rsid w:val="43660047"/>
    <w:rsid w:val="436B07C0"/>
    <w:rsid w:val="436B215F"/>
    <w:rsid w:val="43874C54"/>
    <w:rsid w:val="43AD5BC0"/>
    <w:rsid w:val="43CF6B92"/>
    <w:rsid w:val="43DA5378"/>
    <w:rsid w:val="43E75C8A"/>
    <w:rsid w:val="43FD725B"/>
    <w:rsid w:val="440920A4"/>
    <w:rsid w:val="440A3726"/>
    <w:rsid w:val="440A677A"/>
    <w:rsid w:val="44142073"/>
    <w:rsid w:val="441A0C25"/>
    <w:rsid w:val="441B5933"/>
    <w:rsid w:val="44305883"/>
    <w:rsid w:val="4434731A"/>
    <w:rsid w:val="443E544F"/>
    <w:rsid w:val="444906F3"/>
    <w:rsid w:val="444924A1"/>
    <w:rsid w:val="444A6219"/>
    <w:rsid w:val="444C352B"/>
    <w:rsid w:val="447F603A"/>
    <w:rsid w:val="448F26E1"/>
    <w:rsid w:val="44A02D25"/>
    <w:rsid w:val="44CF3672"/>
    <w:rsid w:val="44E4278F"/>
    <w:rsid w:val="450E7246"/>
    <w:rsid w:val="45173F98"/>
    <w:rsid w:val="45216197"/>
    <w:rsid w:val="45247F91"/>
    <w:rsid w:val="453E0505"/>
    <w:rsid w:val="45527129"/>
    <w:rsid w:val="455530C7"/>
    <w:rsid w:val="455530DC"/>
    <w:rsid w:val="456A4DC4"/>
    <w:rsid w:val="456F392F"/>
    <w:rsid w:val="45703A5D"/>
    <w:rsid w:val="45733999"/>
    <w:rsid w:val="45846B79"/>
    <w:rsid w:val="45CE4C28"/>
    <w:rsid w:val="45DB0BD7"/>
    <w:rsid w:val="45E16709"/>
    <w:rsid w:val="45F356E8"/>
    <w:rsid w:val="46056238"/>
    <w:rsid w:val="461B7E6D"/>
    <w:rsid w:val="46214FB3"/>
    <w:rsid w:val="462D1334"/>
    <w:rsid w:val="463A30F5"/>
    <w:rsid w:val="464245FC"/>
    <w:rsid w:val="464258AB"/>
    <w:rsid w:val="465135E9"/>
    <w:rsid w:val="46672C05"/>
    <w:rsid w:val="466C68EE"/>
    <w:rsid w:val="467632F5"/>
    <w:rsid w:val="467A5823"/>
    <w:rsid w:val="467F03FC"/>
    <w:rsid w:val="46805F22"/>
    <w:rsid w:val="46843C64"/>
    <w:rsid w:val="468E3956"/>
    <w:rsid w:val="469F3711"/>
    <w:rsid w:val="46AA2E87"/>
    <w:rsid w:val="46C17252"/>
    <w:rsid w:val="46C91677"/>
    <w:rsid w:val="471E24AC"/>
    <w:rsid w:val="47277A18"/>
    <w:rsid w:val="472A4F76"/>
    <w:rsid w:val="472B7DA0"/>
    <w:rsid w:val="47486A40"/>
    <w:rsid w:val="474927B8"/>
    <w:rsid w:val="47525857"/>
    <w:rsid w:val="477106FA"/>
    <w:rsid w:val="47734E7C"/>
    <w:rsid w:val="478F45C1"/>
    <w:rsid w:val="47924515"/>
    <w:rsid w:val="479B74B7"/>
    <w:rsid w:val="47AD5C97"/>
    <w:rsid w:val="47B52B46"/>
    <w:rsid w:val="47B75973"/>
    <w:rsid w:val="47C243C7"/>
    <w:rsid w:val="47CA56B8"/>
    <w:rsid w:val="47CD5E52"/>
    <w:rsid w:val="47D06E67"/>
    <w:rsid w:val="47F05E2A"/>
    <w:rsid w:val="47F40975"/>
    <w:rsid w:val="47FB61A8"/>
    <w:rsid w:val="4812704D"/>
    <w:rsid w:val="48184FC7"/>
    <w:rsid w:val="481B2653"/>
    <w:rsid w:val="48233009"/>
    <w:rsid w:val="48262C60"/>
    <w:rsid w:val="48307449"/>
    <w:rsid w:val="4834457A"/>
    <w:rsid w:val="48435459"/>
    <w:rsid w:val="485352D6"/>
    <w:rsid w:val="486B5633"/>
    <w:rsid w:val="486D2615"/>
    <w:rsid w:val="487321E2"/>
    <w:rsid w:val="487C3B75"/>
    <w:rsid w:val="487C74FC"/>
    <w:rsid w:val="48940292"/>
    <w:rsid w:val="48984CEE"/>
    <w:rsid w:val="48A04659"/>
    <w:rsid w:val="48A739A4"/>
    <w:rsid w:val="48AE1B01"/>
    <w:rsid w:val="48B37647"/>
    <w:rsid w:val="48B56F42"/>
    <w:rsid w:val="48DF5182"/>
    <w:rsid w:val="48FB28AE"/>
    <w:rsid w:val="4901434E"/>
    <w:rsid w:val="4901565F"/>
    <w:rsid w:val="491C0184"/>
    <w:rsid w:val="495F706B"/>
    <w:rsid w:val="49746212"/>
    <w:rsid w:val="497E16BE"/>
    <w:rsid w:val="49800ACE"/>
    <w:rsid w:val="49904D89"/>
    <w:rsid w:val="4993360E"/>
    <w:rsid w:val="49983671"/>
    <w:rsid w:val="499B0126"/>
    <w:rsid w:val="499E7498"/>
    <w:rsid w:val="499F2B63"/>
    <w:rsid w:val="49B14A31"/>
    <w:rsid w:val="49B36A73"/>
    <w:rsid w:val="49B851A2"/>
    <w:rsid w:val="49C83E68"/>
    <w:rsid w:val="49CD621E"/>
    <w:rsid w:val="49D468A9"/>
    <w:rsid w:val="49D5682F"/>
    <w:rsid w:val="49E66D05"/>
    <w:rsid w:val="49F274A9"/>
    <w:rsid w:val="49FE3D2D"/>
    <w:rsid w:val="4A003601"/>
    <w:rsid w:val="4A0417AF"/>
    <w:rsid w:val="4A0D4245"/>
    <w:rsid w:val="4A131986"/>
    <w:rsid w:val="4A3C6604"/>
    <w:rsid w:val="4A466172"/>
    <w:rsid w:val="4A570F3A"/>
    <w:rsid w:val="4A630034"/>
    <w:rsid w:val="4A6D16EF"/>
    <w:rsid w:val="4A8065B2"/>
    <w:rsid w:val="4A844587"/>
    <w:rsid w:val="4A894C29"/>
    <w:rsid w:val="4A9B4D11"/>
    <w:rsid w:val="4A9B77CE"/>
    <w:rsid w:val="4AAC19DB"/>
    <w:rsid w:val="4AC42881"/>
    <w:rsid w:val="4AC95894"/>
    <w:rsid w:val="4AD36F68"/>
    <w:rsid w:val="4ADB52ED"/>
    <w:rsid w:val="4AE01685"/>
    <w:rsid w:val="4AEF6619"/>
    <w:rsid w:val="4AF6371C"/>
    <w:rsid w:val="4AF96F1C"/>
    <w:rsid w:val="4AFA714D"/>
    <w:rsid w:val="4B096959"/>
    <w:rsid w:val="4B147235"/>
    <w:rsid w:val="4B1873D2"/>
    <w:rsid w:val="4B5005B9"/>
    <w:rsid w:val="4B577B99"/>
    <w:rsid w:val="4B5F2444"/>
    <w:rsid w:val="4B947721"/>
    <w:rsid w:val="4B970BC3"/>
    <w:rsid w:val="4BA21D49"/>
    <w:rsid w:val="4BBC7BF0"/>
    <w:rsid w:val="4BC66ACD"/>
    <w:rsid w:val="4BCE3E9C"/>
    <w:rsid w:val="4BF85836"/>
    <w:rsid w:val="4BFF5B3B"/>
    <w:rsid w:val="4C006274"/>
    <w:rsid w:val="4C196BFC"/>
    <w:rsid w:val="4C33502F"/>
    <w:rsid w:val="4C3C1F70"/>
    <w:rsid w:val="4C7D4A04"/>
    <w:rsid w:val="4C8147A2"/>
    <w:rsid w:val="4CA11E2B"/>
    <w:rsid w:val="4CA85709"/>
    <w:rsid w:val="4CAF130F"/>
    <w:rsid w:val="4CB70A84"/>
    <w:rsid w:val="4CB9227D"/>
    <w:rsid w:val="4CC14CD0"/>
    <w:rsid w:val="4CC65A17"/>
    <w:rsid w:val="4D0B6010"/>
    <w:rsid w:val="4D11040C"/>
    <w:rsid w:val="4D111FCA"/>
    <w:rsid w:val="4D1247B6"/>
    <w:rsid w:val="4D1711C1"/>
    <w:rsid w:val="4D1B6398"/>
    <w:rsid w:val="4D3A1784"/>
    <w:rsid w:val="4D3F5D91"/>
    <w:rsid w:val="4D592737"/>
    <w:rsid w:val="4D5D6FBD"/>
    <w:rsid w:val="4D665E71"/>
    <w:rsid w:val="4D6B3488"/>
    <w:rsid w:val="4D6E000B"/>
    <w:rsid w:val="4D75339F"/>
    <w:rsid w:val="4D7D357B"/>
    <w:rsid w:val="4D8702C0"/>
    <w:rsid w:val="4D885EA1"/>
    <w:rsid w:val="4DA62712"/>
    <w:rsid w:val="4DB0533F"/>
    <w:rsid w:val="4DB72BCC"/>
    <w:rsid w:val="4DB845E2"/>
    <w:rsid w:val="4DC1754C"/>
    <w:rsid w:val="4DCE1ADF"/>
    <w:rsid w:val="4DD23507"/>
    <w:rsid w:val="4DE167DD"/>
    <w:rsid w:val="4DE43FCD"/>
    <w:rsid w:val="4DF96FEF"/>
    <w:rsid w:val="4DFB5952"/>
    <w:rsid w:val="4E054D90"/>
    <w:rsid w:val="4E1617B0"/>
    <w:rsid w:val="4E1B76F1"/>
    <w:rsid w:val="4E2A42F4"/>
    <w:rsid w:val="4E2B506C"/>
    <w:rsid w:val="4E3209D9"/>
    <w:rsid w:val="4E375A78"/>
    <w:rsid w:val="4E531FC0"/>
    <w:rsid w:val="4E560F75"/>
    <w:rsid w:val="4E5E4D9B"/>
    <w:rsid w:val="4E63499E"/>
    <w:rsid w:val="4E722B6D"/>
    <w:rsid w:val="4E756BF1"/>
    <w:rsid w:val="4E7E368F"/>
    <w:rsid w:val="4E805420"/>
    <w:rsid w:val="4E872543"/>
    <w:rsid w:val="4E9407BC"/>
    <w:rsid w:val="4EA26E21"/>
    <w:rsid w:val="4EE52D53"/>
    <w:rsid w:val="4EF57594"/>
    <w:rsid w:val="4F052D0F"/>
    <w:rsid w:val="4F307D2D"/>
    <w:rsid w:val="4F343D4D"/>
    <w:rsid w:val="4F376450"/>
    <w:rsid w:val="4F524066"/>
    <w:rsid w:val="4F5F01E1"/>
    <w:rsid w:val="4F7168BE"/>
    <w:rsid w:val="4F734876"/>
    <w:rsid w:val="4F7670D7"/>
    <w:rsid w:val="4F822CA9"/>
    <w:rsid w:val="4F824AB9"/>
    <w:rsid w:val="4F8830F6"/>
    <w:rsid w:val="4F8922EB"/>
    <w:rsid w:val="4F8E5B53"/>
    <w:rsid w:val="4F936CC6"/>
    <w:rsid w:val="4F9B5B7A"/>
    <w:rsid w:val="4F9F1B0F"/>
    <w:rsid w:val="4FAB400F"/>
    <w:rsid w:val="4FB05817"/>
    <w:rsid w:val="4FB44D36"/>
    <w:rsid w:val="4FE94B38"/>
    <w:rsid w:val="4FEB4D54"/>
    <w:rsid w:val="4FFF47AF"/>
    <w:rsid w:val="501068BD"/>
    <w:rsid w:val="50153B7F"/>
    <w:rsid w:val="50337B46"/>
    <w:rsid w:val="503C110B"/>
    <w:rsid w:val="50575F24"/>
    <w:rsid w:val="50583571"/>
    <w:rsid w:val="505C355C"/>
    <w:rsid w:val="50712142"/>
    <w:rsid w:val="50727C76"/>
    <w:rsid w:val="507D34CD"/>
    <w:rsid w:val="508278E3"/>
    <w:rsid w:val="508E7B52"/>
    <w:rsid w:val="50B125BE"/>
    <w:rsid w:val="50B42E31"/>
    <w:rsid w:val="50E2402F"/>
    <w:rsid w:val="50F103A1"/>
    <w:rsid w:val="5106113F"/>
    <w:rsid w:val="510D2AA8"/>
    <w:rsid w:val="51452242"/>
    <w:rsid w:val="5147337A"/>
    <w:rsid w:val="514A5AAA"/>
    <w:rsid w:val="515B7CB7"/>
    <w:rsid w:val="5162517B"/>
    <w:rsid w:val="51714DE5"/>
    <w:rsid w:val="518C4062"/>
    <w:rsid w:val="51984A67"/>
    <w:rsid w:val="51BA678C"/>
    <w:rsid w:val="51C15779"/>
    <w:rsid w:val="51E23F34"/>
    <w:rsid w:val="51EF0898"/>
    <w:rsid w:val="51F35176"/>
    <w:rsid w:val="5214467A"/>
    <w:rsid w:val="52262073"/>
    <w:rsid w:val="52367C31"/>
    <w:rsid w:val="52434560"/>
    <w:rsid w:val="524A2E7A"/>
    <w:rsid w:val="5257047F"/>
    <w:rsid w:val="52892530"/>
    <w:rsid w:val="528943B0"/>
    <w:rsid w:val="52900B84"/>
    <w:rsid w:val="52911BE2"/>
    <w:rsid w:val="52A27A2E"/>
    <w:rsid w:val="52AF02BB"/>
    <w:rsid w:val="52B6001F"/>
    <w:rsid w:val="52BA27BB"/>
    <w:rsid w:val="52BE4CDE"/>
    <w:rsid w:val="52C04276"/>
    <w:rsid w:val="52D57448"/>
    <w:rsid w:val="52DE64AA"/>
    <w:rsid w:val="52E7560E"/>
    <w:rsid w:val="52EA20C4"/>
    <w:rsid w:val="52F932E4"/>
    <w:rsid w:val="53034A0C"/>
    <w:rsid w:val="530C74BB"/>
    <w:rsid w:val="53116DE9"/>
    <w:rsid w:val="531B14AC"/>
    <w:rsid w:val="531E317C"/>
    <w:rsid w:val="531E71EE"/>
    <w:rsid w:val="532D3C43"/>
    <w:rsid w:val="53364077"/>
    <w:rsid w:val="533E519B"/>
    <w:rsid w:val="536106FF"/>
    <w:rsid w:val="53785EA9"/>
    <w:rsid w:val="537D5CC3"/>
    <w:rsid w:val="539B6326"/>
    <w:rsid w:val="53A45945"/>
    <w:rsid w:val="53A476F3"/>
    <w:rsid w:val="53B316E5"/>
    <w:rsid w:val="53B4796D"/>
    <w:rsid w:val="53D521ED"/>
    <w:rsid w:val="53E421E6"/>
    <w:rsid w:val="53F41B45"/>
    <w:rsid w:val="53F65A75"/>
    <w:rsid w:val="53F744F1"/>
    <w:rsid w:val="54160248"/>
    <w:rsid w:val="542763C6"/>
    <w:rsid w:val="54436F0C"/>
    <w:rsid w:val="54490A75"/>
    <w:rsid w:val="54493DF7"/>
    <w:rsid w:val="545509EE"/>
    <w:rsid w:val="545A24A8"/>
    <w:rsid w:val="545F186C"/>
    <w:rsid w:val="54694499"/>
    <w:rsid w:val="54702C65"/>
    <w:rsid w:val="547F5A6B"/>
    <w:rsid w:val="548811A0"/>
    <w:rsid w:val="5488491F"/>
    <w:rsid w:val="549A6186"/>
    <w:rsid w:val="549F610D"/>
    <w:rsid w:val="54A20F52"/>
    <w:rsid w:val="54C33BA9"/>
    <w:rsid w:val="54CB7C50"/>
    <w:rsid w:val="55072BCC"/>
    <w:rsid w:val="551268DF"/>
    <w:rsid w:val="55200FFC"/>
    <w:rsid w:val="55222FC6"/>
    <w:rsid w:val="55282298"/>
    <w:rsid w:val="552F423B"/>
    <w:rsid w:val="55314FB7"/>
    <w:rsid w:val="5540344C"/>
    <w:rsid w:val="55434CEA"/>
    <w:rsid w:val="55473C9C"/>
    <w:rsid w:val="55532627"/>
    <w:rsid w:val="556804A3"/>
    <w:rsid w:val="556C2B65"/>
    <w:rsid w:val="55791BB1"/>
    <w:rsid w:val="55B01286"/>
    <w:rsid w:val="55C93441"/>
    <w:rsid w:val="55D6790C"/>
    <w:rsid w:val="55E4027B"/>
    <w:rsid w:val="55E9216D"/>
    <w:rsid w:val="55EA600E"/>
    <w:rsid w:val="56002BDB"/>
    <w:rsid w:val="560234DB"/>
    <w:rsid w:val="560B1CAC"/>
    <w:rsid w:val="560E70A6"/>
    <w:rsid w:val="56102E1E"/>
    <w:rsid w:val="561A5A4B"/>
    <w:rsid w:val="56215BF0"/>
    <w:rsid w:val="56293C3A"/>
    <w:rsid w:val="563C147E"/>
    <w:rsid w:val="56610258"/>
    <w:rsid w:val="56694C24"/>
    <w:rsid w:val="56937008"/>
    <w:rsid w:val="569972B8"/>
    <w:rsid w:val="569B26FA"/>
    <w:rsid w:val="56A1004C"/>
    <w:rsid w:val="56A874FB"/>
    <w:rsid w:val="56B45E9F"/>
    <w:rsid w:val="56BA5480"/>
    <w:rsid w:val="56DE116E"/>
    <w:rsid w:val="56E009D4"/>
    <w:rsid w:val="56E15F9D"/>
    <w:rsid w:val="56F01DA0"/>
    <w:rsid w:val="56F35B5B"/>
    <w:rsid w:val="56F40992"/>
    <w:rsid w:val="57212E09"/>
    <w:rsid w:val="573A6145"/>
    <w:rsid w:val="574C432A"/>
    <w:rsid w:val="574C7982"/>
    <w:rsid w:val="5757253C"/>
    <w:rsid w:val="575B0FEC"/>
    <w:rsid w:val="575B7C8D"/>
    <w:rsid w:val="576158FB"/>
    <w:rsid w:val="576370B4"/>
    <w:rsid w:val="576A4D08"/>
    <w:rsid w:val="578329F2"/>
    <w:rsid w:val="5794182D"/>
    <w:rsid w:val="579E26AC"/>
    <w:rsid w:val="57AA0684"/>
    <w:rsid w:val="57CF03CB"/>
    <w:rsid w:val="57D32782"/>
    <w:rsid w:val="57DF2C63"/>
    <w:rsid w:val="57EE718F"/>
    <w:rsid w:val="57F00640"/>
    <w:rsid w:val="57FF111B"/>
    <w:rsid w:val="580562E9"/>
    <w:rsid w:val="58093FC9"/>
    <w:rsid w:val="580E5A83"/>
    <w:rsid w:val="581B1F4E"/>
    <w:rsid w:val="58395CD8"/>
    <w:rsid w:val="58445001"/>
    <w:rsid w:val="584C2CA9"/>
    <w:rsid w:val="587D17B0"/>
    <w:rsid w:val="588412A1"/>
    <w:rsid w:val="588B0E82"/>
    <w:rsid w:val="589E1D6D"/>
    <w:rsid w:val="589F2191"/>
    <w:rsid w:val="58BF09FF"/>
    <w:rsid w:val="58CF02BE"/>
    <w:rsid w:val="58D07C3F"/>
    <w:rsid w:val="59172716"/>
    <w:rsid w:val="5924482E"/>
    <w:rsid w:val="59294B69"/>
    <w:rsid w:val="592E6AC8"/>
    <w:rsid w:val="59333342"/>
    <w:rsid w:val="593D5DD4"/>
    <w:rsid w:val="597D452F"/>
    <w:rsid w:val="5984613E"/>
    <w:rsid w:val="598C4EB2"/>
    <w:rsid w:val="59A10231"/>
    <w:rsid w:val="59AD6BD6"/>
    <w:rsid w:val="59B12B6A"/>
    <w:rsid w:val="59B60181"/>
    <w:rsid w:val="59C0063A"/>
    <w:rsid w:val="59C363FA"/>
    <w:rsid w:val="59CC1752"/>
    <w:rsid w:val="59D40607"/>
    <w:rsid w:val="59D70B6F"/>
    <w:rsid w:val="59DD5C7D"/>
    <w:rsid w:val="59E52814"/>
    <w:rsid w:val="59E85E60"/>
    <w:rsid w:val="59E8796D"/>
    <w:rsid w:val="59F803CF"/>
    <w:rsid w:val="59FA62BF"/>
    <w:rsid w:val="5A0544D6"/>
    <w:rsid w:val="5A176DD3"/>
    <w:rsid w:val="5A4C154E"/>
    <w:rsid w:val="5A4D3270"/>
    <w:rsid w:val="5A6163BB"/>
    <w:rsid w:val="5A905F35"/>
    <w:rsid w:val="5ABF3065"/>
    <w:rsid w:val="5ADD4094"/>
    <w:rsid w:val="5AE15649"/>
    <w:rsid w:val="5AE93FDB"/>
    <w:rsid w:val="5AEB20AC"/>
    <w:rsid w:val="5AFC4A3A"/>
    <w:rsid w:val="5B152C85"/>
    <w:rsid w:val="5B1D5F4A"/>
    <w:rsid w:val="5B250D83"/>
    <w:rsid w:val="5B25654A"/>
    <w:rsid w:val="5B2A709E"/>
    <w:rsid w:val="5B2E2399"/>
    <w:rsid w:val="5B3756A6"/>
    <w:rsid w:val="5B394BC5"/>
    <w:rsid w:val="5B527A35"/>
    <w:rsid w:val="5B580745"/>
    <w:rsid w:val="5B5E63DA"/>
    <w:rsid w:val="5B6B7B93"/>
    <w:rsid w:val="5B6C5BE4"/>
    <w:rsid w:val="5B8144A4"/>
    <w:rsid w:val="5B8528F1"/>
    <w:rsid w:val="5B900A1A"/>
    <w:rsid w:val="5B92368E"/>
    <w:rsid w:val="5B9B50D2"/>
    <w:rsid w:val="5B9C1F99"/>
    <w:rsid w:val="5BA1576A"/>
    <w:rsid w:val="5BB24978"/>
    <w:rsid w:val="5BC42BCD"/>
    <w:rsid w:val="5BC4337F"/>
    <w:rsid w:val="5BC71C15"/>
    <w:rsid w:val="5BCA48B4"/>
    <w:rsid w:val="5BE8316E"/>
    <w:rsid w:val="5C010E93"/>
    <w:rsid w:val="5C050F4B"/>
    <w:rsid w:val="5C0A1266"/>
    <w:rsid w:val="5C12153F"/>
    <w:rsid w:val="5C144A38"/>
    <w:rsid w:val="5C373C46"/>
    <w:rsid w:val="5C3A6E47"/>
    <w:rsid w:val="5C645C72"/>
    <w:rsid w:val="5C806824"/>
    <w:rsid w:val="5C8A16E1"/>
    <w:rsid w:val="5C8E59C1"/>
    <w:rsid w:val="5C9541D4"/>
    <w:rsid w:val="5C9D42F2"/>
    <w:rsid w:val="5CAE513F"/>
    <w:rsid w:val="5CBD5382"/>
    <w:rsid w:val="5CC52608"/>
    <w:rsid w:val="5CCC478E"/>
    <w:rsid w:val="5CCD7CBB"/>
    <w:rsid w:val="5CDA4186"/>
    <w:rsid w:val="5CDC2717"/>
    <w:rsid w:val="5CE36B93"/>
    <w:rsid w:val="5CE70651"/>
    <w:rsid w:val="5CEA7293"/>
    <w:rsid w:val="5CFC234E"/>
    <w:rsid w:val="5D0B2591"/>
    <w:rsid w:val="5D132CC7"/>
    <w:rsid w:val="5D1E5F54"/>
    <w:rsid w:val="5D4C49C3"/>
    <w:rsid w:val="5D753EAF"/>
    <w:rsid w:val="5D7E7207"/>
    <w:rsid w:val="5D852344"/>
    <w:rsid w:val="5D865304"/>
    <w:rsid w:val="5D976C48"/>
    <w:rsid w:val="5D9B1B67"/>
    <w:rsid w:val="5D9E51B4"/>
    <w:rsid w:val="5DC032E9"/>
    <w:rsid w:val="5DC411AD"/>
    <w:rsid w:val="5DC66729"/>
    <w:rsid w:val="5DC84035"/>
    <w:rsid w:val="5DD11413"/>
    <w:rsid w:val="5DDB6408"/>
    <w:rsid w:val="5DDC3F2E"/>
    <w:rsid w:val="5DE35B2F"/>
    <w:rsid w:val="5DF66A37"/>
    <w:rsid w:val="5DF9688E"/>
    <w:rsid w:val="5E005A13"/>
    <w:rsid w:val="5E1611EE"/>
    <w:rsid w:val="5E190CDE"/>
    <w:rsid w:val="5E495F53"/>
    <w:rsid w:val="5E4F158F"/>
    <w:rsid w:val="5E587A58"/>
    <w:rsid w:val="5E6B0C81"/>
    <w:rsid w:val="5E850121"/>
    <w:rsid w:val="5E876440"/>
    <w:rsid w:val="5E914D18"/>
    <w:rsid w:val="5E997BFC"/>
    <w:rsid w:val="5EA021B1"/>
    <w:rsid w:val="5EA84F70"/>
    <w:rsid w:val="5EB20EC7"/>
    <w:rsid w:val="5ECC69D0"/>
    <w:rsid w:val="5ECD4A53"/>
    <w:rsid w:val="5EDA345B"/>
    <w:rsid w:val="5EDB1D48"/>
    <w:rsid w:val="5EDF06C0"/>
    <w:rsid w:val="5EE95696"/>
    <w:rsid w:val="5EEE5CC7"/>
    <w:rsid w:val="5EFC20A0"/>
    <w:rsid w:val="5F08270F"/>
    <w:rsid w:val="5F0B6879"/>
    <w:rsid w:val="5F204709"/>
    <w:rsid w:val="5F27742B"/>
    <w:rsid w:val="5F31137C"/>
    <w:rsid w:val="5F385194"/>
    <w:rsid w:val="5F592E3F"/>
    <w:rsid w:val="5F5F4E16"/>
    <w:rsid w:val="5F66513E"/>
    <w:rsid w:val="5F6B7644"/>
    <w:rsid w:val="5F6D598C"/>
    <w:rsid w:val="5F743723"/>
    <w:rsid w:val="5F8648AE"/>
    <w:rsid w:val="5F893C41"/>
    <w:rsid w:val="5F8A6D0F"/>
    <w:rsid w:val="5F8C3101"/>
    <w:rsid w:val="5FA97E40"/>
    <w:rsid w:val="5FB011CE"/>
    <w:rsid w:val="5FB07420"/>
    <w:rsid w:val="5FB94527"/>
    <w:rsid w:val="5FCC685A"/>
    <w:rsid w:val="5FDE3F8D"/>
    <w:rsid w:val="5FE02930"/>
    <w:rsid w:val="5FED1A34"/>
    <w:rsid w:val="5FFA0F49"/>
    <w:rsid w:val="5FFC08B7"/>
    <w:rsid w:val="60194FC5"/>
    <w:rsid w:val="601C6864"/>
    <w:rsid w:val="60237BF2"/>
    <w:rsid w:val="603221A6"/>
    <w:rsid w:val="6041193C"/>
    <w:rsid w:val="604D318A"/>
    <w:rsid w:val="6054725D"/>
    <w:rsid w:val="605821D7"/>
    <w:rsid w:val="605E50CE"/>
    <w:rsid w:val="605F5747"/>
    <w:rsid w:val="606F67FA"/>
    <w:rsid w:val="60751D5D"/>
    <w:rsid w:val="607E307A"/>
    <w:rsid w:val="60857039"/>
    <w:rsid w:val="60997EB4"/>
    <w:rsid w:val="60B116A2"/>
    <w:rsid w:val="60BD1DF5"/>
    <w:rsid w:val="60C74EDE"/>
    <w:rsid w:val="60EC610F"/>
    <w:rsid w:val="60FB291D"/>
    <w:rsid w:val="61210B4D"/>
    <w:rsid w:val="61277D1A"/>
    <w:rsid w:val="612C39D9"/>
    <w:rsid w:val="613461FD"/>
    <w:rsid w:val="613670EF"/>
    <w:rsid w:val="614147D4"/>
    <w:rsid w:val="614442C4"/>
    <w:rsid w:val="615362B5"/>
    <w:rsid w:val="61603536"/>
    <w:rsid w:val="616703E1"/>
    <w:rsid w:val="61722BDF"/>
    <w:rsid w:val="617D1584"/>
    <w:rsid w:val="61932AD9"/>
    <w:rsid w:val="61AC5291"/>
    <w:rsid w:val="61CD0301"/>
    <w:rsid w:val="61D37450"/>
    <w:rsid w:val="61E40ED6"/>
    <w:rsid w:val="61FD2F5A"/>
    <w:rsid w:val="62066FBB"/>
    <w:rsid w:val="62133014"/>
    <w:rsid w:val="621974FF"/>
    <w:rsid w:val="6220263B"/>
    <w:rsid w:val="622B5265"/>
    <w:rsid w:val="622B5437"/>
    <w:rsid w:val="623714C8"/>
    <w:rsid w:val="6237232D"/>
    <w:rsid w:val="623E44AD"/>
    <w:rsid w:val="623E6F65"/>
    <w:rsid w:val="625E7607"/>
    <w:rsid w:val="626A208B"/>
    <w:rsid w:val="626D15F8"/>
    <w:rsid w:val="627C4DA9"/>
    <w:rsid w:val="628232F6"/>
    <w:rsid w:val="62906902"/>
    <w:rsid w:val="62960B4F"/>
    <w:rsid w:val="629628FD"/>
    <w:rsid w:val="629B43B7"/>
    <w:rsid w:val="62A212A2"/>
    <w:rsid w:val="62A3326C"/>
    <w:rsid w:val="62A42475"/>
    <w:rsid w:val="62A84159"/>
    <w:rsid w:val="62C63606"/>
    <w:rsid w:val="62D11B87"/>
    <w:rsid w:val="62DA69DF"/>
    <w:rsid w:val="62DC4CEE"/>
    <w:rsid w:val="62DF24F6"/>
    <w:rsid w:val="62E80C7F"/>
    <w:rsid w:val="62EC34C6"/>
    <w:rsid w:val="62EE44E7"/>
    <w:rsid w:val="62F15D85"/>
    <w:rsid w:val="62F7188B"/>
    <w:rsid w:val="63081A0C"/>
    <w:rsid w:val="63113A29"/>
    <w:rsid w:val="63166BE1"/>
    <w:rsid w:val="631C76F6"/>
    <w:rsid w:val="632B38D5"/>
    <w:rsid w:val="632E6FDA"/>
    <w:rsid w:val="634E41F4"/>
    <w:rsid w:val="635307EE"/>
    <w:rsid w:val="637C2EC1"/>
    <w:rsid w:val="638C28C9"/>
    <w:rsid w:val="63966573"/>
    <w:rsid w:val="63A92876"/>
    <w:rsid w:val="63B4356A"/>
    <w:rsid w:val="63B72B9D"/>
    <w:rsid w:val="63C16DBD"/>
    <w:rsid w:val="63C27722"/>
    <w:rsid w:val="63C41FDE"/>
    <w:rsid w:val="63C77D1D"/>
    <w:rsid w:val="63FF7497"/>
    <w:rsid w:val="64055990"/>
    <w:rsid w:val="64190FEE"/>
    <w:rsid w:val="64357EF4"/>
    <w:rsid w:val="6444590E"/>
    <w:rsid w:val="644528F0"/>
    <w:rsid w:val="64485E79"/>
    <w:rsid w:val="645124D4"/>
    <w:rsid w:val="645442A7"/>
    <w:rsid w:val="646E3536"/>
    <w:rsid w:val="6472787A"/>
    <w:rsid w:val="64805613"/>
    <w:rsid w:val="64812DEB"/>
    <w:rsid w:val="648139E8"/>
    <w:rsid w:val="648B3FB8"/>
    <w:rsid w:val="649C0802"/>
    <w:rsid w:val="64A62BA0"/>
    <w:rsid w:val="64AA2690"/>
    <w:rsid w:val="64AF5EF8"/>
    <w:rsid w:val="64B91102"/>
    <w:rsid w:val="64BB4169"/>
    <w:rsid w:val="64C94CA8"/>
    <w:rsid w:val="64CA326B"/>
    <w:rsid w:val="64D9713B"/>
    <w:rsid w:val="64DA5875"/>
    <w:rsid w:val="64F8789F"/>
    <w:rsid w:val="650B37E5"/>
    <w:rsid w:val="65110961"/>
    <w:rsid w:val="652266CA"/>
    <w:rsid w:val="65240694"/>
    <w:rsid w:val="65241D87"/>
    <w:rsid w:val="652D34AB"/>
    <w:rsid w:val="65397E9C"/>
    <w:rsid w:val="655C7577"/>
    <w:rsid w:val="655D4743"/>
    <w:rsid w:val="656C3DE9"/>
    <w:rsid w:val="657333CA"/>
    <w:rsid w:val="65796481"/>
    <w:rsid w:val="657F56CF"/>
    <w:rsid w:val="65954D6B"/>
    <w:rsid w:val="65AB66C0"/>
    <w:rsid w:val="65BD7694"/>
    <w:rsid w:val="65BF216B"/>
    <w:rsid w:val="65C710BC"/>
    <w:rsid w:val="65DD1420"/>
    <w:rsid w:val="66177475"/>
    <w:rsid w:val="662B15AE"/>
    <w:rsid w:val="662D3578"/>
    <w:rsid w:val="662D5327"/>
    <w:rsid w:val="662E78E3"/>
    <w:rsid w:val="66613732"/>
    <w:rsid w:val="667E5B82"/>
    <w:rsid w:val="668D0844"/>
    <w:rsid w:val="668F7D8F"/>
    <w:rsid w:val="66946842"/>
    <w:rsid w:val="66990C0E"/>
    <w:rsid w:val="66A62A27"/>
    <w:rsid w:val="66A765BA"/>
    <w:rsid w:val="66B61FE3"/>
    <w:rsid w:val="66BB6DD6"/>
    <w:rsid w:val="66C20165"/>
    <w:rsid w:val="66C51A03"/>
    <w:rsid w:val="66C8359D"/>
    <w:rsid w:val="66E100A4"/>
    <w:rsid w:val="66E225B5"/>
    <w:rsid w:val="66F916AD"/>
    <w:rsid w:val="66F9736F"/>
    <w:rsid w:val="6705035D"/>
    <w:rsid w:val="67252EFA"/>
    <w:rsid w:val="67362901"/>
    <w:rsid w:val="673C2C3F"/>
    <w:rsid w:val="675B4115"/>
    <w:rsid w:val="675E13B5"/>
    <w:rsid w:val="67671380"/>
    <w:rsid w:val="677D6AFE"/>
    <w:rsid w:val="678C6616"/>
    <w:rsid w:val="679B2764"/>
    <w:rsid w:val="67AA29A7"/>
    <w:rsid w:val="67B5406D"/>
    <w:rsid w:val="67C76693"/>
    <w:rsid w:val="67D001F7"/>
    <w:rsid w:val="67FD341E"/>
    <w:rsid w:val="680A3A06"/>
    <w:rsid w:val="68112A26"/>
    <w:rsid w:val="68310259"/>
    <w:rsid w:val="684F4019"/>
    <w:rsid w:val="685221B2"/>
    <w:rsid w:val="685E2B02"/>
    <w:rsid w:val="6860290F"/>
    <w:rsid w:val="68617509"/>
    <w:rsid w:val="68757459"/>
    <w:rsid w:val="687D6827"/>
    <w:rsid w:val="688B7082"/>
    <w:rsid w:val="68922D05"/>
    <w:rsid w:val="689A3D1E"/>
    <w:rsid w:val="68A8008D"/>
    <w:rsid w:val="68AD7596"/>
    <w:rsid w:val="68DC4844"/>
    <w:rsid w:val="68EA7FB5"/>
    <w:rsid w:val="68F93287"/>
    <w:rsid w:val="6907169E"/>
    <w:rsid w:val="692036F0"/>
    <w:rsid w:val="69286279"/>
    <w:rsid w:val="69382960"/>
    <w:rsid w:val="6942262D"/>
    <w:rsid w:val="694E3F32"/>
    <w:rsid w:val="695233AA"/>
    <w:rsid w:val="695856CC"/>
    <w:rsid w:val="6971484A"/>
    <w:rsid w:val="6985434F"/>
    <w:rsid w:val="69871DE0"/>
    <w:rsid w:val="69904E6F"/>
    <w:rsid w:val="69A20CC4"/>
    <w:rsid w:val="69A24880"/>
    <w:rsid w:val="69A924CE"/>
    <w:rsid w:val="69AC7CAF"/>
    <w:rsid w:val="69B1626F"/>
    <w:rsid w:val="69B63885"/>
    <w:rsid w:val="69C04704"/>
    <w:rsid w:val="69D3203C"/>
    <w:rsid w:val="69F040DC"/>
    <w:rsid w:val="69FB76F2"/>
    <w:rsid w:val="6A1B67AB"/>
    <w:rsid w:val="6A203528"/>
    <w:rsid w:val="6A256ADD"/>
    <w:rsid w:val="6A4B221F"/>
    <w:rsid w:val="6A521CE2"/>
    <w:rsid w:val="6A6257BB"/>
    <w:rsid w:val="6A641533"/>
    <w:rsid w:val="6A702E61"/>
    <w:rsid w:val="6A722A7F"/>
    <w:rsid w:val="6A786D8C"/>
    <w:rsid w:val="6A793230"/>
    <w:rsid w:val="6A8219B9"/>
    <w:rsid w:val="6AB24ABD"/>
    <w:rsid w:val="6ABA1153"/>
    <w:rsid w:val="6AD40467"/>
    <w:rsid w:val="6B016D82"/>
    <w:rsid w:val="6B074370"/>
    <w:rsid w:val="6B0A032C"/>
    <w:rsid w:val="6B0D0B90"/>
    <w:rsid w:val="6B141536"/>
    <w:rsid w:val="6B1954C2"/>
    <w:rsid w:val="6B1C3BBC"/>
    <w:rsid w:val="6B1E3543"/>
    <w:rsid w:val="6B2C2051"/>
    <w:rsid w:val="6B4032A1"/>
    <w:rsid w:val="6B482C03"/>
    <w:rsid w:val="6B4932F7"/>
    <w:rsid w:val="6B4F3947"/>
    <w:rsid w:val="6B60301B"/>
    <w:rsid w:val="6B6E0C10"/>
    <w:rsid w:val="6B77039F"/>
    <w:rsid w:val="6B7B4B0A"/>
    <w:rsid w:val="6B9171E7"/>
    <w:rsid w:val="6B971F95"/>
    <w:rsid w:val="6BB95693"/>
    <w:rsid w:val="6BBA7E6F"/>
    <w:rsid w:val="6BBB1626"/>
    <w:rsid w:val="6BCA1BD9"/>
    <w:rsid w:val="6BD050D2"/>
    <w:rsid w:val="6BEC236D"/>
    <w:rsid w:val="6BF012D0"/>
    <w:rsid w:val="6BF15EB8"/>
    <w:rsid w:val="6C066D46"/>
    <w:rsid w:val="6C2744B0"/>
    <w:rsid w:val="6C2D3827"/>
    <w:rsid w:val="6C3118E9"/>
    <w:rsid w:val="6C376EFF"/>
    <w:rsid w:val="6C576A20"/>
    <w:rsid w:val="6C634DD7"/>
    <w:rsid w:val="6C6E29CF"/>
    <w:rsid w:val="6C7D68DC"/>
    <w:rsid w:val="6C901F9D"/>
    <w:rsid w:val="6C99185B"/>
    <w:rsid w:val="6CA67BE1"/>
    <w:rsid w:val="6CAB3449"/>
    <w:rsid w:val="6CB476CD"/>
    <w:rsid w:val="6CB54957"/>
    <w:rsid w:val="6CB96B2B"/>
    <w:rsid w:val="6CBA5FC8"/>
    <w:rsid w:val="6CC625FB"/>
    <w:rsid w:val="6CC8333A"/>
    <w:rsid w:val="6CD0784D"/>
    <w:rsid w:val="6CDB7349"/>
    <w:rsid w:val="6CDC3602"/>
    <w:rsid w:val="6CDE737B"/>
    <w:rsid w:val="6CFF19D7"/>
    <w:rsid w:val="6D090AE2"/>
    <w:rsid w:val="6D1A370B"/>
    <w:rsid w:val="6D205BE5"/>
    <w:rsid w:val="6D317DF2"/>
    <w:rsid w:val="6D3234C8"/>
    <w:rsid w:val="6D4B0A7C"/>
    <w:rsid w:val="6D4C69DA"/>
    <w:rsid w:val="6D54588F"/>
    <w:rsid w:val="6D577853"/>
    <w:rsid w:val="6D5B7935"/>
    <w:rsid w:val="6D5C4743"/>
    <w:rsid w:val="6D765805"/>
    <w:rsid w:val="6D7F4EBE"/>
    <w:rsid w:val="6D9C426A"/>
    <w:rsid w:val="6DA11B0C"/>
    <w:rsid w:val="6DA70485"/>
    <w:rsid w:val="6DAA1953"/>
    <w:rsid w:val="6DAD3ABC"/>
    <w:rsid w:val="6DC55223"/>
    <w:rsid w:val="6DC632B9"/>
    <w:rsid w:val="6DCE650B"/>
    <w:rsid w:val="6DE035C6"/>
    <w:rsid w:val="6DEA7FA1"/>
    <w:rsid w:val="6DFB7D1F"/>
    <w:rsid w:val="6E072901"/>
    <w:rsid w:val="6E0866A1"/>
    <w:rsid w:val="6E155F11"/>
    <w:rsid w:val="6E1919F6"/>
    <w:rsid w:val="6E1B015A"/>
    <w:rsid w:val="6E1B47E2"/>
    <w:rsid w:val="6E1F5C17"/>
    <w:rsid w:val="6E6834C9"/>
    <w:rsid w:val="6E6B6076"/>
    <w:rsid w:val="6E6B77D4"/>
    <w:rsid w:val="6E7B6E4B"/>
    <w:rsid w:val="6E865BD5"/>
    <w:rsid w:val="6E896105"/>
    <w:rsid w:val="6E981139"/>
    <w:rsid w:val="6E985C4F"/>
    <w:rsid w:val="6EAD4B62"/>
    <w:rsid w:val="6ED529FF"/>
    <w:rsid w:val="6EDA1DC4"/>
    <w:rsid w:val="6EDA3C7A"/>
    <w:rsid w:val="6EDC3D8E"/>
    <w:rsid w:val="6EEB55FE"/>
    <w:rsid w:val="6EEC1EAB"/>
    <w:rsid w:val="6EF16592"/>
    <w:rsid w:val="6F1057E5"/>
    <w:rsid w:val="6F141779"/>
    <w:rsid w:val="6F1572A0"/>
    <w:rsid w:val="6F361C7B"/>
    <w:rsid w:val="6F3E7AF8"/>
    <w:rsid w:val="6F433E0D"/>
    <w:rsid w:val="6F4A64C9"/>
    <w:rsid w:val="6F4B0F13"/>
    <w:rsid w:val="6F60676D"/>
    <w:rsid w:val="6F661343"/>
    <w:rsid w:val="6F912DCA"/>
    <w:rsid w:val="6F935E05"/>
    <w:rsid w:val="6F941F9B"/>
    <w:rsid w:val="6F9E2A6C"/>
    <w:rsid w:val="6FB6638D"/>
    <w:rsid w:val="6FBD596D"/>
    <w:rsid w:val="6FDE1813"/>
    <w:rsid w:val="6FDF5799"/>
    <w:rsid w:val="6FEC0000"/>
    <w:rsid w:val="6FEE6A5B"/>
    <w:rsid w:val="70020651"/>
    <w:rsid w:val="70155BE3"/>
    <w:rsid w:val="7021408D"/>
    <w:rsid w:val="70372CED"/>
    <w:rsid w:val="704A5239"/>
    <w:rsid w:val="705636CC"/>
    <w:rsid w:val="70583DB3"/>
    <w:rsid w:val="705D2CAC"/>
    <w:rsid w:val="705F2610"/>
    <w:rsid w:val="706E6C67"/>
    <w:rsid w:val="70716758"/>
    <w:rsid w:val="707470BA"/>
    <w:rsid w:val="70757FF6"/>
    <w:rsid w:val="708127B6"/>
    <w:rsid w:val="708E10B8"/>
    <w:rsid w:val="709D579F"/>
    <w:rsid w:val="70AB6137"/>
    <w:rsid w:val="70C22D41"/>
    <w:rsid w:val="70C56AED"/>
    <w:rsid w:val="70D143D5"/>
    <w:rsid w:val="70DF491C"/>
    <w:rsid w:val="70E07A28"/>
    <w:rsid w:val="70FC518E"/>
    <w:rsid w:val="71091FE1"/>
    <w:rsid w:val="711C28D5"/>
    <w:rsid w:val="714125CE"/>
    <w:rsid w:val="715E0A8A"/>
    <w:rsid w:val="7161057A"/>
    <w:rsid w:val="716A5A1C"/>
    <w:rsid w:val="71715BD8"/>
    <w:rsid w:val="7178684C"/>
    <w:rsid w:val="717B5DA3"/>
    <w:rsid w:val="71866233"/>
    <w:rsid w:val="71883D59"/>
    <w:rsid w:val="719C2A10"/>
    <w:rsid w:val="71A458F3"/>
    <w:rsid w:val="71B3602A"/>
    <w:rsid w:val="71CF6CB4"/>
    <w:rsid w:val="71D62D16"/>
    <w:rsid w:val="71D84CE0"/>
    <w:rsid w:val="71E76CD1"/>
    <w:rsid w:val="71EC42E8"/>
    <w:rsid w:val="71ED53AC"/>
    <w:rsid w:val="71EF69A0"/>
    <w:rsid w:val="71F72C8D"/>
    <w:rsid w:val="72001B41"/>
    <w:rsid w:val="721D26F3"/>
    <w:rsid w:val="723323C6"/>
    <w:rsid w:val="723E22A6"/>
    <w:rsid w:val="724600ED"/>
    <w:rsid w:val="725A2961"/>
    <w:rsid w:val="725D59CE"/>
    <w:rsid w:val="72606A84"/>
    <w:rsid w:val="726271B5"/>
    <w:rsid w:val="72665A34"/>
    <w:rsid w:val="7273123C"/>
    <w:rsid w:val="727D59BF"/>
    <w:rsid w:val="7286034B"/>
    <w:rsid w:val="728C1627"/>
    <w:rsid w:val="729A1F96"/>
    <w:rsid w:val="72A20E4A"/>
    <w:rsid w:val="72B7787D"/>
    <w:rsid w:val="72D0142B"/>
    <w:rsid w:val="72EB61A0"/>
    <w:rsid w:val="72F4012D"/>
    <w:rsid w:val="72F571CC"/>
    <w:rsid w:val="72F636F2"/>
    <w:rsid w:val="73005B27"/>
    <w:rsid w:val="73102258"/>
    <w:rsid w:val="73191EA6"/>
    <w:rsid w:val="731A48AC"/>
    <w:rsid w:val="733268FE"/>
    <w:rsid w:val="733A1083"/>
    <w:rsid w:val="7340179A"/>
    <w:rsid w:val="73410663"/>
    <w:rsid w:val="7343262D"/>
    <w:rsid w:val="734C05E7"/>
    <w:rsid w:val="738467A2"/>
    <w:rsid w:val="7399723F"/>
    <w:rsid w:val="739A4E8A"/>
    <w:rsid w:val="739F03C2"/>
    <w:rsid w:val="73C3376E"/>
    <w:rsid w:val="73C36FFB"/>
    <w:rsid w:val="73C91999"/>
    <w:rsid w:val="73CF0356"/>
    <w:rsid w:val="73D6524F"/>
    <w:rsid w:val="73DA4614"/>
    <w:rsid w:val="73DC641C"/>
    <w:rsid w:val="73F76ABD"/>
    <w:rsid w:val="740022CC"/>
    <w:rsid w:val="7406063A"/>
    <w:rsid w:val="741F44DA"/>
    <w:rsid w:val="74244651"/>
    <w:rsid w:val="74303CED"/>
    <w:rsid w:val="74424693"/>
    <w:rsid w:val="7443040B"/>
    <w:rsid w:val="744A1B52"/>
    <w:rsid w:val="745730BE"/>
    <w:rsid w:val="745D3E3F"/>
    <w:rsid w:val="746F1200"/>
    <w:rsid w:val="74821E7E"/>
    <w:rsid w:val="74865552"/>
    <w:rsid w:val="748A7DE8"/>
    <w:rsid w:val="74982505"/>
    <w:rsid w:val="74A844D0"/>
    <w:rsid w:val="74A84EEA"/>
    <w:rsid w:val="74AE7F7A"/>
    <w:rsid w:val="74C257D4"/>
    <w:rsid w:val="74C54B52"/>
    <w:rsid w:val="74DC194B"/>
    <w:rsid w:val="74DE6F14"/>
    <w:rsid w:val="74E03EAC"/>
    <w:rsid w:val="74EC45FF"/>
    <w:rsid w:val="74F87447"/>
    <w:rsid w:val="74FB4C13"/>
    <w:rsid w:val="750202C6"/>
    <w:rsid w:val="751E35F3"/>
    <w:rsid w:val="7525129E"/>
    <w:rsid w:val="75371D1E"/>
    <w:rsid w:val="754B19B8"/>
    <w:rsid w:val="75610F24"/>
    <w:rsid w:val="75652771"/>
    <w:rsid w:val="757462FA"/>
    <w:rsid w:val="759233F8"/>
    <w:rsid w:val="75996AD0"/>
    <w:rsid w:val="75BB0A6D"/>
    <w:rsid w:val="75BC70BC"/>
    <w:rsid w:val="75C8506C"/>
    <w:rsid w:val="75CB4B5C"/>
    <w:rsid w:val="75CC57CB"/>
    <w:rsid w:val="75CD61DE"/>
    <w:rsid w:val="75D21A46"/>
    <w:rsid w:val="75E1569E"/>
    <w:rsid w:val="75EF190E"/>
    <w:rsid w:val="75EF69E2"/>
    <w:rsid w:val="7601057E"/>
    <w:rsid w:val="7601232C"/>
    <w:rsid w:val="76373F9F"/>
    <w:rsid w:val="763B34B8"/>
    <w:rsid w:val="76404C02"/>
    <w:rsid w:val="764A5A81"/>
    <w:rsid w:val="76520467"/>
    <w:rsid w:val="76530DD9"/>
    <w:rsid w:val="765E16AF"/>
    <w:rsid w:val="76634D94"/>
    <w:rsid w:val="76636B42"/>
    <w:rsid w:val="766905FD"/>
    <w:rsid w:val="767408A4"/>
    <w:rsid w:val="7676290F"/>
    <w:rsid w:val="768F5F97"/>
    <w:rsid w:val="7692405D"/>
    <w:rsid w:val="76935D4D"/>
    <w:rsid w:val="76990F3D"/>
    <w:rsid w:val="769A4AC2"/>
    <w:rsid w:val="76B1471D"/>
    <w:rsid w:val="76B4739E"/>
    <w:rsid w:val="76C779A9"/>
    <w:rsid w:val="76CA2BA4"/>
    <w:rsid w:val="76CB2948"/>
    <w:rsid w:val="76D11CFE"/>
    <w:rsid w:val="77062450"/>
    <w:rsid w:val="77075720"/>
    <w:rsid w:val="772F154E"/>
    <w:rsid w:val="773076C4"/>
    <w:rsid w:val="77405332"/>
    <w:rsid w:val="7752172A"/>
    <w:rsid w:val="77586A89"/>
    <w:rsid w:val="775C62D5"/>
    <w:rsid w:val="776500DC"/>
    <w:rsid w:val="777010D7"/>
    <w:rsid w:val="777059BB"/>
    <w:rsid w:val="777F348A"/>
    <w:rsid w:val="7798281C"/>
    <w:rsid w:val="779C055E"/>
    <w:rsid w:val="779D14EF"/>
    <w:rsid w:val="77A61A97"/>
    <w:rsid w:val="77AB798B"/>
    <w:rsid w:val="77C65E25"/>
    <w:rsid w:val="77CB09D3"/>
    <w:rsid w:val="77CD4BBB"/>
    <w:rsid w:val="77F40D52"/>
    <w:rsid w:val="77F42CEE"/>
    <w:rsid w:val="78090A84"/>
    <w:rsid w:val="780B7D31"/>
    <w:rsid w:val="78160310"/>
    <w:rsid w:val="78304805"/>
    <w:rsid w:val="783E271A"/>
    <w:rsid w:val="78574485"/>
    <w:rsid w:val="785E5FEA"/>
    <w:rsid w:val="78601311"/>
    <w:rsid w:val="78752DB7"/>
    <w:rsid w:val="788E4FAF"/>
    <w:rsid w:val="78A27DF6"/>
    <w:rsid w:val="78B254D4"/>
    <w:rsid w:val="78B42360"/>
    <w:rsid w:val="78B4778F"/>
    <w:rsid w:val="78C47988"/>
    <w:rsid w:val="78C65643"/>
    <w:rsid w:val="78CE58F2"/>
    <w:rsid w:val="78D65130"/>
    <w:rsid w:val="78E52A43"/>
    <w:rsid w:val="78E722E7"/>
    <w:rsid w:val="78E92D38"/>
    <w:rsid w:val="78EA287F"/>
    <w:rsid w:val="78F30652"/>
    <w:rsid w:val="790C52CF"/>
    <w:rsid w:val="79272619"/>
    <w:rsid w:val="792D0DC2"/>
    <w:rsid w:val="7931714E"/>
    <w:rsid w:val="795B7FA5"/>
    <w:rsid w:val="79630A35"/>
    <w:rsid w:val="796C59D2"/>
    <w:rsid w:val="797057FE"/>
    <w:rsid w:val="797D7F1B"/>
    <w:rsid w:val="79876FC5"/>
    <w:rsid w:val="7997722F"/>
    <w:rsid w:val="79BB14C4"/>
    <w:rsid w:val="79BD303C"/>
    <w:rsid w:val="79CD61AE"/>
    <w:rsid w:val="79D27DA0"/>
    <w:rsid w:val="7A012FE1"/>
    <w:rsid w:val="7A0D41F6"/>
    <w:rsid w:val="7A21551A"/>
    <w:rsid w:val="7A220AAA"/>
    <w:rsid w:val="7A2A4A22"/>
    <w:rsid w:val="7A2C616F"/>
    <w:rsid w:val="7A4A3023"/>
    <w:rsid w:val="7A4E365A"/>
    <w:rsid w:val="7A5769BE"/>
    <w:rsid w:val="7A5A025C"/>
    <w:rsid w:val="7A6D4434"/>
    <w:rsid w:val="7A7B13EC"/>
    <w:rsid w:val="7A7B5656"/>
    <w:rsid w:val="7A8507F7"/>
    <w:rsid w:val="7A8D0910"/>
    <w:rsid w:val="7A8E5D00"/>
    <w:rsid w:val="7A903FC2"/>
    <w:rsid w:val="7A91097E"/>
    <w:rsid w:val="7A951295"/>
    <w:rsid w:val="7A991DC1"/>
    <w:rsid w:val="7A9C717E"/>
    <w:rsid w:val="7AB23AE6"/>
    <w:rsid w:val="7AB97C43"/>
    <w:rsid w:val="7ABA3388"/>
    <w:rsid w:val="7AC20D44"/>
    <w:rsid w:val="7AD26045"/>
    <w:rsid w:val="7AD36CC4"/>
    <w:rsid w:val="7ADD688F"/>
    <w:rsid w:val="7AEA5A84"/>
    <w:rsid w:val="7AEC35AA"/>
    <w:rsid w:val="7AF22E6F"/>
    <w:rsid w:val="7AF91800"/>
    <w:rsid w:val="7B1121E2"/>
    <w:rsid w:val="7B1A7175"/>
    <w:rsid w:val="7B1C3B93"/>
    <w:rsid w:val="7B1D0F41"/>
    <w:rsid w:val="7B284B90"/>
    <w:rsid w:val="7B3F192C"/>
    <w:rsid w:val="7B4E7DC1"/>
    <w:rsid w:val="7B65268C"/>
    <w:rsid w:val="7B875081"/>
    <w:rsid w:val="7BB0282A"/>
    <w:rsid w:val="7BB045D8"/>
    <w:rsid w:val="7BC17BB6"/>
    <w:rsid w:val="7BCB5EE9"/>
    <w:rsid w:val="7BCD6588"/>
    <w:rsid w:val="7BD171F7"/>
    <w:rsid w:val="7BD93860"/>
    <w:rsid w:val="7BDF4EBD"/>
    <w:rsid w:val="7BEC3136"/>
    <w:rsid w:val="7C016BE2"/>
    <w:rsid w:val="7C021813"/>
    <w:rsid w:val="7C0641F8"/>
    <w:rsid w:val="7C2B493F"/>
    <w:rsid w:val="7C2F570D"/>
    <w:rsid w:val="7C547F27"/>
    <w:rsid w:val="7C5E5DE2"/>
    <w:rsid w:val="7C67773B"/>
    <w:rsid w:val="7C6B3294"/>
    <w:rsid w:val="7C6B49A3"/>
    <w:rsid w:val="7C7609FD"/>
    <w:rsid w:val="7C7D684C"/>
    <w:rsid w:val="7C7F1B18"/>
    <w:rsid w:val="7C8B7D20"/>
    <w:rsid w:val="7C8D66C7"/>
    <w:rsid w:val="7C9A7F2E"/>
    <w:rsid w:val="7CA54FA5"/>
    <w:rsid w:val="7CA73C2D"/>
    <w:rsid w:val="7CA81753"/>
    <w:rsid w:val="7CB2612E"/>
    <w:rsid w:val="7CB640BD"/>
    <w:rsid w:val="7CBC6FAC"/>
    <w:rsid w:val="7CC3033B"/>
    <w:rsid w:val="7CC42366"/>
    <w:rsid w:val="7CC55E61"/>
    <w:rsid w:val="7CC876B0"/>
    <w:rsid w:val="7CCD740C"/>
    <w:rsid w:val="7CFC4CF4"/>
    <w:rsid w:val="7D0A1A57"/>
    <w:rsid w:val="7D263D47"/>
    <w:rsid w:val="7D2D1C58"/>
    <w:rsid w:val="7D67516A"/>
    <w:rsid w:val="7D676F18"/>
    <w:rsid w:val="7D9A6201"/>
    <w:rsid w:val="7D9C12B8"/>
    <w:rsid w:val="7DA41F1A"/>
    <w:rsid w:val="7DBB1012"/>
    <w:rsid w:val="7DC10846"/>
    <w:rsid w:val="7DC75005"/>
    <w:rsid w:val="7DC878B1"/>
    <w:rsid w:val="7DD47253"/>
    <w:rsid w:val="7E0341C1"/>
    <w:rsid w:val="7E08690D"/>
    <w:rsid w:val="7E10135E"/>
    <w:rsid w:val="7E355268"/>
    <w:rsid w:val="7E4F6ED4"/>
    <w:rsid w:val="7E7F40C9"/>
    <w:rsid w:val="7E851D4C"/>
    <w:rsid w:val="7E857848"/>
    <w:rsid w:val="7E8F5D72"/>
    <w:rsid w:val="7EA06B86"/>
    <w:rsid w:val="7EA22CDE"/>
    <w:rsid w:val="7EAF6DC9"/>
    <w:rsid w:val="7EBE307E"/>
    <w:rsid w:val="7F062761"/>
    <w:rsid w:val="7F080206"/>
    <w:rsid w:val="7F160E03"/>
    <w:rsid w:val="7F1758A3"/>
    <w:rsid w:val="7F2D5F40"/>
    <w:rsid w:val="7F313C82"/>
    <w:rsid w:val="7F5E4F6B"/>
    <w:rsid w:val="7F5E5349"/>
    <w:rsid w:val="7F6F6558"/>
    <w:rsid w:val="7F703C5B"/>
    <w:rsid w:val="7F7678E7"/>
    <w:rsid w:val="7F78365F"/>
    <w:rsid w:val="7F8C7F60"/>
    <w:rsid w:val="7F8F2756"/>
    <w:rsid w:val="7FE42BF3"/>
    <w:rsid w:val="7FF340A0"/>
    <w:rsid w:val="7FFC20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keepNext/>
      <w:keepLines/>
      <w:spacing w:before="340" w:after="330" w:line="576" w:lineRule="auto"/>
      <w:textAlignment w:val="center"/>
      <w:outlineLvl w:val="0"/>
    </w:pPr>
    <w:rPr>
      <w:bCs/>
      <w:kern w:val="44"/>
      <w:sz w:val="44"/>
      <w:szCs w:val="44"/>
    </w:rPr>
  </w:style>
  <w:style w:type="paragraph" w:styleId="4">
    <w:name w:val="heading 2"/>
    <w:basedOn w:val="1"/>
    <w:next w:val="1"/>
    <w:link w:val="53"/>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3" w:lineRule="auto"/>
      <w:outlineLvl w:val="2"/>
    </w:pPr>
    <w:rPr>
      <w:b/>
      <w:bCs/>
      <w:szCs w:val="32"/>
    </w:rPr>
  </w:style>
  <w:style w:type="paragraph" w:styleId="6">
    <w:name w:val="heading 4"/>
    <w:basedOn w:val="1"/>
    <w:next w:val="1"/>
    <w:link w:val="55"/>
    <w:qFormat/>
    <w:uiPriority w:val="0"/>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56"/>
    <w:qFormat/>
    <w:uiPriority w:val="9"/>
    <w:pPr>
      <w:keepNext/>
      <w:keepLines/>
      <w:spacing w:before="280" w:after="290" w:line="376" w:lineRule="auto"/>
      <w:outlineLvl w:val="4"/>
    </w:pPr>
    <w:rPr>
      <w:b/>
      <w:bCs/>
      <w:kern w:val="0"/>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8"/>
    <w:unhideWhenUsed/>
    <w:qFormat/>
    <w:uiPriority w:val="0"/>
    <w:pPr>
      <w:spacing w:after="120"/>
    </w:pPr>
  </w:style>
  <w:style w:type="paragraph" w:styleId="8">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toa heading"/>
    <w:basedOn w:val="1"/>
    <w:next w:val="1"/>
    <w:qFormat/>
    <w:uiPriority w:val="0"/>
    <w:pPr>
      <w:spacing w:before="120"/>
    </w:pPr>
    <w:rPr>
      <w:rFonts w:ascii="Arial"/>
      <w:kern w:val="0"/>
      <w:sz w:val="24"/>
      <w:szCs w:val="20"/>
    </w:rPr>
  </w:style>
  <w:style w:type="paragraph" w:styleId="12">
    <w:name w:val="annotation text"/>
    <w:basedOn w:val="1"/>
    <w:link w:val="57"/>
    <w:semiHidden/>
    <w:qFormat/>
    <w:uiPriority w:val="0"/>
    <w:pPr>
      <w:jc w:val="left"/>
    </w:pPr>
  </w:style>
  <w:style w:type="paragraph" w:styleId="13">
    <w:name w:val="Body Text 3"/>
    <w:basedOn w:val="1"/>
    <w:link w:val="58"/>
    <w:qFormat/>
    <w:uiPriority w:val="0"/>
    <w:pPr>
      <w:spacing w:after="120"/>
    </w:pPr>
    <w:rPr>
      <w:sz w:val="16"/>
      <w:szCs w:val="16"/>
    </w:rPr>
  </w:style>
  <w:style w:type="paragraph" w:styleId="14">
    <w:name w:val="Body Text Indent"/>
    <w:basedOn w:val="1"/>
    <w:next w:val="9"/>
    <w:link w:val="49"/>
    <w:qFormat/>
    <w:uiPriority w:val="0"/>
    <w:pPr>
      <w:spacing w:after="120"/>
      <w:ind w:left="420" w:leftChars="200"/>
    </w:p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pacing w:line="340" w:lineRule="exact"/>
      <w:ind w:left="850" w:leftChars="405" w:right="16"/>
    </w:pPr>
    <w:rPr>
      <w:rFonts w:ascii="宋体"/>
      <w:spacing w:val="20"/>
      <w:sz w:val="24"/>
    </w:rPr>
  </w:style>
  <w:style w:type="paragraph" w:styleId="17">
    <w:name w:val="Plain Text"/>
    <w:basedOn w:val="1"/>
    <w:link w:val="47"/>
    <w:qFormat/>
    <w:uiPriority w:val="0"/>
    <w:pPr>
      <w:spacing w:beforeLines="50" w:afterLines="50" w:line="400" w:lineRule="exact"/>
    </w:pPr>
    <w:rPr>
      <w:rFonts w:ascii="宋体" w:hAnsi="Courier New"/>
      <w:sz w:val="24"/>
    </w:rPr>
  </w:style>
  <w:style w:type="paragraph" w:styleId="18">
    <w:name w:val="Date"/>
    <w:basedOn w:val="1"/>
    <w:next w:val="1"/>
    <w:link w:val="59"/>
    <w:qFormat/>
    <w:uiPriority w:val="0"/>
    <w:pPr>
      <w:ind w:left="2500" w:leftChars="2500"/>
    </w:pPr>
    <w:rPr>
      <w:rFonts w:eastAsia="楷体_GB2312"/>
      <w:sz w:val="32"/>
      <w:szCs w:val="20"/>
    </w:rPr>
  </w:style>
  <w:style w:type="paragraph" w:styleId="19">
    <w:name w:val="Body Text Indent 2"/>
    <w:basedOn w:val="1"/>
    <w:link w:val="60"/>
    <w:qFormat/>
    <w:uiPriority w:val="0"/>
    <w:pPr>
      <w:snapToGrid w:val="0"/>
      <w:ind w:firstLine="542" w:firstLineChars="225"/>
    </w:pPr>
    <w:rPr>
      <w:rFonts w:ascii="仿宋_GB2312" w:hAnsi="宋体" w:cs="Arial"/>
      <w:b/>
      <w:bCs/>
      <w:color w:val="000000"/>
      <w:sz w:val="24"/>
    </w:rPr>
  </w:style>
  <w:style w:type="paragraph" w:styleId="20">
    <w:name w:val="Balloon Text"/>
    <w:basedOn w:val="1"/>
    <w:link w:val="61"/>
    <w:qFormat/>
    <w:uiPriority w:val="0"/>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Theme="majorHAnsi" w:hAnsiTheme="majorHAnsi" w:eastAsiaTheme="majorEastAsia" w:cstheme="majorBidi"/>
    </w:rPr>
  </w:style>
  <w:style w:type="paragraph" w:styleId="23">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Subtitle"/>
    <w:basedOn w:val="1"/>
    <w:link w:val="62"/>
    <w:qFormat/>
    <w:uiPriority w:val="11"/>
    <w:pPr>
      <w:spacing w:afterLines="50"/>
      <w:jc w:val="center"/>
    </w:pPr>
    <w:rPr>
      <w:rFonts w:eastAsia="Times New Roman"/>
      <w:sz w:val="18"/>
      <w:szCs w:val="18"/>
    </w:rPr>
  </w:style>
  <w:style w:type="paragraph" w:styleId="26">
    <w:name w:val="List"/>
    <w:basedOn w:val="1"/>
    <w:qFormat/>
    <w:uiPriority w:val="0"/>
    <w:pPr>
      <w:ind w:left="200" w:hanging="200" w:hangingChars="200"/>
    </w:pPr>
  </w:style>
  <w:style w:type="paragraph" w:styleId="27">
    <w:name w:val="Body Text Indent 3"/>
    <w:basedOn w:val="1"/>
    <w:link w:val="50"/>
    <w:qFormat/>
    <w:uiPriority w:val="0"/>
    <w:pPr>
      <w:spacing w:after="120"/>
      <w:ind w:left="420" w:leftChars="200"/>
    </w:pPr>
    <w:rPr>
      <w:sz w:val="16"/>
      <w:szCs w:val="16"/>
    </w:rPr>
  </w:style>
  <w:style w:type="paragraph" w:styleId="28">
    <w:name w:val="Body Text 2"/>
    <w:basedOn w:val="1"/>
    <w:link w:val="51"/>
    <w:qFormat/>
    <w:uiPriority w:val="0"/>
    <w:pPr>
      <w:spacing w:after="120" w:line="480" w:lineRule="auto"/>
    </w:pPr>
  </w:style>
  <w:style w:type="paragraph" w:styleId="29">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line="300" w:lineRule="atLeast"/>
      <w:jc w:val="left"/>
    </w:pPr>
    <w:rPr>
      <w:rFonts w:ascii="宋体" w:hAnsi="宋体"/>
      <w:color w:val="000000"/>
      <w:kern w:val="0"/>
      <w:sz w:val="18"/>
    </w:rPr>
  </w:style>
  <w:style w:type="paragraph" w:styleId="31">
    <w:name w:val="annotation subject"/>
    <w:basedOn w:val="12"/>
    <w:next w:val="12"/>
    <w:link w:val="64"/>
    <w:semiHidden/>
    <w:qFormat/>
    <w:uiPriority w:val="0"/>
    <w:rPr>
      <w:b/>
      <w:bCs/>
    </w:rPr>
  </w:style>
  <w:style w:type="paragraph" w:styleId="32">
    <w:name w:val="Body Text First Indent"/>
    <w:basedOn w:val="2"/>
    <w:unhideWhenUsed/>
    <w:qFormat/>
    <w:uiPriority w:val="99"/>
    <w:pPr>
      <w:ind w:firstLine="420" w:firstLineChars="100"/>
    </w:pPr>
  </w:style>
  <w:style w:type="paragraph" w:styleId="33">
    <w:name w:val="Body Text First Indent 2"/>
    <w:basedOn w:val="14"/>
    <w:next w:val="1"/>
    <w:qFormat/>
    <w:uiPriority w:val="0"/>
    <w:pPr>
      <w:ind w:firstLine="42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basedOn w:val="36"/>
    <w:qFormat/>
    <w:uiPriority w:val="0"/>
    <w:rPr>
      <w:rFonts w:hint="eastAsia" w:ascii="微软雅黑" w:hAnsi="微软雅黑" w:eastAsia="微软雅黑" w:cs="微软雅黑"/>
      <w:color w:val="02396F"/>
      <w:u w:val="single"/>
    </w:rPr>
  </w:style>
  <w:style w:type="character" w:styleId="40">
    <w:name w:val="Hyperlink"/>
    <w:basedOn w:val="36"/>
    <w:qFormat/>
    <w:uiPriority w:val="0"/>
    <w:rPr>
      <w:rFonts w:hint="eastAsia" w:ascii="微软雅黑" w:hAnsi="微软雅黑" w:eastAsia="微软雅黑" w:cs="微软雅黑"/>
      <w:color w:val="02396F"/>
      <w:u w:val="single"/>
    </w:rPr>
  </w:style>
  <w:style w:type="character" w:styleId="41">
    <w:name w:val="annotation reference"/>
    <w:semiHidden/>
    <w:qFormat/>
    <w:uiPriority w:val="0"/>
    <w:rPr>
      <w:sz w:val="21"/>
      <w:szCs w:val="21"/>
    </w:rPr>
  </w:style>
  <w:style w:type="paragraph" w:customStyle="1" w:styleId="42">
    <w:name w:val="Default"/>
    <w:next w:val="4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5">
    <w:name w:val="页眉 字符"/>
    <w:basedOn w:val="36"/>
    <w:link w:val="23"/>
    <w:qFormat/>
    <w:uiPriority w:val="99"/>
    <w:rPr>
      <w:sz w:val="18"/>
      <w:szCs w:val="18"/>
    </w:rPr>
  </w:style>
  <w:style w:type="character" w:customStyle="1" w:styleId="46">
    <w:name w:val="页脚 字符"/>
    <w:basedOn w:val="36"/>
    <w:link w:val="21"/>
    <w:qFormat/>
    <w:uiPriority w:val="99"/>
    <w:rPr>
      <w:sz w:val="18"/>
      <w:szCs w:val="18"/>
    </w:rPr>
  </w:style>
  <w:style w:type="character" w:customStyle="1" w:styleId="47">
    <w:name w:val="纯文本 字符"/>
    <w:basedOn w:val="36"/>
    <w:link w:val="17"/>
    <w:qFormat/>
    <w:uiPriority w:val="0"/>
    <w:rPr>
      <w:rFonts w:ascii="宋体" w:hAnsi="Courier New" w:eastAsia="宋体" w:cs="Times New Roman"/>
      <w:sz w:val="24"/>
      <w:szCs w:val="24"/>
    </w:rPr>
  </w:style>
  <w:style w:type="character" w:customStyle="1" w:styleId="48">
    <w:name w:val="正文文本 字符"/>
    <w:basedOn w:val="36"/>
    <w:link w:val="2"/>
    <w:semiHidden/>
    <w:qFormat/>
    <w:uiPriority w:val="99"/>
    <w:rPr>
      <w:rFonts w:ascii="Times New Roman" w:hAnsi="Times New Roman" w:eastAsia="宋体" w:cs="Times New Roman"/>
      <w:szCs w:val="24"/>
    </w:rPr>
  </w:style>
  <w:style w:type="character" w:customStyle="1" w:styleId="49">
    <w:name w:val="正文文本缩进 字符"/>
    <w:basedOn w:val="36"/>
    <w:link w:val="14"/>
    <w:qFormat/>
    <w:uiPriority w:val="0"/>
    <w:rPr>
      <w:rFonts w:ascii="Times New Roman" w:hAnsi="Times New Roman" w:eastAsia="宋体" w:cs="Times New Roman"/>
      <w:szCs w:val="24"/>
    </w:rPr>
  </w:style>
  <w:style w:type="character" w:customStyle="1" w:styleId="50">
    <w:name w:val="正文文本缩进 3 字符"/>
    <w:basedOn w:val="36"/>
    <w:link w:val="27"/>
    <w:qFormat/>
    <w:uiPriority w:val="0"/>
    <w:rPr>
      <w:rFonts w:ascii="Times New Roman" w:hAnsi="Times New Roman" w:eastAsia="宋体" w:cs="Times New Roman"/>
      <w:sz w:val="16"/>
      <w:szCs w:val="16"/>
    </w:rPr>
  </w:style>
  <w:style w:type="character" w:customStyle="1" w:styleId="51">
    <w:name w:val="正文文本 2 字符"/>
    <w:basedOn w:val="36"/>
    <w:link w:val="28"/>
    <w:qFormat/>
    <w:uiPriority w:val="0"/>
    <w:rPr>
      <w:rFonts w:ascii="Times New Roman" w:hAnsi="Times New Roman" w:eastAsia="宋体" w:cs="Times New Roman"/>
      <w:szCs w:val="24"/>
    </w:rPr>
  </w:style>
  <w:style w:type="character" w:customStyle="1" w:styleId="52">
    <w:name w:val="标题 1 字符"/>
    <w:basedOn w:val="36"/>
    <w:link w:val="3"/>
    <w:qFormat/>
    <w:uiPriority w:val="0"/>
    <w:rPr>
      <w:rFonts w:ascii="Times New Roman" w:hAnsi="Times New Roman" w:eastAsia="宋体" w:cs="Times New Roman"/>
      <w:bCs/>
      <w:kern w:val="44"/>
      <w:sz w:val="44"/>
      <w:szCs w:val="44"/>
    </w:rPr>
  </w:style>
  <w:style w:type="character" w:customStyle="1" w:styleId="53">
    <w:name w:val="标题 2 字符"/>
    <w:basedOn w:val="36"/>
    <w:link w:val="4"/>
    <w:qFormat/>
    <w:uiPriority w:val="9"/>
    <w:rPr>
      <w:rFonts w:ascii="Arial" w:hAnsi="Arial" w:eastAsia="黑体" w:cs="Times New Roman"/>
      <w:b/>
      <w:bCs/>
      <w:kern w:val="0"/>
      <w:sz w:val="32"/>
      <w:szCs w:val="32"/>
    </w:rPr>
  </w:style>
  <w:style w:type="character" w:customStyle="1" w:styleId="54">
    <w:name w:val="标题 3 字符"/>
    <w:basedOn w:val="36"/>
    <w:link w:val="5"/>
    <w:qFormat/>
    <w:uiPriority w:val="0"/>
    <w:rPr>
      <w:rFonts w:ascii="Times New Roman" w:hAnsi="Times New Roman" w:eastAsia="宋体" w:cs="Times New Roman"/>
      <w:b/>
      <w:bCs/>
      <w:szCs w:val="32"/>
    </w:rPr>
  </w:style>
  <w:style w:type="character" w:customStyle="1" w:styleId="55">
    <w:name w:val="标题 4 字符"/>
    <w:basedOn w:val="36"/>
    <w:link w:val="6"/>
    <w:qFormat/>
    <w:uiPriority w:val="0"/>
    <w:rPr>
      <w:rFonts w:ascii="Calibri Light" w:hAnsi="Calibri Light" w:eastAsia="宋体" w:cs="Times New Roman"/>
      <w:b/>
      <w:bCs/>
      <w:sz w:val="28"/>
      <w:szCs w:val="28"/>
    </w:rPr>
  </w:style>
  <w:style w:type="character" w:customStyle="1" w:styleId="56">
    <w:name w:val="标题 5 字符"/>
    <w:basedOn w:val="36"/>
    <w:link w:val="7"/>
    <w:qFormat/>
    <w:uiPriority w:val="9"/>
    <w:rPr>
      <w:rFonts w:ascii="Times New Roman" w:hAnsi="Times New Roman" w:eastAsia="宋体" w:cs="Times New Roman"/>
      <w:b/>
      <w:bCs/>
      <w:kern w:val="0"/>
      <w:sz w:val="28"/>
      <w:szCs w:val="28"/>
    </w:rPr>
  </w:style>
  <w:style w:type="character" w:customStyle="1" w:styleId="57">
    <w:name w:val="批注文字 字符"/>
    <w:basedOn w:val="36"/>
    <w:link w:val="12"/>
    <w:semiHidden/>
    <w:qFormat/>
    <w:uiPriority w:val="0"/>
    <w:rPr>
      <w:rFonts w:ascii="Times New Roman" w:hAnsi="Times New Roman" w:eastAsia="宋体" w:cs="Times New Roman"/>
      <w:szCs w:val="24"/>
    </w:rPr>
  </w:style>
  <w:style w:type="character" w:customStyle="1" w:styleId="58">
    <w:name w:val="正文文本 3 字符"/>
    <w:basedOn w:val="36"/>
    <w:link w:val="13"/>
    <w:qFormat/>
    <w:uiPriority w:val="0"/>
    <w:rPr>
      <w:rFonts w:ascii="Times New Roman" w:hAnsi="Times New Roman" w:eastAsia="宋体" w:cs="Times New Roman"/>
      <w:sz w:val="16"/>
      <w:szCs w:val="16"/>
    </w:rPr>
  </w:style>
  <w:style w:type="character" w:customStyle="1" w:styleId="59">
    <w:name w:val="日期 字符"/>
    <w:basedOn w:val="36"/>
    <w:link w:val="18"/>
    <w:qFormat/>
    <w:uiPriority w:val="0"/>
    <w:rPr>
      <w:rFonts w:ascii="Times New Roman" w:hAnsi="Times New Roman" w:eastAsia="楷体_GB2312" w:cs="Times New Roman"/>
      <w:sz w:val="32"/>
      <w:szCs w:val="20"/>
    </w:rPr>
  </w:style>
  <w:style w:type="character" w:customStyle="1" w:styleId="60">
    <w:name w:val="正文文本缩进 2 字符"/>
    <w:basedOn w:val="36"/>
    <w:link w:val="19"/>
    <w:qFormat/>
    <w:uiPriority w:val="0"/>
    <w:rPr>
      <w:rFonts w:ascii="仿宋_GB2312" w:hAnsi="宋体" w:eastAsia="宋体" w:cs="Arial"/>
      <w:b/>
      <w:bCs/>
      <w:color w:val="000000"/>
      <w:sz w:val="24"/>
      <w:szCs w:val="24"/>
    </w:rPr>
  </w:style>
  <w:style w:type="character" w:customStyle="1" w:styleId="61">
    <w:name w:val="批注框文本 字符"/>
    <w:basedOn w:val="36"/>
    <w:link w:val="20"/>
    <w:qFormat/>
    <w:uiPriority w:val="0"/>
    <w:rPr>
      <w:rFonts w:ascii="Times New Roman" w:hAnsi="Times New Roman" w:eastAsia="宋体" w:cs="Times New Roman"/>
      <w:sz w:val="18"/>
      <w:szCs w:val="18"/>
    </w:rPr>
  </w:style>
  <w:style w:type="character" w:customStyle="1" w:styleId="62">
    <w:name w:val="副标题 字符"/>
    <w:basedOn w:val="36"/>
    <w:link w:val="25"/>
    <w:qFormat/>
    <w:uiPriority w:val="11"/>
    <w:rPr>
      <w:rFonts w:ascii="Times New Roman" w:hAnsi="Times New Roman" w:eastAsia="Times New Roman" w:cs="Times New Roman"/>
      <w:sz w:val="18"/>
      <w:szCs w:val="18"/>
    </w:rPr>
  </w:style>
  <w:style w:type="character" w:customStyle="1" w:styleId="63">
    <w:name w:val="HTML 预设格式 字符"/>
    <w:basedOn w:val="36"/>
    <w:link w:val="29"/>
    <w:qFormat/>
    <w:uiPriority w:val="0"/>
    <w:rPr>
      <w:rFonts w:ascii="宋体" w:hAnsi="宋体" w:eastAsia="宋体" w:cs="Times New Roman"/>
      <w:kern w:val="0"/>
      <w:sz w:val="24"/>
      <w:szCs w:val="24"/>
    </w:rPr>
  </w:style>
  <w:style w:type="character" w:customStyle="1" w:styleId="64">
    <w:name w:val="批注主题 字符"/>
    <w:basedOn w:val="57"/>
    <w:link w:val="31"/>
    <w:semiHidden/>
    <w:qFormat/>
    <w:uiPriority w:val="0"/>
    <w:rPr>
      <w:rFonts w:ascii="Times New Roman" w:hAnsi="Times New Roman" w:eastAsia="宋体" w:cs="Times New Roman"/>
      <w:b/>
      <w:bCs/>
      <w:szCs w:val="24"/>
    </w:rPr>
  </w:style>
  <w:style w:type="character" w:customStyle="1" w:styleId="65">
    <w:name w:val="Char Char4"/>
    <w:qFormat/>
    <w:uiPriority w:val="0"/>
    <w:rPr>
      <w:rFonts w:ascii="宋体" w:hAnsi="Courier New" w:eastAsia="宋体"/>
      <w:sz w:val="21"/>
      <w:lang w:val="en-US" w:eastAsia="zh-CN"/>
    </w:rPr>
  </w:style>
  <w:style w:type="character" w:customStyle="1" w:styleId="66">
    <w:name w:val="10f0000001"/>
    <w:qFormat/>
    <w:uiPriority w:val="0"/>
    <w:rPr>
      <w:b/>
      <w:bCs/>
      <w:spacing w:val="320"/>
      <w:sz w:val="20"/>
      <w:szCs w:val="20"/>
    </w:rPr>
  </w:style>
  <w:style w:type="character" w:customStyle="1" w:styleId="67">
    <w:name w:val="正文2 Char"/>
    <w:link w:val="68"/>
    <w:qFormat/>
    <w:uiPriority w:val="0"/>
    <w:rPr>
      <w:rFonts w:eastAsia="宋体"/>
      <w:sz w:val="24"/>
    </w:rPr>
  </w:style>
  <w:style w:type="paragraph" w:customStyle="1" w:styleId="68">
    <w:name w:val="正文2"/>
    <w:basedOn w:val="1"/>
    <w:link w:val="67"/>
    <w:qFormat/>
    <w:uiPriority w:val="0"/>
    <w:pPr>
      <w:spacing w:before="156" w:line="360" w:lineRule="auto"/>
      <w:ind w:firstLine="510" w:firstLineChars="200"/>
    </w:pPr>
    <w:rPr>
      <w:rFonts w:asciiTheme="minorHAnsi" w:hAnsiTheme="minorHAnsi" w:cstheme="minorBidi"/>
      <w:sz w:val="24"/>
      <w:szCs w:val="22"/>
    </w:rPr>
  </w:style>
  <w:style w:type="character" w:customStyle="1" w:styleId="69">
    <w:name w:val="未处理的提及1"/>
    <w:unhideWhenUsed/>
    <w:qFormat/>
    <w:uiPriority w:val="99"/>
    <w:rPr>
      <w:color w:val="605E5C"/>
      <w:shd w:val="clear" w:color="auto" w:fill="E1DFDD"/>
    </w:rPr>
  </w:style>
  <w:style w:type="character" w:customStyle="1" w:styleId="70">
    <w:name w:val="标题 1 Char Char"/>
    <w:qFormat/>
    <w:uiPriority w:val="0"/>
    <w:rPr>
      <w:rFonts w:eastAsia="宋体"/>
      <w:b/>
      <w:spacing w:val="-2"/>
      <w:sz w:val="24"/>
      <w:lang w:val="en-US" w:eastAsia="zh-CN"/>
    </w:rPr>
  </w:style>
  <w:style w:type="character" w:customStyle="1" w:styleId="71">
    <w:name w:val="p141"/>
    <w:qFormat/>
    <w:uiPriority w:val="0"/>
    <w:rPr>
      <w:sz w:val="21"/>
      <w:szCs w:val="21"/>
    </w:rPr>
  </w:style>
  <w:style w:type="paragraph" w:customStyle="1" w:styleId="72">
    <w:name w:val="_Style 48"/>
    <w:basedOn w:val="9"/>
    <w:qFormat/>
    <w:uiPriority w:val="0"/>
    <w:pPr>
      <w:widowControl/>
      <w:spacing w:afterLines="50" w:line="360" w:lineRule="auto"/>
      <w:ind w:firstLine="480" w:firstLineChars="200"/>
      <w:jc w:val="left"/>
    </w:pPr>
  </w:style>
  <w:style w:type="paragraph" w:customStyle="1" w:styleId="73">
    <w:name w:val="[Normal]"/>
    <w:qFormat/>
    <w:uiPriority w:val="0"/>
    <w:rPr>
      <w:rFonts w:ascii="宋体" w:hAnsi="宋体" w:eastAsia="宋体" w:cs="Times New Roman"/>
      <w:sz w:val="24"/>
      <w:szCs w:val="22"/>
      <w:lang w:val="zh-CN" w:eastAsia="zh-CN" w:bidi="ar-SA"/>
    </w:rPr>
  </w:style>
  <w:style w:type="paragraph" w:customStyle="1" w:styleId="74">
    <w:name w:val="无间隔1"/>
    <w:qFormat/>
    <w:uiPriority w:val="0"/>
    <w:rPr>
      <w:rFonts w:ascii="Times New Roman" w:hAnsi="Times New Roman" w:eastAsia="宋体" w:cs="Times New Roman"/>
      <w:sz w:val="22"/>
      <w:szCs w:val="22"/>
      <w:lang w:val="en-US" w:eastAsia="en-US" w:bidi="ar-SA"/>
    </w:rPr>
  </w:style>
  <w:style w:type="paragraph" w:customStyle="1" w:styleId="75">
    <w:name w:val="正文文本缩进 21"/>
    <w:basedOn w:val="1"/>
    <w:qFormat/>
    <w:uiPriority w:val="0"/>
    <w:pPr>
      <w:spacing w:after="120" w:line="480" w:lineRule="auto"/>
      <w:ind w:left="420" w:leftChars="200"/>
    </w:pPr>
    <w:rPr>
      <w:szCs w:val="20"/>
    </w:rPr>
  </w:style>
  <w:style w:type="paragraph" w:customStyle="1" w:styleId="76">
    <w:name w:val="Bullets"/>
    <w:basedOn w:val="1"/>
    <w:qFormat/>
    <w:uiPriority w:val="0"/>
    <w:pPr>
      <w:widowControl/>
      <w:adjustRightInd w:val="0"/>
      <w:snapToGrid w:val="0"/>
      <w:spacing w:before="60" w:after="60"/>
    </w:pPr>
    <w:rPr>
      <w:rFonts w:ascii="Calibri" w:hAnsi="Calibri"/>
      <w:kern w:val="0"/>
      <w:sz w:val="24"/>
      <w:szCs w:val="22"/>
      <w:lang w:val="en-GB"/>
    </w:rPr>
  </w:style>
  <w:style w:type="paragraph" w:customStyle="1" w:styleId="77">
    <w:name w:val="默认段落字体 Para Char Char Char Char Char Char Char Char Char1 Char Char Char Char"/>
    <w:basedOn w:val="1"/>
    <w:qFormat/>
    <w:uiPriority w:val="0"/>
    <w:rPr>
      <w:rFonts w:ascii="Tahoma" w:hAnsi="Tahoma"/>
      <w:sz w:val="24"/>
      <w:szCs w:val="20"/>
    </w:rPr>
  </w:style>
  <w:style w:type="paragraph" w:customStyle="1" w:styleId="78">
    <w:name w:val="Char Char Char Char Char Char Char Char Char Char"/>
    <w:basedOn w:val="1"/>
    <w:qFormat/>
    <w:uiPriority w:val="0"/>
    <w:rPr>
      <w:rFonts w:ascii="Tahoma" w:hAnsi="Tahoma"/>
      <w:sz w:val="24"/>
      <w:szCs w:val="20"/>
    </w:rPr>
  </w:style>
  <w:style w:type="paragraph" w:customStyle="1" w:styleId="79">
    <w:name w:val="样式 标题 5 + 右侧:  -0.18 字符"/>
    <w:basedOn w:val="1"/>
    <w:qFormat/>
    <w:uiPriority w:val="0"/>
    <w:pPr>
      <w:tabs>
        <w:tab w:val="left" w:pos="1008"/>
      </w:tabs>
      <w:ind w:left="420"/>
    </w:pPr>
  </w:style>
  <w:style w:type="paragraph" w:customStyle="1" w:styleId="80">
    <w:name w:val="_Style 2"/>
    <w:basedOn w:val="1"/>
    <w:qFormat/>
    <w:uiPriority w:val="0"/>
    <w:pPr>
      <w:tabs>
        <w:tab w:val="left" w:pos="1008"/>
      </w:tabs>
      <w:ind w:left="1008" w:hanging="1008"/>
    </w:pPr>
  </w:style>
  <w:style w:type="paragraph" w:customStyle="1" w:styleId="81">
    <w:name w:val="标准小三"/>
    <w:basedOn w:val="1"/>
    <w:qFormat/>
    <w:uiPriority w:val="0"/>
    <w:pPr>
      <w:spacing w:line="700" w:lineRule="exact"/>
      <w:ind w:firstLine="200" w:firstLineChars="200"/>
    </w:pPr>
    <w:rPr>
      <w:rFonts w:ascii="仿宋_GB2312" w:hAnsi="Arial" w:eastAsia="仿宋_GB2312"/>
      <w:snapToGrid w:val="0"/>
      <w:color w:val="000000"/>
      <w:kern w:val="0"/>
      <w:sz w:val="30"/>
      <w:szCs w:val="32"/>
    </w:rPr>
  </w:style>
  <w:style w:type="paragraph" w:customStyle="1" w:styleId="8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Char Char Char Char Char Char"/>
    <w:basedOn w:val="1"/>
    <w:qFormat/>
    <w:uiPriority w:val="0"/>
    <w:pPr>
      <w:ind w:firstLine="200" w:firstLineChars="200"/>
    </w:pPr>
    <w:rPr>
      <w:rFonts w:ascii="Tahoma" w:hAnsi="Tahoma"/>
      <w:sz w:val="24"/>
      <w:szCs w:val="20"/>
    </w:rPr>
  </w:style>
  <w:style w:type="paragraph" w:customStyle="1" w:styleId="84">
    <w:name w:val="列出段落1"/>
    <w:basedOn w:val="1"/>
    <w:qFormat/>
    <w:uiPriority w:val="34"/>
    <w:pPr>
      <w:ind w:firstLine="420" w:firstLineChars="200"/>
    </w:pPr>
  </w:style>
  <w:style w:type="paragraph" w:customStyle="1" w:styleId="85">
    <w:name w:val="列表段落1"/>
    <w:basedOn w:val="1"/>
    <w:qFormat/>
    <w:uiPriority w:val="0"/>
    <w:pPr>
      <w:ind w:firstLine="420" w:firstLineChars="200"/>
    </w:pPr>
  </w:style>
  <w:style w:type="paragraph" w:customStyle="1" w:styleId="86">
    <w:name w:val="样式 标题 3 +"/>
    <w:basedOn w:val="5"/>
    <w:qFormat/>
    <w:uiPriority w:val="0"/>
    <w:pPr>
      <w:tabs>
        <w:tab w:val="left" w:pos="709"/>
      </w:tabs>
    </w:pPr>
    <w:rPr>
      <w:kern w:val="0"/>
    </w:rPr>
  </w:style>
  <w:style w:type="paragraph" w:customStyle="1" w:styleId="87">
    <w:name w:val="正文空2格  1."/>
    <w:basedOn w:val="1"/>
    <w:qFormat/>
    <w:uiPriority w:val="0"/>
    <w:pPr>
      <w:ind w:firstLine="480" w:firstLineChars="200"/>
    </w:pPr>
    <w:rPr>
      <w:rFonts w:cs="宋体"/>
      <w:sz w:val="28"/>
      <w:szCs w:val="20"/>
    </w:rPr>
  </w:style>
  <w:style w:type="paragraph" w:customStyle="1" w:styleId="88">
    <w:name w:val="IBM 正文"/>
    <w:basedOn w:val="1"/>
    <w:qFormat/>
    <w:uiPriority w:val="0"/>
    <w:pPr>
      <w:spacing w:line="360" w:lineRule="atLeast"/>
    </w:pPr>
    <w:rPr>
      <w:sz w:val="24"/>
    </w:rPr>
  </w:style>
  <w:style w:type="paragraph" w:customStyle="1" w:styleId="89">
    <w:name w:val="无间隔11"/>
    <w:qFormat/>
    <w:uiPriority w:val="0"/>
    <w:rPr>
      <w:rFonts w:ascii="Times New Roman" w:hAnsi="Times New Roman" w:eastAsia="宋体" w:cs="Times New Roman"/>
      <w:sz w:val="22"/>
      <w:szCs w:val="22"/>
      <w:lang w:val="en-US" w:eastAsia="en-US" w:bidi="ar-SA"/>
    </w:rPr>
  </w:style>
  <w:style w:type="paragraph" w:customStyle="1" w:styleId="90">
    <w:name w:val="表格文字"/>
    <w:basedOn w:val="1"/>
    <w:next w:val="2"/>
    <w:qFormat/>
    <w:uiPriority w:val="0"/>
    <w:rPr>
      <w:rFonts w:ascii="Arial" w:hAnsi="Arial"/>
      <w:szCs w:val="21"/>
    </w:rPr>
  </w:style>
  <w:style w:type="paragraph" w:customStyle="1" w:styleId="9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2">
    <w:name w:val="正文段"/>
    <w:basedOn w:val="1"/>
    <w:qFormat/>
    <w:uiPriority w:val="0"/>
    <w:pPr>
      <w:widowControl/>
      <w:snapToGrid w:val="0"/>
      <w:spacing w:afterLines="50"/>
      <w:ind w:firstLine="200" w:firstLineChars="200"/>
    </w:pPr>
    <w:rPr>
      <w:kern w:val="0"/>
      <w:sz w:val="24"/>
      <w:szCs w:val="20"/>
    </w:rPr>
  </w:style>
  <w:style w:type="paragraph" w:customStyle="1" w:styleId="93">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94">
    <w:name w:val="KS表格"/>
    <w:basedOn w:val="1"/>
    <w:qFormat/>
    <w:uiPriority w:val="0"/>
    <w:pPr>
      <w:spacing w:line="300" w:lineRule="auto"/>
    </w:pPr>
    <w:rPr>
      <w:kern w:val="0"/>
      <w:sz w:val="20"/>
      <w:szCs w:val="20"/>
    </w:rPr>
  </w:style>
  <w:style w:type="paragraph" w:customStyle="1" w:styleId="95">
    <w:name w:val="列出段落11"/>
    <w:basedOn w:val="1"/>
    <w:qFormat/>
    <w:uiPriority w:val="99"/>
    <w:pPr>
      <w:ind w:firstLine="420" w:firstLineChars="200"/>
    </w:pPr>
    <w:rPr>
      <w:rFonts w:ascii="Calibri" w:hAnsi="Calibri"/>
      <w:sz w:val="24"/>
    </w:rPr>
  </w:style>
  <w:style w:type="character" w:customStyle="1" w:styleId="96">
    <w:name w:val="next"/>
    <w:basedOn w:val="36"/>
    <w:qFormat/>
    <w:uiPriority w:val="0"/>
    <w:rPr>
      <w:rFonts w:ascii="微软雅黑" w:hAnsi="微软雅黑" w:eastAsia="微软雅黑" w:cs="微软雅黑"/>
      <w:sz w:val="21"/>
      <w:szCs w:val="21"/>
    </w:rPr>
  </w:style>
  <w:style w:type="character" w:customStyle="1" w:styleId="97">
    <w:name w:val="next1"/>
    <w:basedOn w:val="36"/>
    <w:qFormat/>
    <w:uiPriority w:val="0"/>
    <w:rPr>
      <w:color w:val="888888"/>
    </w:rPr>
  </w:style>
  <w:style w:type="character" w:customStyle="1" w:styleId="98">
    <w:name w:val="displayarti"/>
    <w:basedOn w:val="36"/>
    <w:qFormat/>
    <w:uiPriority w:val="0"/>
    <w:rPr>
      <w:color w:val="FFFFFF"/>
      <w:shd w:val="clear" w:color="auto" w:fill="A00000"/>
    </w:rPr>
  </w:style>
  <w:style w:type="character" w:customStyle="1" w:styleId="99">
    <w:name w:val="gjfg"/>
    <w:basedOn w:val="36"/>
    <w:qFormat/>
    <w:uiPriority w:val="0"/>
  </w:style>
  <w:style w:type="character" w:customStyle="1" w:styleId="100">
    <w:name w:val="redfilefwwh"/>
    <w:basedOn w:val="36"/>
    <w:qFormat/>
    <w:uiPriority w:val="0"/>
    <w:rPr>
      <w:color w:val="BA2636"/>
      <w:sz w:val="18"/>
      <w:szCs w:val="18"/>
    </w:rPr>
  </w:style>
  <w:style w:type="character" w:customStyle="1" w:styleId="101">
    <w:name w:val="redfilenumber"/>
    <w:basedOn w:val="36"/>
    <w:qFormat/>
    <w:uiPriority w:val="0"/>
    <w:rPr>
      <w:color w:val="BA2636"/>
      <w:sz w:val="18"/>
      <w:szCs w:val="18"/>
    </w:rPr>
  </w:style>
  <w:style w:type="character" w:customStyle="1" w:styleId="102">
    <w:name w:val="cfdate"/>
    <w:basedOn w:val="36"/>
    <w:qFormat/>
    <w:uiPriority w:val="0"/>
    <w:rPr>
      <w:color w:val="333333"/>
      <w:sz w:val="18"/>
      <w:szCs w:val="18"/>
    </w:rPr>
  </w:style>
  <w:style w:type="character" w:customStyle="1" w:styleId="103">
    <w:name w:val="qxdate"/>
    <w:basedOn w:val="36"/>
    <w:qFormat/>
    <w:uiPriority w:val="0"/>
    <w:rPr>
      <w:color w:val="333333"/>
      <w:sz w:val="18"/>
      <w:szCs w:val="18"/>
    </w:rPr>
  </w:style>
  <w:style w:type="character" w:customStyle="1" w:styleId="104">
    <w:name w:val="prev"/>
    <w:basedOn w:val="36"/>
    <w:qFormat/>
    <w:uiPriority w:val="0"/>
    <w:rPr>
      <w:rFonts w:hint="eastAsia" w:ascii="微软雅黑" w:hAnsi="微软雅黑" w:eastAsia="微软雅黑" w:cs="微软雅黑"/>
      <w:sz w:val="21"/>
      <w:szCs w:val="21"/>
    </w:rPr>
  </w:style>
  <w:style w:type="character" w:customStyle="1" w:styleId="105">
    <w:name w:val="prev1"/>
    <w:basedOn w:val="36"/>
    <w:qFormat/>
    <w:uiPriority w:val="0"/>
    <w:rPr>
      <w:color w:val="888888"/>
    </w:rPr>
  </w:style>
  <w:style w:type="character" w:customStyle="1" w:styleId="106">
    <w:name w:val="prev2"/>
    <w:basedOn w:val="36"/>
    <w:qFormat/>
    <w:uiPriority w:val="0"/>
    <w:rPr>
      <w:color w:val="888888"/>
    </w:rPr>
  </w:style>
  <w:style w:type="character" w:customStyle="1" w:styleId="107">
    <w:name w:val="prev3"/>
    <w:basedOn w:val="36"/>
    <w:qFormat/>
    <w:uiPriority w:val="0"/>
    <w:rPr>
      <w:rFonts w:ascii="微软雅黑" w:hAnsi="微软雅黑" w:eastAsia="微软雅黑" w:cs="微软雅黑"/>
      <w:sz w:val="21"/>
      <w:szCs w:val="21"/>
    </w:rPr>
  </w:style>
  <w:style w:type="character" w:customStyle="1" w:styleId="108">
    <w:name w:val="next2"/>
    <w:basedOn w:val="36"/>
    <w:qFormat/>
    <w:uiPriority w:val="0"/>
    <w:rPr>
      <w:color w:val="888888"/>
    </w:rPr>
  </w:style>
  <w:style w:type="character" w:customStyle="1" w:styleId="109">
    <w:name w:val="next3"/>
    <w:basedOn w:val="36"/>
    <w:qFormat/>
    <w:uiPriority w:val="0"/>
    <w:rPr>
      <w:rFonts w:hint="eastAsia" w:ascii="微软雅黑" w:hAnsi="微软雅黑" w:eastAsia="微软雅黑" w:cs="微软雅黑"/>
      <w:sz w:val="21"/>
      <w:szCs w:val="21"/>
    </w:rPr>
  </w:style>
  <w:style w:type="paragraph" w:customStyle="1" w:styleId="110">
    <w:name w:val="正文文字"/>
    <w:basedOn w:val="1"/>
    <w:qFormat/>
    <w:uiPriority w:val="0"/>
    <w:pPr>
      <w:widowControl/>
      <w:spacing w:line="952" w:lineRule="atLeast"/>
      <w:ind w:firstLine="419"/>
      <w:textAlignment w:val="baseline"/>
    </w:pPr>
    <w:rPr>
      <w:b/>
      <w:color w:val="000000"/>
      <w:sz w:val="44"/>
    </w:rPr>
  </w:style>
  <w:style w:type="character" w:customStyle="1" w:styleId="111">
    <w:name w:val="bookmark-item"/>
    <w:qFormat/>
    <w:uiPriority w:val="0"/>
    <w:rPr>
      <w:rFonts w:ascii="Arial" w:hAnsi="Arial" w:eastAsia="黑体" w:cs="Arial"/>
      <w:snapToGrid w:val="0"/>
      <w:kern w:val="0"/>
      <w:szCs w:val="21"/>
    </w:rPr>
  </w:style>
  <w:style w:type="character" w:customStyle="1" w:styleId="112">
    <w:name w:val="font21"/>
    <w:basedOn w:val="36"/>
    <w:qFormat/>
    <w:uiPriority w:val="0"/>
    <w:rPr>
      <w:rFonts w:ascii="Calibri" w:hAnsi="Calibri" w:cs="Calibri"/>
      <w:color w:val="000000"/>
      <w:sz w:val="16"/>
      <w:szCs w:val="16"/>
      <w:u w:val="none"/>
    </w:rPr>
  </w:style>
  <w:style w:type="character" w:customStyle="1" w:styleId="113">
    <w:name w:val="font11"/>
    <w:basedOn w:val="36"/>
    <w:qFormat/>
    <w:uiPriority w:val="0"/>
    <w:rPr>
      <w:rFonts w:hint="eastAsia" w:ascii="宋体" w:hAnsi="宋体" w:eastAsia="宋体" w:cs="宋体"/>
      <w:color w:val="000000"/>
      <w:sz w:val="16"/>
      <w:szCs w:val="16"/>
      <w:u w:val="none"/>
    </w:rPr>
  </w:style>
  <w:style w:type="paragraph" w:customStyle="1" w:styleId="114">
    <w:name w:val="WPSOffice手动目录 1"/>
    <w:qFormat/>
    <w:uiPriority w:val="0"/>
    <w:rPr>
      <w:rFonts w:ascii="Times New Roman" w:hAnsi="Times New Roman" w:eastAsia="宋体" w:cs="Times New Roman"/>
      <w:lang w:val="en-US" w:eastAsia="zh-CN" w:bidi="ar-SA"/>
    </w:rPr>
  </w:style>
  <w:style w:type="character" w:customStyle="1" w:styleId="115">
    <w:name w:val="font41"/>
    <w:basedOn w:val="36"/>
    <w:qFormat/>
    <w:uiPriority w:val="0"/>
    <w:rPr>
      <w:rFonts w:hint="eastAsia" w:ascii="宋体" w:hAnsi="宋体" w:eastAsia="宋体" w:cs="宋体"/>
      <w:color w:val="000000"/>
      <w:sz w:val="18"/>
      <w:szCs w:val="18"/>
      <w:u w:val="none"/>
    </w:rPr>
  </w:style>
  <w:style w:type="character" w:customStyle="1" w:styleId="116">
    <w:name w:val="font31"/>
    <w:basedOn w:val="36"/>
    <w:qFormat/>
    <w:uiPriority w:val="0"/>
    <w:rPr>
      <w:rFonts w:hint="eastAsia" w:ascii="宋体" w:hAnsi="宋体" w:eastAsia="宋体" w:cs="宋体"/>
      <w:color w:val="000000"/>
      <w:sz w:val="18"/>
      <w:szCs w:val="18"/>
      <w:u w:val="none"/>
    </w:rPr>
  </w:style>
  <w:style w:type="paragraph" w:customStyle="1" w:styleId="117">
    <w:name w:val="正文首行缩进1"/>
    <w:basedOn w:val="2"/>
    <w:qFormat/>
    <w:uiPriority w:val="0"/>
    <w:pPr>
      <w:ind w:firstLine="420" w:firstLineChars="100"/>
    </w:pPr>
    <w:rPr>
      <w:szCs w:val="20"/>
    </w:rPr>
  </w:style>
  <w:style w:type="paragraph" w:customStyle="1" w:styleId="118">
    <w:name w:val="_Style 3"/>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9">
    <w:name w:val="样式1"/>
    <w:basedOn w:val="1"/>
    <w:next w:val="1"/>
    <w:qFormat/>
    <w:uiPriority w:val="0"/>
    <w:pPr>
      <w:spacing w:line="360" w:lineRule="exact"/>
      <w:ind w:firstLine="200" w:firstLineChars="200"/>
    </w:pPr>
    <w:rPr>
      <w:rFonts w:ascii="Arial" w:hAnsi="Arial"/>
    </w:rPr>
  </w:style>
  <w:style w:type="paragraph" w:customStyle="1" w:styleId="12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21">
    <w:name w:val="font01"/>
    <w:basedOn w:val="36"/>
    <w:qFormat/>
    <w:uiPriority w:val="0"/>
    <w:rPr>
      <w:rFonts w:ascii="Verdana" w:hAnsi="Verdana" w:cs="Verdana"/>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微软原版</Company>
  <Pages>95</Pages>
  <Words>14844</Words>
  <Characters>15895</Characters>
  <Lines>363</Lines>
  <Paragraphs>102</Paragraphs>
  <TotalTime>10</TotalTime>
  <ScaleCrop>false</ScaleCrop>
  <LinksUpToDate>false</LinksUpToDate>
  <CharactersWithSpaces>15989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2022-04-14T07:02:00Z</dcterms:created>
  <dc:creator>李 杰</dc:creator>
  <cp:lastModifiedBy>十一妹</cp:lastModifiedBy>
  <cp:lastPrinted>2023-12-12T09:37:00Z</cp:lastPrinted>
  <dcterms:modified xsi:type="dcterms:W3CDTF">2024-12-26T01:42:35Z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D5D6D4BEFD8B4E86A2CAD8D5A62D348F_13</vt:lpwstr>
  </property>
</Properties>
</file>