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D25CB">
      <w:pPr>
        <w:rPr>
          <w:color w:val="auto"/>
        </w:rPr>
      </w:pPr>
    </w:p>
    <w:p w14:paraId="1AAD5208">
      <w:pPr>
        <w:pStyle w:val="2"/>
        <w:jc w:val="center"/>
        <w:rPr>
          <w:rFonts w:hint="eastAsia" w:hAnsi="宋体"/>
          <w:b w:val="0"/>
          <w:color w:val="auto"/>
          <w:sz w:val="32"/>
        </w:rPr>
      </w:pPr>
      <w:r>
        <w:rPr>
          <w:rFonts w:hint="eastAsia" w:hAnsi="宋体"/>
          <w:b w:val="0"/>
          <w:color w:val="auto"/>
          <w:sz w:val="32"/>
        </w:rPr>
        <w:t>招标需求</w:t>
      </w:r>
    </w:p>
    <w:p w14:paraId="174F2540">
      <w:pPr>
        <w:pStyle w:val="5"/>
        <w:spacing w:before="0" w:after="0" w:line="240" w:lineRule="auto"/>
        <w:jc w:val="left"/>
        <w:outlineLvl w:val="1"/>
        <w:rPr>
          <w:rStyle w:val="6"/>
          <w:rFonts w:hint="eastAsia" w:ascii="Times New Roman" w:hAnsi="宋体" w:eastAsia="宋体" w:cs="Times New Roman"/>
          <w:color w:val="auto"/>
          <w:sz w:val="28"/>
          <w:szCs w:val="28"/>
          <w:lang w:val="zh-CN"/>
        </w:rPr>
      </w:pPr>
      <w:r>
        <w:rPr>
          <w:rStyle w:val="6"/>
          <w:rFonts w:hint="eastAsia" w:ascii="Times New Roman" w:hAnsi="宋体" w:eastAsia="宋体" w:cs="Times New Roman"/>
          <w:color w:val="auto"/>
          <w:sz w:val="28"/>
          <w:szCs w:val="28"/>
          <w:lang w:val="zh-CN"/>
        </w:rPr>
        <w:t>一、项目概况</w:t>
      </w:r>
    </w:p>
    <w:p w14:paraId="3504FC3D">
      <w:pPr>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      </w:t>
      </w:r>
    </w:p>
    <w:p w14:paraId="5BF3F66D">
      <w:pPr>
        <w:spacing w:before="273" w:line="345" w:lineRule="auto"/>
        <w:ind w:left="61" w:right="91" w:firstLine="543"/>
        <w:rPr>
          <w:rFonts w:hint="eastAsia" w:ascii="宋体" w:hAnsi="宋体" w:eastAsia="宋体" w:cs="宋体"/>
          <w:color w:val="auto"/>
          <w:sz w:val="24"/>
          <w:szCs w:val="24"/>
        </w:rPr>
      </w:pPr>
      <w:r>
        <w:rPr>
          <w:rFonts w:hint="eastAsia" w:ascii="Times New Roman" w:hAnsi="Times New Roman" w:eastAsia="宋体" w:cs="Times New Roman"/>
          <w:color w:val="auto"/>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本项目主要对反修畈和反帝畈养殖区域进行提升改造，改造区域</w:t>
      </w:r>
      <w:r>
        <w:rPr>
          <w:rFonts w:hint="eastAsia" w:ascii="宋体" w:hAnsi="宋体" w:eastAsia="宋体" w:cs="宋体"/>
          <w:color w:val="auto"/>
          <w:spacing w:val="1"/>
          <w:sz w:val="24"/>
          <w:szCs w:val="24"/>
        </w:rPr>
        <w:t>总面积约</w:t>
      </w:r>
      <w:r>
        <w:rPr>
          <w:rFonts w:hint="eastAsia" w:ascii="宋体" w:hAnsi="宋体" w:eastAsia="宋体" w:cs="宋体"/>
          <w:color w:val="auto"/>
          <w:spacing w:val="1"/>
          <w:sz w:val="24"/>
          <w:szCs w:val="24"/>
          <w:lang w:val="en-US" w:eastAsia="zh-CN"/>
        </w:rPr>
        <w:t>1731.66</w:t>
      </w:r>
      <w:r>
        <w:rPr>
          <w:rFonts w:hint="eastAsia" w:ascii="宋体" w:hAnsi="宋体" w:eastAsia="宋体" w:cs="宋体"/>
          <w:color w:val="auto"/>
          <w:spacing w:val="1"/>
          <w:sz w:val="24"/>
          <w:szCs w:val="24"/>
        </w:rPr>
        <w:t>亩（</w:t>
      </w:r>
      <w:r>
        <w:rPr>
          <w:rFonts w:hint="eastAsia" w:ascii="宋体" w:hAnsi="宋体" w:eastAsia="宋体" w:cs="宋体"/>
          <w:color w:val="auto"/>
          <w:spacing w:val="4"/>
          <w:sz w:val="24"/>
          <w:szCs w:val="24"/>
        </w:rPr>
        <w:t>反修畈养殖</w:t>
      </w:r>
      <w:r>
        <w:rPr>
          <w:rFonts w:hint="eastAsia" w:ascii="宋体" w:hAnsi="宋体" w:eastAsia="宋体" w:cs="宋体"/>
          <w:color w:val="auto"/>
          <w:spacing w:val="4"/>
          <w:sz w:val="24"/>
          <w:szCs w:val="24"/>
          <w:lang w:val="en-US" w:eastAsia="zh-CN"/>
        </w:rPr>
        <w:t>塘</w:t>
      </w:r>
      <w:r>
        <w:rPr>
          <w:rFonts w:hint="eastAsia" w:ascii="宋体" w:hAnsi="宋体" w:eastAsia="宋体" w:cs="宋体"/>
          <w:color w:val="auto"/>
          <w:spacing w:val="1"/>
          <w:sz w:val="24"/>
          <w:szCs w:val="24"/>
        </w:rPr>
        <w:t>面积约</w:t>
      </w:r>
      <w:r>
        <w:rPr>
          <w:rFonts w:hint="eastAsia" w:ascii="宋体" w:hAnsi="宋体" w:eastAsia="宋体" w:cs="宋体"/>
          <w:color w:val="auto"/>
          <w:spacing w:val="1"/>
          <w:sz w:val="24"/>
          <w:szCs w:val="24"/>
          <w:lang w:val="en-US" w:eastAsia="zh-CN"/>
        </w:rPr>
        <w:t>799.13</w:t>
      </w:r>
      <w:r>
        <w:rPr>
          <w:rFonts w:hint="eastAsia" w:ascii="宋体" w:hAnsi="宋体" w:eastAsia="宋体" w:cs="宋体"/>
          <w:color w:val="auto"/>
          <w:spacing w:val="1"/>
          <w:sz w:val="24"/>
          <w:szCs w:val="24"/>
        </w:rPr>
        <w:t>亩，</w:t>
      </w:r>
      <w:r>
        <w:rPr>
          <w:rFonts w:hint="eastAsia" w:ascii="宋体" w:hAnsi="宋体" w:eastAsia="宋体" w:cs="宋体"/>
          <w:color w:val="auto"/>
          <w:spacing w:val="4"/>
          <w:sz w:val="24"/>
          <w:szCs w:val="24"/>
        </w:rPr>
        <w:t>反</w:t>
      </w:r>
      <w:r>
        <w:rPr>
          <w:rFonts w:hint="eastAsia" w:ascii="宋体" w:hAnsi="宋体" w:eastAsia="宋体" w:cs="宋体"/>
          <w:color w:val="auto"/>
          <w:spacing w:val="4"/>
          <w:sz w:val="24"/>
          <w:szCs w:val="24"/>
          <w:lang w:val="en-US" w:eastAsia="zh-CN"/>
        </w:rPr>
        <w:t>帝</w:t>
      </w:r>
      <w:r>
        <w:rPr>
          <w:rFonts w:hint="eastAsia" w:ascii="宋体" w:hAnsi="宋体" w:eastAsia="宋体" w:cs="宋体"/>
          <w:color w:val="auto"/>
          <w:spacing w:val="4"/>
          <w:sz w:val="24"/>
          <w:szCs w:val="24"/>
        </w:rPr>
        <w:t>畈养殖</w:t>
      </w:r>
      <w:r>
        <w:rPr>
          <w:rFonts w:hint="eastAsia" w:ascii="宋体" w:hAnsi="宋体" w:eastAsia="宋体" w:cs="宋体"/>
          <w:color w:val="auto"/>
          <w:spacing w:val="4"/>
          <w:sz w:val="24"/>
          <w:szCs w:val="24"/>
          <w:lang w:val="en-US" w:eastAsia="zh-CN"/>
        </w:rPr>
        <w:t>塘</w:t>
      </w:r>
      <w:r>
        <w:rPr>
          <w:rFonts w:hint="eastAsia" w:ascii="宋体" w:hAnsi="宋体" w:eastAsia="宋体" w:cs="宋体"/>
          <w:color w:val="auto"/>
          <w:spacing w:val="1"/>
          <w:sz w:val="24"/>
          <w:szCs w:val="24"/>
        </w:rPr>
        <w:t>面积约</w:t>
      </w:r>
      <w:r>
        <w:rPr>
          <w:rFonts w:hint="eastAsia" w:ascii="宋体" w:hAnsi="宋体" w:eastAsia="宋体" w:cs="宋体"/>
          <w:color w:val="auto"/>
          <w:spacing w:val="1"/>
          <w:sz w:val="24"/>
          <w:szCs w:val="24"/>
          <w:lang w:val="en-US" w:eastAsia="zh-CN"/>
        </w:rPr>
        <w:t>932.53</w:t>
      </w:r>
      <w:r>
        <w:rPr>
          <w:rFonts w:hint="eastAsia" w:ascii="宋体" w:hAnsi="宋体" w:eastAsia="宋体" w:cs="宋体"/>
          <w:color w:val="auto"/>
          <w:sz w:val="24"/>
          <w:szCs w:val="24"/>
        </w:rPr>
        <w:t>亩</w:t>
      </w:r>
      <w:r>
        <w:rPr>
          <w:rFonts w:hint="eastAsia" w:ascii="宋体" w:hAnsi="宋体" w:eastAsia="宋体" w:cs="宋体"/>
          <w:color w:val="auto"/>
          <w:spacing w:val="-13"/>
          <w:sz w:val="24"/>
          <w:szCs w:val="24"/>
        </w:rPr>
        <w:t>），</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改造后形成养殖、加工基地</w:t>
      </w:r>
      <w:r>
        <w:rPr>
          <w:rFonts w:hint="eastAsia" w:ascii="宋体" w:hAnsi="宋体" w:eastAsia="宋体" w:cs="宋体"/>
          <w:color w:val="auto"/>
          <w:spacing w:val="3"/>
          <w:sz w:val="24"/>
          <w:szCs w:val="24"/>
        </w:rPr>
        <w:t>。</w:t>
      </w:r>
    </w:p>
    <w:p w14:paraId="368084C5">
      <w:pPr>
        <w:keepNext w:val="0"/>
        <w:keepLines w:val="0"/>
        <w:pageBreakBefore w:val="0"/>
        <w:widowControl w:val="0"/>
        <w:numPr>
          <w:ilvl w:val="0"/>
          <w:numId w:val="0"/>
        </w:numPr>
        <w:kinsoku/>
        <w:wordWrap/>
        <w:overflowPunct/>
        <w:topLinePunct w:val="0"/>
        <w:autoSpaceDE/>
        <w:autoSpaceDN/>
        <w:bidi w:val="0"/>
        <w:adjustRightInd/>
        <w:snapToGrid/>
        <w:spacing w:before="207" w:line="360" w:lineRule="exact"/>
        <w:ind w:left="607" w:leftChars="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（1）承包人投资额不得少于5000万元。</w:t>
      </w:r>
    </w:p>
    <w:p w14:paraId="5C445A09">
      <w:pPr>
        <w:keepNext w:val="0"/>
        <w:keepLines w:val="0"/>
        <w:pageBreakBefore w:val="0"/>
        <w:widowControl w:val="0"/>
        <w:numPr>
          <w:ilvl w:val="0"/>
          <w:numId w:val="0"/>
        </w:numPr>
        <w:kinsoku/>
        <w:wordWrap/>
        <w:overflowPunct/>
        <w:topLinePunct w:val="0"/>
        <w:autoSpaceDE/>
        <w:autoSpaceDN/>
        <w:bidi w:val="0"/>
        <w:adjustRightInd/>
        <w:snapToGrid/>
        <w:spacing w:before="207" w:line="360" w:lineRule="exact"/>
        <w:ind w:left="607" w:leftChars="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（2）养殖塘上不得新增管理房、大棚等建筑物。</w:t>
      </w:r>
    </w:p>
    <w:p w14:paraId="0BED381E">
      <w:pPr>
        <w:keepNext w:val="0"/>
        <w:keepLines w:val="0"/>
        <w:pageBreakBefore w:val="0"/>
        <w:widowControl w:val="0"/>
        <w:numPr>
          <w:ilvl w:val="0"/>
          <w:numId w:val="0"/>
        </w:numPr>
        <w:kinsoku/>
        <w:wordWrap/>
        <w:overflowPunct/>
        <w:topLinePunct w:val="0"/>
        <w:autoSpaceDE/>
        <w:autoSpaceDN/>
        <w:bidi w:val="0"/>
        <w:adjustRightInd/>
        <w:snapToGrid/>
        <w:spacing w:before="207" w:line="360" w:lineRule="exact"/>
        <w:ind w:left="607" w:leftChars="0"/>
        <w:textAlignment w:val="auto"/>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rPr>
        <w:t>（3）</w:t>
      </w:r>
      <w:r>
        <w:rPr>
          <w:rFonts w:hint="eastAsia" w:ascii="宋体" w:hAnsi="宋体" w:eastAsia="宋体" w:cs="宋体"/>
          <w:color w:val="auto"/>
          <w:spacing w:val="4"/>
          <w:sz w:val="24"/>
          <w:szCs w:val="24"/>
          <w:lang w:val="en-US" w:eastAsia="zh-CN"/>
        </w:rPr>
        <w:t>承包人中标后须建造1座尾水处理池，满足处理日常养殖塘的尾水，处理标准根据国家规定执行。</w:t>
      </w:r>
    </w:p>
    <w:p w14:paraId="337CBBE3">
      <w:pPr>
        <w:spacing w:before="200" w:line="226" w:lineRule="auto"/>
        <w:ind w:left="606"/>
        <w:rPr>
          <w:rFonts w:hint="eastAsia" w:ascii="Times New Roman" w:hAnsi="Times New Roman" w:eastAsia="宋体" w:cs="Times New Roman"/>
          <w:color w:val="auto"/>
        </w:rPr>
      </w:pPr>
      <w:r>
        <w:rPr>
          <w:rFonts w:hint="eastAsia" w:ascii="宋体" w:hAnsi="宋体" w:eastAsia="宋体" w:cs="宋体"/>
          <w:color w:val="auto"/>
          <w:spacing w:val="-1"/>
          <w:sz w:val="24"/>
          <w:szCs w:val="24"/>
        </w:rPr>
        <w:t>（4）</w:t>
      </w:r>
      <w:r>
        <w:rPr>
          <w:rFonts w:hint="eastAsia" w:ascii="宋体" w:hAnsi="宋体" w:eastAsia="宋体" w:cs="宋体"/>
          <w:color w:val="auto"/>
          <w:spacing w:val="-1"/>
          <w:sz w:val="24"/>
          <w:szCs w:val="24"/>
          <w:lang w:val="en-US" w:eastAsia="zh-CN"/>
        </w:rPr>
        <w:t>承包人需现场踏勘，海水进排水自行处理解决。</w:t>
      </w:r>
    </w:p>
    <w:p w14:paraId="61B32CD8">
      <w:pPr>
        <w:rPr>
          <w:rFonts w:hint="eastAsia" w:ascii="Times New Roman" w:hAnsi="Times New Roman" w:eastAsia="宋体" w:cs="Times New Roman"/>
          <w:color w:val="auto"/>
        </w:rPr>
      </w:pPr>
    </w:p>
    <w:p w14:paraId="131EB9A4">
      <w:pPr>
        <w:pStyle w:val="5"/>
        <w:spacing w:before="0" w:after="0" w:line="240" w:lineRule="auto"/>
        <w:jc w:val="left"/>
        <w:outlineLvl w:val="1"/>
        <w:rPr>
          <w:rStyle w:val="6"/>
          <w:rFonts w:ascii="Times New Roman" w:hAnsi="Times New Roman" w:eastAsia="宋体" w:cs="Times New Roman"/>
          <w:color w:val="auto"/>
          <w:sz w:val="28"/>
          <w:szCs w:val="28"/>
          <w:lang w:val="zh-CN"/>
        </w:rPr>
      </w:pPr>
      <w:r>
        <w:rPr>
          <w:rStyle w:val="6"/>
          <w:rFonts w:hint="eastAsia" w:ascii="Times New Roman" w:hAnsi="宋体" w:eastAsia="宋体" w:cs="Times New Roman"/>
          <w:color w:val="auto"/>
          <w:sz w:val="28"/>
          <w:szCs w:val="28"/>
          <w:lang w:val="zh-CN"/>
        </w:rPr>
        <w:t>二</w:t>
      </w:r>
      <w:r>
        <w:rPr>
          <w:rStyle w:val="6"/>
          <w:rFonts w:ascii="Times New Roman" w:hAnsi="宋体" w:eastAsia="宋体" w:cs="Times New Roman"/>
          <w:color w:val="auto"/>
          <w:sz w:val="28"/>
          <w:szCs w:val="28"/>
          <w:lang w:val="zh-CN"/>
        </w:rPr>
        <w:t>、招标内容及要求</w:t>
      </w:r>
    </w:p>
    <w:p w14:paraId="0EFCBEFC">
      <w:pPr>
        <w:spacing w:line="360" w:lineRule="auto"/>
        <w:ind w:firstLine="482" w:firstLineChars="200"/>
        <w:rPr>
          <w:rStyle w:val="6"/>
          <w:rFonts w:ascii="Times New Roman" w:hAnsi="Times New Roman" w:eastAsia="宋体" w:cs="Times New Roman"/>
          <w:b/>
          <w:bCs/>
          <w:color w:val="auto"/>
          <w:sz w:val="24"/>
        </w:rPr>
      </w:pPr>
      <w:r>
        <w:rPr>
          <w:rStyle w:val="6"/>
          <w:rFonts w:ascii="Times New Roman" w:hAnsi="宋体" w:eastAsia="宋体" w:cs="Times New Roman"/>
          <w:b/>
          <w:bCs/>
          <w:color w:val="auto"/>
          <w:sz w:val="24"/>
        </w:rPr>
        <w:t>（二）经营权承包相关要求</w:t>
      </w:r>
    </w:p>
    <w:p w14:paraId="79EFC22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承包期间，中标人须严格按照《中华人民共和国水法》《中华人民共和国防洪法》《中华人民共和国水污染防治法》《中华人民共和国渔业法》《中华人民共和国水土保持法》等相关法律法规的有关条款，诚信合法经营。履行日常管护义务，自觉接受主管部门监督检查，配合做好防汛工作及要求，发现问题及时上报整改。</w:t>
      </w:r>
    </w:p>
    <w:p w14:paraId="5A5D7837">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.做好水域范围内水面、内坝坡及沿岸环境卫生保洁，自觉服从招标人管理单位监督管理，落实水污染防治措施，确保水面及周边干净。</w:t>
      </w:r>
    </w:p>
    <w:p w14:paraId="3A15FB49">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.制定并落实养鱼安全生产措施，加强养殖安全生产管理，对养殖安全生产负全责，发生养鱼安全生产事故、纠纷等一切责任由中标人自行承担，招标人及管理单位不承担任何责任。</w:t>
      </w:r>
    </w:p>
    <w:p w14:paraId="312B3A71">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.配合管理单位开展日常巡查，发现违法建设、破坏水利工程设施行为应予制止并及时向招标方报告。</w:t>
      </w:r>
    </w:p>
    <w:p w14:paraId="4E5B1871">
      <w:pPr>
        <w:pStyle w:val="5"/>
        <w:spacing w:before="0" w:after="120" w:line="240" w:lineRule="auto"/>
        <w:jc w:val="left"/>
        <w:outlineLvl w:val="1"/>
        <w:rPr>
          <w:rStyle w:val="6"/>
          <w:rFonts w:ascii="Times New Roman" w:hAnsi="Times New Roman" w:eastAsia="宋体" w:cs="Times New Roman"/>
          <w:color w:val="auto"/>
          <w:sz w:val="28"/>
          <w:szCs w:val="28"/>
          <w:lang w:val="zh-CN"/>
        </w:rPr>
      </w:pPr>
      <w:bookmarkStart w:id="0" w:name="_Toc22947"/>
      <w:r>
        <w:rPr>
          <w:rStyle w:val="6"/>
          <w:rFonts w:hint="eastAsia" w:ascii="Times New Roman" w:hAnsi="宋体" w:eastAsia="宋体" w:cs="Times New Roman"/>
          <w:color w:val="auto"/>
          <w:sz w:val="28"/>
          <w:szCs w:val="28"/>
          <w:lang w:val="zh-CN"/>
        </w:rPr>
        <w:t>三</w:t>
      </w:r>
      <w:r>
        <w:rPr>
          <w:rStyle w:val="6"/>
          <w:rFonts w:ascii="Times New Roman" w:hAnsi="宋体" w:eastAsia="宋体" w:cs="Times New Roman"/>
          <w:color w:val="auto"/>
          <w:sz w:val="28"/>
          <w:szCs w:val="28"/>
          <w:lang w:val="zh-CN"/>
        </w:rPr>
        <w:t>、商务要求</w:t>
      </w:r>
      <w:bookmarkEnd w:id="0"/>
    </w:p>
    <w:p w14:paraId="0CCBFA40">
      <w:pPr>
        <w:spacing w:line="360" w:lineRule="auto"/>
        <w:ind w:firstLine="482" w:firstLineChars="200"/>
        <w:rPr>
          <w:rStyle w:val="6"/>
          <w:rFonts w:hint="eastAsia" w:ascii="Times New Roman" w:hAnsi="Times New Roman" w:eastAsia="宋体" w:cs="Times New Roman"/>
          <w:b/>
          <w:bCs/>
          <w:color w:val="auto"/>
          <w:sz w:val="24"/>
          <w:lang w:eastAsia="zh-CN"/>
        </w:rPr>
      </w:pPr>
      <w:r>
        <w:rPr>
          <w:rStyle w:val="6"/>
          <w:rFonts w:ascii="Times New Roman" w:hAnsi="Times New Roman" w:eastAsia="宋体" w:cs="Times New Roman"/>
          <w:b/>
          <w:bCs/>
          <w:color w:val="auto"/>
          <w:sz w:val="24"/>
        </w:rPr>
        <w:t>1.</w:t>
      </w:r>
      <w:r>
        <w:rPr>
          <w:rStyle w:val="6"/>
          <w:rFonts w:ascii="Times New Roman" w:hAnsi="宋体" w:eastAsia="宋体" w:cs="Times New Roman"/>
          <w:b/>
          <w:bCs/>
          <w:color w:val="auto"/>
          <w:sz w:val="24"/>
        </w:rPr>
        <w:t>承包期限</w:t>
      </w:r>
      <w:r>
        <w:rPr>
          <w:rStyle w:val="6"/>
          <w:rFonts w:ascii="Times New Roman" w:hAnsi="宋体" w:eastAsia="宋体" w:cs="Times New Roman"/>
          <w:b/>
          <w:bCs/>
          <w:color w:val="auto"/>
          <w:sz w:val="24"/>
        </w:rPr>
        <w:t>：</w:t>
      </w:r>
      <w:r>
        <w:rPr>
          <w:rStyle w:val="6"/>
          <w:rFonts w:hint="eastAsia" w:ascii="Times New Roman" w:hAnsi="宋体" w:eastAsia="宋体" w:cs="Times New Roman"/>
          <w:b/>
          <w:bCs/>
          <w:color w:val="auto"/>
          <w:sz w:val="24"/>
          <w:lang w:val="en-US" w:eastAsia="zh-CN"/>
        </w:rPr>
        <w:t>十</w:t>
      </w:r>
      <w:r>
        <w:rPr>
          <w:rStyle w:val="6"/>
          <w:rFonts w:hint="eastAsia" w:ascii="Times New Roman" w:hAnsi="宋体" w:eastAsia="宋体" w:cs="Times New Roman"/>
          <w:b/>
          <w:bCs/>
          <w:color w:val="auto"/>
          <w:sz w:val="24"/>
        </w:rPr>
        <w:t>年</w:t>
      </w:r>
      <w:r>
        <w:rPr>
          <w:rStyle w:val="6"/>
          <w:rFonts w:hint="eastAsia" w:ascii="Times New Roman" w:hAnsi="宋体" w:eastAsia="宋体" w:cs="Times New Roman"/>
          <w:b/>
          <w:bCs/>
          <w:color w:val="auto"/>
          <w:sz w:val="24"/>
          <w:lang w:eastAsia="zh-CN"/>
        </w:rPr>
        <w:t>，</w:t>
      </w:r>
      <w:r>
        <w:rPr>
          <w:rStyle w:val="6"/>
          <w:rFonts w:ascii="Times New Roman" w:hAnsi="宋体" w:eastAsia="宋体" w:cs="Times New Roman"/>
          <w:b/>
          <w:bCs/>
          <w:color w:val="auto"/>
          <w:sz w:val="24"/>
        </w:rPr>
        <w:t>具体起止时间以合同约定为准</w:t>
      </w:r>
      <w:r>
        <w:rPr>
          <w:rStyle w:val="6"/>
          <w:rFonts w:ascii="Times New Roman" w:hAnsi="宋体" w:eastAsia="宋体" w:cs="Times New Roman"/>
          <w:b/>
          <w:bCs/>
          <w:color w:val="auto"/>
          <w:sz w:val="24"/>
        </w:rPr>
        <w:t>。</w:t>
      </w:r>
    </w:p>
    <w:p w14:paraId="15EBEDBC">
      <w:pPr>
        <w:pStyle w:val="7"/>
        <w:spacing w:after="0" w:line="360" w:lineRule="auto"/>
        <w:ind w:firstLine="482" w:firstLineChars="200"/>
        <w:rPr>
          <w:rStyle w:val="6"/>
          <w:rFonts w:ascii="Times New Roman" w:hAnsi="Times New Roman" w:eastAsia="宋体" w:cs="Times New Roman"/>
          <w:b/>
          <w:bCs/>
          <w:color w:val="auto"/>
          <w:sz w:val="24"/>
          <w:szCs w:val="24"/>
        </w:rPr>
      </w:pPr>
      <w:r>
        <w:rPr>
          <w:rStyle w:val="6"/>
          <w:rFonts w:ascii="Times New Roman" w:hAnsi="Times New Roman" w:eastAsia="宋体" w:cs="Times New Roman"/>
          <w:b/>
          <w:bCs/>
          <w:color w:val="auto"/>
          <w:sz w:val="24"/>
          <w:szCs w:val="24"/>
        </w:rPr>
        <w:t>2.</w:t>
      </w:r>
      <w:r>
        <w:rPr>
          <w:rStyle w:val="6"/>
          <w:rFonts w:ascii="Times New Roman" w:hAnsi="宋体" w:eastAsia="宋体" w:cs="Times New Roman"/>
          <w:b/>
          <w:bCs/>
          <w:color w:val="auto"/>
          <w:sz w:val="24"/>
          <w:szCs w:val="24"/>
        </w:rPr>
        <w:t>履约保证金：</w:t>
      </w:r>
    </w:p>
    <w:p w14:paraId="3C14067B">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2.1本项目履约保证金为</w:t>
      </w:r>
      <w:r>
        <w:rPr>
          <w:rFonts w:hint="eastAsia" w:ascii="宋体" w:hAnsi="宋体" w:eastAsia="宋体" w:cs="宋体"/>
          <w:color w:val="auto"/>
          <w:sz w:val="24"/>
          <w:lang w:val="en-US" w:eastAsia="zh-CN"/>
        </w:rPr>
        <w:t>1</w:t>
      </w:r>
      <w:r>
        <w:rPr>
          <w:rFonts w:hint="eastAsia" w:ascii="宋体" w:hAnsi="宋体" w:eastAsia="宋体" w:cs="宋体"/>
          <w:color w:val="auto"/>
          <w:sz w:val="24"/>
        </w:rPr>
        <w:t>万元，由中标单位在合同签订前以银行转账或现金的形式全额缴纳。</w:t>
      </w:r>
      <w:bookmarkStart w:id="1" w:name="_GoBack"/>
      <w:bookmarkEnd w:id="1"/>
    </w:p>
    <w:p w14:paraId="16DA4BA8">
      <w:pPr>
        <w:spacing w:line="360" w:lineRule="auto"/>
        <w:ind w:firstLine="480" w:firstLineChars="200"/>
        <w:rPr>
          <w:rFonts w:ascii="Times New Roman" w:hAnsi="Times New Roman" w:eastAsia="宋体" w:cs="Times New Roman"/>
          <w:color w:val="auto"/>
        </w:rPr>
      </w:pPr>
      <w:r>
        <w:rPr>
          <w:rFonts w:hint="eastAsia" w:ascii="宋体" w:hAnsi="宋体" w:eastAsia="宋体" w:cs="宋体"/>
          <w:color w:val="auto"/>
          <w:sz w:val="24"/>
        </w:rPr>
        <w:t>2.2合同签订的同时，中标单位需将履约保证金的缴纳证明原件递交招标方审核。中标单位未按规定缴纳履约保证金的，招标方可拒签合同，且有权顺延与排名第二的投标人签订合同或重新进行项目招标。</w:t>
      </w:r>
    </w:p>
    <w:p w14:paraId="3362A264">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履约保证金用于补偿招标人因中标单位不能履行或不能完整履行其合同义务而蒙受的损失。</w:t>
      </w:r>
    </w:p>
    <w:p w14:paraId="5825A0E6">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4</w:t>
      </w:r>
      <w:r>
        <w:rPr>
          <w:rFonts w:hint="eastAsia" w:ascii="宋体" w:hAnsi="宋体" w:eastAsia="宋体" w:cs="宋体"/>
          <w:color w:val="auto"/>
          <w:sz w:val="24"/>
        </w:rPr>
        <w:t>合同履行期满后，</w:t>
      </w:r>
      <w:r>
        <w:rPr>
          <w:rFonts w:hint="eastAsia" w:ascii="宋体" w:hAnsi="宋体" w:eastAsia="宋体" w:cs="宋体"/>
          <w:color w:val="auto"/>
          <w:sz w:val="24"/>
          <w:lang w:eastAsia="zh-CN"/>
        </w:rPr>
        <w:t>中标单位</w:t>
      </w:r>
      <w:r>
        <w:rPr>
          <w:rFonts w:hint="eastAsia" w:ascii="宋体" w:hAnsi="宋体" w:eastAsia="宋体" w:cs="宋体"/>
          <w:color w:val="auto"/>
          <w:sz w:val="24"/>
        </w:rPr>
        <w:t>将使用权移交给</w:t>
      </w:r>
      <w:r>
        <w:rPr>
          <w:rFonts w:hint="eastAsia" w:ascii="宋体" w:hAnsi="宋体" w:eastAsia="宋体" w:cs="宋体"/>
          <w:color w:val="auto"/>
          <w:sz w:val="24"/>
          <w:lang w:eastAsia="zh-CN"/>
        </w:rPr>
        <w:t>招标单位</w:t>
      </w:r>
      <w:r>
        <w:rPr>
          <w:rFonts w:hint="eastAsia" w:ascii="宋体" w:hAnsi="宋体" w:eastAsia="宋体" w:cs="宋体"/>
          <w:color w:val="auto"/>
          <w:sz w:val="24"/>
        </w:rPr>
        <w:t>后 15 个工作日内，</w:t>
      </w:r>
      <w:r>
        <w:rPr>
          <w:rFonts w:hint="eastAsia" w:ascii="宋体" w:hAnsi="宋体" w:eastAsia="宋体" w:cs="宋体"/>
          <w:color w:val="auto"/>
          <w:sz w:val="24"/>
          <w:lang w:eastAsia="zh-CN"/>
        </w:rPr>
        <w:t>招标单位</w:t>
      </w:r>
      <w:r>
        <w:rPr>
          <w:rFonts w:hint="eastAsia" w:ascii="宋体" w:hAnsi="宋体" w:eastAsia="宋体" w:cs="宋体"/>
          <w:color w:val="auto"/>
          <w:sz w:val="24"/>
        </w:rPr>
        <w:t>全额退还履约保证金（不计利息），但中标单位有违约行为导致履约保证金被扣除的，则退还扣除相应金额后的余额。</w:t>
      </w:r>
    </w:p>
    <w:p w14:paraId="1A0EE701">
      <w:pPr>
        <w:pStyle w:val="7"/>
        <w:spacing w:line="360" w:lineRule="auto"/>
        <w:ind w:firstLine="482" w:firstLineChars="200"/>
        <w:rPr>
          <w:rStyle w:val="6"/>
          <w:rFonts w:ascii="Times New Roman" w:hAnsi="Times New Roman" w:eastAsia="宋体" w:cs="Times New Roman"/>
          <w:b/>
          <w:bCs/>
          <w:color w:val="auto"/>
          <w:sz w:val="24"/>
          <w:szCs w:val="24"/>
        </w:rPr>
      </w:pPr>
      <w:r>
        <w:rPr>
          <w:rStyle w:val="6"/>
          <w:rFonts w:ascii="Times New Roman" w:hAnsi="Times New Roman" w:eastAsia="宋体" w:cs="Times New Roman"/>
          <w:b/>
          <w:bCs/>
          <w:color w:val="auto"/>
          <w:sz w:val="24"/>
          <w:szCs w:val="24"/>
        </w:rPr>
        <w:t>3.</w:t>
      </w:r>
      <w:r>
        <w:rPr>
          <w:rStyle w:val="6"/>
          <w:rFonts w:ascii="Times New Roman" w:hAnsi="宋体" w:eastAsia="宋体" w:cs="Times New Roman"/>
          <w:b/>
          <w:bCs/>
          <w:color w:val="auto"/>
          <w:sz w:val="24"/>
          <w:szCs w:val="24"/>
        </w:rPr>
        <w:t>款项支付：</w:t>
      </w:r>
    </w:p>
    <w:p w14:paraId="091D6239">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 xml:space="preserve">1  </w:t>
      </w:r>
      <w:r>
        <w:rPr>
          <w:rFonts w:hint="eastAsia" w:ascii="宋体" w:hAnsi="宋体" w:eastAsia="Arial Unicode MS" w:cs="宋体"/>
          <w:color w:val="auto"/>
          <w:sz w:val="24"/>
          <w:lang w:val="en-US" w:eastAsia="zh-CN"/>
        </w:rPr>
        <w:t>十</w:t>
      </w:r>
      <w:r>
        <w:rPr>
          <w:rFonts w:hint="eastAsia" w:ascii="宋体" w:hAnsi="宋体" w:eastAsia="Arial Unicode MS" w:cs="宋体"/>
          <w:color w:val="auto"/>
          <w:sz w:val="24"/>
        </w:rPr>
        <w:t>年</w:t>
      </w:r>
      <w:r>
        <w:rPr>
          <w:rFonts w:hint="eastAsia" w:ascii="宋体" w:hAnsi="宋体" w:eastAsia="宋体" w:cs="宋体"/>
          <w:color w:val="auto"/>
          <w:sz w:val="24"/>
        </w:rPr>
        <w:t>经营权承包费，每一年支付一次。</w:t>
      </w:r>
    </w:p>
    <w:p w14:paraId="5EC0EF6C">
      <w:pPr>
        <w:spacing w:line="360" w:lineRule="auto"/>
        <w:ind w:firstLine="480" w:firstLineChars="200"/>
        <w:rPr>
          <w:rFonts w:hint="eastAsia" w:ascii="宋体" w:hAnsi="宋体" w:eastAsia="宋体" w:cs="Times New Roman"/>
          <w:color w:val="auto"/>
          <w:sz w:val="24"/>
          <w:szCs w:val="32"/>
        </w:rPr>
      </w:pPr>
      <w:r>
        <w:rPr>
          <w:rFonts w:hint="eastAsia" w:ascii="宋体" w:hAnsi="宋体" w:eastAsia="宋体" w:cs="宋体"/>
          <w:color w:val="auto"/>
          <w:sz w:val="24"/>
        </w:rPr>
        <w:t>3.2合同签订后5个工作日内，中标人向招标单位支付首笔承包费（第一年的承包费用）。经营满一年前的15个工作日内，支付第二笔承包费（第二年的承包费用），以此类推，直至承包期限届满。</w:t>
      </w:r>
    </w:p>
    <w:p w14:paraId="651B9A57">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83EC6"/>
    <w:rsid w:val="2D883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tabs>
        <w:tab w:val="left" w:pos="360"/>
      </w:tabs>
      <w:autoSpaceDE w:val="0"/>
      <w:autoSpaceDN w:val="0"/>
      <w:adjustRightInd w:val="0"/>
      <w:spacing w:before="340" w:after="330" w:line="360" w:lineRule="auto"/>
      <w:jc w:val="left"/>
      <w:outlineLvl w:val="0"/>
    </w:pPr>
    <w:rPr>
      <w:rFonts w:ascii="宋体" w:hAnsi="Arial" w:eastAsia="黑体" w:cs="宋体"/>
      <w:b/>
      <w:color w:val="000000"/>
      <w:kern w:val="44"/>
      <w:sz w:val="36"/>
      <w:szCs w:val="2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Heading2"/>
    <w:next w:val="1"/>
    <w:qFormat/>
    <w:uiPriority w:val="0"/>
    <w:pPr>
      <w:keepNext/>
      <w:keepLines/>
      <w:widowControl w:val="0"/>
      <w:spacing w:before="260" w:after="260" w:line="416" w:lineRule="auto"/>
      <w:jc w:val="both"/>
    </w:pPr>
    <w:rPr>
      <w:rFonts w:ascii="Arial" w:hAnsi="Arial" w:eastAsia="黑体" w:cs="Times New Roman"/>
      <w:b/>
      <w:bCs/>
      <w:kern w:val="2"/>
      <w:sz w:val="32"/>
      <w:szCs w:val="32"/>
      <w:lang w:val="en-US" w:eastAsia="zh-CN" w:bidi="ar-SA"/>
    </w:rPr>
  </w:style>
  <w:style w:type="character" w:customStyle="1" w:styleId="6">
    <w:name w:val="NormalCharacter"/>
    <w:qFormat/>
    <w:uiPriority w:val="0"/>
  </w:style>
  <w:style w:type="paragraph" w:customStyle="1" w:styleId="7">
    <w:name w:val="BodyText"/>
    <w:next w:val="8"/>
    <w:semiHidden/>
    <w:qFormat/>
    <w:uiPriority w:val="0"/>
    <w:pPr>
      <w:widowControl w:val="0"/>
      <w:spacing w:after="120"/>
      <w:jc w:val="both"/>
    </w:pPr>
    <w:rPr>
      <w:rFonts w:ascii="Calibri" w:hAnsi="Calibri" w:eastAsia="宋体" w:cs="Times New Roman"/>
      <w:kern w:val="2"/>
      <w:sz w:val="21"/>
      <w:szCs w:val="22"/>
      <w:lang w:val="en-US" w:eastAsia="zh-CN" w:bidi="ar-SA"/>
    </w:rPr>
  </w:style>
  <w:style w:type="paragraph" w:customStyle="1" w:styleId="8">
    <w:name w:val="BodyText1I"/>
    <w:next w:val="9"/>
    <w:qFormat/>
    <w:uiPriority w:val="0"/>
    <w:pPr>
      <w:widowControl w:val="0"/>
      <w:spacing w:after="120" w:line="360" w:lineRule="auto"/>
      <w:ind w:firstLine="420" w:firstLineChars="100"/>
      <w:jc w:val="both"/>
    </w:pPr>
    <w:rPr>
      <w:rFonts w:ascii="Calibri" w:hAnsi="Calibri" w:eastAsia="宋体" w:cs="Times New Roman"/>
      <w:kern w:val="2"/>
      <w:sz w:val="21"/>
      <w:szCs w:val="24"/>
      <w:lang w:val="en-US" w:eastAsia="zh-CN" w:bidi="ar-SA"/>
    </w:rPr>
  </w:style>
  <w:style w:type="paragraph" w:customStyle="1" w:styleId="9">
    <w:name w:val="TOC6"/>
    <w:next w:val="1"/>
    <w:qFormat/>
    <w:uiPriority w:val="0"/>
    <w:pPr>
      <w:widowControl w:val="0"/>
      <w:ind w:left="2100" w:leftChars="10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2024-12-23T18:22:00Z</dcterms:created>
  <dc:creator>WPS_1629336849</dc:creator>
  <cp:lastModifiedBy>WPS_1629336849</cp:lastModifiedBy>
  <dcterms:modified xsi:type="dcterms:W3CDTF">2024-12-23T18:22:48Z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563CA36CD87942A58120152EEB0047BA_11</vt:lpwstr>
  </property>
</Properties>
</file>