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931EF">
      <w:pPr>
        <w:adjustRightInd w:val="0"/>
        <w:snapToGrid w:val="0"/>
        <w:ind w:firstLine="15150" w:firstLineChars="2096"/>
        <w:jc w:val="center"/>
        <w:rPr>
          <w:rFonts w:ascii="宋体" w:hAnsi="宋体"/>
          <w:b/>
          <w:bCs/>
          <w:color w:val="auto"/>
          <w:sz w:val="72"/>
          <w:highlight w:val="none"/>
        </w:rPr>
      </w:pPr>
      <w:r>
        <w:rPr>
          <w:rFonts w:ascii="宋体" w:hAnsi="宋体"/>
          <w:b/>
          <w:bCs/>
          <w:color w:val="auto"/>
          <w:sz w:val="72"/>
          <w:highlight w:val="none"/>
        </w:rPr>
        <w:t xml:space="preserve"> </w:t>
      </w:r>
    </w:p>
    <w:p w14:paraId="2B10A48A">
      <w:pPr>
        <w:adjustRightInd w:val="0"/>
        <w:snapToGrid w:val="0"/>
        <w:ind w:firstLine="15150" w:firstLineChars="2096"/>
        <w:jc w:val="center"/>
        <w:rPr>
          <w:rFonts w:ascii="宋体" w:hAnsi="宋体"/>
          <w:b/>
          <w:bCs/>
          <w:color w:val="auto"/>
          <w:sz w:val="72"/>
          <w:highlight w:val="none"/>
        </w:rPr>
      </w:pPr>
    </w:p>
    <w:p w14:paraId="750504FB">
      <w:pPr>
        <w:adjustRightInd w:val="0"/>
        <w:snapToGrid w:val="0"/>
        <w:jc w:val="center"/>
        <w:rPr>
          <w:rFonts w:eastAsia="黑体"/>
          <w:b/>
          <w:bCs/>
          <w:sz w:val="52"/>
          <w:szCs w:val="52"/>
          <w:highlight w:val="none"/>
        </w:rPr>
      </w:pPr>
      <w:r>
        <w:rPr>
          <w:rFonts w:eastAsia="黑体"/>
          <w:b/>
          <w:bCs/>
          <w:sz w:val="52"/>
          <w:szCs w:val="52"/>
          <w:highlight w:val="none"/>
        </w:rPr>
        <w:t>象山天子岭生物能源有限公司</w:t>
      </w:r>
    </w:p>
    <w:p w14:paraId="5C9D088B">
      <w:pPr>
        <w:adjustRightInd w:val="0"/>
        <w:snapToGrid w:val="0"/>
        <w:jc w:val="center"/>
        <w:rPr>
          <w:rFonts w:eastAsia="黑体"/>
          <w:b/>
          <w:bCs/>
          <w:sz w:val="52"/>
          <w:szCs w:val="52"/>
          <w:highlight w:val="none"/>
        </w:rPr>
      </w:pPr>
    </w:p>
    <w:p w14:paraId="0F5DA3FA">
      <w:pPr>
        <w:adjustRightInd w:val="0"/>
        <w:snapToGrid w:val="0"/>
        <w:jc w:val="center"/>
        <w:rPr>
          <w:rFonts w:eastAsia="黑体"/>
          <w:b/>
          <w:bCs/>
          <w:sz w:val="52"/>
          <w:szCs w:val="52"/>
          <w:highlight w:val="none"/>
        </w:rPr>
      </w:pPr>
      <w:r>
        <w:rPr>
          <w:rFonts w:eastAsia="黑体"/>
          <w:b/>
          <w:bCs/>
          <w:sz w:val="52"/>
          <w:szCs w:val="52"/>
          <w:highlight w:val="none"/>
        </w:rPr>
        <w:t>询价文件</w:t>
      </w:r>
    </w:p>
    <w:p w14:paraId="3FFC2A44">
      <w:pPr>
        <w:adjustRightInd w:val="0"/>
        <w:snapToGrid w:val="0"/>
        <w:jc w:val="center"/>
        <w:rPr>
          <w:rFonts w:hint="eastAsia" w:ascii="宋体" w:hAnsi="宋体"/>
          <w:b/>
          <w:bCs/>
          <w:color w:val="auto"/>
          <w:sz w:val="52"/>
          <w:szCs w:val="52"/>
          <w:highlight w:val="none"/>
        </w:rPr>
      </w:pPr>
    </w:p>
    <w:p w14:paraId="595B2470">
      <w:pPr>
        <w:spacing w:line="360" w:lineRule="auto"/>
        <w:jc w:val="center"/>
        <w:rPr>
          <w:rFonts w:hint="eastAsia" w:ascii="宋体" w:hAnsi="宋体"/>
          <w:color w:val="auto"/>
          <w:sz w:val="32"/>
          <w:szCs w:val="32"/>
          <w:highlight w:val="none"/>
        </w:rPr>
      </w:pPr>
    </w:p>
    <w:p w14:paraId="2AD4F0D3">
      <w:pPr>
        <w:spacing w:line="360" w:lineRule="auto"/>
        <w:jc w:val="center"/>
        <w:rPr>
          <w:rFonts w:hint="eastAsia" w:ascii="宋体" w:hAnsi="宋体"/>
          <w:color w:val="auto"/>
          <w:sz w:val="32"/>
          <w:szCs w:val="32"/>
          <w:highlight w:val="none"/>
        </w:rPr>
      </w:pPr>
    </w:p>
    <w:p w14:paraId="4E462EAF">
      <w:pPr>
        <w:spacing w:line="360" w:lineRule="auto"/>
        <w:jc w:val="center"/>
        <w:rPr>
          <w:rFonts w:hint="eastAsia" w:ascii="宋体" w:hAnsi="宋体"/>
          <w:color w:val="auto"/>
          <w:sz w:val="32"/>
          <w:szCs w:val="32"/>
          <w:highlight w:val="none"/>
        </w:rPr>
      </w:pPr>
    </w:p>
    <w:p w14:paraId="246FBC28">
      <w:pPr>
        <w:spacing w:line="360" w:lineRule="auto"/>
        <w:jc w:val="center"/>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项目</w:t>
      </w:r>
      <w:r>
        <w:rPr>
          <w:rFonts w:ascii="Times New Roman" w:hAnsi="Times New Roman" w:eastAsia="宋体" w:cs="Times New Roman"/>
          <w:sz w:val="32"/>
          <w:szCs w:val="32"/>
          <w:highlight w:val="none"/>
        </w:rPr>
        <w:t>编号：</w:t>
      </w:r>
      <w:r>
        <w:rPr>
          <w:rFonts w:hint="eastAsia" w:ascii="Times New Roman" w:hAnsi="Times New Roman" w:eastAsia="宋体" w:cs="Times New Roman"/>
          <w:sz w:val="32"/>
          <w:szCs w:val="32"/>
          <w:highlight w:val="none"/>
          <w:u w:val="single"/>
        </w:rPr>
        <w:t xml:space="preserve"> </w:t>
      </w:r>
      <w:r>
        <w:rPr>
          <w:rFonts w:hint="eastAsia" w:ascii="Times New Roman" w:hAnsi="Times New Roman" w:eastAsia="宋体" w:cs="Times New Roman"/>
          <w:sz w:val="32"/>
          <w:szCs w:val="32"/>
          <w:highlight w:val="none"/>
          <w:u w:val="single"/>
          <w:lang w:val="en-US" w:eastAsia="zh-CN"/>
        </w:rPr>
        <w:t xml:space="preserve"> </w:t>
      </w:r>
      <w:r>
        <w:rPr>
          <w:rFonts w:hint="eastAsia" w:cs="Times New Roman"/>
          <w:sz w:val="32"/>
          <w:szCs w:val="32"/>
          <w:highlight w:val="none"/>
          <w:u w:val="single"/>
          <w:lang w:val="en-US" w:eastAsia="zh-CN"/>
        </w:rPr>
        <w:t>2025-0047</w:t>
      </w:r>
      <w:r>
        <w:rPr>
          <w:rFonts w:hint="eastAsia" w:ascii="Times New Roman" w:hAnsi="Times New Roman" w:eastAsia="宋体" w:cs="Times New Roman"/>
          <w:sz w:val="32"/>
          <w:szCs w:val="32"/>
          <w:highlight w:val="none"/>
          <w:u w:val="single"/>
          <w:lang w:val="en-US" w:eastAsia="zh-CN"/>
        </w:rPr>
        <w:t xml:space="preserve"> </w:t>
      </w:r>
      <w:r>
        <w:rPr>
          <w:rFonts w:hint="eastAsia" w:ascii="Times New Roman" w:hAnsi="Times New Roman" w:eastAsia="宋体" w:cs="Times New Roman"/>
          <w:sz w:val="32"/>
          <w:szCs w:val="32"/>
          <w:highlight w:val="none"/>
          <w:u w:val="single"/>
        </w:rPr>
        <w:t xml:space="preserve"> </w:t>
      </w:r>
    </w:p>
    <w:p w14:paraId="7724E425">
      <w:pPr>
        <w:spacing w:line="360" w:lineRule="auto"/>
        <w:jc w:val="center"/>
        <w:rPr>
          <w:rFonts w:ascii="Times New Roman" w:hAnsi="Times New Roman" w:eastAsia="宋体" w:cs="Times New Roman"/>
          <w:sz w:val="32"/>
          <w:szCs w:val="32"/>
          <w:highlight w:val="none"/>
        </w:rPr>
      </w:pPr>
      <w:bookmarkStart w:id="0" w:name="OLE_LINK52"/>
      <w:bookmarkStart w:id="1" w:name="OLE_LINK53"/>
      <w:r>
        <w:rPr>
          <w:rFonts w:hint="eastAsia" w:ascii="Times New Roman" w:hAnsi="Times New Roman" w:eastAsia="宋体" w:cs="Times New Roman"/>
          <w:sz w:val="32"/>
          <w:szCs w:val="32"/>
          <w:highlight w:val="none"/>
        </w:rPr>
        <w:t>项目名称：</w:t>
      </w:r>
      <w:bookmarkEnd w:id="0"/>
      <w:bookmarkEnd w:id="1"/>
      <w:r>
        <w:rPr>
          <w:rFonts w:hint="eastAsia" w:ascii="Times New Roman" w:hAnsi="Times New Roman" w:eastAsia="宋体" w:cs="Times New Roman"/>
          <w:sz w:val="32"/>
          <w:szCs w:val="32"/>
          <w:highlight w:val="none"/>
          <w:u w:val="single"/>
        </w:rPr>
        <w:t xml:space="preserve"> </w:t>
      </w:r>
      <w:r>
        <w:rPr>
          <w:rFonts w:hint="eastAsia" w:ascii="Times New Roman" w:hAnsi="Times New Roman" w:eastAsia="宋体" w:cs="Times New Roman"/>
          <w:sz w:val="32"/>
          <w:szCs w:val="32"/>
          <w:highlight w:val="none"/>
          <w:u w:val="single"/>
          <w:lang w:eastAsia="zh-CN"/>
        </w:rPr>
        <w:t>2025年</w:t>
      </w:r>
      <w:r>
        <w:rPr>
          <w:rFonts w:hint="eastAsia" w:cs="Times New Roman"/>
          <w:sz w:val="32"/>
          <w:szCs w:val="32"/>
          <w:highlight w:val="none"/>
          <w:u w:val="single"/>
          <w:lang w:eastAsia="zh-CN"/>
        </w:rPr>
        <w:t>聚合氯化铝（PAC）</w:t>
      </w:r>
      <w:r>
        <w:rPr>
          <w:rFonts w:hint="eastAsia" w:ascii="Times New Roman" w:hAnsi="Times New Roman" w:eastAsia="宋体" w:cs="Times New Roman"/>
          <w:sz w:val="32"/>
          <w:szCs w:val="32"/>
          <w:highlight w:val="none"/>
          <w:u w:val="single"/>
          <w:lang w:eastAsia="zh-CN"/>
        </w:rPr>
        <w:t>采购项目</w:t>
      </w:r>
      <w:r>
        <w:rPr>
          <w:rFonts w:hint="eastAsia" w:ascii="Times New Roman" w:hAnsi="Times New Roman" w:eastAsia="宋体" w:cs="Times New Roman"/>
          <w:sz w:val="32"/>
          <w:szCs w:val="32"/>
          <w:highlight w:val="none"/>
          <w:u w:val="single"/>
        </w:rPr>
        <w:t xml:space="preserve"> </w:t>
      </w:r>
    </w:p>
    <w:p w14:paraId="49BC32F4">
      <w:pPr>
        <w:spacing w:line="360" w:lineRule="auto"/>
        <w:jc w:val="center"/>
        <w:rPr>
          <w:rFonts w:hint="eastAsia" w:ascii="Times New Roman" w:hAnsi="Times New Roman" w:eastAsia="宋体" w:cs="Times New Roman"/>
          <w:sz w:val="32"/>
          <w:szCs w:val="32"/>
          <w:highlight w:val="none"/>
        </w:rPr>
      </w:pPr>
    </w:p>
    <w:p w14:paraId="6FD1614E">
      <w:pPr>
        <w:spacing w:line="360" w:lineRule="auto"/>
        <w:jc w:val="center"/>
        <w:rPr>
          <w:rFonts w:hint="eastAsia" w:ascii="Times New Roman" w:hAnsi="Times New Roman" w:eastAsia="宋体" w:cs="Times New Roman"/>
          <w:sz w:val="32"/>
          <w:szCs w:val="32"/>
          <w:highlight w:val="none"/>
        </w:rPr>
      </w:pPr>
    </w:p>
    <w:p w14:paraId="19DE7979">
      <w:pPr>
        <w:spacing w:line="360" w:lineRule="auto"/>
        <w:jc w:val="center"/>
        <w:rPr>
          <w:rFonts w:hint="eastAsia" w:ascii="Times New Roman" w:hAnsi="Times New Roman" w:eastAsia="宋体" w:cs="Times New Roman"/>
          <w:sz w:val="32"/>
          <w:szCs w:val="32"/>
          <w:highlight w:val="none"/>
        </w:rPr>
      </w:pPr>
    </w:p>
    <w:p w14:paraId="1B94BA87">
      <w:pPr>
        <w:spacing w:line="360" w:lineRule="auto"/>
        <w:jc w:val="center"/>
        <w:rPr>
          <w:rFonts w:hint="eastAsia" w:ascii="Times New Roman" w:hAnsi="Times New Roman" w:eastAsia="宋体" w:cs="Times New Roman"/>
          <w:sz w:val="32"/>
          <w:szCs w:val="32"/>
          <w:highlight w:val="none"/>
        </w:rPr>
      </w:pPr>
    </w:p>
    <w:p w14:paraId="1E2F357A">
      <w:pPr>
        <w:spacing w:line="360" w:lineRule="auto"/>
        <w:jc w:val="center"/>
        <w:rPr>
          <w:rFonts w:hint="eastAsia"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象山天子岭生物能源有限公司</w:t>
      </w:r>
    </w:p>
    <w:p w14:paraId="57B4BB2D">
      <w:pPr>
        <w:spacing w:line="360" w:lineRule="auto"/>
        <w:jc w:val="center"/>
        <w:rPr>
          <w:rFonts w:hint="eastAsia"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二○二</w:t>
      </w:r>
      <w:r>
        <w:rPr>
          <w:rFonts w:hint="eastAsia" w:ascii="Times New Roman" w:hAnsi="Times New Roman" w:eastAsia="宋体" w:cs="Times New Roman"/>
          <w:sz w:val="32"/>
          <w:szCs w:val="32"/>
          <w:highlight w:val="none"/>
          <w:lang w:val="en-US" w:eastAsia="zh-CN"/>
        </w:rPr>
        <w:t>五</w:t>
      </w:r>
      <w:r>
        <w:rPr>
          <w:rFonts w:hint="eastAsia" w:ascii="Times New Roman" w:hAnsi="Times New Roman" w:eastAsia="宋体" w:cs="Times New Roman"/>
          <w:sz w:val="32"/>
          <w:szCs w:val="32"/>
          <w:highlight w:val="none"/>
        </w:rPr>
        <w:t>年</w:t>
      </w:r>
      <w:r>
        <w:rPr>
          <w:rFonts w:hint="eastAsia" w:cs="Times New Roman"/>
          <w:sz w:val="32"/>
          <w:szCs w:val="32"/>
          <w:highlight w:val="none"/>
          <w:lang w:val="en-US" w:eastAsia="zh-CN"/>
        </w:rPr>
        <w:t>六</w:t>
      </w:r>
      <w:r>
        <w:rPr>
          <w:rFonts w:hint="eastAsia" w:ascii="Times New Roman" w:hAnsi="Times New Roman" w:eastAsia="宋体" w:cs="Times New Roman"/>
          <w:sz w:val="32"/>
          <w:szCs w:val="32"/>
          <w:highlight w:val="none"/>
        </w:rPr>
        <w:t>月</w:t>
      </w:r>
    </w:p>
    <w:p w14:paraId="3FED2505">
      <w:pPr>
        <w:pStyle w:val="5"/>
        <w:rPr>
          <w:rFonts w:hint="eastAsia"/>
          <w:color w:val="auto"/>
          <w:highlight w:val="none"/>
        </w:rPr>
        <w:sectPr>
          <w:headerReference r:id="rId5" w:type="first"/>
          <w:footerReference r:id="rId7" w:type="first"/>
          <w:headerReference r:id="rId3" w:type="default"/>
          <w:headerReference r:id="rId4" w:type="even"/>
          <w:footerReference r:id="rId6" w:type="even"/>
          <w:pgSz w:w="11907" w:h="16840"/>
          <w:pgMar w:top="1134" w:right="1134" w:bottom="1418" w:left="1418" w:header="510" w:footer="510" w:gutter="0"/>
          <w:cols w:space="720" w:num="1"/>
        </w:sectPr>
      </w:pPr>
    </w:p>
    <w:p w14:paraId="576CE8A0">
      <w:pPr>
        <w:jc w:val="center"/>
        <w:rPr>
          <w:rFonts w:ascii="宋体" w:hAnsi="宋体"/>
          <w:b/>
          <w:color w:val="auto"/>
          <w:szCs w:val="36"/>
          <w:highlight w:val="none"/>
        </w:rPr>
      </w:pPr>
    </w:p>
    <w:p w14:paraId="3FCE3A1D">
      <w:pPr>
        <w:jc w:val="center"/>
        <w:rPr>
          <w:rFonts w:ascii="宋体" w:hAnsi="宋体"/>
          <w:b/>
          <w:color w:val="auto"/>
          <w:sz w:val="48"/>
          <w:szCs w:val="48"/>
          <w:highlight w:val="none"/>
        </w:rPr>
      </w:pPr>
      <w:r>
        <w:rPr>
          <w:rFonts w:ascii="宋体" w:hAnsi="宋体"/>
          <w:b/>
          <w:color w:val="auto"/>
          <w:sz w:val="48"/>
          <w:szCs w:val="48"/>
          <w:highlight w:val="none"/>
        </w:rPr>
        <w:t>目</w:t>
      </w:r>
      <w:r>
        <w:rPr>
          <w:rFonts w:hint="eastAsia" w:ascii="宋体" w:hAnsi="宋体"/>
          <w:b/>
          <w:color w:val="auto"/>
          <w:sz w:val="48"/>
          <w:szCs w:val="48"/>
          <w:highlight w:val="none"/>
        </w:rPr>
        <w:t xml:space="preserve">  </w:t>
      </w:r>
      <w:r>
        <w:rPr>
          <w:rFonts w:ascii="宋体" w:hAnsi="宋体"/>
          <w:b/>
          <w:color w:val="auto"/>
          <w:sz w:val="48"/>
          <w:szCs w:val="48"/>
          <w:highlight w:val="none"/>
        </w:rPr>
        <w:t>录</w:t>
      </w:r>
    </w:p>
    <w:p w14:paraId="4125BBAA">
      <w:pPr>
        <w:jc w:val="center"/>
        <w:rPr>
          <w:rFonts w:ascii="宋体" w:hAnsi="宋体"/>
          <w:color w:val="auto"/>
          <w:szCs w:val="36"/>
          <w:highlight w:val="none"/>
        </w:rPr>
      </w:pPr>
    </w:p>
    <w:p w14:paraId="06C5E4A2">
      <w:pPr>
        <w:pStyle w:val="12"/>
        <w:tabs>
          <w:tab w:val="right" w:leader="dot" w:pos="9355"/>
          <w:tab w:val="clear" w:pos="8296"/>
        </w:tabs>
        <w:rPr>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"1-2" \h \z \u </w:instrText>
      </w:r>
      <w:r>
        <w:rPr>
          <w:rFonts w:ascii="宋体" w:hAnsi="宋体"/>
          <w:color w:val="auto"/>
          <w:sz w:val="28"/>
          <w:szCs w:val="28"/>
          <w:highlight w:val="none"/>
        </w:rPr>
        <w:fldChar w:fldCharType="separate"/>
      </w:r>
      <w:r>
        <w:rPr>
          <w:rFonts w:ascii="宋体" w:hAnsi="宋体"/>
          <w:color w:val="auto"/>
          <w:szCs w:val="28"/>
          <w:highlight w:val="none"/>
        </w:rPr>
        <w:fldChar w:fldCharType="begin"/>
      </w:r>
      <w:r>
        <w:rPr>
          <w:rFonts w:ascii="宋体" w:hAnsi="宋体"/>
          <w:szCs w:val="28"/>
          <w:highlight w:val="none"/>
        </w:rPr>
        <w:instrText xml:space="preserve"> HYPERLINK \l _Toc2549 </w:instrText>
      </w:r>
      <w:r>
        <w:rPr>
          <w:rFonts w:ascii="宋体" w:hAnsi="宋体"/>
          <w:szCs w:val="28"/>
          <w:highlight w:val="none"/>
        </w:rPr>
        <w:fldChar w:fldCharType="separate"/>
      </w:r>
      <w:r>
        <w:rPr>
          <w:rFonts w:hint="eastAsia" w:ascii="Times New Roman" w:hAnsi="Times New Roman" w:eastAsia="小标宋" w:cs="Times New Roman"/>
          <w:bCs w:val="0"/>
          <w:szCs w:val="36"/>
          <w:highlight w:val="none"/>
        </w:rPr>
        <w:t>询价公告</w:t>
      </w:r>
      <w:r>
        <w:rPr>
          <w:highlight w:val="none"/>
        </w:rPr>
        <w:tab/>
      </w:r>
      <w:r>
        <w:rPr>
          <w:highlight w:val="none"/>
        </w:rPr>
        <w:fldChar w:fldCharType="begin"/>
      </w:r>
      <w:r>
        <w:rPr>
          <w:highlight w:val="none"/>
        </w:rPr>
        <w:instrText xml:space="preserve"> PAGEREF _Toc2549 \h </w:instrText>
      </w:r>
      <w:r>
        <w:rPr>
          <w:highlight w:val="none"/>
        </w:rPr>
        <w:fldChar w:fldCharType="separate"/>
      </w:r>
      <w:r>
        <w:rPr>
          <w:highlight w:val="none"/>
        </w:rPr>
        <w:t>1</w:t>
      </w:r>
      <w:r>
        <w:rPr>
          <w:highlight w:val="none"/>
        </w:rPr>
        <w:fldChar w:fldCharType="end"/>
      </w:r>
      <w:r>
        <w:rPr>
          <w:rFonts w:ascii="宋体" w:hAnsi="宋体"/>
          <w:color w:val="auto"/>
          <w:szCs w:val="28"/>
          <w:highlight w:val="none"/>
        </w:rPr>
        <w:fldChar w:fldCharType="end"/>
      </w:r>
    </w:p>
    <w:p w14:paraId="0177B164">
      <w:pPr>
        <w:pStyle w:val="12"/>
        <w:tabs>
          <w:tab w:val="right" w:leader="dot" w:pos="9355"/>
          <w:tab w:val="clear" w:pos="8296"/>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_Toc11450 </w:instrText>
      </w:r>
      <w:r>
        <w:rPr>
          <w:rFonts w:ascii="宋体" w:hAnsi="宋体"/>
          <w:kern w:val="0"/>
          <w:szCs w:val="28"/>
          <w:highlight w:val="none"/>
        </w:rPr>
        <w:fldChar w:fldCharType="separate"/>
      </w:r>
      <w:r>
        <w:rPr>
          <w:rFonts w:hint="eastAsia" w:ascii="Times New Roman" w:hAnsi="Times New Roman" w:eastAsia="小标宋" w:cs="Times New Roman"/>
          <w:bCs w:val="0"/>
          <w:szCs w:val="36"/>
          <w:highlight w:val="none"/>
        </w:rPr>
        <w:t>第一章 供应商须知</w:t>
      </w:r>
      <w:r>
        <w:rPr>
          <w:highlight w:val="none"/>
        </w:rPr>
        <w:tab/>
      </w:r>
      <w:r>
        <w:rPr>
          <w:highlight w:val="none"/>
        </w:rPr>
        <w:fldChar w:fldCharType="begin"/>
      </w:r>
      <w:r>
        <w:rPr>
          <w:highlight w:val="none"/>
        </w:rPr>
        <w:instrText xml:space="preserve"> PAGEREF _Toc11450 \h </w:instrText>
      </w:r>
      <w:r>
        <w:rPr>
          <w:highlight w:val="none"/>
        </w:rPr>
        <w:fldChar w:fldCharType="separate"/>
      </w:r>
      <w:r>
        <w:rPr>
          <w:highlight w:val="none"/>
        </w:rPr>
        <w:t>3</w:t>
      </w:r>
      <w:r>
        <w:rPr>
          <w:highlight w:val="none"/>
        </w:rPr>
        <w:fldChar w:fldCharType="end"/>
      </w:r>
      <w:r>
        <w:rPr>
          <w:rFonts w:ascii="宋体" w:hAnsi="宋体"/>
          <w:color w:val="auto"/>
          <w:kern w:val="0"/>
          <w:szCs w:val="28"/>
          <w:highlight w:val="none"/>
        </w:rPr>
        <w:fldChar w:fldCharType="end"/>
      </w:r>
    </w:p>
    <w:p w14:paraId="205B89DE">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_Toc27754 </w:instrText>
      </w:r>
      <w:r>
        <w:rPr>
          <w:rFonts w:ascii="宋体" w:hAnsi="宋体"/>
          <w:kern w:val="0"/>
          <w:szCs w:val="28"/>
          <w:highlight w:val="none"/>
        </w:rPr>
        <w:fldChar w:fldCharType="separate"/>
      </w:r>
      <w:r>
        <w:rPr>
          <w:rFonts w:ascii="宋体" w:hAnsi="宋体"/>
          <w:szCs w:val="30"/>
          <w:highlight w:val="none"/>
        </w:rPr>
        <w:t>供应商须知前附表</w:t>
      </w:r>
      <w:r>
        <w:rPr>
          <w:highlight w:val="none"/>
        </w:rPr>
        <w:tab/>
      </w:r>
      <w:r>
        <w:rPr>
          <w:highlight w:val="none"/>
        </w:rPr>
        <w:fldChar w:fldCharType="begin"/>
      </w:r>
      <w:r>
        <w:rPr>
          <w:highlight w:val="none"/>
        </w:rPr>
        <w:instrText xml:space="preserve"> PAGEREF _Toc27754 \h </w:instrText>
      </w:r>
      <w:r>
        <w:rPr>
          <w:highlight w:val="none"/>
        </w:rPr>
        <w:fldChar w:fldCharType="separate"/>
      </w:r>
      <w:r>
        <w:rPr>
          <w:highlight w:val="none"/>
        </w:rPr>
        <w:t>3</w:t>
      </w:r>
      <w:r>
        <w:rPr>
          <w:highlight w:val="none"/>
        </w:rPr>
        <w:fldChar w:fldCharType="end"/>
      </w:r>
      <w:r>
        <w:rPr>
          <w:rFonts w:ascii="宋体" w:hAnsi="宋体"/>
          <w:color w:val="auto"/>
          <w:kern w:val="0"/>
          <w:szCs w:val="28"/>
          <w:highlight w:val="none"/>
        </w:rPr>
        <w:fldChar w:fldCharType="end"/>
      </w:r>
    </w:p>
    <w:p w14:paraId="431CE88B">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_Toc21005 </w:instrText>
      </w:r>
      <w:r>
        <w:rPr>
          <w:rFonts w:ascii="宋体" w:hAnsi="宋体"/>
          <w:kern w:val="0"/>
          <w:szCs w:val="28"/>
          <w:highlight w:val="none"/>
        </w:rPr>
        <w:fldChar w:fldCharType="separate"/>
      </w:r>
      <w:r>
        <w:rPr>
          <w:rFonts w:ascii="Times New Roman" w:hAnsi="Times New Roman" w:eastAsia="宋体"/>
          <w:szCs w:val="28"/>
          <w:highlight w:val="none"/>
        </w:rPr>
        <w:t>（一）综合说明</w:t>
      </w:r>
      <w:r>
        <w:rPr>
          <w:highlight w:val="none"/>
        </w:rPr>
        <w:tab/>
      </w:r>
      <w:r>
        <w:rPr>
          <w:highlight w:val="none"/>
        </w:rPr>
        <w:fldChar w:fldCharType="begin"/>
      </w:r>
      <w:r>
        <w:rPr>
          <w:highlight w:val="none"/>
        </w:rPr>
        <w:instrText xml:space="preserve"> PAGEREF _Toc21005 \h </w:instrText>
      </w:r>
      <w:r>
        <w:rPr>
          <w:highlight w:val="none"/>
        </w:rPr>
        <w:fldChar w:fldCharType="separate"/>
      </w:r>
      <w:r>
        <w:rPr>
          <w:highlight w:val="none"/>
        </w:rPr>
        <w:t>5</w:t>
      </w:r>
      <w:r>
        <w:rPr>
          <w:highlight w:val="none"/>
        </w:rPr>
        <w:fldChar w:fldCharType="end"/>
      </w:r>
      <w:r>
        <w:rPr>
          <w:rFonts w:ascii="宋体" w:hAnsi="宋体"/>
          <w:color w:val="auto"/>
          <w:kern w:val="0"/>
          <w:szCs w:val="28"/>
          <w:highlight w:val="none"/>
        </w:rPr>
        <w:fldChar w:fldCharType="end"/>
      </w:r>
    </w:p>
    <w:p w14:paraId="32B7BDB2">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_Toc7423 </w:instrText>
      </w:r>
      <w:r>
        <w:rPr>
          <w:rFonts w:ascii="宋体" w:hAnsi="宋体"/>
          <w:kern w:val="0"/>
          <w:szCs w:val="28"/>
          <w:highlight w:val="none"/>
        </w:rPr>
        <w:fldChar w:fldCharType="separate"/>
      </w:r>
      <w:r>
        <w:rPr>
          <w:rFonts w:ascii="Times New Roman" w:hAnsi="Times New Roman" w:eastAsia="宋体"/>
          <w:szCs w:val="28"/>
          <w:highlight w:val="none"/>
        </w:rPr>
        <w:t>（二）询价采购文件说明</w:t>
      </w:r>
      <w:r>
        <w:rPr>
          <w:highlight w:val="none"/>
        </w:rPr>
        <w:tab/>
      </w:r>
      <w:r>
        <w:rPr>
          <w:highlight w:val="none"/>
        </w:rPr>
        <w:fldChar w:fldCharType="begin"/>
      </w:r>
      <w:r>
        <w:rPr>
          <w:highlight w:val="none"/>
        </w:rPr>
        <w:instrText xml:space="preserve"> PAGEREF _Toc7423 \h </w:instrText>
      </w:r>
      <w:r>
        <w:rPr>
          <w:highlight w:val="none"/>
        </w:rPr>
        <w:fldChar w:fldCharType="separate"/>
      </w:r>
      <w:r>
        <w:rPr>
          <w:highlight w:val="none"/>
        </w:rPr>
        <w:t>5</w:t>
      </w:r>
      <w:r>
        <w:rPr>
          <w:highlight w:val="none"/>
        </w:rPr>
        <w:fldChar w:fldCharType="end"/>
      </w:r>
      <w:r>
        <w:rPr>
          <w:rFonts w:ascii="宋体" w:hAnsi="宋体"/>
          <w:color w:val="auto"/>
          <w:kern w:val="0"/>
          <w:szCs w:val="28"/>
          <w:highlight w:val="none"/>
        </w:rPr>
        <w:fldChar w:fldCharType="end"/>
      </w:r>
    </w:p>
    <w:p w14:paraId="16D83B22">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_Toc19143 </w:instrText>
      </w:r>
      <w:r>
        <w:rPr>
          <w:rFonts w:ascii="宋体" w:hAnsi="宋体"/>
          <w:kern w:val="0"/>
          <w:szCs w:val="28"/>
          <w:highlight w:val="none"/>
        </w:rPr>
        <w:fldChar w:fldCharType="separate"/>
      </w:r>
      <w:r>
        <w:rPr>
          <w:rFonts w:ascii="Times New Roman" w:hAnsi="Times New Roman" w:eastAsia="宋体"/>
          <w:szCs w:val="28"/>
          <w:highlight w:val="none"/>
        </w:rPr>
        <w:t>（三）报价文件的编制</w:t>
      </w:r>
      <w:r>
        <w:rPr>
          <w:highlight w:val="none"/>
        </w:rPr>
        <w:tab/>
      </w:r>
      <w:r>
        <w:rPr>
          <w:highlight w:val="none"/>
        </w:rPr>
        <w:fldChar w:fldCharType="begin"/>
      </w:r>
      <w:r>
        <w:rPr>
          <w:highlight w:val="none"/>
        </w:rPr>
        <w:instrText xml:space="preserve"> PAGEREF _Toc19143 \h </w:instrText>
      </w:r>
      <w:r>
        <w:rPr>
          <w:highlight w:val="none"/>
        </w:rPr>
        <w:fldChar w:fldCharType="separate"/>
      </w:r>
      <w:r>
        <w:rPr>
          <w:highlight w:val="none"/>
        </w:rPr>
        <w:t>6</w:t>
      </w:r>
      <w:r>
        <w:rPr>
          <w:highlight w:val="none"/>
        </w:rPr>
        <w:fldChar w:fldCharType="end"/>
      </w:r>
      <w:r>
        <w:rPr>
          <w:rFonts w:ascii="宋体" w:hAnsi="宋体"/>
          <w:color w:val="auto"/>
          <w:kern w:val="0"/>
          <w:szCs w:val="28"/>
          <w:highlight w:val="none"/>
        </w:rPr>
        <w:fldChar w:fldCharType="end"/>
      </w:r>
    </w:p>
    <w:p w14:paraId="660FB438">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_Toc20225 </w:instrText>
      </w:r>
      <w:r>
        <w:rPr>
          <w:rFonts w:ascii="宋体" w:hAnsi="宋体"/>
          <w:kern w:val="0"/>
          <w:szCs w:val="28"/>
          <w:highlight w:val="none"/>
        </w:rPr>
        <w:fldChar w:fldCharType="separate"/>
      </w:r>
      <w:r>
        <w:rPr>
          <w:rFonts w:ascii="Times New Roman" w:hAnsi="Times New Roman" w:eastAsia="宋体"/>
          <w:szCs w:val="28"/>
          <w:highlight w:val="none"/>
        </w:rPr>
        <w:t>（四）报价文件的递交</w:t>
      </w:r>
      <w:r>
        <w:rPr>
          <w:highlight w:val="none"/>
        </w:rPr>
        <w:tab/>
      </w:r>
      <w:r>
        <w:rPr>
          <w:highlight w:val="none"/>
        </w:rPr>
        <w:fldChar w:fldCharType="begin"/>
      </w:r>
      <w:r>
        <w:rPr>
          <w:highlight w:val="none"/>
        </w:rPr>
        <w:instrText xml:space="preserve"> PAGEREF _Toc20225 \h </w:instrText>
      </w:r>
      <w:r>
        <w:rPr>
          <w:highlight w:val="none"/>
        </w:rPr>
        <w:fldChar w:fldCharType="separate"/>
      </w:r>
      <w:r>
        <w:rPr>
          <w:highlight w:val="none"/>
        </w:rPr>
        <w:t>7</w:t>
      </w:r>
      <w:r>
        <w:rPr>
          <w:highlight w:val="none"/>
        </w:rPr>
        <w:fldChar w:fldCharType="end"/>
      </w:r>
      <w:r>
        <w:rPr>
          <w:rFonts w:ascii="宋体" w:hAnsi="宋体"/>
          <w:color w:val="auto"/>
          <w:kern w:val="0"/>
          <w:szCs w:val="28"/>
          <w:highlight w:val="none"/>
        </w:rPr>
        <w:fldChar w:fldCharType="end"/>
      </w:r>
    </w:p>
    <w:p w14:paraId="66A05003">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_Toc11601 </w:instrText>
      </w:r>
      <w:r>
        <w:rPr>
          <w:rFonts w:ascii="宋体" w:hAnsi="宋体"/>
          <w:kern w:val="0"/>
          <w:szCs w:val="28"/>
          <w:highlight w:val="none"/>
        </w:rPr>
        <w:fldChar w:fldCharType="separate"/>
      </w:r>
      <w:r>
        <w:rPr>
          <w:rFonts w:ascii="Times New Roman" w:hAnsi="Times New Roman" w:eastAsia="宋体"/>
          <w:szCs w:val="28"/>
          <w:highlight w:val="none"/>
          <w:lang w:val="zh-CN"/>
        </w:rPr>
        <w:t>（五）询价采购</w:t>
      </w:r>
      <w:r>
        <w:rPr>
          <w:highlight w:val="none"/>
        </w:rPr>
        <w:tab/>
      </w:r>
      <w:r>
        <w:rPr>
          <w:highlight w:val="none"/>
        </w:rPr>
        <w:fldChar w:fldCharType="begin"/>
      </w:r>
      <w:r>
        <w:rPr>
          <w:highlight w:val="none"/>
        </w:rPr>
        <w:instrText xml:space="preserve"> PAGEREF _Toc11601 \h </w:instrText>
      </w:r>
      <w:r>
        <w:rPr>
          <w:highlight w:val="none"/>
        </w:rPr>
        <w:fldChar w:fldCharType="separate"/>
      </w:r>
      <w:r>
        <w:rPr>
          <w:highlight w:val="none"/>
        </w:rPr>
        <w:t>8</w:t>
      </w:r>
      <w:r>
        <w:rPr>
          <w:highlight w:val="none"/>
        </w:rPr>
        <w:fldChar w:fldCharType="end"/>
      </w:r>
      <w:r>
        <w:rPr>
          <w:rFonts w:ascii="宋体" w:hAnsi="宋体"/>
          <w:color w:val="auto"/>
          <w:kern w:val="0"/>
          <w:szCs w:val="28"/>
          <w:highlight w:val="none"/>
        </w:rPr>
        <w:fldChar w:fldCharType="end"/>
      </w:r>
    </w:p>
    <w:p w14:paraId="0C1E287C">
      <w:pPr>
        <w:pStyle w:val="8"/>
        <w:tabs>
          <w:tab w:val="right" w:leader="dot" w:pos="9355"/>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_Toc22106 </w:instrText>
      </w:r>
      <w:r>
        <w:rPr>
          <w:rFonts w:ascii="宋体" w:hAnsi="宋体"/>
          <w:kern w:val="0"/>
          <w:szCs w:val="28"/>
          <w:highlight w:val="none"/>
        </w:rPr>
        <w:fldChar w:fldCharType="separate"/>
      </w:r>
      <w:r>
        <w:rPr>
          <w:rFonts w:ascii="Times New Roman" w:hAnsi="Times New Roman" w:eastAsia="宋体"/>
          <w:szCs w:val="28"/>
          <w:highlight w:val="none"/>
          <w:lang w:val="zh-CN"/>
        </w:rPr>
        <w:t>（六）授予合同</w:t>
      </w:r>
      <w:r>
        <w:rPr>
          <w:highlight w:val="none"/>
        </w:rPr>
        <w:tab/>
      </w:r>
      <w:r>
        <w:rPr>
          <w:highlight w:val="none"/>
        </w:rPr>
        <w:fldChar w:fldCharType="begin"/>
      </w:r>
      <w:r>
        <w:rPr>
          <w:highlight w:val="none"/>
        </w:rPr>
        <w:instrText xml:space="preserve"> PAGEREF _Toc22106 \h </w:instrText>
      </w:r>
      <w:r>
        <w:rPr>
          <w:highlight w:val="none"/>
        </w:rPr>
        <w:fldChar w:fldCharType="separate"/>
      </w:r>
      <w:r>
        <w:rPr>
          <w:highlight w:val="none"/>
        </w:rPr>
        <w:t>9</w:t>
      </w:r>
      <w:r>
        <w:rPr>
          <w:highlight w:val="none"/>
        </w:rPr>
        <w:fldChar w:fldCharType="end"/>
      </w:r>
      <w:r>
        <w:rPr>
          <w:rFonts w:ascii="宋体" w:hAnsi="宋体"/>
          <w:color w:val="auto"/>
          <w:kern w:val="0"/>
          <w:szCs w:val="28"/>
          <w:highlight w:val="none"/>
        </w:rPr>
        <w:fldChar w:fldCharType="end"/>
      </w:r>
    </w:p>
    <w:p w14:paraId="009FB640">
      <w:pPr>
        <w:pStyle w:val="12"/>
        <w:tabs>
          <w:tab w:val="right" w:leader="dot" w:pos="9355"/>
          <w:tab w:val="clear" w:pos="8296"/>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_Toc16513 </w:instrText>
      </w:r>
      <w:r>
        <w:rPr>
          <w:rFonts w:ascii="宋体" w:hAnsi="宋体"/>
          <w:kern w:val="0"/>
          <w:szCs w:val="28"/>
          <w:highlight w:val="none"/>
        </w:rPr>
        <w:fldChar w:fldCharType="separate"/>
      </w:r>
      <w:r>
        <w:rPr>
          <w:rFonts w:hint="eastAsia" w:ascii="Times New Roman" w:hAnsi="Times New Roman" w:eastAsia="小标宋" w:cs="Times New Roman"/>
          <w:bCs w:val="0"/>
          <w:szCs w:val="36"/>
          <w:highlight w:val="none"/>
        </w:rPr>
        <w:t xml:space="preserve">第二章 </w:t>
      </w:r>
      <w:r>
        <w:rPr>
          <w:rFonts w:hint="eastAsia" w:ascii="Times New Roman" w:hAnsi="Times New Roman" w:eastAsia="小标宋" w:cs="Times New Roman"/>
          <w:bCs w:val="0"/>
          <w:szCs w:val="36"/>
          <w:highlight w:val="none"/>
          <w:lang w:val="en-US" w:eastAsia="zh-CN"/>
        </w:rPr>
        <w:t>采购</w:t>
      </w:r>
      <w:r>
        <w:rPr>
          <w:rFonts w:hint="eastAsia" w:ascii="Times New Roman" w:hAnsi="Times New Roman" w:eastAsia="小标宋" w:cs="Times New Roman"/>
          <w:bCs w:val="0"/>
          <w:szCs w:val="36"/>
          <w:highlight w:val="none"/>
        </w:rPr>
        <w:t>需求书</w:t>
      </w:r>
      <w:r>
        <w:rPr>
          <w:highlight w:val="none"/>
        </w:rPr>
        <w:tab/>
      </w:r>
      <w:r>
        <w:rPr>
          <w:highlight w:val="none"/>
        </w:rPr>
        <w:fldChar w:fldCharType="begin"/>
      </w:r>
      <w:r>
        <w:rPr>
          <w:highlight w:val="none"/>
        </w:rPr>
        <w:instrText xml:space="preserve"> PAGEREF _Toc16513 \h </w:instrText>
      </w:r>
      <w:r>
        <w:rPr>
          <w:highlight w:val="none"/>
        </w:rPr>
        <w:fldChar w:fldCharType="separate"/>
      </w:r>
      <w:r>
        <w:rPr>
          <w:highlight w:val="none"/>
        </w:rPr>
        <w:t>10</w:t>
      </w:r>
      <w:r>
        <w:rPr>
          <w:highlight w:val="none"/>
        </w:rPr>
        <w:fldChar w:fldCharType="end"/>
      </w:r>
      <w:r>
        <w:rPr>
          <w:rFonts w:ascii="宋体" w:hAnsi="宋体"/>
          <w:color w:val="auto"/>
          <w:kern w:val="0"/>
          <w:szCs w:val="28"/>
          <w:highlight w:val="none"/>
        </w:rPr>
        <w:fldChar w:fldCharType="end"/>
      </w:r>
    </w:p>
    <w:p w14:paraId="6D99E147">
      <w:pPr>
        <w:pStyle w:val="12"/>
        <w:tabs>
          <w:tab w:val="right" w:leader="dot" w:pos="9355"/>
          <w:tab w:val="clear" w:pos="8296"/>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_Toc32441 </w:instrText>
      </w:r>
      <w:r>
        <w:rPr>
          <w:rFonts w:ascii="宋体" w:hAnsi="宋体"/>
          <w:kern w:val="0"/>
          <w:szCs w:val="28"/>
          <w:highlight w:val="none"/>
        </w:rPr>
        <w:fldChar w:fldCharType="separate"/>
      </w:r>
      <w:r>
        <w:rPr>
          <w:rFonts w:hint="eastAsia" w:ascii="Times New Roman" w:hAnsi="Times New Roman" w:eastAsia="小标宋" w:cs="Times New Roman"/>
          <w:bCs w:val="0"/>
          <w:szCs w:val="36"/>
          <w:highlight w:val="none"/>
          <w:lang w:val="en-US" w:eastAsia="zh-CN"/>
        </w:rPr>
        <w:t>第三章 合同主要条款</w:t>
      </w:r>
      <w:r>
        <w:rPr>
          <w:highlight w:val="none"/>
        </w:rPr>
        <w:tab/>
      </w:r>
      <w:r>
        <w:rPr>
          <w:highlight w:val="none"/>
        </w:rPr>
        <w:fldChar w:fldCharType="begin"/>
      </w:r>
      <w:r>
        <w:rPr>
          <w:highlight w:val="none"/>
        </w:rPr>
        <w:instrText xml:space="preserve"> PAGEREF _Toc32441 \h </w:instrText>
      </w:r>
      <w:r>
        <w:rPr>
          <w:highlight w:val="none"/>
        </w:rPr>
        <w:fldChar w:fldCharType="separate"/>
      </w:r>
      <w:r>
        <w:rPr>
          <w:highlight w:val="none"/>
        </w:rPr>
        <w:t>13</w:t>
      </w:r>
      <w:r>
        <w:rPr>
          <w:highlight w:val="none"/>
        </w:rPr>
        <w:fldChar w:fldCharType="end"/>
      </w:r>
      <w:r>
        <w:rPr>
          <w:rFonts w:ascii="宋体" w:hAnsi="宋体"/>
          <w:color w:val="auto"/>
          <w:kern w:val="0"/>
          <w:szCs w:val="28"/>
          <w:highlight w:val="none"/>
        </w:rPr>
        <w:fldChar w:fldCharType="end"/>
      </w:r>
    </w:p>
    <w:p w14:paraId="59D97C18">
      <w:pPr>
        <w:pStyle w:val="12"/>
        <w:tabs>
          <w:tab w:val="right" w:leader="dot" w:pos="9355"/>
          <w:tab w:val="clear" w:pos="8296"/>
        </w:tabs>
        <w:rPr>
          <w:highlight w:val="none"/>
        </w:rPr>
      </w:pPr>
      <w:r>
        <w:rPr>
          <w:rFonts w:ascii="宋体" w:hAnsi="宋体"/>
          <w:color w:val="auto"/>
          <w:kern w:val="0"/>
          <w:szCs w:val="28"/>
          <w:highlight w:val="none"/>
        </w:rPr>
        <w:fldChar w:fldCharType="begin"/>
      </w:r>
      <w:r>
        <w:rPr>
          <w:rFonts w:ascii="宋体" w:hAnsi="宋体"/>
          <w:kern w:val="0"/>
          <w:szCs w:val="28"/>
          <w:highlight w:val="none"/>
        </w:rPr>
        <w:instrText xml:space="preserve"> HYPERLINK \l _Toc11465 </w:instrText>
      </w:r>
      <w:r>
        <w:rPr>
          <w:rFonts w:ascii="宋体" w:hAnsi="宋体"/>
          <w:kern w:val="0"/>
          <w:szCs w:val="28"/>
          <w:highlight w:val="none"/>
        </w:rPr>
        <w:fldChar w:fldCharType="separate"/>
      </w:r>
      <w:r>
        <w:rPr>
          <w:rFonts w:hint="eastAsia" w:ascii="Times New Roman" w:hAnsi="Times New Roman" w:eastAsia="小标宋" w:cs="Times New Roman"/>
          <w:bCs w:val="0"/>
          <w:szCs w:val="36"/>
          <w:highlight w:val="none"/>
          <w:lang w:val="en-US" w:eastAsia="zh-CN"/>
        </w:rPr>
        <w:t>第四章 附件</w:t>
      </w:r>
      <w:r>
        <w:rPr>
          <w:highlight w:val="none"/>
        </w:rPr>
        <w:tab/>
      </w:r>
      <w:r>
        <w:rPr>
          <w:highlight w:val="none"/>
        </w:rPr>
        <w:fldChar w:fldCharType="begin"/>
      </w:r>
      <w:r>
        <w:rPr>
          <w:highlight w:val="none"/>
        </w:rPr>
        <w:instrText xml:space="preserve"> PAGEREF _Toc11465 \h </w:instrText>
      </w:r>
      <w:r>
        <w:rPr>
          <w:highlight w:val="none"/>
        </w:rPr>
        <w:fldChar w:fldCharType="separate"/>
      </w:r>
      <w:r>
        <w:rPr>
          <w:highlight w:val="none"/>
        </w:rPr>
        <w:t>22</w:t>
      </w:r>
      <w:r>
        <w:rPr>
          <w:highlight w:val="none"/>
        </w:rPr>
        <w:fldChar w:fldCharType="end"/>
      </w:r>
      <w:r>
        <w:rPr>
          <w:rFonts w:ascii="宋体" w:hAnsi="宋体"/>
          <w:color w:val="auto"/>
          <w:kern w:val="0"/>
          <w:szCs w:val="28"/>
          <w:highlight w:val="none"/>
        </w:rPr>
        <w:fldChar w:fldCharType="end"/>
      </w:r>
    </w:p>
    <w:p w14:paraId="6CD05890">
      <w:pPr>
        <w:autoSpaceDE w:val="0"/>
        <w:autoSpaceDN w:val="0"/>
        <w:spacing w:line="480" w:lineRule="auto"/>
        <w:jc w:val="center"/>
        <w:textAlignment w:val="bottom"/>
        <w:rPr>
          <w:rFonts w:ascii="宋体" w:hAnsi="宋体"/>
          <w:color w:val="auto"/>
          <w:highlight w:val="none"/>
        </w:rPr>
        <w:sectPr>
          <w:pgSz w:w="11907" w:h="16840"/>
          <w:pgMar w:top="1134" w:right="1134" w:bottom="1418" w:left="1418" w:header="510" w:footer="510" w:gutter="0"/>
          <w:cols w:space="720" w:num="1"/>
        </w:sectPr>
      </w:pPr>
      <w:r>
        <w:rPr>
          <w:rFonts w:ascii="宋体" w:hAnsi="宋体"/>
          <w:color w:val="auto"/>
          <w:kern w:val="0"/>
          <w:szCs w:val="28"/>
          <w:highlight w:val="none"/>
        </w:rPr>
        <w:fldChar w:fldCharType="end"/>
      </w:r>
    </w:p>
    <w:p w14:paraId="2FC3A615">
      <w:pPr>
        <w:pStyle w:val="2"/>
        <w:spacing w:line="560" w:lineRule="exact"/>
        <w:rPr>
          <w:rFonts w:hint="eastAsia" w:ascii="Times New Roman" w:hAnsi="Times New Roman" w:eastAsia="小标宋" w:cs="Times New Roman"/>
          <w:b w:val="0"/>
          <w:bCs w:val="0"/>
          <w:sz w:val="36"/>
          <w:szCs w:val="36"/>
          <w:highlight w:val="none"/>
        </w:rPr>
      </w:pPr>
      <w:bookmarkStart w:id="2" w:name="_Toc2549"/>
      <w:r>
        <w:rPr>
          <w:rFonts w:hint="eastAsia" w:ascii="Times New Roman" w:hAnsi="Times New Roman" w:eastAsia="小标宋" w:cs="Times New Roman"/>
          <w:b w:val="0"/>
          <w:bCs w:val="0"/>
          <w:sz w:val="36"/>
          <w:szCs w:val="36"/>
          <w:highlight w:val="none"/>
        </w:rPr>
        <w:t>询价公告</w:t>
      </w:r>
      <w:bookmarkEnd w:id="2"/>
    </w:p>
    <w:p w14:paraId="7E7305DD">
      <w:pPr>
        <w:spacing w:line="560" w:lineRule="exact"/>
        <w:rPr>
          <w:rFonts w:hint="eastAsia" w:ascii="宋体" w:hAnsi="宋体" w:cs="宋体"/>
          <w:b/>
          <w:bCs/>
          <w:color w:val="auto"/>
          <w:sz w:val="24"/>
          <w:highlight w:val="none"/>
          <w:u w:val="single"/>
        </w:rPr>
      </w:pPr>
    </w:p>
    <w:p w14:paraId="2BE7A0C3">
      <w:pPr>
        <w:spacing w:line="360" w:lineRule="auto"/>
        <w:ind w:firstLine="480" w:firstLineChars="200"/>
        <w:jc w:val="left"/>
        <w:rPr>
          <w:rFonts w:ascii="宋体" w:hAnsi="宋体" w:cs="宋体"/>
          <w:color w:val="auto"/>
          <w:sz w:val="24"/>
          <w:highlight w:val="none"/>
        </w:rPr>
      </w:pPr>
      <w:bookmarkStart w:id="29" w:name="_GoBack"/>
      <w:r>
        <w:rPr>
          <w:rFonts w:hint="eastAsia" w:ascii="宋体" w:hAnsi="宋体" w:cs="宋体"/>
          <w:color w:val="auto"/>
          <w:sz w:val="24"/>
          <w:highlight w:val="none"/>
        </w:rPr>
        <w:t>象山天子岭生物能源有限公司组织</w:t>
      </w:r>
      <w:r>
        <w:rPr>
          <w:rFonts w:hint="eastAsia" w:ascii="宋体" w:hAnsi="宋体" w:cs="宋体"/>
          <w:color w:val="auto"/>
          <w:sz w:val="24"/>
          <w:highlight w:val="none"/>
          <w:lang w:eastAsia="zh-CN"/>
        </w:rPr>
        <w:t>2025年聚合氯化铝（PAC）采购项目</w:t>
      </w:r>
      <w:r>
        <w:rPr>
          <w:rFonts w:hint="eastAsia" w:ascii="宋体" w:hAnsi="宋体" w:cs="宋体"/>
          <w:color w:val="auto"/>
          <w:sz w:val="24"/>
          <w:highlight w:val="none"/>
        </w:rPr>
        <w:t>的询价活动，欢迎符合要求的供应商积极参与。</w:t>
      </w:r>
    </w:p>
    <w:bookmarkEnd w:id="29"/>
    <w:p w14:paraId="3A9EF806">
      <w:pPr>
        <w:numPr>
          <w:ilvl w:val="0"/>
          <w:numId w:val="1"/>
        </w:numPr>
        <w:spacing w:line="360" w:lineRule="auto"/>
        <w:ind w:left="0" w:leftChars="0" w:firstLine="420" w:firstLineChars="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w:t>
      </w:r>
      <w:r>
        <w:rPr>
          <w:rFonts w:hint="eastAsia" w:ascii="宋体" w:hAnsi="宋体" w:cs="宋体"/>
          <w:b w:val="0"/>
          <w:bCs/>
          <w:color w:val="auto"/>
          <w:sz w:val="24"/>
          <w:highlight w:val="none"/>
          <w:lang w:val="en-US" w:eastAsia="zh-CN"/>
        </w:rPr>
        <w:t>2025-0047</w:t>
      </w:r>
    </w:p>
    <w:p w14:paraId="0AF1AC13">
      <w:pPr>
        <w:numPr>
          <w:ilvl w:val="0"/>
          <w:numId w:val="1"/>
        </w:numPr>
        <w:adjustRightInd w:val="0"/>
        <w:snapToGrid w:val="0"/>
        <w:spacing w:line="360" w:lineRule="auto"/>
        <w:ind w:left="0" w:leftChars="0" w:firstLine="420" w:firstLineChars="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w:t>
      </w:r>
      <w:r>
        <w:rPr>
          <w:rFonts w:hint="eastAsia" w:ascii="宋体" w:hAnsi="宋体" w:cs="宋体"/>
          <w:color w:val="auto"/>
          <w:sz w:val="24"/>
          <w:highlight w:val="none"/>
          <w:lang w:eastAsia="zh-CN"/>
        </w:rPr>
        <w:t>2025年聚合氯化铝（PAC）采购项目</w:t>
      </w:r>
    </w:p>
    <w:p w14:paraId="40FDD77E">
      <w:pPr>
        <w:numPr>
          <w:ilvl w:val="0"/>
          <w:numId w:val="1"/>
        </w:numPr>
        <w:adjustRightInd w:val="0"/>
        <w:snapToGrid w:val="0"/>
        <w:spacing w:line="360" w:lineRule="auto"/>
        <w:ind w:left="0" w:leftChars="0" w:firstLine="420" w:firstLineChars="0"/>
        <w:rPr>
          <w:rFonts w:hint="eastAsia" w:ascii="宋体" w:hAnsi="宋体" w:cs="宋体"/>
          <w:color w:val="auto"/>
          <w:sz w:val="24"/>
          <w:highlight w:val="none"/>
        </w:rPr>
      </w:pPr>
      <w:r>
        <w:rPr>
          <w:rFonts w:hint="eastAsia" w:ascii="宋体" w:hAnsi="宋体" w:cs="宋体"/>
          <w:b/>
          <w:color w:val="auto"/>
          <w:sz w:val="24"/>
          <w:highlight w:val="none"/>
        </w:rPr>
        <w:t>项目限价</w:t>
      </w:r>
      <w:r>
        <w:rPr>
          <w:rFonts w:hint="eastAsia" w:ascii="宋体" w:hAnsi="宋体" w:cs="宋体"/>
          <w:b/>
          <w:color w:val="auto"/>
          <w:sz w:val="24"/>
          <w:highlight w:val="none"/>
          <w:lang w:eastAsia="zh-CN"/>
        </w:rPr>
        <w:t>：</w:t>
      </w:r>
      <w:r>
        <w:rPr>
          <w:sz w:val="24"/>
          <w:highlight w:val="none"/>
        </w:rPr>
        <w:t>人民币</w:t>
      </w:r>
      <w:r>
        <w:rPr>
          <w:sz w:val="24"/>
          <w:highlight w:val="none"/>
          <w:u w:val="single"/>
        </w:rPr>
        <w:t xml:space="preserve"> </w:t>
      </w:r>
      <w:r>
        <w:rPr>
          <w:rFonts w:hint="eastAsia"/>
          <w:sz w:val="24"/>
          <w:highlight w:val="none"/>
          <w:u w:val="single"/>
          <w:lang w:val="en-US" w:eastAsia="zh-CN"/>
        </w:rPr>
        <w:t>6.5</w:t>
      </w:r>
      <w:r>
        <w:rPr>
          <w:sz w:val="24"/>
          <w:highlight w:val="none"/>
          <w:u w:val="single"/>
        </w:rPr>
        <w:t xml:space="preserve"> </w:t>
      </w:r>
      <w:r>
        <w:rPr>
          <w:sz w:val="24"/>
          <w:highlight w:val="none"/>
        </w:rPr>
        <w:t>万元整</w:t>
      </w:r>
    </w:p>
    <w:p w14:paraId="64F528C6">
      <w:pPr>
        <w:numPr>
          <w:ilvl w:val="0"/>
          <w:numId w:val="1"/>
        </w:numPr>
        <w:spacing w:line="360" w:lineRule="auto"/>
        <w:ind w:left="0" w:leftChars="0" w:firstLine="420" w:firstLineChars="0"/>
        <w:jc w:val="left"/>
        <w:rPr>
          <w:rFonts w:hint="eastAsia" w:ascii="宋体" w:hAnsi="宋体" w:cs="宋体"/>
          <w:color w:val="auto"/>
          <w:sz w:val="24"/>
          <w:highlight w:val="none"/>
        </w:rPr>
      </w:pPr>
      <w:r>
        <w:rPr>
          <w:rFonts w:hint="eastAsia" w:ascii="宋体" w:hAnsi="宋体" w:cs="宋体"/>
          <w:b/>
          <w:color w:val="auto"/>
          <w:sz w:val="24"/>
          <w:highlight w:val="none"/>
        </w:rPr>
        <w:t>采购内容</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150"/>
        <w:gridCol w:w="2017"/>
      </w:tblGrid>
      <w:tr w14:paraId="6B4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shd w:val="clear" w:color="auto" w:fill="auto"/>
            <w:noWrap w:val="0"/>
            <w:vAlign w:val="center"/>
          </w:tcPr>
          <w:p w14:paraId="492F2E11">
            <w:pPr>
              <w:spacing w:line="400" w:lineRule="exact"/>
              <w:jc w:val="center"/>
              <w:rPr>
                <w:color w:val="auto"/>
                <w:sz w:val="24"/>
                <w:highlight w:val="none"/>
              </w:rPr>
            </w:pPr>
            <w:r>
              <w:rPr>
                <w:color w:val="auto"/>
                <w:sz w:val="24"/>
                <w:highlight w:val="none"/>
              </w:rPr>
              <w:t>名称</w:t>
            </w:r>
          </w:p>
        </w:tc>
        <w:tc>
          <w:tcPr>
            <w:tcW w:w="3214" w:type="pct"/>
            <w:shd w:val="clear" w:color="auto" w:fill="FFFFFF"/>
            <w:noWrap w:val="0"/>
            <w:vAlign w:val="center"/>
          </w:tcPr>
          <w:p w14:paraId="22E56B08">
            <w:pPr>
              <w:spacing w:line="400" w:lineRule="exact"/>
              <w:jc w:val="center"/>
              <w:rPr>
                <w:color w:val="auto"/>
                <w:sz w:val="24"/>
                <w:highlight w:val="none"/>
              </w:rPr>
            </w:pPr>
            <w:r>
              <w:rPr>
                <w:color w:val="auto"/>
                <w:sz w:val="24"/>
                <w:highlight w:val="none"/>
              </w:rPr>
              <w:t>技术参数</w:t>
            </w:r>
          </w:p>
        </w:tc>
        <w:tc>
          <w:tcPr>
            <w:tcW w:w="1054" w:type="pct"/>
            <w:shd w:val="clear" w:color="auto" w:fill="FFFFFF"/>
            <w:noWrap w:val="0"/>
            <w:vAlign w:val="center"/>
          </w:tcPr>
          <w:p w14:paraId="189D7CF0">
            <w:pPr>
              <w:spacing w:line="400" w:lineRule="exact"/>
              <w:jc w:val="center"/>
              <w:rPr>
                <w:color w:val="auto"/>
                <w:sz w:val="24"/>
                <w:highlight w:val="none"/>
              </w:rPr>
            </w:pPr>
            <w:r>
              <w:rPr>
                <w:rFonts w:hint="eastAsia"/>
                <w:color w:val="auto"/>
                <w:sz w:val="24"/>
                <w:highlight w:val="none"/>
                <w:lang w:val="en-US" w:eastAsia="zh-CN"/>
              </w:rPr>
              <w:t>预计</w:t>
            </w:r>
            <w:r>
              <w:rPr>
                <w:color w:val="auto"/>
                <w:sz w:val="24"/>
                <w:highlight w:val="none"/>
              </w:rPr>
              <w:t>数量（吨）</w:t>
            </w:r>
          </w:p>
        </w:tc>
      </w:tr>
      <w:tr w14:paraId="556C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731" w:type="pct"/>
            <w:shd w:val="clear" w:color="auto" w:fill="auto"/>
            <w:noWrap w:val="0"/>
            <w:vAlign w:val="center"/>
          </w:tcPr>
          <w:p w14:paraId="678B1C61">
            <w:pPr>
              <w:spacing w:line="400" w:lineRule="exact"/>
              <w:jc w:val="center"/>
              <w:rPr>
                <w:rFonts w:hint="eastAsia" w:eastAsia="宋体"/>
                <w:color w:val="auto"/>
                <w:sz w:val="24"/>
                <w:highlight w:val="none"/>
                <w:lang w:eastAsia="zh-CN"/>
              </w:rPr>
            </w:pPr>
            <w:r>
              <w:rPr>
                <w:rFonts w:hint="eastAsia"/>
                <w:color w:val="auto"/>
                <w:sz w:val="24"/>
                <w:highlight w:val="none"/>
                <w:lang w:eastAsia="zh-CN"/>
              </w:rPr>
              <w:t>聚合氯化铝（PAC）</w:t>
            </w:r>
          </w:p>
        </w:tc>
        <w:tc>
          <w:tcPr>
            <w:tcW w:w="3214" w:type="pct"/>
            <w:shd w:val="clear" w:color="auto" w:fill="FFFFFF"/>
            <w:noWrap w:val="0"/>
            <w:vAlign w:val="center"/>
          </w:tcPr>
          <w:p w14:paraId="6B08E272">
            <w:pPr>
              <w:jc w:val="center"/>
              <w:rPr>
                <w:color w:val="auto"/>
                <w:sz w:val="24"/>
                <w:highlight w:val="none"/>
              </w:rPr>
            </w:pPr>
            <w:r>
              <w:rPr>
                <w:rFonts w:hint="default" w:ascii="Times New Roman" w:hAnsi="Times New Roman" w:eastAsia="宋体" w:cs="Times New Roman"/>
                <w:color w:val="auto"/>
                <w:sz w:val="24"/>
                <w:szCs w:val="24"/>
                <w:highlight w:val="none"/>
                <w:vertAlign w:val="baseline"/>
                <w:lang w:val="en-US" w:eastAsia="zh-CN"/>
              </w:rPr>
              <w:t>氧化铝（Al2O3）的质量分数≥28％，黄色粉末状固体，包装要求为25㎏/袋，质量符合GB/T 22627-2022标准。</w:t>
            </w:r>
          </w:p>
        </w:tc>
        <w:tc>
          <w:tcPr>
            <w:tcW w:w="1054" w:type="pct"/>
            <w:shd w:val="clear" w:color="auto" w:fill="FFFFFF"/>
            <w:noWrap w:val="0"/>
            <w:vAlign w:val="center"/>
          </w:tcPr>
          <w:p w14:paraId="086B3E1D">
            <w:pPr>
              <w:spacing w:line="400" w:lineRule="exact"/>
              <w:jc w:val="center"/>
              <w:rPr>
                <w:rFonts w:hint="default" w:eastAsia="宋体"/>
                <w:color w:val="auto"/>
                <w:sz w:val="24"/>
                <w:highlight w:val="none"/>
                <w:lang w:val="en-US" w:eastAsia="zh-CN"/>
              </w:rPr>
            </w:pPr>
            <w:r>
              <w:rPr>
                <w:rFonts w:hint="eastAsia"/>
                <w:bCs/>
                <w:color w:val="auto"/>
                <w:sz w:val="24"/>
                <w:highlight w:val="none"/>
                <w:lang w:val="en-US" w:eastAsia="zh-CN"/>
              </w:rPr>
              <w:t>30</w:t>
            </w:r>
          </w:p>
        </w:tc>
      </w:tr>
    </w:tbl>
    <w:p w14:paraId="52B7BDB8">
      <w:pPr>
        <w:spacing w:line="360" w:lineRule="auto"/>
        <w:ind w:firstLine="482" w:firstLineChars="200"/>
        <w:rPr>
          <w:rFonts w:hint="eastAsia" w:ascii="宋体" w:hAnsi="宋体" w:eastAsia="宋体" w:cs="仿宋"/>
          <w:bCs/>
          <w:color w:val="auto"/>
          <w:sz w:val="24"/>
          <w:highlight w:val="none"/>
          <w:lang w:val="en-US" w:eastAsia="zh-CN"/>
        </w:rPr>
      </w:pPr>
      <w:r>
        <w:rPr>
          <w:rFonts w:hint="eastAsia" w:ascii="宋体" w:hAnsi="宋体" w:cs="宋体"/>
          <w:b/>
          <w:color w:val="auto"/>
          <w:kern w:val="0"/>
          <w:sz w:val="24"/>
          <w:highlight w:val="none"/>
        </w:rPr>
        <w:t>注：</w:t>
      </w:r>
      <w:r>
        <w:rPr>
          <w:rFonts w:hint="eastAsia" w:ascii="宋体" w:hAnsi="宋体" w:cs="宋体"/>
          <w:color w:val="auto"/>
          <w:kern w:val="0"/>
          <w:sz w:val="24"/>
          <w:highlight w:val="none"/>
        </w:rPr>
        <w:t>本清单数量仅为参考数，最终按实际供货数量为准。</w:t>
      </w:r>
    </w:p>
    <w:p w14:paraId="325C9BE4">
      <w:pPr>
        <w:numPr>
          <w:ilvl w:val="0"/>
          <w:numId w:val="1"/>
        </w:numPr>
        <w:spacing w:line="360" w:lineRule="auto"/>
        <w:ind w:left="0" w:leftChars="0" w:firstLine="420" w:firstLineChars="0"/>
        <w:rPr>
          <w:rFonts w:hint="eastAsia" w:ascii="宋体" w:hAnsi="宋体" w:cs="宋体"/>
          <w:b/>
          <w:color w:val="auto"/>
          <w:sz w:val="24"/>
          <w:highlight w:val="none"/>
        </w:rPr>
      </w:pPr>
      <w:r>
        <w:rPr>
          <w:rFonts w:hint="eastAsia" w:ascii="宋体" w:hAnsi="宋体" w:cs="宋体"/>
          <w:b/>
          <w:color w:val="auto"/>
          <w:sz w:val="24"/>
          <w:highlight w:val="none"/>
        </w:rPr>
        <w:t>供应商资格要求</w:t>
      </w:r>
    </w:p>
    <w:p w14:paraId="6F4001C9">
      <w:pPr>
        <w:numPr>
          <w:ilvl w:val="0"/>
          <w:numId w:val="2"/>
        </w:numPr>
        <w:spacing w:line="360" w:lineRule="auto"/>
        <w:ind w:left="425" w:leftChars="0" w:hanging="425" w:firstLineChars="0"/>
        <w:jc w:val="left"/>
        <w:rPr>
          <w:rFonts w:ascii="宋体" w:hAnsi="宋体" w:cs="宋体"/>
          <w:color w:val="auto"/>
          <w:sz w:val="24"/>
          <w:highlight w:val="none"/>
        </w:rPr>
      </w:pPr>
      <w:r>
        <w:rPr>
          <w:rFonts w:hint="eastAsia" w:ascii="宋体" w:hAnsi="宋体" w:cs="宋体"/>
          <w:color w:val="auto"/>
          <w:sz w:val="24"/>
          <w:highlight w:val="none"/>
        </w:rPr>
        <w:t>在中华人民共和国境内注册，具有独立法人资格/具有独立承担民事责任的能力。提供营业执照（或者事业单位法人证书、社会团体法人登记证书、其他组织登记证明文件）副本复印件（加盖公章）；</w:t>
      </w:r>
    </w:p>
    <w:p w14:paraId="5C1158B8">
      <w:pPr>
        <w:numPr>
          <w:ilvl w:val="0"/>
          <w:numId w:val="2"/>
        </w:numPr>
        <w:spacing w:line="360" w:lineRule="auto"/>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营业执照具有</w:t>
      </w:r>
      <w:r>
        <w:rPr>
          <w:rFonts w:hint="eastAsia" w:ascii="宋体" w:hAnsi="宋体" w:cs="宋体"/>
          <w:color w:val="auto"/>
          <w:sz w:val="24"/>
          <w:highlight w:val="none"/>
          <w:lang w:eastAsia="zh-CN"/>
        </w:rPr>
        <w:t>聚合氯化铝（PAC）</w:t>
      </w:r>
      <w:r>
        <w:rPr>
          <w:rFonts w:hint="eastAsia" w:ascii="宋体" w:hAnsi="宋体" w:cs="宋体"/>
          <w:color w:val="auto"/>
          <w:sz w:val="24"/>
          <w:highlight w:val="none"/>
        </w:rPr>
        <w:t>生产、销售及相关资质；</w:t>
      </w:r>
    </w:p>
    <w:p w14:paraId="0FD57851">
      <w:pPr>
        <w:numPr>
          <w:ilvl w:val="0"/>
          <w:numId w:val="2"/>
        </w:numPr>
        <w:spacing w:line="360" w:lineRule="auto"/>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具有</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月1日以后签订的，至少</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例</w:t>
      </w:r>
      <w:r>
        <w:rPr>
          <w:rFonts w:hint="eastAsia" w:ascii="宋体" w:hAnsi="宋体" w:cs="宋体"/>
          <w:color w:val="auto"/>
          <w:sz w:val="24"/>
          <w:highlight w:val="none"/>
          <w:lang w:eastAsia="zh-CN"/>
        </w:rPr>
        <w:t>聚合氯化铝（PAC）</w:t>
      </w:r>
      <w:r>
        <w:rPr>
          <w:rFonts w:hint="eastAsia" w:ascii="宋体" w:hAnsi="宋体" w:cs="宋体"/>
          <w:color w:val="auto"/>
          <w:sz w:val="24"/>
          <w:highlight w:val="none"/>
        </w:rPr>
        <w:t>销售业绩；</w:t>
      </w:r>
    </w:p>
    <w:p w14:paraId="7E9114D0">
      <w:pPr>
        <w:numPr>
          <w:ilvl w:val="0"/>
          <w:numId w:val="2"/>
        </w:numPr>
        <w:spacing w:line="360" w:lineRule="auto"/>
        <w:ind w:left="425" w:leftChars="0" w:hanging="425" w:firstLineChars="0"/>
        <w:jc w:val="left"/>
        <w:rPr>
          <w:rFonts w:hint="eastAsia" w:ascii="宋体" w:hAnsi="宋体" w:cs="宋体"/>
          <w:color w:val="auto"/>
          <w:sz w:val="24"/>
          <w:highlight w:val="none"/>
        </w:rPr>
      </w:pPr>
      <w:r>
        <w:rPr>
          <w:rFonts w:hint="eastAsia" w:ascii="宋体" w:hAnsi="宋体" w:cs="宋体"/>
          <w:color w:val="auto"/>
          <w:sz w:val="24"/>
          <w:highlight w:val="none"/>
        </w:rPr>
        <w:t>与采购人存在利害关系可能影响采购公正性的单位，不得参加本项目。单位负责人为同一人或者存在控股、管理关系的不同单位，不得同时参加本项目报价文件递交；</w:t>
      </w:r>
    </w:p>
    <w:p w14:paraId="54AA2B16">
      <w:pPr>
        <w:pStyle w:val="5"/>
        <w:numPr>
          <w:ilvl w:val="0"/>
          <w:numId w:val="2"/>
        </w:numPr>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近三年内供应商未被“信用中国网”“中国政府采购网”等网站列入失信被执行人、重大税收违法案件当事人名单、政府采购严重违法失信行为记录名单；</w:t>
      </w:r>
    </w:p>
    <w:p w14:paraId="64C4F7A9">
      <w:pPr>
        <w:pStyle w:val="5"/>
        <w:numPr>
          <w:ilvl w:val="0"/>
          <w:numId w:val="2"/>
        </w:numPr>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近两年内未被列入《杭州市环境集团有限公司黑名单供应商名录库》和《杭州市环境集团有限公司不合格供应商名录库》；</w:t>
      </w:r>
    </w:p>
    <w:p w14:paraId="68264CFE">
      <w:pPr>
        <w:pStyle w:val="5"/>
        <w:numPr>
          <w:ilvl w:val="0"/>
          <w:numId w:val="2"/>
        </w:numPr>
        <w:spacing w:line="360" w:lineRule="auto"/>
        <w:ind w:left="425" w:leftChars="0" w:hanging="425" w:firstLineChars="0"/>
        <w:rPr>
          <w:rFonts w:hint="eastAsia" w:ascii="宋体" w:hAnsi="宋体" w:cs="宋体"/>
          <w:color w:val="auto"/>
          <w:highlight w:val="none"/>
        </w:rPr>
      </w:pPr>
      <w:r>
        <w:rPr>
          <w:rFonts w:hint="eastAsia" w:ascii="宋体" w:hAnsi="宋体" w:cs="宋体"/>
          <w:color w:val="auto"/>
          <w:highlight w:val="none"/>
        </w:rPr>
        <w:t>不接受联合体响应。</w:t>
      </w:r>
    </w:p>
    <w:p w14:paraId="55D17E88">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注：上述证明资料须齐全、有效，需供应商提供的资料的复印件应加盖供应商单位公章（所盖印章均为物理印章，加盖电子印章的将被视为无效，下同），并在报价文件中提供。</w:t>
      </w:r>
    </w:p>
    <w:p w14:paraId="38FD419B">
      <w:pPr>
        <w:numPr>
          <w:ilvl w:val="0"/>
          <w:numId w:val="1"/>
        </w:numPr>
        <w:spacing w:line="360" w:lineRule="auto"/>
        <w:ind w:left="0" w:leftChars="0" w:firstLine="420" w:firstLineChars="0"/>
        <w:rPr>
          <w:rFonts w:hint="eastAsia" w:ascii="宋体" w:hAnsi="宋体" w:cs="宋体"/>
          <w:b/>
          <w:bCs/>
          <w:color w:val="auto"/>
          <w:sz w:val="24"/>
          <w:highlight w:val="none"/>
        </w:rPr>
      </w:pPr>
      <w:r>
        <w:rPr>
          <w:rFonts w:hint="eastAsia" w:ascii="宋体" w:hAnsi="宋体" w:cs="宋体"/>
          <w:b/>
          <w:bCs/>
          <w:color w:val="auto"/>
          <w:sz w:val="24"/>
          <w:highlight w:val="none"/>
        </w:rPr>
        <w:t>招标文件获取</w:t>
      </w:r>
    </w:p>
    <w:p w14:paraId="053DF052">
      <w:pPr>
        <w:widowControl/>
        <w:numPr>
          <w:ilvl w:val="0"/>
          <w:numId w:val="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报名时间：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:00至</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:00（北京时间）</w:t>
      </w:r>
      <w:r>
        <w:rPr>
          <w:rFonts w:hint="eastAsia" w:ascii="宋体" w:hAnsi="宋体" w:cs="宋体"/>
          <w:color w:val="auto"/>
          <w:sz w:val="24"/>
          <w:highlight w:val="none"/>
        </w:rPr>
        <w:t>。</w:t>
      </w:r>
    </w:p>
    <w:p w14:paraId="598E62FC">
      <w:pPr>
        <w:widowControl/>
        <w:numPr>
          <w:ilvl w:val="0"/>
          <w:numId w:val="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报名方式：实行网上报名。将法定代表人授权委托书、企业营业执照复印件（加盖公章）、联系方式发送至</w:t>
      </w:r>
      <w:r>
        <w:rPr>
          <w:rFonts w:hint="eastAsia" w:ascii="宋体" w:hAnsi="宋体" w:cs="宋体"/>
          <w:color w:val="auto"/>
          <w:sz w:val="24"/>
          <w:highlight w:val="none"/>
          <w:lang w:val="en-US" w:eastAsia="zh-CN"/>
        </w:rPr>
        <w:t>1411862953@qq.com</w:t>
      </w:r>
      <w:r>
        <w:rPr>
          <w:rFonts w:hint="eastAsia" w:ascii="宋体" w:hAnsi="宋体" w:cs="宋体"/>
          <w:color w:val="auto"/>
          <w:sz w:val="24"/>
          <w:highlight w:val="none"/>
        </w:rPr>
        <w:t>邮箱。</w:t>
      </w:r>
    </w:p>
    <w:p w14:paraId="0D799581">
      <w:pPr>
        <w:widowControl/>
        <w:numPr>
          <w:ilvl w:val="0"/>
          <w:numId w:val="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询价文件获取：询价文件请至浙江政府采购网自行下载</w:t>
      </w:r>
      <w:r>
        <w:rPr>
          <w:rFonts w:hint="eastAsia" w:ascii="宋体" w:hAnsi="宋体" w:cs="宋体"/>
          <w:color w:val="auto"/>
          <w:sz w:val="24"/>
          <w:highlight w:val="none"/>
          <w:lang w:eastAsia="zh-CN"/>
        </w:rPr>
        <w:t>。</w:t>
      </w:r>
    </w:p>
    <w:p w14:paraId="53CF4FC3">
      <w:pPr>
        <w:numPr>
          <w:ilvl w:val="0"/>
          <w:numId w:val="1"/>
        </w:numPr>
        <w:spacing w:line="360" w:lineRule="auto"/>
        <w:ind w:left="0" w:leftChars="0" w:firstLine="420" w:firstLineChars="0"/>
        <w:rPr>
          <w:rFonts w:hint="eastAsia" w:ascii="宋体" w:hAnsi="宋体" w:cs="宋体"/>
          <w:b/>
          <w:color w:val="auto"/>
          <w:sz w:val="24"/>
          <w:highlight w:val="none"/>
        </w:rPr>
      </w:pPr>
      <w:r>
        <w:rPr>
          <w:rFonts w:hint="eastAsia" w:ascii="宋体" w:hAnsi="宋体" w:cs="宋体"/>
          <w:b/>
          <w:color w:val="auto"/>
          <w:sz w:val="24"/>
          <w:highlight w:val="none"/>
        </w:rPr>
        <w:t>质疑</w:t>
      </w:r>
    </w:p>
    <w:p w14:paraId="5812CAB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供应商如认为询价文件使自身的合法权益受到损害的，应于</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color w:val="auto"/>
          <w:sz w:val="24"/>
          <w:highlight w:val="none"/>
        </w:rPr>
        <w:t>前以书面形式向采购人提出质疑，逾期视作无异议。</w:t>
      </w:r>
    </w:p>
    <w:p w14:paraId="6B87616F">
      <w:pPr>
        <w:numPr>
          <w:ilvl w:val="0"/>
          <w:numId w:val="1"/>
        </w:numPr>
        <w:spacing w:line="360" w:lineRule="auto"/>
        <w:ind w:left="0" w:leftChars="0" w:firstLine="420" w:firstLineChars="0"/>
        <w:rPr>
          <w:rFonts w:hint="eastAsia" w:ascii="宋体" w:hAnsi="宋体" w:cs="宋体"/>
          <w:b/>
          <w:color w:val="auto"/>
          <w:sz w:val="24"/>
          <w:highlight w:val="none"/>
        </w:rPr>
      </w:pPr>
      <w:r>
        <w:rPr>
          <w:rFonts w:hint="eastAsia" w:ascii="宋体" w:hAnsi="宋体" w:cs="宋体"/>
          <w:b/>
          <w:color w:val="auto"/>
          <w:sz w:val="24"/>
          <w:highlight w:val="none"/>
        </w:rPr>
        <w:t>响应保证金</w:t>
      </w:r>
    </w:p>
    <w:p w14:paraId="0A9CC16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本项目响应保证金</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1300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w:t>
      </w:r>
      <w:r>
        <w:rPr>
          <w:rFonts w:hint="eastAsia" w:ascii="宋体" w:hAnsi="宋体" w:eastAsia="宋体" w:cs="宋体"/>
          <w:color w:val="auto"/>
          <w:sz w:val="24"/>
          <w:highlight w:val="none"/>
        </w:rPr>
        <w:t>需在</w:t>
      </w:r>
      <w:r>
        <w:rPr>
          <w:rFonts w:hint="eastAsia" w:ascii="宋体" w:hAnsi="宋体" w:cs="宋体"/>
          <w:color w:val="auto"/>
          <w:sz w:val="24"/>
          <w:highlight w:val="none"/>
        </w:rPr>
        <w:t>报名时间</w:t>
      </w:r>
      <w:r>
        <w:rPr>
          <w:rFonts w:hint="eastAsia" w:ascii="宋体" w:hAnsi="宋体" w:cs="宋体"/>
          <w:color w:val="auto"/>
          <w:sz w:val="24"/>
          <w:highlight w:val="none"/>
          <w:lang w:val="en-US" w:eastAsia="zh-CN"/>
        </w:rPr>
        <w:t>截止</w:t>
      </w:r>
      <w:r>
        <w:rPr>
          <w:rFonts w:hint="eastAsia" w:ascii="宋体" w:hAnsi="宋体" w:eastAsia="宋体" w:cs="宋体"/>
          <w:color w:val="auto"/>
          <w:sz w:val="24"/>
          <w:highlight w:val="none"/>
        </w:rPr>
        <w:t>前缴纳（必须为投标企业账户汇出，个人形式递交或现金递交视为未缴纳</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转账时需备注用途）。</w:t>
      </w:r>
    </w:p>
    <w:p w14:paraId="5E5D788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缴纳户名：象山天子岭生物能源有限公司</w:t>
      </w:r>
    </w:p>
    <w:p w14:paraId="56B3E7F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号：63010122000886032</w:t>
      </w:r>
    </w:p>
    <w:p w14:paraId="545CFC1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 户 行：宁波银行象山支行</w:t>
      </w:r>
    </w:p>
    <w:p w14:paraId="0D2C4E9B">
      <w:pPr>
        <w:numPr>
          <w:ilvl w:val="0"/>
          <w:numId w:val="1"/>
        </w:numPr>
        <w:spacing w:line="360" w:lineRule="auto"/>
        <w:ind w:left="0" w:leftChars="0" w:firstLine="420" w:firstLineChars="0"/>
        <w:rPr>
          <w:rFonts w:hint="eastAsia" w:ascii="宋体" w:hAnsi="宋体" w:cs="宋体"/>
          <w:b/>
          <w:color w:val="auto"/>
          <w:sz w:val="24"/>
          <w:highlight w:val="none"/>
        </w:rPr>
      </w:pPr>
      <w:r>
        <w:rPr>
          <w:rFonts w:hint="eastAsia" w:ascii="宋体" w:hAnsi="宋体" w:cs="宋体"/>
          <w:b/>
          <w:color w:val="auto"/>
          <w:sz w:val="24"/>
          <w:highlight w:val="none"/>
        </w:rPr>
        <w:t>报价文件递交</w:t>
      </w:r>
    </w:p>
    <w:p w14:paraId="364FE866">
      <w:pPr>
        <w:widowControl/>
        <w:numPr>
          <w:ilvl w:val="0"/>
          <w:numId w:val="4"/>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递交截止时间：</w:t>
      </w:r>
      <w:r>
        <w:rPr>
          <w:rFonts w:hint="eastAsia" w:ascii="宋体" w:hAnsi="宋体" w:eastAsia="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日1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:00（北京时间）</w:t>
      </w:r>
      <w:r>
        <w:rPr>
          <w:rFonts w:hint="eastAsia" w:ascii="宋体" w:hAnsi="宋体" w:eastAsia="宋体" w:cs="宋体"/>
          <w:color w:val="auto"/>
          <w:sz w:val="24"/>
          <w:highlight w:val="none"/>
        </w:rPr>
        <w:t>。</w:t>
      </w:r>
    </w:p>
    <w:p w14:paraId="0808CBE7">
      <w:pPr>
        <w:widowControl/>
        <w:numPr>
          <w:ilvl w:val="0"/>
          <w:numId w:val="4"/>
        </w:numPr>
        <w:spacing w:line="360" w:lineRule="auto"/>
        <w:ind w:left="425" w:leftChars="0" w:hanging="425"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递交方式：纸质文件递交/邮寄方式递交</w:t>
      </w:r>
      <w:r>
        <w:rPr>
          <w:rFonts w:hint="eastAsia" w:ascii="宋体" w:hAnsi="宋体" w:eastAsia="宋体" w:cs="宋体"/>
          <w:color w:val="auto"/>
          <w:sz w:val="24"/>
          <w:highlight w:val="none"/>
          <w:lang w:eastAsia="zh-CN"/>
        </w:rPr>
        <w:t>。</w:t>
      </w:r>
    </w:p>
    <w:p w14:paraId="2D56D16E">
      <w:pPr>
        <w:widowControl/>
        <w:numPr>
          <w:ilvl w:val="0"/>
          <w:numId w:val="4"/>
        </w:numPr>
        <w:spacing w:line="360" w:lineRule="auto"/>
        <w:ind w:left="425" w:leftChars="0" w:hanging="42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递交地点：</w:t>
      </w:r>
      <w:r>
        <w:rPr>
          <w:sz w:val="24"/>
          <w:highlight w:val="none"/>
        </w:rPr>
        <w:t>象山天子岭生物能源有限公司（浙江省象山县东陈乡水桶岙路1号）</w:t>
      </w:r>
      <w:r>
        <w:rPr>
          <w:rFonts w:hint="eastAsia" w:ascii="宋体" w:hAnsi="宋体" w:eastAsia="宋体" w:cs="宋体"/>
          <w:color w:val="auto"/>
          <w:sz w:val="24"/>
          <w:highlight w:val="none"/>
        </w:rPr>
        <w:t>。</w:t>
      </w:r>
    </w:p>
    <w:p w14:paraId="77CC0135">
      <w:pPr>
        <w:numPr>
          <w:ilvl w:val="0"/>
          <w:numId w:val="1"/>
        </w:numPr>
        <w:spacing w:line="360" w:lineRule="auto"/>
        <w:ind w:left="0" w:leftChars="0" w:firstLine="420" w:firstLineChars="0"/>
        <w:rPr>
          <w:rFonts w:hint="eastAsia" w:ascii="宋体" w:hAnsi="宋体" w:cs="宋体"/>
          <w:b/>
          <w:color w:val="auto"/>
          <w:sz w:val="24"/>
          <w:highlight w:val="none"/>
        </w:rPr>
      </w:pPr>
      <w:r>
        <w:rPr>
          <w:rFonts w:hint="eastAsia" w:ascii="宋体" w:hAnsi="宋体" w:cs="宋体"/>
          <w:b/>
          <w:color w:val="auto"/>
          <w:sz w:val="24"/>
          <w:highlight w:val="none"/>
        </w:rPr>
        <w:t>联系方式</w:t>
      </w:r>
    </w:p>
    <w:p w14:paraId="4C9ACE8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询价人：象山天子岭生物能源有限公司</w:t>
      </w:r>
    </w:p>
    <w:p w14:paraId="09359B3E">
      <w:pPr>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通讯地址：</w:t>
      </w:r>
      <w:r>
        <w:rPr>
          <w:rFonts w:hint="eastAsia" w:ascii="宋体" w:hAnsi="宋体" w:cs="宋体"/>
          <w:color w:val="auto"/>
          <w:sz w:val="24"/>
          <w:highlight w:val="none"/>
          <w:lang w:val="en-US" w:eastAsia="zh-CN"/>
        </w:rPr>
        <w:t>浙江省</w:t>
      </w:r>
      <w:r>
        <w:rPr>
          <w:rFonts w:hint="eastAsia" w:ascii="宋体" w:hAnsi="宋体" w:cs="宋体"/>
          <w:color w:val="auto"/>
          <w:sz w:val="24"/>
          <w:highlight w:val="none"/>
        </w:rPr>
        <w:t>象山县东陈乡水桶岙</w:t>
      </w:r>
      <w:r>
        <w:rPr>
          <w:rFonts w:hint="eastAsia" w:ascii="宋体" w:hAnsi="宋体" w:cs="宋体"/>
          <w:color w:val="auto"/>
          <w:sz w:val="24"/>
          <w:highlight w:val="none"/>
          <w:lang w:val="en-US" w:eastAsia="zh-CN"/>
        </w:rPr>
        <w:t>1号</w:t>
      </w:r>
    </w:p>
    <w:p w14:paraId="062B46D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sz w:val="24"/>
          <w:highlight w:val="none"/>
        </w:rPr>
        <w:t>徐工</w:t>
      </w:r>
    </w:p>
    <w:p w14:paraId="741882E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电话：0574-65807720</w:t>
      </w:r>
    </w:p>
    <w:p w14:paraId="084E5281">
      <w:pPr>
        <w:pStyle w:val="5"/>
        <w:spacing w:line="360" w:lineRule="auto"/>
        <w:ind w:firstLine="480"/>
        <w:jc w:val="right"/>
        <w:rPr>
          <w:rFonts w:ascii="宋体" w:hAnsi="宋体" w:cs="宋体"/>
          <w:color w:val="auto"/>
          <w:highlight w:val="none"/>
        </w:rPr>
      </w:pPr>
    </w:p>
    <w:p w14:paraId="6A42E016">
      <w:pPr>
        <w:pStyle w:val="6"/>
        <w:ind w:firstLine="210"/>
        <w:rPr>
          <w:rFonts w:hint="eastAsia" w:ascii="宋体" w:hAnsi="宋体"/>
          <w:color w:val="auto"/>
          <w:highlight w:val="none"/>
        </w:rPr>
      </w:pPr>
    </w:p>
    <w:p w14:paraId="01EA981A">
      <w:pPr>
        <w:pStyle w:val="5"/>
        <w:spacing w:line="360" w:lineRule="auto"/>
        <w:ind w:firstLine="480"/>
        <w:jc w:val="right"/>
        <w:rPr>
          <w:rFonts w:hint="eastAsia" w:ascii="宋体" w:hAnsi="宋体" w:cs="宋体"/>
          <w:color w:val="auto"/>
          <w:highlight w:val="none"/>
        </w:rPr>
      </w:pPr>
      <w:r>
        <w:rPr>
          <w:rFonts w:hint="eastAsia" w:ascii="宋体" w:hAnsi="宋体" w:cs="宋体"/>
          <w:color w:val="auto"/>
          <w:highlight w:val="none"/>
        </w:rPr>
        <w:t>象山天子岭生物能源有限公司</w:t>
      </w:r>
    </w:p>
    <w:p w14:paraId="3F517517">
      <w:pPr>
        <w:pStyle w:val="5"/>
        <w:spacing w:line="360" w:lineRule="auto"/>
        <w:ind w:right="240" w:firstLine="480"/>
        <w:jc w:val="right"/>
        <w:rPr>
          <w:rFonts w:hint="eastAsia" w:ascii="宋体" w:hAnsi="宋体" w:cs="宋体"/>
          <w:color w:val="auto"/>
          <w:highlight w:val="none"/>
        </w:rPr>
      </w:pP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17</w:t>
      </w:r>
      <w:r>
        <w:rPr>
          <w:rFonts w:hint="eastAsia" w:ascii="宋体" w:hAnsi="宋体" w:cs="宋体"/>
          <w:color w:val="auto"/>
          <w:highlight w:val="none"/>
        </w:rPr>
        <w:t>日</w:t>
      </w:r>
    </w:p>
    <w:p w14:paraId="7ECD1DD3">
      <w:pPr>
        <w:pStyle w:val="6"/>
        <w:ind w:firstLine="210"/>
        <w:rPr>
          <w:rFonts w:hint="eastAsia" w:ascii="宋体" w:hAnsi="宋体"/>
          <w:color w:val="auto"/>
          <w:highlight w:val="none"/>
        </w:rPr>
      </w:pPr>
    </w:p>
    <w:p w14:paraId="03AD623B">
      <w:pPr>
        <w:pStyle w:val="6"/>
        <w:ind w:firstLine="0" w:firstLineChars="0"/>
        <w:rPr>
          <w:rFonts w:hint="eastAsia" w:ascii="宋体" w:hAnsi="宋体"/>
          <w:color w:val="auto"/>
          <w:highlight w:val="none"/>
        </w:rPr>
        <w:sectPr>
          <w:footerReference r:id="rId8" w:type="default"/>
          <w:pgSz w:w="11907" w:h="16840"/>
          <w:pgMar w:top="1134" w:right="1134" w:bottom="1418" w:left="1418" w:header="510" w:footer="510" w:gutter="0"/>
          <w:pgNumType w:start="1"/>
          <w:cols w:space="720" w:num="1"/>
        </w:sectPr>
      </w:pPr>
    </w:p>
    <w:p w14:paraId="31F2CCDD">
      <w:pPr>
        <w:adjustRightInd w:val="0"/>
        <w:snapToGrid w:val="0"/>
        <w:spacing w:line="360" w:lineRule="auto"/>
        <w:ind w:firstLine="420" w:firstLineChars="175"/>
        <w:jc w:val="right"/>
        <w:rPr>
          <w:rFonts w:ascii="宋体" w:hAnsi="宋体"/>
          <w:color w:val="auto"/>
          <w:sz w:val="24"/>
          <w:highlight w:val="none"/>
        </w:rPr>
      </w:pPr>
    </w:p>
    <w:p w14:paraId="025DDE4F">
      <w:pPr>
        <w:pStyle w:val="2"/>
        <w:numPr>
          <w:ilvl w:val="0"/>
          <w:numId w:val="5"/>
        </w:numPr>
        <w:spacing w:line="560" w:lineRule="exact"/>
        <w:ind w:left="0" w:leftChars="0" w:firstLine="0" w:firstLineChars="0"/>
        <w:rPr>
          <w:rFonts w:hint="eastAsia" w:ascii="Times New Roman" w:hAnsi="Times New Roman" w:eastAsia="小标宋" w:cs="Times New Roman"/>
          <w:b w:val="0"/>
          <w:bCs w:val="0"/>
          <w:sz w:val="36"/>
          <w:szCs w:val="36"/>
          <w:highlight w:val="none"/>
        </w:rPr>
      </w:pPr>
      <w:bookmarkStart w:id="3" w:name="_Toc11450"/>
      <w:r>
        <w:rPr>
          <w:rFonts w:hint="eastAsia" w:ascii="Times New Roman" w:hAnsi="Times New Roman" w:eastAsia="小标宋" w:cs="Times New Roman"/>
          <w:b w:val="0"/>
          <w:bCs w:val="0"/>
          <w:sz w:val="36"/>
          <w:szCs w:val="36"/>
          <w:highlight w:val="none"/>
        </w:rPr>
        <w:t>供应商须知</w:t>
      </w:r>
      <w:bookmarkEnd w:id="3"/>
    </w:p>
    <w:p w14:paraId="0A5C7D7D">
      <w:pPr>
        <w:spacing w:line="360" w:lineRule="auto"/>
        <w:rPr>
          <w:rFonts w:hint="eastAsia" w:ascii="宋体" w:hAnsi="宋体"/>
          <w:color w:val="auto"/>
          <w:sz w:val="24"/>
          <w:highlight w:val="none"/>
        </w:rPr>
      </w:pPr>
    </w:p>
    <w:p w14:paraId="549ACA6C">
      <w:pPr>
        <w:spacing w:line="300" w:lineRule="auto"/>
        <w:jc w:val="center"/>
        <w:outlineLvl w:val="1"/>
        <w:rPr>
          <w:rFonts w:ascii="宋体" w:hAnsi="宋体"/>
          <w:b/>
          <w:color w:val="auto"/>
          <w:sz w:val="30"/>
          <w:szCs w:val="30"/>
          <w:highlight w:val="none"/>
        </w:rPr>
      </w:pPr>
      <w:bookmarkStart w:id="4" w:name="_Toc27754"/>
      <w:bookmarkStart w:id="5" w:name="_Toc12324"/>
      <w:r>
        <w:rPr>
          <w:rFonts w:ascii="宋体" w:hAnsi="宋体"/>
          <w:b/>
          <w:color w:val="auto"/>
          <w:sz w:val="30"/>
          <w:szCs w:val="30"/>
          <w:highlight w:val="none"/>
        </w:rPr>
        <w:t>供应商须知前附表</w:t>
      </w:r>
      <w:bookmarkEnd w:id="4"/>
      <w:bookmarkEnd w:id="5"/>
    </w:p>
    <w:p w14:paraId="4F5FC158">
      <w:pPr>
        <w:pStyle w:val="7"/>
        <w:adjustRightInd w:val="0"/>
        <w:snapToGrid w:val="0"/>
        <w:spacing w:line="360" w:lineRule="auto"/>
        <w:ind w:firstLine="480" w:firstLineChars="200"/>
        <w:rPr>
          <w:rFonts w:hAnsi="宋体"/>
          <w:color w:val="auto"/>
          <w:sz w:val="24"/>
          <w:highlight w:val="none"/>
        </w:rPr>
      </w:pPr>
      <w:r>
        <w:rPr>
          <w:rFonts w:hAnsi="宋体"/>
          <w:color w:val="auto"/>
          <w:sz w:val="24"/>
          <w:highlight w:val="none"/>
        </w:rPr>
        <w:t>本供应商须知前附表是对供应商须知的具体补充和修改，如有矛盾，应以本供应商须知前附表为准。</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1755"/>
        <w:gridCol w:w="7011"/>
      </w:tblGrid>
      <w:tr w14:paraId="7F6B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1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18F03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9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4C441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w:t>
            </w:r>
          </w:p>
        </w:tc>
        <w:tc>
          <w:tcPr>
            <w:tcW w:w="3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4309F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说明与要求</w:t>
            </w:r>
          </w:p>
        </w:tc>
      </w:tr>
      <w:tr w14:paraId="111B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restart"/>
            <w:tcBorders>
              <w:top w:val="nil"/>
              <w:left w:val="single" w:color="000000" w:sz="8" w:space="0"/>
              <w:bottom w:val="single" w:color="000000" w:sz="8" w:space="0"/>
              <w:right w:val="single" w:color="000000" w:sz="8" w:space="0"/>
            </w:tcBorders>
            <w:shd w:val="clear" w:color="auto" w:fill="auto"/>
            <w:vAlign w:val="center"/>
          </w:tcPr>
          <w:p w14:paraId="331319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17" w:type="pct"/>
            <w:vMerge w:val="restart"/>
            <w:tcBorders>
              <w:top w:val="nil"/>
              <w:left w:val="single" w:color="000000" w:sz="8" w:space="0"/>
              <w:bottom w:val="single" w:color="000000" w:sz="8" w:space="0"/>
              <w:right w:val="single" w:color="000000" w:sz="8" w:space="0"/>
            </w:tcBorders>
            <w:shd w:val="clear" w:color="auto" w:fill="auto"/>
            <w:vAlign w:val="center"/>
          </w:tcPr>
          <w:p w14:paraId="766F57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项目名称及基本情况</w:t>
            </w:r>
          </w:p>
        </w:tc>
        <w:tc>
          <w:tcPr>
            <w:tcW w:w="3664" w:type="pct"/>
            <w:tcBorders>
              <w:top w:val="nil"/>
              <w:left w:val="single" w:color="000000" w:sz="8" w:space="0"/>
              <w:bottom w:val="nil"/>
              <w:right w:val="single" w:color="000000" w:sz="8" w:space="0"/>
            </w:tcBorders>
            <w:shd w:val="clear" w:color="auto" w:fill="auto"/>
            <w:vAlign w:val="center"/>
          </w:tcPr>
          <w:p w14:paraId="1A46825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项目名称：2025年</w:t>
            </w:r>
            <w:r>
              <w:rPr>
                <w:rFonts w:hint="eastAsia" w:ascii="宋体" w:hAnsi="宋体" w:cs="宋体"/>
                <w:i w:val="0"/>
                <w:iCs w:val="0"/>
                <w:color w:val="000000"/>
                <w:kern w:val="0"/>
                <w:sz w:val="21"/>
                <w:szCs w:val="21"/>
                <w:highlight w:val="none"/>
                <w:u w:val="none"/>
                <w:lang w:val="en-US" w:eastAsia="zh-CN" w:bidi="ar"/>
              </w:rPr>
              <w:t>聚合氯化铝（PAC）</w:t>
            </w:r>
            <w:r>
              <w:rPr>
                <w:rFonts w:hint="eastAsia" w:ascii="宋体" w:hAnsi="宋体" w:eastAsia="宋体" w:cs="宋体"/>
                <w:i w:val="0"/>
                <w:iCs w:val="0"/>
                <w:color w:val="000000"/>
                <w:kern w:val="0"/>
                <w:sz w:val="21"/>
                <w:szCs w:val="21"/>
                <w:highlight w:val="none"/>
                <w:u w:val="none"/>
                <w:lang w:val="en-US" w:eastAsia="zh-CN" w:bidi="ar"/>
              </w:rPr>
              <w:t>采购项目</w:t>
            </w:r>
          </w:p>
        </w:tc>
      </w:tr>
      <w:tr w14:paraId="4D28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7DC21872">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498CB1A8">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nil"/>
              <w:right w:val="single" w:color="000000" w:sz="8" w:space="0"/>
            </w:tcBorders>
            <w:shd w:val="clear" w:color="auto" w:fill="auto"/>
            <w:vAlign w:val="center"/>
          </w:tcPr>
          <w:p w14:paraId="5AD27747">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w:t>
            </w:r>
            <w:r>
              <w:rPr>
                <w:rStyle w:val="17"/>
                <w:rFonts w:eastAsia="宋体"/>
                <w:highlight w:val="none"/>
                <w:lang w:val="en-US" w:eastAsia="zh-CN" w:bidi="ar"/>
              </w:rPr>
              <w:t xml:space="preserve"> </w:t>
            </w:r>
            <w:r>
              <w:rPr>
                <w:rStyle w:val="18"/>
                <w:highlight w:val="none"/>
                <w:lang w:val="en-US" w:eastAsia="zh-CN" w:bidi="ar"/>
              </w:rPr>
              <w:t>购</w:t>
            </w:r>
            <w:r>
              <w:rPr>
                <w:rStyle w:val="17"/>
                <w:rFonts w:eastAsia="宋体"/>
                <w:highlight w:val="none"/>
                <w:lang w:val="en-US" w:eastAsia="zh-CN" w:bidi="ar"/>
              </w:rPr>
              <w:t xml:space="preserve"> </w:t>
            </w:r>
            <w:r>
              <w:rPr>
                <w:rStyle w:val="18"/>
                <w:highlight w:val="none"/>
                <w:lang w:val="en-US" w:eastAsia="zh-CN" w:bidi="ar"/>
              </w:rPr>
              <w:t>人：象山天子岭生物能源有限公司</w:t>
            </w:r>
          </w:p>
        </w:tc>
      </w:tr>
      <w:tr w14:paraId="1937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02F763D6">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42C78A25">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nil"/>
              <w:right w:val="single" w:color="000000" w:sz="8" w:space="0"/>
            </w:tcBorders>
            <w:shd w:val="clear" w:color="auto" w:fill="auto"/>
            <w:vAlign w:val="center"/>
          </w:tcPr>
          <w:p w14:paraId="2B0108AE">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联</w:t>
            </w:r>
            <w:r>
              <w:rPr>
                <w:rStyle w:val="17"/>
                <w:rFonts w:eastAsia="宋体"/>
                <w:highlight w:val="none"/>
                <w:lang w:val="en-US" w:eastAsia="zh-CN" w:bidi="ar"/>
              </w:rPr>
              <w:t xml:space="preserve"> </w:t>
            </w:r>
            <w:r>
              <w:rPr>
                <w:rStyle w:val="18"/>
                <w:highlight w:val="none"/>
                <w:lang w:val="en-US" w:eastAsia="zh-CN" w:bidi="ar"/>
              </w:rPr>
              <w:t>系</w:t>
            </w:r>
            <w:r>
              <w:rPr>
                <w:rStyle w:val="17"/>
                <w:rFonts w:eastAsia="宋体"/>
                <w:highlight w:val="none"/>
                <w:lang w:val="en-US" w:eastAsia="zh-CN" w:bidi="ar"/>
              </w:rPr>
              <w:t xml:space="preserve"> </w:t>
            </w:r>
            <w:r>
              <w:rPr>
                <w:rStyle w:val="18"/>
                <w:highlight w:val="none"/>
                <w:lang w:val="en-US" w:eastAsia="zh-CN" w:bidi="ar"/>
              </w:rPr>
              <w:t>人：徐工</w:t>
            </w:r>
          </w:p>
        </w:tc>
      </w:tr>
      <w:tr w14:paraId="1B11E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6A22BB8F">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63580E45">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nil"/>
              <w:right w:val="single" w:color="000000" w:sz="8" w:space="0"/>
            </w:tcBorders>
            <w:shd w:val="clear" w:color="auto" w:fill="auto"/>
            <w:vAlign w:val="center"/>
          </w:tcPr>
          <w:p w14:paraId="535B8A26">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w:t>
            </w:r>
            <w:r>
              <w:rPr>
                <w:rStyle w:val="17"/>
                <w:rFonts w:eastAsia="宋体"/>
                <w:highlight w:val="none"/>
                <w:lang w:val="en-US" w:eastAsia="zh-CN" w:bidi="ar"/>
              </w:rPr>
              <w:t xml:space="preserve">    </w:t>
            </w:r>
            <w:r>
              <w:rPr>
                <w:rStyle w:val="18"/>
                <w:highlight w:val="none"/>
                <w:lang w:val="en-US" w:eastAsia="zh-CN" w:bidi="ar"/>
              </w:rPr>
              <w:t>话：</w:t>
            </w:r>
            <w:r>
              <w:rPr>
                <w:rStyle w:val="17"/>
                <w:rFonts w:eastAsia="宋体"/>
                <w:highlight w:val="none"/>
                <w:lang w:val="en-US" w:eastAsia="zh-CN" w:bidi="ar"/>
              </w:rPr>
              <w:t>0574-65807720</w:t>
            </w:r>
          </w:p>
        </w:tc>
      </w:tr>
      <w:tr w14:paraId="7987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120099B8">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4699E913">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636AEA4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w:t>
            </w:r>
            <w:r>
              <w:rPr>
                <w:rStyle w:val="17"/>
                <w:rFonts w:eastAsia="宋体"/>
                <w:highlight w:val="none"/>
                <w:lang w:val="en-US" w:eastAsia="zh-CN" w:bidi="ar"/>
              </w:rPr>
              <w:t xml:space="preserve">    </w:t>
            </w:r>
            <w:r>
              <w:rPr>
                <w:rStyle w:val="18"/>
                <w:highlight w:val="none"/>
                <w:lang w:val="en-US" w:eastAsia="zh-CN" w:bidi="ar"/>
              </w:rPr>
              <w:t>址：浙江省象山县东陈乡水桶岙</w:t>
            </w:r>
            <w:r>
              <w:rPr>
                <w:rStyle w:val="17"/>
                <w:rFonts w:eastAsia="宋体"/>
                <w:highlight w:val="none"/>
                <w:lang w:val="en-US" w:eastAsia="zh-CN" w:bidi="ar"/>
              </w:rPr>
              <w:t>1</w:t>
            </w:r>
            <w:r>
              <w:rPr>
                <w:rStyle w:val="18"/>
                <w:highlight w:val="none"/>
                <w:lang w:val="en-US" w:eastAsia="zh-CN" w:bidi="ar"/>
              </w:rPr>
              <w:t>号</w:t>
            </w:r>
          </w:p>
        </w:tc>
      </w:tr>
      <w:tr w14:paraId="7D53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38F5F6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2F49E6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采购内容</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30569ED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详见《</w:t>
            </w:r>
            <w:r>
              <w:rPr>
                <w:rStyle w:val="18"/>
                <w:highlight w:val="none"/>
                <w:lang w:val="en-US" w:eastAsia="zh-CN" w:bidi="ar"/>
              </w:rPr>
              <w:t>询价公告》</w:t>
            </w:r>
          </w:p>
        </w:tc>
      </w:tr>
      <w:tr w14:paraId="5409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1E591E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051B79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资金来源</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BC2735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自筹资金</w:t>
            </w:r>
          </w:p>
        </w:tc>
      </w:tr>
      <w:tr w14:paraId="45AE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0AB608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4ACF9CD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★报价方式</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3FE325A2">
            <w:pPr>
              <w:keepNext w:val="0"/>
              <w:keepLines w:val="0"/>
              <w:widowControl/>
              <w:suppressLineNumbers w:val="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供应商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tc>
      </w:tr>
      <w:tr w14:paraId="751C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4F31ED7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613D815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★服务期</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66754E48">
            <w:pPr>
              <w:keepNext w:val="0"/>
              <w:keepLines w:val="0"/>
              <w:widowControl/>
              <w:suppressLineNumbers w:val="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自合同签订之日起一年为止（具体以采购人通知为准）</w:t>
            </w:r>
          </w:p>
        </w:tc>
      </w:tr>
      <w:tr w14:paraId="6F06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60004A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0DB172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报价文件有效期</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6FC0AEC1">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报价文件递交截止之日后60日历日。</w:t>
            </w:r>
          </w:p>
        </w:tc>
      </w:tr>
      <w:tr w14:paraId="6ADD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76B365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2C19E1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响应保证金</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01D3941">
            <w:pPr>
              <w:keepNext w:val="0"/>
              <w:keepLines w:val="0"/>
              <w:widowControl/>
              <w:suppressLineNumbers w:val="0"/>
              <w:jc w:val="both"/>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1300元</w:t>
            </w:r>
          </w:p>
        </w:tc>
      </w:tr>
      <w:tr w14:paraId="7DEAF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1FF697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41EF0E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供应商资格要求</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4762176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详见《询价公告》</w:t>
            </w:r>
          </w:p>
        </w:tc>
      </w:tr>
      <w:tr w14:paraId="4F49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4A0287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7D6A72C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询价文件的质疑</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571763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供应商应仔细阅读询价文件的全部内容。如有疑问，应于</w:t>
            </w:r>
            <w:r>
              <w:rPr>
                <w:rStyle w:val="18"/>
                <w:highlight w:val="none"/>
                <w:lang w:val="en-US" w:eastAsia="zh-CN" w:bidi="ar"/>
              </w:rPr>
              <w:t>2025年</w:t>
            </w:r>
            <w:r>
              <w:rPr>
                <w:rStyle w:val="18"/>
                <w:rFonts w:hint="eastAsia"/>
                <w:highlight w:val="none"/>
                <w:lang w:val="en-US" w:eastAsia="zh-CN" w:bidi="ar"/>
              </w:rPr>
              <w:t>6</w:t>
            </w:r>
            <w:r>
              <w:rPr>
                <w:rStyle w:val="18"/>
                <w:highlight w:val="none"/>
                <w:lang w:val="en-US" w:eastAsia="zh-CN" w:bidi="ar"/>
              </w:rPr>
              <w:t>月</w:t>
            </w:r>
            <w:r>
              <w:rPr>
                <w:rStyle w:val="18"/>
                <w:rFonts w:hint="eastAsia"/>
                <w:highlight w:val="none"/>
                <w:lang w:val="en-US" w:eastAsia="zh-CN" w:bidi="ar"/>
              </w:rPr>
              <w:t>23</w:t>
            </w:r>
            <w:r>
              <w:rPr>
                <w:rStyle w:val="18"/>
                <w:highlight w:val="none"/>
                <w:lang w:val="en-US" w:eastAsia="zh-CN" w:bidi="ar"/>
              </w:rPr>
              <w:t>日</w:t>
            </w:r>
            <w:r>
              <w:rPr>
                <w:rStyle w:val="18"/>
                <w:highlight w:val="none"/>
                <w:lang w:val="en-US" w:eastAsia="zh-CN" w:bidi="ar"/>
              </w:rPr>
              <w:t>（北京时间）前以书面形式（包括电邮、传真等，加盖单位公章）向采购人提出质疑，逾期视作无异议。</w:t>
            </w:r>
          </w:p>
        </w:tc>
      </w:tr>
      <w:tr w14:paraId="620F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57C301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5F9E9E4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★报价文件份数</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616090FF">
            <w:pPr>
              <w:keepNext w:val="0"/>
              <w:keepLines w:val="0"/>
              <w:widowControl/>
              <w:suppressLineNumbers w:val="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正本1份，副本2份</w:t>
            </w:r>
            <w:r>
              <w:rPr>
                <w:rStyle w:val="18"/>
                <w:highlight w:val="none"/>
                <w:lang w:val="en-US" w:eastAsia="zh-CN" w:bidi="ar"/>
              </w:rPr>
              <w:t>。</w:t>
            </w:r>
          </w:p>
        </w:tc>
      </w:tr>
      <w:tr w14:paraId="1642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restart"/>
            <w:tcBorders>
              <w:top w:val="nil"/>
              <w:left w:val="single" w:color="000000" w:sz="8" w:space="0"/>
              <w:bottom w:val="single" w:color="000000" w:sz="8" w:space="0"/>
              <w:right w:val="single" w:color="000000" w:sz="8" w:space="0"/>
            </w:tcBorders>
            <w:shd w:val="clear" w:color="auto" w:fill="auto"/>
            <w:vAlign w:val="center"/>
          </w:tcPr>
          <w:p w14:paraId="4291E2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917" w:type="pct"/>
            <w:vMerge w:val="restart"/>
            <w:tcBorders>
              <w:top w:val="nil"/>
              <w:left w:val="single" w:color="000000" w:sz="8" w:space="0"/>
              <w:bottom w:val="single" w:color="000000" w:sz="8" w:space="0"/>
              <w:right w:val="single" w:color="000000" w:sz="8" w:space="0"/>
            </w:tcBorders>
            <w:shd w:val="clear" w:color="auto" w:fill="auto"/>
            <w:vAlign w:val="center"/>
          </w:tcPr>
          <w:p w14:paraId="1F97825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★报价文件递交截止时间和地点</w:t>
            </w:r>
          </w:p>
        </w:tc>
        <w:tc>
          <w:tcPr>
            <w:tcW w:w="3664" w:type="pct"/>
            <w:tcBorders>
              <w:top w:val="nil"/>
              <w:left w:val="single" w:color="000000" w:sz="8" w:space="0"/>
              <w:bottom w:val="nil"/>
              <w:right w:val="single" w:color="000000" w:sz="8" w:space="0"/>
            </w:tcBorders>
            <w:shd w:val="clear" w:color="auto" w:fill="auto"/>
            <w:vAlign w:val="center"/>
          </w:tcPr>
          <w:p w14:paraId="2BE22114">
            <w:pPr>
              <w:keepNext w:val="0"/>
              <w:keepLines w:val="0"/>
              <w:widowControl/>
              <w:suppressLineNumbers w:val="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时间：</w:t>
            </w:r>
            <w:r>
              <w:rPr>
                <w:rFonts w:hint="eastAsia" w:ascii="宋体" w:hAnsi="宋体" w:eastAsia="宋体" w:cs="宋体"/>
                <w:b/>
                <w:bCs/>
                <w:i w:val="0"/>
                <w:iCs w:val="0"/>
                <w:color w:val="000000"/>
                <w:kern w:val="0"/>
                <w:sz w:val="21"/>
                <w:szCs w:val="21"/>
                <w:highlight w:val="none"/>
                <w:u w:val="none"/>
                <w:lang w:val="en-US" w:eastAsia="zh-CN" w:bidi="ar"/>
              </w:rPr>
              <w:t>2025年</w:t>
            </w:r>
            <w:r>
              <w:rPr>
                <w:rFonts w:hint="eastAsia" w:ascii="宋体" w:hAnsi="宋体" w:cs="宋体"/>
                <w:b/>
                <w:bCs/>
                <w:i w:val="0"/>
                <w:iCs w:val="0"/>
                <w:color w:val="000000"/>
                <w:kern w:val="0"/>
                <w:sz w:val="21"/>
                <w:szCs w:val="21"/>
                <w:highlight w:val="none"/>
                <w:u w:val="none"/>
                <w:lang w:val="en-US" w:eastAsia="zh-CN" w:bidi="ar"/>
              </w:rPr>
              <w:t>6</w:t>
            </w:r>
            <w:r>
              <w:rPr>
                <w:rFonts w:hint="eastAsia" w:ascii="宋体" w:hAnsi="宋体" w:eastAsia="宋体" w:cs="宋体"/>
                <w:b/>
                <w:bCs/>
                <w:i w:val="0"/>
                <w:iCs w:val="0"/>
                <w:color w:val="000000"/>
                <w:kern w:val="0"/>
                <w:sz w:val="21"/>
                <w:szCs w:val="21"/>
                <w:highlight w:val="none"/>
                <w:u w:val="none"/>
                <w:lang w:val="en-US" w:eastAsia="zh-CN" w:bidi="ar"/>
              </w:rPr>
              <w:t>月</w:t>
            </w:r>
            <w:r>
              <w:rPr>
                <w:rFonts w:hint="eastAsia" w:ascii="宋体" w:hAnsi="宋体" w:cs="宋体"/>
                <w:b/>
                <w:bCs/>
                <w:i w:val="0"/>
                <w:iCs w:val="0"/>
                <w:color w:val="000000"/>
                <w:kern w:val="0"/>
                <w:sz w:val="21"/>
                <w:szCs w:val="21"/>
                <w:highlight w:val="none"/>
                <w:u w:val="none"/>
                <w:lang w:val="en-US" w:eastAsia="zh-CN" w:bidi="ar"/>
              </w:rPr>
              <w:t>25</w:t>
            </w:r>
            <w:r>
              <w:rPr>
                <w:rFonts w:hint="eastAsia" w:ascii="宋体" w:hAnsi="宋体" w:eastAsia="宋体" w:cs="宋体"/>
                <w:b/>
                <w:bCs/>
                <w:i w:val="0"/>
                <w:iCs w:val="0"/>
                <w:color w:val="000000"/>
                <w:kern w:val="0"/>
                <w:sz w:val="21"/>
                <w:szCs w:val="21"/>
                <w:highlight w:val="none"/>
                <w:u w:val="none"/>
                <w:lang w:val="en-US" w:eastAsia="zh-CN" w:bidi="ar"/>
              </w:rPr>
              <w:t>日10:00</w:t>
            </w:r>
            <w:r>
              <w:rPr>
                <w:rFonts w:hint="eastAsia" w:ascii="宋体" w:hAnsi="宋体" w:eastAsia="宋体" w:cs="宋体"/>
                <w:b/>
                <w:bCs/>
                <w:i w:val="0"/>
                <w:iCs w:val="0"/>
                <w:color w:val="000000"/>
                <w:kern w:val="0"/>
                <w:sz w:val="21"/>
                <w:szCs w:val="21"/>
                <w:highlight w:val="none"/>
                <w:u w:val="none"/>
                <w:lang w:val="en-US" w:eastAsia="zh-CN" w:bidi="ar"/>
              </w:rPr>
              <w:t>（北京时间）。</w:t>
            </w:r>
          </w:p>
        </w:tc>
      </w:tr>
      <w:tr w14:paraId="6677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2B81F4B2">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0FB99995">
            <w:pPr>
              <w:jc w:val="center"/>
              <w:rPr>
                <w:rFonts w:hint="eastAsia" w:ascii="宋体" w:hAnsi="宋体" w:eastAsia="宋体" w:cs="宋体"/>
                <w:b/>
                <w:bCs/>
                <w:i w:val="0"/>
                <w:iCs w:val="0"/>
                <w:color w:val="000000"/>
                <w:sz w:val="21"/>
                <w:szCs w:val="21"/>
                <w:highlight w:val="none"/>
                <w:u w:val="none"/>
              </w:rPr>
            </w:pP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01DD67F3">
            <w:pPr>
              <w:keepNext w:val="0"/>
              <w:keepLines w:val="0"/>
              <w:widowControl/>
              <w:suppressLineNumbers w:val="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地点：</w:t>
            </w:r>
            <w:r>
              <w:rPr>
                <w:rStyle w:val="19"/>
                <w:highlight w:val="none"/>
                <w:lang w:val="en-US" w:eastAsia="zh-CN" w:bidi="ar"/>
              </w:rPr>
              <w:t>象山天子岭生物能源有限公司（浙江省象山县东陈乡水桶岙路</w:t>
            </w:r>
            <w:r>
              <w:rPr>
                <w:rStyle w:val="20"/>
                <w:rFonts w:eastAsia="宋体"/>
                <w:highlight w:val="none"/>
                <w:lang w:val="en-US" w:eastAsia="zh-CN" w:bidi="ar"/>
              </w:rPr>
              <w:t>1</w:t>
            </w:r>
            <w:r>
              <w:rPr>
                <w:rStyle w:val="19"/>
                <w:highlight w:val="none"/>
                <w:lang w:val="en-US" w:eastAsia="zh-CN" w:bidi="ar"/>
              </w:rPr>
              <w:t>号）</w:t>
            </w:r>
          </w:p>
        </w:tc>
      </w:tr>
      <w:tr w14:paraId="1B25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restart"/>
            <w:tcBorders>
              <w:top w:val="nil"/>
              <w:left w:val="single" w:color="000000" w:sz="8" w:space="0"/>
              <w:bottom w:val="single" w:color="000000" w:sz="8" w:space="0"/>
              <w:right w:val="single" w:color="000000" w:sz="8" w:space="0"/>
            </w:tcBorders>
            <w:shd w:val="clear" w:color="auto" w:fill="auto"/>
            <w:vAlign w:val="center"/>
          </w:tcPr>
          <w:p w14:paraId="2D094D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917" w:type="pct"/>
            <w:vMerge w:val="restart"/>
            <w:tcBorders>
              <w:top w:val="nil"/>
              <w:left w:val="single" w:color="000000" w:sz="8" w:space="0"/>
              <w:bottom w:val="single" w:color="000000" w:sz="8" w:space="0"/>
              <w:right w:val="single" w:color="000000" w:sz="8" w:space="0"/>
            </w:tcBorders>
            <w:shd w:val="clear" w:color="auto" w:fill="auto"/>
            <w:vAlign w:val="center"/>
          </w:tcPr>
          <w:p w14:paraId="09EDF6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履约保证金</w:t>
            </w:r>
          </w:p>
        </w:tc>
        <w:tc>
          <w:tcPr>
            <w:tcW w:w="3664" w:type="pct"/>
            <w:tcBorders>
              <w:top w:val="nil"/>
              <w:left w:val="single" w:color="000000" w:sz="8" w:space="0"/>
              <w:bottom w:val="nil"/>
              <w:right w:val="single" w:color="000000" w:sz="8" w:space="0"/>
            </w:tcBorders>
            <w:shd w:val="clear" w:color="auto" w:fill="auto"/>
            <w:vAlign w:val="center"/>
          </w:tcPr>
          <w:p w14:paraId="34B60D63">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履约保证金金额：合同价款的5%。</w:t>
            </w:r>
          </w:p>
        </w:tc>
      </w:tr>
      <w:tr w14:paraId="6DFD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45053666">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6BADA111">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nil"/>
              <w:right w:val="single" w:color="000000" w:sz="8" w:space="0"/>
            </w:tcBorders>
            <w:shd w:val="clear" w:color="auto" w:fill="auto"/>
            <w:vAlign w:val="center"/>
          </w:tcPr>
          <w:p w14:paraId="12E31F9A">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履约保证金提交时间：中标通知书发送后，合同签订前提交。</w:t>
            </w:r>
          </w:p>
        </w:tc>
      </w:tr>
      <w:tr w14:paraId="46E8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472B9876">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5477D159">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nil"/>
              <w:right w:val="single" w:color="000000" w:sz="8" w:space="0"/>
            </w:tcBorders>
            <w:shd w:val="clear" w:color="auto" w:fill="auto"/>
            <w:vAlign w:val="center"/>
          </w:tcPr>
          <w:p w14:paraId="72FCFFB9">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履约保证金的形式：银行汇票或转账支票或电汇。</w:t>
            </w:r>
          </w:p>
        </w:tc>
      </w:tr>
      <w:tr w14:paraId="121A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2A349AF4">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36DAA7DB">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nil"/>
              <w:right w:val="single" w:color="000000" w:sz="8" w:space="0"/>
            </w:tcBorders>
            <w:shd w:val="clear" w:color="auto" w:fill="auto"/>
            <w:vAlign w:val="center"/>
          </w:tcPr>
          <w:p w14:paraId="2A28D805">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履约保证金有效期：至合同履约完毕。</w:t>
            </w:r>
          </w:p>
        </w:tc>
      </w:tr>
      <w:tr w14:paraId="06FE7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vMerge w:val="continue"/>
            <w:tcBorders>
              <w:top w:val="nil"/>
              <w:left w:val="single" w:color="000000" w:sz="8" w:space="0"/>
              <w:bottom w:val="single" w:color="000000" w:sz="8" w:space="0"/>
              <w:right w:val="single" w:color="000000" w:sz="8" w:space="0"/>
            </w:tcBorders>
            <w:shd w:val="clear" w:color="auto" w:fill="auto"/>
            <w:vAlign w:val="center"/>
          </w:tcPr>
          <w:p w14:paraId="27427DD7">
            <w:pPr>
              <w:jc w:val="center"/>
              <w:rPr>
                <w:rFonts w:hint="eastAsia" w:ascii="宋体" w:hAnsi="宋体" w:eastAsia="宋体" w:cs="宋体"/>
                <w:i w:val="0"/>
                <w:iCs w:val="0"/>
                <w:color w:val="000000"/>
                <w:sz w:val="21"/>
                <w:szCs w:val="21"/>
                <w:highlight w:val="none"/>
                <w:u w:val="none"/>
              </w:rPr>
            </w:pPr>
          </w:p>
        </w:tc>
        <w:tc>
          <w:tcPr>
            <w:tcW w:w="917" w:type="pct"/>
            <w:vMerge w:val="continue"/>
            <w:tcBorders>
              <w:top w:val="nil"/>
              <w:left w:val="single" w:color="000000" w:sz="8" w:space="0"/>
              <w:bottom w:val="single" w:color="000000" w:sz="8" w:space="0"/>
              <w:right w:val="single" w:color="000000" w:sz="8" w:space="0"/>
            </w:tcBorders>
            <w:shd w:val="clear" w:color="auto" w:fill="auto"/>
            <w:vAlign w:val="center"/>
          </w:tcPr>
          <w:p w14:paraId="2B4B0F51">
            <w:pPr>
              <w:jc w:val="center"/>
              <w:rPr>
                <w:rFonts w:hint="eastAsia" w:ascii="宋体" w:hAnsi="宋体" w:eastAsia="宋体" w:cs="宋体"/>
                <w:i w:val="0"/>
                <w:iCs w:val="0"/>
                <w:color w:val="000000"/>
                <w:sz w:val="21"/>
                <w:szCs w:val="21"/>
                <w:highlight w:val="none"/>
                <w:u w:val="none"/>
              </w:rPr>
            </w:pP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14189208">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履约保证金的退还：合同履约完毕且双方无异议后一个月内无息归还履约保证金余额。</w:t>
            </w:r>
          </w:p>
        </w:tc>
      </w:tr>
      <w:tr w14:paraId="4A33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6FE01D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3759F28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★最高限价</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251700DD">
            <w:pPr>
              <w:keepNext w:val="0"/>
              <w:keepLines w:val="0"/>
              <w:widowControl/>
              <w:suppressLineNumbers w:val="0"/>
              <w:jc w:val="both"/>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本项目总报价的最高限价为人民币</w:t>
            </w:r>
            <w:r>
              <w:rPr>
                <w:rFonts w:hint="eastAsia" w:ascii="宋体" w:hAnsi="宋体" w:cs="宋体"/>
                <w:b/>
                <w:bCs/>
                <w:i w:val="0"/>
                <w:iCs w:val="0"/>
                <w:color w:val="000000"/>
                <w:kern w:val="0"/>
                <w:sz w:val="21"/>
                <w:szCs w:val="21"/>
                <w:highlight w:val="none"/>
                <w:u w:val="none"/>
                <w:lang w:val="en-US" w:eastAsia="zh-CN" w:bidi="ar"/>
              </w:rPr>
              <w:t>陆</w:t>
            </w:r>
            <w:r>
              <w:rPr>
                <w:rFonts w:hint="eastAsia" w:ascii="宋体" w:hAnsi="宋体" w:eastAsia="宋体" w:cs="宋体"/>
                <w:b/>
                <w:bCs/>
                <w:i w:val="0"/>
                <w:iCs w:val="0"/>
                <w:color w:val="000000"/>
                <w:kern w:val="0"/>
                <w:sz w:val="21"/>
                <w:szCs w:val="21"/>
                <w:highlight w:val="none"/>
                <w:u w:val="none"/>
                <w:lang w:val="en-US" w:eastAsia="zh-CN" w:bidi="ar"/>
              </w:rPr>
              <w:t>万</w:t>
            </w:r>
            <w:r>
              <w:rPr>
                <w:rFonts w:hint="eastAsia" w:ascii="宋体" w:hAnsi="宋体" w:cs="宋体"/>
                <w:b/>
                <w:bCs/>
                <w:i w:val="0"/>
                <w:iCs w:val="0"/>
                <w:color w:val="000000"/>
                <w:kern w:val="0"/>
                <w:sz w:val="21"/>
                <w:szCs w:val="21"/>
                <w:highlight w:val="none"/>
                <w:u w:val="none"/>
                <w:lang w:val="en-US" w:eastAsia="zh-CN" w:bidi="ar"/>
              </w:rPr>
              <w:t>伍仟</w:t>
            </w:r>
            <w:r>
              <w:rPr>
                <w:rFonts w:hint="eastAsia" w:ascii="宋体" w:hAnsi="宋体" w:eastAsia="宋体" w:cs="宋体"/>
                <w:b/>
                <w:bCs/>
                <w:i w:val="0"/>
                <w:iCs w:val="0"/>
                <w:color w:val="000000"/>
                <w:kern w:val="0"/>
                <w:sz w:val="21"/>
                <w:szCs w:val="21"/>
                <w:highlight w:val="none"/>
                <w:u w:val="none"/>
                <w:lang w:val="en-US" w:eastAsia="zh-CN" w:bidi="ar"/>
              </w:rPr>
              <w:t>元整，如果供应商的报价高于最高限价则其报价文件作无效响应处理。</w:t>
            </w:r>
          </w:p>
        </w:tc>
      </w:tr>
      <w:tr w14:paraId="6136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8" w:type="pct"/>
            <w:tcBorders>
              <w:top w:val="nil"/>
              <w:left w:val="single" w:color="000000" w:sz="8" w:space="0"/>
              <w:bottom w:val="single" w:color="000000" w:sz="8" w:space="0"/>
              <w:right w:val="single" w:color="000000" w:sz="8" w:space="0"/>
            </w:tcBorders>
            <w:shd w:val="clear" w:color="auto" w:fill="auto"/>
            <w:vAlign w:val="center"/>
          </w:tcPr>
          <w:p w14:paraId="307796D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917" w:type="pct"/>
            <w:tcBorders>
              <w:top w:val="nil"/>
              <w:left w:val="single" w:color="000000" w:sz="8" w:space="0"/>
              <w:bottom w:val="single" w:color="000000" w:sz="8" w:space="0"/>
              <w:right w:val="single" w:color="000000" w:sz="8" w:space="0"/>
            </w:tcBorders>
            <w:shd w:val="clear" w:color="auto" w:fill="auto"/>
            <w:vAlign w:val="center"/>
          </w:tcPr>
          <w:p w14:paraId="7A59F5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解释权</w:t>
            </w:r>
          </w:p>
        </w:tc>
        <w:tc>
          <w:tcPr>
            <w:tcW w:w="3664" w:type="pct"/>
            <w:tcBorders>
              <w:top w:val="nil"/>
              <w:left w:val="single" w:color="000000" w:sz="8" w:space="0"/>
              <w:bottom w:val="single" w:color="000000" w:sz="8" w:space="0"/>
              <w:right w:val="single" w:color="000000" w:sz="8" w:space="0"/>
            </w:tcBorders>
            <w:shd w:val="clear" w:color="auto" w:fill="auto"/>
            <w:vAlign w:val="center"/>
          </w:tcPr>
          <w:p w14:paraId="4DF38C1B">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本文件的解释权属于采购人。</w:t>
            </w:r>
          </w:p>
        </w:tc>
      </w:tr>
    </w:tbl>
    <w:p w14:paraId="188CF625">
      <w:pPr>
        <w:spacing w:line="360" w:lineRule="auto"/>
        <w:rPr>
          <w:rFonts w:ascii="宋体" w:hAnsi="宋体"/>
          <w:color w:val="auto"/>
          <w:sz w:val="24"/>
          <w:highlight w:val="none"/>
        </w:rPr>
      </w:pPr>
    </w:p>
    <w:p w14:paraId="1B998D10">
      <w:pPr>
        <w:pStyle w:val="5"/>
        <w:rPr>
          <w:rFonts w:ascii="宋体" w:hAnsi="宋体"/>
          <w:color w:val="auto"/>
          <w:highlight w:val="none"/>
        </w:rPr>
      </w:pPr>
    </w:p>
    <w:p w14:paraId="763C7002">
      <w:pPr>
        <w:pStyle w:val="6"/>
        <w:ind w:firstLine="240"/>
        <w:rPr>
          <w:rFonts w:ascii="宋体" w:hAnsi="宋体"/>
          <w:color w:val="auto"/>
          <w:sz w:val="24"/>
          <w:highlight w:val="none"/>
        </w:rPr>
      </w:pPr>
    </w:p>
    <w:p w14:paraId="2A3443C4">
      <w:pPr>
        <w:rPr>
          <w:color w:val="auto"/>
          <w:highlight w:val="none"/>
        </w:rPr>
        <w:sectPr>
          <w:pgSz w:w="11907" w:h="16840"/>
          <w:pgMar w:top="1134" w:right="1134" w:bottom="1418" w:left="1418" w:header="510" w:footer="510" w:gutter="0"/>
          <w:cols w:space="720" w:num="1"/>
        </w:sectPr>
      </w:pPr>
    </w:p>
    <w:p w14:paraId="52514FE7">
      <w:pPr>
        <w:pStyle w:val="3"/>
        <w:rPr>
          <w:rFonts w:ascii="Times New Roman" w:hAnsi="Times New Roman" w:eastAsia="宋体"/>
          <w:sz w:val="28"/>
          <w:szCs w:val="28"/>
          <w:highlight w:val="none"/>
        </w:rPr>
      </w:pPr>
      <w:bookmarkStart w:id="6" w:name="_Toc21005"/>
      <w:bookmarkStart w:id="7" w:name="_Toc841"/>
      <w:r>
        <w:rPr>
          <w:rFonts w:ascii="Times New Roman" w:hAnsi="Times New Roman" w:eastAsia="宋体"/>
          <w:sz w:val="28"/>
          <w:szCs w:val="28"/>
          <w:highlight w:val="none"/>
        </w:rPr>
        <w:t>（一）综合说明</w:t>
      </w:r>
      <w:bookmarkEnd w:id="6"/>
      <w:bookmarkEnd w:id="7"/>
    </w:p>
    <w:p w14:paraId="147338D9">
      <w:pPr>
        <w:spacing w:line="360" w:lineRule="auto"/>
        <w:ind w:left="480"/>
        <w:rPr>
          <w:sz w:val="24"/>
          <w:highlight w:val="none"/>
        </w:rPr>
      </w:pPr>
      <w:r>
        <w:rPr>
          <w:sz w:val="24"/>
          <w:highlight w:val="none"/>
        </w:rPr>
        <w:t>1、总则</w:t>
      </w:r>
    </w:p>
    <w:p w14:paraId="23588DD6">
      <w:pPr>
        <w:spacing w:line="360" w:lineRule="auto"/>
        <w:ind w:firstLine="480" w:firstLineChars="200"/>
        <w:rPr>
          <w:sz w:val="24"/>
          <w:highlight w:val="none"/>
        </w:rPr>
      </w:pPr>
      <w:r>
        <w:rPr>
          <w:sz w:val="24"/>
          <w:highlight w:val="none"/>
        </w:rPr>
        <w:t>1.1 本次采购工作是按照象山天子岭生物能源有限公司的相关规定组织和实施的。</w:t>
      </w:r>
    </w:p>
    <w:p w14:paraId="17461CA4">
      <w:pPr>
        <w:spacing w:line="360" w:lineRule="auto"/>
        <w:ind w:firstLine="480" w:firstLineChars="200"/>
        <w:rPr>
          <w:sz w:val="24"/>
          <w:highlight w:val="none"/>
        </w:rPr>
      </w:pPr>
      <w:r>
        <w:rPr>
          <w:sz w:val="24"/>
          <w:highlight w:val="none"/>
        </w:rPr>
        <w:t>1.2 不论结果如何，供应商均应自行承担所有与编写和递交报价文件及所有参与询价采购过程中的全部费用。</w:t>
      </w:r>
    </w:p>
    <w:p w14:paraId="77C58782">
      <w:pPr>
        <w:spacing w:line="360" w:lineRule="auto"/>
        <w:ind w:firstLine="480" w:firstLineChars="200"/>
        <w:rPr>
          <w:sz w:val="24"/>
          <w:highlight w:val="none"/>
        </w:rPr>
      </w:pPr>
      <w:r>
        <w:rPr>
          <w:sz w:val="24"/>
          <w:highlight w:val="none"/>
        </w:rPr>
        <w:t>2、供应商资格要求</w:t>
      </w:r>
    </w:p>
    <w:p w14:paraId="6FEC6E73">
      <w:pPr>
        <w:autoSpaceDE w:val="0"/>
        <w:autoSpaceDN w:val="0"/>
        <w:spacing w:line="360" w:lineRule="auto"/>
        <w:ind w:firstLine="480" w:firstLineChars="200"/>
        <w:textAlignment w:val="bottom"/>
        <w:rPr>
          <w:sz w:val="24"/>
          <w:highlight w:val="none"/>
        </w:rPr>
      </w:pPr>
      <w:r>
        <w:rPr>
          <w:sz w:val="24"/>
          <w:highlight w:val="none"/>
        </w:rPr>
        <w:t>详见《询价采购公告》。</w:t>
      </w:r>
    </w:p>
    <w:p w14:paraId="5C562517">
      <w:pPr>
        <w:autoSpaceDE w:val="0"/>
        <w:autoSpaceDN w:val="0"/>
        <w:spacing w:line="360" w:lineRule="auto"/>
        <w:ind w:firstLine="480" w:firstLineChars="200"/>
        <w:textAlignment w:val="bottom"/>
        <w:rPr>
          <w:sz w:val="24"/>
          <w:highlight w:val="none"/>
        </w:rPr>
      </w:pPr>
      <w:r>
        <w:rPr>
          <w:sz w:val="24"/>
          <w:highlight w:val="none"/>
        </w:rPr>
        <w:t>3、定义</w:t>
      </w:r>
    </w:p>
    <w:p w14:paraId="6FD9D22C">
      <w:pPr>
        <w:autoSpaceDE w:val="0"/>
        <w:autoSpaceDN w:val="0"/>
        <w:spacing w:line="360" w:lineRule="auto"/>
        <w:ind w:firstLine="480" w:firstLineChars="200"/>
        <w:textAlignment w:val="bottom"/>
        <w:rPr>
          <w:sz w:val="24"/>
          <w:highlight w:val="none"/>
        </w:rPr>
      </w:pPr>
      <w:r>
        <w:rPr>
          <w:sz w:val="24"/>
          <w:highlight w:val="none"/>
        </w:rPr>
        <w:t>3.1 “采购人”系指</w:t>
      </w:r>
      <w:r>
        <w:rPr>
          <w:bCs/>
          <w:sz w:val="24"/>
          <w:highlight w:val="none"/>
        </w:rPr>
        <w:t>象山天子岭生物能源有限公司</w:t>
      </w:r>
      <w:r>
        <w:rPr>
          <w:sz w:val="24"/>
          <w:highlight w:val="none"/>
        </w:rPr>
        <w:t>。</w:t>
      </w:r>
    </w:p>
    <w:p w14:paraId="1260D4A1">
      <w:pPr>
        <w:autoSpaceDE w:val="0"/>
        <w:autoSpaceDN w:val="0"/>
        <w:spacing w:line="360" w:lineRule="auto"/>
        <w:ind w:left="482" w:leftChars="134"/>
        <w:jc w:val="left"/>
        <w:textAlignment w:val="bottom"/>
        <w:rPr>
          <w:sz w:val="24"/>
          <w:highlight w:val="none"/>
        </w:rPr>
      </w:pPr>
      <w:r>
        <w:rPr>
          <w:sz w:val="24"/>
          <w:highlight w:val="none"/>
        </w:rPr>
        <w:t>3.2 “供应商”系指向采购人提供询价采购文件所叙述的货物服务且满足供应商资格要求的独立法人。</w:t>
      </w:r>
    </w:p>
    <w:p w14:paraId="27C9D4AB">
      <w:pPr>
        <w:autoSpaceDE w:val="0"/>
        <w:autoSpaceDN w:val="0"/>
        <w:spacing w:line="360" w:lineRule="auto"/>
        <w:ind w:firstLine="480" w:firstLineChars="200"/>
        <w:jc w:val="left"/>
        <w:textAlignment w:val="bottom"/>
        <w:rPr>
          <w:sz w:val="24"/>
          <w:highlight w:val="none"/>
        </w:rPr>
      </w:pPr>
      <w:r>
        <w:rPr>
          <w:sz w:val="24"/>
          <w:highlight w:val="none"/>
        </w:rPr>
        <w:t>3.3 “服务”系指合同规定卖方须承担的各类服务以及其他类似的附随义务。</w:t>
      </w:r>
    </w:p>
    <w:p w14:paraId="04F07619">
      <w:pPr>
        <w:autoSpaceDE w:val="0"/>
        <w:autoSpaceDN w:val="0"/>
        <w:spacing w:line="360" w:lineRule="auto"/>
        <w:ind w:firstLine="480" w:firstLineChars="200"/>
        <w:textAlignment w:val="bottom"/>
        <w:rPr>
          <w:sz w:val="24"/>
          <w:highlight w:val="none"/>
        </w:rPr>
      </w:pPr>
      <w:r>
        <w:rPr>
          <w:sz w:val="24"/>
          <w:highlight w:val="none"/>
        </w:rPr>
        <w:t>3.4 “附随服务”系指根据成交合同规定成交供应商必须承担的辅助服务，如合同中规定成交供应商应承担的义务，以及合同中未规定，但依有利于合同履行原则应当由成交供应商承担的其他义务。</w:t>
      </w:r>
    </w:p>
    <w:p w14:paraId="17EF459F">
      <w:pPr>
        <w:pStyle w:val="3"/>
        <w:rPr>
          <w:rFonts w:ascii="Times New Roman" w:hAnsi="Times New Roman" w:eastAsia="宋体"/>
          <w:sz w:val="28"/>
          <w:szCs w:val="28"/>
          <w:highlight w:val="none"/>
        </w:rPr>
      </w:pPr>
      <w:bookmarkStart w:id="8" w:name="_Toc7423"/>
      <w:bookmarkStart w:id="9" w:name="_Toc31684"/>
      <w:r>
        <w:rPr>
          <w:rFonts w:ascii="Times New Roman" w:hAnsi="Times New Roman" w:eastAsia="宋体"/>
          <w:sz w:val="28"/>
          <w:szCs w:val="28"/>
          <w:highlight w:val="none"/>
        </w:rPr>
        <w:t>（二）询价采购文件说明</w:t>
      </w:r>
      <w:bookmarkEnd w:id="8"/>
      <w:bookmarkEnd w:id="9"/>
    </w:p>
    <w:p w14:paraId="514EA280">
      <w:pPr>
        <w:spacing w:line="360" w:lineRule="auto"/>
        <w:ind w:firstLine="480" w:firstLineChars="200"/>
        <w:rPr>
          <w:sz w:val="24"/>
          <w:highlight w:val="none"/>
        </w:rPr>
      </w:pPr>
      <w:r>
        <w:rPr>
          <w:sz w:val="24"/>
          <w:highlight w:val="none"/>
        </w:rPr>
        <w:t>4、询价采购文件内容</w:t>
      </w:r>
    </w:p>
    <w:p w14:paraId="50BCFC1D">
      <w:pPr>
        <w:numPr>
          <w:ilvl w:val="0"/>
          <w:numId w:val="6"/>
        </w:numPr>
        <w:spacing w:line="360" w:lineRule="auto"/>
        <w:ind w:left="0" w:firstLine="425"/>
        <w:rPr>
          <w:sz w:val="24"/>
          <w:highlight w:val="none"/>
        </w:rPr>
      </w:pPr>
      <w:r>
        <w:rPr>
          <w:sz w:val="24"/>
          <w:highlight w:val="none"/>
        </w:rPr>
        <w:t>询价采购公告</w:t>
      </w:r>
    </w:p>
    <w:p w14:paraId="7D20C8C9">
      <w:pPr>
        <w:numPr>
          <w:ilvl w:val="0"/>
          <w:numId w:val="6"/>
        </w:numPr>
        <w:spacing w:line="360" w:lineRule="auto"/>
        <w:ind w:left="0" w:firstLine="425"/>
        <w:rPr>
          <w:sz w:val="24"/>
          <w:highlight w:val="none"/>
        </w:rPr>
      </w:pPr>
      <w:r>
        <w:rPr>
          <w:sz w:val="24"/>
          <w:highlight w:val="none"/>
        </w:rPr>
        <w:t>第一章 供应商须知</w:t>
      </w:r>
    </w:p>
    <w:p w14:paraId="6DC3C891">
      <w:pPr>
        <w:numPr>
          <w:ilvl w:val="0"/>
          <w:numId w:val="6"/>
        </w:numPr>
        <w:spacing w:line="360" w:lineRule="auto"/>
        <w:ind w:left="0" w:firstLine="425"/>
        <w:rPr>
          <w:sz w:val="24"/>
          <w:highlight w:val="none"/>
        </w:rPr>
      </w:pPr>
      <w:r>
        <w:rPr>
          <w:sz w:val="24"/>
          <w:highlight w:val="none"/>
        </w:rPr>
        <w:t>第二章 采购需求书</w:t>
      </w:r>
    </w:p>
    <w:p w14:paraId="0AF26521">
      <w:pPr>
        <w:numPr>
          <w:ilvl w:val="0"/>
          <w:numId w:val="6"/>
        </w:numPr>
        <w:spacing w:line="360" w:lineRule="auto"/>
        <w:ind w:left="0" w:firstLine="425"/>
        <w:rPr>
          <w:sz w:val="24"/>
          <w:highlight w:val="none"/>
        </w:rPr>
      </w:pPr>
      <w:r>
        <w:rPr>
          <w:sz w:val="24"/>
          <w:highlight w:val="none"/>
        </w:rPr>
        <w:t>第三章 合同主要条款</w:t>
      </w:r>
    </w:p>
    <w:p w14:paraId="101E5F9C">
      <w:pPr>
        <w:numPr>
          <w:ilvl w:val="0"/>
          <w:numId w:val="6"/>
        </w:numPr>
        <w:spacing w:line="360" w:lineRule="auto"/>
        <w:ind w:left="0" w:firstLine="425"/>
        <w:rPr>
          <w:sz w:val="24"/>
          <w:highlight w:val="none"/>
        </w:rPr>
      </w:pPr>
      <w:r>
        <w:rPr>
          <w:sz w:val="24"/>
          <w:highlight w:val="none"/>
        </w:rPr>
        <w:t>第四章 附件</w:t>
      </w:r>
    </w:p>
    <w:p w14:paraId="7846951F">
      <w:pPr>
        <w:numPr>
          <w:ilvl w:val="0"/>
          <w:numId w:val="6"/>
        </w:numPr>
        <w:spacing w:line="360" w:lineRule="auto"/>
        <w:ind w:left="0" w:firstLine="425"/>
        <w:rPr>
          <w:sz w:val="24"/>
          <w:highlight w:val="none"/>
        </w:rPr>
      </w:pPr>
      <w:r>
        <w:rPr>
          <w:sz w:val="24"/>
          <w:highlight w:val="none"/>
        </w:rPr>
        <w:t>补充（答疑）文件（如有）</w:t>
      </w:r>
    </w:p>
    <w:p w14:paraId="46D3C1F8">
      <w:pPr>
        <w:spacing w:line="360" w:lineRule="auto"/>
        <w:ind w:firstLine="480"/>
        <w:rPr>
          <w:sz w:val="24"/>
          <w:highlight w:val="none"/>
        </w:rPr>
      </w:pPr>
      <w:r>
        <w:rPr>
          <w:sz w:val="24"/>
          <w:highlight w:val="none"/>
        </w:rPr>
        <w:t>5、询价采购文件的澄清和修改</w:t>
      </w:r>
    </w:p>
    <w:p w14:paraId="44C51CBD">
      <w:pPr>
        <w:spacing w:line="360" w:lineRule="auto"/>
        <w:ind w:firstLine="480"/>
        <w:rPr>
          <w:sz w:val="24"/>
          <w:highlight w:val="none"/>
        </w:rPr>
      </w:pPr>
      <w:r>
        <w:rPr>
          <w:sz w:val="24"/>
          <w:highlight w:val="none"/>
        </w:rPr>
        <w:t>5.1 供应商对询价采购文件如有疑点，应于</w:t>
      </w:r>
      <w:r>
        <w:rPr>
          <w:rFonts w:hint="eastAsia"/>
          <w:sz w:val="24"/>
          <w:highlight w:val="none"/>
          <w:lang w:eastAsia="zh-CN"/>
        </w:rPr>
        <w:t>202</w:t>
      </w:r>
      <w:r>
        <w:rPr>
          <w:rFonts w:hint="eastAsia"/>
          <w:sz w:val="24"/>
          <w:highlight w:val="none"/>
          <w:lang w:val="en-US" w:eastAsia="zh-CN"/>
        </w:rPr>
        <w:t>5</w:t>
      </w:r>
      <w:r>
        <w:rPr>
          <w:rFonts w:hint="eastAsia"/>
          <w:sz w:val="24"/>
          <w:highlight w:val="none"/>
          <w:lang w:eastAsia="zh-CN"/>
        </w:rPr>
        <w:t>年</w:t>
      </w:r>
      <w:r>
        <w:rPr>
          <w:rFonts w:hint="eastAsia"/>
          <w:sz w:val="24"/>
          <w:highlight w:val="none"/>
          <w:lang w:val="en-US" w:eastAsia="zh-CN"/>
        </w:rPr>
        <w:t>6</w:t>
      </w:r>
      <w:r>
        <w:rPr>
          <w:rFonts w:hint="eastAsia"/>
          <w:sz w:val="24"/>
          <w:highlight w:val="none"/>
          <w:lang w:eastAsia="zh-CN"/>
        </w:rPr>
        <w:t>月</w:t>
      </w:r>
      <w:r>
        <w:rPr>
          <w:rFonts w:hint="eastAsia"/>
          <w:sz w:val="24"/>
          <w:highlight w:val="none"/>
          <w:lang w:val="en-US" w:eastAsia="zh-CN"/>
        </w:rPr>
        <w:t>23</w:t>
      </w:r>
      <w:r>
        <w:rPr>
          <w:rFonts w:hint="eastAsia"/>
          <w:sz w:val="24"/>
          <w:highlight w:val="none"/>
          <w:lang w:eastAsia="zh-CN"/>
        </w:rPr>
        <w:t>日</w:t>
      </w:r>
      <w:r>
        <w:rPr>
          <w:sz w:val="24"/>
          <w:highlight w:val="none"/>
        </w:rPr>
        <w:t>前以书面形式（包括电邮、传真等，加盖单位公章）向采购人提出质疑。同时视情作出是否延长报价文件递交截止时间的决定。</w:t>
      </w:r>
    </w:p>
    <w:p w14:paraId="58EC49BD">
      <w:pPr>
        <w:spacing w:line="360" w:lineRule="auto"/>
        <w:ind w:firstLine="480"/>
        <w:rPr>
          <w:sz w:val="24"/>
          <w:highlight w:val="none"/>
        </w:rPr>
      </w:pPr>
      <w:r>
        <w:rPr>
          <w:sz w:val="24"/>
          <w:highlight w:val="none"/>
        </w:rPr>
        <w:t>5.2 采购人可主动对询价采购文件进行修改。</w:t>
      </w:r>
    </w:p>
    <w:p w14:paraId="7BD5B1A5">
      <w:pPr>
        <w:pStyle w:val="3"/>
        <w:rPr>
          <w:rFonts w:ascii="Times New Roman" w:hAnsi="Times New Roman" w:eastAsia="宋体"/>
          <w:sz w:val="28"/>
          <w:szCs w:val="28"/>
          <w:highlight w:val="none"/>
        </w:rPr>
      </w:pPr>
      <w:bookmarkStart w:id="10" w:name="_Toc24144"/>
      <w:bookmarkStart w:id="11" w:name="_Toc19143"/>
      <w:r>
        <w:rPr>
          <w:rFonts w:ascii="Times New Roman" w:hAnsi="Times New Roman" w:eastAsia="宋体"/>
          <w:sz w:val="28"/>
          <w:szCs w:val="28"/>
          <w:highlight w:val="none"/>
        </w:rPr>
        <w:t>（三）报价文件的编制</w:t>
      </w:r>
      <w:bookmarkEnd w:id="10"/>
      <w:bookmarkEnd w:id="11"/>
    </w:p>
    <w:p w14:paraId="500D0CEA">
      <w:pPr>
        <w:spacing w:line="360" w:lineRule="auto"/>
        <w:ind w:firstLine="480" w:firstLineChars="200"/>
        <w:rPr>
          <w:sz w:val="24"/>
          <w:highlight w:val="none"/>
        </w:rPr>
      </w:pPr>
      <w:r>
        <w:rPr>
          <w:sz w:val="24"/>
          <w:highlight w:val="none"/>
        </w:rPr>
        <w:t>6、供应商应仔细阅读询价采购文件中的所有内容，按照询价采购文件要求编制报价文件，并保证报价文件的真实性，所有文件资料必须是针对本次询价采购。</w:t>
      </w:r>
    </w:p>
    <w:p w14:paraId="1FB53E28">
      <w:pPr>
        <w:spacing w:line="360" w:lineRule="auto"/>
        <w:ind w:firstLine="480" w:firstLineChars="200"/>
        <w:rPr>
          <w:sz w:val="24"/>
          <w:highlight w:val="none"/>
        </w:rPr>
      </w:pPr>
      <w:r>
        <w:rPr>
          <w:sz w:val="24"/>
          <w:highlight w:val="none"/>
        </w:rPr>
        <w:t>7、报价文件的组成</w:t>
      </w:r>
    </w:p>
    <w:p w14:paraId="071E5382">
      <w:pPr>
        <w:numPr>
          <w:ilvl w:val="0"/>
          <w:numId w:val="7"/>
        </w:numPr>
        <w:spacing w:line="360" w:lineRule="auto"/>
        <w:ind w:left="0" w:firstLine="425"/>
        <w:rPr>
          <w:b/>
          <w:sz w:val="24"/>
          <w:highlight w:val="none"/>
        </w:rPr>
      </w:pPr>
      <w:r>
        <w:rPr>
          <w:b/>
          <w:sz w:val="24"/>
          <w:highlight w:val="none"/>
        </w:rPr>
        <w:t>★承诺函（附件一）；</w:t>
      </w:r>
    </w:p>
    <w:p w14:paraId="317666F0">
      <w:pPr>
        <w:numPr>
          <w:ilvl w:val="0"/>
          <w:numId w:val="7"/>
        </w:numPr>
        <w:spacing w:line="360" w:lineRule="auto"/>
        <w:ind w:left="0" w:firstLine="425"/>
        <w:rPr>
          <w:b/>
          <w:sz w:val="24"/>
          <w:highlight w:val="none"/>
        </w:rPr>
      </w:pPr>
      <w:r>
        <w:rPr>
          <w:b/>
          <w:sz w:val="24"/>
          <w:highlight w:val="none"/>
        </w:rPr>
        <w:t>★报价一览表（附件二）；</w:t>
      </w:r>
    </w:p>
    <w:p w14:paraId="2657CE52">
      <w:pPr>
        <w:numPr>
          <w:ilvl w:val="0"/>
          <w:numId w:val="7"/>
        </w:numPr>
        <w:spacing w:line="360" w:lineRule="auto"/>
        <w:ind w:left="0" w:firstLine="425"/>
        <w:rPr>
          <w:b/>
          <w:sz w:val="24"/>
          <w:highlight w:val="none"/>
        </w:rPr>
      </w:pPr>
      <w:r>
        <w:rPr>
          <w:b/>
          <w:sz w:val="24"/>
          <w:highlight w:val="none"/>
        </w:rPr>
        <w:t>★营业执照复印件并加盖公章（附件三）；</w:t>
      </w:r>
    </w:p>
    <w:p w14:paraId="1192DE0F">
      <w:pPr>
        <w:numPr>
          <w:ilvl w:val="0"/>
          <w:numId w:val="7"/>
        </w:numPr>
        <w:spacing w:line="360" w:lineRule="auto"/>
        <w:ind w:left="0" w:firstLine="425"/>
        <w:rPr>
          <w:b/>
          <w:sz w:val="24"/>
          <w:highlight w:val="none"/>
        </w:rPr>
      </w:pPr>
      <w:r>
        <w:rPr>
          <w:b/>
          <w:sz w:val="24"/>
          <w:highlight w:val="none"/>
        </w:rPr>
        <w:t>★法定代表人授权书（附件四；法定代表人参加采购会议的，无须提供授权书）；</w:t>
      </w:r>
    </w:p>
    <w:p w14:paraId="4A5D96C0">
      <w:pPr>
        <w:numPr>
          <w:ilvl w:val="0"/>
          <w:numId w:val="7"/>
        </w:numPr>
        <w:spacing w:line="360" w:lineRule="auto"/>
        <w:ind w:left="0" w:firstLine="425"/>
        <w:rPr>
          <w:b/>
          <w:sz w:val="24"/>
          <w:highlight w:val="none"/>
        </w:rPr>
      </w:pPr>
      <w:r>
        <w:rPr>
          <w:b/>
          <w:sz w:val="24"/>
          <w:highlight w:val="none"/>
        </w:rPr>
        <w:t>★供应商基本情况表（附件五）；</w:t>
      </w:r>
    </w:p>
    <w:p w14:paraId="75E44E3F">
      <w:pPr>
        <w:numPr>
          <w:ilvl w:val="0"/>
          <w:numId w:val="7"/>
        </w:numPr>
        <w:spacing w:line="360" w:lineRule="auto"/>
        <w:ind w:left="0" w:firstLine="425"/>
        <w:rPr>
          <w:b/>
          <w:sz w:val="24"/>
          <w:highlight w:val="none"/>
        </w:rPr>
      </w:pPr>
      <w:r>
        <w:rPr>
          <w:b/>
          <w:sz w:val="24"/>
          <w:highlight w:val="none"/>
        </w:rPr>
        <w:t>★业绩证明（附件六）；</w:t>
      </w:r>
    </w:p>
    <w:p w14:paraId="0B2D1D7D">
      <w:pPr>
        <w:numPr>
          <w:ilvl w:val="0"/>
          <w:numId w:val="7"/>
        </w:numPr>
        <w:spacing w:line="360" w:lineRule="auto"/>
        <w:ind w:left="0" w:firstLine="425"/>
        <w:rPr>
          <w:b/>
          <w:sz w:val="24"/>
          <w:highlight w:val="none"/>
        </w:rPr>
      </w:pPr>
      <w:r>
        <w:rPr>
          <w:b/>
          <w:sz w:val="24"/>
          <w:highlight w:val="none"/>
        </w:rPr>
        <w:t>★“信用中国”（www.creditchina.gov.cn）记录查询网页截图（附件</w:t>
      </w:r>
      <w:r>
        <w:rPr>
          <w:rFonts w:hint="eastAsia"/>
          <w:b/>
          <w:sz w:val="24"/>
          <w:highlight w:val="none"/>
          <w:lang w:val="en-US" w:eastAsia="zh-CN"/>
        </w:rPr>
        <w:t>七</w:t>
      </w:r>
      <w:r>
        <w:rPr>
          <w:b/>
          <w:sz w:val="24"/>
          <w:highlight w:val="none"/>
        </w:rPr>
        <w:t>）；</w:t>
      </w:r>
    </w:p>
    <w:p w14:paraId="5CD10020">
      <w:pPr>
        <w:numPr>
          <w:ilvl w:val="0"/>
          <w:numId w:val="7"/>
        </w:numPr>
        <w:spacing w:line="360" w:lineRule="auto"/>
        <w:ind w:left="0" w:firstLine="425"/>
        <w:rPr>
          <w:b/>
          <w:sz w:val="24"/>
          <w:highlight w:val="none"/>
        </w:rPr>
      </w:pPr>
      <w:r>
        <w:rPr>
          <w:b/>
          <w:sz w:val="24"/>
          <w:highlight w:val="none"/>
        </w:rPr>
        <w:t>★中国政府采购网（www.ccgp.gov.cn/search/cr/）记录查询网页截图（附件</w:t>
      </w:r>
      <w:r>
        <w:rPr>
          <w:rFonts w:hint="eastAsia"/>
          <w:b/>
          <w:sz w:val="24"/>
          <w:highlight w:val="none"/>
          <w:lang w:val="en-US" w:eastAsia="zh-CN"/>
        </w:rPr>
        <w:t>八</w:t>
      </w:r>
      <w:r>
        <w:rPr>
          <w:b/>
          <w:sz w:val="24"/>
          <w:highlight w:val="none"/>
        </w:rPr>
        <w:t>）；</w:t>
      </w:r>
    </w:p>
    <w:p w14:paraId="58FEC2E9">
      <w:pPr>
        <w:numPr>
          <w:ilvl w:val="0"/>
          <w:numId w:val="7"/>
        </w:numPr>
        <w:spacing w:line="360" w:lineRule="auto"/>
        <w:ind w:left="0" w:firstLine="425"/>
        <w:rPr>
          <w:b/>
          <w:sz w:val="24"/>
          <w:highlight w:val="none"/>
        </w:rPr>
      </w:pPr>
      <w:r>
        <w:rPr>
          <w:b/>
          <w:sz w:val="24"/>
          <w:highlight w:val="none"/>
        </w:rPr>
        <w:t>★诚信廉洁承诺函（附件</w:t>
      </w:r>
      <w:r>
        <w:rPr>
          <w:rFonts w:hint="eastAsia"/>
          <w:b/>
          <w:sz w:val="24"/>
          <w:highlight w:val="none"/>
          <w:lang w:val="en-US" w:eastAsia="zh-CN"/>
        </w:rPr>
        <w:t>九</w:t>
      </w:r>
      <w:r>
        <w:rPr>
          <w:b/>
          <w:sz w:val="24"/>
          <w:highlight w:val="none"/>
        </w:rPr>
        <w:t>）；</w:t>
      </w:r>
    </w:p>
    <w:p w14:paraId="049D58B5">
      <w:pPr>
        <w:numPr>
          <w:ilvl w:val="0"/>
          <w:numId w:val="7"/>
        </w:numPr>
        <w:spacing w:line="360" w:lineRule="auto"/>
        <w:ind w:left="0" w:firstLine="425"/>
        <w:rPr>
          <w:b/>
          <w:sz w:val="24"/>
          <w:highlight w:val="none"/>
        </w:rPr>
      </w:pPr>
      <w:r>
        <w:rPr>
          <w:rFonts w:hint="eastAsia"/>
          <w:b/>
          <w:sz w:val="24"/>
          <w:highlight w:val="none"/>
        </w:rPr>
        <w:t>退还投标保证金申请书（不需要装订在</w:t>
      </w:r>
      <w:r>
        <w:rPr>
          <w:rFonts w:hint="eastAsia"/>
          <w:b/>
          <w:sz w:val="24"/>
          <w:highlight w:val="none"/>
          <w:lang w:val="en-US" w:eastAsia="zh-CN"/>
        </w:rPr>
        <w:t>报价</w:t>
      </w:r>
      <w:r>
        <w:rPr>
          <w:rFonts w:hint="eastAsia"/>
          <w:b/>
          <w:sz w:val="24"/>
          <w:highlight w:val="none"/>
        </w:rPr>
        <w:t>文件当中）</w:t>
      </w:r>
      <w:r>
        <w:rPr>
          <w:rFonts w:hint="eastAsia"/>
          <w:b/>
          <w:sz w:val="24"/>
          <w:highlight w:val="none"/>
          <w:lang w:eastAsia="zh-CN"/>
        </w:rPr>
        <w:t>；</w:t>
      </w:r>
    </w:p>
    <w:p w14:paraId="46CEE157">
      <w:pPr>
        <w:numPr>
          <w:ilvl w:val="0"/>
          <w:numId w:val="7"/>
        </w:numPr>
        <w:spacing w:line="360" w:lineRule="auto"/>
        <w:ind w:left="0" w:firstLine="425"/>
        <w:rPr>
          <w:b/>
          <w:sz w:val="24"/>
          <w:highlight w:val="none"/>
        </w:rPr>
      </w:pPr>
      <w:r>
        <w:rPr>
          <w:b/>
          <w:sz w:val="24"/>
          <w:highlight w:val="none"/>
        </w:rPr>
        <w:t>供应商认为需要提供的其他文件和资料。</w:t>
      </w:r>
    </w:p>
    <w:p w14:paraId="09A78E9D">
      <w:pPr>
        <w:spacing w:line="360" w:lineRule="auto"/>
        <w:ind w:firstLine="723" w:firstLineChars="300"/>
        <w:rPr>
          <w:sz w:val="24"/>
          <w:highlight w:val="none"/>
        </w:rPr>
      </w:pPr>
      <w:r>
        <w:rPr>
          <w:b/>
          <w:sz w:val="24"/>
          <w:highlight w:val="none"/>
        </w:rPr>
        <w:t>以上所需的各种证书、证件、证明、执照若系复印件，须在复印件上盖上有效的供应商公章</w:t>
      </w:r>
      <w:r>
        <w:rPr>
          <w:sz w:val="24"/>
          <w:highlight w:val="none"/>
        </w:rPr>
        <w:t>。</w:t>
      </w:r>
    </w:p>
    <w:p w14:paraId="7C16E5DD">
      <w:pPr>
        <w:spacing w:line="360" w:lineRule="auto"/>
        <w:ind w:firstLine="472" w:firstLineChars="196"/>
        <w:rPr>
          <w:sz w:val="24"/>
          <w:highlight w:val="none"/>
        </w:rPr>
      </w:pPr>
      <w:r>
        <w:rPr>
          <w:b/>
          <w:sz w:val="24"/>
          <w:highlight w:val="none"/>
        </w:rPr>
        <w:t>询价采购文件中部分带“★”的条款，为采购的实质性要求和条件，对询价采购文件中带“★”条款的响应必须满足询价采购文件注明的要求，否则经询价采购评审小组认定后按无效响应处理。</w:t>
      </w:r>
    </w:p>
    <w:p w14:paraId="157D3E68">
      <w:pPr>
        <w:spacing w:line="360" w:lineRule="auto"/>
        <w:ind w:firstLine="480" w:firstLineChars="200"/>
        <w:rPr>
          <w:sz w:val="24"/>
          <w:highlight w:val="none"/>
        </w:rPr>
      </w:pPr>
      <w:r>
        <w:rPr>
          <w:sz w:val="24"/>
          <w:highlight w:val="none"/>
        </w:rPr>
        <w:t>8、响应</w:t>
      </w:r>
    </w:p>
    <w:p w14:paraId="00CFDDA6">
      <w:pPr>
        <w:spacing w:line="360" w:lineRule="auto"/>
        <w:ind w:firstLine="480" w:firstLineChars="200"/>
        <w:rPr>
          <w:sz w:val="24"/>
          <w:highlight w:val="none"/>
        </w:rPr>
      </w:pPr>
      <w:r>
        <w:rPr>
          <w:sz w:val="24"/>
          <w:highlight w:val="none"/>
        </w:rPr>
        <w:t>8.1 供应商应根据《第二章采购需求书》规定的供货和责任范围以及合同条款所列内容等，供应商应对本采购文件规定数量的货物及要求进行响应。</w:t>
      </w:r>
    </w:p>
    <w:p w14:paraId="4176CFD1">
      <w:pPr>
        <w:pStyle w:val="7"/>
        <w:adjustRightInd w:val="0"/>
        <w:snapToGrid w:val="0"/>
        <w:spacing w:line="360" w:lineRule="auto"/>
        <w:ind w:firstLine="435"/>
        <w:rPr>
          <w:rFonts w:ascii="Times New Roman" w:hAnsi="Times New Roman"/>
          <w:sz w:val="24"/>
          <w:highlight w:val="none"/>
        </w:rPr>
      </w:pPr>
      <w:r>
        <w:rPr>
          <w:rFonts w:ascii="Times New Roman" w:hAnsi="Times New Roman"/>
          <w:sz w:val="24"/>
          <w:highlight w:val="none"/>
        </w:rPr>
        <w:t xml:space="preserve">8.2 </w:t>
      </w:r>
      <w:r>
        <w:rPr>
          <w:rFonts w:hint="eastAsia" w:ascii="Times New Roman" w:hAnsi="Times New Roman"/>
          <w:sz w:val="24"/>
          <w:highlight w:val="none"/>
        </w:rPr>
        <w:t>供应商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p w14:paraId="060F6CB5">
      <w:pPr>
        <w:spacing w:line="360" w:lineRule="auto"/>
        <w:ind w:left="4" w:leftChars="1" w:firstLine="480" w:firstLineChars="200"/>
        <w:rPr>
          <w:sz w:val="24"/>
          <w:highlight w:val="none"/>
        </w:rPr>
      </w:pPr>
      <w:r>
        <w:rPr>
          <w:sz w:val="24"/>
          <w:highlight w:val="none"/>
        </w:rPr>
        <w:t>8.3 供应商须按询价采购文件所附的相关文件格式逐项填报单价和总价等。</w:t>
      </w:r>
    </w:p>
    <w:p w14:paraId="18CA0A49">
      <w:pPr>
        <w:spacing w:line="360" w:lineRule="auto"/>
        <w:ind w:left="4" w:leftChars="1" w:firstLine="480" w:firstLineChars="200"/>
        <w:rPr>
          <w:sz w:val="24"/>
          <w:highlight w:val="none"/>
        </w:rPr>
      </w:pPr>
      <w:r>
        <w:rPr>
          <w:sz w:val="24"/>
          <w:highlight w:val="none"/>
        </w:rPr>
        <w:t>8.4 如单价与总价不符时，</w:t>
      </w:r>
      <w:r>
        <w:rPr>
          <w:sz w:val="24"/>
          <w:highlight w:val="none"/>
          <w:lang w:val="zh-CN"/>
        </w:rPr>
        <w:t>以</w:t>
      </w:r>
      <w:r>
        <w:rPr>
          <w:sz w:val="24"/>
          <w:highlight w:val="none"/>
        </w:rPr>
        <w:t>总</w:t>
      </w:r>
      <w:r>
        <w:rPr>
          <w:sz w:val="24"/>
          <w:highlight w:val="none"/>
          <w:lang w:val="zh-CN"/>
        </w:rPr>
        <w:t>价为准，</w:t>
      </w:r>
      <w:r>
        <w:rPr>
          <w:sz w:val="24"/>
          <w:highlight w:val="none"/>
        </w:rPr>
        <w:t>修改单价；大写与小写不符时，以大写为准。</w:t>
      </w:r>
    </w:p>
    <w:p w14:paraId="19F964A5">
      <w:pPr>
        <w:tabs>
          <w:tab w:val="left" w:pos="0"/>
        </w:tabs>
        <w:spacing w:line="360" w:lineRule="auto"/>
        <w:ind w:firstLine="480" w:firstLineChars="200"/>
        <w:rPr>
          <w:sz w:val="24"/>
          <w:highlight w:val="none"/>
        </w:rPr>
      </w:pPr>
      <w:r>
        <w:rPr>
          <w:sz w:val="24"/>
          <w:highlight w:val="none"/>
        </w:rPr>
        <w:t>8.5 采购人要求分项响应是为了方便评审，但在任何情况下不限制采购人以其认为最合适的条款签订合同的权利。</w:t>
      </w:r>
    </w:p>
    <w:p w14:paraId="0F96C46B">
      <w:pPr>
        <w:spacing w:line="360" w:lineRule="auto"/>
        <w:ind w:firstLine="480" w:firstLineChars="200"/>
        <w:rPr>
          <w:sz w:val="24"/>
          <w:highlight w:val="none"/>
        </w:rPr>
      </w:pPr>
      <w:r>
        <w:rPr>
          <w:sz w:val="24"/>
          <w:highlight w:val="none"/>
        </w:rPr>
        <w:t>9、响应保证金</w:t>
      </w:r>
    </w:p>
    <w:p w14:paraId="52684371">
      <w:pPr>
        <w:spacing w:line="360" w:lineRule="auto"/>
        <w:ind w:firstLine="480" w:firstLineChars="200"/>
        <w:rPr>
          <w:rFonts w:hint="eastAsia"/>
          <w:sz w:val="24"/>
          <w:highlight w:val="none"/>
          <w:lang w:val="en-US" w:eastAsia="zh-CN"/>
        </w:rPr>
      </w:pPr>
      <w:r>
        <w:rPr>
          <w:rFonts w:hint="eastAsia"/>
          <w:sz w:val="24"/>
          <w:highlight w:val="none"/>
          <w:lang w:val="en-US" w:eastAsia="zh-CN"/>
        </w:rPr>
        <w:t>1300元。</w:t>
      </w:r>
    </w:p>
    <w:p w14:paraId="00D3F484">
      <w:pPr>
        <w:spacing w:line="360" w:lineRule="auto"/>
        <w:ind w:firstLine="480" w:firstLineChars="200"/>
        <w:rPr>
          <w:sz w:val="24"/>
          <w:highlight w:val="none"/>
        </w:rPr>
      </w:pPr>
      <w:r>
        <w:rPr>
          <w:sz w:val="24"/>
          <w:highlight w:val="none"/>
        </w:rPr>
        <w:t>10、报价文件的签署和规定</w:t>
      </w:r>
    </w:p>
    <w:p w14:paraId="5E5822CD">
      <w:pPr>
        <w:spacing w:line="360" w:lineRule="auto"/>
        <w:ind w:firstLine="480"/>
        <w:rPr>
          <w:sz w:val="24"/>
          <w:highlight w:val="none"/>
        </w:rPr>
      </w:pPr>
      <w:r>
        <w:rPr>
          <w:sz w:val="24"/>
          <w:highlight w:val="none"/>
        </w:rPr>
        <w:t>10.1 装订及签署</w:t>
      </w:r>
    </w:p>
    <w:p w14:paraId="763BEAD0">
      <w:pPr>
        <w:numPr>
          <w:ilvl w:val="0"/>
          <w:numId w:val="8"/>
        </w:numPr>
        <w:spacing w:line="360" w:lineRule="auto"/>
        <w:ind w:left="0" w:firstLine="425"/>
        <w:rPr>
          <w:sz w:val="24"/>
          <w:highlight w:val="none"/>
        </w:rPr>
      </w:pPr>
      <w:r>
        <w:rPr>
          <w:sz w:val="24"/>
          <w:highlight w:val="none"/>
        </w:rPr>
        <w:t>按照报价文件的组成，装订成册。</w:t>
      </w:r>
    </w:p>
    <w:p w14:paraId="73AC18C8">
      <w:pPr>
        <w:numPr>
          <w:ilvl w:val="0"/>
          <w:numId w:val="8"/>
        </w:numPr>
        <w:spacing w:line="360" w:lineRule="auto"/>
        <w:ind w:left="0" w:firstLine="425"/>
        <w:rPr>
          <w:sz w:val="24"/>
          <w:highlight w:val="none"/>
        </w:rPr>
      </w:pPr>
      <w:r>
        <w:rPr>
          <w:sz w:val="24"/>
          <w:highlight w:val="none"/>
        </w:rPr>
        <w:t>询价采购文件中规定的须加盖供应商公章并由法定代表人或委托代理人签署或盖章的资料文件都须按要求盖章或签署。</w:t>
      </w:r>
    </w:p>
    <w:p w14:paraId="2C3FAE2A">
      <w:pPr>
        <w:numPr>
          <w:ilvl w:val="0"/>
          <w:numId w:val="8"/>
        </w:numPr>
        <w:spacing w:line="360" w:lineRule="auto"/>
        <w:ind w:left="0" w:firstLine="425"/>
        <w:rPr>
          <w:sz w:val="24"/>
          <w:highlight w:val="none"/>
        </w:rPr>
      </w:pPr>
      <w:r>
        <w:rPr>
          <w:sz w:val="24"/>
          <w:highlight w:val="none"/>
        </w:rPr>
        <w:t>供应商应写全称。</w:t>
      </w:r>
    </w:p>
    <w:p w14:paraId="22093E54">
      <w:pPr>
        <w:spacing w:line="360" w:lineRule="auto"/>
        <w:ind w:firstLine="480" w:firstLineChars="200"/>
        <w:rPr>
          <w:sz w:val="24"/>
          <w:highlight w:val="none"/>
        </w:rPr>
      </w:pPr>
      <w:r>
        <w:rPr>
          <w:sz w:val="24"/>
          <w:highlight w:val="none"/>
        </w:rPr>
        <w:t>10.2 报价文件的份数</w:t>
      </w:r>
    </w:p>
    <w:p w14:paraId="57A8D16A">
      <w:pPr>
        <w:spacing w:line="360" w:lineRule="auto"/>
        <w:ind w:firstLine="480"/>
        <w:rPr>
          <w:sz w:val="24"/>
          <w:highlight w:val="none"/>
          <w:u w:val="single"/>
        </w:rPr>
      </w:pPr>
      <w:r>
        <w:rPr>
          <w:sz w:val="24"/>
          <w:highlight w:val="none"/>
          <w:u w:val="single"/>
        </w:rPr>
        <w:t>报价文件的份数见前附表。报价文件封面须有“项目名称、采购编号、供应商名称及正本或副本”等字样。</w:t>
      </w:r>
    </w:p>
    <w:p w14:paraId="0276B27E">
      <w:pPr>
        <w:spacing w:line="360" w:lineRule="auto"/>
        <w:ind w:firstLine="480" w:firstLineChars="200"/>
        <w:rPr>
          <w:sz w:val="24"/>
          <w:highlight w:val="none"/>
        </w:rPr>
      </w:pPr>
      <w:r>
        <w:rPr>
          <w:sz w:val="24"/>
          <w:highlight w:val="none"/>
        </w:rPr>
        <w:t>10.3 包装及密封</w:t>
      </w:r>
    </w:p>
    <w:p w14:paraId="1EAA3D3A">
      <w:pPr>
        <w:spacing w:line="360" w:lineRule="auto"/>
        <w:ind w:firstLine="480" w:firstLineChars="200"/>
        <w:rPr>
          <w:sz w:val="24"/>
          <w:highlight w:val="none"/>
        </w:rPr>
      </w:pPr>
      <w:r>
        <w:rPr>
          <w:sz w:val="24"/>
          <w:highlight w:val="none"/>
          <w:u w:val="single"/>
        </w:rPr>
        <w:t>将装订好的报价文件正本和副本一起密封包装在一个密封袋内，密封袋上须标注“项目名称、采购编号、供应商名称及地址”并加盖供应商公章、法定代表人或法定代表人授权代表签署或盖章。</w:t>
      </w:r>
    </w:p>
    <w:p w14:paraId="03FBAF6C">
      <w:pPr>
        <w:pStyle w:val="3"/>
        <w:rPr>
          <w:rFonts w:ascii="Times New Roman" w:hAnsi="Times New Roman" w:eastAsia="宋体"/>
          <w:sz w:val="28"/>
          <w:szCs w:val="28"/>
          <w:highlight w:val="none"/>
        </w:rPr>
      </w:pPr>
      <w:bookmarkStart w:id="12" w:name="_Toc28454"/>
      <w:bookmarkStart w:id="13" w:name="_Toc20225"/>
      <w:r>
        <w:rPr>
          <w:rFonts w:ascii="Times New Roman" w:hAnsi="Times New Roman" w:eastAsia="宋体"/>
          <w:sz w:val="28"/>
          <w:szCs w:val="28"/>
          <w:highlight w:val="none"/>
        </w:rPr>
        <w:t>（四）报价文件的递交</w:t>
      </w:r>
      <w:bookmarkEnd w:id="12"/>
      <w:bookmarkEnd w:id="13"/>
    </w:p>
    <w:p w14:paraId="69856214">
      <w:pPr>
        <w:spacing w:line="360" w:lineRule="auto"/>
        <w:ind w:firstLine="480" w:firstLineChars="200"/>
        <w:rPr>
          <w:sz w:val="24"/>
          <w:highlight w:val="none"/>
        </w:rPr>
      </w:pPr>
      <w:r>
        <w:rPr>
          <w:sz w:val="24"/>
          <w:highlight w:val="none"/>
        </w:rPr>
        <w:t>11、报价文件递交截止时间</w:t>
      </w:r>
    </w:p>
    <w:p w14:paraId="3D107AAC">
      <w:pPr>
        <w:spacing w:line="360" w:lineRule="auto"/>
        <w:ind w:firstLine="480" w:firstLineChars="200"/>
        <w:rPr>
          <w:sz w:val="24"/>
          <w:highlight w:val="none"/>
        </w:rPr>
      </w:pPr>
      <w:r>
        <w:rPr>
          <w:sz w:val="24"/>
          <w:highlight w:val="none"/>
        </w:rPr>
        <w:t>11.1 报价文件必须在规定的递交截止时间前送达指定的地点；</w:t>
      </w:r>
    </w:p>
    <w:p w14:paraId="3C3EF76B">
      <w:pPr>
        <w:spacing w:line="360" w:lineRule="auto"/>
        <w:ind w:firstLine="480" w:firstLineChars="200"/>
        <w:rPr>
          <w:sz w:val="24"/>
          <w:highlight w:val="none"/>
        </w:rPr>
      </w:pPr>
      <w:r>
        <w:rPr>
          <w:sz w:val="24"/>
          <w:highlight w:val="none"/>
        </w:rPr>
        <w:t>11.2 采购人如因故推迟报价文件递交时间的，应以书面形式通知所有供应商。在这种情况下，采购人和供应商的权利和义务将受到新的截止时间的约束。</w:t>
      </w:r>
    </w:p>
    <w:p w14:paraId="56A6A307">
      <w:pPr>
        <w:spacing w:line="360" w:lineRule="auto"/>
        <w:ind w:firstLine="480" w:firstLineChars="200"/>
        <w:rPr>
          <w:sz w:val="24"/>
          <w:highlight w:val="none"/>
        </w:rPr>
      </w:pPr>
      <w:r>
        <w:rPr>
          <w:sz w:val="24"/>
          <w:highlight w:val="none"/>
        </w:rPr>
        <w:t xml:space="preserve">11.3 </w:t>
      </w:r>
      <w:r>
        <w:rPr>
          <w:sz w:val="24"/>
          <w:highlight w:val="none"/>
          <w:lang w:val="zh-CN"/>
        </w:rPr>
        <w:t>截止</w:t>
      </w:r>
      <w:r>
        <w:rPr>
          <w:sz w:val="24"/>
          <w:highlight w:val="none"/>
        </w:rPr>
        <w:t>报价文件递交截止时间，参加该项目响应的供应商在3家或以上的，询价采购继续进行。</w:t>
      </w:r>
      <w:r>
        <w:rPr>
          <w:sz w:val="24"/>
          <w:highlight w:val="none"/>
          <w:lang w:val="zh-CN"/>
        </w:rPr>
        <w:t>截止</w:t>
      </w:r>
      <w:r>
        <w:rPr>
          <w:sz w:val="24"/>
          <w:highlight w:val="none"/>
        </w:rPr>
        <w:t>报价文件递交截止时间，参加该项目响应的供应商小于3家的，将终止本次询价采购活动。</w:t>
      </w:r>
    </w:p>
    <w:p w14:paraId="51C9379B">
      <w:pPr>
        <w:spacing w:line="360" w:lineRule="auto"/>
        <w:ind w:firstLine="480" w:firstLineChars="200"/>
        <w:rPr>
          <w:sz w:val="24"/>
          <w:highlight w:val="none"/>
        </w:rPr>
      </w:pPr>
      <w:r>
        <w:rPr>
          <w:sz w:val="24"/>
          <w:highlight w:val="none"/>
        </w:rPr>
        <w:t>12、报价文件有如下情形之一的，采购人有权不予受理：</w:t>
      </w:r>
    </w:p>
    <w:p w14:paraId="2F671D03">
      <w:pPr>
        <w:numPr>
          <w:ilvl w:val="0"/>
          <w:numId w:val="9"/>
        </w:numPr>
        <w:spacing w:line="360" w:lineRule="auto"/>
        <w:ind w:left="0" w:firstLine="425"/>
        <w:rPr>
          <w:sz w:val="24"/>
          <w:highlight w:val="none"/>
        </w:rPr>
      </w:pPr>
      <w:r>
        <w:rPr>
          <w:sz w:val="24"/>
          <w:highlight w:val="none"/>
        </w:rPr>
        <w:t>逾期送达的或者未送达指定地点的；</w:t>
      </w:r>
    </w:p>
    <w:p w14:paraId="21D0BE8E">
      <w:pPr>
        <w:numPr>
          <w:ilvl w:val="0"/>
          <w:numId w:val="9"/>
        </w:numPr>
        <w:spacing w:line="360" w:lineRule="auto"/>
        <w:ind w:left="0" w:firstLine="425"/>
        <w:rPr>
          <w:sz w:val="24"/>
          <w:highlight w:val="none"/>
        </w:rPr>
      </w:pPr>
      <w:r>
        <w:rPr>
          <w:sz w:val="24"/>
          <w:highlight w:val="none"/>
        </w:rPr>
        <w:t>未密封的。</w:t>
      </w:r>
    </w:p>
    <w:p w14:paraId="602B057B">
      <w:pPr>
        <w:pStyle w:val="3"/>
        <w:rPr>
          <w:rFonts w:ascii="Times New Roman" w:hAnsi="Times New Roman" w:eastAsia="宋体"/>
          <w:sz w:val="28"/>
          <w:szCs w:val="28"/>
          <w:highlight w:val="none"/>
          <w:lang w:val="zh-CN"/>
        </w:rPr>
      </w:pPr>
      <w:bookmarkStart w:id="14" w:name="_Toc11601"/>
      <w:bookmarkStart w:id="15" w:name="_Toc32226"/>
      <w:r>
        <w:rPr>
          <w:rFonts w:ascii="Times New Roman" w:hAnsi="Times New Roman" w:eastAsia="宋体"/>
          <w:sz w:val="28"/>
          <w:szCs w:val="28"/>
          <w:highlight w:val="none"/>
          <w:lang w:val="zh-CN"/>
        </w:rPr>
        <w:t>（五）询价采购</w:t>
      </w:r>
      <w:bookmarkEnd w:id="14"/>
      <w:bookmarkEnd w:id="15"/>
    </w:p>
    <w:p w14:paraId="6D7E2CDA">
      <w:pPr>
        <w:autoSpaceDE w:val="0"/>
        <w:autoSpaceDN w:val="0"/>
        <w:adjustRightInd w:val="0"/>
        <w:spacing w:line="360" w:lineRule="auto"/>
        <w:ind w:firstLine="480" w:firstLineChars="200"/>
        <w:rPr>
          <w:sz w:val="24"/>
          <w:highlight w:val="none"/>
          <w:lang w:val="zh-CN"/>
        </w:rPr>
      </w:pPr>
      <w:r>
        <w:rPr>
          <w:sz w:val="24"/>
          <w:highlight w:val="none"/>
          <w:lang w:val="zh-CN"/>
        </w:rPr>
        <w:t>13、询价采购</w:t>
      </w:r>
    </w:p>
    <w:p w14:paraId="1C8B99FD">
      <w:pPr>
        <w:autoSpaceDE w:val="0"/>
        <w:autoSpaceDN w:val="0"/>
        <w:adjustRightInd w:val="0"/>
        <w:spacing w:line="360" w:lineRule="auto"/>
        <w:ind w:firstLine="480" w:firstLineChars="200"/>
        <w:rPr>
          <w:sz w:val="24"/>
          <w:highlight w:val="none"/>
          <w:lang w:val="zh-CN"/>
        </w:rPr>
      </w:pPr>
      <w:r>
        <w:rPr>
          <w:sz w:val="24"/>
          <w:highlight w:val="none"/>
          <w:lang w:val="zh-CN"/>
        </w:rPr>
        <w:t>13.1</w:t>
      </w:r>
      <w:r>
        <w:rPr>
          <w:sz w:val="24"/>
          <w:highlight w:val="none"/>
        </w:rPr>
        <w:t xml:space="preserve"> 现场</w:t>
      </w:r>
      <w:r>
        <w:rPr>
          <w:sz w:val="24"/>
          <w:highlight w:val="none"/>
          <w:lang w:val="zh-CN"/>
        </w:rPr>
        <w:t>参加询价采购的供应商法定代表人或法定代表授权人，应携带身份证件。</w:t>
      </w:r>
    </w:p>
    <w:p w14:paraId="329F3CE1">
      <w:pPr>
        <w:autoSpaceDE w:val="0"/>
        <w:autoSpaceDN w:val="0"/>
        <w:adjustRightInd w:val="0"/>
        <w:spacing w:line="360" w:lineRule="auto"/>
        <w:ind w:firstLine="480" w:firstLineChars="200"/>
        <w:rPr>
          <w:sz w:val="24"/>
          <w:highlight w:val="none"/>
          <w:lang w:val="zh-CN"/>
        </w:rPr>
      </w:pPr>
      <w:r>
        <w:rPr>
          <w:sz w:val="24"/>
          <w:highlight w:val="none"/>
          <w:lang w:val="zh-CN"/>
        </w:rPr>
        <w:t>13.2</w:t>
      </w:r>
      <w:r>
        <w:rPr>
          <w:sz w:val="24"/>
          <w:highlight w:val="none"/>
        </w:rPr>
        <w:t xml:space="preserve"> </w:t>
      </w:r>
      <w:r>
        <w:rPr>
          <w:sz w:val="24"/>
          <w:highlight w:val="none"/>
          <w:lang w:val="zh-CN"/>
        </w:rPr>
        <w:t>采购人依法组建询价采购评审小组。</w:t>
      </w:r>
    </w:p>
    <w:p w14:paraId="21EF3F89">
      <w:pPr>
        <w:autoSpaceDE w:val="0"/>
        <w:autoSpaceDN w:val="0"/>
        <w:adjustRightInd w:val="0"/>
        <w:spacing w:line="360" w:lineRule="auto"/>
        <w:ind w:firstLine="480" w:firstLineChars="200"/>
        <w:rPr>
          <w:bCs/>
          <w:sz w:val="24"/>
          <w:highlight w:val="none"/>
          <w:lang w:val="zh-CN"/>
        </w:rPr>
      </w:pPr>
      <w:r>
        <w:rPr>
          <w:bCs/>
          <w:sz w:val="24"/>
          <w:highlight w:val="none"/>
          <w:lang w:val="zh-CN"/>
        </w:rPr>
        <w:t>13.3</w:t>
      </w:r>
      <w:r>
        <w:rPr>
          <w:bCs/>
          <w:sz w:val="24"/>
          <w:highlight w:val="none"/>
        </w:rPr>
        <w:t xml:space="preserve"> </w:t>
      </w:r>
      <w:r>
        <w:rPr>
          <w:bCs/>
          <w:sz w:val="24"/>
          <w:highlight w:val="none"/>
          <w:lang w:val="zh-CN"/>
        </w:rPr>
        <w:t>评审方法</w:t>
      </w:r>
    </w:p>
    <w:p w14:paraId="72651C4B">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符合性审查</w:t>
      </w:r>
    </w:p>
    <w:p w14:paraId="2BFB6BEC">
      <w:pPr>
        <w:widowControl/>
        <w:autoSpaceDE w:val="0"/>
        <w:autoSpaceDN w:val="0"/>
        <w:adjustRightInd w:val="0"/>
        <w:snapToGrid w:val="0"/>
        <w:spacing w:line="360" w:lineRule="auto"/>
        <w:ind w:firstLine="480" w:firstLineChars="200"/>
        <w:rPr>
          <w:bCs/>
          <w:sz w:val="24"/>
          <w:highlight w:val="none"/>
          <w:lang w:val="zh-CN"/>
        </w:rPr>
      </w:pPr>
      <w:r>
        <w:rPr>
          <w:bCs/>
          <w:sz w:val="24"/>
          <w:highlight w:val="none"/>
          <w:lang w:val="zh-CN"/>
        </w:rPr>
        <w:t>询价采购评审小组依照询价采购文件符合性审查的要求和规定，对通过资格审查的所有供应商的报价文件进行符合性审查。供应商不得通过补充、修改或撤销报价文件中的内容使其成为实质性响应的报价。供应商在报价文件递交截止以后不得提交任何资料作为评审依据。报价文件出现下列情形之一的，由询价采购评审小组审查后按无效报价处理：</w:t>
      </w:r>
    </w:p>
    <w:p w14:paraId="67680E2E">
      <w:pPr>
        <w:numPr>
          <w:ilvl w:val="0"/>
          <w:numId w:val="11"/>
        </w:numPr>
        <w:spacing w:line="360" w:lineRule="auto"/>
        <w:ind w:left="0" w:firstLine="425"/>
        <w:rPr>
          <w:bCs/>
          <w:sz w:val="24"/>
          <w:highlight w:val="none"/>
          <w:lang w:val="zh-CN"/>
        </w:rPr>
      </w:pPr>
      <w:r>
        <w:rPr>
          <w:bCs/>
          <w:sz w:val="24"/>
          <w:highlight w:val="none"/>
          <w:lang w:val="zh-CN"/>
        </w:rPr>
        <w:t>供应商的资格条件不满足国家有关规定或询价采购文件载明的供应商资格要求的；</w:t>
      </w:r>
    </w:p>
    <w:p w14:paraId="1DF4E590">
      <w:pPr>
        <w:numPr>
          <w:ilvl w:val="0"/>
          <w:numId w:val="11"/>
        </w:numPr>
        <w:spacing w:line="360" w:lineRule="auto"/>
        <w:ind w:left="0" w:firstLine="425"/>
        <w:rPr>
          <w:bCs/>
          <w:sz w:val="24"/>
          <w:highlight w:val="none"/>
          <w:lang w:val="zh-CN"/>
        </w:rPr>
      </w:pPr>
      <w:r>
        <w:rPr>
          <w:bCs/>
          <w:sz w:val="24"/>
          <w:highlight w:val="none"/>
          <w:lang w:val="zh-CN"/>
        </w:rPr>
        <w:t>未按询价采购文件的要求签署和盖章的（仅限于单位印章和法定代表人或其授权代表签字或盖章）；</w:t>
      </w:r>
    </w:p>
    <w:p w14:paraId="57177989">
      <w:pPr>
        <w:numPr>
          <w:ilvl w:val="0"/>
          <w:numId w:val="11"/>
        </w:numPr>
        <w:spacing w:line="360" w:lineRule="auto"/>
        <w:ind w:left="0" w:firstLine="425"/>
        <w:rPr>
          <w:bCs/>
          <w:sz w:val="24"/>
          <w:highlight w:val="none"/>
          <w:lang w:val="zh-CN"/>
        </w:rPr>
      </w:pPr>
      <w:r>
        <w:rPr>
          <w:bCs/>
          <w:sz w:val="24"/>
          <w:highlight w:val="none"/>
          <w:lang w:val="zh-CN"/>
        </w:rPr>
        <w:t>供应商的名称与获取询价采购文件时提供的名称不一致的；</w:t>
      </w:r>
    </w:p>
    <w:p w14:paraId="3A9E6DC3">
      <w:pPr>
        <w:numPr>
          <w:ilvl w:val="0"/>
          <w:numId w:val="11"/>
        </w:numPr>
        <w:spacing w:line="360" w:lineRule="auto"/>
        <w:ind w:left="0" w:firstLine="425"/>
        <w:rPr>
          <w:bCs/>
          <w:sz w:val="24"/>
          <w:highlight w:val="none"/>
          <w:lang w:val="zh-CN"/>
        </w:rPr>
      </w:pPr>
      <w:r>
        <w:rPr>
          <w:bCs/>
          <w:sz w:val="24"/>
          <w:highlight w:val="none"/>
          <w:lang w:val="zh-CN"/>
        </w:rPr>
        <w:t>报价文件有效期不足的；</w:t>
      </w:r>
    </w:p>
    <w:p w14:paraId="6AE5A861">
      <w:pPr>
        <w:numPr>
          <w:ilvl w:val="0"/>
          <w:numId w:val="11"/>
        </w:numPr>
        <w:spacing w:line="360" w:lineRule="auto"/>
        <w:ind w:left="0" w:firstLine="425"/>
        <w:rPr>
          <w:bCs/>
          <w:sz w:val="24"/>
          <w:highlight w:val="none"/>
          <w:lang w:val="zh-CN"/>
        </w:rPr>
      </w:pPr>
      <w:r>
        <w:rPr>
          <w:bCs/>
          <w:sz w:val="24"/>
          <w:highlight w:val="none"/>
          <w:lang w:val="zh-CN"/>
        </w:rPr>
        <w:t>供应商递交两份或多份内容不同的报价文件，或在一份报价文件中对同一采购项目报有两个或多个响应，且未声明哪一个有效；</w:t>
      </w:r>
    </w:p>
    <w:p w14:paraId="07798994">
      <w:pPr>
        <w:numPr>
          <w:ilvl w:val="0"/>
          <w:numId w:val="11"/>
        </w:numPr>
        <w:spacing w:line="360" w:lineRule="auto"/>
        <w:ind w:left="0" w:firstLine="425"/>
        <w:rPr>
          <w:bCs/>
          <w:sz w:val="24"/>
          <w:highlight w:val="none"/>
          <w:lang w:val="zh-CN"/>
        </w:rPr>
      </w:pPr>
      <w:r>
        <w:rPr>
          <w:bCs/>
          <w:sz w:val="24"/>
          <w:highlight w:val="none"/>
          <w:lang w:val="zh-CN"/>
        </w:rPr>
        <w:t>不满足询价采购文件中标注“★”号的关键条款的；</w:t>
      </w:r>
    </w:p>
    <w:p w14:paraId="5C9F9B73">
      <w:pPr>
        <w:numPr>
          <w:ilvl w:val="0"/>
          <w:numId w:val="11"/>
        </w:numPr>
        <w:spacing w:line="360" w:lineRule="auto"/>
        <w:ind w:left="0" w:firstLine="425"/>
        <w:rPr>
          <w:bCs/>
          <w:sz w:val="24"/>
          <w:highlight w:val="none"/>
          <w:lang w:val="zh-CN"/>
        </w:rPr>
      </w:pPr>
      <w:r>
        <w:rPr>
          <w:bCs/>
          <w:sz w:val="24"/>
          <w:highlight w:val="none"/>
          <w:lang w:val="zh-CN"/>
        </w:rPr>
        <w:t>不符合询价采购文件规定的实质性要求的；</w:t>
      </w:r>
    </w:p>
    <w:p w14:paraId="721B7CD1">
      <w:pPr>
        <w:numPr>
          <w:ilvl w:val="0"/>
          <w:numId w:val="11"/>
        </w:numPr>
        <w:spacing w:line="360" w:lineRule="auto"/>
        <w:ind w:left="0" w:firstLine="425"/>
        <w:rPr>
          <w:bCs/>
          <w:sz w:val="24"/>
          <w:highlight w:val="none"/>
          <w:lang w:val="zh-CN"/>
        </w:rPr>
      </w:pPr>
      <w:r>
        <w:rPr>
          <w:bCs/>
          <w:sz w:val="24"/>
          <w:highlight w:val="none"/>
          <w:lang w:val="zh-CN"/>
        </w:rPr>
        <w:t>供应商未按要求对所有货物进行响应，存在缺漏项；</w:t>
      </w:r>
    </w:p>
    <w:p w14:paraId="2390494D">
      <w:pPr>
        <w:numPr>
          <w:ilvl w:val="0"/>
          <w:numId w:val="11"/>
        </w:numPr>
        <w:spacing w:line="360" w:lineRule="auto"/>
        <w:ind w:left="0" w:firstLine="425"/>
        <w:rPr>
          <w:bCs/>
          <w:sz w:val="24"/>
          <w:highlight w:val="none"/>
          <w:lang w:val="zh-CN"/>
        </w:rPr>
      </w:pPr>
      <w:r>
        <w:rPr>
          <w:bCs/>
          <w:sz w:val="24"/>
          <w:highlight w:val="none"/>
          <w:lang w:val="zh-CN"/>
        </w:rPr>
        <w:t>存在法律法规、规章规定的其他无效报价情况的。</w:t>
      </w:r>
    </w:p>
    <w:p w14:paraId="7158CDAF">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对符合采购需求且质量和服务相等的前提下对总报价进行评审、比较。</w:t>
      </w:r>
    </w:p>
    <w:p w14:paraId="76D7B40C">
      <w:pPr>
        <w:autoSpaceDE w:val="0"/>
        <w:autoSpaceDN w:val="0"/>
        <w:adjustRightInd w:val="0"/>
        <w:spacing w:line="360" w:lineRule="auto"/>
        <w:ind w:firstLine="480" w:firstLineChars="200"/>
        <w:rPr>
          <w:bCs/>
          <w:sz w:val="24"/>
          <w:highlight w:val="none"/>
          <w:u w:val="single"/>
          <w:lang w:val="zh-CN"/>
        </w:rPr>
      </w:pPr>
      <w:r>
        <w:rPr>
          <w:bCs/>
          <w:sz w:val="24"/>
          <w:highlight w:val="none"/>
          <w:lang w:val="zh-CN"/>
        </w:rPr>
        <w:t>询价采购评审小组应对商务报价的范围、数量、单价、费用组成和总价等进行全面审阅和对比分析，找出报价差异的原因及存在的问题。报价评审应以报价口径范围一致的经评审总报价为依据。</w:t>
      </w:r>
      <w:r>
        <w:rPr>
          <w:bCs/>
          <w:sz w:val="24"/>
          <w:highlight w:val="none"/>
          <w:u w:val="single"/>
          <w:lang w:val="zh-CN"/>
        </w:rPr>
        <w:t>若文字大写表示的数据与数字表示的有差别，则以文字大写表示的数据为准；若单价与总价不符时，则以</w:t>
      </w:r>
      <w:r>
        <w:rPr>
          <w:bCs/>
          <w:sz w:val="24"/>
          <w:highlight w:val="none"/>
          <w:u w:val="single"/>
        </w:rPr>
        <w:t>总价</w:t>
      </w:r>
      <w:r>
        <w:rPr>
          <w:bCs/>
          <w:sz w:val="24"/>
          <w:highlight w:val="none"/>
          <w:u w:val="single"/>
          <w:lang w:val="zh-CN"/>
        </w:rPr>
        <w:t>为准，</w:t>
      </w:r>
      <w:r>
        <w:rPr>
          <w:bCs/>
          <w:sz w:val="24"/>
          <w:highlight w:val="none"/>
          <w:u w:val="single"/>
        </w:rPr>
        <w:t>修改单价</w:t>
      </w:r>
      <w:r>
        <w:rPr>
          <w:bCs/>
          <w:sz w:val="24"/>
          <w:highlight w:val="none"/>
          <w:u w:val="single"/>
          <w:lang w:val="zh-CN"/>
        </w:rPr>
        <w:t>。若正本与副本不一致时，以正本为准。若供应商拒绝接受上述修正，其报价将被拒绝，没收响应保证金。</w:t>
      </w:r>
    </w:p>
    <w:p w14:paraId="4C232BC4">
      <w:pPr>
        <w:autoSpaceDE w:val="0"/>
        <w:autoSpaceDN w:val="0"/>
        <w:adjustRightInd w:val="0"/>
        <w:spacing w:line="360" w:lineRule="auto"/>
        <w:ind w:firstLine="480" w:firstLineChars="200"/>
        <w:rPr>
          <w:bCs/>
          <w:sz w:val="24"/>
          <w:highlight w:val="none"/>
          <w:u w:val="single"/>
          <w:lang w:val="zh-CN"/>
        </w:rPr>
      </w:pPr>
      <w:r>
        <w:rPr>
          <w:bCs/>
          <w:sz w:val="24"/>
          <w:highlight w:val="none"/>
          <w:u w:val="single"/>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但不得增加其总报价，因成交供应商自身失误造成费用多算的，应在其总报价按所报单价修正其合同价，且签订合同时按最利于采购人的价格签订供货合同。</w:t>
      </w:r>
    </w:p>
    <w:p w14:paraId="7C52DE55">
      <w:pPr>
        <w:autoSpaceDE w:val="0"/>
        <w:autoSpaceDN w:val="0"/>
        <w:adjustRightInd w:val="0"/>
        <w:spacing w:line="360" w:lineRule="auto"/>
        <w:ind w:firstLine="482" w:firstLineChars="200"/>
        <w:rPr>
          <w:b/>
          <w:sz w:val="24"/>
          <w:highlight w:val="none"/>
          <w:lang w:val="zh-CN"/>
        </w:rPr>
      </w:pPr>
      <w:r>
        <w:rPr>
          <w:b/>
          <w:sz w:val="24"/>
          <w:highlight w:val="none"/>
          <w:lang w:val="zh-CN"/>
        </w:rPr>
        <w:t>符合采购需求的经评审</w:t>
      </w:r>
      <w:r>
        <w:rPr>
          <w:b/>
          <w:sz w:val="24"/>
          <w:highlight w:val="none"/>
        </w:rPr>
        <w:t>报价最低</w:t>
      </w:r>
      <w:r>
        <w:rPr>
          <w:b/>
          <w:sz w:val="24"/>
          <w:highlight w:val="none"/>
          <w:lang w:val="zh-CN"/>
        </w:rPr>
        <w:t>的供应商推荐为本采购项目的</w:t>
      </w:r>
      <w:r>
        <w:rPr>
          <w:b/>
          <w:sz w:val="24"/>
          <w:highlight w:val="none"/>
        </w:rPr>
        <w:t>成</w:t>
      </w:r>
      <w:r>
        <w:rPr>
          <w:b/>
          <w:sz w:val="24"/>
          <w:highlight w:val="none"/>
          <w:lang w:val="zh-CN"/>
        </w:rPr>
        <w:t>交候选人。如果出现相同</w:t>
      </w:r>
      <w:r>
        <w:rPr>
          <w:b/>
          <w:sz w:val="24"/>
          <w:highlight w:val="none"/>
        </w:rPr>
        <w:t>最低</w:t>
      </w:r>
      <w:r>
        <w:rPr>
          <w:b/>
          <w:sz w:val="24"/>
          <w:highlight w:val="none"/>
          <w:lang w:val="zh-CN"/>
        </w:rPr>
        <w:t>报价情况时，则由</w:t>
      </w:r>
      <w:r>
        <w:rPr>
          <w:rFonts w:hint="eastAsia"/>
          <w:b/>
          <w:sz w:val="24"/>
          <w:highlight w:val="none"/>
          <w:lang w:val="zh-CN"/>
        </w:rPr>
        <w:t>相同最低报价</w:t>
      </w:r>
      <w:r>
        <w:rPr>
          <w:rFonts w:hint="eastAsia"/>
          <w:b/>
          <w:sz w:val="24"/>
          <w:highlight w:val="none"/>
          <w:lang w:val="en-US" w:eastAsia="zh-CN"/>
        </w:rPr>
        <w:t>的</w:t>
      </w:r>
      <w:r>
        <w:rPr>
          <w:b/>
          <w:sz w:val="24"/>
          <w:highlight w:val="none"/>
          <w:lang w:val="zh-CN"/>
        </w:rPr>
        <w:t>供应商</w:t>
      </w:r>
      <w:r>
        <w:rPr>
          <w:rFonts w:hint="eastAsia"/>
          <w:b/>
          <w:sz w:val="24"/>
          <w:highlight w:val="none"/>
          <w:lang w:val="en-US" w:eastAsia="zh-CN"/>
        </w:rPr>
        <w:t>进行二次报价</w:t>
      </w:r>
      <w:r>
        <w:rPr>
          <w:b/>
          <w:sz w:val="24"/>
          <w:highlight w:val="none"/>
          <w:lang w:val="zh-CN"/>
        </w:rPr>
        <w:t>决定成交</w:t>
      </w:r>
      <w:r>
        <w:rPr>
          <w:b/>
          <w:sz w:val="24"/>
          <w:highlight w:val="none"/>
        </w:rPr>
        <w:t>候选人</w:t>
      </w:r>
      <w:r>
        <w:rPr>
          <w:b/>
          <w:sz w:val="24"/>
          <w:highlight w:val="none"/>
          <w:lang w:val="zh-CN"/>
        </w:rPr>
        <w:t>。如果</w:t>
      </w:r>
      <w:r>
        <w:rPr>
          <w:rFonts w:hint="eastAsia"/>
          <w:b/>
          <w:sz w:val="24"/>
          <w:highlight w:val="none"/>
          <w:lang w:val="en-US" w:eastAsia="zh-CN"/>
        </w:rPr>
        <w:t>仍</w:t>
      </w:r>
      <w:r>
        <w:rPr>
          <w:b/>
          <w:sz w:val="24"/>
          <w:highlight w:val="none"/>
          <w:lang w:val="zh-CN"/>
        </w:rPr>
        <w:t>出现相同</w:t>
      </w:r>
      <w:r>
        <w:rPr>
          <w:b/>
          <w:sz w:val="24"/>
          <w:highlight w:val="none"/>
        </w:rPr>
        <w:t>最低</w:t>
      </w:r>
      <w:r>
        <w:rPr>
          <w:b/>
          <w:sz w:val="24"/>
          <w:highlight w:val="none"/>
          <w:lang w:val="zh-CN"/>
        </w:rPr>
        <w:t>报价情况时，则由</w:t>
      </w:r>
      <w:r>
        <w:rPr>
          <w:b/>
          <w:sz w:val="24"/>
          <w:highlight w:val="none"/>
        </w:rPr>
        <w:t>评审小组</w:t>
      </w:r>
      <w:r>
        <w:rPr>
          <w:b/>
          <w:sz w:val="24"/>
          <w:highlight w:val="none"/>
          <w:lang w:val="zh-CN"/>
        </w:rPr>
        <w:t>抽签决定成交</w:t>
      </w:r>
      <w:r>
        <w:rPr>
          <w:b/>
          <w:sz w:val="24"/>
          <w:highlight w:val="none"/>
        </w:rPr>
        <w:t>候选人</w:t>
      </w:r>
      <w:r>
        <w:rPr>
          <w:b/>
          <w:sz w:val="24"/>
          <w:highlight w:val="none"/>
          <w:lang w:val="zh-CN"/>
        </w:rPr>
        <w:t>。</w:t>
      </w:r>
    </w:p>
    <w:p w14:paraId="122864CF">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经评审后的有效响应少于三家时，如询价采购评审小组认为其报价价格合理，技术可行，则可以继续评审，否则评审小组否决所有响应。</w:t>
      </w:r>
    </w:p>
    <w:p w14:paraId="32B00B7A">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采购人将确定排名第一的成交候选人为成交供应商的原则。排名第一的成交候选人放弃成交、因不可抗力提出不能履行合同，或者不能按询价采购文件要求提交履约响应金的，视为第一成交候选人放弃成交，采购人将重新进行采购。</w:t>
      </w:r>
    </w:p>
    <w:p w14:paraId="26B51C97">
      <w:pPr>
        <w:numPr>
          <w:ilvl w:val="0"/>
          <w:numId w:val="10"/>
        </w:numPr>
        <w:autoSpaceDE w:val="0"/>
        <w:autoSpaceDN w:val="0"/>
        <w:adjustRightInd w:val="0"/>
        <w:spacing w:line="360" w:lineRule="auto"/>
        <w:ind w:left="0" w:firstLine="425"/>
        <w:rPr>
          <w:bCs/>
          <w:sz w:val="24"/>
          <w:highlight w:val="none"/>
          <w:lang w:val="zh-CN"/>
        </w:rPr>
      </w:pPr>
      <w:r>
        <w:rPr>
          <w:bCs/>
          <w:sz w:val="24"/>
          <w:highlight w:val="none"/>
          <w:lang w:val="zh-CN"/>
        </w:rPr>
        <w:t>在评审中发现有二份及以上报价文件的相互之间有特别相同或相似之处，且经询标澄清供应商无令人信服的理由和可靠证据证明其合理性的，经询价采购评审小组半数以上成员确认有串通响应嫌疑的，其报价文件按无效响应处理，予以废除，不再对其进行评审，也不影响本采购项目继续评审。</w:t>
      </w:r>
    </w:p>
    <w:p w14:paraId="0D169B75">
      <w:pPr>
        <w:pStyle w:val="3"/>
        <w:rPr>
          <w:rFonts w:ascii="Times New Roman" w:hAnsi="Times New Roman" w:eastAsia="宋体"/>
          <w:sz w:val="28"/>
          <w:szCs w:val="28"/>
          <w:highlight w:val="none"/>
          <w:lang w:val="zh-CN"/>
        </w:rPr>
      </w:pPr>
      <w:bookmarkStart w:id="16" w:name="_Toc22106"/>
      <w:bookmarkStart w:id="17" w:name="_Toc3553"/>
      <w:r>
        <w:rPr>
          <w:rFonts w:ascii="Times New Roman" w:hAnsi="Times New Roman" w:eastAsia="宋体"/>
          <w:sz w:val="28"/>
          <w:szCs w:val="28"/>
          <w:highlight w:val="none"/>
          <w:lang w:val="zh-CN"/>
        </w:rPr>
        <w:t>（六）授予合同</w:t>
      </w:r>
      <w:bookmarkEnd w:id="16"/>
      <w:bookmarkEnd w:id="17"/>
    </w:p>
    <w:p w14:paraId="37569FBC">
      <w:pPr>
        <w:spacing w:line="360" w:lineRule="auto"/>
        <w:ind w:firstLine="480" w:firstLineChars="200"/>
        <w:rPr>
          <w:sz w:val="24"/>
          <w:highlight w:val="none"/>
          <w:lang w:val="zh-CN"/>
        </w:rPr>
      </w:pPr>
      <w:r>
        <w:rPr>
          <w:sz w:val="24"/>
          <w:highlight w:val="none"/>
          <w:lang w:val="zh-CN"/>
        </w:rPr>
        <w:t>14、接受和拒绝成交结果的权利</w:t>
      </w:r>
    </w:p>
    <w:p w14:paraId="113ACD09">
      <w:pPr>
        <w:autoSpaceDE w:val="0"/>
        <w:autoSpaceDN w:val="0"/>
        <w:adjustRightInd w:val="0"/>
        <w:spacing w:line="360" w:lineRule="auto"/>
        <w:ind w:firstLine="480" w:firstLineChars="200"/>
        <w:rPr>
          <w:sz w:val="24"/>
          <w:highlight w:val="none"/>
          <w:lang w:val="zh-CN"/>
        </w:rPr>
      </w:pPr>
      <w:r>
        <w:rPr>
          <w:sz w:val="24"/>
          <w:highlight w:val="none"/>
          <w:lang w:val="zh-CN"/>
        </w:rPr>
        <w:t>为了维护国家利益，采购人在授予合同之前有选择或拒绝任何成交结果的权利，并对所采取的行为不予解释，也不对因此而受影响的供应商承担责任。</w:t>
      </w:r>
    </w:p>
    <w:p w14:paraId="17D88EAA">
      <w:pPr>
        <w:autoSpaceDE w:val="0"/>
        <w:autoSpaceDN w:val="0"/>
        <w:adjustRightInd w:val="0"/>
        <w:spacing w:line="360" w:lineRule="auto"/>
        <w:ind w:firstLine="480" w:firstLineChars="200"/>
        <w:rPr>
          <w:sz w:val="24"/>
          <w:highlight w:val="none"/>
          <w:lang w:val="zh-CN"/>
        </w:rPr>
      </w:pPr>
      <w:r>
        <w:rPr>
          <w:sz w:val="24"/>
          <w:highlight w:val="none"/>
          <w:lang w:val="zh-CN"/>
        </w:rPr>
        <w:t>15、成交结果通知书</w:t>
      </w:r>
    </w:p>
    <w:p w14:paraId="69E5D2AB">
      <w:pPr>
        <w:autoSpaceDE w:val="0"/>
        <w:autoSpaceDN w:val="0"/>
        <w:adjustRightInd w:val="0"/>
        <w:spacing w:line="360" w:lineRule="auto"/>
        <w:ind w:firstLine="480" w:firstLineChars="200"/>
        <w:rPr>
          <w:sz w:val="24"/>
          <w:highlight w:val="none"/>
          <w:lang w:val="zh-CN"/>
        </w:rPr>
      </w:pPr>
      <w:r>
        <w:rPr>
          <w:sz w:val="24"/>
          <w:highlight w:val="none"/>
          <w:lang w:val="zh-CN"/>
        </w:rPr>
        <w:t>询价评审结果经采购人认可后，采购人将确定排名第一的成交候选人为成交供应商，采购人将向成交供应商发出成交结果通知书。</w:t>
      </w:r>
    </w:p>
    <w:p w14:paraId="30CFCBD4">
      <w:pPr>
        <w:autoSpaceDE w:val="0"/>
        <w:autoSpaceDN w:val="0"/>
        <w:adjustRightInd w:val="0"/>
        <w:spacing w:line="360" w:lineRule="auto"/>
        <w:ind w:firstLine="480" w:firstLineChars="200"/>
        <w:rPr>
          <w:sz w:val="24"/>
          <w:highlight w:val="none"/>
          <w:lang w:val="zh-CN"/>
        </w:rPr>
      </w:pPr>
      <w:r>
        <w:rPr>
          <w:sz w:val="24"/>
          <w:highlight w:val="none"/>
          <w:lang w:val="zh-CN"/>
        </w:rPr>
        <w:t>16、签订合同</w:t>
      </w:r>
    </w:p>
    <w:p w14:paraId="2ECB5876">
      <w:pPr>
        <w:autoSpaceDE w:val="0"/>
        <w:autoSpaceDN w:val="0"/>
        <w:adjustRightInd w:val="0"/>
        <w:spacing w:line="360" w:lineRule="auto"/>
        <w:ind w:firstLine="480" w:firstLineChars="200"/>
        <w:rPr>
          <w:sz w:val="24"/>
          <w:highlight w:val="none"/>
          <w:lang w:val="zh-CN"/>
        </w:rPr>
      </w:pPr>
      <w:r>
        <w:rPr>
          <w:sz w:val="24"/>
          <w:highlight w:val="none"/>
          <w:lang w:val="zh-CN"/>
        </w:rPr>
        <w:t>16.1</w:t>
      </w:r>
      <w:r>
        <w:rPr>
          <w:sz w:val="24"/>
          <w:highlight w:val="none"/>
        </w:rPr>
        <w:t xml:space="preserve"> </w:t>
      </w:r>
      <w:r>
        <w:rPr>
          <w:sz w:val="24"/>
          <w:highlight w:val="none"/>
          <w:lang w:val="zh-CN"/>
        </w:rPr>
        <w:t>成交供应商须在自成交通知书</w:t>
      </w:r>
      <w:r>
        <w:rPr>
          <w:sz w:val="24"/>
          <w:highlight w:val="none"/>
        </w:rPr>
        <w:t>发出之日起</w:t>
      </w:r>
      <w:r>
        <w:rPr>
          <w:sz w:val="24"/>
          <w:highlight w:val="none"/>
          <w:lang w:val="zh-CN"/>
        </w:rPr>
        <w:t>三十天内与采购人签订采购合同。</w:t>
      </w:r>
    </w:p>
    <w:p w14:paraId="4A0D758B">
      <w:pPr>
        <w:autoSpaceDE w:val="0"/>
        <w:autoSpaceDN w:val="0"/>
        <w:adjustRightInd w:val="0"/>
        <w:spacing w:line="360" w:lineRule="auto"/>
        <w:ind w:firstLine="480" w:firstLineChars="200"/>
        <w:rPr>
          <w:sz w:val="24"/>
          <w:highlight w:val="none"/>
          <w:lang w:val="zh-CN"/>
        </w:rPr>
      </w:pPr>
      <w:r>
        <w:rPr>
          <w:sz w:val="24"/>
          <w:highlight w:val="none"/>
          <w:lang w:val="zh-CN"/>
        </w:rPr>
        <w:t>16.2</w:t>
      </w:r>
      <w:r>
        <w:rPr>
          <w:sz w:val="24"/>
          <w:highlight w:val="none"/>
        </w:rPr>
        <w:t xml:space="preserve"> </w:t>
      </w:r>
      <w:r>
        <w:rPr>
          <w:sz w:val="24"/>
          <w:highlight w:val="none"/>
          <w:lang w:val="zh-CN"/>
        </w:rPr>
        <w:t>询价采购文件、成交供应商的报价文件、询价采购过程中有关的澄清及承诺文件、经双方签字的询价采购纪要和成交结果通知书均作为合同附件。</w:t>
      </w:r>
    </w:p>
    <w:p w14:paraId="016324B3">
      <w:pPr>
        <w:autoSpaceDE w:val="0"/>
        <w:autoSpaceDN w:val="0"/>
        <w:spacing w:line="360" w:lineRule="auto"/>
        <w:ind w:firstLine="482" w:firstLineChars="200"/>
        <w:textAlignment w:val="bottom"/>
        <w:rPr>
          <w:b/>
          <w:sz w:val="24"/>
          <w:highlight w:val="none"/>
        </w:rPr>
      </w:pPr>
    </w:p>
    <w:p w14:paraId="3CF5749C">
      <w:pPr>
        <w:autoSpaceDE w:val="0"/>
        <w:autoSpaceDN w:val="0"/>
        <w:spacing w:line="360" w:lineRule="auto"/>
        <w:ind w:firstLine="482" w:firstLineChars="200"/>
        <w:textAlignment w:val="bottom"/>
        <w:rPr>
          <w:rFonts w:ascii="宋体" w:hAnsi="宋体"/>
          <w:b/>
          <w:color w:val="auto"/>
          <w:sz w:val="24"/>
          <w:highlight w:val="none"/>
        </w:rPr>
      </w:pPr>
      <w:r>
        <w:rPr>
          <w:rFonts w:ascii="宋体" w:hAnsi="宋体"/>
          <w:b/>
          <w:color w:val="auto"/>
          <w:sz w:val="24"/>
          <w:highlight w:val="none"/>
        </w:rPr>
        <w:br w:type="page"/>
      </w:r>
    </w:p>
    <w:p w14:paraId="3074F1B6">
      <w:pPr>
        <w:pStyle w:val="2"/>
        <w:numPr>
          <w:ilvl w:val="0"/>
          <w:numId w:val="5"/>
        </w:numPr>
        <w:spacing w:line="560" w:lineRule="exact"/>
        <w:ind w:left="0" w:leftChars="0" w:firstLine="0" w:firstLineChars="0"/>
        <w:rPr>
          <w:rFonts w:hint="eastAsia" w:ascii="Times New Roman" w:hAnsi="Times New Roman" w:eastAsia="小标宋" w:cs="Times New Roman"/>
          <w:b w:val="0"/>
          <w:bCs w:val="0"/>
          <w:sz w:val="36"/>
          <w:szCs w:val="36"/>
          <w:highlight w:val="none"/>
        </w:rPr>
      </w:pPr>
      <w:bookmarkStart w:id="18" w:name="_Toc16513"/>
      <w:r>
        <w:rPr>
          <w:rFonts w:hint="eastAsia" w:ascii="Times New Roman" w:hAnsi="Times New Roman" w:eastAsia="小标宋" w:cs="Times New Roman"/>
          <w:b w:val="0"/>
          <w:bCs w:val="0"/>
          <w:sz w:val="36"/>
          <w:szCs w:val="36"/>
          <w:highlight w:val="none"/>
          <w:lang w:val="en-US" w:eastAsia="zh-CN"/>
        </w:rPr>
        <w:t>采购</w:t>
      </w:r>
      <w:r>
        <w:rPr>
          <w:rFonts w:hint="eastAsia" w:ascii="Times New Roman" w:hAnsi="Times New Roman" w:eastAsia="小标宋" w:cs="Times New Roman"/>
          <w:b w:val="0"/>
          <w:bCs w:val="0"/>
          <w:sz w:val="36"/>
          <w:szCs w:val="36"/>
          <w:highlight w:val="none"/>
        </w:rPr>
        <w:t>需求书</w:t>
      </w:r>
      <w:bookmarkEnd w:id="18"/>
    </w:p>
    <w:p w14:paraId="4BEEF5A7">
      <w:pPr>
        <w:spacing w:line="360" w:lineRule="auto"/>
        <w:rPr>
          <w:rFonts w:hint="eastAsia" w:ascii="宋体" w:hAnsi="宋体" w:cs="宋体"/>
          <w:b/>
          <w:color w:val="auto"/>
          <w:sz w:val="24"/>
          <w:highlight w:val="none"/>
        </w:rPr>
      </w:pPr>
    </w:p>
    <w:p w14:paraId="26064AA0">
      <w:pPr>
        <w:numPr>
          <w:ilvl w:val="0"/>
          <w:numId w:val="12"/>
        </w:numPr>
        <w:autoSpaceDE w:val="0"/>
        <w:autoSpaceDN w:val="0"/>
        <w:adjustRightInd w:val="0"/>
        <w:spacing w:line="360" w:lineRule="auto"/>
        <w:rPr>
          <w:b/>
          <w:bCs/>
          <w:sz w:val="28"/>
          <w:szCs w:val="28"/>
          <w:highlight w:val="none"/>
        </w:rPr>
      </w:pPr>
      <w:r>
        <w:rPr>
          <w:b/>
          <w:bCs/>
          <w:sz w:val="28"/>
          <w:szCs w:val="28"/>
          <w:highlight w:val="none"/>
        </w:rPr>
        <w:t>采购内容</w:t>
      </w:r>
    </w:p>
    <w:p w14:paraId="5A69B60A">
      <w:pPr>
        <w:autoSpaceDE w:val="0"/>
        <w:autoSpaceDN w:val="0"/>
        <w:adjustRightInd w:val="0"/>
        <w:spacing w:line="360" w:lineRule="auto"/>
        <w:ind w:firstLine="480" w:firstLineChars="200"/>
        <w:rPr>
          <w:sz w:val="24"/>
          <w:highlight w:val="none"/>
        </w:rPr>
      </w:pPr>
      <w:r>
        <w:rPr>
          <w:rFonts w:hint="eastAsia" w:ascii="宋体" w:hAnsi="宋体" w:cs="宋体"/>
          <w:color w:val="auto"/>
          <w:sz w:val="24"/>
          <w:highlight w:val="none"/>
        </w:rPr>
        <w:t>本次采购货物服务为</w:t>
      </w:r>
      <w:r>
        <w:rPr>
          <w:rFonts w:hint="eastAsia" w:ascii="宋体" w:hAnsi="宋体" w:cs="宋体"/>
          <w:color w:val="auto"/>
          <w:sz w:val="24"/>
          <w:highlight w:val="none"/>
          <w:lang w:eastAsia="zh-CN"/>
        </w:rPr>
        <w:t>2025年聚合氯化铝（PAC）采购项目</w:t>
      </w:r>
      <w:r>
        <w:rPr>
          <w:rFonts w:hint="eastAsia" w:ascii="宋体" w:hAnsi="宋体" w:cs="宋体"/>
          <w:color w:val="auto"/>
          <w:sz w:val="24"/>
          <w:highlight w:val="none"/>
        </w:rPr>
        <w:t>，供应商应根据询价文件所提出的要求前来响应。</w:t>
      </w:r>
    </w:p>
    <w:p w14:paraId="17BC98B3">
      <w:pPr>
        <w:numPr>
          <w:ilvl w:val="0"/>
          <w:numId w:val="12"/>
        </w:numPr>
        <w:autoSpaceDE w:val="0"/>
        <w:autoSpaceDN w:val="0"/>
        <w:adjustRightInd w:val="0"/>
        <w:spacing w:line="360" w:lineRule="auto"/>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rPr>
        <w:t>采购内容</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6150"/>
        <w:gridCol w:w="2017"/>
      </w:tblGrid>
      <w:tr w14:paraId="3A5C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0" w:type="pct"/>
            <w:shd w:val="clear" w:color="auto" w:fill="auto"/>
            <w:noWrap w:val="0"/>
            <w:vAlign w:val="center"/>
          </w:tcPr>
          <w:p w14:paraId="4A9E751B">
            <w:pPr>
              <w:spacing w:line="400" w:lineRule="exact"/>
              <w:jc w:val="center"/>
              <w:rPr>
                <w:color w:val="auto"/>
                <w:sz w:val="24"/>
                <w:highlight w:val="none"/>
              </w:rPr>
            </w:pPr>
            <w:r>
              <w:rPr>
                <w:color w:val="auto"/>
                <w:sz w:val="24"/>
                <w:highlight w:val="none"/>
              </w:rPr>
              <w:t>名称</w:t>
            </w:r>
          </w:p>
        </w:tc>
        <w:tc>
          <w:tcPr>
            <w:tcW w:w="3214" w:type="pct"/>
            <w:shd w:val="clear" w:color="auto" w:fill="FFFFFF"/>
            <w:noWrap w:val="0"/>
            <w:vAlign w:val="center"/>
          </w:tcPr>
          <w:p w14:paraId="3C2EEB7C">
            <w:pPr>
              <w:spacing w:line="400" w:lineRule="exact"/>
              <w:jc w:val="center"/>
              <w:rPr>
                <w:color w:val="auto"/>
                <w:sz w:val="24"/>
                <w:highlight w:val="none"/>
              </w:rPr>
            </w:pPr>
            <w:r>
              <w:rPr>
                <w:color w:val="auto"/>
                <w:sz w:val="24"/>
                <w:highlight w:val="none"/>
              </w:rPr>
              <w:t>技术参数</w:t>
            </w:r>
          </w:p>
        </w:tc>
        <w:tc>
          <w:tcPr>
            <w:tcW w:w="1054" w:type="pct"/>
            <w:shd w:val="clear" w:color="auto" w:fill="FFFFFF"/>
            <w:noWrap w:val="0"/>
            <w:vAlign w:val="center"/>
          </w:tcPr>
          <w:p w14:paraId="2673E1D4">
            <w:pPr>
              <w:spacing w:line="400" w:lineRule="exact"/>
              <w:jc w:val="center"/>
              <w:rPr>
                <w:color w:val="auto"/>
                <w:sz w:val="24"/>
                <w:highlight w:val="none"/>
              </w:rPr>
            </w:pPr>
            <w:r>
              <w:rPr>
                <w:rFonts w:hint="eastAsia"/>
                <w:color w:val="auto"/>
                <w:sz w:val="24"/>
                <w:highlight w:val="none"/>
                <w:lang w:val="en-US" w:eastAsia="zh-CN"/>
              </w:rPr>
              <w:t>预计</w:t>
            </w:r>
            <w:r>
              <w:rPr>
                <w:color w:val="auto"/>
                <w:sz w:val="24"/>
                <w:highlight w:val="none"/>
              </w:rPr>
              <w:t>数量（吨）</w:t>
            </w:r>
          </w:p>
        </w:tc>
      </w:tr>
      <w:tr w14:paraId="53CF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0" w:type="pct"/>
            <w:shd w:val="clear" w:color="auto" w:fill="auto"/>
            <w:noWrap w:val="0"/>
            <w:vAlign w:val="center"/>
          </w:tcPr>
          <w:p w14:paraId="682FFCA1">
            <w:pPr>
              <w:spacing w:line="4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eastAsia="zh-CN"/>
              </w:rPr>
              <w:t>聚合氯化铝（PAC）</w:t>
            </w:r>
          </w:p>
        </w:tc>
        <w:tc>
          <w:tcPr>
            <w:tcW w:w="3214" w:type="pct"/>
            <w:shd w:val="clear" w:color="auto" w:fill="FFFFFF"/>
            <w:noWrap w:val="0"/>
            <w:vAlign w:val="center"/>
          </w:tcPr>
          <w:p w14:paraId="11E2354F">
            <w:pPr>
              <w:jc w:val="center"/>
              <w:rPr>
                <w:rFonts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氧化铝（Al2O3）的质量分数≥28％，黄色粉末状固体，包装要求为25㎏/袋，质量符合GB/T 22627-2022标准。</w:t>
            </w:r>
          </w:p>
        </w:tc>
        <w:tc>
          <w:tcPr>
            <w:tcW w:w="1054" w:type="pct"/>
            <w:shd w:val="clear" w:color="auto" w:fill="FFFFFF"/>
            <w:noWrap w:val="0"/>
            <w:vAlign w:val="center"/>
          </w:tcPr>
          <w:p w14:paraId="73AD3F22">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bCs/>
                <w:color w:val="auto"/>
                <w:sz w:val="24"/>
                <w:highlight w:val="none"/>
                <w:lang w:val="en-US" w:eastAsia="zh-CN"/>
              </w:rPr>
              <w:t>30</w:t>
            </w:r>
          </w:p>
        </w:tc>
      </w:tr>
    </w:tbl>
    <w:p w14:paraId="7B92470C">
      <w:pPr>
        <w:numPr>
          <w:ilvl w:val="0"/>
          <w:numId w:val="1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本合同的货物数量根据</w:t>
      </w:r>
      <w:r>
        <w:rPr>
          <w:rFonts w:hint="eastAsia" w:ascii="Times New Roman" w:hAnsi="Times New Roman" w:eastAsia="宋体" w:cs="Times New Roman"/>
          <w:sz w:val="24"/>
          <w:highlight w:val="none"/>
          <w:lang w:val="en-US" w:eastAsia="zh-CN"/>
        </w:rPr>
        <w:t>采购人</w:t>
      </w:r>
      <w:r>
        <w:rPr>
          <w:rFonts w:hint="eastAsia" w:ascii="宋体" w:hAnsi="宋体" w:cs="宋体"/>
          <w:color w:val="auto"/>
          <w:sz w:val="24"/>
          <w:highlight w:val="none"/>
        </w:rPr>
        <w:t>实际用量按实结算，单价不变。</w:t>
      </w:r>
    </w:p>
    <w:p w14:paraId="02F09151">
      <w:pPr>
        <w:numPr>
          <w:ilvl w:val="0"/>
          <w:numId w:val="1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供应商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p w14:paraId="6A77B033">
      <w:pPr>
        <w:numPr>
          <w:ilvl w:val="0"/>
          <w:numId w:val="1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市场价格波动、停产停供等一应风险由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承担。</w:t>
      </w:r>
    </w:p>
    <w:p w14:paraId="0A725D04">
      <w:pPr>
        <w:numPr>
          <w:ilvl w:val="0"/>
          <w:numId w:val="13"/>
        </w:numPr>
        <w:spacing w:line="360" w:lineRule="auto"/>
        <w:ind w:left="425" w:leftChars="0" w:hanging="425" w:firstLineChars="0"/>
        <w:rPr>
          <w:rFonts w:hint="eastAsia" w:ascii="宋体" w:hAnsi="宋体" w:cs="宋体"/>
          <w:color w:val="auto"/>
          <w:sz w:val="24"/>
          <w:highlight w:val="none"/>
        </w:rPr>
      </w:pPr>
      <w:r>
        <w:rPr>
          <w:rFonts w:hint="eastAsia" w:ascii="宋体" w:hAnsi="宋体" w:cs="宋体"/>
          <w:color w:val="auto"/>
          <w:sz w:val="24"/>
          <w:highlight w:val="none"/>
        </w:rPr>
        <w:t>本合同所载“预估数量”不视为</w:t>
      </w:r>
      <w:r>
        <w:rPr>
          <w:rFonts w:hint="eastAsia" w:ascii="Times New Roman" w:hAnsi="Times New Roman" w:eastAsia="宋体" w:cs="Times New Roman"/>
          <w:sz w:val="24"/>
          <w:highlight w:val="none"/>
          <w:lang w:val="en-US" w:eastAsia="zh-CN"/>
        </w:rPr>
        <w:t>采购人</w:t>
      </w:r>
      <w:r>
        <w:rPr>
          <w:rFonts w:hint="eastAsia" w:ascii="宋体" w:hAnsi="宋体" w:cs="宋体"/>
          <w:color w:val="auto"/>
          <w:sz w:val="24"/>
          <w:highlight w:val="none"/>
        </w:rPr>
        <w:t>采购承诺，实际数量以</w:t>
      </w:r>
      <w:r>
        <w:rPr>
          <w:rFonts w:hint="eastAsia" w:ascii="Times New Roman" w:hAnsi="Times New Roman" w:eastAsia="宋体" w:cs="Times New Roman"/>
          <w:sz w:val="24"/>
          <w:highlight w:val="none"/>
          <w:lang w:val="en-US" w:eastAsia="zh-CN"/>
        </w:rPr>
        <w:t>采购人</w:t>
      </w:r>
      <w:r>
        <w:rPr>
          <w:rFonts w:hint="eastAsia" w:ascii="宋体" w:hAnsi="宋体" w:cs="宋体"/>
          <w:color w:val="auto"/>
          <w:sz w:val="24"/>
          <w:highlight w:val="none"/>
        </w:rPr>
        <w:t>需求为准。</w:t>
      </w:r>
    </w:p>
    <w:p w14:paraId="3B75BBEB">
      <w:pPr>
        <w:numPr>
          <w:ilvl w:val="0"/>
          <w:numId w:val="12"/>
        </w:numPr>
        <w:autoSpaceDE w:val="0"/>
        <w:autoSpaceDN w:val="0"/>
        <w:adjustRightInd w:val="0"/>
        <w:spacing w:line="360" w:lineRule="auto"/>
        <w:rPr>
          <w:rFonts w:hint="eastAsia" w:ascii="Times New Roman" w:hAnsi="Times New Roman" w:eastAsia="宋体" w:cs="Times New Roman"/>
          <w:b/>
          <w:bCs/>
          <w:sz w:val="28"/>
          <w:szCs w:val="28"/>
          <w:highlight w:val="none"/>
          <w:lang w:val="zh-CN"/>
        </w:rPr>
      </w:pPr>
      <w:r>
        <w:rPr>
          <w:rFonts w:hint="eastAsia" w:ascii="Times New Roman" w:hAnsi="Times New Roman" w:eastAsia="宋体" w:cs="Times New Roman"/>
          <w:b/>
          <w:bCs/>
          <w:sz w:val="28"/>
          <w:szCs w:val="28"/>
          <w:highlight w:val="none"/>
          <w:lang w:val="zh-CN"/>
        </w:rPr>
        <w:t>供货期及交货时间、地点</w:t>
      </w:r>
    </w:p>
    <w:p w14:paraId="0E6EC1F5">
      <w:pPr>
        <w:numPr>
          <w:ilvl w:val="0"/>
          <w:numId w:val="14"/>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供货期：合同签订之日起12个月（如合同期限届满但</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未完成该项目下次采购并确定</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，在合同总金额未履约完的前提下，经</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要求，</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可继续履行该合同至</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下次采购完成并确定</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应清楚在合同供货期采购人存在不需要供货的可能性，同时采购人不承担任何责任。</w:t>
      </w:r>
    </w:p>
    <w:p w14:paraId="79329F1C">
      <w:pPr>
        <w:numPr>
          <w:ilvl w:val="0"/>
          <w:numId w:val="14"/>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交货方式：本次采购货物采用分批送货方式，每次按</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实际需求量供货，</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必须安全、按时（在</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提出供货需求后的3日内）送达</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指定地点（具体发货地点及相应的数量以发货前</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具体通知为准）。</w:t>
      </w:r>
    </w:p>
    <w:p w14:paraId="5D7210B5">
      <w:pPr>
        <w:numPr>
          <w:ilvl w:val="0"/>
          <w:numId w:val="12"/>
        </w:numPr>
        <w:autoSpaceDE w:val="0"/>
        <w:autoSpaceDN w:val="0"/>
        <w:adjustRightInd w:val="0"/>
        <w:spacing w:line="360" w:lineRule="auto"/>
        <w:rPr>
          <w:rFonts w:hint="eastAsia" w:ascii="Times New Roman" w:hAnsi="Times New Roman" w:eastAsia="宋体" w:cs="Times New Roman"/>
          <w:b/>
          <w:bCs/>
          <w:sz w:val="28"/>
          <w:szCs w:val="28"/>
          <w:highlight w:val="none"/>
          <w:lang w:val="zh-CN"/>
        </w:rPr>
      </w:pPr>
      <w:bookmarkStart w:id="19" w:name="_Toc30186"/>
      <w:r>
        <w:rPr>
          <w:rFonts w:hint="eastAsia" w:ascii="Times New Roman" w:hAnsi="Times New Roman" w:eastAsia="宋体" w:cs="Times New Roman"/>
          <w:b/>
          <w:bCs/>
          <w:sz w:val="28"/>
          <w:szCs w:val="28"/>
          <w:highlight w:val="none"/>
          <w:lang w:val="zh-CN"/>
        </w:rPr>
        <w:t>包装及运输</w:t>
      </w:r>
      <w:bookmarkEnd w:id="19"/>
    </w:p>
    <w:p w14:paraId="0CB1E171">
      <w:pPr>
        <w:numPr>
          <w:ilvl w:val="0"/>
          <w:numId w:val="15"/>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须按照国家、地方或者行业的包装要求和运输规范将</w:t>
      </w:r>
      <w:r>
        <w:rPr>
          <w:rFonts w:hint="eastAsia" w:cs="Times New Roman"/>
          <w:sz w:val="24"/>
          <w:highlight w:val="none"/>
          <w:lang w:val="zh-CN"/>
        </w:rPr>
        <w:t>聚合氯化铝（PAC）</w:t>
      </w:r>
      <w:r>
        <w:rPr>
          <w:rFonts w:hint="eastAsia" w:ascii="Times New Roman" w:hAnsi="Times New Roman" w:eastAsia="宋体" w:cs="Times New Roman"/>
          <w:sz w:val="24"/>
          <w:highlight w:val="none"/>
          <w:lang w:val="zh-CN"/>
        </w:rPr>
        <w:t>运输至</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指定的地址，并按照国家相关规范完成装卸搬运工作，运输车辆不得混运其他货物。在运送过程中，须办理道路通行证或须夜间运送的由</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办理和承担。如</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收货地址变更，应提前告知</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w:t>
      </w:r>
    </w:p>
    <w:p w14:paraId="0AE80AE8">
      <w:pPr>
        <w:numPr>
          <w:ilvl w:val="0"/>
          <w:numId w:val="15"/>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收货地址：象山天子岭生物能源有限公司，宁波市象山县东陈乡水桶岙。</w:t>
      </w:r>
    </w:p>
    <w:p w14:paraId="2F1B1EB5">
      <w:pPr>
        <w:numPr>
          <w:ilvl w:val="0"/>
          <w:numId w:val="15"/>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同意为</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提供7*24小时送货服务，满足</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应急供货需求。</w:t>
      </w:r>
    </w:p>
    <w:p w14:paraId="3EE2F917">
      <w:pPr>
        <w:numPr>
          <w:ilvl w:val="0"/>
          <w:numId w:val="15"/>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运输、卸货、停放必须遵守</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场内车辆、人员管理规定，做到有序排队进园区、有序停放、安全运输、走备案路线、安全卸货、服从指挥。</w:t>
      </w:r>
    </w:p>
    <w:p w14:paraId="3C1CAFBB">
      <w:pPr>
        <w:numPr>
          <w:ilvl w:val="0"/>
          <w:numId w:val="15"/>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运输及装卸过程中，随车应配备人员防护用品，严禁抛洒滴漏，如发生抛洒滴漏状况，</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必须立即清理干净；</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运输及装卸货品全过程安全责任由</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自行承担。</w:t>
      </w:r>
    </w:p>
    <w:p w14:paraId="6ACF2F33">
      <w:pPr>
        <w:numPr>
          <w:ilvl w:val="0"/>
          <w:numId w:val="15"/>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货物无论数量多少采用何种运输方式，采取何种包装，产品必须完整安全按时到达</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交货地。</w:t>
      </w:r>
    </w:p>
    <w:p w14:paraId="1666DCB0">
      <w:pPr>
        <w:numPr>
          <w:ilvl w:val="0"/>
          <w:numId w:val="12"/>
        </w:numPr>
        <w:autoSpaceDE w:val="0"/>
        <w:autoSpaceDN w:val="0"/>
        <w:adjustRightInd w:val="0"/>
        <w:spacing w:line="360" w:lineRule="auto"/>
        <w:rPr>
          <w:rFonts w:hint="eastAsia" w:ascii="Times New Roman" w:hAnsi="Times New Roman" w:eastAsia="宋体" w:cs="Times New Roman"/>
          <w:b/>
          <w:bCs/>
          <w:sz w:val="28"/>
          <w:szCs w:val="28"/>
          <w:highlight w:val="none"/>
          <w:lang w:val="zh-CN"/>
        </w:rPr>
      </w:pPr>
      <w:bookmarkStart w:id="20" w:name="_Toc26129"/>
      <w:r>
        <w:rPr>
          <w:rFonts w:hint="eastAsia" w:ascii="Times New Roman" w:hAnsi="Times New Roman" w:eastAsia="宋体" w:cs="Times New Roman"/>
          <w:b/>
          <w:bCs/>
          <w:sz w:val="28"/>
          <w:szCs w:val="28"/>
          <w:highlight w:val="none"/>
          <w:lang w:val="zh-CN"/>
        </w:rPr>
        <w:t>验收要求、标准</w:t>
      </w:r>
      <w:bookmarkEnd w:id="20"/>
    </w:p>
    <w:p w14:paraId="185D5519">
      <w:pPr>
        <w:numPr>
          <w:ilvl w:val="0"/>
          <w:numId w:val="16"/>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到货验收：采购人</w:t>
      </w:r>
      <w:r>
        <w:rPr>
          <w:rFonts w:hint="eastAsia" w:ascii="Times New Roman" w:hAnsi="Times New Roman" w:eastAsia="宋体" w:cs="Times New Roman"/>
          <w:sz w:val="24"/>
          <w:highlight w:val="none"/>
          <w:lang w:val="zh-CN"/>
        </w:rPr>
        <w:t>、</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现场对照合同要求对货品的送货清单、到货数量、质量证明书等进行验收，到货数量以包装袋出厂标明的净含量乘以袋数为准、</w:t>
      </w:r>
      <w:r>
        <w:rPr>
          <w:rFonts w:hint="eastAsia" w:cs="Times New Roman"/>
          <w:sz w:val="24"/>
          <w:highlight w:val="none"/>
          <w:lang w:val="en-US" w:eastAsia="zh-CN"/>
        </w:rPr>
        <w:t>采购人</w:t>
      </w:r>
      <w:r>
        <w:rPr>
          <w:rFonts w:hint="eastAsia" w:ascii="Times New Roman" w:hAnsi="Times New Roman" w:eastAsia="宋体" w:cs="Times New Roman"/>
          <w:sz w:val="24"/>
          <w:highlight w:val="none"/>
          <w:lang w:val="zh-CN"/>
        </w:rPr>
        <w:t>随机按包装袋标明的重量进行抽样称重为辅，误差在±2%内视为符合。以上项目均符合</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要求则到货验收合格，入库暂存；有任一项未通过则到货验收不合格，退货处理，</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应在24小时内完成重新供货。未进行检测验收的货物以到货验收结果作为最终验收结果。</w:t>
      </w:r>
    </w:p>
    <w:p w14:paraId="00AEAFB0">
      <w:pPr>
        <w:numPr>
          <w:ilvl w:val="0"/>
          <w:numId w:val="16"/>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检测验收：</w:t>
      </w:r>
    </w:p>
    <w:p w14:paraId="6DE9999C">
      <w:pPr>
        <w:numPr>
          <w:ilvl w:val="0"/>
          <w:numId w:val="17"/>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批次的定义：以单车所运货物为一批次。</w:t>
      </w:r>
    </w:p>
    <w:p w14:paraId="291A019C">
      <w:pPr>
        <w:numPr>
          <w:ilvl w:val="0"/>
          <w:numId w:val="17"/>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取样：使用洁净干燥的容器，分装2份密封，一份用于检测，一份封存保留30天备用。供应商取样验收确认人员须在采购人货物取样单上签名，如供应商拒绝配合取样，则采购人可以单方取样且视为供应商对采购人取样以及检验结果无异议。</w:t>
      </w:r>
    </w:p>
    <w:p w14:paraId="50286E8C">
      <w:pPr>
        <w:numPr>
          <w:ilvl w:val="0"/>
          <w:numId w:val="17"/>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第三方检测机构检测：采购人按需不定期对</w:t>
      </w:r>
      <w:r>
        <w:rPr>
          <w:rFonts w:hint="eastAsia" w:ascii="Times New Roman" w:hAnsi="Times New Roman" w:eastAsia="宋体" w:cs="Times New Roman"/>
          <w:sz w:val="24"/>
          <w:highlight w:val="none"/>
          <w:lang w:val="zh-CN"/>
        </w:rPr>
        <w:t>货物</w:t>
      </w:r>
      <w:r>
        <w:rPr>
          <w:rFonts w:hint="eastAsia" w:ascii="Times New Roman" w:hAnsi="Times New Roman" w:eastAsia="宋体" w:cs="Times New Roman"/>
          <w:sz w:val="24"/>
          <w:highlight w:val="none"/>
          <w:lang w:val="en-US" w:eastAsia="zh-CN"/>
        </w:rPr>
        <w:t>进行第三方检测机构送检，供应商需认可有资质的检测单位出具的检测数据。</w:t>
      </w:r>
      <w:r>
        <w:rPr>
          <w:rFonts w:hint="eastAsia" w:cs="Times New Roman"/>
          <w:sz w:val="24"/>
          <w:highlight w:val="none"/>
          <w:lang w:val="en-US" w:eastAsia="zh-CN"/>
        </w:rPr>
        <w:t>氧化铝</w:t>
      </w:r>
      <w:r>
        <w:rPr>
          <w:rFonts w:hint="eastAsia" w:ascii="Times New Roman" w:hAnsi="Times New Roman" w:eastAsia="宋体" w:cs="Times New Roman"/>
          <w:sz w:val="24"/>
          <w:highlight w:val="none"/>
          <w:lang w:val="en-US" w:eastAsia="zh-CN"/>
        </w:rPr>
        <w:t>（</w:t>
      </w:r>
      <w:r>
        <w:rPr>
          <w:rFonts w:hint="default" w:ascii="Times New Roman" w:hAnsi="Times New Roman" w:eastAsia="宋体" w:cs="Times New Roman"/>
          <w:color w:val="auto"/>
          <w:sz w:val="24"/>
          <w:szCs w:val="24"/>
          <w:highlight w:val="none"/>
          <w:vertAlign w:val="baseline"/>
          <w:lang w:val="en-US" w:eastAsia="zh-CN"/>
        </w:rPr>
        <w:t>Al2O3</w:t>
      </w:r>
      <w:r>
        <w:rPr>
          <w:rFonts w:hint="eastAsia" w:ascii="Times New Roman" w:hAnsi="Times New Roman" w:eastAsia="宋体" w:cs="Times New Roman"/>
          <w:sz w:val="24"/>
          <w:highlight w:val="none"/>
          <w:lang w:val="en-US" w:eastAsia="zh-CN"/>
        </w:rPr>
        <w:t>）质量分数在合同期内不少于</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次送第三方检测验收，其他指标在合同期内不少于1次送第三方检测验收。检验结果中若有一项指标不符合标准要求时，则判该批</w:t>
      </w:r>
      <w:r>
        <w:rPr>
          <w:rFonts w:hint="eastAsia" w:ascii="Times New Roman" w:hAnsi="Times New Roman" w:eastAsia="宋体" w:cs="Times New Roman"/>
          <w:sz w:val="24"/>
          <w:highlight w:val="none"/>
          <w:lang w:val="zh-CN"/>
        </w:rPr>
        <w:t>货物</w:t>
      </w:r>
      <w:r>
        <w:rPr>
          <w:rFonts w:hint="eastAsia" w:ascii="Times New Roman" w:hAnsi="Times New Roman" w:eastAsia="宋体" w:cs="Times New Roman"/>
          <w:sz w:val="24"/>
          <w:highlight w:val="none"/>
          <w:lang w:val="en-US" w:eastAsia="zh-CN"/>
        </w:rPr>
        <w:t>为不合格产品。如采购人对同批次</w:t>
      </w:r>
      <w:r>
        <w:rPr>
          <w:rFonts w:hint="eastAsia" w:ascii="Times New Roman" w:hAnsi="Times New Roman" w:eastAsia="宋体" w:cs="Times New Roman"/>
          <w:sz w:val="24"/>
          <w:highlight w:val="none"/>
          <w:lang w:val="zh-CN"/>
        </w:rPr>
        <w:t>货物</w:t>
      </w:r>
      <w:r>
        <w:rPr>
          <w:rFonts w:hint="eastAsia" w:ascii="Times New Roman" w:hAnsi="Times New Roman" w:eastAsia="宋体" w:cs="Times New Roman"/>
          <w:sz w:val="24"/>
          <w:highlight w:val="none"/>
          <w:lang w:val="en-US" w:eastAsia="zh-CN"/>
        </w:rPr>
        <w:t>多次送检的，则以最近一次的检验结果为准。</w:t>
      </w:r>
    </w:p>
    <w:p w14:paraId="1D66DBDE">
      <w:pPr>
        <w:numPr>
          <w:ilvl w:val="0"/>
          <w:numId w:val="17"/>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上述第三方检测机构检定的检测费用以第三方检测单位的检测结果是否合格为依据，若第三方检测机构检测结果合格时，检测费用由采购人支付；若检测结果不合格时，检测费用由供应商支付。</w:t>
      </w:r>
    </w:p>
    <w:p w14:paraId="1F763916">
      <w:pPr>
        <w:numPr>
          <w:ilvl w:val="0"/>
          <w:numId w:val="17"/>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进行检测验收的货物需到货验收及检测验收均合格视为最终验收合格。</w:t>
      </w:r>
    </w:p>
    <w:p w14:paraId="214AA8DD">
      <w:pPr>
        <w:numPr>
          <w:ilvl w:val="0"/>
          <w:numId w:val="12"/>
        </w:numPr>
        <w:autoSpaceDE w:val="0"/>
        <w:autoSpaceDN w:val="0"/>
        <w:adjustRightInd w:val="0"/>
        <w:spacing w:line="360" w:lineRule="auto"/>
        <w:rPr>
          <w:rFonts w:hint="eastAsia" w:ascii="Times New Roman" w:hAnsi="Times New Roman" w:eastAsia="宋体" w:cs="Times New Roman"/>
          <w:b/>
          <w:bCs/>
          <w:sz w:val="28"/>
          <w:szCs w:val="28"/>
          <w:highlight w:val="none"/>
          <w:lang w:val="zh-CN"/>
        </w:rPr>
      </w:pPr>
      <w:bookmarkStart w:id="21" w:name="_Toc25738"/>
      <w:r>
        <w:rPr>
          <w:rFonts w:hint="eastAsia" w:ascii="Times New Roman" w:hAnsi="Times New Roman" w:eastAsia="宋体" w:cs="Times New Roman"/>
          <w:b/>
          <w:bCs/>
          <w:sz w:val="28"/>
          <w:szCs w:val="28"/>
          <w:highlight w:val="none"/>
          <w:lang w:val="zh-CN"/>
        </w:rPr>
        <w:t>结算及货款支付</w:t>
      </w:r>
      <w:bookmarkEnd w:id="21"/>
    </w:p>
    <w:p w14:paraId="4D9F0B87">
      <w:pPr>
        <w:numPr>
          <w:ilvl w:val="0"/>
          <w:numId w:val="18"/>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货款在产品最终验收合格后，</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至</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处办理结算手续，原则上每</w:t>
      </w:r>
      <w:r>
        <w:rPr>
          <w:rFonts w:hint="eastAsia" w:ascii="Times New Roman" w:hAnsi="Times New Roman" w:eastAsia="宋体" w:cs="Times New Roman"/>
          <w:sz w:val="24"/>
          <w:highlight w:val="none"/>
          <w:lang w:val="en-US" w:eastAsia="zh-CN"/>
        </w:rPr>
        <w:t>月</w:t>
      </w:r>
      <w:r>
        <w:rPr>
          <w:rFonts w:hint="eastAsia" w:ascii="Times New Roman" w:hAnsi="Times New Roman" w:eastAsia="宋体" w:cs="Times New Roman"/>
          <w:sz w:val="24"/>
          <w:highlight w:val="none"/>
          <w:lang w:val="zh-CN"/>
        </w:rPr>
        <w:t>为一个结算周期。双方根据最终验收合格的货量和单价结算货款。</w:t>
      </w:r>
    </w:p>
    <w:p w14:paraId="2175CF65">
      <w:pPr>
        <w:numPr>
          <w:ilvl w:val="0"/>
          <w:numId w:val="18"/>
        </w:numPr>
        <w:spacing w:line="360" w:lineRule="auto"/>
        <w:ind w:left="425" w:leftChars="0" w:hanging="425" w:firstLineChars="0"/>
        <w:rPr>
          <w:rFonts w:hint="eastAsia"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每次付款自双方款项确认完成并收到</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提交的合法等额的增值税专用发票后15个工作日内安排支付，</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必须确保提交发票的真实性、合法性，严禁虚开、假开、冒开、代开发票，否则造成</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无法抵扣</w:t>
      </w:r>
      <w:r>
        <w:rPr>
          <w:rFonts w:hint="eastAsia" w:cs="Times New Roman"/>
          <w:sz w:val="24"/>
          <w:highlight w:val="none"/>
          <w:lang w:val="zh-CN"/>
        </w:rPr>
        <w:t>或者</w:t>
      </w:r>
      <w:r>
        <w:rPr>
          <w:rFonts w:hint="eastAsia" w:ascii="Times New Roman" w:hAnsi="Times New Roman" w:eastAsia="宋体" w:cs="Times New Roman"/>
          <w:sz w:val="24"/>
          <w:highlight w:val="none"/>
          <w:lang w:val="zh-CN"/>
        </w:rPr>
        <w:t>损失的，</w:t>
      </w:r>
      <w:r>
        <w:rPr>
          <w:rFonts w:hint="eastAsia" w:ascii="Times New Roman" w:hAnsi="Times New Roman" w:eastAsia="宋体" w:cs="Times New Roman"/>
          <w:sz w:val="24"/>
          <w:highlight w:val="none"/>
          <w:lang w:val="en-US" w:eastAsia="zh-CN"/>
        </w:rPr>
        <w:t>供应商</w:t>
      </w:r>
      <w:r>
        <w:rPr>
          <w:rFonts w:hint="eastAsia" w:ascii="Times New Roman" w:hAnsi="Times New Roman" w:eastAsia="宋体" w:cs="Times New Roman"/>
          <w:sz w:val="24"/>
          <w:highlight w:val="none"/>
          <w:lang w:val="zh-CN"/>
        </w:rPr>
        <w:t>除了承担</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全部实际损失赔偿外，还应赔偿</w:t>
      </w:r>
      <w:r>
        <w:rPr>
          <w:rFonts w:hint="eastAsia" w:ascii="Times New Roman" w:hAnsi="Times New Roman" w:eastAsia="宋体" w:cs="Times New Roman"/>
          <w:sz w:val="24"/>
          <w:highlight w:val="none"/>
          <w:lang w:val="en-US" w:eastAsia="zh-CN"/>
        </w:rPr>
        <w:t>采购人</w:t>
      </w:r>
      <w:r>
        <w:rPr>
          <w:rFonts w:hint="eastAsia" w:ascii="Times New Roman" w:hAnsi="Times New Roman" w:eastAsia="宋体" w:cs="Times New Roman"/>
          <w:sz w:val="24"/>
          <w:highlight w:val="none"/>
          <w:lang w:val="zh-CN"/>
        </w:rPr>
        <w:t>实际损失金额2倍的赔偿金。</w:t>
      </w:r>
    </w:p>
    <w:p w14:paraId="6334056F">
      <w:pPr>
        <w:numPr>
          <w:ilvl w:val="0"/>
          <w:numId w:val="12"/>
        </w:numPr>
        <w:autoSpaceDE w:val="0"/>
        <w:autoSpaceDN w:val="0"/>
        <w:adjustRightInd w:val="0"/>
        <w:spacing w:line="360" w:lineRule="auto"/>
        <w:rPr>
          <w:rFonts w:hint="eastAsia" w:ascii="Times New Roman" w:hAnsi="Times New Roman" w:eastAsia="宋体" w:cs="Times New Roman"/>
          <w:b/>
          <w:bCs/>
          <w:sz w:val="28"/>
          <w:szCs w:val="28"/>
          <w:highlight w:val="none"/>
          <w:lang w:val="zh-CN"/>
        </w:rPr>
      </w:pPr>
      <w:bookmarkStart w:id="22" w:name="_Toc926"/>
      <w:r>
        <w:rPr>
          <w:rFonts w:hint="eastAsia" w:ascii="Times New Roman" w:hAnsi="Times New Roman" w:eastAsia="宋体" w:cs="Times New Roman"/>
          <w:b/>
          <w:bCs/>
          <w:sz w:val="28"/>
          <w:szCs w:val="28"/>
          <w:highlight w:val="none"/>
          <w:lang w:val="zh-CN"/>
        </w:rPr>
        <w:t>质量保证及售后服务</w:t>
      </w:r>
      <w:bookmarkEnd w:id="22"/>
    </w:p>
    <w:p w14:paraId="3E89B176">
      <w:pPr>
        <w:numPr>
          <w:ilvl w:val="0"/>
          <w:numId w:val="19"/>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供应商应按采购文件规定的货物性能、技术要求、质量标准向采购人提供未经使用的全新产品。</w:t>
      </w:r>
    </w:p>
    <w:p w14:paraId="6F341926">
      <w:pPr>
        <w:numPr>
          <w:ilvl w:val="0"/>
          <w:numId w:val="19"/>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货物质保期</w:t>
      </w:r>
      <w:r>
        <w:rPr>
          <w:rFonts w:hint="eastAsia" w:cs="Times New Roman"/>
          <w:sz w:val="24"/>
          <w:highlight w:val="none"/>
          <w:lang w:val="en-US" w:eastAsia="zh-CN"/>
        </w:rPr>
        <w:t>为</w:t>
      </w:r>
      <w:r>
        <w:rPr>
          <w:rFonts w:hint="eastAsia" w:ascii="Times New Roman" w:hAnsi="Times New Roman" w:eastAsia="宋体" w:cs="Times New Roman"/>
          <w:sz w:val="24"/>
          <w:highlight w:val="none"/>
          <w:lang w:val="en-US" w:eastAsia="zh-CN"/>
        </w:rPr>
        <w:t>货物验收合格之日起不少于三个月。</w:t>
      </w:r>
    </w:p>
    <w:p w14:paraId="394E0069">
      <w:pPr>
        <w:numPr>
          <w:ilvl w:val="0"/>
          <w:numId w:val="19"/>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供应商保证在交货且初步验收后按照采购人要求办理出入库的有关手续。在货物使用过程中，如采购人生产出现异常问题，供应商应随时响应采购人的要求，必要时24小时到场，指派技术人员提供免费现场指导，解决实际问题。如确系货物质量问题，供应商应当立即退换货。期间供应商技术人员所产生的一切费用由供应商自行承担。</w:t>
      </w:r>
    </w:p>
    <w:p w14:paraId="63F6F72A">
      <w:pPr>
        <w:numPr>
          <w:ilvl w:val="0"/>
          <w:numId w:val="19"/>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供应商应具备解决紧急问题的能力，如采购人在使用产品过程中发现问题，供应商应及时到现场解决。针对采购人临时性异常情况，供应商能提供针对性的专门方案或特制产品，以保障采购人工艺安全，供应商也支持采购人临时向供应商之外的供应商采购满足特定需求该类产品的行动。</w:t>
      </w:r>
    </w:p>
    <w:p w14:paraId="1E92EC57">
      <w:pPr>
        <w:numPr>
          <w:ilvl w:val="0"/>
          <w:numId w:val="19"/>
        </w:numPr>
        <w:spacing w:line="360" w:lineRule="auto"/>
        <w:ind w:left="425" w:leftChars="0" w:hanging="425" w:firstLineChars="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供应商不能提供或不能满足质保和售后服务的，采购人有权另行委托第三方供货。</w:t>
      </w:r>
    </w:p>
    <w:p w14:paraId="0891D06A">
      <w:pPr>
        <w:spacing w:line="500" w:lineRule="exact"/>
        <w:ind w:firstLine="422" w:firstLineChars="151"/>
        <w:rPr>
          <w:rFonts w:hint="eastAsia" w:ascii="仿宋_GB2312" w:hAnsi="Times New Roman" w:eastAsia="仿宋_GB2312" w:cs="Times New Roman"/>
          <w:bCs/>
          <w:sz w:val="28"/>
          <w:szCs w:val="28"/>
          <w:highlight w:val="none"/>
          <w:lang w:val="en-US" w:eastAsia="zh-CN"/>
        </w:rPr>
      </w:pPr>
    </w:p>
    <w:p w14:paraId="1A7126F2">
      <w:pPr>
        <w:spacing w:line="360" w:lineRule="auto"/>
        <w:rPr>
          <w:rFonts w:hint="eastAsia"/>
          <w:sz w:val="24"/>
          <w:highlight w:val="none"/>
        </w:rPr>
      </w:pPr>
    </w:p>
    <w:p w14:paraId="4135DA15">
      <w:pPr>
        <w:spacing w:line="500" w:lineRule="atLeast"/>
        <w:rPr>
          <w:rFonts w:ascii="宋体" w:hAnsi="宋体" w:cs="宋体"/>
          <w:b/>
          <w:color w:val="auto"/>
          <w:sz w:val="24"/>
          <w:highlight w:val="none"/>
        </w:rPr>
      </w:pPr>
    </w:p>
    <w:p w14:paraId="3D7A0EA2">
      <w:pPr>
        <w:pStyle w:val="5"/>
        <w:rPr>
          <w:rFonts w:hint="eastAsia" w:ascii="宋体" w:hAnsi="宋体"/>
          <w:color w:val="auto"/>
          <w:highlight w:val="none"/>
        </w:rPr>
        <w:sectPr>
          <w:pgSz w:w="11907" w:h="16840"/>
          <w:pgMar w:top="1134" w:right="1134" w:bottom="1418" w:left="1418" w:header="510" w:footer="510" w:gutter="0"/>
          <w:cols w:space="720" w:num="1"/>
        </w:sectPr>
      </w:pPr>
    </w:p>
    <w:p w14:paraId="171E4DF7">
      <w:pPr>
        <w:autoSpaceDE w:val="0"/>
        <w:autoSpaceDN w:val="0"/>
        <w:spacing w:line="480" w:lineRule="exact"/>
        <w:textAlignment w:val="bottom"/>
        <w:rPr>
          <w:rFonts w:ascii="宋体" w:hAnsi="宋体"/>
          <w:b/>
          <w:bCs/>
          <w:color w:val="auto"/>
          <w:szCs w:val="36"/>
          <w:highlight w:val="none"/>
        </w:rPr>
      </w:pPr>
    </w:p>
    <w:p w14:paraId="71F40C56">
      <w:pPr>
        <w:pStyle w:val="2"/>
        <w:numPr>
          <w:ilvl w:val="0"/>
          <w:numId w:val="5"/>
        </w:numPr>
        <w:spacing w:line="560" w:lineRule="exact"/>
        <w:ind w:left="0" w:leftChars="0" w:firstLine="0" w:firstLineChars="0"/>
        <w:rPr>
          <w:rFonts w:hint="eastAsia" w:ascii="Times New Roman" w:hAnsi="Times New Roman" w:eastAsia="小标宋" w:cs="Times New Roman"/>
          <w:b w:val="0"/>
          <w:bCs w:val="0"/>
          <w:sz w:val="36"/>
          <w:szCs w:val="36"/>
          <w:highlight w:val="none"/>
          <w:lang w:val="en-US" w:eastAsia="zh-CN"/>
        </w:rPr>
      </w:pPr>
      <w:bookmarkStart w:id="23" w:name="_Toc32441"/>
      <w:r>
        <w:rPr>
          <w:rFonts w:hint="eastAsia" w:ascii="Times New Roman" w:hAnsi="Times New Roman" w:eastAsia="小标宋" w:cs="Times New Roman"/>
          <w:b w:val="0"/>
          <w:bCs w:val="0"/>
          <w:sz w:val="36"/>
          <w:szCs w:val="36"/>
          <w:highlight w:val="none"/>
          <w:lang w:val="en-US" w:eastAsia="zh-CN"/>
        </w:rPr>
        <w:t>合同主要条款</w:t>
      </w:r>
      <w:bookmarkEnd w:id="23"/>
    </w:p>
    <w:p w14:paraId="2230B1E8">
      <w:pPr>
        <w:pStyle w:val="7"/>
        <w:adjustRightInd w:val="0"/>
        <w:snapToGrid w:val="0"/>
        <w:spacing w:line="500" w:lineRule="exact"/>
        <w:outlineLvl w:val="0"/>
        <w:rPr>
          <w:rFonts w:hAnsi="宋体"/>
          <w:b/>
          <w:bCs/>
          <w:color w:val="auto"/>
          <w:sz w:val="36"/>
          <w:szCs w:val="36"/>
          <w:highlight w:val="none"/>
          <w:lang w:val="zh-CN"/>
        </w:rPr>
      </w:pPr>
    </w:p>
    <w:p w14:paraId="2DC96BB5">
      <w:pPr>
        <w:pStyle w:val="7"/>
        <w:adjustRightInd w:val="0"/>
        <w:snapToGrid w:val="0"/>
        <w:spacing w:line="360" w:lineRule="auto"/>
        <w:jc w:val="center"/>
        <w:outlineLvl w:val="0"/>
        <w:rPr>
          <w:rFonts w:ascii="Times New Roman" w:hAnsi="Times New Roman"/>
          <w:b/>
          <w:bCs/>
          <w:szCs w:val="21"/>
          <w:highlight w:val="none"/>
          <w:lang w:val="zh-CN"/>
        </w:rPr>
      </w:pPr>
      <w:bookmarkStart w:id="24" w:name="_Toc28187"/>
      <w:bookmarkStart w:id="25" w:name="_Toc2229"/>
      <w:bookmarkStart w:id="26" w:name="_Toc425"/>
      <w:r>
        <w:rPr>
          <w:rFonts w:ascii="Times New Roman" w:hAnsi="Times New Roman"/>
          <w:szCs w:val="21"/>
          <w:highlight w:val="none"/>
        </w:rPr>
        <w:t>（仅供参考，以实际签订为准）</w:t>
      </w:r>
      <w:bookmarkEnd w:id="24"/>
      <w:bookmarkEnd w:id="25"/>
      <w:bookmarkEnd w:id="26"/>
    </w:p>
    <w:p w14:paraId="1FA3FEE3">
      <w:pPr>
        <w:spacing w:line="360" w:lineRule="auto"/>
        <w:jc w:val="center"/>
        <w:rPr>
          <w:rFonts w:ascii="宋体" w:hAnsi="宋体" w:cs="仿宋"/>
          <w:bCs/>
          <w:color w:val="auto"/>
          <w:szCs w:val="44"/>
          <w:highlight w:val="none"/>
        </w:rPr>
      </w:pPr>
    </w:p>
    <w:p w14:paraId="0D0D0A9D">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象山天子岭生物能源有限公司</w:t>
      </w:r>
    </w:p>
    <w:p w14:paraId="34CBD7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CC133EC">
      <w:pPr>
        <w:spacing w:line="360" w:lineRule="auto"/>
        <w:ind w:firstLine="520" w:firstLineChars="217"/>
        <w:rPr>
          <w:rFonts w:hint="eastAsia" w:ascii="宋体" w:hAnsi="宋体" w:cs="宋体"/>
          <w:color w:val="auto"/>
          <w:sz w:val="24"/>
          <w:highlight w:val="none"/>
        </w:rPr>
      </w:pPr>
      <w:r>
        <w:rPr>
          <w:rFonts w:hint="eastAsia" w:ascii="宋体" w:hAnsi="宋体" w:cs="宋体"/>
          <w:color w:val="auto"/>
          <w:kern w:val="0"/>
          <w:sz w:val="24"/>
          <w:highlight w:val="none"/>
        </w:rPr>
        <w:t>根据《中华人民共和国民法典》等法律法规</w:t>
      </w:r>
      <w:r>
        <w:rPr>
          <w:rFonts w:hint="eastAsia" w:ascii="宋体" w:hAnsi="宋体" w:cs="宋体"/>
          <w:color w:val="auto"/>
          <w:sz w:val="24"/>
          <w:highlight w:val="none"/>
        </w:rPr>
        <w:t>及询价文件的</w:t>
      </w:r>
      <w:r>
        <w:rPr>
          <w:rFonts w:hint="eastAsia" w:ascii="宋体" w:hAnsi="宋体" w:cs="宋体"/>
          <w:color w:val="auto"/>
          <w:kern w:val="0"/>
          <w:sz w:val="24"/>
          <w:highlight w:val="none"/>
        </w:rPr>
        <w:t>要求，双方经公开询价并协商一致，</w:t>
      </w:r>
      <w:r>
        <w:rPr>
          <w:rFonts w:hint="eastAsia" w:ascii="宋体" w:hAnsi="宋体" w:cs="宋体"/>
          <w:color w:val="auto"/>
          <w:sz w:val="24"/>
          <w:highlight w:val="none"/>
        </w:rPr>
        <w:t>达成如下条款：</w:t>
      </w:r>
    </w:p>
    <w:p w14:paraId="52BD1A95">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rPr>
        <w:t>一、采购内容</w:t>
      </w:r>
    </w:p>
    <w:tbl>
      <w:tblPr>
        <w:tblStyle w:val="14"/>
        <w:tblW w:w="500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0" w:type="dxa"/>
          <w:bottom w:w="0" w:type="dxa"/>
          <w:right w:w="0" w:type="dxa"/>
        </w:tblCellMar>
      </w:tblPr>
      <w:tblGrid>
        <w:gridCol w:w="558"/>
        <w:gridCol w:w="1109"/>
        <w:gridCol w:w="3017"/>
        <w:gridCol w:w="1860"/>
        <w:gridCol w:w="1731"/>
        <w:gridCol w:w="1088"/>
      </w:tblGrid>
      <w:tr w14:paraId="2BC359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8" w:type="pct"/>
            <w:tcBorders>
              <w:top w:val="single" w:color="auto" w:sz="2" w:space="0"/>
              <w:left w:val="single" w:color="auto" w:sz="2" w:space="0"/>
              <w:bottom w:val="single" w:color="auto" w:sz="4" w:space="0"/>
              <w:right w:val="single" w:color="auto" w:sz="4" w:space="0"/>
            </w:tcBorders>
            <w:noWrap w:val="0"/>
            <w:vAlign w:val="center"/>
          </w:tcPr>
          <w:p w14:paraId="215F490C">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序号</w:t>
            </w:r>
          </w:p>
        </w:tc>
        <w:tc>
          <w:tcPr>
            <w:tcW w:w="592" w:type="pct"/>
            <w:tcBorders>
              <w:top w:val="single" w:color="auto" w:sz="2" w:space="0"/>
              <w:left w:val="single" w:color="auto" w:sz="4" w:space="0"/>
              <w:bottom w:val="single" w:color="auto" w:sz="4" w:space="0"/>
              <w:right w:val="single" w:color="auto" w:sz="4" w:space="0"/>
            </w:tcBorders>
            <w:noWrap w:val="0"/>
            <w:vAlign w:val="center"/>
          </w:tcPr>
          <w:p w14:paraId="182FF1C6">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货物名称</w:t>
            </w:r>
          </w:p>
        </w:tc>
        <w:tc>
          <w:tcPr>
            <w:tcW w:w="1610" w:type="pct"/>
            <w:tcBorders>
              <w:top w:val="single" w:color="auto" w:sz="2" w:space="0"/>
              <w:left w:val="single" w:color="auto" w:sz="4" w:space="0"/>
              <w:bottom w:val="single" w:color="auto" w:sz="4" w:space="0"/>
              <w:right w:val="single" w:color="auto" w:sz="4" w:space="0"/>
            </w:tcBorders>
            <w:noWrap w:val="0"/>
            <w:vAlign w:val="center"/>
          </w:tcPr>
          <w:p w14:paraId="6C5B1FF7">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指标</w:t>
            </w:r>
            <w:r>
              <w:rPr>
                <w:rFonts w:hint="eastAsia" w:ascii="Times New Roman" w:hAnsi="Times New Roman" w:eastAsia="宋体" w:cs="Times New Roman"/>
                <w:color w:val="auto"/>
                <w:sz w:val="24"/>
                <w:highlight w:val="none"/>
              </w:rPr>
              <w:t>参数</w:t>
            </w:r>
          </w:p>
        </w:tc>
        <w:tc>
          <w:tcPr>
            <w:tcW w:w="993" w:type="pct"/>
            <w:tcBorders>
              <w:top w:val="single" w:color="auto" w:sz="2" w:space="0"/>
              <w:left w:val="single" w:color="auto" w:sz="4" w:space="0"/>
              <w:bottom w:val="single" w:color="auto" w:sz="4" w:space="0"/>
              <w:right w:val="single" w:color="auto" w:sz="4" w:space="0"/>
            </w:tcBorders>
            <w:noWrap w:val="0"/>
            <w:vAlign w:val="center"/>
          </w:tcPr>
          <w:p w14:paraId="22081E19">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预估数量（吨）</w:t>
            </w:r>
          </w:p>
        </w:tc>
        <w:tc>
          <w:tcPr>
            <w:tcW w:w="924" w:type="pct"/>
            <w:tcBorders>
              <w:top w:val="single" w:color="auto" w:sz="2" w:space="0"/>
              <w:left w:val="single" w:color="auto" w:sz="4" w:space="0"/>
              <w:bottom w:val="single" w:color="auto" w:sz="4" w:space="0"/>
              <w:right w:val="single" w:color="auto" w:sz="4" w:space="0"/>
            </w:tcBorders>
            <w:noWrap w:val="0"/>
            <w:vAlign w:val="center"/>
          </w:tcPr>
          <w:p w14:paraId="0DA48B8E">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含税单价（元）</w:t>
            </w:r>
          </w:p>
        </w:tc>
        <w:tc>
          <w:tcPr>
            <w:tcW w:w="580" w:type="pct"/>
            <w:tcBorders>
              <w:top w:val="single" w:color="auto" w:sz="2" w:space="0"/>
              <w:left w:val="single" w:color="auto" w:sz="4" w:space="0"/>
              <w:bottom w:val="single" w:color="auto" w:sz="4" w:space="0"/>
              <w:right w:val="single" w:color="auto" w:sz="2" w:space="0"/>
            </w:tcBorders>
            <w:noWrap w:val="0"/>
            <w:vAlign w:val="center"/>
          </w:tcPr>
          <w:p w14:paraId="343D5D26">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备注</w:t>
            </w:r>
          </w:p>
        </w:tc>
      </w:tr>
      <w:tr w14:paraId="3EF6E88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8" w:type="pct"/>
            <w:tcBorders>
              <w:top w:val="single" w:color="auto" w:sz="4" w:space="0"/>
              <w:left w:val="single" w:color="auto" w:sz="2" w:space="0"/>
              <w:bottom w:val="single" w:color="auto" w:sz="4" w:space="0"/>
              <w:right w:val="single" w:color="auto" w:sz="4" w:space="0"/>
            </w:tcBorders>
            <w:noWrap w:val="0"/>
            <w:vAlign w:val="center"/>
          </w:tcPr>
          <w:p w14:paraId="53CC2416">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w:t>
            </w:r>
          </w:p>
        </w:tc>
        <w:tc>
          <w:tcPr>
            <w:tcW w:w="59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B123BF">
            <w:pPr>
              <w:spacing w:line="4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eastAsia="zh-CN"/>
              </w:rPr>
              <w:t>聚合氯化铝（PAC）</w:t>
            </w:r>
          </w:p>
        </w:tc>
        <w:tc>
          <w:tcPr>
            <w:tcW w:w="161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80602D">
            <w:pPr>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氧化铝（Al2O3）的质量分数≥28％，黄色粉末状固体，包装要求为25㎏/袋，质量符合GB/T 22627-2022标准。</w:t>
            </w:r>
          </w:p>
        </w:tc>
        <w:tc>
          <w:tcPr>
            <w:tcW w:w="9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B61A81">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bCs/>
                <w:color w:val="auto"/>
                <w:sz w:val="24"/>
                <w:highlight w:val="none"/>
                <w:lang w:val="en-US" w:eastAsia="zh-CN"/>
              </w:rPr>
              <w:t>30</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761ED014">
            <w:pPr>
              <w:spacing w:line="400" w:lineRule="exact"/>
              <w:jc w:val="center"/>
              <w:rPr>
                <w:rFonts w:hint="eastAsia" w:ascii="Times New Roman" w:hAnsi="Times New Roman" w:eastAsia="宋体" w:cs="Times New Roman"/>
                <w:color w:val="auto"/>
                <w:sz w:val="24"/>
                <w:highlight w:val="none"/>
              </w:rPr>
            </w:pPr>
          </w:p>
        </w:tc>
        <w:tc>
          <w:tcPr>
            <w:tcW w:w="580" w:type="pct"/>
            <w:tcBorders>
              <w:top w:val="single" w:color="auto" w:sz="4" w:space="0"/>
              <w:left w:val="single" w:color="auto" w:sz="4" w:space="0"/>
              <w:bottom w:val="single" w:color="auto" w:sz="4" w:space="0"/>
              <w:right w:val="single" w:color="auto" w:sz="2" w:space="0"/>
            </w:tcBorders>
            <w:noWrap w:val="0"/>
            <w:vAlign w:val="center"/>
          </w:tcPr>
          <w:p w14:paraId="232A88C8">
            <w:pPr>
              <w:spacing w:line="400" w:lineRule="exact"/>
              <w:jc w:val="center"/>
              <w:rPr>
                <w:rFonts w:hint="eastAsia" w:ascii="Times New Roman" w:hAnsi="Times New Roman" w:eastAsia="宋体" w:cs="Times New Roman"/>
                <w:color w:val="auto"/>
                <w:sz w:val="24"/>
                <w:highlight w:val="none"/>
              </w:rPr>
            </w:pPr>
          </w:p>
        </w:tc>
      </w:tr>
      <w:tr w14:paraId="35F0B03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01" w:type="pct"/>
            <w:gridSpan w:val="3"/>
            <w:tcBorders>
              <w:top w:val="single" w:color="auto" w:sz="4" w:space="0"/>
              <w:left w:val="single" w:color="auto" w:sz="2" w:space="0"/>
              <w:bottom w:val="single" w:color="auto" w:sz="2" w:space="0"/>
              <w:right w:val="single" w:color="auto" w:sz="4" w:space="0"/>
            </w:tcBorders>
            <w:noWrap w:val="0"/>
            <w:vAlign w:val="center"/>
          </w:tcPr>
          <w:p w14:paraId="2027C54E">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合同暂定总价</w:t>
            </w:r>
          </w:p>
        </w:tc>
        <w:tc>
          <w:tcPr>
            <w:tcW w:w="2498" w:type="pct"/>
            <w:gridSpan w:val="3"/>
            <w:tcBorders>
              <w:top w:val="single" w:color="auto" w:sz="4" w:space="0"/>
              <w:left w:val="single" w:color="auto" w:sz="4" w:space="0"/>
              <w:bottom w:val="single" w:color="auto" w:sz="2" w:space="0"/>
              <w:right w:val="single" w:color="auto" w:sz="2" w:space="0"/>
            </w:tcBorders>
            <w:noWrap w:val="0"/>
            <w:vAlign w:val="center"/>
          </w:tcPr>
          <w:p w14:paraId="3A442FBF">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大写：</w:t>
            </w:r>
          </w:p>
          <w:p w14:paraId="5057F8CF">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小写：</w:t>
            </w:r>
            <w:r>
              <w:rPr>
                <w:rFonts w:ascii="Times New Roman" w:hAnsi="Times New Roman" w:eastAsia="宋体" w:cs="Times New Roman"/>
                <w:color w:val="auto"/>
                <w:sz w:val="24"/>
                <w:highlight w:val="none"/>
              </w:rPr>
              <w:t>¥</w:t>
            </w:r>
          </w:p>
        </w:tc>
      </w:tr>
    </w:tbl>
    <w:p w14:paraId="51C0A028">
      <w:pPr>
        <w:numPr>
          <w:ilvl w:val="0"/>
          <w:numId w:val="20"/>
        </w:num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本合同的货物数量根据</w:t>
      </w:r>
      <w:r>
        <w:rPr>
          <w:rFonts w:hint="eastAsia" w:ascii="宋体" w:hAnsi="宋体" w:cs="仿宋"/>
          <w:color w:val="auto"/>
          <w:kern w:val="0"/>
          <w:sz w:val="24"/>
          <w:highlight w:val="none"/>
          <w:lang w:val="en-US" w:eastAsia="zh-CN"/>
        </w:rPr>
        <w:t>甲方</w:t>
      </w:r>
      <w:r>
        <w:rPr>
          <w:rFonts w:hint="eastAsia" w:ascii="宋体" w:hAnsi="宋体" w:cs="仿宋"/>
          <w:color w:val="auto"/>
          <w:kern w:val="0"/>
          <w:sz w:val="24"/>
          <w:highlight w:val="none"/>
        </w:rPr>
        <w:t>实际用量按实结算，单价不变。</w:t>
      </w:r>
    </w:p>
    <w:p w14:paraId="49080955">
      <w:pPr>
        <w:numPr>
          <w:ilvl w:val="0"/>
          <w:numId w:val="20"/>
        </w:num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lang w:val="en-US" w:eastAsia="zh-CN"/>
        </w:rPr>
        <w:t>乙方</w:t>
      </w:r>
      <w:r>
        <w:rPr>
          <w:rFonts w:hint="eastAsia" w:ascii="宋体" w:hAnsi="宋体" w:cs="仿宋"/>
          <w:color w:val="auto"/>
          <w:kern w:val="0"/>
          <w:sz w:val="24"/>
          <w:highlight w:val="none"/>
        </w:rPr>
        <w:t>根据自身综合实力和市场价格，对完成本项目所需货物、服务内容进行综合报价，包括但不限于：货款及包装费、运输费及运输保险（如需）、装卸费、税费、服务费等所需的全部费用，报价应综合考虑范围内全部工作内容、服务承诺及不可预见风险等费用。</w:t>
      </w:r>
    </w:p>
    <w:p w14:paraId="1865841E">
      <w:pPr>
        <w:numPr>
          <w:ilvl w:val="0"/>
          <w:numId w:val="20"/>
        </w:num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市场价格波动、停产停供等一应风险由乙方承担，单价不作调整。</w:t>
      </w:r>
    </w:p>
    <w:p w14:paraId="441BD953">
      <w:pPr>
        <w:numPr>
          <w:ilvl w:val="0"/>
          <w:numId w:val="20"/>
        </w:num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本合同所载“预估数量”不视为甲方采购承诺，实际数量以甲方需求为准。乙方应清楚在合同供货期甲方存在减少供货需求或不需要供货的可能性，同时甲方不承担任何责任。</w:t>
      </w:r>
    </w:p>
    <w:p w14:paraId="4345E62B">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rPr>
        <w:t>二、供货期及交货方式</w:t>
      </w:r>
    </w:p>
    <w:p w14:paraId="6540128C">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1.供货期：合同签订之日起12个月（如甲方未完成该项目下次采购并确定</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，在本合同总金额未履约完的前提下，经甲方要求，乙方可继续履行该合同至甲方下次采购完成并确定</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）。乙方应清楚在合同供货期甲方存在不需要供货的可能性，同时甲方不承担任何责任。</w:t>
      </w:r>
    </w:p>
    <w:p w14:paraId="71A2FA5D">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2.交货方式：本次采购货物采用分批送货方式，每次按甲方实际需求量供货，乙方必须安全、按时（在甲方提出供货需求后的3日内）送达甲方指定地点（具体发货地点及相应的数量以发货前甲方具体通知为准）。</w:t>
      </w:r>
    </w:p>
    <w:p w14:paraId="78E61563">
      <w:pPr>
        <w:spacing w:line="400" w:lineRule="exact"/>
        <w:ind w:firstLine="482" w:firstLineChars="200"/>
        <w:rPr>
          <w:rFonts w:hint="eastAsia" w:ascii="宋体" w:hAnsi="宋体" w:eastAsia="宋体" w:cs="仿宋"/>
          <w:b/>
          <w:color w:val="auto"/>
          <w:kern w:val="0"/>
          <w:sz w:val="24"/>
          <w:highlight w:val="none"/>
        </w:rPr>
      </w:pPr>
      <w:r>
        <w:rPr>
          <w:rFonts w:hint="eastAsia" w:ascii="宋体" w:hAnsi="宋体" w:eastAsia="宋体" w:cs="仿宋"/>
          <w:b/>
          <w:color w:val="auto"/>
          <w:kern w:val="0"/>
          <w:sz w:val="24"/>
          <w:highlight w:val="none"/>
          <w:lang w:val="en-US" w:eastAsia="zh-CN"/>
        </w:rPr>
        <w:t>三</w:t>
      </w:r>
      <w:r>
        <w:rPr>
          <w:rFonts w:hint="eastAsia" w:ascii="宋体" w:hAnsi="宋体" w:eastAsia="宋体" w:cs="仿宋"/>
          <w:b/>
          <w:color w:val="auto"/>
          <w:kern w:val="0"/>
          <w:sz w:val="24"/>
          <w:highlight w:val="none"/>
        </w:rPr>
        <w:t>、包装及运输</w:t>
      </w:r>
    </w:p>
    <w:p w14:paraId="4AE2ABD1">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1.乙方须按照国家、地方或者行业的包装要求和运输规范将</w:t>
      </w:r>
      <w:r>
        <w:rPr>
          <w:rFonts w:hint="eastAsia" w:ascii="宋体" w:hAnsi="宋体" w:cs="仿宋"/>
          <w:color w:val="auto"/>
          <w:kern w:val="0"/>
          <w:sz w:val="24"/>
          <w:highlight w:val="none"/>
          <w:lang w:eastAsia="zh-CN"/>
        </w:rPr>
        <w:t>聚合氯化铝（PAC）</w:t>
      </w:r>
      <w:r>
        <w:rPr>
          <w:rFonts w:hint="eastAsia" w:ascii="宋体" w:hAnsi="宋体" w:cs="仿宋"/>
          <w:color w:val="auto"/>
          <w:kern w:val="0"/>
          <w:sz w:val="24"/>
          <w:highlight w:val="none"/>
        </w:rPr>
        <w:t>运输至甲方指定的地址，并按照国家相关规范完成</w:t>
      </w:r>
      <w:r>
        <w:rPr>
          <w:rFonts w:hint="eastAsia" w:ascii="宋体" w:hAnsi="宋体" w:cs="仿宋"/>
          <w:color w:val="auto"/>
          <w:kern w:val="0"/>
          <w:sz w:val="24"/>
          <w:highlight w:val="none"/>
          <w:lang w:eastAsia="zh-CN"/>
        </w:rPr>
        <w:t>聚合氯化铝（PAC）</w:t>
      </w:r>
      <w:r>
        <w:rPr>
          <w:rFonts w:hint="eastAsia" w:ascii="宋体" w:hAnsi="宋体" w:cs="仿宋"/>
          <w:color w:val="auto"/>
          <w:kern w:val="0"/>
          <w:sz w:val="24"/>
          <w:highlight w:val="none"/>
        </w:rPr>
        <w:t>装卸搬运工作，运输车辆不得混运其他货物。在运送过程中，须办理道路通行证或须夜间运送的由乙方办理和承担。如甲方收货地址变更，应提前告知乙方。</w:t>
      </w:r>
    </w:p>
    <w:p w14:paraId="618DA8F3">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2.乙方同意为甲方提供7*24小时送货服务，满足甲方应急供货需求。</w:t>
      </w:r>
    </w:p>
    <w:p w14:paraId="14D388F4">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3.运输、卸货、停放必须遵守</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场内车辆、人员管理规定，做到有序排队进园区、有序停放、安全运输、走备案路线、安全卸货、服从指挥。</w:t>
      </w:r>
    </w:p>
    <w:p w14:paraId="5A8342AA">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4.乙方运输及装卸过程中，随车应配备人员防护用品，严禁抛洒滴漏，如发生抛洒滴漏状况，乙方必须立即清理干净；乙方运输及装卸货品全过程安全责任由乙方自行承担。</w:t>
      </w:r>
    </w:p>
    <w:p w14:paraId="0BFC3D8D">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5.货物无论数量多少采用何种运输方式，采取何种包装，产品必须完整安全按时到达甲方交货地。</w:t>
      </w:r>
    </w:p>
    <w:p w14:paraId="1A44BAD2">
      <w:pPr>
        <w:spacing w:line="400" w:lineRule="exact"/>
        <w:ind w:firstLine="482" w:firstLineChars="200"/>
        <w:rPr>
          <w:rFonts w:hint="eastAsia" w:ascii="宋体" w:hAnsi="宋体" w:eastAsia="宋体" w:cs="仿宋"/>
          <w:b/>
          <w:color w:val="auto"/>
          <w:kern w:val="0"/>
          <w:sz w:val="24"/>
          <w:highlight w:val="none"/>
        </w:rPr>
      </w:pPr>
      <w:r>
        <w:rPr>
          <w:rFonts w:hint="eastAsia" w:ascii="宋体" w:hAnsi="宋体" w:eastAsia="宋体" w:cs="仿宋"/>
          <w:b/>
          <w:color w:val="auto"/>
          <w:kern w:val="0"/>
          <w:sz w:val="24"/>
          <w:highlight w:val="none"/>
          <w:lang w:val="en-US" w:eastAsia="zh-CN"/>
        </w:rPr>
        <w:t>四</w:t>
      </w:r>
      <w:r>
        <w:rPr>
          <w:rFonts w:hint="eastAsia" w:ascii="宋体" w:hAnsi="宋体" w:eastAsia="宋体" w:cs="仿宋"/>
          <w:b/>
          <w:color w:val="auto"/>
          <w:kern w:val="0"/>
          <w:sz w:val="24"/>
          <w:highlight w:val="none"/>
        </w:rPr>
        <w:t>、验收要求、标准</w:t>
      </w:r>
    </w:p>
    <w:p w14:paraId="210C08E2">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1.产品验收分为到货验收和检测验收。</w:t>
      </w:r>
    </w:p>
    <w:p w14:paraId="33F92576">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w:t>
      </w:r>
      <w:r>
        <w:rPr>
          <w:rFonts w:hint="eastAsia" w:ascii="宋体" w:hAnsi="宋体" w:cs="仿宋"/>
          <w:color w:val="auto"/>
          <w:kern w:val="0"/>
          <w:sz w:val="24"/>
          <w:highlight w:val="none"/>
          <w:lang w:val="en-US" w:eastAsia="zh-CN"/>
        </w:rPr>
        <w:t>到货验收：甲方</w:t>
      </w:r>
      <w:r>
        <w:rPr>
          <w:rFonts w:hint="eastAsia" w:ascii="宋体" w:hAnsi="宋体" w:cs="仿宋"/>
          <w:color w:val="auto"/>
          <w:kern w:val="0"/>
          <w:sz w:val="24"/>
          <w:highlight w:val="none"/>
          <w:lang w:val="zh-CN"/>
        </w:rPr>
        <w:t>、</w:t>
      </w:r>
      <w:r>
        <w:rPr>
          <w:rFonts w:hint="eastAsia" w:ascii="宋体" w:hAnsi="宋体" w:cs="仿宋"/>
          <w:color w:val="auto"/>
          <w:kern w:val="0"/>
          <w:sz w:val="24"/>
          <w:highlight w:val="none"/>
          <w:lang w:val="en-US" w:eastAsia="zh-CN"/>
        </w:rPr>
        <w:t>乙方</w:t>
      </w:r>
      <w:r>
        <w:rPr>
          <w:rFonts w:hint="eastAsia" w:ascii="宋体" w:hAnsi="宋体" w:cs="仿宋"/>
          <w:color w:val="auto"/>
          <w:kern w:val="0"/>
          <w:sz w:val="24"/>
          <w:highlight w:val="none"/>
          <w:lang w:val="zh-CN"/>
        </w:rPr>
        <w:t>现场对照合同要求对货品的送货清单、到货数量、质量证明书等进行验收，到货数量以包装袋出厂标明的净含量乘以袋数为准、</w:t>
      </w:r>
      <w:r>
        <w:rPr>
          <w:rFonts w:hint="eastAsia" w:ascii="宋体" w:hAnsi="宋体" w:cs="仿宋"/>
          <w:color w:val="auto"/>
          <w:kern w:val="0"/>
          <w:sz w:val="24"/>
          <w:highlight w:val="none"/>
          <w:lang w:val="en-US" w:eastAsia="zh-CN"/>
        </w:rPr>
        <w:t>甲方</w:t>
      </w:r>
      <w:r>
        <w:rPr>
          <w:rFonts w:hint="eastAsia" w:ascii="宋体" w:hAnsi="宋体" w:cs="仿宋"/>
          <w:color w:val="auto"/>
          <w:kern w:val="0"/>
          <w:sz w:val="24"/>
          <w:highlight w:val="none"/>
          <w:lang w:val="zh-CN"/>
        </w:rPr>
        <w:t>随机按包装袋标明的重量进行抽样称重为辅，误差在±2%内视为符合。以上项目均符合</w:t>
      </w:r>
      <w:r>
        <w:rPr>
          <w:rFonts w:hint="eastAsia" w:ascii="宋体" w:hAnsi="宋体" w:cs="仿宋"/>
          <w:color w:val="auto"/>
          <w:kern w:val="0"/>
          <w:sz w:val="24"/>
          <w:highlight w:val="none"/>
          <w:lang w:val="en-US" w:eastAsia="zh-CN"/>
        </w:rPr>
        <w:t>甲方</w:t>
      </w:r>
      <w:r>
        <w:rPr>
          <w:rFonts w:hint="eastAsia" w:ascii="宋体" w:hAnsi="宋体" w:cs="仿宋"/>
          <w:color w:val="auto"/>
          <w:kern w:val="0"/>
          <w:sz w:val="24"/>
          <w:highlight w:val="none"/>
          <w:lang w:val="zh-CN"/>
        </w:rPr>
        <w:t>要求则到货验收合格，入库暂存；有任一项未通过则到货验收不合格，退货处理，</w:t>
      </w:r>
      <w:r>
        <w:rPr>
          <w:rFonts w:hint="eastAsia" w:ascii="宋体" w:hAnsi="宋体" w:cs="仿宋"/>
          <w:color w:val="auto"/>
          <w:kern w:val="0"/>
          <w:sz w:val="24"/>
          <w:highlight w:val="none"/>
          <w:lang w:val="en-US" w:eastAsia="zh-CN"/>
        </w:rPr>
        <w:t>乙方</w:t>
      </w:r>
      <w:r>
        <w:rPr>
          <w:rFonts w:hint="eastAsia" w:ascii="宋体" w:hAnsi="宋体" w:cs="仿宋"/>
          <w:color w:val="auto"/>
          <w:kern w:val="0"/>
          <w:sz w:val="24"/>
          <w:highlight w:val="none"/>
          <w:lang w:val="zh-CN"/>
        </w:rPr>
        <w:t>应在24小时内完成重新供货。未进行检测验收的货物以到货验收结果作为最终验收结果。</w:t>
      </w:r>
    </w:p>
    <w:p w14:paraId="53BF81C2">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3.检测验收：</w:t>
      </w:r>
    </w:p>
    <w:p w14:paraId="01FE14A8">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（1）批次的定义：以单车所运货物为一批次。</w:t>
      </w:r>
    </w:p>
    <w:p w14:paraId="05128CB8">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（2）取样：使用洁净干燥的容器，分装2份密封，一份用于检测，一份封存保留30天备用。</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取样验收确认人员须在</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货物取样单上签名，如</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拒绝配合取样，则</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可以单方取样且视为</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对</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取样以及检验结果无异议。</w:t>
      </w:r>
    </w:p>
    <w:p w14:paraId="529C4163">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（3）第三方检测机构检测：</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按需不定期对物资进行第三方检测机构送检（第三方检测机构有CMA或CNAS资质），</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需认可有资质的检测单位出具的检测数据。</w:t>
      </w:r>
      <w:r>
        <w:rPr>
          <w:rFonts w:hint="eastAsia" w:ascii="宋体" w:hAnsi="宋体" w:cs="仿宋"/>
          <w:color w:val="auto"/>
          <w:kern w:val="0"/>
          <w:sz w:val="24"/>
          <w:highlight w:val="none"/>
          <w:lang w:val="en-US" w:eastAsia="zh-CN"/>
        </w:rPr>
        <w:t>氧</w:t>
      </w:r>
      <w:r>
        <w:rPr>
          <w:rFonts w:hint="eastAsia" w:cs="Times New Roman"/>
          <w:sz w:val="24"/>
          <w:highlight w:val="none"/>
          <w:lang w:val="en-US" w:eastAsia="zh-CN"/>
        </w:rPr>
        <w:t>化铝</w:t>
      </w:r>
      <w:r>
        <w:rPr>
          <w:rFonts w:hint="eastAsia" w:ascii="Times New Roman" w:hAnsi="Times New Roman" w:eastAsia="宋体" w:cs="Times New Roman"/>
          <w:sz w:val="24"/>
          <w:highlight w:val="none"/>
          <w:lang w:val="en-US" w:eastAsia="zh-CN"/>
        </w:rPr>
        <w:t>（</w:t>
      </w:r>
      <w:r>
        <w:rPr>
          <w:rFonts w:hint="default" w:ascii="Times New Roman" w:hAnsi="Times New Roman" w:eastAsia="宋体" w:cs="Times New Roman"/>
          <w:color w:val="auto"/>
          <w:sz w:val="24"/>
          <w:szCs w:val="24"/>
          <w:highlight w:val="none"/>
          <w:vertAlign w:val="baseline"/>
          <w:lang w:val="en-US" w:eastAsia="zh-CN"/>
        </w:rPr>
        <w:t>Al2O3</w:t>
      </w:r>
      <w:r>
        <w:rPr>
          <w:rFonts w:hint="eastAsia" w:ascii="Times New Roman" w:hAnsi="Times New Roman" w:eastAsia="宋体" w:cs="Times New Roman"/>
          <w:sz w:val="24"/>
          <w:highlight w:val="none"/>
          <w:lang w:val="en-US" w:eastAsia="zh-CN"/>
        </w:rPr>
        <w:t>）质量分数在合同期内不少于</w:t>
      </w:r>
      <w:r>
        <w:rPr>
          <w:rFonts w:hint="eastAsia" w:cs="Times New Roman"/>
          <w:sz w:val="24"/>
          <w:highlight w:val="none"/>
          <w:lang w:val="en-US" w:eastAsia="zh-CN"/>
        </w:rPr>
        <w:t>2</w:t>
      </w:r>
      <w:r>
        <w:rPr>
          <w:rFonts w:hint="eastAsia" w:ascii="Times New Roman" w:hAnsi="Times New Roman" w:eastAsia="宋体" w:cs="Times New Roman"/>
          <w:sz w:val="24"/>
          <w:highlight w:val="none"/>
          <w:lang w:val="en-US" w:eastAsia="zh-CN"/>
        </w:rPr>
        <w:t>次送第三方检测验收，其他指标在合同期内不少于1次送第三方检测验收。</w:t>
      </w:r>
      <w:r>
        <w:rPr>
          <w:rFonts w:hint="eastAsia" w:ascii="宋体" w:hAnsi="宋体" w:cs="仿宋"/>
          <w:color w:val="auto"/>
          <w:kern w:val="0"/>
          <w:sz w:val="24"/>
          <w:highlight w:val="none"/>
        </w:rPr>
        <w:t>检验结果中若有一项指标不符合标准要求时，则判该批</w:t>
      </w:r>
      <w:r>
        <w:rPr>
          <w:rFonts w:hint="eastAsia" w:ascii="Times New Roman" w:hAnsi="Times New Roman" w:eastAsia="宋体" w:cs="Times New Roman"/>
          <w:sz w:val="24"/>
          <w:highlight w:val="none"/>
          <w:lang w:val="zh-CN"/>
        </w:rPr>
        <w:t>货物</w:t>
      </w:r>
      <w:r>
        <w:rPr>
          <w:rFonts w:hint="eastAsia" w:ascii="宋体" w:hAnsi="宋体" w:cs="仿宋"/>
          <w:color w:val="auto"/>
          <w:kern w:val="0"/>
          <w:sz w:val="24"/>
          <w:highlight w:val="none"/>
        </w:rPr>
        <w:t>为不合格产品。如</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对同批次</w:t>
      </w:r>
      <w:r>
        <w:rPr>
          <w:rFonts w:hint="eastAsia" w:ascii="Times New Roman" w:hAnsi="Times New Roman" w:eastAsia="宋体" w:cs="Times New Roman"/>
          <w:sz w:val="24"/>
          <w:highlight w:val="none"/>
          <w:lang w:val="zh-CN"/>
        </w:rPr>
        <w:t>货物</w:t>
      </w:r>
      <w:r>
        <w:rPr>
          <w:rFonts w:hint="eastAsia" w:ascii="宋体" w:hAnsi="宋体" w:cs="仿宋"/>
          <w:color w:val="auto"/>
          <w:kern w:val="0"/>
          <w:sz w:val="24"/>
          <w:highlight w:val="none"/>
        </w:rPr>
        <w:t>多次送检的，则以最近一次的检验结果为准。</w:t>
      </w:r>
    </w:p>
    <w:p w14:paraId="45040CC8">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（4）上述第三方检测机构检定的检测费用以第三方检测单位的检测结果是否合格为依据，若第三方检测机构检测结果合格时，检测费用由</w:t>
      </w:r>
      <w:r>
        <w:rPr>
          <w:rFonts w:hint="eastAsia" w:ascii="宋体" w:hAnsi="宋体" w:cs="仿宋"/>
          <w:color w:val="auto"/>
          <w:kern w:val="0"/>
          <w:sz w:val="24"/>
          <w:highlight w:val="none"/>
          <w:lang w:eastAsia="zh-CN"/>
        </w:rPr>
        <w:t>甲方</w:t>
      </w:r>
      <w:r>
        <w:rPr>
          <w:rFonts w:hint="eastAsia" w:ascii="宋体" w:hAnsi="宋体" w:cs="仿宋"/>
          <w:color w:val="auto"/>
          <w:kern w:val="0"/>
          <w:sz w:val="24"/>
          <w:highlight w:val="none"/>
        </w:rPr>
        <w:t>支付；若检测结果不合格时，检测费用由</w:t>
      </w:r>
      <w:r>
        <w:rPr>
          <w:rFonts w:hint="eastAsia" w:ascii="宋体" w:hAnsi="宋体" w:cs="仿宋"/>
          <w:color w:val="auto"/>
          <w:kern w:val="0"/>
          <w:sz w:val="24"/>
          <w:highlight w:val="none"/>
          <w:lang w:eastAsia="zh-CN"/>
        </w:rPr>
        <w:t>乙方</w:t>
      </w:r>
      <w:r>
        <w:rPr>
          <w:rFonts w:hint="eastAsia" w:ascii="宋体" w:hAnsi="宋体" w:cs="仿宋"/>
          <w:color w:val="auto"/>
          <w:kern w:val="0"/>
          <w:sz w:val="24"/>
          <w:highlight w:val="none"/>
        </w:rPr>
        <w:t>支付。</w:t>
      </w:r>
    </w:p>
    <w:p w14:paraId="201558DB">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（5）进行检测验收的货物需到货验收及检测验收均合格视为最终验收合格。</w:t>
      </w:r>
    </w:p>
    <w:p w14:paraId="3621F624">
      <w:pPr>
        <w:spacing w:line="400" w:lineRule="exact"/>
        <w:ind w:firstLine="482" w:firstLineChars="200"/>
        <w:rPr>
          <w:rFonts w:hint="eastAsia" w:ascii="宋体" w:hAnsi="宋体" w:eastAsia="宋体" w:cs="仿宋"/>
          <w:b/>
          <w:color w:val="auto"/>
          <w:kern w:val="0"/>
          <w:sz w:val="24"/>
          <w:highlight w:val="none"/>
        </w:rPr>
      </w:pPr>
      <w:r>
        <w:rPr>
          <w:rFonts w:hint="eastAsia" w:ascii="宋体" w:hAnsi="宋体" w:eastAsia="宋体" w:cs="仿宋"/>
          <w:b/>
          <w:color w:val="auto"/>
          <w:kern w:val="0"/>
          <w:sz w:val="24"/>
          <w:highlight w:val="none"/>
          <w:lang w:val="en-US" w:eastAsia="zh-CN"/>
        </w:rPr>
        <w:t>五</w:t>
      </w:r>
      <w:r>
        <w:rPr>
          <w:rFonts w:hint="eastAsia" w:ascii="宋体" w:hAnsi="宋体" w:eastAsia="宋体" w:cs="仿宋"/>
          <w:b/>
          <w:color w:val="auto"/>
          <w:kern w:val="0"/>
          <w:sz w:val="24"/>
          <w:highlight w:val="none"/>
        </w:rPr>
        <w:t>、结算及货款支付</w:t>
      </w:r>
    </w:p>
    <w:p w14:paraId="6A3A7DC1">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1.货款在产品最终验收合格后，乙方至甲方处办理结算手续，</w:t>
      </w:r>
      <w:r>
        <w:rPr>
          <w:rFonts w:hint="eastAsia" w:ascii="宋体" w:hAnsi="宋体" w:cs="仿宋"/>
          <w:b/>
          <w:bCs/>
          <w:color w:val="auto"/>
          <w:kern w:val="0"/>
          <w:sz w:val="24"/>
          <w:highlight w:val="none"/>
        </w:rPr>
        <w:t>原则上每月为一个结算周期</w:t>
      </w:r>
      <w:r>
        <w:rPr>
          <w:rFonts w:hint="eastAsia" w:ascii="宋体" w:hAnsi="宋体" w:cs="仿宋"/>
          <w:color w:val="auto"/>
          <w:kern w:val="0"/>
          <w:sz w:val="24"/>
          <w:highlight w:val="none"/>
        </w:rPr>
        <w:t>。双方根据最终验收合格的货量和单价结算货款。</w:t>
      </w:r>
    </w:p>
    <w:p w14:paraId="631E6E02">
      <w:pPr>
        <w:spacing w:line="400" w:lineRule="exact"/>
        <w:ind w:firstLine="520" w:firstLineChars="217"/>
        <w:rPr>
          <w:rFonts w:hint="default" w:ascii="宋体" w:hAnsi="宋体" w:eastAsia="宋体" w:cs="仿宋"/>
          <w:color w:val="auto"/>
          <w:kern w:val="0"/>
          <w:sz w:val="24"/>
          <w:highlight w:val="none"/>
          <w:lang w:val="en-US" w:eastAsia="zh-CN"/>
        </w:rPr>
      </w:pPr>
      <w:r>
        <w:rPr>
          <w:rFonts w:hint="eastAsia" w:ascii="宋体" w:hAnsi="宋体" w:cs="仿宋"/>
          <w:color w:val="auto"/>
          <w:kern w:val="0"/>
          <w:sz w:val="24"/>
          <w:highlight w:val="none"/>
        </w:rPr>
        <w:t>2.甲方每次付款自双方款项确认完成并收到乙方提交的合法等额的增值税专用发票后15个工作日内安排支付，乙方必须确保提交发票的真实性、合法性，严禁虚开、假开、冒开、代开发票，否则造成甲方无法抵扣或损失的，乙方除了承担甲方全部实际损失赔偿外，还应赔偿甲方实际损失金额2倍的赔偿金。</w:t>
      </w:r>
      <w:r>
        <w:rPr>
          <w:rFonts w:hint="eastAsia" w:ascii="宋体" w:hAnsi="宋体" w:cs="仿宋"/>
          <w:color w:val="auto"/>
          <w:kern w:val="0"/>
          <w:sz w:val="24"/>
          <w:highlight w:val="none"/>
          <w:lang w:val="en-US" w:eastAsia="zh-CN"/>
        </w:rPr>
        <w:t>如乙方提供的发票存在问题，甲方有权延迟支付且不承担任何责任。</w:t>
      </w:r>
    </w:p>
    <w:p w14:paraId="0E19DD64">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lang w:val="en-US" w:eastAsia="zh-CN"/>
        </w:rPr>
        <w:t>六</w:t>
      </w:r>
      <w:r>
        <w:rPr>
          <w:rFonts w:hint="eastAsia" w:ascii="宋体" w:hAnsi="宋体" w:cs="仿宋"/>
          <w:b/>
          <w:color w:val="auto"/>
          <w:kern w:val="0"/>
          <w:sz w:val="24"/>
          <w:highlight w:val="none"/>
        </w:rPr>
        <w:t>、履约保证金</w:t>
      </w:r>
    </w:p>
    <w:p w14:paraId="49B4B2E0">
      <w:pPr>
        <w:spacing w:line="400" w:lineRule="exact"/>
        <w:ind w:firstLine="520" w:firstLineChars="217"/>
        <w:rPr>
          <w:rFonts w:hint="eastAsia" w:ascii="宋体" w:hAnsi="宋体" w:cs="仿宋"/>
          <w:color w:val="auto"/>
          <w:kern w:val="0"/>
          <w:sz w:val="24"/>
          <w:highlight w:val="none"/>
        </w:rPr>
      </w:pPr>
      <w:r>
        <w:rPr>
          <w:rFonts w:hint="eastAsia" w:ascii="宋体" w:hAnsi="宋体"/>
          <w:color w:val="auto"/>
          <w:sz w:val="24"/>
          <w:highlight w:val="none"/>
          <w:lang w:val="en-US" w:eastAsia="zh-CN"/>
        </w:rPr>
        <w:t>在</w:t>
      </w:r>
      <w:r>
        <w:rPr>
          <w:rFonts w:hint="eastAsia" w:ascii="宋体" w:hAnsi="宋体"/>
          <w:color w:val="auto"/>
          <w:sz w:val="24"/>
          <w:highlight w:val="none"/>
        </w:rPr>
        <w:t>中标通知书发送后，合同签订前提交</w:t>
      </w:r>
      <w:r>
        <w:rPr>
          <w:rFonts w:hint="eastAsia" w:ascii="宋体" w:hAnsi="宋体" w:cs="仿宋"/>
          <w:color w:val="auto"/>
          <w:kern w:val="0"/>
          <w:sz w:val="24"/>
          <w:highlight w:val="none"/>
        </w:rPr>
        <w:t>，乙方交纳人民币</w:t>
      </w:r>
      <w:r>
        <w:rPr>
          <w:rFonts w:hint="eastAsia" w:ascii="宋体" w:hAnsi="宋体" w:cs="仿宋"/>
          <w:color w:val="auto"/>
          <w:kern w:val="0"/>
          <w:sz w:val="24"/>
          <w:highlight w:val="none"/>
          <w:u w:val="single"/>
        </w:rPr>
        <w:t xml:space="preserve">      </w:t>
      </w:r>
      <w:r>
        <w:rPr>
          <w:rFonts w:hint="eastAsia" w:ascii="宋体" w:hAnsi="宋体" w:cs="仿宋"/>
          <w:color w:val="auto"/>
          <w:kern w:val="0"/>
          <w:sz w:val="24"/>
          <w:highlight w:val="none"/>
        </w:rPr>
        <w:t>元作为本合同的履约保证金（约合同总价的5%），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30日内无息退还余额，但发生本合同约定的甲方有权不予退还履约保证金的情形除外。</w:t>
      </w:r>
    </w:p>
    <w:p w14:paraId="4E7B9A0B">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lang w:val="en-US" w:eastAsia="zh-CN"/>
        </w:rPr>
        <w:t>七</w:t>
      </w:r>
      <w:r>
        <w:rPr>
          <w:rFonts w:hint="eastAsia" w:ascii="宋体" w:hAnsi="宋体" w:cs="仿宋"/>
          <w:b/>
          <w:color w:val="auto"/>
          <w:kern w:val="0"/>
          <w:sz w:val="24"/>
          <w:highlight w:val="none"/>
        </w:rPr>
        <w:t>、违约责任</w:t>
      </w:r>
    </w:p>
    <w:p w14:paraId="58231347">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1.对于验收不合格的货物，双方按照以下方式处理：</w:t>
      </w:r>
    </w:p>
    <w:p w14:paraId="2692000F">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1.1甲方尚未使用的，乙方应当立即自费运回，逾期视为遗弃。另应无条件2日内更换合格的货物至甲方，由此产生的运输费、装卸费等一切费用由乙方承担。同时乙方按照该批次货物对应合同金额的5%承担违约金。如乙方拒绝或逾期更换的，视同逾期交货，应承担逾期交货责任。</w:t>
      </w:r>
    </w:p>
    <w:p w14:paraId="77DC79AC">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1.2甲方已经使用的，</w:t>
      </w:r>
      <w:r>
        <w:rPr>
          <w:rFonts w:hint="eastAsia" w:ascii="宋体" w:hAnsi="宋体" w:cs="仿宋"/>
          <w:b/>
          <w:bCs/>
          <w:color w:val="auto"/>
          <w:kern w:val="0"/>
          <w:sz w:val="24"/>
          <w:highlight w:val="none"/>
        </w:rPr>
        <w:t>则每存在一个指标未达到合同要求，甲方扣除该批次</w:t>
      </w:r>
      <w:r>
        <w:rPr>
          <w:rFonts w:hint="eastAsia" w:ascii="宋体" w:hAnsi="宋体" w:cs="仿宋"/>
          <w:b/>
          <w:bCs/>
          <w:color w:val="auto"/>
          <w:kern w:val="0"/>
          <w:sz w:val="24"/>
          <w:highlight w:val="none"/>
          <w:lang w:val="en-US" w:eastAsia="zh-CN"/>
        </w:rPr>
        <w:t>已使用货物对应</w:t>
      </w:r>
      <w:r>
        <w:rPr>
          <w:rFonts w:hint="eastAsia" w:ascii="宋体" w:hAnsi="宋体" w:cs="仿宋"/>
          <w:b/>
          <w:bCs/>
          <w:color w:val="auto"/>
          <w:kern w:val="0"/>
          <w:sz w:val="24"/>
          <w:highlight w:val="none"/>
        </w:rPr>
        <w:t>货款的10%作为违约金</w:t>
      </w:r>
      <w:r>
        <w:rPr>
          <w:rFonts w:hint="eastAsia" w:ascii="宋体" w:hAnsi="宋体" w:cs="仿宋"/>
          <w:color w:val="auto"/>
          <w:kern w:val="0"/>
          <w:sz w:val="24"/>
          <w:highlight w:val="none"/>
        </w:rPr>
        <w:t>，以此累计叠加直至全部扣除该批次</w:t>
      </w:r>
      <w:r>
        <w:rPr>
          <w:rFonts w:hint="eastAsia" w:ascii="宋体" w:hAnsi="宋体" w:cs="仿宋"/>
          <w:b/>
          <w:bCs/>
          <w:color w:val="auto"/>
          <w:kern w:val="0"/>
          <w:sz w:val="24"/>
          <w:highlight w:val="none"/>
          <w:lang w:val="en-US" w:eastAsia="zh-CN"/>
        </w:rPr>
        <w:t>已使用货物对应</w:t>
      </w:r>
      <w:r>
        <w:rPr>
          <w:rFonts w:hint="eastAsia" w:ascii="宋体" w:hAnsi="宋体" w:cs="仿宋"/>
          <w:color w:val="auto"/>
          <w:kern w:val="0"/>
          <w:sz w:val="24"/>
          <w:highlight w:val="none"/>
        </w:rPr>
        <w:t>货款。不合格货物如造成甲方损失的，乙方应当足额赔偿。如该批次货款已支付的，甲方有权在履约保证金、应付乙方款项中扣除或另行向乙方追缴。</w:t>
      </w:r>
    </w:p>
    <w:p w14:paraId="6BE434C6">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如出现三次及以上第三方检测不合格情形的，甲方有权终止合同，扣罚全部合同履约保证金，乙方供货对甲方的生产工艺造成影响或乙方存在弄虚作假情况的，取消乙方参加甲方二年内所有采购项目的资格，同时对甲方造成损失的，乙方还应继续赔偿损失。</w:t>
      </w:r>
    </w:p>
    <w:p w14:paraId="1FAE1389">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2.逾期交货违约责任和赔偿：</w:t>
      </w:r>
    </w:p>
    <w:p w14:paraId="34D0369E">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2.1如乙方逾期供货的，每逾期一天应支付甲方违约金500元。逾期超过10天的，甲方有权单方解除合同，扣罚全部合同履约保证金，同时对甲方造成损失的，乙方还应继续赔偿损失。</w:t>
      </w:r>
    </w:p>
    <w:p w14:paraId="593379E3">
      <w:pPr>
        <w:spacing w:line="400" w:lineRule="exact"/>
        <w:ind w:firstLine="523" w:firstLineChars="217"/>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2.2经双方同意延期交货不在此列。</w:t>
      </w:r>
    </w:p>
    <w:p w14:paraId="23E4EDC6">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3.由于乙方违约对甲方造成的所有损失（包括因所供产品质量问题导致甲方生产经营损失、甲方被主管部门处罚等损失），全部由乙方承担赔偿责任。</w:t>
      </w:r>
    </w:p>
    <w:p w14:paraId="4BD22851">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4.因甲方违约造成终止合同，甲方应退还乙方缴纳的履约保证金。但属执行国家行政指令造成的合同终止，不支付违约金。</w:t>
      </w:r>
    </w:p>
    <w:p w14:paraId="3F58868B">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5.乙方的送货车辆与人员一旦进入甲方厂区内，必须严格遵守甲方的内部管理要求。乙方若在进货、卸货、药剂投加过程中发生抽烟、随意丢弃垃圾等不良情况的，除相应损失由乙方照价赔偿外，对抽烟、随意丢弃垃圾等不良情况每发现1次扣款500元人民币，</w:t>
      </w:r>
      <w:r>
        <w:rPr>
          <w:rFonts w:hint="eastAsia" w:ascii="宋体" w:hAnsi="宋体" w:cs="仿宋"/>
          <w:color w:val="auto"/>
          <w:kern w:val="0"/>
          <w:sz w:val="24"/>
          <w:highlight w:val="none"/>
          <w:lang w:val="en-US" w:eastAsia="zh-CN"/>
        </w:rPr>
        <w:t>并</w:t>
      </w:r>
      <w:r>
        <w:rPr>
          <w:rFonts w:hint="eastAsia" w:ascii="宋体" w:hAnsi="宋体" w:cs="仿宋"/>
          <w:color w:val="auto"/>
          <w:kern w:val="0"/>
          <w:sz w:val="24"/>
          <w:highlight w:val="none"/>
        </w:rPr>
        <w:t>调换驾驶员。</w:t>
      </w:r>
    </w:p>
    <w:p w14:paraId="0185F408">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6.严格遵守交通法规及甲方内部制度，自行负责装卸、运输等过程中的安全环保工作，上述过程中若出现意外，一切经济损失和法律责任由乙方承担，甲方不承担任何责任。</w:t>
      </w:r>
    </w:p>
    <w:p w14:paraId="48849C50">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7.在终止合同的情况下，并不解除乙方按已交货部分材料应负的产品质量责任。</w:t>
      </w:r>
    </w:p>
    <w:p w14:paraId="53593E8D">
      <w:pPr>
        <w:spacing w:line="400" w:lineRule="exact"/>
        <w:ind w:firstLine="482" w:firstLineChars="200"/>
        <w:rPr>
          <w:rFonts w:hint="eastAsia" w:ascii="宋体" w:hAnsi="宋体" w:eastAsia="宋体" w:cs="仿宋"/>
          <w:b/>
          <w:color w:val="auto"/>
          <w:kern w:val="0"/>
          <w:sz w:val="24"/>
          <w:highlight w:val="none"/>
        </w:rPr>
      </w:pPr>
      <w:r>
        <w:rPr>
          <w:rFonts w:hint="eastAsia" w:ascii="宋体" w:hAnsi="宋体" w:eastAsia="宋体" w:cs="仿宋"/>
          <w:b/>
          <w:color w:val="auto"/>
          <w:kern w:val="0"/>
          <w:sz w:val="24"/>
          <w:highlight w:val="none"/>
          <w:lang w:val="en-US" w:eastAsia="zh-CN"/>
        </w:rPr>
        <w:t>八</w:t>
      </w:r>
      <w:r>
        <w:rPr>
          <w:rFonts w:hint="eastAsia" w:ascii="宋体" w:hAnsi="宋体" w:eastAsia="宋体" w:cs="仿宋"/>
          <w:b/>
          <w:color w:val="auto"/>
          <w:kern w:val="0"/>
          <w:sz w:val="24"/>
          <w:highlight w:val="none"/>
        </w:rPr>
        <w:t>、质量保证及售后服务</w:t>
      </w:r>
    </w:p>
    <w:p w14:paraId="26296D78">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1.乙方应按采购文件规定的货物性能、技术要求、质量标准向甲方提供未经使用的全新产品。</w:t>
      </w:r>
    </w:p>
    <w:p w14:paraId="46111D87">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2.所供货物必须符合本项目要求的质量指标（如国家出台新标准则按照新标准执行）并提供对应批次货物的</w:t>
      </w:r>
      <w:r>
        <w:rPr>
          <w:rFonts w:hint="eastAsia" w:ascii="宋体" w:hAnsi="宋体" w:cs="仿宋"/>
          <w:color w:val="auto"/>
          <w:kern w:val="0"/>
          <w:sz w:val="24"/>
          <w:highlight w:val="none"/>
          <w:lang w:val="en-US" w:eastAsia="zh-CN"/>
        </w:rPr>
        <w:t>质量检测报告</w:t>
      </w:r>
      <w:r>
        <w:rPr>
          <w:rFonts w:hint="eastAsia" w:ascii="宋体" w:hAnsi="宋体" w:cs="仿宋"/>
          <w:color w:val="auto"/>
          <w:kern w:val="0"/>
          <w:sz w:val="24"/>
          <w:highlight w:val="none"/>
        </w:rPr>
        <w:t>。甲方使用过程中有权对所供货物进行质量检测，检测出质量指标不符合甲方要求时乙方需及时进行结果确认并承担相应的责任与后果。</w:t>
      </w:r>
    </w:p>
    <w:p w14:paraId="4E473FEA">
      <w:pPr>
        <w:spacing w:line="400" w:lineRule="exact"/>
        <w:ind w:firstLine="523" w:firstLineChars="217"/>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3.</w:t>
      </w:r>
      <w:r>
        <w:rPr>
          <w:rFonts w:hint="eastAsia" w:ascii="宋体" w:hAnsi="宋体" w:cs="仿宋"/>
          <w:b/>
          <w:bCs/>
          <w:color w:val="auto"/>
          <w:kern w:val="0"/>
          <w:sz w:val="24"/>
          <w:highlight w:val="none"/>
          <w:lang w:val="en-US" w:eastAsia="zh-CN"/>
        </w:rPr>
        <w:t>货物质保期为货物验收合格之日起不少于三个月。</w:t>
      </w:r>
    </w:p>
    <w:p w14:paraId="1860FB37">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4.乙方保证在交货且初步验收后按照甲方要求办理出入库的有关手续。在货物使用过程中，如甲方生产出现异常问题，乙方应随时响应甲方的要求，必要时24小时到场，指派技术人员提供免费现场指导，解决实际问题。如确系货物质量问题，乙方应当立即退换货。期间乙方技术人员所产生的一切费用由乙方自行承担。</w:t>
      </w:r>
    </w:p>
    <w:p w14:paraId="2BB5DCA0">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5.乙方应具备解决紧急问题的能力，如甲方在使用产品过程中发现问题，乙方应及时到现场解决。针对甲方临时性</w:t>
      </w:r>
      <w:r>
        <w:rPr>
          <w:rFonts w:hint="eastAsia" w:ascii="宋体" w:hAnsi="宋体" w:cs="仿宋"/>
          <w:color w:val="auto"/>
          <w:kern w:val="0"/>
          <w:sz w:val="24"/>
          <w:highlight w:val="none"/>
          <w:lang w:val="en-US" w:eastAsia="zh-CN"/>
        </w:rPr>
        <w:t>系统</w:t>
      </w:r>
      <w:r>
        <w:rPr>
          <w:rFonts w:hint="eastAsia" w:ascii="宋体" w:hAnsi="宋体" w:cs="仿宋"/>
          <w:color w:val="auto"/>
          <w:kern w:val="0"/>
          <w:sz w:val="24"/>
          <w:highlight w:val="none"/>
        </w:rPr>
        <w:t>异常等特殊情况时，乙方能提供针对性的专门方案或特制产品，以保障甲方工艺安全，乙方也支持甲方临时向乙方之外的供应商采购满足特定需求该类产品的行动。</w:t>
      </w:r>
    </w:p>
    <w:p w14:paraId="0BF28096">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6.乙方不能提供或不能满足质保和售后服务的，甲方有权另行委托第三方供货。</w:t>
      </w:r>
    </w:p>
    <w:p w14:paraId="7F94472E">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lang w:val="en-US" w:eastAsia="zh-CN"/>
        </w:rPr>
        <w:t>九</w:t>
      </w:r>
      <w:r>
        <w:rPr>
          <w:rFonts w:hint="eastAsia" w:ascii="宋体" w:hAnsi="宋体" w:cs="仿宋"/>
          <w:b/>
          <w:color w:val="auto"/>
          <w:kern w:val="0"/>
          <w:sz w:val="24"/>
          <w:highlight w:val="none"/>
        </w:rPr>
        <w:t>、不可抗力</w:t>
      </w:r>
    </w:p>
    <w:p w14:paraId="075650B1">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1、不可抗力是指《中华人民共和国民法典》所列举的不可抗力。不可抗力一旦发生，证明文件由法律规定部门签署，并由甲方、乙方协商协议继续履行的方法，在此情况下，任何一方不能要求损失赔偿。</w:t>
      </w:r>
    </w:p>
    <w:p w14:paraId="4434935A">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2、如遇国家，省市等相关政策调整或政府下达相关指令要求等不可抗力，则本合同自然终止，乙方不能要求损失赔偿。</w:t>
      </w:r>
    </w:p>
    <w:p w14:paraId="0CDE53EE">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lang w:val="en-US" w:eastAsia="zh-CN"/>
        </w:rPr>
        <w:t>十</w:t>
      </w:r>
      <w:r>
        <w:rPr>
          <w:rFonts w:hint="eastAsia" w:ascii="宋体" w:hAnsi="宋体" w:cs="仿宋"/>
          <w:b/>
          <w:color w:val="auto"/>
          <w:kern w:val="0"/>
          <w:sz w:val="24"/>
          <w:highlight w:val="none"/>
        </w:rPr>
        <w:t>、争议的解决</w:t>
      </w:r>
    </w:p>
    <w:p w14:paraId="33E066F3">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在履行本合同过程中如发生纠纷，甲、乙双方应及时协商解决，如协商不成，由甲方住所地法院诉讼解决。</w:t>
      </w:r>
    </w:p>
    <w:p w14:paraId="6BFE6044">
      <w:pPr>
        <w:spacing w:line="400" w:lineRule="exact"/>
        <w:ind w:firstLine="482" w:firstLineChars="200"/>
        <w:rPr>
          <w:rFonts w:hint="eastAsia" w:ascii="宋体" w:hAnsi="宋体" w:cs="仿宋"/>
          <w:b/>
          <w:color w:val="auto"/>
          <w:kern w:val="0"/>
          <w:sz w:val="24"/>
          <w:highlight w:val="none"/>
        </w:rPr>
      </w:pPr>
      <w:r>
        <w:rPr>
          <w:rFonts w:hint="eastAsia" w:ascii="宋体" w:hAnsi="宋体" w:cs="仿宋"/>
          <w:b/>
          <w:color w:val="auto"/>
          <w:kern w:val="0"/>
          <w:sz w:val="24"/>
          <w:highlight w:val="none"/>
          <w:lang w:val="en-US" w:eastAsia="zh-CN"/>
        </w:rPr>
        <w:t>十一</w:t>
      </w:r>
      <w:r>
        <w:rPr>
          <w:rFonts w:hint="eastAsia" w:ascii="宋体" w:hAnsi="宋体" w:cs="仿宋"/>
          <w:b/>
          <w:color w:val="auto"/>
          <w:kern w:val="0"/>
          <w:sz w:val="24"/>
          <w:highlight w:val="none"/>
        </w:rPr>
        <w:t>、合同的生效</w:t>
      </w:r>
    </w:p>
    <w:p w14:paraId="53709E2E">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1、本合同经甲、乙双方盖章</w:t>
      </w:r>
      <w:r>
        <w:rPr>
          <w:rFonts w:hint="eastAsia" w:ascii="宋体" w:hAnsi="宋体" w:cs="仿宋"/>
          <w:color w:val="auto"/>
          <w:kern w:val="0"/>
          <w:sz w:val="24"/>
          <w:highlight w:val="none"/>
          <w:lang w:val="en-US" w:eastAsia="zh-CN"/>
        </w:rPr>
        <w:t>且乙方缴纳履约保证金</w:t>
      </w:r>
      <w:r>
        <w:rPr>
          <w:rFonts w:hint="eastAsia" w:ascii="宋体" w:hAnsi="宋体" w:cs="仿宋"/>
          <w:color w:val="auto"/>
          <w:kern w:val="0"/>
          <w:sz w:val="24"/>
          <w:highlight w:val="none"/>
        </w:rPr>
        <w:t>后生效。</w:t>
      </w:r>
    </w:p>
    <w:p w14:paraId="1652A5A6">
      <w:pPr>
        <w:spacing w:line="400" w:lineRule="exact"/>
        <w:ind w:firstLine="520" w:firstLineChars="217"/>
        <w:rPr>
          <w:rFonts w:hint="eastAsia" w:ascii="宋体" w:hAnsi="宋体" w:cs="仿宋"/>
          <w:color w:val="auto"/>
          <w:kern w:val="0"/>
          <w:sz w:val="24"/>
          <w:highlight w:val="none"/>
        </w:rPr>
      </w:pPr>
      <w:r>
        <w:rPr>
          <w:rFonts w:hint="eastAsia" w:ascii="宋体" w:hAnsi="宋体" w:cs="仿宋"/>
          <w:color w:val="auto"/>
          <w:kern w:val="0"/>
          <w:sz w:val="24"/>
          <w:highlight w:val="none"/>
        </w:rPr>
        <w:t>2、在本合同履行期内甲、乙双方均不得随意变更或解除合同。合同若有未尽事宜，需经甲、乙双方协商，订立补充协议，补充协议与本合同有同等法律效力。甲方询价文件，乙方报价文件均为合同组成部分。</w:t>
      </w:r>
    </w:p>
    <w:p w14:paraId="196047BA">
      <w:pPr>
        <w:spacing w:line="440" w:lineRule="exact"/>
        <w:ind w:firstLine="482" w:firstLineChars="200"/>
        <w:outlineLvl w:val="6"/>
        <w:rPr>
          <w:rFonts w:ascii="宋体" w:hAnsi="宋体" w:cs="仿宋"/>
          <w:b/>
          <w:color w:val="auto"/>
          <w:sz w:val="24"/>
          <w:highlight w:val="none"/>
        </w:rPr>
      </w:pPr>
      <w:r>
        <w:rPr>
          <w:rFonts w:hint="eastAsia" w:ascii="宋体" w:hAnsi="宋体" w:cs="仿宋"/>
          <w:b/>
          <w:color w:val="auto"/>
          <w:sz w:val="24"/>
          <w:highlight w:val="none"/>
        </w:rPr>
        <w:t>3、本合同一式肆份，甲方执</w:t>
      </w:r>
      <w:r>
        <w:rPr>
          <w:rFonts w:hint="eastAsia" w:ascii="宋体" w:hAnsi="宋体" w:cs="仿宋"/>
          <w:b/>
          <w:color w:val="auto"/>
          <w:sz w:val="24"/>
          <w:highlight w:val="none"/>
          <w:lang w:val="en-US" w:eastAsia="zh-CN"/>
        </w:rPr>
        <w:t>叁</w:t>
      </w:r>
      <w:r>
        <w:rPr>
          <w:rFonts w:hint="eastAsia" w:ascii="宋体" w:hAnsi="宋体" w:cs="仿宋"/>
          <w:b/>
          <w:color w:val="auto"/>
          <w:sz w:val="24"/>
          <w:highlight w:val="none"/>
        </w:rPr>
        <w:t>份</w:t>
      </w:r>
      <w:r>
        <w:rPr>
          <w:rFonts w:hint="eastAsia" w:ascii="宋体" w:hAnsi="宋体" w:cs="仿宋"/>
          <w:b/>
          <w:color w:val="auto"/>
          <w:sz w:val="24"/>
          <w:highlight w:val="none"/>
          <w:lang w:eastAsia="zh-CN"/>
        </w:rPr>
        <w:t>，</w:t>
      </w:r>
      <w:r>
        <w:rPr>
          <w:rFonts w:hint="eastAsia" w:ascii="宋体" w:hAnsi="宋体" w:cs="仿宋"/>
          <w:b/>
          <w:color w:val="auto"/>
          <w:sz w:val="24"/>
          <w:highlight w:val="none"/>
        </w:rPr>
        <w:t>乙方执</w:t>
      </w:r>
      <w:r>
        <w:rPr>
          <w:rFonts w:hint="eastAsia" w:ascii="宋体" w:hAnsi="宋体" w:cs="仿宋"/>
          <w:b/>
          <w:color w:val="auto"/>
          <w:sz w:val="24"/>
          <w:highlight w:val="none"/>
          <w:lang w:val="en-US" w:eastAsia="zh-CN"/>
        </w:rPr>
        <w:t>壹</w:t>
      </w:r>
      <w:r>
        <w:rPr>
          <w:rFonts w:hint="eastAsia" w:ascii="宋体" w:hAnsi="宋体" w:cs="仿宋"/>
          <w:b/>
          <w:color w:val="auto"/>
          <w:sz w:val="24"/>
          <w:highlight w:val="none"/>
        </w:rPr>
        <w:t>份，效力相同。</w:t>
      </w:r>
      <w:bookmarkStart w:id="27" w:name="_Hlk107848218"/>
    </w:p>
    <w:p w14:paraId="189F1C2E">
      <w:pPr>
        <w:pStyle w:val="5"/>
        <w:rPr>
          <w:rFonts w:hint="eastAsia"/>
          <w:color w:val="auto"/>
          <w:highlight w:val="none"/>
        </w:rPr>
      </w:pPr>
    </w:p>
    <w:p w14:paraId="2D09476C">
      <w:pPr>
        <w:spacing w:line="440" w:lineRule="exact"/>
        <w:ind w:firstLine="492" w:firstLineChars="200"/>
        <w:jc w:val="left"/>
        <w:outlineLvl w:val="6"/>
        <w:rPr>
          <w:rFonts w:hint="eastAsia" w:ascii="宋体" w:hAnsi="宋体" w:cs="仿宋"/>
          <w:color w:val="auto"/>
          <w:spacing w:val="3"/>
          <w:sz w:val="24"/>
          <w:highlight w:val="none"/>
        </w:rPr>
      </w:pPr>
      <w:r>
        <w:rPr>
          <w:rFonts w:hint="eastAsia" w:ascii="宋体" w:hAnsi="宋体" w:cs="仿宋"/>
          <w:color w:val="auto"/>
          <w:spacing w:val="3"/>
          <w:sz w:val="24"/>
          <w:highlight w:val="none"/>
        </w:rPr>
        <w:t xml:space="preserve">甲方（盖章）：                      乙方（盖章）：             </w:t>
      </w:r>
    </w:p>
    <w:p w14:paraId="5E9C2C42">
      <w:pPr>
        <w:spacing w:line="440" w:lineRule="exact"/>
        <w:ind w:firstLine="492" w:firstLineChars="200"/>
        <w:outlineLvl w:val="6"/>
        <w:rPr>
          <w:rFonts w:hint="eastAsia" w:ascii="宋体" w:hAnsi="宋体" w:cs="仿宋"/>
          <w:color w:val="auto"/>
          <w:spacing w:val="3"/>
          <w:sz w:val="24"/>
          <w:highlight w:val="none"/>
        </w:rPr>
      </w:pPr>
      <w:r>
        <w:rPr>
          <w:rFonts w:hint="eastAsia" w:ascii="宋体" w:hAnsi="宋体" w:cs="仿宋"/>
          <w:color w:val="auto"/>
          <w:spacing w:val="3"/>
          <w:sz w:val="24"/>
          <w:highlight w:val="none"/>
        </w:rPr>
        <w:t xml:space="preserve">法定代表人或授权代表（签字）：      法定代表人或授权代表（签字）：    </w:t>
      </w:r>
    </w:p>
    <w:p w14:paraId="5BA53957">
      <w:pPr>
        <w:spacing w:line="440" w:lineRule="exact"/>
        <w:ind w:firstLine="492" w:firstLineChars="200"/>
        <w:outlineLvl w:val="6"/>
        <w:rPr>
          <w:rFonts w:ascii="宋体" w:hAnsi="宋体" w:cs="仿宋"/>
          <w:color w:val="auto"/>
          <w:spacing w:val="3"/>
          <w:sz w:val="24"/>
          <w:highlight w:val="none"/>
        </w:rPr>
      </w:pPr>
      <w:r>
        <w:rPr>
          <w:rFonts w:hint="eastAsia" w:ascii="宋体" w:hAnsi="宋体" w:cs="仿宋"/>
          <w:color w:val="auto"/>
          <w:spacing w:val="3"/>
          <w:sz w:val="24"/>
          <w:highlight w:val="none"/>
        </w:rPr>
        <w:t xml:space="preserve">签订日期：    年 </w:t>
      </w:r>
      <w:r>
        <w:rPr>
          <w:rFonts w:ascii="宋体" w:hAnsi="宋体" w:cs="仿宋"/>
          <w:color w:val="auto"/>
          <w:spacing w:val="3"/>
          <w:sz w:val="24"/>
          <w:highlight w:val="none"/>
        </w:rPr>
        <w:t xml:space="preserve"> </w:t>
      </w:r>
      <w:r>
        <w:rPr>
          <w:rFonts w:hint="eastAsia" w:ascii="宋体" w:hAnsi="宋体" w:cs="仿宋"/>
          <w:color w:val="auto"/>
          <w:spacing w:val="3"/>
          <w:sz w:val="24"/>
          <w:highlight w:val="none"/>
        </w:rPr>
        <w:t xml:space="preserve"> 月 </w:t>
      </w:r>
      <w:r>
        <w:rPr>
          <w:rFonts w:ascii="宋体" w:hAnsi="宋体" w:cs="仿宋"/>
          <w:color w:val="auto"/>
          <w:spacing w:val="3"/>
          <w:sz w:val="24"/>
          <w:highlight w:val="none"/>
        </w:rPr>
        <w:t xml:space="preserve"> </w:t>
      </w:r>
      <w:r>
        <w:rPr>
          <w:rFonts w:hint="eastAsia" w:ascii="宋体" w:hAnsi="宋体" w:cs="仿宋"/>
          <w:color w:val="auto"/>
          <w:spacing w:val="3"/>
          <w:sz w:val="24"/>
          <w:highlight w:val="none"/>
        </w:rPr>
        <w:t xml:space="preserve"> 日</w:t>
      </w:r>
    </w:p>
    <w:p w14:paraId="77802A9A">
      <w:pPr>
        <w:pStyle w:val="5"/>
        <w:rPr>
          <w:rFonts w:hint="eastAsia" w:ascii="宋体" w:hAnsi="宋体"/>
          <w:color w:val="auto"/>
          <w:highlight w:val="none"/>
        </w:rPr>
      </w:pPr>
    </w:p>
    <w:bookmarkEnd w:id="27"/>
    <w:p w14:paraId="3C823236">
      <w:pPr>
        <w:spacing w:line="300" w:lineRule="auto"/>
        <w:ind w:left="4" w:leftChars="1"/>
        <w:rPr>
          <w:rFonts w:ascii="宋体" w:hAnsi="宋体"/>
          <w:bCs/>
          <w:color w:val="auto"/>
          <w:sz w:val="24"/>
          <w:highlight w:val="none"/>
        </w:rPr>
      </w:pPr>
      <w:r>
        <w:rPr>
          <w:rFonts w:ascii="宋体" w:hAnsi="宋体"/>
          <w:b/>
          <w:bCs/>
          <w:color w:val="auto"/>
          <w:sz w:val="24"/>
          <w:highlight w:val="none"/>
        </w:rPr>
        <w:t>注：各供应商应对询价文件《合同主要条款》中的条款全部响应</w:t>
      </w:r>
      <w:r>
        <w:rPr>
          <w:rFonts w:ascii="宋体" w:hAnsi="宋体"/>
          <w:bCs/>
          <w:color w:val="auto"/>
          <w:sz w:val="24"/>
          <w:highlight w:val="none"/>
        </w:rPr>
        <w:t>。</w:t>
      </w:r>
    </w:p>
    <w:p w14:paraId="392C8619">
      <w:pPr>
        <w:spacing w:line="360" w:lineRule="auto"/>
        <w:ind w:right="43" w:rightChars="12"/>
        <w:rPr>
          <w:rFonts w:ascii="宋体" w:hAnsi="宋体"/>
          <w:color w:val="auto"/>
          <w:sz w:val="21"/>
          <w:szCs w:val="21"/>
          <w:highlight w:val="none"/>
        </w:rPr>
        <w:sectPr>
          <w:pgSz w:w="11907" w:h="16840"/>
          <w:pgMar w:top="1134" w:right="1134" w:bottom="1418" w:left="1418" w:header="510" w:footer="510" w:gutter="0"/>
          <w:cols w:space="720" w:num="1"/>
        </w:sectPr>
      </w:pPr>
    </w:p>
    <w:p w14:paraId="29EED7A5">
      <w:pPr>
        <w:snapToGrid w:val="0"/>
        <w:rPr>
          <w:rFonts w:ascii="Times New Roman" w:hAnsi="Times New Roman" w:eastAsia="宋体" w:cs="Times New Roman"/>
          <w:color w:val="000000"/>
          <w:kern w:val="0"/>
          <w:sz w:val="24"/>
          <w:szCs w:val="24"/>
          <w:highlight w:val="none"/>
          <w:lang w:val="en-US" w:eastAsia="zh-CN" w:bidi="ar-SA"/>
        </w:rPr>
      </w:pPr>
      <w:r>
        <w:rPr>
          <w:rFonts w:hint="eastAsia" w:ascii="Times New Roman" w:hAnsi="Times New Roman" w:eastAsia="宋体" w:cs="Times New Roman"/>
          <w:color w:val="000000"/>
          <w:kern w:val="0"/>
          <w:sz w:val="24"/>
          <w:szCs w:val="24"/>
          <w:highlight w:val="none"/>
          <w:lang w:val="en-US" w:eastAsia="zh-CN" w:bidi="ar-SA"/>
        </w:rPr>
        <w:t>合同附件1：</w:t>
      </w:r>
    </w:p>
    <w:p w14:paraId="67D56AEE">
      <w:pPr>
        <w:spacing w:line="320" w:lineRule="exact"/>
        <w:ind w:firstLine="482" w:firstLineChars="200"/>
        <w:jc w:val="center"/>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廉 政 协 议</w:t>
      </w:r>
    </w:p>
    <w:p w14:paraId="01741690">
      <w:pPr>
        <w:rPr>
          <w:sz w:val="24"/>
          <w:highlight w:val="none"/>
          <w:u w:val="single"/>
        </w:rPr>
      </w:pPr>
      <w:r>
        <w:rPr>
          <w:sz w:val="24"/>
          <w:highlight w:val="none"/>
        </w:rPr>
        <w:t>甲方：</w:t>
      </w:r>
      <w:r>
        <w:rPr>
          <w:sz w:val="24"/>
          <w:highlight w:val="none"/>
          <w:u w:val="single"/>
        </w:rPr>
        <w:t>象山天子岭生物能源有限公司</w:t>
      </w:r>
    </w:p>
    <w:p w14:paraId="5D924D94">
      <w:pPr>
        <w:widowControl/>
        <w:jc w:val="left"/>
        <w:rPr>
          <w:sz w:val="24"/>
          <w:highlight w:val="none"/>
          <w:u w:val="single"/>
        </w:rPr>
      </w:pPr>
      <w:r>
        <w:rPr>
          <w:sz w:val="24"/>
          <w:highlight w:val="none"/>
        </w:rPr>
        <w:t>乙方：</w:t>
      </w:r>
      <w:r>
        <w:rPr>
          <w:sz w:val="24"/>
          <w:highlight w:val="none"/>
          <w:u w:val="single"/>
        </w:rPr>
        <w:t xml:space="preserve">                           </w:t>
      </w:r>
    </w:p>
    <w:p w14:paraId="50B71A9B">
      <w:pPr>
        <w:widowControl/>
        <w:ind w:firstLine="480" w:firstLineChars="200"/>
        <w:jc w:val="left"/>
        <w:rPr>
          <w:sz w:val="24"/>
          <w:highlight w:val="none"/>
        </w:rPr>
      </w:pPr>
      <w:r>
        <w:rPr>
          <w:sz w:val="24"/>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1B848A92">
      <w:pPr>
        <w:widowControl/>
        <w:ind w:firstLine="480" w:firstLineChars="200"/>
        <w:jc w:val="left"/>
        <w:rPr>
          <w:sz w:val="24"/>
          <w:highlight w:val="none"/>
        </w:rPr>
      </w:pPr>
      <w:r>
        <w:rPr>
          <w:sz w:val="24"/>
          <w:highlight w:val="none"/>
        </w:rPr>
        <w:t>第一条 甲、乙双方约定</w:t>
      </w:r>
    </w:p>
    <w:p w14:paraId="46C4C9D9">
      <w:pPr>
        <w:widowControl/>
        <w:ind w:firstLine="480" w:firstLineChars="200"/>
        <w:jc w:val="left"/>
        <w:rPr>
          <w:sz w:val="24"/>
          <w:highlight w:val="none"/>
        </w:rPr>
      </w:pPr>
      <w:r>
        <w:rPr>
          <w:sz w:val="24"/>
          <w:highlight w:val="none"/>
        </w:rPr>
        <w:t>（一）甲、乙双方应共同严格遵守国家和省市以及招标人主管部门关于市场准入、项目询价报价、市场经济活动等有关法律法规和相关政策，以及项目廉政建设的各项规定。</w:t>
      </w:r>
    </w:p>
    <w:p w14:paraId="06805643">
      <w:pPr>
        <w:widowControl/>
        <w:ind w:firstLine="480" w:firstLineChars="200"/>
        <w:jc w:val="left"/>
        <w:rPr>
          <w:sz w:val="24"/>
          <w:highlight w:val="none"/>
        </w:rPr>
      </w:pPr>
      <w:r>
        <w:rPr>
          <w:sz w:val="24"/>
          <w:highlight w:val="none"/>
        </w:rPr>
        <w:t>（二）甲、乙双方应认真执行双方签订的合同文件，自觉按合同约定履行责任。</w:t>
      </w:r>
    </w:p>
    <w:p w14:paraId="047A064F">
      <w:pPr>
        <w:widowControl/>
        <w:ind w:firstLine="480" w:firstLineChars="200"/>
        <w:jc w:val="left"/>
        <w:rPr>
          <w:sz w:val="24"/>
          <w:highlight w:val="none"/>
        </w:rPr>
      </w:pPr>
      <w:r>
        <w:rPr>
          <w:sz w:val="24"/>
          <w:highlight w:val="none"/>
        </w:rPr>
        <w:t>（三）甲、乙双方的业务活动必须坚持公开、公平、公正、诚信、透明的原则（除法律法规另有规定者外）。不得为获取不正当的利益，损害国家、集体和对方利益；不得违反管理相关规章制度。</w:t>
      </w:r>
    </w:p>
    <w:p w14:paraId="5850C07E">
      <w:pPr>
        <w:widowControl/>
        <w:ind w:firstLine="480" w:firstLineChars="200"/>
        <w:jc w:val="left"/>
        <w:rPr>
          <w:sz w:val="24"/>
          <w:highlight w:val="none"/>
        </w:rPr>
      </w:pPr>
      <w:r>
        <w:rPr>
          <w:sz w:val="24"/>
          <w:highlight w:val="none"/>
        </w:rPr>
        <w:t>（四）甲、乙双方有对本方人员开展廉政告知、廉政教育和职业道德教育的义务。</w:t>
      </w:r>
    </w:p>
    <w:p w14:paraId="2CF579AA">
      <w:pPr>
        <w:widowControl/>
        <w:ind w:firstLine="480" w:firstLineChars="200"/>
        <w:jc w:val="left"/>
        <w:rPr>
          <w:sz w:val="24"/>
          <w:highlight w:val="none"/>
        </w:rPr>
      </w:pPr>
      <w:r>
        <w:rPr>
          <w:sz w:val="24"/>
          <w:highlight w:val="none"/>
        </w:rPr>
        <w:t>（五）甲、乙双方应加强对本方人员廉政监督，建立健全廉政制度，认真严肃查处本方人员违法违纪行为。</w:t>
      </w:r>
    </w:p>
    <w:p w14:paraId="60494B11">
      <w:pPr>
        <w:widowControl/>
        <w:ind w:firstLine="480" w:firstLineChars="200"/>
        <w:jc w:val="left"/>
        <w:rPr>
          <w:sz w:val="24"/>
          <w:highlight w:val="none"/>
        </w:rPr>
      </w:pPr>
      <w:r>
        <w:rPr>
          <w:sz w:val="24"/>
          <w:highlight w:val="none"/>
        </w:rPr>
        <w:t>（六）甲、乙双方如发现对方人员在业务活动中有违规、违纪、违法行为的，应及时提醒对方并督促其纠正，或直接向对方法定代表人、纪检监察部门及检察机关如实反映情况。</w:t>
      </w:r>
    </w:p>
    <w:p w14:paraId="76D1C2FC">
      <w:pPr>
        <w:widowControl/>
        <w:ind w:firstLine="480" w:firstLineChars="200"/>
        <w:jc w:val="left"/>
        <w:rPr>
          <w:sz w:val="24"/>
          <w:highlight w:val="none"/>
        </w:rPr>
      </w:pPr>
      <w:r>
        <w:rPr>
          <w:sz w:val="24"/>
          <w:highlight w:val="none"/>
        </w:rPr>
        <w:t>第二条 甲方（含甲方人员）廉政责任</w:t>
      </w:r>
    </w:p>
    <w:p w14:paraId="68322864">
      <w:pPr>
        <w:widowControl/>
        <w:ind w:firstLine="480" w:firstLineChars="200"/>
        <w:jc w:val="left"/>
        <w:rPr>
          <w:sz w:val="24"/>
          <w:highlight w:val="none"/>
        </w:rPr>
      </w:pPr>
      <w:r>
        <w:rPr>
          <w:sz w:val="24"/>
          <w:highlight w:val="none"/>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14:paraId="6744856D">
      <w:pPr>
        <w:widowControl/>
        <w:ind w:firstLine="480" w:firstLineChars="200"/>
        <w:jc w:val="left"/>
        <w:rPr>
          <w:sz w:val="24"/>
          <w:highlight w:val="none"/>
        </w:rPr>
      </w:pPr>
      <w:r>
        <w:rPr>
          <w:sz w:val="24"/>
          <w:highlight w:val="none"/>
        </w:rPr>
        <w:t>（二）不得向乙方报销应由甲方（含甲方人员）承担的费用；不得接受乙方提供的宴请、旅游、健身、娱乐等活动安排；在婚丧嫁娶等活动中</w:t>
      </w:r>
      <w:r>
        <w:rPr>
          <w:rFonts w:hint="eastAsia"/>
          <w:sz w:val="24"/>
          <w:highlight w:val="none"/>
          <w:lang w:eastAsia="zh-CN"/>
        </w:rPr>
        <w:t>不得</w:t>
      </w:r>
      <w:r>
        <w:rPr>
          <w:sz w:val="24"/>
          <w:highlight w:val="none"/>
        </w:rPr>
        <w:t>邀请乙方人员参加；不得接受乙方提供装修住房、配偶子女的工作安排等方面的便利。</w:t>
      </w:r>
    </w:p>
    <w:p w14:paraId="4ABFA587">
      <w:pPr>
        <w:widowControl/>
        <w:ind w:firstLine="480" w:firstLineChars="200"/>
        <w:jc w:val="left"/>
        <w:rPr>
          <w:sz w:val="24"/>
          <w:highlight w:val="none"/>
        </w:rPr>
      </w:pPr>
      <w:r>
        <w:rPr>
          <w:sz w:val="24"/>
          <w:highlight w:val="none"/>
        </w:rPr>
        <w:t>（三）不得利用职务便利向乙方介绍或指定工程分包单位（或个人）、物资报价人；不得利用职务便利向乙方推销或指定使用物资设备等。</w:t>
      </w:r>
    </w:p>
    <w:p w14:paraId="353DFA58">
      <w:pPr>
        <w:widowControl/>
        <w:ind w:firstLine="480" w:firstLineChars="200"/>
        <w:jc w:val="left"/>
        <w:rPr>
          <w:sz w:val="24"/>
          <w:highlight w:val="none"/>
        </w:rPr>
      </w:pPr>
      <w:r>
        <w:rPr>
          <w:sz w:val="24"/>
          <w:highlight w:val="none"/>
        </w:rPr>
        <w:t>（四）不得接受乙方购置的或长期提供的通信工具、交通工具等。</w:t>
      </w:r>
    </w:p>
    <w:p w14:paraId="25B9D4B1">
      <w:pPr>
        <w:widowControl/>
        <w:ind w:firstLine="480" w:firstLineChars="200"/>
        <w:jc w:val="left"/>
        <w:rPr>
          <w:sz w:val="24"/>
          <w:highlight w:val="none"/>
        </w:rPr>
      </w:pPr>
      <w:r>
        <w:rPr>
          <w:sz w:val="24"/>
          <w:highlight w:val="none"/>
        </w:rPr>
        <w:t>（五）对无法拒绝的乙方及其个人所送的钱物，受礼者自收受之日起一个月内上交至甲方监察审计部门。</w:t>
      </w:r>
    </w:p>
    <w:p w14:paraId="65215228">
      <w:pPr>
        <w:widowControl/>
        <w:ind w:firstLine="480" w:firstLineChars="200"/>
        <w:jc w:val="left"/>
        <w:rPr>
          <w:sz w:val="24"/>
          <w:highlight w:val="none"/>
        </w:rPr>
      </w:pPr>
      <w:r>
        <w:rPr>
          <w:sz w:val="24"/>
          <w:highlight w:val="none"/>
        </w:rPr>
        <w:t>（六）对乙方提供的有关信息，应及时调查处理并反馈结果。</w:t>
      </w:r>
    </w:p>
    <w:p w14:paraId="4A59A9CA">
      <w:pPr>
        <w:widowControl/>
        <w:ind w:firstLine="480" w:firstLineChars="200"/>
        <w:jc w:val="left"/>
        <w:rPr>
          <w:sz w:val="24"/>
          <w:highlight w:val="none"/>
        </w:rPr>
      </w:pPr>
      <w:r>
        <w:rPr>
          <w:sz w:val="24"/>
          <w:highlight w:val="none"/>
        </w:rPr>
        <w:t>第三条 乙方（含乙方人员）廉政责任</w:t>
      </w:r>
    </w:p>
    <w:p w14:paraId="6CD37B61">
      <w:pPr>
        <w:widowControl/>
        <w:ind w:firstLine="480" w:firstLineChars="200"/>
        <w:jc w:val="left"/>
        <w:rPr>
          <w:sz w:val="24"/>
          <w:highlight w:val="none"/>
        </w:rPr>
      </w:pPr>
      <w:r>
        <w:rPr>
          <w:sz w:val="24"/>
          <w:highlight w:val="none"/>
        </w:rPr>
        <w:t>（一）不得以任何形式向甲方行贿；不得向甲方送礼金、礼品和各种有价证券、支付凭证及其他贵重物品；不得以任何名义向甲方及其工作人员支付回扣、好处费、感谢费或其他经济利益。</w:t>
      </w:r>
    </w:p>
    <w:p w14:paraId="08311FA5">
      <w:pPr>
        <w:widowControl/>
        <w:ind w:firstLine="480" w:firstLineChars="200"/>
        <w:jc w:val="left"/>
        <w:rPr>
          <w:sz w:val="24"/>
          <w:highlight w:val="none"/>
        </w:rPr>
      </w:pPr>
      <w:r>
        <w:rPr>
          <w:sz w:val="24"/>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5F97A387">
      <w:pPr>
        <w:widowControl/>
        <w:ind w:firstLine="480" w:firstLineChars="200"/>
        <w:jc w:val="left"/>
        <w:rPr>
          <w:sz w:val="24"/>
          <w:highlight w:val="none"/>
        </w:rPr>
      </w:pPr>
      <w:r>
        <w:rPr>
          <w:sz w:val="24"/>
          <w:highlight w:val="none"/>
        </w:rPr>
        <w:t>（三）不得接受甲方介绍或指定的工程分包单位和物资报价人；不得接受甲方推销或指定使用的物资设备。</w:t>
      </w:r>
    </w:p>
    <w:p w14:paraId="576960C9">
      <w:pPr>
        <w:widowControl/>
        <w:ind w:firstLine="480" w:firstLineChars="200"/>
        <w:jc w:val="left"/>
        <w:rPr>
          <w:sz w:val="24"/>
          <w:highlight w:val="none"/>
        </w:rPr>
      </w:pPr>
      <w:r>
        <w:rPr>
          <w:sz w:val="24"/>
          <w:highlight w:val="none"/>
        </w:rPr>
        <w:t>（四）不得以任何理由为甲方及其工作人员购置或长期提供通信工具、交通工具等。</w:t>
      </w:r>
    </w:p>
    <w:p w14:paraId="00B2EAB2">
      <w:pPr>
        <w:widowControl/>
        <w:ind w:firstLine="480" w:firstLineChars="200"/>
        <w:jc w:val="left"/>
        <w:rPr>
          <w:sz w:val="24"/>
          <w:highlight w:val="none"/>
        </w:rPr>
      </w:pPr>
      <w:r>
        <w:rPr>
          <w:sz w:val="24"/>
          <w:highlight w:val="none"/>
        </w:rPr>
        <w:t>（五）对甲方及其个人索要钱物、介绍或指定工程分包单位和物资报价人、推销或指定使用物资设备、借用占用车辆等行为予以拒绝，并及时主动向乙方上级纪检监察组织报告。</w:t>
      </w:r>
    </w:p>
    <w:p w14:paraId="6AE262D0">
      <w:pPr>
        <w:widowControl/>
        <w:ind w:firstLine="480" w:firstLineChars="200"/>
        <w:jc w:val="left"/>
        <w:rPr>
          <w:sz w:val="24"/>
          <w:highlight w:val="none"/>
        </w:rPr>
      </w:pPr>
      <w:r>
        <w:rPr>
          <w:sz w:val="24"/>
          <w:highlight w:val="none"/>
        </w:rPr>
        <w:t>（六）对甲方提供的乙方（含乙方人员）违纪违规有关信息，应及时调查处理并反馈结果。</w:t>
      </w:r>
    </w:p>
    <w:p w14:paraId="09F5AF97">
      <w:pPr>
        <w:widowControl/>
        <w:ind w:firstLine="480" w:firstLineChars="200"/>
        <w:jc w:val="left"/>
        <w:rPr>
          <w:sz w:val="24"/>
          <w:highlight w:val="none"/>
        </w:rPr>
      </w:pPr>
      <w:r>
        <w:rPr>
          <w:sz w:val="24"/>
          <w:highlight w:val="none"/>
        </w:rPr>
        <w:t>（七）乙方不得以任何理由为甲方及其工作人员组织有可能影响公正执行公务的宴请和各类休闲娱乐等活动。</w:t>
      </w:r>
    </w:p>
    <w:p w14:paraId="315DF3C5">
      <w:pPr>
        <w:widowControl/>
        <w:ind w:firstLine="480" w:firstLineChars="200"/>
        <w:jc w:val="left"/>
        <w:rPr>
          <w:sz w:val="24"/>
          <w:highlight w:val="none"/>
        </w:rPr>
      </w:pPr>
      <w:r>
        <w:rPr>
          <w:sz w:val="24"/>
          <w:highlight w:val="none"/>
        </w:rPr>
        <w:t>（八）乙方及其工作人员必须严格按照有关规程办事，不得与其他单位互相串通，损害甲方利益。</w:t>
      </w:r>
    </w:p>
    <w:p w14:paraId="7C5DA414">
      <w:pPr>
        <w:widowControl/>
        <w:ind w:firstLine="480" w:firstLineChars="200"/>
        <w:jc w:val="left"/>
        <w:rPr>
          <w:sz w:val="24"/>
          <w:highlight w:val="none"/>
        </w:rPr>
      </w:pPr>
      <w:r>
        <w:rPr>
          <w:sz w:val="24"/>
          <w:highlight w:val="none"/>
        </w:rPr>
        <w:t>第四条 违约责任</w:t>
      </w:r>
    </w:p>
    <w:p w14:paraId="2F6C9977">
      <w:pPr>
        <w:widowControl/>
        <w:ind w:firstLine="480" w:firstLineChars="200"/>
        <w:jc w:val="left"/>
        <w:rPr>
          <w:sz w:val="24"/>
          <w:highlight w:val="none"/>
        </w:rPr>
      </w:pPr>
      <w:r>
        <w:rPr>
          <w:sz w:val="24"/>
          <w:highlight w:val="none"/>
        </w:rPr>
        <w:t>甲乙双方不履行各自义务，构成犯罪和违纪的，由司法机关和有关纪检监察部门按管辖依法依纪处理，所认定的事实和处理结果作为承担下列约定违约责任的依据。</w:t>
      </w:r>
    </w:p>
    <w:p w14:paraId="744829FE">
      <w:pPr>
        <w:widowControl/>
        <w:ind w:firstLine="480" w:firstLineChars="200"/>
        <w:jc w:val="left"/>
        <w:rPr>
          <w:sz w:val="24"/>
          <w:highlight w:val="none"/>
        </w:rPr>
      </w:pPr>
      <w:r>
        <w:rPr>
          <w:sz w:val="24"/>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0F7FE538">
      <w:pPr>
        <w:widowControl/>
        <w:ind w:firstLine="480" w:firstLineChars="200"/>
        <w:jc w:val="left"/>
        <w:rPr>
          <w:sz w:val="24"/>
          <w:highlight w:val="none"/>
        </w:rPr>
      </w:pPr>
      <w:r>
        <w:rPr>
          <w:sz w:val="24"/>
          <w:highlight w:val="none"/>
        </w:rPr>
        <w:t>（二）乙方贿赂甲方人员的，被纪检监察部门或检察机关立案查处的，甲方有权终止项目合同，由此造成甲方的损失以及一切费用均由乙方承担。</w:t>
      </w:r>
    </w:p>
    <w:p w14:paraId="38895735">
      <w:pPr>
        <w:widowControl/>
        <w:ind w:firstLine="480" w:firstLineChars="200"/>
        <w:jc w:val="left"/>
        <w:rPr>
          <w:sz w:val="24"/>
          <w:highlight w:val="none"/>
        </w:rPr>
      </w:pPr>
      <w:r>
        <w:rPr>
          <w:sz w:val="24"/>
          <w:highlight w:val="none"/>
        </w:rPr>
        <w:t>（三）甲方双方不履行协议约定义务的，应将责任人调离本项目并按规定予以处理，且双方有义务将有关责任人的责任追究情况通报对方。</w:t>
      </w:r>
    </w:p>
    <w:p w14:paraId="07E35922">
      <w:pPr>
        <w:widowControl/>
        <w:ind w:firstLine="480" w:firstLineChars="200"/>
        <w:jc w:val="left"/>
        <w:rPr>
          <w:sz w:val="24"/>
          <w:highlight w:val="none"/>
        </w:rPr>
      </w:pPr>
      <w:r>
        <w:rPr>
          <w:sz w:val="24"/>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37DF2EC4">
      <w:pPr>
        <w:widowControl/>
        <w:ind w:firstLine="480" w:firstLineChars="200"/>
        <w:jc w:val="left"/>
        <w:rPr>
          <w:sz w:val="24"/>
          <w:highlight w:val="none"/>
        </w:rPr>
      </w:pPr>
      <w:r>
        <w:rPr>
          <w:sz w:val="24"/>
          <w:highlight w:val="none"/>
        </w:rPr>
        <w:t>（五）由于甲乙双方单位或工作人员个人行为造成违约的，双方承担上述违约责任。</w:t>
      </w:r>
    </w:p>
    <w:p w14:paraId="0811DEA3">
      <w:pPr>
        <w:widowControl/>
        <w:ind w:firstLine="480" w:firstLineChars="200"/>
        <w:jc w:val="left"/>
        <w:rPr>
          <w:sz w:val="24"/>
          <w:highlight w:val="none"/>
        </w:rPr>
      </w:pPr>
      <w:r>
        <w:rPr>
          <w:sz w:val="24"/>
          <w:highlight w:val="none"/>
        </w:rPr>
        <w:t>（六）甲乙双方在履行协议中发生争议，一方有权向对方上级单位主管部门和纪检监察部门反映情况并要求帮助解决争议。</w:t>
      </w:r>
    </w:p>
    <w:p w14:paraId="3096C6FE">
      <w:pPr>
        <w:widowControl/>
        <w:ind w:firstLine="480" w:firstLineChars="200"/>
        <w:jc w:val="left"/>
        <w:rPr>
          <w:sz w:val="24"/>
          <w:highlight w:val="none"/>
        </w:rPr>
      </w:pPr>
      <w:r>
        <w:rPr>
          <w:sz w:val="24"/>
          <w:highlight w:val="none"/>
        </w:rPr>
        <w:t>第五条 本协议有效期为双方签署之日起至双方权利义务履行完毕为止。有效期内发生的违约事实，有效期后发现的适用本协议。</w:t>
      </w:r>
    </w:p>
    <w:p w14:paraId="235CC575">
      <w:pPr>
        <w:pStyle w:val="5"/>
        <w:rPr>
          <w:highlight w:val="none"/>
        </w:rPr>
      </w:pPr>
    </w:p>
    <w:p w14:paraId="707983BC">
      <w:pPr>
        <w:pStyle w:val="5"/>
        <w:rPr>
          <w:highlight w:val="none"/>
        </w:rPr>
      </w:pPr>
    </w:p>
    <w:p w14:paraId="073047DB">
      <w:pPr>
        <w:pStyle w:val="5"/>
        <w:rPr>
          <w:highlight w:val="none"/>
        </w:rPr>
      </w:pPr>
    </w:p>
    <w:p w14:paraId="390FE269">
      <w:pPr>
        <w:widowControl/>
        <w:jc w:val="left"/>
        <w:rPr>
          <w:sz w:val="24"/>
          <w:highlight w:val="none"/>
        </w:rPr>
      </w:pPr>
      <w:r>
        <w:rPr>
          <w:sz w:val="24"/>
          <w:highlight w:val="none"/>
        </w:rPr>
        <w:t>甲方单位（盖章）：                                    乙方单位（盖章）：</w:t>
      </w:r>
    </w:p>
    <w:p w14:paraId="316DA5DF">
      <w:pPr>
        <w:widowControl/>
        <w:jc w:val="left"/>
        <w:rPr>
          <w:sz w:val="24"/>
          <w:highlight w:val="none"/>
        </w:rPr>
      </w:pPr>
    </w:p>
    <w:p w14:paraId="568119AD">
      <w:pPr>
        <w:widowControl/>
        <w:jc w:val="left"/>
        <w:rPr>
          <w:sz w:val="24"/>
          <w:highlight w:val="none"/>
        </w:rPr>
      </w:pPr>
      <w:r>
        <w:rPr>
          <w:sz w:val="24"/>
          <w:highlight w:val="none"/>
        </w:rPr>
        <w:t>甲方代表（签字）：                                    乙方代表（签字）：</w:t>
      </w:r>
    </w:p>
    <w:p w14:paraId="31C2EE7F">
      <w:pPr>
        <w:widowControl/>
        <w:jc w:val="left"/>
        <w:rPr>
          <w:sz w:val="24"/>
          <w:highlight w:val="none"/>
        </w:rPr>
      </w:pPr>
    </w:p>
    <w:p w14:paraId="1E444027">
      <w:pPr>
        <w:widowControl/>
        <w:jc w:val="left"/>
        <w:rPr>
          <w:sz w:val="24"/>
          <w:highlight w:val="none"/>
        </w:rPr>
      </w:pPr>
    </w:p>
    <w:p w14:paraId="3B5DCC9E">
      <w:pPr>
        <w:pStyle w:val="12"/>
        <w:rPr>
          <w:sz w:val="24"/>
          <w:szCs w:val="24"/>
          <w:highlight w:val="none"/>
        </w:rPr>
      </w:pPr>
      <w:r>
        <w:rPr>
          <w:sz w:val="24"/>
          <w:highlight w:val="none"/>
        </w:rPr>
        <w:br w:type="page"/>
      </w:r>
      <w:r>
        <w:rPr>
          <w:sz w:val="24"/>
          <w:szCs w:val="24"/>
          <w:highlight w:val="none"/>
        </w:rPr>
        <w:t>合同附件2：</w:t>
      </w:r>
    </w:p>
    <w:p w14:paraId="7480A300">
      <w:pPr>
        <w:spacing w:line="320" w:lineRule="exact"/>
        <w:ind w:firstLine="482" w:firstLineChars="200"/>
        <w:jc w:val="center"/>
        <w:rPr>
          <w:b/>
          <w:bCs/>
          <w:sz w:val="24"/>
          <w:highlight w:val="none"/>
        </w:rPr>
      </w:pPr>
      <w:r>
        <w:rPr>
          <w:b/>
          <w:bCs/>
          <w:sz w:val="24"/>
          <w:highlight w:val="none"/>
        </w:rPr>
        <w:t>安全生产协议书</w:t>
      </w:r>
    </w:p>
    <w:p w14:paraId="05FA3076">
      <w:pPr>
        <w:spacing w:line="400" w:lineRule="exact"/>
        <w:rPr>
          <w:sz w:val="24"/>
          <w:highlight w:val="none"/>
        </w:rPr>
      </w:pPr>
      <w:r>
        <w:rPr>
          <w:sz w:val="24"/>
          <w:highlight w:val="none"/>
        </w:rPr>
        <w:t>甲方：</w:t>
      </w:r>
      <w:r>
        <w:rPr>
          <w:sz w:val="24"/>
          <w:highlight w:val="none"/>
          <w:u w:val="single"/>
        </w:rPr>
        <w:t>象山天子岭生物能源有限公司</w:t>
      </w:r>
    </w:p>
    <w:p w14:paraId="6A21E346">
      <w:pPr>
        <w:spacing w:line="500" w:lineRule="exact"/>
        <w:rPr>
          <w:color w:val="000000"/>
          <w:sz w:val="24"/>
          <w:highlight w:val="none"/>
          <w:u w:val="single"/>
        </w:rPr>
      </w:pPr>
      <w:r>
        <w:rPr>
          <w:sz w:val="24"/>
          <w:highlight w:val="none"/>
        </w:rPr>
        <w:t>乙方：</w:t>
      </w:r>
      <w:r>
        <w:rPr>
          <w:sz w:val="24"/>
          <w:highlight w:val="none"/>
          <w:u w:val="single"/>
        </w:rPr>
        <w:t xml:space="preserve">                        </w:t>
      </w:r>
    </w:p>
    <w:p w14:paraId="3118EE6A">
      <w:pPr>
        <w:spacing w:line="400" w:lineRule="exact"/>
        <w:ind w:firstLine="600" w:firstLineChars="250"/>
        <w:rPr>
          <w:sz w:val="24"/>
          <w:highlight w:val="none"/>
        </w:rPr>
      </w:pPr>
      <w:r>
        <w:rPr>
          <w:sz w:val="24"/>
          <w:highlight w:val="none"/>
        </w:rPr>
        <w:t>为加强</w:t>
      </w:r>
      <w:r>
        <w:rPr>
          <w:b/>
          <w:bCs/>
          <w:sz w:val="24"/>
          <w:highlight w:val="none"/>
          <w:u w:val="single"/>
        </w:rPr>
        <w:t xml:space="preserve">              </w:t>
      </w:r>
      <w:r>
        <w:rPr>
          <w:sz w:val="24"/>
          <w:highlight w:val="none"/>
          <w:u w:val="single"/>
        </w:rPr>
        <w:t>项目</w:t>
      </w:r>
      <w:r>
        <w:rPr>
          <w:sz w:val="24"/>
          <w:highlight w:val="none"/>
        </w:rPr>
        <w:t>现场的安全生产、文明作业管理工作，根据有关法律法规要求，结合我公司实际情况，甲方特与乙方签订本协议书，具体条款如下：</w:t>
      </w:r>
    </w:p>
    <w:p w14:paraId="247F2742">
      <w:pPr>
        <w:spacing w:line="400" w:lineRule="exact"/>
        <w:ind w:firstLine="602" w:firstLineChars="250"/>
        <w:rPr>
          <w:b/>
          <w:sz w:val="24"/>
          <w:highlight w:val="none"/>
        </w:rPr>
      </w:pPr>
      <w:r>
        <w:rPr>
          <w:b/>
          <w:sz w:val="24"/>
          <w:highlight w:val="none"/>
        </w:rPr>
        <w:t>一、甲方职责</w:t>
      </w:r>
    </w:p>
    <w:p w14:paraId="3D11E525">
      <w:pPr>
        <w:spacing w:line="400" w:lineRule="exact"/>
        <w:ind w:firstLine="480" w:firstLineChars="200"/>
        <w:rPr>
          <w:sz w:val="24"/>
          <w:highlight w:val="none"/>
        </w:rPr>
      </w:pPr>
      <w:r>
        <w:rPr>
          <w:sz w:val="24"/>
          <w:highlight w:val="none"/>
        </w:rPr>
        <w:t>1.甲方对乙方资质进行审查，确保符合要求，并为乙方正常</w:t>
      </w:r>
      <w:r>
        <w:rPr>
          <w:sz w:val="24"/>
          <w:highlight w:val="none"/>
          <w:u w:val="single"/>
        </w:rPr>
        <w:t xml:space="preserve">      </w:t>
      </w:r>
      <w:r>
        <w:rPr>
          <w:sz w:val="24"/>
          <w:highlight w:val="none"/>
        </w:rPr>
        <w:t>服务场所工作提供便利，</w:t>
      </w:r>
      <w:r>
        <w:rPr>
          <w:sz w:val="24"/>
          <w:highlight w:val="none"/>
          <w:u w:val="single"/>
        </w:rPr>
        <w:t xml:space="preserve">        </w:t>
      </w:r>
      <w:r>
        <w:rPr>
          <w:sz w:val="24"/>
          <w:highlight w:val="none"/>
        </w:rPr>
        <w:t>项目实施前就各实施区域的现状及周边情况向乙方进行交底。如：实施项目周边的电缆线、消防管道及排水沟及周边车辆行驶情况等。</w:t>
      </w:r>
    </w:p>
    <w:p w14:paraId="729091EF">
      <w:pPr>
        <w:spacing w:line="400" w:lineRule="exact"/>
        <w:ind w:firstLine="480" w:firstLineChars="200"/>
        <w:rPr>
          <w:sz w:val="24"/>
          <w:highlight w:val="none"/>
        </w:rPr>
      </w:pPr>
      <w:r>
        <w:rPr>
          <w:sz w:val="24"/>
          <w:highlight w:val="none"/>
        </w:rPr>
        <w:t>2.为本项目指定专人负责具体的联系沟通工作。</w:t>
      </w:r>
    </w:p>
    <w:p w14:paraId="2F3B6155">
      <w:pPr>
        <w:spacing w:line="400" w:lineRule="exact"/>
        <w:ind w:firstLine="480" w:firstLineChars="200"/>
        <w:rPr>
          <w:sz w:val="24"/>
          <w:highlight w:val="none"/>
        </w:rPr>
      </w:pPr>
      <w:r>
        <w:rPr>
          <w:sz w:val="24"/>
          <w:highlight w:val="none"/>
        </w:rPr>
        <w:t>3.做好与本项目有关的其他各级单位的沟通协调工作。</w:t>
      </w:r>
    </w:p>
    <w:p w14:paraId="1411B5C0">
      <w:pPr>
        <w:spacing w:line="400" w:lineRule="exact"/>
        <w:ind w:firstLine="482" w:firstLineChars="200"/>
        <w:rPr>
          <w:b/>
          <w:sz w:val="24"/>
          <w:highlight w:val="none"/>
        </w:rPr>
      </w:pPr>
      <w:r>
        <w:rPr>
          <w:b/>
          <w:sz w:val="24"/>
          <w:highlight w:val="none"/>
        </w:rPr>
        <w:t>二、乙方职责</w:t>
      </w:r>
    </w:p>
    <w:p w14:paraId="06763F40">
      <w:pPr>
        <w:spacing w:line="400" w:lineRule="exact"/>
        <w:ind w:firstLine="480" w:firstLineChars="200"/>
        <w:rPr>
          <w:sz w:val="24"/>
          <w:highlight w:val="none"/>
        </w:rPr>
      </w:pPr>
      <w:r>
        <w:rPr>
          <w:sz w:val="24"/>
          <w:highlight w:val="none"/>
        </w:rPr>
        <w:t>1.建立健全本单位该项目的安全生产责任制度和安全生产管理制度，健全组织机构。</w:t>
      </w:r>
    </w:p>
    <w:p w14:paraId="01652C15">
      <w:pPr>
        <w:spacing w:line="400" w:lineRule="exact"/>
        <w:ind w:firstLine="480" w:firstLineChars="200"/>
        <w:rPr>
          <w:sz w:val="24"/>
          <w:highlight w:val="none"/>
        </w:rPr>
      </w:pPr>
      <w:r>
        <w:rPr>
          <w:sz w:val="24"/>
          <w:highlight w:val="none"/>
        </w:rPr>
        <w:t>2.乙方在</w:t>
      </w:r>
      <w:r>
        <w:rPr>
          <w:sz w:val="24"/>
          <w:highlight w:val="none"/>
          <w:u w:val="single"/>
        </w:rPr>
        <w:t xml:space="preserve">       项目</w:t>
      </w:r>
      <w:r>
        <w:rPr>
          <w:sz w:val="24"/>
          <w:highlight w:val="none"/>
        </w:rPr>
        <w:t>服务期间，必须对工作人员进行安全生产教育，落实安全技术交底工作，确保各类专业技术人员持证上岗。</w:t>
      </w:r>
    </w:p>
    <w:p w14:paraId="2158CD17">
      <w:pPr>
        <w:spacing w:line="400" w:lineRule="exact"/>
        <w:ind w:firstLine="480" w:firstLineChars="200"/>
        <w:rPr>
          <w:sz w:val="24"/>
          <w:highlight w:val="none"/>
        </w:rPr>
      </w:pPr>
      <w:r>
        <w:rPr>
          <w:sz w:val="24"/>
          <w:highlight w:val="none"/>
        </w:rPr>
        <w:t>3.乙方应遵守甲方相关的安全生产管理制度，在禁烟区内严禁吸烟以及擅自动用各类明火（动用需经审批），并在现场设置灭火器材及警示标识。</w:t>
      </w:r>
    </w:p>
    <w:p w14:paraId="66C0AC51">
      <w:pPr>
        <w:spacing w:line="400" w:lineRule="exact"/>
        <w:ind w:firstLine="480" w:firstLineChars="200"/>
        <w:rPr>
          <w:sz w:val="24"/>
          <w:highlight w:val="none"/>
        </w:rPr>
      </w:pPr>
      <w:r>
        <w:rPr>
          <w:sz w:val="24"/>
          <w:highlight w:val="none"/>
        </w:rPr>
        <w:t>4.乙方在</w:t>
      </w:r>
      <w:r>
        <w:rPr>
          <w:sz w:val="24"/>
          <w:highlight w:val="none"/>
          <w:u w:val="single"/>
        </w:rPr>
        <w:t xml:space="preserve">       项目</w:t>
      </w:r>
      <w:r>
        <w:rPr>
          <w:sz w:val="24"/>
          <w:highlight w:val="none"/>
        </w:rPr>
        <w:t>服务期间应严格按照用电规范要求，严禁私拉乱接电线，各类电器、照明设备必须使用防爆产品或设置防爆装置。</w:t>
      </w:r>
    </w:p>
    <w:p w14:paraId="089F9747">
      <w:pPr>
        <w:spacing w:line="400" w:lineRule="exact"/>
        <w:ind w:firstLine="480" w:firstLineChars="200"/>
        <w:rPr>
          <w:sz w:val="24"/>
          <w:highlight w:val="none"/>
        </w:rPr>
      </w:pPr>
      <w:r>
        <w:rPr>
          <w:sz w:val="24"/>
          <w:highlight w:val="none"/>
        </w:rPr>
        <w:t>5.乙方内部要建立安全生产检查制度、落实自查自检，按“定人、定时间、定措施”的隐患整改原则，消除现场不安全因素。</w:t>
      </w:r>
    </w:p>
    <w:p w14:paraId="6D7B338A">
      <w:pPr>
        <w:spacing w:line="400" w:lineRule="exact"/>
        <w:ind w:firstLine="480" w:firstLineChars="200"/>
        <w:rPr>
          <w:sz w:val="24"/>
          <w:highlight w:val="none"/>
        </w:rPr>
      </w:pPr>
      <w:r>
        <w:rPr>
          <w:sz w:val="24"/>
          <w:highlight w:val="none"/>
        </w:rPr>
        <w:t>6．安全、规范、文明、科学作业，不损坏甲方的地上地下各类设施，确保</w:t>
      </w:r>
      <w:r>
        <w:rPr>
          <w:sz w:val="24"/>
          <w:highlight w:val="none"/>
          <w:u w:val="single"/>
        </w:rPr>
        <w:t xml:space="preserve">       </w:t>
      </w:r>
      <w:r>
        <w:rPr>
          <w:sz w:val="24"/>
          <w:highlight w:val="none"/>
        </w:rPr>
        <w:t>项目实施区域安全有序。</w:t>
      </w:r>
    </w:p>
    <w:p w14:paraId="2A75308B">
      <w:pPr>
        <w:spacing w:line="400" w:lineRule="exact"/>
        <w:ind w:firstLine="480" w:firstLineChars="200"/>
        <w:rPr>
          <w:sz w:val="24"/>
          <w:highlight w:val="none"/>
        </w:rPr>
      </w:pPr>
      <w:r>
        <w:rPr>
          <w:sz w:val="24"/>
          <w:highlight w:val="none"/>
        </w:rPr>
        <w:t>7.接受甲方的监督检查。</w:t>
      </w:r>
    </w:p>
    <w:p w14:paraId="6CD3FE43">
      <w:pPr>
        <w:spacing w:line="400" w:lineRule="exact"/>
        <w:ind w:firstLine="482" w:firstLineChars="200"/>
        <w:rPr>
          <w:sz w:val="24"/>
          <w:highlight w:val="none"/>
        </w:rPr>
      </w:pPr>
      <w:r>
        <w:rPr>
          <w:b/>
          <w:sz w:val="24"/>
          <w:highlight w:val="none"/>
        </w:rPr>
        <w:t>三、违约责任</w:t>
      </w:r>
    </w:p>
    <w:p w14:paraId="1BCE5245">
      <w:pPr>
        <w:spacing w:line="400" w:lineRule="exact"/>
        <w:ind w:firstLine="480" w:firstLineChars="200"/>
        <w:rPr>
          <w:sz w:val="24"/>
          <w:highlight w:val="none"/>
        </w:rPr>
      </w:pPr>
      <w:r>
        <w:rPr>
          <w:sz w:val="24"/>
          <w:highlight w:val="none"/>
        </w:rPr>
        <w:t>1.在</w:t>
      </w:r>
      <w:r>
        <w:rPr>
          <w:sz w:val="24"/>
          <w:highlight w:val="none"/>
          <w:u w:val="single"/>
        </w:rPr>
        <w:t xml:space="preserve">       项目</w:t>
      </w:r>
      <w:r>
        <w:rPr>
          <w:sz w:val="24"/>
          <w:highlight w:val="none"/>
        </w:rPr>
        <w:t>服务过程中，乙方必须做到安全生产，并服从甲方管理人员的调度指挥，有下列行为的，乙方扣罚履约保证金500-1000元/次：</w:t>
      </w:r>
    </w:p>
    <w:p w14:paraId="5536D358">
      <w:pPr>
        <w:spacing w:line="400" w:lineRule="exact"/>
        <w:ind w:firstLine="480" w:firstLineChars="200"/>
        <w:rPr>
          <w:sz w:val="24"/>
          <w:highlight w:val="none"/>
        </w:rPr>
      </w:pPr>
      <w:r>
        <w:rPr>
          <w:sz w:val="24"/>
          <w:highlight w:val="none"/>
        </w:rPr>
        <w:fldChar w:fldCharType="begin"/>
      </w:r>
      <w:r>
        <w:rPr>
          <w:sz w:val="24"/>
          <w:highlight w:val="none"/>
        </w:rPr>
        <w:instrText xml:space="preserve"> = 1 \* GB3 </w:instrText>
      </w:r>
      <w:r>
        <w:rPr>
          <w:sz w:val="24"/>
          <w:highlight w:val="none"/>
        </w:rPr>
        <w:fldChar w:fldCharType="separate"/>
      </w:r>
      <w:r>
        <w:rPr>
          <w:sz w:val="24"/>
          <w:highlight w:val="none"/>
        </w:rPr>
        <w:t>①</w:t>
      </w:r>
      <w:r>
        <w:rPr>
          <w:sz w:val="24"/>
          <w:highlight w:val="none"/>
        </w:rPr>
        <w:fldChar w:fldCharType="end"/>
      </w:r>
      <w:r>
        <w:rPr>
          <w:sz w:val="24"/>
          <w:highlight w:val="none"/>
        </w:rPr>
        <w:t>不服从甲方指挥，强令冒险作业；</w:t>
      </w:r>
    </w:p>
    <w:p w14:paraId="3356AC3D">
      <w:pPr>
        <w:spacing w:line="400" w:lineRule="exact"/>
        <w:ind w:firstLine="480" w:firstLineChars="200"/>
        <w:rPr>
          <w:sz w:val="24"/>
          <w:highlight w:val="none"/>
        </w:rPr>
      </w:pPr>
      <w:r>
        <w:rPr>
          <w:sz w:val="24"/>
          <w:highlight w:val="none"/>
        </w:rPr>
        <w:fldChar w:fldCharType="begin"/>
      </w:r>
      <w:r>
        <w:rPr>
          <w:sz w:val="24"/>
          <w:highlight w:val="none"/>
        </w:rPr>
        <w:instrText xml:space="preserve"> = 2 \* GB3 </w:instrText>
      </w:r>
      <w:r>
        <w:rPr>
          <w:sz w:val="24"/>
          <w:highlight w:val="none"/>
        </w:rPr>
        <w:fldChar w:fldCharType="separate"/>
      </w:r>
      <w:r>
        <w:rPr>
          <w:sz w:val="24"/>
          <w:highlight w:val="none"/>
        </w:rPr>
        <w:t>②</w:t>
      </w:r>
      <w:r>
        <w:rPr>
          <w:sz w:val="24"/>
          <w:highlight w:val="none"/>
        </w:rPr>
        <w:fldChar w:fldCharType="end"/>
      </w:r>
      <w:r>
        <w:rPr>
          <w:sz w:val="24"/>
          <w:highlight w:val="none"/>
        </w:rPr>
        <w:t>未按要求参加甲方组织的各项安全检查、会议活动；</w:t>
      </w:r>
    </w:p>
    <w:p w14:paraId="1F1A6EC3">
      <w:pPr>
        <w:spacing w:line="400" w:lineRule="exact"/>
        <w:ind w:firstLine="480" w:firstLineChars="200"/>
        <w:rPr>
          <w:sz w:val="24"/>
          <w:highlight w:val="none"/>
        </w:rPr>
      </w:pPr>
      <w:r>
        <w:rPr>
          <w:sz w:val="24"/>
          <w:highlight w:val="none"/>
        </w:rPr>
        <w:fldChar w:fldCharType="begin"/>
      </w:r>
      <w:r>
        <w:rPr>
          <w:sz w:val="24"/>
          <w:highlight w:val="none"/>
        </w:rPr>
        <w:instrText xml:space="preserve"> = 3 \* GB3 </w:instrText>
      </w:r>
      <w:r>
        <w:rPr>
          <w:sz w:val="24"/>
          <w:highlight w:val="none"/>
        </w:rPr>
        <w:fldChar w:fldCharType="separate"/>
      </w:r>
      <w:r>
        <w:rPr>
          <w:sz w:val="24"/>
          <w:highlight w:val="none"/>
        </w:rPr>
        <w:t>③</w:t>
      </w:r>
      <w:r>
        <w:rPr>
          <w:sz w:val="24"/>
          <w:highlight w:val="none"/>
        </w:rPr>
        <w:fldChar w:fldCharType="end"/>
      </w:r>
      <w:r>
        <w:rPr>
          <w:sz w:val="24"/>
          <w:highlight w:val="none"/>
        </w:rPr>
        <w:t>工作人员在禁烟区擅自动火、吸烟；</w:t>
      </w:r>
    </w:p>
    <w:p w14:paraId="5417F712">
      <w:pPr>
        <w:spacing w:line="400" w:lineRule="exact"/>
        <w:ind w:firstLine="480" w:firstLineChars="200"/>
        <w:rPr>
          <w:sz w:val="24"/>
          <w:highlight w:val="none"/>
        </w:rPr>
      </w:pPr>
      <w:r>
        <w:rPr>
          <w:sz w:val="24"/>
          <w:highlight w:val="none"/>
        </w:rPr>
        <w:fldChar w:fldCharType="begin"/>
      </w:r>
      <w:r>
        <w:rPr>
          <w:sz w:val="24"/>
          <w:highlight w:val="none"/>
        </w:rPr>
        <w:instrText xml:space="preserve"> = 4 \* GB3 </w:instrText>
      </w:r>
      <w:r>
        <w:rPr>
          <w:sz w:val="24"/>
          <w:highlight w:val="none"/>
        </w:rPr>
        <w:fldChar w:fldCharType="separate"/>
      </w:r>
      <w:r>
        <w:rPr>
          <w:sz w:val="24"/>
          <w:highlight w:val="none"/>
        </w:rPr>
        <w:t>④</w:t>
      </w:r>
      <w:r>
        <w:rPr>
          <w:sz w:val="24"/>
          <w:highlight w:val="none"/>
        </w:rPr>
        <w:fldChar w:fldCharType="end"/>
      </w:r>
      <w:r>
        <w:rPr>
          <w:sz w:val="24"/>
          <w:highlight w:val="none"/>
        </w:rPr>
        <w:t>工作人员未按规定穿戴劳动防护用品，经劝说不听或不服从管理的；</w:t>
      </w:r>
    </w:p>
    <w:p w14:paraId="366E4B46">
      <w:pPr>
        <w:spacing w:line="400" w:lineRule="exact"/>
        <w:ind w:firstLine="480" w:firstLineChars="200"/>
        <w:rPr>
          <w:sz w:val="24"/>
          <w:highlight w:val="none"/>
        </w:rPr>
      </w:pPr>
      <w:r>
        <w:rPr>
          <w:sz w:val="24"/>
          <w:highlight w:val="none"/>
        </w:rPr>
        <w:fldChar w:fldCharType="begin"/>
      </w:r>
      <w:r>
        <w:rPr>
          <w:sz w:val="24"/>
          <w:highlight w:val="none"/>
        </w:rPr>
        <w:instrText xml:space="preserve"> = 5 \* GB3 </w:instrText>
      </w:r>
      <w:r>
        <w:rPr>
          <w:sz w:val="24"/>
          <w:highlight w:val="none"/>
        </w:rPr>
        <w:fldChar w:fldCharType="separate"/>
      </w:r>
      <w:r>
        <w:rPr>
          <w:sz w:val="24"/>
          <w:highlight w:val="none"/>
        </w:rPr>
        <w:t>⑤</w:t>
      </w:r>
      <w:r>
        <w:rPr>
          <w:sz w:val="24"/>
          <w:highlight w:val="none"/>
        </w:rPr>
        <w:fldChar w:fldCharType="end"/>
      </w:r>
      <w:r>
        <w:rPr>
          <w:sz w:val="24"/>
          <w:highlight w:val="none"/>
          <w:u w:val="single"/>
        </w:rPr>
        <w:t xml:space="preserve">       项目</w:t>
      </w:r>
      <w:r>
        <w:rPr>
          <w:sz w:val="24"/>
          <w:highlight w:val="none"/>
        </w:rPr>
        <w:t>服务过程造成环境影响。</w:t>
      </w:r>
    </w:p>
    <w:p w14:paraId="404A9F2F">
      <w:pPr>
        <w:spacing w:line="400" w:lineRule="exact"/>
        <w:ind w:firstLine="480" w:firstLineChars="200"/>
        <w:rPr>
          <w:sz w:val="24"/>
          <w:highlight w:val="none"/>
        </w:rPr>
      </w:pPr>
      <w:r>
        <w:rPr>
          <w:sz w:val="24"/>
          <w:highlight w:val="none"/>
        </w:rPr>
        <w:t>2.乙方在</w:t>
      </w:r>
      <w:r>
        <w:rPr>
          <w:sz w:val="24"/>
          <w:highlight w:val="none"/>
          <w:u w:val="single"/>
        </w:rPr>
        <w:t xml:space="preserve">       项目</w:t>
      </w:r>
      <w:r>
        <w:rPr>
          <w:sz w:val="24"/>
          <w:highlight w:val="none"/>
        </w:rPr>
        <w:t>服务过程中有下列行为的，扣罚履约保证金5000元/次：</w:t>
      </w:r>
    </w:p>
    <w:p w14:paraId="09C9B75A">
      <w:pPr>
        <w:spacing w:line="400" w:lineRule="exact"/>
        <w:ind w:firstLine="480" w:firstLineChars="200"/>
        <w:rPr>
          <w:sz w:val="24"/>
          <w:highlight w:val="none"/>
        </w:rPr>
      </w:pPr>
      <w:r>
        <w:rPr>
          <w:sz w:val="24"/>
          <w:highlight w:val="none"/>
        </w:rPr>
        <w:fldChar w:fldCharType="begin"/>
      </w:r>
      <w:r>
        <w:rPr>
          <w:sz w:val="24"/>
          <w:highlight w:val="none"/>
        </w:rPr>
        <w:instrText xml:space="preserve"> = 1 \* GB3 </w:instrText>
      </w:r>
      <w:r>
        <w:rPr>
          <w:sz w:val="24"/>
          <w:highlight w:val="none"/>
        </w:rPr>
        <w:fldChar w:fldCharType="separate"/>
      </w:r>
      <w:r>
        <w:rPr>
          <w:sz w:val="24"/>
          <w:highlight w:val="none"/>
        </w:rPr>
        <w:t>①</w:t>
      </w:r>
      <w:r>
        <w:rPr>
          <w:sz w:val="24"/>
          <w:highlight w:val="none"/>
        </w:rPr>
        <w:fldChar w:fldCharType="end"/>
      </w:r>
      <w:r>
        <w:rPr>
          <w:sz w:val="24"/>
          <w:highlight w:val="none"/>
        </w:rPr>
        <w:t>由于乙方原因造成甲方被主管单位、新闻媒体、12345公开电话投诉或其他上级有关部门书面警告等通报批评的；</w:t>
      </w:r>
    </w:p>
    <w:p w14:paraId="1A8BB30B">
      <w:pPr>
        <w:spacing w:line="400" w:lineRule="exact"/>
        <w:ind w:firstLine="480" w:firstLineChars="200"/>
        <w:rPr>
          <w:sz w:val="24"/>
          <w:highlight w:val="none"/>
        </w:rPr>
      </w:pPr>
      <w:r>
        <w:rPr>
          <w:sz w:val="24"/>
          <w:highlight w:val="none"/>
        </w:rPr>
        <w:fldChar w:fldCharType="begin"/>
      </w:r>
      <w:r>
        <w:rPr>
          <w:sz w:val="24"/>
          <w:highlight w:val="none"/>
        </w:rPr>
        <w:instrText xml:space="preserve"> = 2 \* GB3 </w:instrText>
      </w:r>
      <w:r>
        <w:rPr>
          <w:sz w:val="24"/>
          <w:highlight w:val="none"/>
        </w:rPr>
        <w:fldChar w:fldCharType="separate"/>
      </w:r>
      <w:r>
        <w:rPr>
          <w:sz w:val="24"/>
          <w:highlight w:val="none"/>
        </w:rPr>
        <w:t>②</w:t>
      </w:r>
      <w:r>
        <w:rPr>
          <w:sz w:val="24"/>
          <w:highlight w:val="none"/>
        </w:rPr>
        <w:fldChar w:fldCharType="end"/>
      </w:r>
      <w:r>
        <w:rPr>
          <w:sz w:val="24"/>
          <w:highlight w:val="none"/>
        </w:rPr>
        <w:t>乙方未履行职责，经甲方三次书面警告的，进行停业整顿的，每次停业整顿。</w:t>
      </w:r>
    </w:p>
    <w:p w14:paraId="7C605B13">
      <w:pPr>
        <w:spacing w:line="400" w:lineRule="exact"/>
        <w:ind w:firstLine="480" w:firstLineChars="200"/>
        <w:rPr>
          <w:sz w:val="24"/>
          <w:highlight w:val="none"/>
        </w:rPr>
      </w:pPr>
      <w:r>
        <w:rPr>
          <w:sz w:val="24"/>
          <w:highlight w:val="none"/>
        </w:rPr>
        <w:t>3.乙方</w:t>
      </w:r>
      <w:r>
        <w:rPr>
          <w:sz w:val="24"/>
          <w:highlight w:val="none"/>
          <w:u w:val="single"/>
        </w:rPr>
        <w:t xml:space="preserve">       项目</w:t>
      </w:r>
      <w:r>
        <w:rPr>
          <w:sz w:val="24"/>
          <w:highlight w:val="none"/>
        </w:rPr>
        <w:t>服务人员无证驾驶车辆（设备）、特殊工种无证上岗、消防器材配置缺损已提醒二十四小时无改进措施等现象，扣罚保证金2000元/人·次。</w:t>
      </w:r>
    </w:p>
    <w:p w14:paraId="1792DCF1">
      <w:pPr>
        <w:spacing w:line="400" w:lineRule="exact"/>
        <w:ind w:firstLine="480" w:firstLineChars="200"/>
        <w:rPr>
          <w:sz w:val="24"/>
          <w:highlight w:val="none"/>
        </w:rPr>
      </w:pPr>
      <w:r>
        <w:rPr>
          <w:sz w:val="24"/>
          <w:highlight w:val="none"/>
        </w:rPr>
        <w:t>4.乙方在</w:t>
      </w:r>
      <w:r>
        <w:rPr>
          <w:sz w:val="24"/>
          <w:highlight w:val="none"/>
          <w:u w:val="single"/>
        </w:rPr>
        <w:t xml:space="preserve">       项目</w:t>
      </w:r>
      <w:r>
        <w:rPr>
          <w:sz w:val="24"/>
          <w:highlight w:val="none"/>
        </w:rPr>
        <w:t>服务过程中，对甲方的设施、绿化道路造成影响，由乙方应按甲方要求及时进行原貌恢复或清理，如乙方未能及时进行处理的，甲方有权委托相关部门执行，相应费用在乙方履约保证金中扣除。</w:t>
      </w:r>
    </w:p>
    <w:p w14:paraId="7832D8E6">
      <w:pPr>
        <w:spacing w:line="400" w:lineRule="exact"/>
        <w:ind w:firstLine="480" w:firstLineChars="200"/>
        <w:rPr>
          <w:sz w:val="24"/>
          <w:highlight w:val="none"/>
        </w:rPr>
      </w:pPr>
      <w:r>
        <w:rPr>
          <w:sz w:val="24"/>
          <w:highlight w:val="none"/>
        </w:rPr>
        <w:t>5.乙方在</w:t>
      </w:r>
      <w:r>
        <w:rPr>
          <w:sz w:val="24"/>
          <w:highlight w:val="none"/>
          <w:u w:val="single"/>
        </w:rPr>
        <w:t xml:space="preserve">       项目</w:t>
      </w:r>
      <w:r>
        <w:rPr>
          <w:sz w:val="24"/>
          <w:highlight w:val="none"/>
        </w:rPr>
        <w:t>服务过程中，造成甲方生产设施损坏或给甲方生产造成明显影响的，根据设施损坏和影响的程度，乙方须按价给予赔偿，并处罚款。若影响周边生态环境，应按污染程度给予全责赔偿（包括被环保职能部门的处罚）。</w:t>
      </w:r>
    </w:p>
    <w:p w14:paraId="51B7D71B">
      <w:pPr>
        <w:spacing w:line="400" w:lineRule="exact"/>
        <w:ind w:firstLine="480" w:firstLineChars="200"/>
        <w:rPr>
          <w:sz w:val="24"/>
          <w:highlight w:val="none"/>
        </w:rPr>
      </w:pPr>
      <w:r>
        <w:rPr>
          <w:sz w:val="24"/>
          <w:highlight w:val="none"/>
        </w:rPr>
        <w:t>6.发生紧急情况，乙方应及时向上级主管和甲方报告，同时向相关领导或值班人员汇报。如发生人员伤亡应迅速抢救伤员，并在第一时间送往就近医院。</w:t>
      </w:r>
    </w:p>
    <w:p w14:paraId="14C401D9">
      <w:pPr>
        <w:spacing w:line="400" w:lineRule="exact"/>
        <w:ind w:firstLine="480" w:firstLineChars="200"/>
        <w:rPr>
          <w:sz w:val="24"/>
          <w:highlight w:val="none"/>
        </w:rPr>
      </w:pPr>
      <w:r>
        <w:rPr>
          <w:sz w:val="24"/>
          <w:highlight w:val="none"/>
        </w:rPr>
        <w:t>7.在</w:t>
      </w:r>
      <w:r>
        <w:rPr>
          <w:sz w:val="24"/>
          <w:highlight w:val="none"/>
          <w:u w:val="single"/>
        </w:rPr>
        <w:t xml:space="preserve">       项目</w:t>
      </w:r>
      <w:r>
        <w:rPr>
          <w:sz w:val="24"/>
          <w:highlight w:val="none"/>
        </w:rPr>
        <w:t>服务期间，乙方发生的安全事故以及造成的人员或财产损失由乙方全额负责。</w:t>
      </w:r>
    </w:p>
    <w:p w14:paraId="3E87AFE8">
      <w:pPr>
        <w:spacing w:line="400" w:lineRule="exact"/>
        <w:ind w:firstLine="480" w:firstLineChars="200"/>
        <w:rPr>
          <w:sz w:val="24"/>
          <w:highlight w:val="none"/>
        </w:rPr>
      </w:pPr>
      <w:r>
        <w:rPr>
          <w:sz w:val="24"/>
          <w:highlight w:val="none"/>
        </w:rPr>
        <w:t>8.其他违反甲方相关安全规章制度的现象，根据违规情况每次酌情扣罚履约保证金200—1000元。</w:t>
      </w:r>
    </w:p>
    <w:p w14:paraId="76743B75">
      <w:pPr>
        <w:spacing w:line="400" w:lineRule="exact"/>
        <w:ind w:firstLine="482" w:firstLineChars="200"/>
        <w:rPr>
          <w:b/>
          <w:sz w:val="24"/>
          <w:highlight w:val="none"/>
        </w:rPr>
      </w:pPr>
      <w:r>
        <w:rPr>
          <w:b/>
          <w:sz w:val="24"/>
          <w:highlight w:val="none"/>
        </w:rPr>
        <w:t>四、其他</w:t>
      </w:r>
    </w:p>
    <w:p w14:paraId="6419F216">
      <w:pPr>
        <w:spacing w:line="40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本协议有效期为双方签署之日起至双方权利义务履行完毕为止。有效期内发生的违约事实，有效期后发现的适用本协议。</w:t>
      </w:r>
    </w:p>
    <w:p w14:paraId="52691620">
      <w:pPr>
        <w:spacing w:line="400" w:lineRule="exact"/>
        <w:ind w:firstLine="435"/>
        <w:rPr>
          <w:sz w:val="24"/>
          <w:highlight w:val="none"/>
        </w:rPr>
      </w:pPr>
    </w:p>
    <w:p w14:paraId="150623A2">
      <w:pPr>
        <w:spacing w:line="400" w:lineRule="exact"/>
        <w:ind w:firstLine="435"/>
        <w:rPr>
          <w:sz w:val="24"/>
          <w:highlight w:val="none"/>
        </w:rPr>
      </w:pPr>
    </w:p>
    <w:p w14:paraId="19D1EBDC">
      <w:pPr>
        <w:spacing w:line="400" w:lineRule="exact"/>
        <w:ind w:firstLine="435"/>
        <w:rPr>
          <w:sz w:val="24"/>
          <w:highlight w:val="none"/>
        </w:rPr>
      </w:pPr>
    </w:p>
    <w:p w14:paraId="2482A530">
      <w:pPr>
        <w:widowControl/>
        <w:spacing w:line="380" w:lineRule="exact"/>
        <w:ind w:firstLine="480" w:firstLineChars="200"/>
        <w:jc w:val="left"/>
        <w:rPr>
          <w:kern w:val="0"/>
          <w:sz w:val="24"/>
          <w:highlight w:val="none"/>
        </w:rPr>
      </w:pPr>
      <w:r>
        <w:rPr>
          <w:kern w:val="0"/>
          <w:sz w:val="24"/>
          <w:highlight w:val="none"/>
        </w:rPr>
        <w:t>甲方单位（盖章）：                         乙方单位（盖章）：</w:t>
      </w:r>
    </w:p>
    <w:p w14:paraId="4307FAEE">
      <w:pPr>
        <w:widowControl/>
        <w:spacing w:line="380" w:lineRule="exact"/>
        <w:ind w:firstLine="480" w:firstLineChars="200"/>
        <w:jc w:val="left"/>
        <w:rPr>
          <w:kern w:val="0"/>
          <w:sz w:val="24"/>
          <w:highlight w:val="none"/>
        </w:rPr>
      </w:pPr>
      <w:r>
        <w:rPr>
          <w:kern w:val="0"/>
          <w:sz w:val="24"/>
          <w:highlight w:val="none"/>
        </w:rPr>
        <w:t>甲方代表（签字）：                         乙方代表（签字）：</w:t>
      </w:r>
    </w:p>
    <w:p w14:paraId="0D51E1EE">
      <w:pPr>
        <w:adjustRightInd w:val="0"/>
        <w:snapToGrid w:val="0"/>
        <w:spacing w:line="360" w:lineRule="auto"/>
        <w:rPr>
          <w:rFonts w:ascii="宋体" w:hAnsi="宋体"/>
          <w:color w:val="auto"/>
          <w:kern w:val="0"/>
          <w:sz w:val="24"/>
          <w:highlight w:val="none"/>
        </w:rPr>
      </w:pPr>
    </w:p>
    <w:p w14:paraId="0E387DAE">
      <w:pPr>
        <w:rPr>
          <w:color w:val="auto"/>
          <w:highlight w:val="none"/>
        </w:rPr>
        <w:sectPr>
          <w:pgSz w:w="11907" w:h="16840"/>
          <w:pgMar w:top="1134" w:right="1134" w:bottom="1418" w:left="1418" w:header="510" w:footer="510" w:gutter="0"/>
          <w:cols w:space="720" w:num="1"/>
        </w:sectPr>
      </w:pPr>
    </w:p>
    <w:p w14:paraId="512BDC18">
      <w:pPr>
        <w:pStyle w:val="5"/>
        <w:rPr>
          <w:rFonts w:ascii="宋体" w:hAnsi="宋体"/>
          <w:color w:val="auto"/>
          <w:highlight w:val="none"/>
        </w:rPr>
      </w:pPr>
    </w:p>
    <w:p w14:paraId="77D708CA">
      <w:pPr>
        <w:pStyle w:val="6"/>
        <w:ind w:firstLine="210"/>
        <w:rPr>
          <w:rFonts w:ascii="宋体" w:hAnsi="宋体"/>
          <w:color w:val="auto"/>
          <w:highlight w:val="none"/>
        </w:rPr>
      </w:pPr>
    </w:p>
    <w:p w14:paraId="1AB08047">
      <w:pPr>
        <w:pStyle w:val="2"/>
        <w:numPr>
          <w:ilvl w:val="0"/>
          <w:numId w:val="5"/>
        </w:numPr>
        <w:spacing w:line="560" w:lineRule="exact"/>
        <w:ind w:left="0" w:leftChars="0" w:firstLine="0" w:firstLineChars="0"/>
        <w:rPr>
          <w:rFonts w:hint="eastAsia" w:ascii="Times New Roman" w:hAnsi="Times New Roman" w:eastAsia="小标宋" w:cs="Times New Roman"/>
          <w:b w:val="0"/>
          <w:bCs w:val="0"/>
          <w:sz w:val="36"/>
          <w:szCs w:val="36"/>
          <w:highlight w:val="none"/>
          <w:lang w:val="en-US" w:eastAsia="zh-CN"/>
        </w:rPr>
      </w:pPr>
      <w:bookmarkStart w:id="28" w:name="_Toc11465"/>
      <w:r>
        <w:rPr>
          <w:rFonts w:hint="eastAsia" w:ascii="Times New Roman" w:hAnsi="Times New Roman" w:eastAsia="小标宋" w:cs="Times New Roman"/>
          <w:b w:val="0"/>
          <w:bCs w:val="0"/>
          <w:sz w:val="36"/>
          <w:szCs w:val="36"/>
          <w:highlight w:val="none"/>
          <w:lang w:val="en-US" w:eastAsia="zh-CN"/>
        </w:rPr>
        <w:t>附件</w:t>
      </w:r>
      <w:bookmarkEnd w:id="28"/>
    </w:p>
    <w:p w14:paraId="1F710909">
      <w:pPr>
        <w:spacing w:line="480" w:lineRule="auto"/>
        <w:jc w:val="right"/>
        <w:rPr>
          <w:rFonts w:hint="eastAsia" w:ascii="宋体" w:hAnsi="宋体"/>
          <w:color w:val="auto"/>
          <w:sz w:val="32"/>
          <w:highlight w:val="none"/>
        </w:rPr>
      </w:pPr>
    </w:p>
    <w:p w14:paraId="43CF392C">
      <w:pPr>
        <w:rPr>
          <w:rFonts w:hint="eastAsia" w:ascii="宋体" w:hAnsi="宋体"/>
          <w:color w:val="auto"/>
          <w:sz w:val="44"/>
          <w:highlight w:val="none"/>
        </w:rPr>
      </w:pPr>
    </w:p>
    <w:p w14:paraId="34494654">
      <w:pPr>
        <w:spacing w:line="360" w:lineRule="auto"/>
        <w:jc w:val="center"/>
        <w:rPr>
          <w:rFonts w:hint="eastAsia" w:ascii="宋体" w:hAnsi="宋体" w:eastAsia="宋体"/>
          <w:color w:val="auto"/>
          <w:sz w:val="52"/>
          <w:highlight w:val="none"/>
          <w:lang w:eastAsia="zh-CN"/>
        </w:rPr>
      </w:pPr>
      <w:r>
        <w:rPr>
          <w:rFonts w:hint="eastAsia" w:ascii="宋体" w:hAnsi="宋体"/>
          <w:color w:val="auto"/>
          <w:sz w:val="52"/>
          <w:highlight w:val="none"/>
          <w:lang w:eastAsia="zh-CN"/>
        </w:rPr>
        <w:t>2025年聚合氯化铝（PAC）采购项目</w:t>
      </w:r>
    </w:p>
    <w:p w14:paraId="6CDCEF71">
      <w:pPr>
        <w:spacing w:line="360" w:lineRule="auto"/>
        <w:jc w:val="center"/>
        <w:rPr>
          <w:rFonts w:hint="eastAsia" w:ascii="宋体" w:hAnsi="宋体" w:eastAsia="宋体"/>
          <w:color w:val="auto"/>
          <w:highlight w:val="none"/>
          <w:lang w:eastAsia="zh-CN"/>
        </w:rPr>
      </w:pPr>
      <w:r>
        <w:rPr>
          <w:rFonts w:hint="eastAsia" w:ascii="宋体" w:hAnsi="宋体"/>
          <w:color w:val="auto"/>
          <w:highlight w:val="none"/>
        </w:rPr>
        <w:t>项目编号：2025-0047</w:t>
      </w:r>
    </w:p>
    <w:p w14:paraId="4515C451">
      <w:pPr>
        <w:jc w:val="center"/>
        <w:rPr>
          <w:rFonts w:hint="eastAsia" w:ascii="宋体" w:hAnsi="宋体"/>
          <w:color w:val="auto"/>
          <w:sz w:val="44"/>
          <w:highlight w:val="none"/>
        </w:rPr>
      </w:pPr>
    </w:p>
    <w:p w14:paraId="76D0C613">
      <w:pPr>
        <w:rPr>
          <w:rFonts w:hint="eastAsia" w:ascii="宋体" w:hAnsi="宋体"/>
          <w:color w:val="auto"/>
          <w:sz w:val="84"/>
          <w:highlight w:val="none"/>
        </w:rPr>
      </w:pPr>
    </w:p>
    <w:p w14:paraId="4491040E">
      <w:pPr>
        <w:jc w:val="center"/>
        <w:rPr>
          <w:rFonts w:hint="eastAsia" w:ascii="宋体" w:hAnsi="宋体"/>
          <w:color w:val="auto"/>
          <w:sz w:val="84"/>
          <w:highlight w:val="none"/>
        </w:rPr>
      </w:pPr>
      <w:r>
        <w:rPr>
          <w:rFonts w:hint="eastAsia" w:ascii="宋体" w:hAnsi="宋体"/>
          <w:color w:val="auto"/>
          <w:sz w:val="84"/>
          <w:highlight w:val="none"/>
        </w:rPr>
        <w:t>报价文件</w:t>
      </w:r>
    </w:p>
    <w:p w14:paraId="74C33552">
      <w:pPr>
        <w:jc w:val="center"/>
        <w:rPr>
          <w:rFonts w:hint="eastAsia" w:ascii="宋体" w:hAnsi="宋体"/>
          <w:color w:val="auto"/>
          <w:sz w:val="24"/>
          <w:highlight w:val="none"/>
        </w:rPr>
      </w:pPr>
    </w:p>
    <w:p w14:paraId="6A68258E">
      <w:pPr>
        <w:jc w:val="center"/>
        <w:rPr>
          <w:rFonts w:hint="eastAsia" w:ascii="宋体" w:hAnsi="宋体"/>
          <w:color w:val="auto"/>
          <w:sz w:val="24"/>
          <w:highlight w:val="none"/>
        </w:rPr>
      </w:pPr>
    </w:p>
    <w:p w14:paraId="0152B013">
      <w:pPr>
        <w:jc w:val="center"/>
        <w:rPr>
          <w:rFonts w:hint="eastAsia" w:ascii="宋体" w:hAnsi="宋体"/>
          <w:color w:val="auto"/>
          <w:sz w:val="24"/>
          <w:highlight w:val="none"/>
        </w:rPr>
      </w:pPr>
    </w:p>
    <w:p w14:paraId="66EE9E7C">
      <w:pPr>
        <w:jc w:val="center"/>
        <w:rPr>
          <w:rFonts w:hint="eastAsia" w:ascii="宋体" w:hAnsi="宋体"/>
          <w:color w:val="auto"/>
          <w:sz w:val="24"/>
          <w:highlight w:val="none"/>
        </w:rPr>
      </w:pPr>
    </w:p>
    <w:p w14:paraId="1E0ACE9D">
      <w:pPr>
        <w:spacing w:line="480" w:lineRule="auto"/>
        <w:jc w:val="center"/>
        <w:rPr>
          <w:rFonts w:hint="eastAsia" w:ascii="宋体" w:hAnsi="宋体"/>
          <w:color w:val="auto"/>
          <w:sz w:val="24"/>
          <w:highlight w:val="none"/>
        </w:rPr>
      </w:pPr>
      <w:r>
        <w:rPr>
          <w:rFonts w:hint="eastAsia" w:ascii="宋体" w:hAnsi="宋体"/>
          <w:color w:val="auto"/>
          <w:sz w:val="24"/>
          <w:highlight w:val="none"/>
        </w:rPr>
        <w:t>正本（或副本）</w:t>
      </w:r>
    </w:p>
    <w:p w14:paraId="3434B964">
      <w:pPr>
        <w:pStyle w:val="5"/>
        <w:rPr>
          <w:rFonts w:hint="eastAsia" w:ascii="宋体" w:hAnsi="宋体"/>
          <w:color w:val="auto"/>
          <w:highlight w:val="none"/>
        </w:rPr>
      </w:pPr>
    </w:p>
    <w:p w14:paraId="380D797C">
      <w:pPr>
        <w:spacing w:line="480" w:lineRule="auto"/>
        <w:jc w:val="center"/>
        <w:rPr>
          <w:rFonts w:hint="eastAsia" w:ascii="宋体" w:hAnsi="宋体"/>
          <w:color w:val="auto"/>
          <w:sz w:val="24"/>
          <w:highlight w:val="none"/>
        </w:rPr>
      </w:pPr>
    </w:p>
    <w:p w14:paraId="17ACC1D6">
      <w:pPr>
        <w:spacing w:line="480" w:lineRule="auto"/>
        <w:ind w:firstLine="1800" w:firstLineChars="500"/>
        <w:rPr>
          <w:rFonts w:ascii="宋体" w:hAnsi="宋体"/>
          <w:color w:val="auto"/>
          <w:highlight w:val="none"/>
          <w:u w:val="single"/>
        </w:rPr>
      </w:pPr>
      <w:r>
        <w:rPr>
          <w:rFonts w:hint="eastAsia" w:ascii="宋体" w:hAnsi="宋体"/>
          <w:color w:val="auto"/>
          <w:highlight w:val="none"/>
        </w:rPr>
        <w:t>响应单位全称：</w:t>
      </w:r>
      <w:r>
        <w:rPr>
          <w:rFonts w:hint="eastAsia" w:ascii="宋体" w:hAnsi="宋体"/>
          <w:color w:val="auto"/>
          <w:highlight w:val="none"/>
          <w:u w:val="single"/>
        </w:rPr>
        <w:t xml:space="preserve">             </w:t>
      </w:r>
    </w:p>
    <w:p w14:paraId="124BF56D">
      <w:pPr>
        <w:spacing w:line="480" w:lineRule="auto"/>
        <w:ind w:firstLine="3240" w:firstLineChars="900"/>
        <w:rPr>
          <w:rFonts w:ascii="宋体" w:hAnsi="宋体"/>
          <w:color w:val="auto"/>
          <w:sz w:val="44"/>
          <w:szCs w:val="44"/>
          <w:highlight w:val="none"/>
        </w:rPr>
      </w:pPr>
      <w:r>
        <w:rPr>
          <w:rFonts w:hint="eastAsia" w:ascii="宋体" w:hAnsi="宋体"/>
          <w:color w:val="auto"/>
          <w:szCs w:val="36"/>
          <w:highlight w:val="none"/>
          <w:u w:val="single"/>
        </w:rPr>
        <w:t xml:space="preserve">      </w:t>
      </w:r>
      <w:r>
        <w:rPr>
          <w:rFonts w:hint="eastAsia" w:ascii="宋体" w:hAnsi="宋体"/>
          <w:color w:val="auto"/>
          <w:szCs w:val="36"/>
          <w:highlight w:val="none"/>
        </w:rPr>
        <w:t>年</w:t>
      </w:r>
      <w:r>
        <w:rPr>
          <w:rFonts w:hint="eastAsia" w:ascii="宋体" w:hAnsi="宋体"/>
          <w:color w:val="auto"/>
          <w:szCs w:val="36"/>
          <w:highlight w:val="none"/>
          <w:u w:val="single"/>
        </w:rPr>
        <w:t xml:space="preserve">    </w:t>
      </w:r>
      <w:r>
        <w:rPr>
          <w:rFonts w:hint="eastAsia" w:ascii="宋体" w:hAnsi="宋体"/>
          <w:color w:val="auto"/>
          <w:szCs w:val="36"/>
          <w:highlight w:val="none"/>
        </w:rPr>
        <w:t>月</w:t>
      </w:r>
      <w:r>
        <w:rPr>
          <w:rFonts w:hint="eastAsia" w:ascii="宋体" w:hAnsi="宋体"/>
          <w:color w:val="auto"/>
          <w:szCs w:val="36"/>
          <w:highlight w:val="none"/>
          <w:u w:val="single"/>
        </w:rPr>
        <w:t xml:space="preserve">    </w:t>
      </w:r>
      <w:r>
        <w:rPr>
          <w:rFonts w:hint="eastAsia" w:ascii="宋体" w:hAnsi="宋体"/>
          <w:color w:val="auto"/>
          <w:szCs w:val="36"/>
          <w:highlight w:val="none"/>
        </w:rPr>
        <w:t>日</w:t>
      </w:r>
    </w:p>
    <w:p w14:paraId="0667F99D">
      <w:pPr>
        <w:spacing w:line="360" w:lineRule="auto"/>
        <w:rPr>
          <w:rFonts w:ascii="宋体" w:hAnsi="宋体"/>
          <w:color w:val="auto"/>
          <w:sz w:val="24"/>
          <w:highlight w:val="none"/>
        </w:rPr>
      </w:pPr>
    </w:p>
    <w:p w14:paraId="30C0375F">
      <w:pPr>
        <w:pStyle w:val="6"/>
        <w:ind w:firstLine="0" w:firstLineChars="0"/>
        <w:rPr>
          <w:rFonts w:hint="eastAsia"/>
          <w:color w:val="auto"/>
          <w:highlight w:val="none"/>
        </w:rPr>
        <w:sectPr>
          <w:pgSz w:w="11907" w:h="16840"/>
          <w:pgMar w:top="1134" w:right="1134" w:bottom="1418" w:left="1418" w:header="510" w:footer="510" w:gutter="0"/>
          <w:cols w:space="720" w:num="1"/>
        </w:sectPr>
      </w:pPr>
    </w:p>
    <w:p w14:paraId="49AF4A0D">
      <w:pPr>
        <w:spacing w:line="360" w:lineRule="auto"/>
        <w:rPr>
          <w:rFonts w:ascii="宋体" w:hAnsi="宋体"/>
          <w:color w:val="auto"/>
          <w:sz w:val="24"/>
          <w:highlight w:val="none"/>
        </w:rPr>
      </w:pPr>
      <w:r>
        <w:rPr>
          <w:rFonts w:ascii="宋体" w:hAnsi="宋体"/>
          <w:color w:val="auto"/>
          <w:sz w:val="24"/>
          <w:highlight w:val="none"/>
        </w:rPr>
        <w:t>附件一</w:t>
      </w:r>
    </w:p>
    <w:p w14:paraId="2F17E961">
      <w:pPr>
        <w:spacing w:line="360" w:lineRule="auto"/>
        <w:jc w:val="center"/>
        <w:rPr>
          <w:rFonts w:ascii="宋体" w:hAnsi="宋体"/>
          <w:b/>
          <w:color w:val="auto"/>
          <w:sz w:val="30"/>
          <w:szCs w:val="30"/>
          <w:highlight w:val="none"/>
        </w:rPr>
      </w:pPr>
      <w:r>
        <w:rPr>
          <w:b/>
          <w:sz w:val="30"/>
          <w:szCs w:val="30"/>
          <w:highlight w:val="none"/>
        </w:rPr>
        <w:t>承诺函</w:t>
      </w:r>
    </w:p>
    <w:p w14:paraId="67B2E5E0">
      <w:pPr>
        <w:spacing w:line="360" w:lineRule="auto"/>
        <w:rPr>
          <w:rFonts w:ascii="宋体" w:hAnsi="宋体"/>
          <w:color w:val="auto"/>
          <w:sz w:val="24"/>
          <w:highlight w:val="none"/>
        </w:rPr>
      </w:pPr>
      <w:r>
        <w:rPr>
          <w:rFonts w:hint="eastAsia" w:ascii="宋体" w:hAnsi="宋体" w:cs="宋体"/>
          <w:color w:val="auto"/>
          <w:sz w:val="24"/>
          <w:highlight w:val="none"/>
          <w:u w:val="single"/>
        </w:rPr>
        <w:t>象山天子岭生物能源有限公司</w:t>
      </w:r>
      <w:r>
        <w:rPr>
          <w:rFonts w:ascii="宋体" w:hAnsi="宋体"/>
          <w:color w:val="auto"/>
          <w:sz w:val="24"/>
          <w:highlight w:val="none"/>
        </w:rPr>
        <w:t>：</w:t>
      </w:r>
    </w:p>
    <w:p w14:paraId="1A02AB18">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我方已全面阅读和研究了</w:t>
      </w:r>
      <w:r>
        <w:rPr>
          <w:rFonts w:hint="eastAsia" w:ascii="宋体" w:hAnsi="宋体"/>
          <w:color w:val="auto"/>
          <w:sz w:val="24"/>
          <w:highlight w:val="none"/>
        </w:rPr>
        <w:t>项目</w:t>
      </w:r>
      <w:r>
        <w:rPr>
          <w:rFonts w:ascii="宋体" w:hAnsi="宋体"/>
          <w:color w:val="auto"/>
          <w:sz w:val="24"/>
          <w:highlight w:val="none"/>
        </w:rPr>
        <w:t>编号为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2025-0047</w:t>
      </w:r>
      <w:r>
        <w:rPr>
          <w:rFonts w:hint="eastAsia" w:ascii="宋体" w:hAnsi="宋体"/>
          <w:color w:val="auto"/>
          <w:sz w:val="24"/>
          <w:highlight w:val="none"/>
          <w:u w:val="single"/>
        </w:rPr>
        <w:t xml:space="preserve"> </w:t>
      </w:r>
      <w:r>
        <w:rPr>
          <w:rFonts w:ascii="宋体" w:hAnsi="宋体"/>
          <w:color w:val="auto"/>
          <w:sz w:val="24"/>
          <w:highlight w:val="none"/>
        </w:rPr>
        <w:t>的</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2025年聚合氯化铝（PAC）采购项目</w:t>
      </w:r>
      <w:r>
        <w:rPr>
          <w:rFonts w:hint="eastAsia" w:ascii="宋体" w:hAnsi="宋体"/>
          <w:color w:val="auto"/>
          <w:sz w:val="24"/>
          <w:highlight w:val="none"/>
          <w:u w:val="single"/>
        </w:rPr>
        <w:t xml:space="preserve"> </w:t>
      </w:r>
      <w:r>
        <w:rPr>
          <w:rFonts w:ascii="宋体" w:hAnsi="宋体"/>
          <w:color w:val="auto"/>
          <w:sz w:val="24"/>
          <w:highlight w:val="none"/>
        </w:rPr>
        <w:t>询价文件和补充文件（如有），充分理解并掌握了本次</w:t>
      </w:r>
      <w:r>
        <w:rPr>
          <w:rFonts w:hint="eastAsia" w:ascii="宋体" w:hAnsi="宋体"/>
          <w:color w:val="auto"/>
          <w:sz w:val="24"/>
          <w:highlight w:val="none"/>
        </w:rPr>
        <w:t>询价</w:t>
      </w:r>
      <w:r>
        <w:rPr>
          <w:rFonts w:ascii="宋体" w:hAnsi="宋体"/>
          <w:color w:val="auto"/>
          <w:sz w:val="24"/>
          <w:highlight w:val="none"/>
        </w:rPr>
        <w:t>的全部情况，对询价文件的全部内容理解清楚，无任何疑义。经我方认真分析研究，同意接受询价文件的全部要约条件，并按此确定本项目</w:t>
      </w:r>
      <w:r>
        <w:rPr>
          <w:rFonts w:hint="eastAsia" w:ascii="宋体" w:hAnsi="宋体"/>
          <w:color w:val="auto"/>
          <w:sz w:val="24"/>
          <w:highlight w:val="none"/>
        </w:rPr>
        <w:t>响应</w:t>
      </w:r>
      <w:r>
        <w:rPr>
          <w:rFonts w:ascii="宋体" w:hAnsi="宋体"/>
          <w:color w:val="auto"/>
          <w:sz w:val="24"/>
          <w:highlight w:val="none"/>
        </w:rPr>
        <w:t>的各项承诺内容，以本</w:t>
      </w:r>
      <w:r>
        <w:rPr>
          <w:rFonts w:hint="eastAsia" w:ascii="宋体" w:hAnsi="宋体"/>
          <w:color w:val="auto"/>
          <w:sz w:val="24"/>
          <w:highlight w:val="none"/>
        </w:rPr>
        <w:t>报价文件</w:t>
      </w:r>
      <w:r>
        <w:rPr>
          <w:rFonts w:ascii="宋体" w:hAnsi="宋体"/>
          <w:color w:val="auto"/>
          <w:sz w:val="24"/>
          <w:highlight w:val="none"/>
        </w:rPr>
        <w:t>进行报价。我方将严格按照询价文件规定报价，并理解贵方对</w:t>
      </w:r>
      <w:r>
        <w:rPr>
          <w:rFonts w:hint="eastAsia" w:ascii="宋体" w:hAnsi="宋体"/>
          <w:color w:val="auto"/>
          <w:sz w:val="24"/>
          <w:highlight w:val="none"/>
        </w:rPr>
        <w:t>询价</w:t>
      </w:r>
      <w:r>
        <w:rPr>
          <w:rFonts w:ascii="宋体" w:hAnsi="宋体"/>
          <w:color w:val="auto"/>
          <w:sz w:val="24"/>
          <w:highlight w:val="none"/>
        </w:rPr>
        <w:t>结果没有解释的义务。</w:t>
      </w:r>
      <w:r>
        <w:rPr>
          <w:rFonts w:hint="eastAsia" w:ascii="宋体" w:hAnsi="宋体"/>
          <w:color w:val="auto"/>
          <w:sz w:val="24"/>
          <w:highlight w:val="none"/>
        </w:rPr>
        <w:t>我方承诺在本次报价文件中提供的一切资料，无论是原件还是复印件均真实、准确，绝无任何虚假、伪造和夸大的成分，否则，愿承担相应的后果和法律责任。</w:t>
      </w:r>
    </w:p>
    <w:p w14:paraId="347CA037">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如我方成交，在接到你方发出的成交通知书起</w:t>
      </w:r>
      <w:r>
        <w:rPr>
          <w:rFonts w:hint="eastAsia" w:ascii="宋体" w:hAnsi="宋体"/>
          <w:color w:val="auto"/>
          <w:sz w:val="24"/>
          <w:highlight w:val="none"/>
        </w:rPr>
        <w:t>五</w:t>
      </w:r>
      <w:r>
        <w:rPr>
          <w:rFonts w:ascii="宋体" w:hAnsi="宋体"/>
          <w:color w:val="auto"/>
          <w:sz w:val="24"/>
          <w:highlight w:val="none"/>
        </w:rPr>
        <w:t>日历日内，按成交通知书、询价文件和本</w:t>
      </w:r>
      <w:r>
        <w:rPr>
          <w:rFonts w:hint="eastAsia" w:ascii="宋体" w:hAnsi="宋体"/>
          <w:color w:val="auto"/>
          <w:sz w:val="24"/>
          <w:highlight w:val="none"/>
        </w:rPr>
        <w:t>报价文件</w:t>
      </w:r>
      <w:r>
        <w:rPr>
          <w:rFonts w:ascii="宋体" w:hAnsi="宋体"/>
          <w:color w:val="auto"/>
          <w:sz w:val="24"/>
          <w:highlight w:val="none"/>
        </w:rPr>
        <w:t>的约定与你方签订合同，在</w:t>
      </w:r>
      <w:r>
        <w:rPr>
          <w:rFonts w:hint="eastAsia" w:ascii="宋体" w:hAnsi="宋体"/>
          <w:color w:val="auto"/>
          <w:sz w:val="24"/>
          <w:highlight w:val="none"/>
        </w:rPr>
        <w:t>中标通知书发送后，合同签订前提交合同价款5%</w:t>
      </w:r>
      <w:r>
        <w:rPr>
          <w:rFonts w:ascii="宋体" w:hAnsi="宋体"/>
          <w:color w:val="auto"/>
          <w:sz w:val="24"/>
          <w:highlight w:val="none"/>
        </w:rPr>
        <w:t>履约保证金，履行规定的一切责任和义务。</w:t>
      </w:r>
    </w:p>
    <w:p w14:paraId="7C3226E8">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w:t>
      </w:r>
      <w:r>
        <w:rPr>
          <w:rFonts w:hint="eastAsia" w:ascii="宋体" w:hAnsi="宋体"/>
          <w:color w:val="auto"/>
          <w:sz w:val="24"/>
          <w:highlight w:val="none"/>
        </w:rPr>
        <w:t>报价文件</w:t>
      </w:r>
      <w:r>
        <w:rPr>
          <w:rFonts w:ascii="宋体" w:hAnsi="宋体"/>
          <w:color w:val="auto"/>
          <w:sz w:val="24"/>
          <w:highlight w:val="none"/>
        </w:rPr>
        <w:t>自</w:t>
      </w:r>
      <w:r>
        <w:rPr>
          <w:rFonts w:hint="eastAsia" w:ascii="宋体" w:hAnsi="宋体"/>
          <w:color w:val="auto"/>
          <w:sz w:val="24"/>
          <w:highlight w:val="none"/>
        </w:rPr>
        <w:t>报价文件</w:t>
      </w:r>
      <w:r>
        <w:rPr>
          <w:rFonts w:ascii="宋体" w:hAnsi="宋体"/>
          <w:color w:val="auto"/>
          <w:sz w:val="24"/>
          <w:highlight w:val="none"/>
        </w:rPr>
        <w:t>递交截止时间之日起</w:t>
      </w:r>
      <w:r>
        <w:rPr>
          <w:rFonts w:hint="eastAsia" w:ascii="宋体" w:hAnsi="宋体"/>
          <w:color w:val="auto"/>
          <w:sz w:val="24"/>
          <w:highlight w:val="none"/>
        </w:rPr>
        <w:t>60</w:t>
      </w:r>
      <w:r>
        <w:rPr>
          <w:rFonts w:ascii="宋体" w:hAnsi="宋体"/>
          <w:color w:val="auto"/>
          <w:sz w:val="24"/>
          <w:highlight w:val="none"/>
        </w:rPr>
        <w:t>日历日的</w:t>
      </w:r>
      <w:r>
        <w:rPr>
          <w:rFonts w:hint="eastAsia" w:ascii="宋体" w:hAnsi="宋体"/>
          <w:color w:val="auto"/>
          <w:sz w:val="24"/>
          <w:highlight w:val="none"/>
        </w:rPr>
        <w:t>报价文件</w:t>
      </w:r>
      <w:r>
        <w:rPr>
          <w:rFonts w:ascii="宋体" w:hAnsi="宋体"/>
          <w:color w:val="auto"/>
          <w:sz w:val="24"/>
          <w:highlight w:val="none"/>
        </w:rPr>
        <w:t>有效期内，全部条款内容对我方具有约束力。</w:t>
      </w:r>
    </w:p>
    <w:p w14:paraId="1332BA78">
      <w:pPr>
        <w:adjustRightInd w:val="0"/>
        <w:snapToGrid w:val="0"/>
        <w:spacing w:line="360" w:lineRule="auto"/>
        <w:ind w:firstLine="480" w:firstLineChars="200"/>
        <w:rPr>
          <w:rFonts w:ascii="宋体" w:hAnsi="宋体"/>
          <w:color w:val="auto"/>
          <w:sz w:val="24"/>
          <w:highlight w:val="none"/>
        </w:rPr>
      </w:pPr>
    </w:p>
    <w:p w14:paraId="4675AC17">
      <w:pPr>
        <w:pStyle w:val="5"/>
        <w:rPr>
          <w:rFonts w:ascii="宋体" w:hAnsi="宋体"/>
          <w:color w:val="auto"/>
          <w:highlight w:val="none"/>
        </w:rPr>
      </w:pPr>
    </w:p>
    <w:p w14:paraId="698ABD08">
      <w:pPr>
        <w:pStyle w:val="6"/>
        <w:ind w:firstLine="210"/>
        <w:rPr>
          <w:rFonts w:ascii="宋体" w:hAnsi="宋体"/>
          <w:color w:val="auto"/>
          <w:highlight w:val="none"/>
        </w:rPr>
      </w:pPr>
    </w:p>
    <w:p w14:paraId="1F33B03E">
      <w:pPr>
        <w:rPr>
          <w:rFonts w:hint="eastAsia" w:ascii="宋体" w:hAnsi="宋体"/>
          <w:color w:val="auto"/>
          <w:highlight w:val="none"/>
        </w:rPr>
      </w:pPr>
    </w:p>
    <w:p w14:paraId="2E099FF5">
      <w:pPr>
        <w:adjustRightInd w:val="0"/>
        <w:snapToGrid w:val="0"/>
        <w:spacing w:line="360" w:lineRule="auto"/>
        <w:rPr>
          <w:rFonts w:ascii="宋体" w:hAnsi="宋体"/>
          <w:color w:val="auto"/>
          <w:sz w:val="24"/>
          <w:highlight w:val="none"/>
        </w:rPr>
      </w:pPr>
      <w:r>
        <w:rPr>
          <w:rFonts w:ascii="宋体" w:hAnsi="宋体"/>
          <w:color w:val="auto"/>
          <w:sz w:val="24"/>
          <w:highlight w:val="none"/>
        </w:rPr>
        <w:t>联系地址：                        邮编：</w:t>
      </w:r>
    </w:p>
    <w:p w14:paraId="51EAEE5C">
      <w:pPr>
        <w:adjustRightInd w:val="0"/>
        <w:snapToGrid w:val="0"/>
        <w:spacing w:line="360" w:lineRule="auto"/>
        <w:rPr>
          <w:rFonts w:ascii="宋体" w:hAnsi="宋体"/>
          <w:color w:val="auto"/>
          <w:sz w:val="24"/>
          <w:highlight w:val="none"/>
        </w:rPr>
      </w:pPr>
      <w:r>
        <w:rPr>
          <w:rFonts w:ascii="宋体" w:hAnsi="宋体"/>
          <w:color w:val="auto"/>
          <w:sz w:val="24"/>
          <w:highlight w:val="none"/>
        </w:rPr>
        <w:t>联系人：                          电话：</w:t>
      </w:r>
    </w:p>
    <w:p w14:paraId="7774497C">
      <w:pPr>
        <w:pStyle w:val="7"/>
        <w:spacing w:line="360" w:lineRule="auto"/>
        <w:rPr>
          <w:rFonts w:hint="eastAsia" w:hAnsi="宋体"/>
          <w:color w:val="auto"/>
          <w:sz w:val="24"/>
          <w:highlight w:val="none"/>
        </w:rPr>
      </w:pPr>
      <w:r>
        <w:rPr>
          <w:rFonts w:hint="eastAsia" w:hAnsi="宋体"/>
          <w:color w:val="auto"/>
          <w:sz w:val="24"/>
          <w:highlight w:val="none"/>
        </w:rPr>
        <w:t>报价方：（公章）</w:t>
      </w:r>
    </w:p>
    <w:p w14:paraId="0B2B5C8A">
      <w:pPr>
        <w:pStyle w:val="7"/>
        <w:spacing w:line="360" w:lineRule="auto"/>
        <w:rPr>
          <w:rFonts w:hint="eastAsia" w:hAnsi="宋体"/>
          <w:color w:val="auto"/>
          <w:sz w:val="24"/>
          <w:highlight w:val="none"/>
        </w:rPr>
      </w:pPr>
      <w:r>
        <w:rPr>
          <w:rFonts w:hint="eastAsia" w:hAnsi="宋体"/>
          <w:color w:val="auto"/>
          <w:sz w:val="24"/>
          <w:highlight w:val="none"/>
        </w:rPr>
        <w:t>法定代表人（或其委托代理人）：（签章）</w:t>
      </w:r>
    </w:p>
    <w:p w14:paraId="65B98A24">
      <w:pPr>
        <w:pStyle w:val="7"/>
        <w:spacing w:line="360" w:lineRule="auto"/>
        <w:rPr>
          <w:rFonts w:hAnsi="宋体"/>
          <w:color w:val="auto"/>
          <w:sz w:val="24"/>
          <w:highlight w:val="none"/>
        </w:rPr>
      </w:pPr>
      <w:r>
        <w:rPr>
          <w:rFonts w:hint="eastAsia" w:hAnsi="宋体"/>
          <w:color w:val="auto"/>
          <w:sz w:val="24"/>
          <w:highlight w:val="none"/>
        </w:rPr>
        <w:t>日期：    年   月   日</w:t>
      </w:r>
    </w:p>
    <w:p w14:paraId="285F3586">
      <w:pPr>
        <w:rPr>
          <w:rFonts w:ascii="宋体" w:hAnsi="宋体"/>
          <w:color w:val="auto"/>
          <w:sz w:val="32"/>
          <w:highlight w:val="none"/>
        </w:rPr>
      </w:pPr>
    </w:p>
    <w:p w14:paraId="0E8865C2">
      <w:pPr>
        <w:pStyle w:val="5"/>
        <w:rPr>
          <w:rFonts w:ascii="宋体" w:hAnsi="宋体"/>
          <w:color w:val="auto"/>
          <w:highlight w:val="none"/>
        </w:rPr>
      </w:pPr>
    </w:p>
    <w:p w14:paraId="4BA0E119">
      <w:pPr>
        <w:pStyle w:val="6"/>
        <w:ind w:firstLine="210"/>
        <w:rPr>
          <w:rFonts w:hint="eastAsia" w:ascii="宋体" w:hAnsi="宋体"/>
          <w:color w:val="auto"/>
          <w:highlight w:val="none"/>
        </w:rPr>
        <w:sectPr>
          <w:pgSz w:w="11907" w:h="16840"/>
          <w:pgMar w:top="1134" w:right="1134" w:bottom="1418" w:left="1418" w:header="510" w:footer="510" w:gutter="0"/>
          <w:cols w:space="720" w:num="1"/>
        </w:sectPr>
      </w:pPr>
    </w:p>
    <w:p w14:paraId="215D8F72">
      <w:pPr>
        <w:spacing w:line="500" w:lineRule="exact"/>
        <w:rPr>
          <w:rFonts w:ascii="宋体" w:hAnsi="宋体"/>
          <w:color w:val="auto"/>
          <w:sz w:val="24"/>
          <w:highlight w:val="none"/>
        </w:rPr>
      </w:pPr>
      <w:r>
        <w:rPr>
          <w:rFonts w:ascii="宋体" w:hAnsi="宋体"/>
          <w:color w:val="auto"/>
          <w:sz w:val="24"/>
          <w:highlight w:val="none"/>
        </w:rPr>
        <w:t>附件二</w:t>
      </w:r>
    </w:p>
    <w:p w14:paraId="06F3B55E">
      <w:pPr>
        <w:pStyle w:val="7"/>
        <w:spacing w:line="500" w:lineRule="exact"/>
        <w:jc w:val="center"/>
        <w:rPr>
          <w:rFonts w:hAnsi="宋体"/>
          <w:b/>
          <w:color w:val="auto"/>
          <w:sz w:val="30"/>
          <w:szCs w:val="30"/>
          <w:highlight w:val="none"/>
        </w:rPr>
      </w:pPr>
      <w:r>
        <w:rPr>
          <w:rFonts w:hint="eastAsia" w:hAnsi="宋体"/>
          <w:b/>
          <w:color w:val="auto"/>
          <w:sz w:val="30"/>
          <w:szCs w:val="30"/>
          <w:highlight w:val="none"/>
        </w:rPr>
        <w:t>报价一览表</w:t>
      </w:r>
    </w:p>
    <w:p w14:paraId="7046D806">
      <w:pPr>
        <w:pStyle w:val="21"/>
        <w:spacing w:line="520" w:lineRule="exact"/>
        <w:jc w:val="left"/>
        <w:rPr>
          <w:rFonts w:hint="eastAsia" w:ascii="宋体" w:hAnsi="宋体" w:cs="宋体"/>
          <w:b w:val="0"/>
          <w:bCs/>
          <w:color w:val="auto"/>
          <w:sz w:val="24"/>
          <w:highlight w:val="none"/>
        </w:rPr>
      </w:pPr>
      <w:r>
        <w:rPr>
          <w:rFonts w:hint="eastAsia" w:ascii="宋体" w:hAnsi="宋体" w:cs="宋体"/>
          <w:b w:val="0"/>
          <w:color w:val="auto"/>
          <w:sz w:val="24"/>
          <w:highlight w:val="none"/>
          <w:u w:val="single"/>
        </w:rPr>
        <w:t>象山天子岭生物能源有限公司</w:t>
      </w:r>
      <w:r>
        <w:rPr>
          <w:rFonts w:hint="eastAsia" w:ascii="宋体" w:hAnsi="宋体" w:cs="宋体"/>
          <w:b w:val="0"/>
          <w:bCs/>
          <w:color w:val="auto"/>
          <w:sz w:val="24"/>
          <w:highlight w:val="none"/>
        </w:rPr>
        <w:t>：</w:t>
      </w:r>
    </w:p>
    <w:p w14:paraId="7EAA4B2B">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w:t>
      </w:r>
      <w:r>
        <w:rPr>
          <w:rFonts w:hint="eastAsia" w:ascii="宋体" w:hAnsi="宋体" w:cs="宋体"/>
          <w:color w:val="auto"/>
          <w:sz w:val="24"/>
          <w:highlight w:val="none"/>
          <w:u w:val="single"/>
        </w:rPr>
        <w:t xml:space="preserve">        （响应单位名称）         </w:t>
      </w:r>
      <w:r>
        <w:rPr>
          <w:rFonts w:hint="eastAsia" w:ascii="宋体" w:hAnsi="宋体" w:cs="宋体"/>
          <w:color w:val="auto"/>
          <w:sz w:val="24"/>
          <w:highlight w:val="none"/>
        </w:rPr>
        <w:t>根据贵单位询价文件要求，就</w:t>
      </w:r>
      <w:r>
        <w:rPr>
          <w:rFonts w:hint="eastAsia" w:ascii="宋体" w:hAnsi="宋体"/>
          <w:color w:val="auto"/>
          <w:sz w:val="24"/>
          <w:highlight w:val="none"/>
          <w:u w:val="single"/>
          <w:lang w:eastAsia="zh-CN"/>
        </w:rPr>
        <w:t>2025年聚合氯化铝（PAC）采购项目</w:t>
      </w:r>
      <w:r>
        <w:rPr>
          <w:rFonts w:hint="eastAsia" w:ascii="宋体" w:hAnsi="宋体" w:cs="宋体"/>
          <w:color w:val="auto"/>
          <w:sz w:val="24"/>
          <w:highlight w:val="none"/>
        </w:rPr>
        <w:t>报价如下：</w:t>
      </w:r>
    </w:p>
    <w:p w14:paraId="0D27B0FF">
      <w:pPr>
        <w:pStyle w:val="5"/>
        <w:rPr>
          <w:rFonts w:hint="eastAsia" w:ascii="宋体" w:hAnsi="宋体"/>
          <w:color w:val="auto"/>
          <w:highlight w:val="none"/>
        </w:rPr>
      </w:pPr>
    </w:p>
    <w:p w14:paraId="43CB6482">
      <w:pPr>
        <w:spacing w:line="520" w:lineRule="exact"/>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报价一览表</w:t>
      </w:r>
    </w:p>
    <w:tbl>
      <w:tblPr>
        <w:tblStyle w:val="14"/>
        <w:tblW w:w="500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0" w:type="dxa"/>
          <w:bottom w:w="0" w:type="dxa"/>
          <w:right w:w="0" w:type="dxa"/>
        </w:tblCellMar>
      </w:tblPr>
      <w:tblGrid>
        <w:gridCol w:w="541"/>
        <w:gridCol w:w="1077"/>
        <w:gridCol w:w="2926"/>
        <w:gridCol w:w="1803"/>
        <w:gridCol w:w="1678"/>
        <w:gridCol w:w="1053"/>
      </w:tblGrid>
      <w:tr w14:paraId="5BC184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8" w:type="pct"/>
            <w:tcBorders>
              <w:top w:val="single" w:color="auto" w:sz="2" w:space="0"/>
              <w:left w:val="single" w:color="auto" w:sz="2" w:space="0"/>
              <w:bottom w:val="single" w:color="auto" w:sz="4" w:space="0"/>
              <w:right w:val="single" w:color="auto" w:sz="4" w:space="0"/>
            </w:tcBorders>
            <w:noWrap w:val="0"/>
            <w:vAlign w:val="center"/>
          </w:tcPr>
          <w:p w14:paraId="0BF342F3">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序号</w:t>
            </w:r>
          </w:p>
        </w:tc>
        <w:tc>
          <w:tcPr>
            <w:tcW w:w="593" w:type="pct"/>
            <w:tcBorders>
              <w:top w:val="single" w:color="auto" w:sz="2" w:space="0"/>
              <w:left w:val="single" w:color="auto" w:sz="4" w:space="0"/>
              <w:bottom w:val="single" w:color="auto" w:sz="4" w:space="0"/>
              <w:right w:val="single" w:color="auto" w:sz="4" w:space="0"/>
            </w:tcBorders>
            <w:noWrap w:val="0"/>
            <w:vAlign w:val="center"/>
          </w:tcPr>
          <w:p w14:paraId="5C1A6DE7">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货物名称</w:t>
            </w:r>
          </w:p>
        </w:tc>
        <w:tc>
          <w:tcPr>
            <w:tcW w:w="1610" w:type="pct"/>
            <w:tcBorders>
              <w:top w:val="single" w:color="auto" w:sz="2" w:space="0"/>
              <w:left w:val="single" w:color="auto" w:sz="4" w:space="0"/>
              <w:bottom w:val="single" w:color="auto" w:sz="4" w:space="0"/>
              <w:right w:val="single" w:color="auto" w:sz="4" w:space="0"/>
            </w:tcBorders>
            <w:noWrap w:val="0"/>
            <w:vAlign w:val="center"/>
          </w:tcPr>
          <w:p w14:paraId="3B154411">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指标</w:t>
            </w:r>
            <w:r>
              <w:rPr>
                <w:rFonts w:hint="eastAsia" w:ascii="Times New Roman" w:hAnsi="Times New Roman" w:eastAsia="宋体" w:cs="Times New Roman"/>
                <w:color w:val="auto"/>
                <w:sz w:val="24"/>
                <w:highlight w:val="none"/>
              </w:rPr>
              <w:t>参数</w:t>
            </w:r>
          </w:p>
        </w:tc>
        <w:tc>
          <w:tcPr>
            <w:tcW w:w="993" w:type="pct"/>
            <w:tcBorders>
              <w:top w:val="single" w:color="auto" w:sz="2" w:space="0"/>
              <w:left w:val="single" w:color="auto" w:sz="4" w:space="0"/>
              <w:bottom w:val="single" w:color="auto" w:sz="4" w:space="0"/>
              <w:right w:val="single" w:color="auto" w:sz="4" w:space="0"/>
            </w:tcBorders>
            <w:noWrap w:val="0"/>
            <w:vAlign w:val="center"/>
          </w:tcPr>
          <w:p w14:paraId="405B225E">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预估数量（吨）</w:t>
            </w:r>
          </w:p>
        </w:tc>
        <w:tc>
          <w:tcPr>
            <w:tcW w:w="924" w:type="pct"/>
            <w:tcBorders>
              <w:top w:val="single" w:color="auto" w:sz="2" w:space="0"/>
              <w:left w:val="single" w:color="auto" w:sz="4" w:space="0"/>
              <w:bottom w:val="single" w:color="auto" w:sz="4" w:space="0"/>
              <w:right w:val="single" w:color="auto" w:sz="4" w:space="0"/>
            </w:tcBorders>
            <w:noWrap w:val="0"/>
            <w:vAlign w:val="center"/>
          </w:tcPr>
          <w:p w14:paraId="1981DA62">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含税单价（元）</w:t>
            </w:r>
          </w:p>
        </w:tc>
        <w:tc>
          <w:tcPr>
            <w:tcW w:w="580" w:type="pct"/>
            <w:tcBorders>
              <w:top w:val="single" w:color="auto" w:sz="2" w:space="0"/>
              <w:left w:val="single" w:color="auto" w:sz="4" w:space="0"/>
              <w:bottom w:val="single" w:color="auto" w:sz="4" w:space="0"/>
              <w:right w:val="single" w:color="auto" w:sz="2" w:space="0"/>
            </w:tcBorders>
            <w:noWrap w:val="0"/>
            <w:vAlign w:val="center"/>
          </w:tcPr>
          <w:p w14:paraId="4B44F18C">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备注</w:t>
            </w:r>
          </w:p>
        </w:tc>
      </w:tr>
      <w:tr w14:paraId="401A687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8" w:type="pct"/>
            <w:tcBorders>
              <w:top w:val="single" w:color="auto" w:sz="4" w:space="0"/>
              <w:left w:val="single" w:color="auto" w:sz="2" w:space="0"/>
              <w:bottom w:val="single" w:color="auto" w:sz="4" w:space="0"/>
              <w:right w:val="single" w:color="auto" w:sz="4" w:space="0"/>
            </w:tcBorders>
            <w:noWrap w:val="0"/>
            <w:vAlign w:val="center"/>
          </w:tcPr>
          <w:p w14:paraId="54B805BE">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w:t>
            </w:r>
          </w:p>
        </w:tc>
        <w:tc>
          <w:tcPr>
            <w:tcW w:w="5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51E59B">
            <w:pPr>
              <w:spacing w:line="40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eastAsia="zh-CN"/>
              </w:rPr>
              <w:t>聚合氯化铝（PAC）</w:t>
            </w:r>
          </w:p>
        </w:tc>
        <w:tc>
          <w:tcPr>
            <w:tcW w:w="161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D3CB06">
            <w:pPr>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氧化铝（Al2O3）的质量分数≥28％，黄色粉末状固体，包装要求为25㎏/袋，质量符合GB/T 22627-2022标准。</w:t>
            </w:r>
          </w:p>
        </w:tc>
        <w:tc>
          <w:tcPr>
            <w:tcW w:w="99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56B660">
            <w:pPr>
              <w:spacing w:line="40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bCs/>
                <w:color w:val="auto"/>
                <w:sz w:val="24"/>
                <w:highlight w:val="none"/>
                <w:lang w:val="en-US" w:eastAsia="zh-CN"/>
              </w:rPr>
              <w:t>30</w:t>
            </w:r>
          </w:p>
        </w:tc>
        <w:tc>
          <w:tcPr>
            <w:tcW w:w="924" w:type="pct"/>
            <w:tcBorders>
              <w:top w:val="single" w:color="auto" w:sz="4" w:space="0"/>
              <w:left w:val="single" w:color="auto" w:sz="4" w:space="0"/>
              <w:bottom w:val="single" w:color="auto" w:sz="4" w:space="0"/>
              <w:right w:val="single" w:color="auto" w:sz="4" w:space="0"/>
            </w:tcBorders>
            <w:noWrap w:val="0"/>
            <w:vAlign w:val="center"/>
          </w:tcPr>
          <w:p w14:paraId="34C08B80">
            <w:pPr>
              <w:spacing w:line="400" w:lineRule="exact"/>
              <w:jc w:val="center"/>
              <w:rPr>
                <w:rFonts w:hint="eastAsia" w:ascii="Times New Roman" w:hAnsi="Times New Roman" w:eastAsia="宋体" w:cs="Times New Roman"/>
                <w:color w:val="auto"/>
                <w:sz w:val="24"/>
                <w:highlight w:val="none"/>
              </w:rPr>
            </w:pPr>
          </w:p>
        </w:tc>
        <w:tc>
          <w:tcPr>
            <w:tcW w:w="580" w:type="pct"/>
            <w:tcBorders>
              <w:top w:val="single" w:color="auto" w:sz="4" w:space="0"/>
              <w:left w:val="single" w:color="auto" w:sz="4" w:space="0"/>
              <w:bottom w:val="single" w:color="auto" w:sz="4" w:space="0"/>
              <w:right w:val="single" w:color="auto" w:sz="2" w:space="0"/>
            </w:tcBorders>
            <w:noWrap w:val="0"/>
            <w:vAlign w:val="center"/>
          </w:tcPr>
          <w:p w14:paraId="01B87DEB">
            <w:pPr>
              <w:spacing w:line="400" w:lineRule="exact"/>
              <w:jc w:val="center"/>
              <w:rPr>
                <w:rFonts w:hint="eastAsia" w:ascii="Times New Roman" w:hAnsi="Times New Roman" w:eastAsia="宋体" w:cs="Times New Roman"/>
                <w:color w:val="auto"/>
                <w:sz w:val="24"/>
                <w:highlight w:val="none"/>
              </w:rPr>
            </w:pPr>
          </w:p>
        </w:tc>
      </w:tr>
      <w:tr w14:paraId="0D0CDD2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02" w:type="pct"/>
            <w:gridSpan w:val="3"/>
            <w:tcBorders>
              <w:top w:val="single" w:color="auto" w:sz="4" w:space="0"/>
              <w:left w:val="single" w:color="auto" w:sz="2" w:space="0"/>
              <w:bottom w:val="single" w:color="auto" w:sz="2" w:space="0"/>
              <w:right w:val="single" w:color="auto" w:sz="4" w:space="0"/>
            </w:tcBorders>
            <w:noWrap w:val="0"/>
            <w:vAlign w:val="center"/>
          </w:tcPr>
          <w:p w14:paraId="2CF7257E">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合同暂定总价</w:t>
            </w:r>
          </w:p>
        </w:tc>
        <w:tc>
          <w:tcPr>
            <w:tcW w:w="2497" w:type="pct"/>
            <w:gridSpan w:val="3"/>
            <w:tcBorders>
              <w:top w:val="single" w:color="auto" w:sz="4" w:space="0"/>
              <w:left w:val="single" w:color="auto" w:sz="4" w:space="0"/>
              <w:bottom w:val="single" w:color="auto" w:sz="2" w:space="0"/>
              <w:right w:val="single" w:color="auto" w:sz="2" w:space="0"/>
            </w:tcBorders>
            <w:noWrap w:val="0"/>
            <w:vAlign w:val="center"/>
          </w:tcPr>
          <w:p w14:paraId="4452AA50">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大写：</w:t>
            </w:r>
          </w:p>
          <w:p w14:paraId="66B5853F">
            <w:pPr>
              <w:spacing w:line="40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小写：</w:t>
            </w:r>
            <w:r>
              <w:rPr>
                <w:rFonts w:ascii="Times New Roman" w:hAnsi="Times New Roman" w:eastAsia="宋体" w:cs="Times New Roman"/>
                <w:color w:val="auto"/>
                <w:sz w:val="24"/>
                <w:highlight w:val="none"/>
              </w:rPr>
              <w:t>¥</w:t>
            </w:r>
          </w:p>
        </w:tc>
      </w:tr>
    </w:tbl>
    <w:p w14:paraId="4DA848E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相关承诺：</w:t>
      </w:r>
    </w:p>
    <w:p w14:paraId="68F01F1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1、我公司能够按照询价文件要求提供相关货物服务。</w:t>
      </w:r>
    </w:p>
    <w:p w14:paraId="195FD7E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2、本项目报价为一次性响应，包括但不限于：货款及包装费、运输费及运输保险（如需）、装卸费、税费、服务费等所需的全部费用，报价应综合考虑范围内全部工作内容、服务承诺及不可预见风险等费用。</w:t>
      </w:r>
      <w:r>
        <w:rPr>
          <w:rFonts w:hint="eastAsia" w:ascii="宋体" w:hAnsi="宋体" w:cs="宋体"/>
          <w:color w:val="auto"/>
          <w:kern w:val="0"/>
          <w:sz w:val="24"/>
          <w:highlight w:val="none"/>
        </w:rPr>
        <w:t>市场价格波动等风险由我公司承担。</w:t>
      </w:r>
    </w:p>
    <w:p w14:paraId="6F791C61">
      <w:pPr>
        <w:pStyle w:val="5"/>
        <w:rPr>
          <w:rFonts w:hint="eastAsia" w:ascii="宋体" w:hAnsi="宋体"/>
          <w:color w:val="auto"/>
          <w:highlight w:val="none"/>
        </w:rPr>
      </w:pPr>
    </w:p>
    <w:p w14:paraId="3DB2BDD5">
      <w:pPr>
        <w:pStyle w:val="7"/>
        <w:spacing w:line="360" w:lineRule="auto"/>
        <w:rPr>
          <w:rFonts w:hint="eastAsia" w:hAnsi="宋体"/>
          <w:color w:val="auto"/>
          <w:sz w:val="24"/>
          <w:highlight w:val="none"/>
        </w:rPr>
      </w:pPr>
      <w:r>
        <w:rPr>
          <w:rFonts w:hint="eastAsia" w:hAnsi="宋体"/>
          <w:color w:val="auto"/>
          <w:sz w:val="24"/>
          <w:highlight w:val="none"/>
        </w:rPr>
        <w:t>报价方：（公章）</w:t>
      </w:r>
    </w:p>
    <w:p w14:paraId="1F6CA9B6">
      <w:pPr>
        <w:pStyle w:val="7"/>
        <w:spacing w:line="360" w:lineRule="auto"/>
        <w:rPr>
          <w:rFonts w:hint="eastAsia" w:hAnsi="宋体"/>
          <w:color w:val="auto"/>
          <w:sz w:val="24"/>
          <w:highlight w:val="none"/>
        </w:rPr>
      </w:pPr>
      <w:r>
        <w:rPr>
          <w:rFonts w:hint="eastAsia" w:hAnsi="宋体"/>
          <w:color w:val="auto"/>
          <w:sz w:val="24"/>
          <w:highlight w:val="none"/>
        </w:rPr>
        <w:t>法定代表人（或其委托代理人）：（签章）</w:t>
      </w:r>
    </w:p>
    <w:p w14:paraId="68B9782B">
      <w:pPr>
        <w:pStyle w:val="7"/>
        <w:spacing w:line="360" w:lineRule="auto"/>
        <w:rPr>
          <w:rFonts w:hAnsi="宋体"/>
          <w:color w:val="auto"/>
          <w:sz w:val="24"/>
          <w:highlight w:val="none"/>
        </w:rPr>
      </w:pPr>
      <w:r>
        <w:rPr>
          <w:rFonts w:hint="eastAsia" w:hAnsi="宋体"/>
          <w:color w:val="auto"/>
          <w:sz w:val="24"/>
          <w:highlight w:val="none"/>
        </w:rPr>
        <w:t>日期：    年   月   日</w:t>
      </w:r>
    </w:p>
    <w:p w14:paraId="1F850C52">
      <w:pPr>
        <w:rPr>
          <w:rFonts w:hint="eastAsia" w:ascii="宋体" w:hAnsi="宋体"/>
          <w:color w:val="auto"/>
          <w:highlight w:val="none"/>
        </w:rPr>
        <w:sectPr>
          <w:pgSz w:w="11906" w:h="16838"/>
          <w:pgMar w:top="1134" w:right="1418" w:bottom="1701" w:left="1418" w:header="851" w:footer="992" w:gutter="0"/>
          <w:cols w:space="720" w:num="1"/>
          <w:docGrid w:linePitch="312" w:charSpace="0"/>
        </w:sectPr>
      </w:pPr>
    </w:p>
    <w:p w14:paraId="1ED70358">
      <w:pPr>
        <w:pStyle w:val="7"/>
        <w:spacing w:line="400" w:lineRule="atLeast"/>
        <w:rPr>
          <w:rFonts w:ascii="Times New Roman" w:hAnsi="Times New Roman"/>
          <w:sz w:val="24"/>
          <w:highlight w:val="none"/>
        </w:rPr>
      </w:pPr>
      <w:r>
        <w:rPr>
          <w:rFonts w:ascii="Times New Roman" w:hAnsi="Times New Roman"/>
          <w:sz w:val="24"/>
          <w:highlight w:val="none"/>
        </w:rPr>
        <w:t>附件三</w:t>
      </w:r>
    </w:p>
    <w:p w14:paraId="39A7FFC4">
      <w:pPr>
        <w:pStyle w:val="7"/>
        <w:spacing w:line="400" w:lineRule="atLeast"/>
        <w:jc w:val="center"/>
        <w:rPr>
          <w:rFonts w:ascii="Times New Roman" w:hAnsi="Times New Roman"/>
          <w:b/>
          <w:sz w:val="30"/>
          <w:szCs w:val="30"/>
          <w:highlight w:val="none"/>
        </w:rPr>
      </w:pPr>
      <w:r>
        <w:rPr>
          <w:rFonts w:ascii="Times New Roman" w:hAnsi="Times New Roman"/>
          <w:b/>
          <w:sz w:val="30"/>
          <w:szCs w:val="30"/>
          <w:highlight w:val="none"/>
        </w:rPr>
        <w:t>营业执照复印件并加盖公章</w:t>
      </w:r>
    </w:p>
    <w:p w14:paraId="72F01A36">
      <w:pPr>
        <w:pStyle w:val="7"/>
        <w:spacing w:line="500" w:lineRule="exact"/>
        <w:jc w:val="center"/>
        <w:rPr>
          <w:rFonts w:hAnsi="宋体"/>
          <w:b/>
          <w:color w:val="auto"/>
          <w:sz w:val="30"/>
          <w:szCs w:val="30"/>
          <w:highlight w:val="none"/>
        </w:rPr>
      </w:pPr>
    </w:p>
    <w:p w14:paraId="46E39CC0">
      <w:pPr>
        <w:pStyle w:val="6"/>
        <w:ind w:firstLine="210"/>
        <w:rPr>
          <w:rFonts w:ascii="宋体" w:hAnsi="宋体"/>
          <w:color w:val="auto"/>
          <w:highlight w:val="none"/>
        </w:rPr>
      </w:pPr>
    </w:p>
    <w:p w14:paraId="169E88A1">
      <w:pPr>
        <w:rPr>
          <w:rFonts w:hint="eastAsia" w:ascii="宋体" w:hAnsi="宋体"/>
          <w:color w:val="auto"/>
          <w:highlight w:val="none"/>
        </w:rPr>
        <w:sectPr>
          <w:pgSz w:w="11906" w:h="16838"/>
          <w:pgMar w:top="1134" w:right="1418" w:bottom="1701" w:left="1418" w:header="851" w:footer="992" w:gutter="0"/>
          <w:cols w:space="720" w:num="1"/>
          <w:docGrid w:linePitch="312" w:charSpace="0"/>
        </w:sectPr>
      </w:pPr>
    </w:p>
    <w:p w14:paraId="603E6E39">
      <w:pPr>
        <w:pStyle w:val="7"/>
        <w:spacing w:line="400" w:lineRule="atLeast"/>
        <w:rPr>
          <w:rFonts w:ascii="Times New Roman" w:hAnsi="Times New Roman"/>
          <w:sz w:val="24"/>
          <w:highlight w:val="none"/>
        </w:rPr>
      </w:pPr>
      <w:r>
        <w:rPr>
          <w:rFonts w:ascii="Times New Roman" w:hAnsi="Times New Roman"/>
          <w:sz w:val="24"/>
          <w:highlight w:val="none"/>
        </w:rPr>
        <w:t>附件四</w:t>
      </w:r>
    </w:p>
    <w:p w14:paraId="56175EF7">
      <w:pPr>
        <w:pStyle w:val="7"/>
        <w:tabs>
          <w:tab w:val="left" w:pos="450"/>
        </w:tabs>
        <w:spacing w:line="400" w:lineRule="atLeast"/>
        <w:jc w:val="center"/>
        <w:rPr>
          <w:rFonts w:ascii="Times New Roman" w:hAnsi="Times New Roman"/>
          <w:b/>
          <w:sz w:val="32"/>
          <w:szCs w:val="32"/>
          <w:highlight w:val="none"/>
        </w:rPr>
      </w:pPr>
      <w:r>
        <w:rPr>
          <w:rFonts w:ascii="Times New Roman" w:hAnsi="Times New Roman"/>
          <w:b/>
          <w:sz w:val="30"/>
          <w:szCs w:val="30"/>
          <w:highlight w:val="none"/>
        </w:rPr>
        <w:t>法定代表人授权书</w:t>
      </w:r>
    </w:p>
    <w:p w14:paraId="59A316E6">
      <w:pPr>
        <w:spacing w:line="360" w:lineRule="auto"/>
        <w:rPr>
          <w:sz w:val="24"/>
          <w:highlight w:val="none"/>
        </w:rPr>
      </w:pPr>
    </w:p>
    <w:p w14:paraId="60B26858">
      <w:pPr>
        <w:spacing w:line="500" w:lineRule="atLeast"/>
        <w:ind w:firstLine="480" w:firstLineChars="200"/>
        <w:rPr>
          <w:sz w:val="24"/>
          <w:highlight w:val="none"/>
        </w:rPr>
      </w:pPr>
      <w:r>
        <w:rPr>
          <w:sz w:val="24"/>
          <w:highlight w:val="none"/>
        </w:rPr>
        <w:t>本人</w:t>
      </w:r>
      <w:r>
        <w:rPr>
          <w:sz w:val="24"/>
          <w:highlight w:val="none"/>
          <w:u w:val="single"/>
        </w:rPr>
        <w:t xml:space="preserve">             </w:t>
      </w:r>
      <w:r>
        <w:rPr>
          <w:sz w:val="24"/>
          <w:highlight w:val="none"/>
        </w:rPr>
        <w:t>（姓名）系</w:t>
      </w:r>
      <w:r>
        <w:rPr>
          <w:sz w:val="24"/>
          <w:highlight w:val="none"/>
          <w:u w:val="single"/>
        </w:rPr>
        <w:t xml:space="preserve">                         </w:t>
      </w:r>
      <w:r>
        <w:rPr>
          <w:sz w:val="24"/>
          <w:highlight w:val="none"/>
        </w:rPr>
        <w:t>（响应人名称）的法定代表人，现委托</w:t>
      </w:r>
      <w:r>
        <w:rPr>
          <w:sz w:val="24"/>
          <w:highlight w:val="none"/>
          <w:u w:val="single"/>
        </w:rPr>
        <w:t xml:space="preserve">               </w:t>
      </w:r>
      <w:r>
        <w:rPr>
          <w:sz w:val="24"/>
          <w:highlight w:val="none"/>
        </w:rPr>
        <w:t xml:space="preserve">（姓名）为我方代理人（联系电话： </w:t>
      </w:r>
      <w:r>
        <w:rPr>
          <w:sz w:val="24"/>
          <w:highlight w:val="none"/>
          <w:u w:val="single"/>
        </w:rPr>
        <w:t xml:space="preserve">                    </w:t>
      </w:r>
      <w:r>
        <w:rPr>
          <w:sz w:val="24"/>
          <w:highlight w:val="none"/>
        </w:rPr>
        <w:t>）。代理人根据授权，以我方名义签署、澄清、说明、补正、递交、撤回、修改</w:t>
      </w:r>
      <w:r>
        <w:rPr>
          <w:rFonts w:hint="eastAsia" w:ascii="宋体" w:hAnsi="宋体"/>
          <w:color w:val="auto"/>
          <w:sz w:val="24"/>
          <w:highlight w:val="none"/>
          <w:u w:val="single"/>
          <w:lang w:eastAsia="zh-CN"/>
        </w:rPr>
        <w:t>2025年聚合氯化铝（PAC）采购项目</w:t>
      </w:r>
      <w:r>
        <w:rPr>
          <w:sz w:val="24"/>
          <w:highlight w:val="none"/>
        </w:rPr>
        <w:t>报价文件、签订合同和处理有关事宜，其法律后果由我方承担。代理人无转委托权。</w:t>
      </w:r>
    </w:p>
    <w:p w14:paraId="3759DC4C">
      <w:pPr>
        <w:spacing w:line="500" w:lineRule="atLeast"/>
        <w:ind w:firstLine="482" w:firstLineChars="200"/>
        <w:rPr>
          <w:b/>
          <w:sz w:val="24"/>
          <w:highlight w:val="none"/>
        </w:rPr>
      </w:pPr>
      <w:r>
        <w:rPr>
          <w:b/>
          <w:sz w:val="24"/>
          <w:highlight w:val="none"/>
        </w:rPr>
        <w:t>附：法定代表人及委托代理人身份证复印件</w:t>
      </w:r>
    </w:p>
    <w:p w14:paraId="0D6531C5">
      <w:pPr>
        <w:spacing w:line="500" w:lineRule="atLeast"/>
        <w:rPr>
          <w:sz w:val="24"/>
          <w:highlight w:val="none"/>
        </w:rPr>
      </w:pPr>
      <w:r>
        <w:rPr>
          <w:sz w:val="24"/>
          <w:highlight w:val="none"/>
        </w:rPr>
        <w:t>供应商（盖章）：</w:t>
      </w:r>
    </w:p>
    <w:p w14:paraId="7E330417">
      <w:pPr>
        <w:spacing w:line="500" w:lineRule="atLeast"/>
        <w:rPr>
          <w:sz w:val="24"/>
          <w:highlight w:val="none"/>
        </w:rPr>
      </w:pPr>
      <w:r>
        <w:rPr>
          <w:sz w:val="24"/>
          <w:highlight w:val="none"/>
        </w:rPr>
        <w:t>法定代表人（签字或盖章）：</w:t>
      </w:r>
    </w:p>
    <w:tbl>
      <w:tblPr>
        <w:tblStyle w:val="14"/>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14:paraId="51F4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89" w:type="dxa"/>
          </w:tcPr>
          <w:p w14:paraId="0630E909">
            <w:pPr>
              <w:spacing w:line="500" w:lineRule="atLeast"/>
              <w:jc w:val="center"/>
              <w:rPr>
                <w:sz w:val="24"/>
                <w:highlight w:val="none"/>
              </w:rPr>
            </w:pPr>
          </w:p>
          <w:p w14:paraId="1D68A95B">
            <w:pPr>
              <w:spacing w:line="500" w:lineRule="atLeast"/>
              <w:jc w:val="center"/>
              <w:rPr>
                <w:sz w:val="24"/>
                <w:highlight w:val="none"/>
              </w:rPr>
            </w:pPr>
          </w:p>
          <w:p w14:paraId="5335CC8B">
            <w:pPr>
              <w:spacing w:line="500" w:lineRule="atLeast"/>
              <w:jc w:val="center"/>
              <w:rPr>
                <w:sz w:val="24"/>
                <w:highlight w:val="none"/>
              </w:rPr>
            </w:pPr>
            <w:r>
              <w:rPr>
                <w:sz w:val="24"/>
                <w:highlight w:val="none"/>
              </w:rPr>
              <w:t>法定代表人身份证复印件粘贴处（正、反面）</w:t>
            </w:r>
          </w:p>
        </w:tc>
      </w:tr>
    </w:tbl>
    <w:p w14:paraId="371FD59F">
      <w:pPr>
        <w:spacing w:line="500" w:lineRule="atLeast"/>
        <w:rPr>
          <w:sz w:val="24"/>
          <w:highlight w:val="none"/>
        </w:rPr>
      </w:pPr>
      <w:r>
        <w:rPr>
          <w:sz w:val="24"/>
          <w:highlight w:val="none"/>
        </w:rPr>
        <w:t>委托的代理人（签字或盖章）：</w:t>
      </w:r>
    </w:p>
    <w:p w14:paraId="5B530B4D">
      <w:pPr>
        <w:spacing w:line="500" w:lineRule="atLeast"/>
        <w:jc w:val="left"/>
        <w:rPr>
          <w:sz w:val="24"/>
          <w:highlight w:val="none"/>
        </w:rPr>
      </w:pPr>
      <w:r>
        <w:rPr>
          <w:sz w:val="24"/>
          <w:highlight w:val="none"/>
        </w:rPr>
        <w:t>日期：</w:t>
      </w:r>
    </w:p>
    <w:tbl>
      <w:tblPr>
        <w:tblStyle w:val="14"/>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14:paraId="069E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89" w:type="dxa"/>
          </w:tcPr>
          <w:p w14:paraId="1BE5814F">
            <w:pPr>
              <w:spacing w:line="500" w:lineRule="atLeast"/>
              <w:jc w:val="center"/>
              <w:rPr>
                <w:sz w:val="24"/>
                <w:highlight w:val="none"/>
              </w:rPr>
            </w:pPr>
          </w:p>
          <w:p w14:paraId="4E9E8299">
            <w:pPr>
              <w:spacing w:line="500" w:lineRule="atLeast"/>
              <w:jc w:val="center"/>
              <w:rPr>
                <w:sz w:val="24"/>
                <w:highlight w:val="none"/>
              </w:rPr>
            </w:pPr>
          </w:p>
          <w:p w14:paraId="32050BB0">
            <w:pPr>
              <w:spacing w:line="500" w:lineRule="atLeast"/>
              <w:jc w:val="center"/>
              <w:rPr>
                <w:sz w:val="24"/>
                <w:highlight w:val="none"/>
              </w:rPr>
            </w:pPr>
            <w:r>
              <w:rPr>
                <w:sz w:val="24"/>
                <w:highlight w:val="none"/>
              </w:rPr>
              <w:t>委托代理人身份证复印件粘贴处（正、反面）</w:t>
            </w:r>
          </w:p>
        </w:tc>
      </w:tr>
    </w:tbl>
    <w:p w14:paraId="7D1211B0">
      <w:pPr>
        <w:spacing w:line="500" w:lineRule="atLeast"/>
        <w:rPr>
          <w:sz w:val="24"/>
          <w:highlight w:val="none"/>
        </w:rPr>
      </w:pPr>
      <w:r>
        <w:rPr>
          <w:sz w:val="24"/>
          <w:highlight w:val="none"/>
        </w:rPr>
        <w:t>注：如报价文件由委托代理人签字或盖章的，报价文件必须附此授权委托书。</w:t>
      </w:r>
    </w:p>
    <w:p w14:paraId="393D8E7D">
      <w:pPr>
        <w:pStyle w:val="5"/>
        <w:rPr>
          <w:highlight w:val="none"/>
        </w:rPr>
      </w:pPr>
    </w:p>
    <w:p w14:paraId="49E11E9C">
      <w:pPr>
        <w:spacing w:line="500" w:lineRule="atLeast"/>
        <w:rPr>
          <w:sz w:val="24"/>
          <w:highlight w:val="none"/>
        </w:rPr>
        <w:sectPr>
          <w:footerReference r:id="rId9" w:type="default"/>
          <w:pgSz w:w="11907" w:h="16840"/>
          <w:pgMar w:top="1134" w:right="1134" w:bottom="1418" w:left="1418" w:header="510" w:footer="510" w:gutter="0"/>
          <w:cols w:space="720" w:num="1"/>
        </w:sectPr>
      </w:pPr>
    </w:p>
    <w:p w14:paraId="7B2E440A">
      <w:pPr>
        <w:spacing w:line="500" w:lineRule="atLeast"/>
        <w:rPr>
          <w:sz w:val="24"/>
          <w:highlight w:val="none"/>
        </w:rPr>
      </w:pPr>
      <w:r>
        <w:rPr>
          <w:sz w:val="24"/>
          <w:highlight w:val="none"/>
        </w:rPr>
        <w:t>附件五</w:t>
      </w:r>
    </w:p>
    <w:p w14:paraId="38F52AD8">
      <w:pPr>
        <w:spacing w:line="500" w:lineRule="atLeast"/>
        <w:rPr>
          <w:sz w:val="24"/>
          <w:highlight w:val="none"/>
        </w:rPr>
      </w:pPr>
    </w:p>
    <w:p w14:paraId="30797A02">
      <w:pPr>
        <w:autoSpaceDE w:val="0"/>
        <w:autoSpaceDN w:val="0"/>
        <w:adjustRightInd w:val="0"/>
        <w:spacing w:line="360" w:lineRule="auto"/>
        <w:jc w:val="center"/>
        <w:rPr>
          <w:b/>
          <w:sz w:val="30"/>
          <w:szCs w:val="30"/>
          <w:highlight w:val="none"/>
        </w:rPr>
      </w:pPr>
      <w:r>
        <w:rPr>
          <w:b/>
          <w:sz w:val="30"/>
          <w:szCs w:val="30"/>
          <w:highlight w:val="none"/>
        </w:rPr>
        <w:t>供应商基本情况表</w:t>
      </w:r>
    </w:p>
    <w:p w14:paraId="3F4A7AE4">
      <w:pPr>
        <w:pStyle w:val="5"/>
        <w:rPr>
          <w:highlight w:val="none"/>
          <w:lang w:val="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773"/>
        <w:gridCol w:w="1872"/>
        <w:gridCol w:w="566"/>
        <w:gridCol w:w="1434"/>
        <w:gridCol w:w="377"/>
        <w:gridCol w:w="2440"/>
      </w:tblGrid>
      <w:tr w14:paraId="2606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27594057">
            <w:pPr>
              <w:autoSpaceDE w:val="0"/>
              <w:autoSpaceDN w:val="0"/>
              <w:adjustRightInd w:val="0"/>
              <w:spacing w:line="360" w:lineRule="exact"/>
              <w:rPr>
                <w:sz w:val="24"/>
                <w:highlight w:val="none"/>
                <w:lang w:val="zh-CN"/>
              </w:rPr>
            </w:pPr>
            <w:r>
              <w:rPr>
                <w:sz w:val="24"/>
                <w:highlight w:val="none"/>
                <w:lang w:val="zh-CN"/>
              </w:rPr>
              <w:t>1、一般情况</w:t>
            </w:r>
          </w:p>
        </w:tc>
      </w:tr>
      <w:tr w14:paraId="1EA6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vMerge w:val="restart"/>
            <w:tcBorders>
              <w:top w:val="single" w:color="auto" w:sz="4" w:space="0"/>
              <w:left w:val="single" w:color="auto" w:sz="4" w:space="0"/>
              <w:right w:val="single" w:color="auto" w:sz="4" w:space="0"/>
            </w:tcBorders>
            <w:vAlign w:val="center"/>
          </w:tcPr>
          <w:p w14:paraId="529394B8">
            <w:pPr>
              <w:autoSpaceDE w:val="0"/>
              <w:autoSpaceDN w:val="0"/>
              <w:adjustRightInd w:val="0"/>
              <w:spacing w:line="360" w:lineRule="exact"/>
              <w:jc w:val="center"/>
              <w:rPr>
                <w:sz w:val="24"/>
                <w:highlight w:val="none"/>
                <w:lang w:val="zh-CN"/>
              </w:rPr>
            </w:pPr>
            <w:r>
              <w:rPr>
                <w:sz w:val="24"/>
                <w:highlight w:val="none"/>
                <w:lang w:val="zh-CN"/>
              </w:rPr>
              <w:t>供应商名称</w:t>
            </w:r>
          </w:p>
        </w:tc>
        <w:tc>
          <w:tcPr>
            <w:tcW w:w="1729" w:type="pct"/>
            <w:gridSpan w:val="3"/>
            <w:vMerge w:val="restart"/>
            <w:tcBorders>
              <w:top w:val="single" w:color="auto" w:sz="4" w:space="0"/>
              <w:left w:val="single" w:color="auto" w:sz="4" w:space="0"/>
              <w:right w:val="single" w:color="auto" w:sz="4" w:space="0"/>
            </w:tcBorders>
            <w:vAlign w:val="center"/>
          </w:tcPr>
          <w:p w14:paraId="02BD2885">
            <w:pPr>
              <w:autoSpaceDE w:val="0"/>
              <w:autoSpaceDN w:val="0"/>
              <w:adjustRightInd w:val="0"/>
              <w:spacing w:line="360" w:lineRule="exact"/>
              <w:jc w:val="center"/>
              <w:rPr>
                <w:sz w:val="24"/>
                <w:highlight w:val="none"/>
                <w:lang w:val="zh-CN"/>
              </w:rPr>
            </w:pPr>
          </w:p>
        </w:tc>
        <w:tc>
          <w:tcPr>
            <w:tcW w:w="975" w:type="pct"/>
            <w:gridSpan w:val="2"/>
            <w:tcBorders>
              <w:top w:val="single" w:color="auto" w:sz="4" w:space="0"/>
              <w:left w:val="single" w:color="auto" w:sz="4" w:space="0"/>
              <w:bottom w:val="single" w:color="auto" w:sz="4" w:space="0"/>
              <w:right w:val="single" w:color="auto" w:sz="4" w:space="0"/>
            </w:tcBorders>
            <w:vAlign w:val="center"/>
          </w:tcPr>
          <w:p w14:paraId="2DC82958">
            <w:pPr>
              <w:autoSpaceDE w:val="0"/>
              <w:autoSpaceDN w:val="0"/>
              <w:adjustRightInd w:val="0"/>
              <w:spacing w:line="360" w:lineRule="exact"/>
              <w:jc w:val="center"/>
              <w:rPr>
                <w:sz w:val="24"/>
                <w:highlight w:val="none"/>
                <w:lang w:val="zh-CN"/>
              </w:rPr>
            </w:pPr>
            <w:r>
              <w:rPr>
                <w:sz w:val="24"/>
                <w:highlight w:val="none"/>
                <w:lang w:val="zh-CN"/>
              </w:rPr>
              <w:t>法定代表人</w:t>
            </w:r>
          </w:p>
        </w:tc>
        <w:tc>
          <w:tcPr>
            <w:tcW w:w="1312" w:type="pct"/>
            <w:tcBorders>
              <w:top w:val="single" w:color="auto" w:sz="4" w:space="0"/>
              <w:left w:val="single" w:color="auto" w:sz="4" w:space="0"/>
              <w:bottom w:val="single" w:color="auto" w:sz="4" w:space="0"/>
              <w:right w:val="single" w:color="auto" w:sz="4" w:space="0"/>
            </w:tcBorders>
            <w:vAlign w:val="center"/>
          </w:tcPr>
          <w:p w14:paraId="72E6E332">
            <w:pPr>
              <w:autoSpaceDE w:val="0"/>
              <w:autoSpaceDN w:val="0"/>
              <w:adjustRightInd w:val="0"/>
              <w:spacing w:line="360" w:lineRule="exact"/>
              <w:jc w:val="center"/>
              <w:rPr>
                <w:sz w:val="24"/>
                <w:highlight w:val="none"/>
                <w:lang w:val="zh-CN"/>
              </w:rPr>
            </w:pPr>
          </w:p>
        </w:tc>
      </w:tr>
      <w:tr w14:paraId="69B9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vMerge w:val="continue"/>
            <w:tcBorders>
              <w:left w:val="single" w:color="auto" w:sz="4" w:space="0"/>
              <w:bottom w:val="single" w:color="auto" w:sz="4" w:space="0"/>
              <w:right w:val="single" w:color="auto" w:sz="4" w:space="0"/>
            </w:tcBorders>
            <w:vAlign w:val="center"/>
          </w:tcPr>
          <w:p w14:paraId="01B63BCD">
            <w:pPr>
              <w:autoSpaceDE w:val="0"/>
              <w:autoSpaceDN w:val="0"/>
              <w:adjustRightInd w:val="0"/>
              <w:spacing w:line="360" w:lineRule="exact"/>
              <w:jc w:val="center"/>
              <w:rPr>
                <w:sz w:val="24"/>
                <w:highlight w:val="none"/>
                <w:lang w:val="zh-CN"/>
              </w:rPr>
            </w:pPr>
          </w:p>
        </w:tc>
        <w:tc>
          <w:tcPr>
            <w:tcW w:w="1729" w:type="pct"/>
            <w:gridSpan w:val="3"/>
            <w:vMerge w:val="continue"/>
            <w:tcBorders>
              <w:left w:val="single" w:color="auto" w:sz="4" w:space="0"/>
              <w:bottom w:val="single" w:color="auto" w:sz="4" w:space="0"/>
              <w:right w:val="single" w:color="auto" w:sz="4" w:space="0"/>
            </w:tcBorders>
            <w:vAlign w:val="center"/>
          </w:tcPr>
          <w:p w14:paraId="4720CA64">
            <w:pPr>
              <w:autoSpaceDE w:val="0"/>
              <w:autoSpaceDN w:val="0"/>
              <w:adjustRightInd w:val="0"/>
              <w:spacing w:line="360" w:lineRule="exact"/>
              <w:jc w:val="center"/>
              <w:rPr>
                <w:sz w:val="24"/>
                <w:highlight w:val="none"/>
                <w:lang w:val="zh-CN"/>
              </w:rPr>
            </w:pPr>
          </w:p>
        </w:tc>
        <w:tc>
          <w:tcPr>
            <w:tcW w:w="975" w:type="pct"/>
            <w:gridSpan w:val="2"/>
            <w:tcBorders>
              <w:top w:val="single" w:color="auto" w:sz="4" w:space="0"/>
              <w:left w:val="single" w:color="auto" w:sz="4" w:space="0"/>
              <w:bottom w:val="single" w:color="auto" w:sz="4" w:space="0"/>
              <w:right w:val="single" w:color="auto" w:sz="4" w:space="0"/>
            </w:tcBorders>
            <w:vAlign w:val="center"/>
          </w:tcPr>
          <w:p w14:paraId="50012A88">
            <w:pPr>
              <w:autoSpaceDE w:val="0"/>
              <w:autoSpaceDN w:val="0"/>
              <w:adjustRightInd w:val="0"/>
              <w:spacing w:line="360" w:lineRule="exact"/>
              <w:jc w:val="center"/>
              <w:rPr>
                <w:sz w:val="24"/>
                <w:highlight w:val="none"/>
                <w:lang w:val="zh-CN"/>
              </w:rPr>
            </w:pPr>
            <w:r>
              <w:rPr>
                <w:sz w:val="24"/>
                <w:highlight w:val="none"/>
                <w:lang w:val="zh-CN"/>
              </w:rPr>
              <w:t>地    址</w:t>
            </w:r>
          </w:p>
        </w:tc>
        <w:tc>
          <w:tcPr>
            <w:tcW w:w="1312" w:type="pct"/>
            <w:tcBorders>
              <w:top w:val="single" w:color="auto" w:sz="4" w:space="0"/>
              <w:left w:val="single" w:color="auto" w:sz="4" w:space="0"/>
              <w:bottom w:val="single" w:color="auto" w:sz="4" w:space="0"/>
              <w:right w:val="single" w:color="auto" w:sz="4" w:space="0"/>
            </w:tcBorders>
            <w:vAlign w:val="center"/>
          </w:tcPr>
          <w:p w14:paraId="57C989D5">
            <w:pPr>
              <w:autoSpaceDE w:val="0"/>
              <w:autoSpaceDN w:val="0"/>
              <w:adjustRightInd w:val="0"/>
              <w:spacing w:line="360" w:lineRule="exact"/>
              <w:jc w:val="center"/>
              <w:rPr>
                <w:sz w:val="24"/>
                <w:highlight w:val="none"/>
                <w:lang w:val="zh-CN"/>
              </w:rPr>
            </w:pPr>
          </w:p>
        </w:tc>
      </w:tr>
      <w:tr w14:paraId="6625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0FB5E3F9">
            <w:pPr>
              <w:autoSpaceDE w:val="0"/>
              <w:autoSpaceDN w:val="0"/>
              <w:adjustRightInd w:val="0"/>
              <w:spacing w:line="360" w:lineRule="exact"/>
              <w:jc w:val="center"/>
              <w:rPr>
                <w:sz w:val="24"/>
                <w:highlight w:val="none"/>
                <w:lang w:val="zh-CN"/>
              </w:rPr>
            </w:pPr>
            <w:r>
              <w:rPr>
                <w:sz w:val="24"/>
                <w:highlight w:val="none"/>
                <w:lang w:val="zh-CN"/>
              </w:rPr>
              <w:t>营业范围</w:t>
            </w:r>
          </w:p>
        </w:tc>
        <w:tc>
          <w:tcPr>
            <w:tcW w:w="4017" w:type="pct"/>
            <w:gridSpan w:val="6"/>
            <w:tcBorders>
              <w:top w:val="single" w:color="auto" w:sz="4" w:space="0"/>
              <w:left w:val="single" w:color="auto" w:sz="4" w:space="0"/>
              <w:bottom w:val="single" w:color="auto" w:sz="4" w:space="0"/>
              <w:right w:val="single" w:color="auto" w:sz="4" w:space="0"/>
            </w:tcBorders>
            <w:vAlign w:val="center"/>
          </w:tcPr>
          <w:p w14:paraId="4FF787E5">
            <w:pPr>
              <w:autoSpaceDE w:val="0"/>
              <w:autoSpaceDN w:val="0"/>
              <w:adjustRightInd w:val="0"/>
              <w:spacing w:line="360" w:lineRule="exact"/>
              <w:jc w:val="center"/>
              <w:rPr>
                <w:sz w:val="24"/>
                <w:highlight w:val="none"/>
                <w:lang w:val="zh-CN"/>
              </w:rPr>
            </w:pPr>
          </w:p>
        </w:tc>
      </w:tr>
      <w:tr w14:paraId="33E7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 w:type="pct"/>
            <w:tcBorders>
              <w:top w:val="single" w:color="auto" w:sz="4" w:space="0"/>
              <w:left w:val="single" w:color="auto" w:sz="4" w:space="0"/>
              <w:bottom w:val="single" w:color="auto" w:sz="4" w:space="0"/>
              <w:right w:val="single" w:color="auto" w:sz="4" w:space="0"/>
            </w:tcBorders>
            <w:vAlign w:val="center"/>
          </w:tcPr>
          <w:p w14:paraId="3DCD149D">
            <w:pPr>
              <w:autoSpaceDE w:val="0"/>
              <w:autoSpaceDN w:val="0"/>
              <w:adjustRightInd w:val="0"/>
              <w:spacing w:line="360" w:lineRule="exact"/>
              <w:jc w:val="center"/>
              <w:rPr>
                <w:sz w:val="24"/>
                <w:highlight w:val="none"/>
                <w:lang w:val="zh-CN"/>
              </w:rPr>
            </w:pPr>
            <w:r>
              <w:rPr>
                <w:sz w:val="24"/>
                <w:highlight w:val="none"/>
                <w:lang w:val="zh-CN"/>
              </w:rPr>
              <w:t>企业资质</w:t>
            </w:r>
          </w:p>
        </w:tc>
        <w:tc>
          <w:tcPr>
            <w:tcW w:w="4017" w:type="pct"/>
            <w:gridSpan w:val="6"/>
            <w:tcBorders>
              <w:top w:val="single" w:color="auto" w:sz="4" w:space="0"/>
              <w:left w:val="single" w:color="auto" w:sz="4" w:space="0"/>
              <w:bottom w:val="single" w:color="auto" w:sz="4" w:space="0"/>
              <w:right w:val="single" w:color="auto" w:sz="4" w:space="0"/>
            </w:tcBorders>
            <w:vAlign w:val="center"/>
          </w:tcPr>
          <w:p w14:paraId="7F9C8D58">
            <w:pPr>
              <w:autoSpaceDE w:val="0"/>
              <w:autoSpaceDN w:val="0"/>
              <w:adjustRightInd w:val="0"/>
              <w:spacing w:line="360" w:lineRule="exact"/>
              <w:jc w:val="center"/>
              <w:rPr>
                <w:sz w:val="24"/>
                <w:highlight w:val="none"/>
                <w:lang w:val="zh-CN"/>
              </w:rPr>
            </w:pPr>
          </w:p>
        </w:tc>
      </w:tr>
      <w:tr w14:paraId="0E11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4E4D7F14">
            <w:pPr>
              <w:autoSpaceDE w:val="0"/>
              <w:autoSpaceDN w:val="0"/>
              <w:adjustRightInd w:val="0"/>
              <w:spacing w:line="360" w:lineRule="exact"/>
              <w:rPr>
                <w:sz w:val="24"/>
                <w:highlight w:val="none"/>
                <w:lang w:val="zh-CN"/>
              </w:rPr>
            </w:pPr>
            <w:r>
              <w:rPr>
                <w:sz w:val="24"/>
                <w:highlight w:val="none"/>
                <w:lang w:val="zh-CN"/>
              </w:rPr>
              <w:t>2、</w:t>
            </w:r>
            <w:r>
              <w:rPr>
                <w:sz w:val="24"/>
                <w:highlight w:val="none"/>
              </w:rPr>
              <w:t>项目</w:t>
            </w:r>
            <w:r>
              <w:rPr>
                <w:sz w:val="24"/>
                <w:highlight w:val="none"/>
                <w:lang w:val="zh-CN"/>
              </w:rPr>
              <w:t>联系人</w:t>
            </w:r>
          </w:p>
        </w:tc>
      </w:tr>
      <w:tr w14:paraId="6A99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vAlign w:val="center"/>
          </w:tcPr>
          <w:p w14:paraId="4044DFB5">
            <w:pPr>
              <w:autoSpaceDE w:val="0"/>
              <w:autoSpaceDN w:val="0"/>
              <w:adjustRightInd w:val="0"/>
              <w:spacing w:line="360" w:lineRule="exact"/>
              <w:jc w:val="center"/>
              <w:rPr>
                <w:sz w:val="24"/>
                <w:highlight w:val="none"/>
                <w:lang w:val="zh-CN"/>
              </w:rPr>
            </w:pPr>
            <w:r>
              <w:rPr>
                <w:sz w:val="24"/>
                <w:highlight w:val="none"/>
                <w:lang w:val="zh-CN"/>
              </w:rPr>
              <w:t>姓名</w:t>
            </w:r>
          </w:p>
        </w:tc>
        <w:tc>
          <w:tcPr>
            <w:tcW w:w="1008" w:type="pct"/>
            <w:tcBorders>
              <w:top w:val="single" w:color="auto" w:sz="4" w:space="0"/>
              <w:left w:val="single" w:color="auto" w:sz="4" w:space="0"/>
              <w:bottom w:val="single" w:color="auto" w:sz="4" w:space="0"/>
              <w:right w:val="single" w:color="auto" w:sz="4" w:space="0"/>
            </w:tcBorders>
            <w:vAlign w:val="center"/>
          </w:tcPr>
          <w:p w14:paraId="2D4707C2">
            <w:pPr>
              <w:autoSpaceDE w:val="0"/>
              <w:autoSpaceDN w:val="0"/>
              <w:adjustRightInd w:val="0"/>
              <w:spacing w:line="360" w:lineRule="exact"/>
              <w:jc w:val="center"/>
              <w:rPr>
                <w:sz w:val="24"/>
                <w:highlight w:val="none"/>
                <w:lang w:val="zh-CN"/>
              </w:rPr>
            </w:pPr>
            <w:r>
              <w:rPr>
                <w:sz w:val="24"/>
                <w:highlight w:val="none"/>
                <w:lang w:val="zh-CN"/>
              </w:rPr>
              <w:t>职务</w:t>
            </w: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90171A0">
            <w:pPr>
              <w:autoSpaceDE w:val="0"/>
              <w:autoSpaceDN w:val="0"/>
              <w:adjustRightInd w:val="0"/>
              <w:spacing w:line="360" w:lineRule="exact"/>
              <w:jc w:val="center"/>
              <w:rPr>
                <w:sz w:val="24"/>
                <w:highlight w:val="none"/>
                <w:lang w:val="zh-CN"/>
              </w:rPr>
            </w:pPr>
            <w:r>
              <w:rPr>
                <w:sz w:val="24"/>
                <w:highlight w:val="none"/>
                <w:lang w:val="zh-CN"/>
              </w:rPr>
              <w:t>职称</w:t>
            </w: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6770B9ED">
            <w:pPr>
              <w:autoSpaceDE w:val="0"/>
              <w:autoSpaceDN w:val="0"/>
              <w:adjustRightInd w:val="0"/>
              <w:spacing w:line="360" w:lineRule="exact"/>
              <w:jc w:val="center"/>
              <w:rPr>
                <w:sz w:val="24"/>
                <w:highlight w:val="none"/>
                <w:lang w:val="zh-CN"/>
              </w:rPr>
            </w:pPr>
            <w:r>
              <w:rPr>
                <w:sz w:val="24"/>
                <w:highlight w:val="none"/>
                <w:lang w:val="zh-CN"/>
              </w:rPr>
              <w:t>电话</w:t>
            </w:r>
          </w:p>
        </w:tc>
      </w:tr>
      <w:tr w14:paraId="33B9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vAlign w:val="center"/>
          </w:tcPr>
          <w:p w14:paraId="218708C6">
            <w:pPr>
              <w:autoSpaceDE w:val="0"/>
              <w:autoSpaceDN w:val="0"/>
              <w:adjustRightInd w:val="0"/>
              <w:spacing w:line="360" w:lineRule="exact"/>
              <w:jc w:val="center"/>
              <w:rPr>
                <w:sz w:val="24"/>
                <w:highlight w:val="none"/>
                <w:lang w:val="zh-CN"/>
              </w:rPr>
            </w:pPr>
          </w:p>
        </w:tc>
        <w:tc>
          <w:tcPr>
            <w:tcW w:w="1008" w:type="pct"/>
            <w:tcBorders>
              <w:top w:val="single" w:color="auto" w:sz="4" w:space="0"/>
              <w:left w:val="single" w:color="auto" w:sz="4" w:space="0"/>
              <w:bottom w:val="single" w:color="auto" w:sz="4" w:space="0"/>
              <w:right w:val="single" w:color="auto" w:sz="4" w:space="0"/>
            </w:tcBorders>
            <w:vAlign w:val="center"/>
          </w:tcPr>
          <w:p w14:paraId="54685EC8">
            <w:pPr>
              <w:autoSpaceDE w:val="0"/>
              <w:autoSpaceDN w:val="0"/>
              <w:adjustRightInd w:val="0"/>
              <w:spacing w:line="360" w:lineRule="exact"/>
              <w:jc w:val="center"/>
              <w:rPr>
                <w:sz w:val="24"/>
                <w:highlight w:val="none"/>
                <w:lang w:val="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43090A1B">
            <w:pPr>
              <w:autoSpaceDE w:val="0"/>
              <w:autoSpaceDN w:val="0"/>
              <w:adjustRightInd w:val="0"/>
              <w:spacing w:line="360" w:lineRule="exact"/>
              <w:jc w:val="center"/>
              <w:rPr>
                <w:sz w:val="24"/>
                <w:highlight w:val="none"/>
                <w:lang w:val="zh-CN"/>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4CD5736B">
            <w:pPr>
              <w:autoSpaceDE w:val="0"/>
              <w:autoSpaceDN w:val="0"/>
              <w:adjustRightInd w:val="0"/>
              <w:spacing w:line="360" w:lineRule="exact"/>
              <w:jc w:val="center"/>
              <w:rPr>
                <w:sz w:val="24"/>
                <w:highlight w:val="none"/>
                <w:lang w:val="zh-CN"/>
              </w:rPr>
            </w:pPr>
          </w:p>
        </w:tc>
      </w:tr>
      <w:tr w14:paraId="43A7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14:paraId="7337EDBA">
            <w:pPr>
              <w:autoSpaceDE w:val="0"/>
              <w:autoSpaceDN w:val="0"/>
              <w:adjustRightInd w:val="0"/>
              <w:spacing w:line="360" w:lineRule="exact"/>
              <w:jc w:val="left"/>
              <w:rPr>
                <w:sz w:val="24"/>
                <w:highlight w:val="none"/>
                <w:lang w:val="zh-CN"/>
              </w:rPr>
            </w:pPr>
            <w:r>
              <w:rPr>
                <w:sz w:val="24"/>
                <w:highlight w:val="none"/>
              </w:rPr>
              <w:t>3、</w:t>
            </w:r>
            <w:r>
              <w:rPr>
                <w:sz w:val="24"/>
                <w:highlight w:val="none"/>
                <w:lang w:val="zh-CN"/>
              </w:rPr>
              <w:t>股东信息及出资比例信息</w:t>
            </w:r>
          </w:p>
        </w:tc>
      </w:tr>
      <w:tr w14:paraId="5160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58B1BF">
            <w:pPr>
              <w:spacing w:line="360" w:lineRule="auto"/>
              <w:jc w:val="center"/>
              <w:rPr>
                <w:sz w:val="24"/>
                <w:highlight w:val="none"/>
                <w:lang w:val="zh-CN"/>
              </w:rPr>
            </w:pPr>
            <w:r>
              <w:rPr>
                <w:sz w:val="24"/>
                <w:highlight w:val="none"/>
              </w:rPr>
              <w:t>序号</w:t>
            </w: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A7A0B0">
            <w:pPr>
              <w:spacing w:line="360" w:lineRule="auto"/>
              <w:jc w:val="center"/>
              <w:rPr>
                <w:sz w:val="24"/>
                <w:highlight w:val="none"/>
                <w:lang w:val="zh-CN"/>
              </w:rPr>
            </w:pPr>
            <w:r>
              <w:rPr>
                <w:sz w:val="24"/>
                <w:highlight w:val="none"/>
              </w:rPr>
              <w:t>股东</w:t>
            </w: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78CC5188">
            <w:pPr>
              <w:autoSpaceDE w:val="0"/>
              <w:autoSpaceDN w:val="0"/>
              <w:adjustRightInd w:val="0"/>
              <w:spacing w:line="360" w:lineRule="exact"/>
              <w:jc w:val="center"/>
              <w:rPr>
                <w:sz w:val="24"/>
                <w:highlight w:val="none"/>
                <w:lang w:val="zh-CN"/>
              </w:rPr>
            </w:pPr>
            <w:r>
              <w:rPr>
                <w:sz w:val="24"/>
                <w:highlight w:val="none"/>
              </w:rPr>
              <w:t>出资比例</w:t>
            </w:r>
          </w:p>
        </w:tc>
      </w:tr>
      <w:tr w14:paraId="34CA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C67527">
            <w:pPr>
              <w:spacing w:line="360" w:lineRule="auto"/>
              <w:jc w:val="center"/>
              <w:rPr>
                <w:sz w:val="24"/>
                <w:highlight w:val="none"/>
              </w:rPr>
            </w:pP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88FE2F">
            <w:pPr>
              <w:spacing w:line="360" w:lineRule="auto"/>
              <w:jc w:val="center"/>
              <w:rPr>
                <w:sz w:val="24"/>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628C2092">
            <w:pPr>
              <w:autoSpaceDE w:val="0"/>
              <w:autoSpaceDN w:val="0"/>
              <w:adjustRightInd w:val="0"/>
              <w:spacing w:line="360" w:lineRule="exact"/>
              <w:jc w:val="center"/>
              <w:rPr>
                <w:sz w:val="24"/>
                <w:highlight w:val="none"/>
              </w:rPr>
            </w:pPr>
          </w:p>
        </w:tc>
      </w:tr>
      <w:tr w14:paraId="168F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31EBB0">
            <w:pPr>
              <w:spacing w:line="360" w:lineRule="auto"/>
              <w:jc w:val="center"/>
              <w:rPr>
                <w:sz w:val="24"/>
                <w:highlight w:val="none"/>
              </w:rPr>
            </w:pP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BA630">
            <w:pPr>
              <w:spacing w:line="360" w:lineRule="auto"/>
              <w:jc w:val="center"/>
              <w:rPr>
                <w:sz w:val="24"/>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299364D1">
            <w:pPr>
              <w:autoSpaceDE w:val="0"/>
              <w:autoSpaceDN w:val="0"/>
              <w:adjustRightInd w:val="0"/>
              <w:spacing w:line="360" w:lineRule="exact"/>
              <w:jc w:val="center"/>
              <w:rPr>
                <w:sz w:val="24"/>
                <w:highlight w:val="none"/>
              </w:rPr>
            </w:pPr>
          </w:p>
        </w:tc>
      </w:tr>
      <w:tr w14:paraId="531B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9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C3C3C9">
            <w:pPr>
              <w:spacing w:line="360" w:lineRule="auto"/>
              <w:jc w:val="center"/>
              <w:rPr>
                <w:sz w:val="24"/>
                <w:highlight w:val="none"/>
              </w:rPr>
            </w:pPr>
          </w:p>
        </w:tc>
        <w:tc>
          <w:tcPr>
            <w:tcW w:w="208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3AB137">
            <w:pPr>
              <w:spacing w:line="360" w:lineRule="auto"/>
              <w:jc w:val="center"/>
              <w:rPr>
                <w:sz w:val="24"/>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14:paraId="4BAD517D">
            <w:pPr>
              <w:autoSpaceDE w:val="0"/>
              <w:autoSpaceDN w:val="0"/>
              <w:adjustRightInd w:val="0"/>
              <w:spacing w:line="360" w:lineRule="exact"/>
              <w:jc w:val="center"/>
              <w:rPr>
                <w:sz w:val="24"/>
                <w:highlight w:val="none"/>
              </w:rPr>
            </w:pPr>
          </w:p>
        </w:tc>
      </w:tr>
    </w:tbl>
    <w:p w14:paraId="741F07F6">
      <w:pPr>
        <w:autoSpaceDE w:val="0"/>
        <w:autoSpaceDN w:val="0"/>
        <w:adjustRightInd w:val="0"/>
        <w:ind w:firstLine="4560" w:firstLineChars="1900"/>
        <w:rPr>
          <w:sz w:val="24"/>
          <w:highlight w:val="none"/>
          <w:lang w:val="zh-CN"/>
        </w:rPr>
      </w:pPr>
    </w:p>
    <w:p w14:paraId="65816F63">
      <w:pPr>
        <w:adjustRightInd w:val="0"/>
        <w:snapToGrid w:val="0"/>
        <w:spacing w:line="360" w:lineRule="auto"/>
        <w:rPr>
          <w:sz w:val="24"/>
          <w:highlight w:val="none"/>
        </w:rPr>
      </w:pPr>
    </w:p>
    <w:p w14:paraId="319B0F18">
      <w:pPr>
        <w:adjustRightInd w:val="0"/>
        <w:snapToGrid w:val="0"/>
        <w:spacing w:line="360" w:lineRule="auto"/>
        <w:rPr>
          <w:sz w:val="24"/>
          <w:highlight w:val="none"/>
        </w:rPr>
      </w:pPr>
    </w:p>
    <w:p w14:paraId="249ED54D">
      <w:pPr>
        <w:adjustRightInd w:val="0"/>
        <w:snapToGrid w:val="0"/>
        <w:spacing w:line="360" w:lineRule="auto"/>
        <w:rPr>
          <w:sz w:val="24"/>
          <w:highlight w:val="none"/>
        </w:rPr>
      </w:pPr>
      <w:r>
        <w:rPr>
          <w:sz w:val="24"/>
          <w:highlight w:val="none"/>
        </w:rPr>
        <w:t>供应商（盖章）：</w:t>
      </w:r>
    </w:p>
    <w:p w14:paraId="7C69ACAE">
      <w:pPr>
        <w:adjustRightInd w:val="0"/>
        <w:snapToGrid w:val="0"/>
        <w:spacing w:line="360" w:lineRule="auto"/>
        <w:rPr>
          <w:sz w:val="24"/>
          <w:highlight w:val="none"/>
        </w:rPr>
      </w:pPr>
      <w:r>
        <w:rPr>
          <w:sz w:val="24"/>
          <w:highlight w:val="none"/>
        </w:rPr>
        <w:t>法定代表人或其授权代表（签字或盖章）：</w:t>
      </w:r>
    </w:p>
    <w:p w14:paraId="7D129AE0">
      <w:pPr>
        <w:pStyle w:val="6"/>
        <w:ind w:firstLine="0" w:firstLineChars="0"/>
        <w:rPr>
          <w:highlight w:val="none"/>
        </w:rPr>
      </w:pPr>
      <w:r>
        <w:rPr>
          <w:sz w:val="24"/>
          <w:highlight w:val="none"/>
        </w:rPr>
        <w:t>日期：</w:t>
      </w:r>
    </w:p>
    <w:p w14:paraId="0C36D99C">
      <w:pPr>
        <w:autoSpaceDE w:val="0"/>
        <w:autoSpaceDN w:val="0"/>
        <w:adjustRightInd w:val="0"/>
        <w:ind w:firstLine="4560" w:firstLineChars="1900"/>
        <w:rPr>
          <w:rFonts w:ascii="宋体" w:hAnsi="宋体"/>
          <w:color w:val="auto"/>
          <w:sz w:val="24"/>
          <w:highlight w:val="none"/>
          <w:lang w:val="zh-CN"/>
        </w:rPr>
      </w:pPr>
    </w:p>
    <w:p w14:paraId="07EE2FCC">
      <w:pPr>
        <w:pStyle w:val="5"/>
        <w:rPr>
          <w:rFonts w:hint="eastAsia" w:ascii="宋体" w:hAnsi="宋体"/>
          <w:color w:val="auto"/>
          <w:highlight w:val="none"/>
        </w:rPr>
      </w:pPr>
    </w:p>
    <w:p w14:paraId="6B0A186E">
      <w:pPr>
        <w:pStyle w:val="6"/>
        <w:ind w:firstLine="210"/>
        <w:rPr>
          <w:rFonts w:hint="eastAsia" w:ascii="宋体" w:hAnsi="宋体"/>
          <w:color w:val="auto"/>
          <w:highlight w:val="none"/>
        </w:rPr>
        <w:sectPr>
          <w:pgSz w:w="11906" w:h="16838"/>
          <w:pgMar w:top="1134" w:right="1418" w:bottom="1701" w:left="1418" w:header="851" w:footer="992" w:gutter="0"/>
          <w:cols w:space="720" w:num="1"/>
          <w:docGrid w:linePitch="312" w:charSpace="0"/>
        </w:sectPr>
      </w:pPr>
    </w:p>
    <w:p w14:paraId="6C91A790">
      <w:pPr>
        <w:spacing w:line="360" w:lineRule="auto"/>
        <w:rPr>
          <w:sz w:val="24"/>
          <w:highlight w:val="none"/>
        </w:rPr>
      </w:pPr>
      <w:r>
        <w:rPr>
          <w:sz w:val="24"/>
          <w:highlight w:val="none"/>
        </w:rPr>
        <w:t>附件六</w:t>
      </w:r>
    </w:p>
    <w:p w14:paraId="2AD62B96">
      <w:pPr>
        <w:pStyle w:val="5"/>
        <w:rPr>
          <w:highlight w:val="none"/>
        </w:rPr>
      </w:pPr>
    </w:p>
    <w:p w14:paraId="7552DF19">
      <w:pPr>
        <w:pStyle w:val="7"/>
        <w:spacing w:line="400" w:lineRule="atLeast"/>
        <w:jc w:val="center"/>
        <w:rPr>
          <w:rFonts w:ascii="Times New Roman" w:hAnsi="Times New Roman"/>
          <w:b/>
          <w:sz w:val="30"/>
          <w:szCs w:val="30"/>
          <w:highlight w:val="none"/>
        </w:rPr>
      </w:pPr>
      <w:r>
        <w:rPr>
          <w:rFonts w:ascii="Times New Roman" w:hAnsi="Times New Roman"/>
          <w:b/>
          <w:sz w:val="30"/>
          <w:szCs w:val="30"/>
          <w:highlight w:val="none"/>
        </w:rPr>
        <w:t>业绩证明</w:t>
      </w:r>
    </w:p>
    <w:tbl>
      <w:tblPr>
        <w:tblStyle w:val="14"/>
        <w:tblW w:w="4996" w:type="pct"/>
        <w:jc w:val="center"/>
        <w:tblLayout w:type="autofit"/>
        <w:tblCellMar>
          <w:top w:w="0" w:type="dxa"/>
          <w:left w:w="108" w:type="dxa"/>
          <w:bottom w:w="0" w:type="dxa"/>
          <w:right w:w="108" w:type="dxa"/>
        </w:tblCellMar>
      </w:tblPr>
      <w:tblGrid>
        <w:gridCol w:w="1350"/>
        <w:gridCol w:w="2723"/>
        <w:gridCol w:w="2970"/>
        <w:gridCol w:w="2520"/>
      </w:tblGrid>
      <w:tr w14:paraId="02C51609">
        <w:tblPrEx>
          <w:tblCellMar>
            <w:top w:w="0" w:type="dxa"/>
            <w:left w:w="108" w:type="dxa"/>
            <w:bottom w:w="0" w:type="dxa"/>
            <w:right w:w="108" w:type="dxa"/>
          </w:tblCellMar>
        </w:tblPrEx>
        <w:trPr>
          <w:jc w:val="center"/>
        </w:trPr>
        <w:tc>
          <w:tcPr>
            <w:tcW w:w="706" w:type="pct"/>
            <w:tcBorders>
              <w:top w:val="single" w:color="auto" w:sz="6" w:space="0"/>
              <w:left w:val="single" w:color="auto" w:sz="6" w:space="0"/>
              <w:bottom w:val="single" w:color="auto" w:sz="6" w:space="0"/>
              <w:right w:val="single" w:color="auto" w:sz="6" w:space="0"/>
            </w:tcBorders>
            <w:vAlign w:val="center"/>
          </w:tcPr>
          <w:p w14:paraId="0745B879">
            <w:pPr>
              <w:autoSpaceDE w:val="0"/>
              <w:autoSpaceDN w:val="0"/>
              <w:spacing w:line="460" w:lineRule="exact"/>
              <w:jc w:val="center"/>
              <w:rPr>
                <w:kern w:val="1"/>
                <w:sz w:val="24"/>
                <w:highlight w:val="none"/>
              </w:rPr>
            </w:pPr>
            <w:r>
              <w:rPr>
                <w:kern w:val="1"/>
                <w:sz w:val="24"/>
                <w:highlight w:val="none"/>
              </w:rPr>
              <w:t>序号</w:t>
            </w:r>
          </w:p>
        </w:tc>
        <w:tc>
          <w:tcPr>
            <w:tcW w:w="1423" w:type="pct"/>
            <w:tcBorders>
              <w:top w:val="single" w:color="auto" w:sz="6" w:space="0"/>
              <w:left w:val="single" w:color="auto" w:sz="6" w:space="0"/>
              <w:bottom w:val="single" w:color="auto" w:sz="6" w:space="0"/>
              <w:right w:val="single" w:color="auto" w:sz="6" w:space="0"/>
            </w:tcBorders>
            <w:vAlign w:val="center"/>
          </w:tcPr>
          <w:p w14:paraId="18C2AD23">
            <w:pPr>
              <w:autoSpaceDE w:val="0"/>
              <w:autoSpaceDN w:val="0"/>
              <w:spacing w:line="460" w:lineRule="exact"/>
              <w:jc w:val="center"/>
              <w:rPr>
                <w:kern w:val="1"/>
                <w:sz w:val="24"/>
                <w:highlight w:val="none"/>
              </w:rPr>
            </w:pPr>
            <w:r>
              <w:rPr>
                <w:kern w:val="1"/>
                <w:sz w:val="24"/>
                <w:highlight w:val="none"/>
              </w:rPr>
              <w:t>项目名称</w:t>
            </w:r>
          </w:p>
        </w:tc>
        <w:tc>
          <w:tcPr>
            <w:tcW w:w="1552" w:type="pct"/>
            <w:tcBorders>
              <w:top w:val="single" w:color="auto" w:sz="6" w:space="0"/>
              <w:left w:val="single" w:color="auto" w:sz="6" w:space="0"/>
              <w:bottom w:val="single" w:color="auto" w:sz="6" w:space="0"/>
              <w:right w:val="single" w:color="auto" w:sz="6" w:space="0"/>
            </w:tcBorders>
            <w:vAlign w:val="center"/>
          </w:tcPr>
          <w:p w14:paraId="7F78CD83">
            <w:pPr>
              <w:autoSpaceDE w:val="0"/>
              <w:autoSpaceDN w:val="0"/>
              <w:spacing w:line="460" w:lineRule="exact"/>
              <w:jc w:val="center"/>
              <w:rPr>
                <w:kern w:val="1"/>
                <w:sz w:val="24"/>
                <w:highlight w:val="none"/>
              </w:rPr>
            </w:pPr>
            <w:r>
              <w:rPr>
                <w:kern w:val="1"/>
                <w:sz w:val="24"/>
                <w:highlight w:val="none"/>
              </w:rPr>
              <w:t>合同签约单位</w:t>
            </w:r>
          </w:p>
        </w:tc>
        <w:tc>
          <w:tcPr>
            <w:tcW w:w="1317" w:type="pct"/>
            <w:tcBorders>
              <w:top w:val="single" w:color="auto" w:sz="6" w:space="0"/>
              <w:left w:val="single" w:color="auto" w:sz="6" w:space="0"/>
              <w:bottom w:val="single" w:color="auto" w:sz="6" w:space="0"/>
              <w:right w:val="single" w:color="auto" w:sz="6" w:space="0"/>
            </w:tcBorders>
            <w:vAlign w:val="center"/>
          </w:tcPr>
          <w:p w14:paraId="58710476">
            <w:pPr>
              <w:autoSpaceDE w:val="0"/>
              <w:autoSpaceDN w:val="0"/>
              <w:spacing w:line="460" w:lineRule="exact"/>
              <w:jc w:val="center"/>
              <w:rPr>
                <w:kern w:val="1"/>
                <w:sz w:val="24"/>
                <w:highlight w:val="none"/>
              </w:rPr>
            </w:pPr>
            <w:r>
              <w:rPr>
                <w:kern w:val="1"/>
                <w:sz w:val="24"/>
                <w:highlight w:val="none"/>
              </w:rPr>
              <w:t>合同签订时间</w:t>
            </w:r>
          </w:p>
        </w:tc>
      </w:tr>
      <w:tr w14:paraId="24CA2762">
        <w:tblPrEx>
          <w:tblCellMar>
            <w:top w:w="0" w:type="dxa"/>
            <w:left w:w="108" w:type="dxa"/>
            <w:bottom w:w="0" w:type="dxa"/>
            <w:right w:w="108" w:type="dxa"/>
          </w:tblCellMar>
        </w:tblPrEx>
        <w:trPr>
          <w:trHeight w:val="479"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5DEB11B6">
            <w:pPr>
              <w:autoSpaceDE w:val="0"/>
              <w:autoSpaceDN w:val="0"/>
              <w:spacing w:line="360" w:lineRule="auto"/>
              <w:jc w:val="center"/>
              <w:rPr>
                <w:kern w:val="1"/>
                <w:sz w:val="24"/>
                <w:highlight w:val="none"/>
              </w:rPr>
            </w:pPr>
            <w:r>
              <w:rPr>
                <w:kern w:val="1"/>
                <w:sz w:val="24"/>
                <w:highlight w:val="none"/>
              </w:rPr>
              <w:t>1</w:t>
            </w:r>
          </w:p>
        </w:tc>
        <w:tc>
          <w:tcPr>
            <w:tcW w:w="1423" w:type="pct"/>
            <w:tcBorders>
              <w:top w:val="single" w:color="auto" w:sz="6" w:space="0"/>
              <w:left w:val="single" w:color="auto" w:sz="6" w:space="0"/>
              <w:bottom w:val="single" w:color="auto" w:sz="6" w:space="0"/>
              <w:right w:val="single" w:color="auto" w:sz="6" w:space="0"/>
            </w:tcBorders>
            <w:vAlign w:val="center"/>
          </w:tcPr>
          <w:p w14:paraId="1E136709">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69648EAC">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51C2447C">
            <w:pPr>
              <w:autoSpaceDE w:val="0"/>
              <w:autoSpaceDN w:val="0"/>
              <w:spacing w:line="360" w:lineRule="auto"/>
              <w:rPr>
                <w:kern w:val="1"/>
                <w:sz w:val="24"/>
                <w:highlight w:val="none"/>
              </w:rPr>
            </w:pPr>
          </w:p>
        </w:tc>
      </w:tr>
      <w:tr w14:paraId="1DA50D70">
        <w:tblPrEx>
          <w:tblCellMar>
            <w:top w:w="0" w:type="dxa"/>
            <w:left w:w="108" w:type="dxa"/>
            <w:bottom w:w="0" w:type="dxa"/>
            <w:right w:w="108" w:type="dxa"/>
          </w:tblCellMar>
        </w:tblPrEx>
        <w:trPr>
          <w:trHeight w:val="473"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7A55A860">
            <w:pPr>
              <w:autoSpaceDE w:val="0"/>
              <w:autoSpaceDN w:val="0"/>
              <w:spacing w:line="360" w:lineRule="auto"/>
              <w:jc w:val="center"/>
              <w:rPr>
                <w:kern w:val="1"/>
                <w:sz w:val="24"/>
                <w:highlight w:val="none"/>
              </w:rPr>
            </w:pPr>
            <w:r>
              <w:rPr>
                <w:kern w:val="1"/>
                <w:sz w:val="24"/>
                <w:highlight w:val="none"/>
              </w:rPr>
              <w:t>2</w:t>
            </w:r>
          </w:p>
        </w:tc>
        <w:tc>
          <w:tcPr>
            <w:tcW w:w="1423" w:type="pct"/>
            <w:tcBorders>
              <w:top w:val="single" w:color="auto" w:sz="6" w:space="0"/>
              <w:left w:val="single" w:color="auto" w:sz="6" w:space="0"/>
              <w:bottom w:val="single" w:color="auto" w:sz="6" w:space="0"/>
              <w:right w:val="single" w:color="auto" w:sz="6" w:space="0"/>
            </w:tcBorders>
            <w:vAlign w:val="center"/>
          </w:tcPr>
          <w:p w14:paraId="4329598B">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245D0E47">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20F97909">
            <w:pPr>
              <w:autoSpaceDE w:val="0"/>
              <w:autoSpaceDN w:val="0"/>
              <w:spacing w:line="360" w:lineRule="auto"/>
              <w:rPr>
                <w:kern w:val="1"/>
                <w:sz w:val="24"/>
                <w:highlight w:val="none"/>
              </w:rPr>
            </w:pPr>
          </w:p>
        </w:tc>
      </w:tr>
      <w:tr w14:paraId="49899C3C">
        <w:trPr>
          <w:trHeight w:val="473"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600139E2">
            <w:pPr>
              <w:autoSpaceDE w:val="0"/>
              <w:autoSpaceDN w:val="0"/>
              <w:spacing w:line="360" w:lineRule="auto"/>
              <w:jc w:val="center"/>
              <w:rPr>
                <w:kern w:val="1"/>
                <w:sz w:val="24"/>
                <w:highlight w:val="none"/>
              </w:rPr>
            </w:pPr>
            <w:r>
              <w:rPr>
                <w:kern w:val="1"/>
                <w:sz w:val="24"/>
                <w:highlight w:val="none"/>
              </w:rPr>
              <w:t>3</w:t>
            </w:r>
          </w:p>
        </w:tc>
        <w:tc>
          <w:tcPr>
            <w:tcW w:w="1423" w:type="pct"/>
            <w:tcBorders>
              <w:top w:val="single" w:color="auto" w:sz="6" w:space="0"/>
              <w:left w:val="single" w:color="auto" w:sz="6" w:space="0"/>
              <w:bottom w:val="single" w:color="auto" w:sz="6" w:space="0"/>
              <w:right w:val="single" w:color="auto" w:sz="6" w:space="0"/>
            </w:tcBorders>
            <w:vAlign w:val="center"/>
          </w:tcPr>
          <w:p w14:paraId="2A1675C9">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3AB15BF6">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4121D232">
            <w:pPr>
              <w:autoSpaceDE w:val="0"/>
              <w:autoSpaceDN w:val="0"/>
              <w:spacing w:line="360" w:lineRule="auto"/>
              <w:rPr>
                <w:kern w:val="1"/>
                <w:sz w:val="24"/>
                <w:highlight w:val="none"/>
              </w:rPr>
            </w:pPr>
          </w:p>
        </w:tc>
      </w:tr>
      <w:tr w14:paraId="1BAB8C23">
        <w:tblPrEx>
          <w:tblCellMar>
            <w:top w:w="0" w:type="dxa"/>
            <w:left w:w="108" w:type="dxa"/>
            <w:bottom w:w="0" w:type="dxa"/>
            <w:right w:w="108" w:type="dxa"/>
          </w:tblCellMar>
        </w:tblPrEx>
        <w:trPr>
          <w:trHeight w:val="473" w:hRule="atLeast"/>
          <w:jc w:val="center"/>
        </w:trPr>
        <w:tc>
          <w:tcPr>
            <w:tcW w:w="706" w:type="pct"/>
            <w:tcBorders>
              <w:top w:val="single" w:color="auto" w:sz="6" w:space="0"/>
              <w:left w:val="single" w:color="auto" w:sz="6" w:space="0"/>
              <w:bottom w:val="single" w:color="auto" w:sz="6" w:space="0"/>
              <w:right w:val="single" w:color="auto" w:sz="6" w:space="0"/>
            </w:tcBorders>
            <w:vAlign w:val="center"/>
          </w:tcPr>
          <w:p w14:paraId="3F3B7BFE">
            <w:pPr>
              <w:autoSpaceDE w:val="0"/>
              <w:autoSpaceDN w:val="0"/>
              <w:spacing w:line="360" w:lineRule="auto"/>
              <w:jc w:val="center"/>
              <w:rPr>
                <w:kern w:val="1"/>
                <w:sz w:val="24"/>
                <w:highlight w:val="none"/>
              </w:rPr>
            </w:pPr>
            <w:r>
              <w:rPr>
                <w:kern w:val="1"/>
                <w:sz w:val="24"/>
                <w:highlight w:val="none"/>
              </w:rPr>
              <w:t>……</w:t>
            </w:r>
          </w:p>
        </w:tc>
        <w:tc>
          <w:tcPr>
            <w:tcW w:w="1423" w:type="pct"/>
            <w:tcBorders>
              <w:top w:val="single" w:color="auto" w:sz="6" w:space="0"/>
              <w:left w:val="single" w:color="auto" w:sz="6" w:space="0"/>
              <w:bottom w:val="single" w:color="auto" w:sz="6" w:space="0"/>
              <w:right w:val="single" w:color="auto" w:sz="6" w:space="0"/>
            </w:tcBorders>
            <w:vAlign w:val="center"/>
          </w:tcPr>
          <w:p w14:paraId="6810A313">
            <w:pPr>
              <w:autoSpaceDE w:val="0"/>
              <w:autoSpaceDN w:val="0"/>
              <w:spacing w:line="360" w:lineRule="auto"/>
              <w:rPr>
                <w:kern w:val="1"/>
                <w:sz w:val="24"/>
                <w:highlight w:val="none"/>
              </w:rPr>
            </w:pPr>
          </w:p>
        </w:tc>
        <w:tc>
          <w:tcPr>
            <w:tcW w:w="1552" w:type="pct"/>
            <w:tcBorders>
              <w:top w:val="single" w:color="auto" w:sz="6" w:space="0"/>
              <w:left w:val="single" w:color="auto" w:sz="6" w:space="0"/>
              <w:bottom w:val="single" w:color="auto" w:sz="6" w:space="0"/>
              <w:right w:val="single" w:color="auto" w:sz="6" w:space="0"/>
            </w:tcBorders>
            <w:vAlign w:val="center"/>
          </w:tcPr>
          <w:p w14:paraId="614D0E01">
            <w:pPr>
              <w:autoSpaceDE w:val="0"/>
              <w:autoSpaceDN w:val="0"/>
              <w:spacing w:line="360" w:lineRule="auto"/>
              <w:rPr>
                <w:kern w:val="1"/>
                <w:sz w:val="24"/>
                <w:highlight w:val="none"/>
              </w:rPr>
            </w:pPr>
          </w:p>
        </w:tc>
        <w:tc>
          <w:tcPr>
            <w:tcW w:w="1317" w:type="pct"/>
            <w:tcBorders>
              <w:top w:val="single" w:color="auto" w:sz="6" w:space="0"/>
              <w:left w:val="single" w:color="auto" w:sz="6" w:space="0"/>
              <w:bottom w:val="single" w:color="auto" w:sz="6" w:space="0"/>
              <w:right w:val="single" w:color="auto" w:sz="6" w:space="0"/>
            </w:tcBorders>
            <w:vAlign w:val="center"/>
          </w:tcPr>
          <w:p w14:paraId="641F311A">
            <w:pPr>
              <w:autoSpaceDE w:val="0"/>
              <w:autoSpaceDN w:val="0"/>
              <w:spacing w:line="360" w:lineRule="auto"/>
              <w:rPr>
                <w:kern w:val="1"/>
                <w:sz w:val="24"/>
                <w:highlight w:val="none"/>
              </w:rPr>
            </w:pPr>
          </w:p>
        </w:tc>
      </w:tr>
    </w:tbl>
    <w:p w14:paraId="1F2BDE74">
      <w:pPr>
        <w:spacing w:line="500" w:lineRule="atLeast"/>
        <w:rPr>
          <w:b/>
          <w:bCs/>
          <w:sz w:val="24"/>
          <w:highlight w:val="none"/>
        </w:rPr>
      </w:pPr>
      <w:r>
        <w:rPr>
          <w:sz w:val="24"/>
          <w:highlight w:val="none"/>
        </w:rPr>
        <w:t>注：供应商可按上述的格式自行编制，</w:t>
      </w:r>
      <w:r>
        <w:rPr>
          <w:b/>
          <w:bCs/>
          <w:sz w:val="24"/>
          <w:highlight w:val="none"/>
        </w:rPr>
        <w:t>须随表提交相应的合同或成交通知书或合作协议等相关证明文件复印件（原件备查）。</w:t>
      </w:r>
    </w:p>
    <w:p w14:paraId="54270B5F">
      <w:pPr>
        <w:pStyle w:val="6"/>
        <w:ind w:firstLine="210"/>
        <w:rPr>
          <w:rFonts w:ascii="宋体" w:hAnsi="宋体"/>
          <w:color w:val="auto"/>
          <w:highlight w:val="none"/>
        </w:rPr>
      </w:pPr>
    </w:p>
    <w:p w14:paraId="458817DF">
      <w:pPr>
        <w:rPr>
          <w:rFonts w:hint="eastAsia"/>
          <w:color w:val="auto"/>
          <w:highlight w:val="none"/>
        </w:rPr>
        <w:sectPr>
          <w:footerReference r:id="rId10" w:type="default"/>
          <w:pgSz w:w="11907" w:h="16840"/>
          <w:pgMar w:top="1134" w:right="1134" w:bottom="1418" w:left="1418" w:header="510" w:footer="510" w:gutter="0"/>
          <w:cols w:space="720" w:num="1"/>
        </w:sectPr>
      </w:pPr>
    </w:p>
    <w:p w14:paraId="3B6DCE86">
      <w:pPr>
        <w:shd w:val="clear" w:color="auto" w:fill="FFFFFF"/>
        <w:jc w:val="left"/>
        <w:rPr>
          <w:rFonts w:hint="eastAsia" w:ascii="宋体" w:hAnsi="宋体" w:eastAsia="宋体"/>
          <w:b/>
          <w:color w:val="auto"/>
          <w:sz w:val="24"/>
          <w:highlight w:val="none"/>
          <w:lang w:eastAsia="zh-CN"/>
        </w:rPr>
      </w:pPr>
      <w:r>
        <w:rPr>
          <w:rFonts w:hint="eastAsia" w:ascii="宋体" w:hAnsi="宋体"/>
          <w:color w:val="auto"/>
          <w:sz w:val="24"/>
          <w:highlight w:val="none"/>
        </w:rPr>
        <w:t>附件</w:t>
      </w:r>
      <w:r>
        <w:rPr>
          <w:rFonts w:hint="eastAsia" w:ascii="宋体" w:hAnsi="宋体"/>
          <w:color w:val="auto"/>
          <w:sz w:val="24"/>
          <w:highlight w:val="none"/>
          <w:lang w:val="en-US" w:eastAsia="zh-CN"/>
        </w:rPr>
        <w:t>七</w:t>
      </w:r>
    </w:p>
    <w:p w14:paraId="32DE687C">
      <w:pPr>
        <w:spacing w:line="360" w:lineRule="auto"/>
        <w:jc w:val="left"/>
        <w:rPr>
          <w:rStyle w:val="22"/>
          <w:rFonts w:ascii="宋体" w:hAnsi="宋体"/>
          <w:b w:val="0"/>
          <w:bCs/>
          <w:color w:val="auto"/>
          <w:highlight w:val="none"/>
        </w:rPr>
      </w:pPr>
    </w:p>
    <w:p w14:paraId="14C199FA">
      <w:pPr>
        <w:pStyle w:val="7"/>
        <w:spacing w:line="360" w:lineRule="auto"/>
        <w:ind w:firstLine="480" w:firstLineChars="200"/>
        <w:rPr>
          <w:rFonts w:hAnsi="宋体"/>
          <w:color w:val="auto"/>
          <w:sz w:val="24"/>
          <w:highlight w:val="none"/>
        </w:rPr>
      </w:pPr>
      <w:r>
        <w:rPr>
          <w:rFonts w:hAnsi="宋体"/>
          <w:color w:val="auto"/>
          <w:sz w:val="24"/>
          <w:highlight w:val="none"/>
        </w:rPr>
        <w:t>提供</w:t>
      </w:r>
      <w:r>
        <w:rPr>
          <w:rFonts w:hint="eastAsia" w:hAnsi="宋体"/>
          <w:color w:val="auto"/>
          <w:sz w:val="24"/>
          <w:highlight w:val="none"/>
        </w:rPr>
        <w:t>“</w:t>
      </w:r>
      <w:r>
        <w:rPr>
          <w:rFonts w:hint="eastAsia" w:hAnsi="宋体"/>
          <w:b/>
          <w:color w:val="auto"/>
          <w:sz w:val="24"/>
          <w:highlight w:val="none"/>
        </w:rPr>
        <w:t>信用中国</w:t>
      </w:r>
      <w:r>
        <w:rPr>
          <w:rFonts w:hint="eastAsia" w:hAnsi="宋体"/>
          <w:color w:val="auto"/>
          <w:sz w:val="24"/>
          <w:highlight w:val="none"/>
        </w:rPr>
        <w:t>”官方网站的信用记录</w:t>
      </w:r>
      <w:r>
        <w:rPr>
          <w:rFonts w:hAnsi="宋体"/>
          <w:color w:val="auto"/>
          <w:sz w:val="24"/>
          <w:highlight w:val="none"/>
        </w:rPr>
        <w:t>截图</w:t>
      </w:r>
      <w:r>
        <w:rPr>
          <w:rFonts w:hint="eastAsia" w:hAnsi="宋体"/>
          <w:color w:val="auto"/>
          <w:sz w:val="24"/>
          <w:highlight w:val="none"/>
        </w:rPr>
        <w:t>并加盖公章。</w:t>
      </w:r>
    </w:p>
    <w:p w14:paraId="38ECEB2F">
      <w:pPr>
        <w:pStyle w:val="9"/>
        <w:spacing w:line="720" w:lineRule="exact"/>
        <w:ind w:firstLine="0"/>
        <w:rPr>
          <w:rFonts w:ascii="宋体" w:hAnsi="宋体" w:eastAsia="宋体"/>
          <w:color w:val="auto"/>
          <w:highlight w:val="none"/>
        </w:rPr>
      </w:pPr>
    </w:p>
    <w:p w14:paraId="648CD737">
      <w:pPr>
        <w:pStyle w:val="5"/>
        <w:rPr>
          <w:rFonts w:hint="eastAsia" w:ascii="宋体" w:hAnsi="宋体"/>
          <w:color w:val="auto"/>
          <w:highlight w:val="none"/>
        </w:rPr>
        <w:sectPr>
          <w:pgSz w:w="11907" w:h="16840"/>
          <w:pgMar w:top="1134" w:right="1134" w:bottom="1418" w:left="1418" w:header="510" w:footer="510" w:gutter="0"/>
          <w:cols w:space="720" w:num="1"/>
        </w:sectPr>
      </w:pPr>
    </w:p>
    <w:p w14:paraId="713EE004">
      <w:pPr>
        <w:spacing w:line="360" w:lineRule="auto"/>
        <w:jc w:val="left"/>
        <w:rPr>
          <w:rStyle w:val="22"/>
          <w:rFonts w:hint="default" w:ascii="宋体" w:hAnsi="宋体"/>
          <w:color w:val="auto"/>
          <w:highlight w:val="none"/>
          <w:lang w:val="en-US"/>
        </w:rPr>
      </w:pPr>
      <w:r>
        <w:rPr>
          <w:rStyle w:val="22"/>
          <w:rFonts w:hint="eastAsia" w:ascii="宋体" w:hAnsi="宋体"/>
          <w:b w:val="0"/>
          <w:bCs/>
          <w:color w:val="auto"/>
          <w:highlight w:val="none"/>
        </w:rPr>
        <w:t>附件</w:t>
      </w:r>
      <w:r>
        <w:rPr>
          <w:rStyle w:val="22"/>
          <w:rFonts w:hint="eastAsia" w:ascii="宋体" w:hAnsi="宋体"/>
          <w:b w:val="0"/>
          <w:bCs/>
          <w:color w:val="auto"/>
          <w:highlight w:val="none"/>
          <w:lang w:val="en-US"/>
        </w:rPr>
        <w:t>八</w:t>
      </w:r>
    </w:p>
    <w:p w14:paraId="783C2857">
      <w:pPr>
        <w:pStyle w:val="7"/>
        <w:spacing w:line="360" w:lineRule="auto"/>
        <w:ind w:firstLine="480" w:firstLineChars="200"/>
        <w:rPr>
          <w:rFonts w:hAnsi="宋体"/>
          <w:color w:val="auto"/>
          <w:sz w:val="24"/>
          <w:highlight w:val="none"/>
        </w:rPr>
      </w:pPr>
    </w:p>
    <w:p w14:paraId="410460DE">
      <w:pPr>
        <w:pStyle w:val="7"/>
        <w:spacing w:line="360" w:lineRule="auto"/>
        <w:ind w:firstLine="480" w:firstLineChars="200"/>
        <w:rPr>
          <w:rFonts w:hAnsi="宋体"/>
          <w:color w:val="auto"/>
          <w:sz w:val="24"/>
          <w:highlight w:val="none"/>
        </w:rPr>
      </w:pPr>
      <w:r>
        <w:rPr>
          <w:rFonts w:hAnsi="宋体"/>
          <w:color w:val="auto"/>
          <w:sz w:val="24"/>
          <w:highlight w:val="none"/>
        </w:rPr>
        <w:t>提供</w:t>
      </w:r>
      <w:r>
        <w:rPr>
          <w:rFonts w:hint="eastAsia" w:hAnsi="宋体"/>
          <w:color w:val="auto"/>
          <w:sz w:val="24"/>
          <w:highlight w:val="none"/>
        </w:rPr>
        <w:t>“</w:t>
      </w:r>
      <w:r>
        <w:rPr>
          <w:rFonts w:hint="eastAsia" w:hAnsi="宋体"/>
          <w:b/>
          <w:color w:val="auto"/>
          <w:sz w:val="24"/>
          <w:highlight w:val="none"/>
        </w:rPr>
        <w:t>中国政府采购网</w:t>
      </w:r>
      <w:r>
        <w:rPr>
          <w:rFonts w:hint="eastAsia" w:hAnsi="宋体"/>
          <w:color w:val="auto"/>
          <w:sz w:val="24"/>
          <w:highlight w:val="none"/>
        </w:rPr>
        <w:t>”官方网站的信用记录</w:t>
      </w:r>
      <w:r>
        <w:rPr>
          <w:rFonts w:hAnsi="宋体"/>
          <w:color w:val="auto"/>
          <w:sz w:val="24"/>
          <w:highlight w:val="none"/>
        </w:rPr>
        <w:t>截图</w:t>
      </w:r>
      <w:r>
        <w:rPr>
          <w:rFonts w:hint="eastAsia" w:hAnsi="宋体"/>
          <w:color w:val="auto"/>
          <w:sz w:val="24"/>
          <w:highlight w:val="none"/>
        </w:rPr>
        <w:t>并加盖公章。</w:t>
      </w:r>
    </w:p>
    <w:p w14:paraId="061C3F57">
      <w:pPr>
        <w:pStyle w:val="9"/>
        <w:spacing w:line="720" w:lineRule="exact"/>
        <w:ind w:firstLine="0"/>
        <w:rPr>
          <w:rFonts w:ascii="宋体" w:hAnsi="宋体" w:eastAsia="宋体"/>
          <w:color w:val="auto"/>
          <w:highlight w:val="none"/>
        </w:rPr>
      </w:pPr>
    </w:p>
    <w:p w14:paraId="59B10831">
      <w:pPr>
        <w:spacing w:line="360" w:lineRule="auto"/>
        <w:jc w:val="left"/>
        <w:rPr>
          <w:rStyle w:val="22"/>
          <w:rFonts w:hint="default" w:ascii="宋体" w:hAnsi="宋体"/>
          <w:color w:val="auto"/>
          <w:highlight w:val="none"/>
          <w:lang w:val="en-US"/>
        </w:rPr>
      </w:pPr>
      <w:r>
        <w:rPr>
          <w:rFonts w:ascii="宋体" w:hAnsi="宋体"/>
          <w:color w:val="auto"/>
          <w:sz w:val="24"/>
          <w:highlight w:val="none"/>
        </w:rPr>
        <w:br w:type="page"/>
      </w:r>
      <w:r>
        <w:rPr>
          <w:rStyle w:val="22"/>
          <w:rFonts w:hint="eastAsia" w:ascii="宋体" w:hAnsi="宋体"/>
          <w:b w:val="0"/>
          <w:bCs/>
          <w:color w:val="auto"/>
          <w:highlight w:val="none"/>
        </w:rPr>
        <w:t>附件</w:t>
      </w:r>
      <w:r>
        <w:rPr>
          <w:rStyle w:val="22"/>
          <w:rFonts w:hint="eastAsia" w:ascii="宋体" w:hAnsi="宋体"/>
          <w:b w:val="0"/>
          <w:bCs/>
          <w:color w:val="auto"/>
          <w:highlight w:val="none"/>
          <w:lang w:val="en-US"/>
        </w:rPr>
        <w:t>九</w:t>
      </w:r>
    </w:p>
    <w:p w14:paraId="45A28F72">
      <w:pPr>
        <w:pStyle w:val="7"/>
        <w:jc w:val="center"/>
        <w:rPr>
          <w:rFonts w:hAnsi="宋体"/>
          <w:b/>
          <w:bCs/>
          <w:color w:val="auto"/>
          <w:sz w:val="30"/>
          <w:szCs w:val="30"/>
          <w:highlight w:val="none"/>
        </w:rPr>
      </w:pPr>
      <w:r>
        <w:rPr>
          <w:rFonts w:hint="eastAsia" w:hAnsi="宋体"/>
          <w:b/>
          <w:bCs/>
          <w:color w:val="auto"/>
          <w:sz w:val="30"/>
          <w:szCs w:val="30"/>
          <w:highlight w:val="none"/>
        </w:rPr>
        <w:t>诚信廉洁承诺函</w:t>
      </w:r>
    </w:p>
    <w:p w14:paraId="0560ED51">
      <w:pPr>
        <w:pStyle w:val="7"/>
        <w:jc w:val="center"/>
        <w:rPr>
          <w:rFonts w:hint="eastAsia" w:hAnsi="宋体"/>
          <w:b/>
          <w:bCs/>
          <w:color w:val="auto"/>
          <w:sz w:val="30"/>
          <w:szCs w:val="30"/>
          <w:highlight w:val="none"/>
        </w:rPr>
      </w:pPr>
    </w:p>
    <w:p w14:paraId="2FCFAF2B">
      <w:pPr>
        <w:pStyle w:val="7"/>
        <w:spacing w:line="360" w:lineRule="auto"/>
        <w:rPr>
          <w:rFonts w:hint="eastAsia" w:hAnsi="宋体"/>
          <w:color w:val="auto"/>
          <w:sz w:val="24"/>
          <w:highlight w:val="none"/>
        </w:rPr>
      </w:pPr>
      <w:r>
        <w:rPr>
          <w:rFonts w:hint="eastAsia" w:hAnsi="宋体" w:cs="宋体"/>
          <w:color w:val="auto"/>
          <w:sz w:val="24"/>
          <w:highlight w:val="none"/>
          <w:u w:val="single"/>
        </w:rPr>
        <w:t>象山天子岭生物能源有限公司</w:t>
      </w:r>
      <w:r>
        <w:rPr>
          <w:rFonts w:hint="eastAsia" w:hAnsi="宋体"/>
          <w:color w:val="auto"/>
          <w:sz w:val="24"/>
          <w:highlight w:val="none"/>
        </w:rPr>
        <w:t>：</w:t>
      </w:r>
    </w:p>
    <w:p w14:paraId="66E8CED3">
      <w:pPr>
        <w:pStyle w:val="7"/>
        <w:spacing w:line="360" w:lineRule="auto"/>
        <w:rPr>
          <w:rFonts w:hAnsi="宋体"/>
          <w:color w:val="auto"/>
          <w:sz w:val="24"/>
          <w:highlight w:val="none"/>
        </w:rPr>
      </w:pPr>
    </w:p>
    <w:p w14:paraId="72EFBB91">
      <w:pPr>
        <w:pStyle w:val="7"/>
        <w:spacing w:line="360" w:lineRule="auto"/>
        <w:ind w:firstLine="480" w:firstLineChars="200"/>
        <w:rPr>
          <w:rFonts w:hint="eastAsia" w:hAnsi="宋体"/>
          <w:color w:val="auto"/>
          <w:sz w:val="24"/>
          <w:highlight w:val="none"/>
        </w:rPr>
      </w:pPr>
      <w:r>
        <w:rPr>
          <w:rFonts w:hint="eastAsia" w:hAnsi="宋体"/>
          <w:color w:val="auto"/>
          <w:sz w:val="24"/>
          <w:highlight w:val="none"/>
          <w:u w:val="single"/>
        </w:rPr>
        <w:t>（供应商名称）</w:t>
      </w:r>
      <w:r>
        <w:rPr>
          <w:rFonts w:hint="eastAsia" w:hAnsi="宋体"/>
          <w:color w:val="auto"/>
          <w:sz w:val="24"/>
          <w:highlight w:val="none"/>
        </w:rPr>
        <w:t>承诺提供的信息（含报价文件、各项应答及承诺）是真实可靠，并能在价格有效期内忠实履行的。</w:t>
      </w:r>
    </w:p>
    <w:p w14:paraId="5FA6E090">
      <w:pPr>
        <w:pStyle w:val="7"/>
        <w:spacing w:line="360" w:lineRule="auto"/>
        <w:ind w:firstLine="480" w:firstLineChars="200"/>
        <w:rPr>
          <w:rFonts w:hint="eastAsia" w:hAnsi="宋体"/>
          <w:color w:val="auto"/>
          <w:sz w:val="24"/>
          <w:highlight w:val="none"/>
        </w:rPr>
      </w:pPr>
      <w:r>
        <w:rPr>
          <w:rFonts w:hint="eastAsia" w:hAnsi="宋体"/>
          <w:color w:val="auto"/>
          <w:sz w:val="24"/>
          <w:highlight w:val="none"/>
          <w:u w:val="single"/>
        </w:rPr>
        <w:t>（供应商名称）</w:t>
      </w:r>
      <w:r>
        <w:rPr>
          <w:rFonts w:hint="eastAsia" w:hAnsi="宋体"/>
          <w:color w:val="auto"/>
          <w:sz w:val="24"/>
          <w:highlight w:val="none"/>
        </w:rPr>
        <w:t>承诺在双方签订的采购合同中有以下条款：如经采购人查实，供应商在响应时针对本项目提供不实信息，或响应时所作的应答及承诺在成交后无法有效履行，采购人有权终止已签订的合同，没收成交方的履约保证金、单方面解除合同、暂停其供应商资格，如由此给采购人带来损失的，还应赔偿采购人的损失。</w:t>
      </w:r>
    </w:p>
    <w:p w14:paraId="2D523400">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14:paraId="30214EA8">
      <w:pPr>
        <w:pStyle w:val="7"/>
        <w:spacing w:line="360" w:lineRule="auto"/>
        <w:rPr>
          <w:rFonts w:hAnsi="宋体"/>
          <w:color w:val="auto"/>
          <w:sz w:val="24"/>
          <w:highlight w:val="none"/>
        </w:rPr>
      </w:pPr>
    </w:p>
    <w:p w14:paraId="1F8AF7A8">
      <w:pPr>
        <w:pStyle w:val="7"/>
        <w:spacing w:line="360" w:lineRule="auto"/>
        <w:rPr>
          <w:rFonts w:hAnsi="宋体"/>
          <w:color w:val="auto"/>
          <w:sz w:val="24"/>
          <w:highlight w:val="none"/>
        </w:rPr>
      </w:pPr>
    </w:p>
    <w:p w14:paraId="0AB6D5E2">
      <w:pPr>
        <w:pStyle w:val="7"/>
        <w:spacing w:line="360" w:lineRule="auto"/>
        <w:rPr>
          <w:rFonts w:hAnsi="宋体"/>
          <w:color w:val="auto"/>
          <w:sz w:val="24"/>
          <w:highlight w:val="none"/>
        </w:rPr>
      </w:pPr>
    </w:p>
    <w:p w14:paraId="63585EF6">
      <w:pPr>
        <w:pStyle w:val="7"/>
        <w:spacing w:line="360" w:lineRule="auto"/>
        <w:rPr>
          <w:rFonts w:hAnsi="宋体"/>
          <w:color w:val="auto"/>
          <w:sz w:val="24"/>
          <w:highlight w:val="none"/>
        </w:rPr>
      </w:pPr>
    </w:p>
    <w:p w14:paraId="7904790F">
      <w:pPr>
        <w:pStyle w:val="7"/>
        <w:spacing w:line="360" w:lineRule="auto"/>
        <w:rPr>
          <w:rFonts w:hAnsi="宋体"/>
          <w:color w:val="auto"/>
          <w:sz w:val="24"/>
          <w:highlight w:val="none"/>
        </w:rPr>
      </w:pPr>
    </w:p>
    <w:p w14:paraId="3441ED3C">
      <w:pPr>
        <w:pStyle w:val="7"/>
        <w:spacing w:line="360" w:lineRule="auto"/>
        <w:rPr>
          <w:rFonts w:hint="eastAsia" w:hAnsi="宋体"/>
          <w:color w:val="auto"/>
          <w:sz w:val="24"/>
          <w:highlight w:val="none"/>
        </w:rPr>
      </w:pPr>
      <w:r>
        <w:rPr>
          <w:rFonts w:hint="eastAsia" w:hAnsi="宋体"/>
          <w:color w:val="auto"/>
          <w:sz w:val="24"/>
          <w:highlight w:val="none"/>
        </w:rPr>
        <w:t>报价方：（公章）</w:t>
      </w:r>
    </w:p>
    <w:p w14:paraId="0A344FA2">
      <w:pPr>
        <w:pStyle w:val="7"/>
        <w:spacing w:line="360" w:lineRule="auto"/>
        <w:rPr>
          <w:rFonts w:hint="eastAsia" w:hAnsi="宋体"/>
          <w:color w:val="auto"/>
          <w:sz w:val="24"/>
          <w:highlight w:val="none"/>
        </w:rPr>
      </w:pPr>
      <w:r>
        <w:rPr>
          <w:rFonts w:hint="eastAsia" w:hAnsi="宋体"/>
          <w:color w:val="auto"/>
          <w:sz w:val="24"/>
          <w:highlight w:val="none"/>
        </w:rPr>
        <w:t>法定代表人（或其委托代理人）：（签章）</w:t>
      </w:r>
    </w:p>
    <w:p w14:paraId="037757BC">
      <w:pPr>
        <w:pStyle w:val="7"/>
        <w:spacing w:line="360" w:lineRule="auto"/>
        <w:rPr>
          <w:rFonts w:hint="eastAsia" w:hAnsi="宋体"/>
          <w:color w:val="auto"/>
          <w:sz w:val="24"/>
          <w:highlight w:val="none"/>
        </w:rPr>
      </w:pPr>
      <w:r>
        <w:rPr>
          <w:rFonts w:hint="eastAsia" w:hAnsi="宋体"/>
          <w:color w:val="auto"/>
          <w:sz w:val="24"/>
          <w:highlight w:val="none"/>
        </w:rPr>
        <w:t>日期：    年   月   日</w:t>
      </w:r>
    </w:p>
    <w:p w14:paraId="4B61279E">
      <w:pPr>
        <w:pStyle w:val="8"/>
        <w:rPr>
          <w:rFonts w:hint="eastAsia" w:hAnsi="宋体"/>
          <w:color w:val="auto"/>
          <w:sz w:val="24"/>
          <w:highlight w:val="none"/>
        </w:rPr>
      </w:pPr>
    </w:p>
    <w:p w14:paraId="6BCD0A0C">
      <w:pPr>
        <w:rPr>
          <w:rFonts w:hint="eastAsia" w:hAnsi="宋体"/>
          <w:color w:val="auto"/>
          <w:sz w:val="24"/>
          <w:highlight w:val="none"/>
        </w:rPr>
      </w:pPr>
    </w:p>
    <w:p w14:paraId="73BE6B79">
      <w:pPr>
        <w:rPr>
          <w:rFonts w:hint="eastAsia" w:hAnsi="宋体"/>
          <w:color w:val="auto"/>
          <w:sz w:val="24"/>
          <w:highlight w:val="none"/>
        </w:rPr>
      </w:pPr>
    </w:p>
    <w:p w14:paraId="4139CBD9">
      <w:pPr>
        <w:rPr>
          <w:rFonts w:hint="eastAsia" w:hAnsi="宋体"/>
          <w:color w:val="auto"/>
          <w:sz w:val="24"/>
          <w:highlight w:val="none"/>
        </w:rPr>
        <w:sectPr>
          <w:pgSz w:w="11907" w:h="16840"/>
          <w:pgMar w:top="1134" w:right="1134" w:bottom="1418" w:left="1418" w:header="510" w:footer="510" w:gutter="0"/>
          <w:cols w:space="720" w:num="1"/>
        </w:sectPr>
      </w:pPr>
    </w:p>
    <w:p w14:paraId="453B6DAB">
      <w:pPr>
        <w:pStyle w:val="7"/>
        <w:jc w:val="center"/>
        <w:rPr>
          <w:rFonts w:hint="eastAsia"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t>退还响应保证金申请书</w:t>
      </w:r>
      <w:r>
        <w:rPr>
          <w:rFonts w:hint="eastAsia" w:ascii="宋体" w:hAnsi="宋体" w:eastAsia="宋体" w:cs="Times New Roman"/>
          <w:b/>
          <w:bCs/>
          <w:color w:val="auto"/>
          <w:sz w:val="21"/>
          <w:szCs w:val="21"/>
          <w:highlight w:val="none"/>
        </w:rPr>
        <w:t>（不需要装订在</w:t>
      </w:r>
      <w:r>
        <w:rPr>
          <w:rFonts w:hint="eastAsia" w:ascii="宋体" w:hAnsi="宋体" w:eastAsia="宋体" w:cs="Times New Roman"/>
          <w:b/>
          <w:bCs/>
          <w:color w:val="auto"/>
          <w:sz w:val="21"/>
          <w:szCs w:val="21"/>
          <w:highlight w:val="none"/>
          <w:lang w:val="en-US" w:eastAsia="zh-CN"/>
        </w:rPr>
        <w:t>采购</w:t>
      </w:r>
      <w:r>
        <w:rPr>
          <w:rFonts w:hint="eastAsia" w:ascii="宋体" w:hAnsi="宋体" w:eastAsia="宋体" w:cs="Times New Roman"/>
          <w:b/>
          <w:bCs/>
          <w:color w:val="auto"/>
          <w:sz w:val="21"/>
          <w:szCs w:val="21"/>
          <w:highlight w:val="none"/>
        </w:rPr>
        <w:t>文件当中）</w:t>
      </w:r>
    </w:p>
    <w:p w14:paraId="017BB70F">
      <w:pPr>
        <w:pStyle w:val="12"/>
        <w:rPr>
          <w:color w:val="auto"/>
          <w:highlight w:val="none"/>
        </w:rPr>
      </w:pPr>
    </w:p>
    <w:p w14:paraId="39C2704E">
      <w:pPr>
        <w:spacing w:line="360" w:lineRule="auto"/>
        <w:rPr>
          <w:rFonts w:hAnsi="宋体" w:cs="宋体"/>
          <w:color w:val="auto"/>
          <w:sz w:val="24"/>
          <w:highlight w:val="none"/>
        </w:rPr>
      </w:pPr>
      <w:r>
        <w:rPr>
          <w:rFonts w:hint="eastAsia" w:hAnsi="宋体" w:cs="宋体"/>
          <w:color w:val="auto"/>
          <w:sz w:val="24"/>
          <w:highlight w:val="none"/>
        </w:rPr>
        <w:t>致：</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象山天子岭生物能源有限公司</w:t>
      </w:r>
      <w:r>
        <w:rPr>
          <w:rFonts w:hint="eastAsia" w:hAnsi="宋体" w:cs="宋体"/>
          <w:color w:val="auto"/>
          <w:sz w:val="24"/>
          <w:highlight w:val="none"/>
          <w:u w:val="single"/>
        </w:rPr>
        <w:t xml:space="preserve">    </w:t>
      </w:r>
    </w:p>
    <w:p w14:paraId="375B5B30">
      <w:pPr>
        <w:spacing w:line="360" w:lineRule="auto"/>
        <w:ind w:firstLine="480"/>
        <w:rPr>
          <w:rFonts w:hAnsi="宋体" w:cs="宋体"/>
          <w:color w:val="auto"/>
          <w:sz w:val="24"/>
          <w:highlight w:val="none"/>
        </w:rPr>
      </w:pPr>
      <w:r>
        <w:rPr>
          <w:rFonts w:hint="eastAsia" w:hAnsi="宋体" w:cs="宋体"/>
          <w:color w:val="auto"/>
          <w:sz w:val="24"/>
          <w:highlight w:val="none"/>
        </w:rPr>
        <w:t>我公司参加了贵司的</w:t>
      </w:r>
      <w:r>
        <w:rPr>
          <w:rFonts w:hint="eastAsia" w:hAnsi="宋体" w:cs="宋体"/>
          <w:color w:val="auto"/>
          <w:sz w:val="24"/>
          <w:highlight w:val="none"/>
          <w:u w:val="single"/>
        </w:rPr>
        <w:t xml:space="preserve"> </w:t>
      </w:r>
      <w:r>
        <w:rPr>
          <w:rFonts w:hint="eastAsia" w:ascii="宋体" w:hAnsi="宋体"/>
          <w:color w:val="auto"/>
          <w:sz w:val="24"/>
          <w:highlight w:val="none"/>
          <w:u w:val="single"/>
          <w:lang w:eastAsia="zh-CN"/>
        </w:rPr>
        <w:t>2025年聚合氯化铝（PAC）采购项目</w:t>
      </w:r>
      <w:r>
        <w:rPr>
          <w:rFonts w:hint="eastAsia" w:hAnsi="宋体" w:cs="宋体"/>
          <w:color w:val="auto"/>
          <w:sz w:val="24"/>
          <w:highlight w:val="none"/>
          <w:u w:val="single"/>
        </w:rPr>
        <w:t xml:space="preserve"> </w:t>
      </w:r>
      <w:r>
        <w:rPr>
          <w:rFonts w:hint="eastAsia" w:hAnsi="宋体" w:cs="宋体"/>
          <w:color w:val="auto"/>
          <w:sz w:val="24"/>
          <w:highlight w:val="none"/>
        </w:rPr>
        <w:t>（项目编号：</w:t>
      </w:r>
      <w:r>
        <w:rPr>
          <w:rFonts w:hint="eastAsia" w:hAnsi="宋体" w:cs="宋体"/>
          <w:color w:val="auto"/>
          <w:sz w:val="24"/>
          <w:highlight w:val="none"/>
          <w:u w:val="single"/>
        </w:rPr>
        <w:t xml:space="preserve"> 2025-0047 </w:t>
      </w:r>
      <w:r>
        <w:rPr>
          <w:rFonts w:hint="eastAsia" w:hAnsi="宋体" w:cs="宋体"/>
          <w:color w:val="auto"/>
          <w:sz w:val="24"/>
          <w:highlight w:val="none"/>
        </w:rPr>
        <w:t>）的</w:t>
      </w:r>
      <w:r>
        <w:rPr>
          <w:rFonts w:hint="eastAsia" w:hAnsi="宋体" w:cs="宋体"/>
          <w:color w:val="auto"/>
          <w:sz w:val="24"/>
          <w:highlight w:val="none"/>
          <w:lang w:val="en-US" w:eastAsia="zh-CN"/>
        </w:rPr>
        <w:t>报价</w:t>
      </w:r>
      <w:r>
        <w:rPr>
          <w:rFonts w:hint="eastAsia" w:hAnsi="宋体" w:cs="宋体"/>
          <w:color w:val="auto"/>
          <w:sz w:val="24"/>
          <w:highlight w:val="none"/>
        </w:rPr>
        <w:t>，现申请退还该笔</w:t>
      </w:r>
      <w:r>
        <w:rPr>
          <w:rFonts w:hint="eastAsia" w:ascii="宋体" w:hAnsi="宋体" w:eastAsia="宋体" w:cs="宋体"/>
          <w:color w:val="auto"/>
          <w:sz w:val="24"/>
          <w:highlight w:val="none"/>
        </w:rPr>
        <w:t>响应保证金</w:t>
      </w:r>
      <w:r>
        <w:rPr>
          <w:rFonts w:hint="eastAsia" w:hAnsi="宋体" w:cs="宋体"/>
          <w:color w:val="auto"/>
          <w:sz w:val="24"/>
          <w:highlight w:val="none"/>
        </w:rPr>
        <w:t>，本申请书也作为收款凭证。</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14:paraId="44B3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14:paraId="352146BE">
            <w:pPr>
              <w:spacing w:line="360" w:lineRule="auto"/>
              <w:jc w:val="center"/>
              <w:rPr>
                <w:rFonts w:hAnsi="宋体" w:cs="宋体"/>
                <w:color w:val="auto"/>
                <w:sz w:val="24"/>
                <w:highlight w:val="none"/>
              </w:rPr>
            </w:pPr>
            <w:r>
              <w:rPr>
                <w:rFonts w:hint="eastAsia" w:hAnsi="宋体" w:cs="宋体"/>
                <w:color w:val="auto"/>
                <w:sz w:val="24"/>
                <w:highlight w:val="none"/>
              </w:rPr>
              <w:t>申请人信息</w:t>
            </w:r>
          </w:p>
        </w:tc>
        <w:tc>
          <w:tcPr>
            <w:tcW w:w="7729" w:type="dxa"/>
            <w:gridSpan w:val="3"/>
            <w:noWrap w:val="0"/>
            <w:vAlign w:val="center"/>
          </w:tcPr>
          <w:p w14:paraId="29A0646E">
            <w:pPr>
              <w:spacing w:line="360" w:lineRule="auto"/>
              <w:rPr>
                <w:rFonts w:hAnsi="宋体" w:cs="宋体"/>
                <w:color w:val="auto"/>
                <w:sz w:val="24"/>
                <w:highlight w:val="none"/>
              </w:rPr>
            </w:pPr>
            <w:r>
              <w:rPr>
                <w:rFonts w:hint="eastAsia" w:hAnsi="宋体" w:cs="宋体"/>
                <w:color w:val="auto"/>
                <w:sz w:val="24"/>
                <w:highlight w:val="none"/>
              </w:rPr>
              <w:t>供应商（</w:t>
            </w:r>
            <w:r>
              <w:rPr>
                <w:rFonts w:hint="eastAsia" w:hAnsi="宋体" w:cs="宋体"/>
                <w:b/>
                <w:i/>
                <w:color w:val="auto"/>
                <w:sz w:val="24"/>
                <w:highlight w:val="none"/>
              </w:rPr>
              <w:t>加盖公章或财务专用章</w:t>
            </w:r>
            <w:r>
              <w:rPr>
                <w:rFonts w:hint="eastAsia" w:hAnsi="宋体" w:cs="宋体"/>
                <w:color w:val="auto"/>
                <w:sz w:val="24"/>
                <w:highlight w:val="none"/>
              </w:rPr>
              <w:t xml:space="preserve">）： </w:t>
            </w:r>
          </w:p>
        </w:tc>
      </w:tr>
      <w:tr w14:paraId="78ED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134DABDF">
            <w:pPr>
              <w:spacing w:line="360" w:lineRule="auto"/>
              <w:jc w:val="center"/>
              <w:rPr>
                <w:rFonts w:hAnsi="宋体" w:cs="宋体"/>
                <w:color w:val="auto"/>
                <w:sz w:val="24"/>
                <w:highlight w:val="none"/>
              </w:rPr>
            </w:pPr>
          </w:p>
        </w:tc>
        <w:tc>
          <w:tcPr>
            <w:tcW w:w="4084" w:type="dxa"/>
            <w:noWrap w:val="0"/>
            <w:vAlign w:val="center"/>
          </w:tcPr>
          <w:p w14:paraId="2CF24C3E">
            <w:pPr>
              <w:spacing w:line="360" w:lineRule="auto"/>
              <w:rPr>
                <w:rFonts w:hAnsi="宋体" w:cs="宋体"/>
                <w:color w:val="auto"/>
                <w:sz w:val="24"/>
                <w:highlight w:val="none"/>
              </w:rPr>
            </w:pPr>
            <w:r>
              <w:rPr>
                <w:rFonts w:hint="eastAsia" w:hAnsi="宋体" w:cs="宋体"/>
                <w:color w:val="auto"/>
                <w:sz w:val="24"/>
                <w:highlight w:val="none"/>
              </w:rPr>
              <w:t>财务联系人：</w:t>
            </w:r>
          </w:p>
        </w:tc>
        <w:tc>
          <w:tcPr>
            <w:tcW w:w="1607" w:type="dxa"/>
            <w:noWrap w:val="0"/>
            <w:vAlign w:val="center"/>
          </w:tcPr>
          <w:p w14:paraId="119A9224">
            <w:pPr>
              <w:spacing w:line="360" w:lineRule="auto"/>
              <w:rPr>
                <w:rFonts w:hAnsi="宋体" w:cs="宋体"/>
                <w:color w:val="auto"/>
                <w:sz w:val="24"/>
                <w:highlight w:val="none"/>
              </w:rPr>
            </w:pPr>
            <w:r>
              <w:rPr>
                <w:rFonts w:hint="eastAsia" w:hAnsi="宋体" w:cs="宋体"/>
                <w:color w:val="auto"/>
                <w:sz w:val="24"/>
                <w:highlight w:val="none"/>
              </w:rPr>
              <w:t>联系方式</w:t>
            </w:r>
          </w:p>
        </w:tc>
        <w:tc>
          <w:tcPr>
            <w:tcW w:w="2038" w:type="dxa"/>
            <w:noWrap w:val="0"/>
            <w:vAlign w:val="center"/>
          </w:tcPr>
          <w:p w14:paraId="181DB93C">
            <w:pPr>
              <w:spacing w:line="360" w:lineRule="auto"/>
              <w:rPr>
                <w:rFonts w:hAnsi="宋体" w:cs="宋体"/>
                <w:color w:val="auto"/>
                <w:sz w:val="24"/>
                <w:highlight w:val="none"/>
              </w:rPr>
            </w:pPr>
          </w:p>
        </w:tc>
      </w:tr>
      <w:tr w14:paraId="6E80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6975564C">
            <w:pPr>
              <w:spacing w:line="360" w:lineRule="auto"/>
              <w:jc w:val="center"/>
              <w:rPr>
                <w:rFonts w:hAnsi="宋体" w:cs="宋体"/>
                <w:color w:val="auto"/>
                <w:sz w:val="24"/>
                <w:highlight w:val="none"/>
              </w:rPr>
            </w:pPr>
          </w:p>
        </w:tc>
        <w:tc>
          <w:tcPr>
            <w:tcW w:w="4084" w:type="dxa"/>
            <w:noWrap w:val="0"/>
            <w:vAlign w:val="center"/>
          </w:tcPr>
          <w:p w14:paraId="512D1B07">
            <w:pPr>
              <w:spacing w:line="360" w:lineRule="auto"/>
              <w:rPr>
                <w:rFonts w:hAnsi="宋体" w:cs="宋体"/>
                <w:color w:val="auto"/>
                <w:sz w:val="24"/>
                <w:highlight w:val="none"/>
              </w:rPr>
            </w:pPr>
            <w:r>
              <w:rPr>
                <w:rFonts w:hint="eastAsia" w:hAnsi="宋体" w:cs="宋体"/>
                <w:color w:val="auto"/>
                <w:sz w:val="24"/>
                <w:highlight w:val="none"/>
              </w:rPr>
              <w:t>项目负责人：</w:t>
            </w:r>
          </w:p>
        </w:tc>
        <w:tc>
          <w:tcPr>
            <w:tcW w:w="1607" w:type="dxa"/>
            <w:noWrap w:val="0"/>
            <w:vAlign w:val="center"/>
          </w:tcPr>
          <w:p w14:paraId="36C3EBB4">
            <w:pPr>
              <w:spacing w:line="360" w:lineRule="auto"/>
              <w:rPr>
                <w:rFonts w:hAnsi="宋体" w:cs="宋体"/>
                <w:color w:val="auto"/>
                <w:sz w:val="24"/>
                <w:highlight w:val="none"/>
              </w:rPr>
            </w:pPr>
            <w:r>
              <w:rPr>
                <w:rFonts w:hint="eastAsia" w:hAnsi="宋体" w:cs="宋体"/>
                <w:color w:val="auto"/>
                <w:sz w:val="24"/>
                <w:highlight w:val="none"/>
              </w:rPr>
              <w:t>联系方式</w:t>
            </w:r>
          </w:p>
        </w:tc>
        <w:tc>
          <w:tcPr>
            <w:tcW w:w="2038" w:type="dxa"/>
            <w:noWrap w:val="0"/>
            <w:vAlign w:val="center"/>
          </w:tcPr>
          <w:p w14:paraId="2E0F8D37">
            <w:pPr>
              <w:spacing w:line="360" w:lineRule="auto"/>
              <w:rPr>
                <w:rFonts w:hAnsi="宋体" w:cs="宋体"/>
                <w:color w:val="auto"/>
                <w:sz w:val="24"/>
                <w:highlight w:val="none"/>
              </w:rPr>
            </w:pPr>
          </w:p>
        </w:tc>
      </w:tr>
      <w:tr w14:paraId="4127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2FBF99B1">
            <w:pPr>
              <w:spacing w:line="360" w:lineRule="auto"/>
              <w:jc w:val="center"/>
              <w:rPr>
                <w:rFonts w:hAnsi="宋体" w:cs="宋体"/>
                <w:color w:val="auto"/>
                <w:sz w:val="24"/>
                <w:highlight w:val="none"/>
              </w:rPr>
            </w:pPr>
          </w:p>
        </w:tc>
        <w:tc>
          <w:tcPr>
            <w:tcW w:w="7729" w:type="dxa"/>
            <w:gridSpan w:val="3"/>
            <w:noWrap w:val="0"/>
            <w:vAlign w:val="center"/>
          </w:tcPr>
          <w:p w14:paraId="488E22C2">
            <w:pPr>
              <w:spacing w:line="360" w:lineRule="auto"/>
              <w:rPr>
                <w:rFonts w:hAnsi="宋体" w:cs="宋体"/>
                <w:color w:val="auto"/>
                <w:sz w:val="24"/>
                <w:highlight w:val="none"/>
              </w:rPr>
            </w:pPr>
            <w:r>
              <w:rPr>
                <w:rFonts w:hint="eastAsia" w:ascii="宋体" w:hAnsi="宋体" w:eastAsia="宋体" w:cs="宋体"/>
                <w:color w:val="auto"/>
                <w:sz w:val="24"/>
                <w:highlight w:val="none"/>
              </w:rPr>
              <w:t>响应保证金</w:t>
            </w:r>
            <w:r>
              <w:rPr>
                <w:rFonts w:hint="eastAsia" w:hAnsi="宋体" w:cs="宋体"/>
                <w:color w:val="auto"/>
                <w:sz w:val="24"/>
                <w:highlight w:val="none"/>
              </w:rPr>
              <w:t>金额（大写）：人民币</w:t>
            </w:r>
          </w:p>
          <w:p w14:paraId="691074CA">
            <w:pPr>
              <w:spacing w:line="360" w:lineRule="auto"/>
              <w:rPr>
                <w:rFonts w:hAnsi="宋体" w:cs="宋体"/>
                <w:color w:val="auto"/>
                <w:sz w:val="24"/>
                <w:highlight w:val="none"/>
              </w:rPr>
            </w:pPr>
            <w:r>
              <w:rPr>
                <w:rFonts w:hint="eastAsia" w:hAnsi="宋体" w:cs="宋体"/>
                <w:color w:val="auto"/>
                <w:sz w:val="24"/>
                <w:highlight w:val="none"/>
              </w:rPr>
              <w:t xml:space="preserve">              （小写）：</w:t>
            </w:r>
          </w:p>
        </w:tc>
      </w:tr>
      <w:tr w14:paraId="37DB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52D363D5">
            <w:pPr>
              <w:spacing w:line="360" w:lineRule="auto"/>
              <w:jc w:val="center"/>
              <w:rPr>
                <w:rFonts w:hAnsi="宋体" w:cs="宋体"/>
                <w:color w:val="auto"/>
                <w:sz w:val="24"/>
                <w:highlight w:val="none"/>
              </w:rPr>
            </w:pPr>
          </w:p>
        </w:tc>
        <w:tc>
          <w:tcPr>
            <w:tcW w:w="7729" w:type="dxa"/>
            <w:gridSpan w:val="3"/>
            <w:noWrap w:val="0"/>
            <w:vAlign w:val="center"/>
          </w:tcPr>
          <w:p w14:paraId="5F8F1F5E">
            <w:pPr>
              <w:spacing w:line="360" w:lineRule="auto"/>
              <w:rPr>
                <w:rFonts w:hAnsi="宋体" w:cs="宋体"/>
                <w:color w:val="auto"/>
                <w:sz w:val="24"/>
                <w:highlight w:val="none"/>
              </w:rPr>
            </w:pPr>
            <w:r>
              <w:rPr>
                <w:rFonts w:hint="eastAsia" w:ascii="宋体" w:hAnsi="宋体" w:eastAsia="宋体" w:cs="宋体"/>
                <w:color w:val="auto"/>
                <w:sz w:val="24"/>
                <w:highlight w:val="none"/>
              </w:rPr>
              <w:t>响应保证金</w:t>
            </w:r>
            <w:r>
              <w:rPr>
                <w:rFonts w:hint="eastAsia" w:hAnsi="宋体" w:cs="宋体"/>
                <w:color w:val="auto"/>
                <w:sz w:val="24"/>
                <w:highlight w:val="none"/>
              </w:rPr>
              <w:t>提交形式： □转账支票  □其他</w:t>
            </w:r>
          </w:p>
        </w:tc>
      </w:tr>
      <w:tr w14:paraId="5000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noWrap w:val="0"/>
            <w:vAlign w:val="center"/>
          </w:tcPr>
          <w:p w14:paraId="0C1F299A">
            <w:pPr>
              <w:spacing w:line="360" w:lineRule="auto"/>
              <w:jc w:val="center"/>
              <w:rPr>
                <w:rFonts w:hAnsi="宋体" w:cs="宋体"/>
                <w:color w:val="auto"/>
                <w:sz w:val="24"/>
                <w:highlight w:val="none"/>
              </w:rPr>
            </w:pPr>
            <w:r>
              <w:rPr>
                <w:rFonts w:hint="eastAsia" w:hAnsi="宋体" w:cs="宋体"/>
                <w:color w:val="auto"/>
                <w:sz w:val="24"/>
                <w:highlight w:val="none"/>
              </w:rPr>
              <w:t>退还账户信息</w:t>
            </w:r>
          </w:p>
        </w:tc>
        <w:tc>
          <w:tcPr>
            <w:tcW w:w="7729" w:type="dxa"/>
            <w:gridSpan w:val="3"/>
            <w:noWrap w:val="0"/>
            <w:vAlign w:val="center"/>
          </w:tcPr>
          <w:p w14:paraId="2ED52EBA">
            <w:pPr>
              <w:spacing w:line="360" w:lineRule="auto"/>
              <w:rPr>
                <w:rFonts w:hAnsi="宋体" w:cs="宋体"/>
                <w:color w:val="auto"/>
                <w:sz w:val="24"/>
                <w:highlight w:val="none"/>
              </w:rPr>
            </w:pPr>
            <w:r>
              <w:rPr>
                <w:rFonts w:hint="eastAsia" w:hAnsi="宋体" w:cs="宋体"/>
                <w:color w:val="auto"/>
                <w:sz w:val="24"/>
                <w:highlight w:val="none"/>
              </w:rPr>
              <w:t xml:space="preserve">单位名称： </w:t>
            </w:r>
          </w:p>
        </w:tc>
      </w:tr>
      <w:tr w14:paraId="1DF9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0E00B17E">
            <w:pPr>
              <w:spacing w:line="360" w:lineRule="auto"/>
              <w:rPr>
                <w:rFonts w:hAnsi="宋体" w:cs="宋体"/>
                <w:color w:val="auto"/>
                <w:sz w:val="24"/>
                <w:highlight w:val="none"/>
              </w:rPr>
            </w:pPr>
          </w:p>
        </w:tc>
        <w:tc>
          <w:tcPr>
            <w:tcW w:w="7729" w:type="dxa"/>
            <w:gridSpan w:val="3"/>
            <w:noWrap w:val="0"/>
            <w:vAlign w:val="center"/>
          </w:tcPr>
          <w:p w14:paraId="4AE2A164">
            <w:pPr>
              <w:spacing w:line="360" w:lineRule="auto"/>
              <w:rPr>
                <w:rFonts w:hAnsi="宋体" w:cs="宋体"/>
                <w:color w:val="auto"/>
                <w:sz w:val="24"/>
                <w:highlight w:val="none"/>
              </w:rPr>
            </w:pPr>
            <w:r>
              <w:rPr>
                <w:rFonts w:hint="eastAsia" w:hAnsi="宋体" w:cs="宋体"/>
                <w:color w:val="auto"/>
                <w:sz w:val="24"/>
                <w:highlight w:val="none"/>
              </w:rPr>
              <w:t>开户银行：</w:t>
            </w:r>
          </w:p>
        </w:tc>
      </w:tr>
      <w:tr w14:paraId="67B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2C5511A8">
            <w:pPr>
              <w:spacing w:line="360" w:lineRule="auto"/>
              <w:rPr>
                <w:rFonts w:hAnsi="宋体" w:cs="宋体"/>
                <w:color w:val="auto"/>
                <w:sz w:val="24"/>
                <w:highlight w:val="none"/>
              </w:rPr>
            </w:pPr>
          </w:p>
        </w:tc>
        <w:tc>
          <w:tcPr>
            <w:tcW w:w="7729" w:type="dxa"/>
            <w:gridSpan w:val="3"/>
            <w:noWrap w:val="0"/>
            <w:vAlign w:val="center"/>
          </w:tcPr>
          <w:p w14:paraId="3CA6BC3F">
            <w:pPr>
              <w:spacing w:line="360" w:lineRule="auto"/>
              <w:rPr>
                <w:rFonts w:hAnsi="宋体" w:cs="宋体"/>
                <w:color w:val="auto"/>
                <w:sz w:val="24"/>
                <w:highlight w:val="none"/>
              </w:rPr>
            </w:pPr>
            <w:r>
              <w:rPr>
                <w:rFonts w:hint="eastAsia" w:hAnsi="宋体" w:cs="宋体"/>
                <w:color w:val="auto"/>
                <w:sz w:val="24"/>
                <w:highlight w:val="none"/>
              </w:rPr>
              <w:t>银行账号：</w:t>
            </w:r>
          </w:p>
        </w:tc>
      </w:tr>
      <w:tr w14:paraId="428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noWrap w:val="0"/>
            <w:vAlign w:val="center"/>
          </w:tcPr>
          <w:p w14:paraId="7ED4EB4E">
            <w:pPr>
              <w:spacing w:line="360" w:lineRule="auto"/>
              <w:rPr>
                <w:rFonts w:hAnsi="宋体" w:cs="宋体"/>
                <w:color w:val="auto"/>
                <w:sz w:val="24"/>
                <w:highlight w:val="none"/>
              </w:rPr>
            </w:pPr>
          </w:p>
        </w:tc>
        <w:tc>
          <w:tcPr>
            <w:tcW w:w="7729" w:type="dxa"/>
            <w:gridSpan w:val="3"/>
            <w:noWrap w:val="0"/>
            <w:vAlign w:val="center"/>
          </w:tcPr>
          <w:p w14:paraId="5B1CEC8D">
            <w:pPr>
              <w:spacing w:line="360" w:lineRule="auto"/>
              <w:rPr>
                <w:rFonts w:hint="eastAsia" w:hAnsi="宋体" w:cs="宋体"/>
                <w:color w:val="auto"/>
                <w:sz w:val="24"/>
                <w:highlight w:val="none"/>
              </w:rPr>
            </w:pPr>
            <w:r>
              <w:rPr>
                <w:rFonts w:hint="eastAsia" w:hAnsi="宋体" w:cs="宋体"/>
                <w:color w:val="auto"/>
                <w:sz w:val="24"/>
                <w:highlight w:val="none"/>
              </w:rPr>
              <w:t>银行</w:t>
            </w:r>
            <w:r>
              <w:rPr>
                <w:rFonts w:hint="eastAsia" w:hAnsi="宋体" w:cs="宋体"/>
                <w:color w:val="auto"/>
                <w:sz w:val="24"/>
                <w:highlight w:val="none"/>
                <w:lang w:val="en-US" w:eastAsia="zh-CN"/>
              </w:rPr>
              <w:t>行</w:t>
            </w:r>
            <w:r>
              <w:rPr>
                <w:rFonts w:hint="eastAsia" w:hAnsi="宋体" w:cs="宋体"/>
                <w:color w:val="auto"/>
                <w:sz w:val="24"/>
                <w:highlight w:val="none"/>
              </w:rPr>
              <w:t>号：</w:t>
            </w:r>
          </w:p>
        </w:tc>
      </w:tr>
    </w:tbl>
    <w:p w14:paraId="12A9E3B0">
      <w:pPr>
        <w:pStyle w:val="5"/>
        <w:rPr>
          <w:rFonts w:hAnsi="宋体" w:cs="宋体"/>
          <w:color w:val="auto"/>
          <w:sz w:val="24"/>
          <w:highlight w:val="none"/>
        </w:rPr>
      </w:pPr>
    </w:p>
    <w:p w14:paraId="42A2CC0B">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Ansi="宋体" w:cs="宋体"/>
          <w:b/>
          <w:color w:val="auto"/>
          <w:sz w:val="24"/>
          <w:highlight w:val="none"/>
        </w:rPr>
      </w:pPr>
      <w:r>
        <w:rPr>
          <w:rFonts w:hint="eastAsia" w:hAnsi="宋体" w:cs="宋体"/>
          <w:b/>
          <w:color w:val="auto"/>
          <w:sz w:val="24"/>
          <w:highlight w:val="none"/>
        </w:rPr>
        <w:t>收 据</w:t>
      </w:r>
    </w:p>
    <w:p w14:paraId="75C6C479">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color w:val="auto"/>
          <w:sz w:val="24"/>
          <w:highlight w:val="none"/>
        </w:rPr>
      </w:pPr>
      <w:r>
        <w:rPr>
          <w:rFonts w:hint="eastAsia" w:hAnsi="宋体" w:cs="宋体"/>
          <w:color w:val="auto"/>
          <w:sz w:val="24"/>
          <w:highlight w:val="none"/>
        </w:rPr>
        <w:t>兹收到</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象山天子岭生物能源有限公司</w:t>
      </w:r>
      <w:r>
        <w:rPr>
          <w:rFonts w:hint="eastAsia" w:hAnsi="宋体" w:cs="宋体"/>
          <w:color w:val="auto"/>
          <w:sz w:val="24"/>
          <w:highlight w:val="none"/>
          <w:u w:val="single"/>
        </w:rPr>
        <w:t xml:space="preserve">    </w:t>
      </w:r>
      <w:r>
        <w:rPr>
          <w:rFonts w:hint="eastAsia" w:hAnsi="宋体" w:cs="宋体"/>
          <w:color w:val="auto"/>
          <w:sz w:val="24"/>
          <w:highlight w:val="none"/>
        </w:rPr>
        <w:t>退回</w:t>
      </w:r>
      <w:r>
        <w:rPr>
          <w:rFonts w:hint="eastAsia" w:hAnsi="宋体" w:cs="宋体"/>
          <w:color w:val="auto"/>
          <w:sz w:val="24"/>
          <w:highlight w:val="none"/>
          <w:u w:val="single"/>
        </w:rPr>
        <w:t xml:space="preserve"> </w:t>
      </w:r>
      <w:r>
        <w:rPr>
          <w:rFonts w:hint="eastAsia" w:ascii="宋体" w:hAnsi="宋体"/>
          <w:color w:val="auto"/>
          <w:sz w:val="24"/>
          <w:highlight w:val="none"/>
          <w:u w:val="single"/>
          <w:lang w:eastAsia="zh-CN"/>
        </w:rPr>
        <w:t>2025年聚合氯化铝（PAC）采购项目</w:t>
      </w:r>
      <w:r>
        <w:rPr>
          <w:rFonts w:hint="eastAsia" w:hAnsi="宋体" w:cs="宋体"/>
          <w:color w:val="auto"/>
          <w:sz w:val="24"/>
          <w:highlight w:val="none"/>
          <w:u w:val="single"/>
        </w:rPr>
        <w:t xml:space="preserve"> </w:t>
      </w:r>
      <w:r>
        <w:rPr>
          <w:rFonts w:hint="eastAsia" w:hAnsi="宋体" w:cs="宋体"/>
          <w:color w:val="auto"/>
          <w:sz w:val="24"/>
          <w:highlight w:val="none"/>
        </w:rPr>
        <w:t>（项目编号</w:t>
      </w:r>
      <w:r>
        <w:rPr>
          <w:rFonts w:hint="eastAsia" w:hAnsi="宋体" w:cs="宋体"/>
          <w:color w:val="auto"/>
          <w:sz w:val="24"/>
          <w:highlight w:val="none"/>
          <w:u w:val="single"/>
        </w:rPr>
        <w:t xml:space="preserve"> 2025-0047 </w:t>
      </w:r>
      <w:r>
        <w:rPr>
          <w:rFonts w:hint="eastAsia" w:hAnsi="宋体" w:cs="宋体"/>
          <w:color w:val="auto"/>
          <w:sz w:val="24"/>
          <w:highlight w:val="none"/>
        </w:rPr>
        <w:t>）的</w:t>
      </w:r>
      <w:r>
        <w:rPr>
          <w:rFonts w:hint="eastAsia" w:ascii="宋体" w:hAnsi="宋体" w:eastAsia="宋体" w:cs="宋体"/>
          <w:color w:val="auto"/>
          <w:sz w:val="24"/>
          <w:highlight w:val="none"/>
        </w:rPr>
        <w:t>响应保证金</w:t>
      </w:r>
      <w:r>
        <w:rPr>
          <w:rFonts w:hint="eastAsia" w:hAnsi="宋体" w:cs="宋体"/>
          <w:color w:val="auto"/>
          <w:sz w:val="24"/>
          <w:highlight w:val="none"/>
        </w:rPr>
        <w:t>。金额为：大写（人民币：             ），小写（RMB          ）。</w:t>
      </w:r>
    </w:p>
    <w:p w14:paraId="379C0809">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color w:val="auto"/>
          <w:sz w:val="24"/>
          <w:highlight w:val="none"/>
        </w:rPr>
      </w:pPr>
      <w:r>
        <w:rPr>
          <w:rFonts w:hint="eastAsia" w:hAnsi="宋体" w:cs="宋体"/>
          <w:color w:val="auto"/>
          <w:sz w:val="24"/>
          <w:highlight w:val="none"/>
        </w:rPr>
        <w:t xml:space="preserve">                               </w:t>
      </w:r>
    </w:p>
    <w:p w14:paraId="0EF01BA4">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color w:val="auto"/>
          <w:sz w:val="24"/>
          <w:highlight w:val="none"/>
        </w:rPr>
      </w:pPr>
      <w:r>
        <w:rPr>
          <w:rFonts w:hint="eastAsia" w:hAnsi="宋体" w:cs="宋体"/>
          <w:color w:val="auto"/>
          <w:sz w:val="24"/>
          <w:highlight w:val="none"/>
        </w:rPr>
        <w:t xml:space="preserve"> 收款单位名称：        （</w:t>
      </w:r>
      <w:r>
        <w:rPr>
          <w:rFonts w:hint="eastAsia" w:hAnsi="宋体" w:cs="宋体"/>
          <w:b/>
          <w:i/>
          <w:color w:val="auto"/>
          <w:sz w:val="24"/>
          <w:highlight w:val="none"/>
        </w:rPr>
        <w:t>加盖公章或财务专用章</w:t>
      </w:r>
      <w:r>
        <w:rPr>
          <w:rFonts w:hint="eastAsia" w:hAnsi="宋体" w:cs="宋体"/>
          <w:color w:val="auto"/>
          <w:sz w:val="24"/>
          <w:highlight w:val="none"/>
        </w:rPr>
        <w:t>）</w:t>
      </w:r>
    </w:p>
    <w:p w14:paraId="5CFBD054">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color w:val="auto"/>
          <w:sz w:val="24"/>
          <w:highlight w:val="none"/>
        </w:rPr>
      </w:pPr>
      <w:r>
        <w:rPr>
          <w:rFonts w:hint="eastAsia" w:hAnsi="宋体" w:cs="宋体"/>
          <w:color w:val="auto"/>
          <w:sz w:val="24"/>
          <w:highlight w:val="none"/>
        </w:rPr>
        <w:t xml:space="preserve"> 日期：                                                                       </w:t>
      </w:r>
    </w:p>
    <w:p w14:paraId="7977531F">
      <w:pPr>
        <w:pStyle w:val="13"/>
        <w:jc w:val="both"/>
        <w:outlineLvl w:val="9"/>
        <w:rPr>
          <w:color w:val="auto"/>
          <w:highlight w:val="none"/>
        </w:rPr>
      </w:pPr>
      <w:r>
        <w:rPr>
          <w:rFonts w:hint="eastAsia" w:hAnsi="宋体" w:cs="宋体"/>
          <w:color w:val="auto"/>
          <w:kern w:val="2"/>
          <w:sz w:val="24"/>
          <w:szCs w:val="24"/>
          <w:highlight w:val="none"/>
        </w:rPr>
        <w:t>备注：退还</w:t>
      </w:r>
      <w:r>
        <w:rPr>
          <w:rFonts w:hint="eastAsia" w:ascii="宋体" w:hAnsi="宋体" w:eastAsia="宋体" w:cs="宋体"/>
          <w:color w:val="auto"/>
          <w:sz w:val="24"/>
          <w:highlight w:val="none"/>
        </w:rPr>
        <w:t>响应保证金</w:t>
      </w:r>
      <w:r>
        <w:rPr>
          <w:rFonts w:hint="eastAsia" w:hAnsi="宋体" w:cs="宋体"/>
          <w:color w:val="auto"/>
          <w:kern w:val="2"/>
          <w:sz w:val="24"/>
          <w:szCs w:val="24"/>
          <w:highlight w:val="none"/>
        </w:rPr>
        <w:t>申请书可以同</w:t>
      </w:r>
      <w:r>
        <w:rPr>
          <w:rFonts w:hint="eastAsia" w:hAnsi="宋体" w:cs="宋体"/>
          <w:color w:val="auto"/>
          <w:kern w:val="2"/>
          <w:sz w:val="24"/>
          <w:szCs w:val="24"/>
          <w:highlight w:val="none"/>
          <w:lang w:val="en-US" w:eastAsia="zh-CN"/>
        </w:rPr>
        <w:t>报价</w:t>
      </w:r>
      <w:r>
        <w:rPr>
          <w:rFonts w:hint="eastAsia" w:hAnsi="宋体" w:cs="宋体"/>
          <w:color w:val="auto"/>
          <w:kern w:val="2"/>
          <w:sz w:val="24"/>
          <w:szCs w:val="24"/>
          <w:highlight w:val="none"/>
        </w:rPr>
        <w:t>文件一起</w:t>
      </w:r>
      <w:r>
        <w:rPr>
          <w:rFonts w:hint="eastAsia" w:hAnsi="宋体" w:cs="宋体"/>
          <w:color w:val="auto"/>
          <w:kern w:val="2"/>
          <w:sz w:val="24"/>
          <w:szCs w:val="24"/>
          <w:highlight w:val="none"/>
          <w:lang w:val="en-US" w:eastAsia="zh-CN"/>
        </w:rPr>
        <w:t>提交</w:t>
      </w:r>
      <w:r>
        <w:rPr>
          <w:rFonts w:hint="eastAsia" w:hAnsi="宋体" w:cs="宋体"/>
          <w:color w:val="auto"/>
          <w:kern w:val="2"/>
          <w:sz w:val="24"/>
          <w:szCs w:val="24"/>
          <w:highlight w:val="none"/>
        </w:rPr>
        <w:t>。</w:t>
      </w:r>
    </w:p>
    <w:p w14:paraId="4C664E3F">
      <w:pPr>
        <w:rPr>
          <w:rFonts w:hint="eastAsia" w:hAnsi="宋体"/>
          <w:color w:val="auto"/>
          <w:sz w:val="24"/>
          <w:highlight w:val="none"/>
          <w:lang w:val="en-US" w:eastAsia="zh-CN"/>
        </w:rPr>
      </w:pPr>
    </w:p>
    <w:p w14:paraId="17975843">
      <w:pPr>
        <w:rPr>
          <w:highlight w:val="none"/>
        </w:rPr>
      </w:pPr>
    </w:p>
    <w:sectPr>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A9F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226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1E5D">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63F6CED0">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28</w:t>
                          </w:r>
                          <w:r>
                            <w:rPr>
                              <w:sz w:val="21"/>
                              <w:szCs w:val="21"/>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erNUXQAAAAAwEAAA8AAAAAAAAAAQAgAAAAIgAAAGRycy9kb3du&#10;cmV2LnhtbFBLAQIUABQAAAAIAIdO4kBQzg8GzgEAAJkDAAAOAAAAAAAAAAEAIAAAAB8BAABkcnMv&#10;ZTJvRG9jLnhtbFBLBQYAAAAABgAGAFkBAABfBQAAAAA=&#10;">
              <v:fill on="f" focussize="0,0"/>
              <v:stroke on="f"/>
              <v:imagedata o:title=""/>
              <o:lock v:ext="edit" aspectratio="f"/>
              <v:textbox inset="0mm,0mm,0mm,0mm" style="mso-fit-shape-to-text:t;">
                <w:txbxContent>
                  <w:p w14:paraId="63F6CED0">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28</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7156">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29</w:t>
    </w:r>
    <w:r>
      <w:fldChar w:fldCharType="end"/>
    </w:r>
  </w:p>
  <w:p w14:paraId="3DD7D8B1">
    <w:pPr>
      <w:pStyle w:val="1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5D59">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35</w:t>
    </w:r>
    <w:r>
      <w:fldChar w:fldCharType="end"/>
    </w:r>
  </w:p>
  <w:p w14:paraId="0131A99F">
    <w:pPr>
      <w:pStyle w:val="1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CACB6">
    <w:pPr>
      <w:pStyle w:val="11"/>
      <w:jc w:val="right"/>
      <w:rPr>
        <w:rFonts w:hint="eastAsia"/>
        <w:b/>
      </w:rPr>
    </w:pPr>
    <w:r>
      <w:rPr>
        <w:rFonts w:hint="eastAsia"/>
        <w:b/>
        <w:lang w:eastAsia="zh-CN"/>
      </w:rPr>
      <w:t>2025年聚合氯化铝（PAC）采购项目</w:t>
    </w:r>
    <w:r>
      <w:rPr>
        <w:rFonts w:hint="eastAsia"/>
        <w:b/>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C71A">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3376">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B76C"/>
    <w:multiLevelType w:val="singleLevel"/>
    <w:tmpl w:val="8B55B76C"/>
    <w:lvl w:ilvl="0" w:tentative="0">
      <w:start w:val="1"/>
      <w:numFmt w:val="decimal"/>
      <w:lvlText w:val="(%1)"/>
      <w:lvlJc w:val="left"/>
      <w:pPr>
        <w:ind w:left="425" w:hanging="425"/>
      </w:pPr>
      <w:rPr>
        <w:rFonts w:hint="default"/>
      </w:rPr>
    </w:lvl>
  </w:abstractNum>
  <w:abstractNum w:abstractNumId="1">
    <w:nsid w:val="9178E011"/>
    <w:multiLevelType w:val="singleLevel"/>
    <w:tmpl w:val="9178E011"/>
    <w:lvl w:ilvl="0" w:tentative="0">
      <w:start w:val="1"/>
      <w:numFmt w:val="decimal"/>
      <w:suff w:val="nothing"/>
      <w:lvlText w:val="%1、"/>
      <w:lvlJc w:val="left"/>
    </w:lvl>
  </w:abstractNum>
  <w:abstractNum w:abstractNumId="2">
    <w:nsid w:val="93F9CE62"/>
    <w:multiLevelType w:val="singleLevel"/>
    <w:tmpl w:val="93F9CE62"/>
    <w:lvl w:ilvl="0" w:tentative="0">
      <w:start w:val="1"/>
      <w:numFmt w:val="decimal"/>
      <w:lvlText w:val="%1)"/>
      <w:lvlJc w:val="left"/>
      <w:pPr>
        <w:ind w:left="425" w:hanging="425"/>
      </w:pPr>
      <w:rPr>
        <w:rFonts w:hint="default"/>
      </w:rPr>
    </w:lvl>
  </w:abstractNum>
  <w:abstractNum w:abstractNumId="3">
    <w:nsid w:val="A9212E83"/>
    <w:multiLevelType w:val="singleLevel"/>
    <w:tmpl w:val="A9212E83"/>
    <w:lvl w:ilvl="0" w:tentative="0">
      <w:start w:val="1"/>
      <w:numFmt w:val="decimal"/>
      <w:lvlText w:val="%1."/>
      <w:lvlJc w:val="left"/>
      <w:pPr>
        <w:ind w:left="425" w:hanging="425"/>
      </w:pPr>
      <w:rPr>
        <w:rFonts w:hint="default"/>
      </w:rPr>
    </w:lvl>
  </w:abstractNum>
  <w:abstractNum w:abstractNumId="4">
    <w:nsid w:val="AB003E80"/>
    <w:multiLevelType w:val="singleLevel"/>
    <w:tmpl w:val="AB003E80"/>
    <w:lvl w:ilvl="0" w:tentative="0">
      <w:start w:val="1"/>
      <w:numFmt w:val="decimal"/>
      <w:lvlText w:val="(%1)"/>
      <w:lvlJc w:val="left"/>
      <w:pPr>
        <w:ind w:left="425" w:hanging="425"/>
      </w:pPr>
      <w:rPr>
        <w:rFonts w:hint="default"/>
      </w:rPr>
    </w:lvl>
  </w:abstractNum>
  <w:abstractNum w:abstractNumId="5">
    <w:nsid w:val="B3B63D3D"/>
    <w:multiLevelType w:val="singleLevel"/>
    <w:tmpl w:val="B3B63D3D"/>
    <w:lvl w:ilvl="0" w:tentative="0">
      <w:start w:val="1"/>
      <w:numFmt w:val="decimal"/>
      <w:lvlText w:val="(%1)"/>
      <w:lvlJc w:val="left"/>
      <w:pPr>
        <w:ind w:left="425" w:hanging="425"/>
      </w:pPr>
      <w:rPr>
        <w:rFonts w:hint="default"/>
      </w:rPr>
    </w:lvl>
  </w:abstractNum>
  <w:abstractNum w:abstractNumId="6">
    <w:nsid w:val="C81A9841"/>
    <w:multiLevelType w:val="singleLevel"/>
    <w:tmpl w:val="C81A9841"/>
    <w:lvl w:ilvl="0" w:tentative="0">
      <w:start w:val="1"/>
      <w:numFmt w:val="decimal"/>
      <w:lvlText w:val="%1."/>
      <w:lvlJc w:val="left"/>
      <w:pPr>
        <w:ind w:left="425" w:hanging="425"/>
      </w:pPr>
      <w:rPr>
        <w:rFonts w:hint="default"/>
      </w:rPr>
    </w:lvl>
  </w:abstractNum>
  <w:abstractNum w:abstractNumId="7">
    <w:nsid w:val="C85C0936"/>
    <w:multiLevelType w:val="singleLevel"/>
    <w:tmpl w:val="C85C0936"/>
    <w:lvl w:ilvl="0" w:tentative="0">
      <w:start w:val="1"/>
      <w:numFmt w:val="decimal"/>
      <w:lvlText w:val="(%1)"/>
      <w:lvlJc w:val="left"/>
      <w:pPr>
        <w:ind w:left="425" w:hanging="425"/>
      </w:pPr>
      <w:rPr>
        <w:rFonts w:hint="default"/>
      </w:rPr>
    </w:lvl>
  </w:abstractNum>
  <w:abstractNum w:abstractNumId="8">
    <w:nsid w:val="D6B3F1D8"/>
    <w:multiLevelType w:val="singleLevel"/>
    <w:tmpl w:val="D6B3F1D8"/>
    <w:lvl w:ilvl="0" w:tentative="0">
      <w:start w:val="1"/>
      <w:numFmt w:val="chineseCounting"/>
      <w:suff w:val="nothing"/>
      <w:lvlText w:val="%1、"/>
      <w:lvlJc w:val="left"/>
      <w:pPr>
        <w:ind w:left="0" w:firstLine="420"/>
      </w:pPr>
      <w:rPr>
        <w:rFonts w:hint="eastAsia"/>
        <w:b/>
        <w:bCs/>
      </w:rPr>
    </w:lvl>
  </w:abstractNum>
  <w:abstractNum w:abstractNumId="9">
    <w:nsid w:val="DC2D45DB"/>
    <w:multiLevelType w:val="singleLevel"/>
    <w:tmpl w:val="DC2D45DB"/>
    <w:lvl w:ilvl="0" w:tentative="0">
      <w:start w:val="1"/>
      <w:numFmt w:val="decimal"/>
      <w:lvlText w:val="%1."/>
      <w:lvlJc w:val="left"/>
      <w:pPr>
        <w:ind w:left="425" w:hanging="425"/>
      </w:pPr>
      <w:rPr>
        <w:rFonts w:hint="default"/>
      </w:rPr>
    </w:lvl>
  </w:abstractNum>
  <w:abstractNum w:abstractNumId="10">
    <w:nsid w:val="076D9A38"/>
    <w:multiLevelType w:val="singleLevel"/>
    <w:tmpl w:val="076D9A38"/>
    <w:lvl w:ilvl="0" w:tentative="0">
      <w:start w:val="1"/>
      <w:numFmt w:val="decimal"/>
      <w:lvlText w:val="%1."/>
      <w:lvlJc w:val="left"/>
      <w:pPr>
        <w:ind w:left="425" w:hanging="425"/>
      </w:pPr>
      <w:rPr>
        <w:rFonts w:hint="default"/>
      </w:rPr>
    </w:lvl>
  </w:abstractNum>
  <w:abstractNum w:abstractNumId="11">
    <w:nsid w:val="0FFB29C9"/>
    <w:multiLevelType w:val="singleLevel"/>
    <w:tmpl w:val="0FFB29C9"/>
    <w:lvl w:ilvl="0" w:tentative="0">
      <w:start w:val="1"/>
      <w:numFmt w:val="decimal"/>
      <w:lvlText w:val="%1."/>
      <w:lvlJc w:val="left"/>
      <w:pPr>
        <w:ind w:left="425" w:hanging="425"/>
      </w:pPr>
      <w:rPr>
        <w:rFonts w:hint="default"/>
      </w:rPr>
    </w:lvl>
  </w:abstractNum>
  <w:abstractNum w:abstractNumId="12">
    <w:nsid w:val="10BFB813"/>
    <w:multiLevelType w:val="singleLevel"/>
    <w:tmpl w:val="10BFB813"/>
    <w:lvl w:ilvl="0" w:tentative="0">
      <w:start w:val="1"/>
      <w:numFmt w:val="decimal"/>
      <w:lvlText w:val="(%1)"/>
      <w:lvlJc w:val="left"/>
      <w:pPr>
        <w:ind w:left="425" w:hanging="425"/>
      </w:pPr>
      <w:rPr>
        <w:rFonts w:hint="default"/>
      </w:rPr>
    </w:lvl>
  </w:abstractNum>
  <w:abstractNum w:abstractNumId="13">
    <w:nsid w:val="18E71F0C"/>
    <w:multiLevelType w:val="singleLevel"/>
    <w:tmpl w:val="18E71F0C"/>
    <w:lvl w:ilvl="0" w:tentative="0">
      <w:start w:val="1"/>
      <w:numFmt w:val="chineseCounting"/>
      <w:suff w:val="nothing"/>
      <w:lvlText w:val="第%1章  "/>
      <w:lvlJc w:val="left"/>
      <w:pPr>
        <w:tabs>
          <w:tab w:val="left" w:pos="0"/>
        </w:tabs>
      </w:pPr>
      <w:rPr>
        <w:rFonts w:hint="eastAsia"/>
      </w:rPr>
    </w:lvl>
  </w:abstractNum>
  <w:abstractNum w:abstractNumId="14">
    <w:nsid w:val="1D2F6E5F"/>
    <w:multiLevelType w:val="singleLevel"/>
    <w:tmpl w:val="1D2F6E5F"/>
    <w:lvl w:ilvl="0" w:tentative="0">
      <w:start w:val="1"/>
      <w:numFmt w:val="chineseCounting"/>
      <w:suff w:val="nothing"/>
      <w:lvlText w:val="（%1）"/>
      <w:lvlJc w:val="left"/>
      <w:pPr>
        <w:ind w:left="0" w:firstLine="420"/>
      </w:pPr>
      <w:rPr>
        <w:rFonts w:hint="eastAsia"/>
      </w:rPr>
    </w:lvl>
  </w:abstractNum>
  <w:abstractNum w:abstractNumId="15">
    <w:nsid w:val="3BC3FE73"/>
    <w:multiLevelType w:val="singleLevel"/>
    <w:tmpl w:val="3BC3FE73"/>
    <w:lvl w:ilvl="0" w:tentative="0">
      <w:start w:val="1"/>
      <w:numFmt w:val="decimal"/>
      <w:lvlText w:val="(%1)"/>
      <w:lvlJc w:val="left"/>
      <w:pPr>
        <w:ind w:left="425" w:hanging="425"/>
      </w:pPr>
      <w:rPr>
        <w:rFonts w:hint="default"/>
      </w:rPr>
    </w:lvl>
  </w:abstractNum>
  <w:abstractNum w:abstractNumId="16">
    <w:nsid w:val="3CECA9A2"/>
    <w:multiLevelType w:val="singleLevel"/>
    <w:tmpl w:val="3CECA9A2"/>
    <w:lvl w:ilvl="0" w:tentative="0">
      <w:start w:val="1"/>
      <w:numFmt w:val="decimal"/>
      <w:lvlText w:val="%1."/>
      <w:lvlJc w:val="left"/>
      <w:pPr>
        <w:ind w:left="425" w:hanging="425"/>
      </w:pPr>
      <w:rPr>
        <w:rFonts w:hint="default"/>
      </w:rPr>
    </w:lvl>
  </w:abstractNum>
  <w:abstractNum w:abstractNumId="17">
    <w:nsid w:val="507F78B9"/>
    <w:multiLevelType w:val="singleLevel"/>
    <w:tmpl w:val="507F78B9"/>
    <w:lvl w:ilvl="0" w:tentative="0">
      <w:start w:val="1"/>
      <w:numFmt w:val="decimal"/>
      <w:lvlText w:val="%1."/>
      <w:lvlJc w:val="left"/>
      <w:pPr>
        <w:ind w:left="425" w:hanging="425"/>
      </w:pPr>
      <w:rPr>
        <w:rFonts w:hint="default"/>
      </w:rPr>
    </w:lvl>
  </w:abstractNum>
  <w:abstractNum w:abstractNumId="18">
    <w:nsid w:val="75BC40A8"/>
    <w:multiLevelType w:val="singleLevel"/>
    <w:tmpl w:val="75BC40A8"/>
    <w:lvl w:ilvl="0" w:tentative="0">
      <w:start w:val="1"/>
      <w:numFmt w:val="decimal"/>
      <w:lvlText w:val="%1."/>
      <w:lvlJc w:val="left"/>
      <w:pPr>
        <w:ind w:left="425" w:hanging="425"/>
      </w:pPr>
      <w:rPr>
        <w:rFonts w:hint="default"/>
      </w:rPr>
    </w:lvl>
  </w:abstractNum>
  <w:abstractNum w:abstractNumId="19">
    <w:nsid w:val="77E8719E"/>
    <w:multiLevelType w:val="singleLevel"/>
    <w:tmpl w:val="77E8719E"/>
    <w:lvl w:ilvl="0" w:tentative="0">
      <w:start w:val="1"/>
      <w:numFmt w:val="decimal"/>
      <w:lvlText w:val="%1."/>
      <w:lvlJc w:val="left"/>
      <w:pPr>
        <w:ind w:left="425" w:hanging="425"/>
      </w:pPr>
      <w:rPr>
        <w:rFonts w:hint="default"/>
      </w:rPr>
    </w:lvl>
  </w:abstractNum>
  <w:num w:numId="1">
    <w:abstractNumId w:val="8"/>
  </w:num>
  <w:num w:numId="2">
    <w:abstractNumId w:val="16"/>
  </w:num>
  <w:num w:numId="3">
    <w:abstractNumId w:val="11"/>
  </w:num>
  <w:num w:numId="4">
    <w:abstractNumId w:val="19"/>
  </w:num>
  <w:num w:numId="5">
    <w:abstractNumId w:val="13"/>
  </w:num>
  <w:num w:numId="6">
    <w:abstractNumId w:val="15"/>
  </w:num>
  <w:num w:numId="7">
    <w:abstractNumId w:val="12"/>
  </w:num>
  <w:num w:numId="8">
    <w:abstractNumId w:val="4"/>
  </w:num>
  <w:num w:numId="9">
    <w:abstractNumId w:val="0"/>
  </w:num>
  <w:num w:numId="10">
    <w:abstractNumId w:val="5"/>
  </w:num>
  <w:num w:numId="11">
    <w:abstractNumId w:val="2"/>
  </w:num>
  <w:num w:numId="12">
    <w:abstractNumId w:val="14"/>
  </w:num>
  <w:num w:numId="13">
    <w:abstractNumId w:val="17"/>
  </w:num>
  <w:num w:numId="14">
    <w:abstractNumId w:val="10"/>
  </w:num>
  <w:num w:numId="15">
    <w:abstractNumId w:val="9"/>
  </w:num>
  <w:num w:numId="16">
    <w:abstractNumId w:val="18"/>
  </w:num>
  <w:num w:numId="17">
    <w:abstractNumId w:val="7"/>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91EDF"/>
    <w:rsid w:val="0AA60D35"/>
    <w:rsid w:val="167D1103"/>
    <w:rsid w:val="18A8003D"/>
    <w:rsid w:val="1BD22EBA"/>
    <w:rsid w:val="278F1023"/>
    <w:rsid w:val="29211DC2"/>
    <w:rsid w:val="2B5E4DE7"/>
    <w:rsid w:val="2D630BB3"/>
    <w:rsid w:val="314D5E4A"/>
    <w:rsid w:val="3732442A"/>
    <w:rsid w:val="378B6098"/>
    <w:rsid w:val="3A4F1A5B"/>
    <w:rsid w:val="3B7946E8"/>
    <w:rsid w:val="3D663668"/>
    <w:rsid w:val="45D93250"/>
    <w:rsid w:val="4712708C"/>
    <w:rsid w:val="4A723568"/>
    <w:rsid w:val="4B6B5BFE"/>
    <w:rsid w:val="4D2A049C"/>
    <w:rsid w:val="4FED5E2B"/>
    <w:rsid w:val="577055A1"/>
    <w:rsid w:val="584E506D"/>
    <w:rsid w:val="639B0C42"/>
    <w:rsid w:val="69E271E7"/>
    <w:rsid w:val="6E020E0C"/>
    <w:rsid w:val="7737028E"/>
    <w:rsid w:val="78F543CA"/>
    <w:rsid w:val="7FA2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jc w:val="center"/>
      <w:outlineLvl w:val="0"/>
    </w:pPr>
    <w:rPr>
      <w:b/>
      <w:bCs/>
      <w:sz w:val="20"/>
      <w:szCs w:val="20"/>
    </w:rPr>
  </w:style>
  <w:style w:type="paragraph" w:styleId="3">
    <w:name w:val="heading 2"/>
    <w:basedOn w:val="1"/>
    <w:next w:val="1"/>
    <w:qFormat/>
    <w:uiPriority w:val="0"/>
    <w:pPr>
      <w:keepNext/>
      <w:keepLines/>
      <w:adjustRightInd w:val="0"/>
      <w:snapToGrid w:val="0"/>
      <w:spacing w:before="260" w:beforeLines="0" w:after="260" w:afterLines="0" w:line="500" w:lineRule="atLeast"/>
      <w:jc w:val="center"/>
      <w:outlineLvl w:val="1"/>
    </w:pPr>
    <w:rPr>
      <w:rFonts w:ascii="楷体_GB2312" w:hAnsi="Arial" w:eastAsia="楷体_GB2312"/>
      <w:b/>
      <w:bCs/>
      <w:sz w:val="30"/>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line="500" w:lineRule="atLeast"/>
    </w:pPr>
    <w:rPr>
      <w:color w:val="0000FF"/>
      <w:sz w:val="24"/>
    </w:rPr>
  </w:style>
  <w:style w:type="paragraph" w:styleId="6">
    <w:name w:val="Body Text First Indent"/>
    <w:basedOn w:val="5"/>
    <w:next w:val="1"/>
    <w:qFormat/>
    <w:uiPriority w:val="0"/>
    <w:pPr>
      <w:spacing w:after="120" w:afterLines="0" w:line="240" w:lineRule="auto"/>
      <w:ind w:firstLine="420" w:firstLineChars="100"/>
    </w:pPr>
    <w:rPr>
      <w:color w:val="auto"/>
      <w:sz w:val="21"/>
    </w:rPr>
  </w:style>
  <w:style w:type="paragraph" w:styleId="7">
    <w:name w:val="Plain Text"/>
    <w:basedOn w:val="1"/>
    <w:next w:val="8"/>
    <w:qFormat/>
    <w:uiPriority w:val="0"/>
    <w:rPr>
      <w:rFonts w:ascii="宋体" w:hAnsi="Courier New" w:eastAsia="宋体"/>
      <w:kern w:val="2"/>
      <w:sz w:val="21"/>
      <w:lang w:val="en-US" w:eastAsia="zh-CN" w:bidi="ar-SA"/>
    </w:rPr>
  </w:style>
  <w:style w:type="paragraph" w:styleId="8">
    <w:name w:val="toc 2"/>
    <w:basedOn w:val="1"/>
    <w:next w:val="1"/>
    <w:unhideWhenUsed/>
    <w:qFormat/>
    <w:uiPriority w:val="39"/>
    <w:pPr>
      <w:widowControl/>
      <w:spacing w:after="100" w:line="360" w:lineRule="auto"/>
      <w:ind w:left="221"/>
      <w:jc w:val="left"/>
    </w:pPr>
    <w:rPr>
      <w:rFonts w:ascii="Calibri" w:hAnsi="Calibri"/>
      <w:kern w:val="0"/>
      <w:sz w:val="30"/>
      <w:szCs w:val="22"/>
    </w:rPr>
  </w:style>
  <w:style w:type="paragraph" w:styleId="9">
    <w:name w:val="Body Text Indent 2"/>
    <w:basedOn w:val="1"/>
    <w:qFormat/>
    <w:uiPriority w:val="0"/>
    <w:pPr>
      <w:spacing w:line="500" w:lineRule="atLeast"/>
      <w:ind w:firstLine="480"/>
    </w:pPr>
    <w:rPr>
      <w:rFonts w:ascii="楷体_GB2312" w:eastAsia="楷体_GB2312"/>
      <w:color w:val="FF0000"/>
      <w:sz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pacing w:line="480" w:lineRule="auto"/>
      <w:jc w:val="left"/>
    </w:pPr>
    <w:rPr>
      <w:color w:val="000000"/>
      <w:kern w:val="0"/>
      <w:sz w:val="32"/>
      <w:szCs w:val="36"/>
    </w:rPr>
  </w:style>
  <w:style w:type="paragraph" w:styleId="13">
    <w:name w:val="Title"/>
    <w:basedOn w:val="1"/>
    <w:next w:val="1"/>
    <w:qFormat/>
    <w:uiPriority w:val="0"/>
    <w:pPr>
      <w:spacing w:before="240" w:beforeLines="0" w:after="60" w:afterLines="0"/>
      <w:jc w:val="center"/>
      <w:outlineLvl w:val="0"/>
    </w:pPr>
    <w:rPr>
      <w:rFonts w:ascii="Cambria" w:hAnsi="Cambria"/>
      <w:b/>
      <w:bCs/>
      <w:kern w:val="28"/>
      <w:sz w:val="32"/>
      <w:szCs w:val="32"/>
    </w:rPr>
  </w:style>
  <w:style w:type="character" w:styleId="16">
    <w:name w:val="page number"/>
    <w:qFormat/>
    <w:uiPriority w:val="0"/>
  </w:style>
  <w:style w:type="character" w:customStyle="1" w:styleId="17">
    <w:name w:val="font41"/>
    <w:basedOn w:val="15"/>
    <w:qFormat/>
    <w:uiPriority w:val="0"/>
    <w:rPr>
      <w:rFonts w:hint="default" w:ascii="Times New Roman" w:hAnsi="Times New Roman" w:cs="Times New Roman"/>
      <w:color w:val="000000"/>
      <w:sz w:val="21"/>
      <w:szCs w:val="21"/>
      <w:u w:val="none"/>
    </w:rPr>
  </w:style>
  <w:style w:type="character" w:customStyle="1" w:styleId="18">
    <w:name w:val="font21"/>
    <w:basedOn w:val="15"/>
    <w:qFormat/>
    <w:uiPriority w:val="0"/>
    <w:rPr>
      <w:rFonts w:hint="eastAsia" w:ascii="宋体" w:hAnsi="宋体" w:eastAsia="宋体" w:cs="宋体"/>
      <w:color w:val="000000"/>
      <w:sz w:val="21"/>
      <w:szCs w:val="21"/>
      <w:u w:val="none"/>
    </w:rPr>
  </w:style>
  <w:style w:type="character" w:customStyle="1" w:styleId="19">
    <w:name w:val="font31"/>
    <w:basedOn w:val="15"/>
    <w:qFormat/>
    <w:uiPriority w:val="0"/>
    <w:rPr>
      <w:rFonts w:hint="eastAsia" w:ascii="宋体" w:hAnsi="宋体" w:eastAsia="宋体" w:cs="宋体"/>
      <w:b/>
      <w:bCs/>
      <w:color w:val="000000"/>
      <w:sz w:val="21"/>
      <w:szCs w:val="21"/>
      <w:u w:val="none"/>
    </w:rPr>
  </w:style>
  <w:style w:type="character" w:customStyle="1" w:styleId="20">
    <w:name w:val="font51"/>
    <w:basedOn w:val="15"/>
    <w:qFormat/>
    <w:uiPriority w:val="0"/>
    <w:rPr>
      <w:rFonts w:hint="default" w:ascii="Times New Roman" w:hAnsi="Times New Roman" w:cs="Times New Roman"/>
      <w:b/>
      <w:bCs/>
      <w:color w:val="000000"/>
      <w:sz w:val="21"/>
      <w:szCs w:val="21"/>
      <w:u w:val="none"/>
    </w:rPr>
  </w:style>
  <w:style w:type="paragraph" w:customStyle="1" w:styleId="21">
    <w:name w:val="一、标题"/>
    <w:basedOn w:val="1"/>
    <w:qFormat/>
    <w:uiPriority w:val="0"/>
    <w:rPr>
      <w:b/>
      <w:sz w:val="28"/>
    </w:rPr>
  </w:style>
  <w:style w:type="character" w:customStyle="1" w:styleId="22">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2099</Words>
  <Characters>2279</Characters>
  <Lines>0</Lines>
  <Paragraphs>0</Paragraphs>
  <TotalTime>24</TotalTime>
  <ScaleCrop>false</ScaleCrop>
  <LinksUpToDate>false</LinksUpToDate>
  <CharactersWithSpaces>2345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2024-06-12T08:59:00Z</dcterms:created>
  <dc:creator>Dell</dc:creator>
  <cp:lastModifiedBy>毛银天</cp:lastModifiedBy>
  <dcterms:modified xsi:type="dcterms:W3CDTF">2025-06-17T08:28:35Z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8F2465CEA389407F91D90F740AE71F5D_13</vt:lpwstr>
  </property>
  <property fmtid="{D5CDD505-2E9C-101B-9397-08002B2CF9AE}" pid="4" name="KSOTemplateDocerSaveRecord">
    <vt:lpwstr>eyJoZGlkIjoiZmFhNGI3YTE1M2QyNmUxZmNiZDdkYWUwZmM0MTAyNjMiLCJ1c2VySWQiOiIyNzEzNzI0NzgifQ==</vt:lpwstr>
  </property>
</Properties>
</file>