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DAA7FE">
      <w:pPr>
        <w:pStyle w:val="6"/>
        <w:spacing w:line="360" w:lineRule="auto"/>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t>临平区2025年度批而未供“一地一策”方案编制项目招标公告</w:t>
      </w:r>
    </w:p>
    <w:p w14:paraId="0783D481">
      <w:pPr>
        <w:widowControl w:val="0"/>
        <w:wordWrap/>
        <w:adjustRightInd/>
        <w:snapToGrid/>
        <w:spacing w:line="40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现就</w:t>
      </w:r>
      <w:r>
        <w:rPr>
          <w:rFonts w:hint="eastAsia" w:ascii="宋体" w:hAnsi="宋体" w:cs="宋体"/>
          <w:color w:val="auto"/>
          <w:sz w:val="24"/>
          <w:highlight w:val="none"/>
          <w:lang w:eastAsia="zh-CN"/>
        </w:rPr>
        <w:t>临平区2025年度批而未供“一地一策”方案编制项目</w:t>
      </w:r>
      <w:r>
        <w:rPr>
          <w:rFonts w:hint="eastAsia" w:ascii="宋体" w:hAnsi="宋体" w:cs="宋体"/>
          <w:color w:val="auto"/>
          <w:sz w:val="24"/>
          <w:highlight w:val="none"/>
        </w:rPr>
        <w:t>进行公开招标采购。欢迎符合要求并有能力完成本项目的投标人前来投标。</w:t>
      </w:r>
    </w:p>
    <w:p w14:paraId="6BE4B0AC">
      <w:pPr>
        <w:widowControl w:val="0"/>
        <w:numPr>
          <w:ilvl w:val="0"/>
          <w:numId w:val="1"/>
        </w:numPr>
        <w:wordWrap/>
        <w:adjustRightInd/>
        <w:snapToGrid/>
        <w:spacing w:line="400" w:lineRule="exact"/>
        <w:ind w:firstLine="0" w:firstLineChars="0"/>
        <w:textAlignment w:val="auto"/>
        <w:rPr>
          <w:rFonts w:hint="eastAsia" w:ascii="宋体" w:hAnsi="宋体" w:cs="宋体"/>
          <w:color w:val="auto"/>
          <w:sz w:val="24"/>
          <w:highlight w:val="none"/>
          <w:lang w:eastAsia="zh-CN"/>
        </w:rPr>
      </w:pPr>
      <w:r>
        <w:rPr>
          <w:rFonts w:hint="eastAsia" w:ascii="宋体" w:hAnsi="宋体" w:cs="宋体"/>
          <w:b/>
          <w:bCs/>
          <w:color w:val="auto"/>
          <w:sz w:val="24"/>
          <w:highlight w:val="none"/>
        </w:rPr>
        <w:t>项目名称及编号：</w:t>
      </w:r>
      <w:r>
        <w:rPr>
          <w:rFonts w:hint="eastAsia" w:ascii="宋体" w:hAnsi="宋体" w:cs="宋体"/>
          <w:color w:val="auto"/>
          <w:sz w:val="24"/>
          <w:highlight w:val="none"/>
          <w:lang w:eastAsia="zh-CN"/>
        </w:rPr>
        <w:t>临平区2025年度批而未供“一地一策”方案编制项目（</w:t>
      </w:r>
      <w:r>
        <w:rPr>
          <w:rFonts w:hint="eastAsia" w:ascii="宋体" w:hAnsi="宋体" w:cs="宋体"/>
          <w:color w:val="auto"/>
          <w:sz w:val="24"/>
          <w:highlight w:val="none"/>
          <w:lang w:val="en-US" w:eastAsia="zh-CN"/>
        </w:rPr>
        <w:t>ZJDDZX2025-007</w:t>
      </w:r>
      <w:r>
        <w:rPr>
          <w:rFonts w:hint="eastAsia" w:ascii="宋体" w:hAnsi="宋体" w:cs="宋体"/>
          <w:color w:val="auto"/>
          <w:sz w:val="24"/>
          <w:highlight w:val="none"/>
          <w:lang w:eastAsia="zh-CN"/>
        </w:rPr>
        <w:t>）</w:t>
      </w:r>
    </w:p>
    <w:p w14:paraId="09A0C3C9">
      <w:pPr>
        <w:widowControl w:val="0"/>
        <w:wordWrap/>
        <w:adjustRightInd/>
        <w:snapToGrid/>
        <w:spacing w:line="400" w:lineRule="exact"/>
        <w:textAlignment w:val="auto"/>
        <w:rPr>
          <w:rFonts w:hint="eastAsia" w:ascii="宋体" w:hAnsi="宋体" w:cs="宋体"/>
          <w:color w:val="auto"/>
          <w:sz w:val="24"/>
          <w:highlight w:val="none"/>
        </w:rPr>
      </w:pPr>
      <w:r>
        <w:rPr>
          <w:rFonts w:hint="eastAsia" w:ascii="宋体" w:hAnsi="宋体" w:cs="宋体"/>
          <w:b/>
          <w:bCs/>
          <w:color w:val="auto"/>
          <w:sz w:val="24"/>
          <w:highlight w:val="none"/>
        </w:rPr>
        <w:t>二、采购方式：公开招标</w:t>
      </w:r>
    </w:p>
    <w:p w14:paraId="6B27D7E5">
      <w:pPr>
        <w:widowControl w:val="0"/>
        <w:wordWrap/>
        <w:adjustRightInd/>
        <w:snapToGrid/>
        <w:spacing w:line="400" w:lineRule="exact"/>
        <w:textAlignment w:val="auto"/>
        <w:rPr>
          <w:rFonts w:hint="eastAsia" w:ascii="宋体" w:hAnsi="宋体" w:cs="宋体"/>
          <w:color w:val="auto"/>
          <w:sz w:val="24"/>
          <w:highlight w:val="none"/>
          <w:lang w:eastAsia="zh-CN"/>
        </w:rPr>
      </w:pPr>
      <w:r>
        <w:rPr>
          <w:rFonts w:hint="eastAsia" w:ascii="宋体" w:hAnsi="宋体" w:cs="宋体"/>
          <w:b/>
          <w:bCs/>
          <w:color w:val="auto"/>
          <w:sz w:val="24"/>
          <w:highlight w:val="none"/>
          <w:lang w:val="en-US" w:eastAsia="zh-CN"/>
        </w:rPr>
        <w:t>三、</w:t>
      </w:r>
      <w:r>
        <w:rPr>
          <w:rFonts w:hint="eastAsia" w:ascii="宋体" w:hAnsi="宋体" w:cs="宋体"/>
          <w:b/>
          <w:bCs/>
          <w:color w:val="auto"/>
          <w:sz w:val="24"/>
          <w:highlight w:val="none"/>
        </w:rPr>
        <w:t>采购内容：</w:t>
      </w:r>
      <w:r>
        <w:rPr>
          <w:rFonts w:hint="eastAsia" w:ascii="宋体" w:hAnsi="宋体" w:cs="宋体"/>
          <w:color w:val="auto"/>
          <w:sz w:val="24"/>
          <w:highlight w:val="none"/>
          <w:lang w:eastAsia="zh-CN"/>
        </w:rPr>
        <w:t>临平区2025年度批而未供“一地一策”方案编制项目</w:t>
      </w:r>
      <w:r>
        <w:rPr>
          <w:rFonts w:hint="eastAsia" w:ascii="宋体" w:hAnsi="宋体" w:cs="宋体"/>
          <w:color w:val="auto"/>
          <w:sz w:val="24"/>
          <w:highlight w:val="none"/>
        </w:rPr>
        <w:t>，详见采购文件-项目技术规范和服务要求。</w:t>
      </w:r>
    </w:p>
    <w:p w14:paraId="7210F0A6">
      <w:pPr>
        <w:wordWrap/>
        <w:spacing w:line="400" w:lineRule="exact"/>
        <w:textAlignment w:val="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val="en-US" w:eastAsia="zh-CN"/>
        </w:rPr>
        <w:t>四</w:t>
      </w:r>
      <w:r>
        <w:rPr>
          <w:rFonts w:hint="eastAsia" w:ascii="宋体" w:hAnsi="宋体" w:cs="宋体"/>
          <w:b/>
          <w:bCs/>
          <w:color w:val="auto"/>
          <w:sz w:val="24"/>
          <w:highlight w:val="none"/>
        </w:rPr>
        <w:t>、合格投标人的资格要求</w:t>
      </w:r>
      <w:r>
        <w:rPr>
          <w:rFonts w:hint="eastAsia" w:ascii="宋体" w:hAnsi="宋体" w:cs="宋体"/>
          <w:b/>
          <w:bCs/>
          <w:color w:val="auto"/>
          <w:sz w:val="24"/>
          <w:highlight w:val="none"/>
          <w:lang w:eastAsia="zh-CN"/>
        </w:rPr>
        <w:t>：</w:t>
      </w:r>
    </w:p>
    <w:p w14:paraId="71E0D5E8">
      <w:pPr>
        <w:widowControl w:val="0"/>
        <w:wordWrap/>
        <w:adjustRightInd/>
        <w:snapToGrid/>
        <w:spacing w:line="400" w:lineRule="exact"/>
        <w:ind w:left="482"/>
        <w:textAlignment w:val="auto"/>
        <w:rPr>
          <w:rFonts w:hint="eastAsia" w:ascii="宋体" w:hAnsi="宋体" w:cs="宋体"/>
          <w:color w:val="auto"/>
          <w:sz w:val="24"/>
          <w:highlight w:val="none"/>
        </w:rPr>
      </w:pPr>
      <w:r>
        <w:rPr>
          <w:rFonts w:hint="eastAsia" w:ascii="宋体" w:hAnsi="宋体" w:cs="宋体"/>
          <w:color w:val="auto"/>
          <w:sz w:val="24"/>
          <w:highlight w:val="none"/>
        </w:rPr>
        <w:t>1、（1）具有独立承担民事责任的能力；（2）具有良好的商业信誉和健全的财务会计制度；（3）具有履行合同所必需的场地、设备和专业技术能力；（4）有依法缴纳税收和社会保障资金的良好记录；（5）参加政府采购活动前三年内，在经营活动中没有重大违法记录；</w:t>
      </w:r>
    </w:p>
    <w:p w14:paraId="477B726E">
      <w:pPr>
        <w:widowControl w:val="0"/>
        <w:wordWrap/>
        <w:adjustRightInd/>
        <w:snapToGrid/>
        <w:spacing w:line="400" w:lineRule="exact"/>
        <w:ind w:left="482"/>
        <w:textAlignment w:val="auto"/>
        <w:rPr>
          <w:rFonts w:hint="eastAsia" w:ascii="宋体" w:hAnsi="宋体" w:cs="宋体"/>
          <w:color w:val="auto"/>
          <w:sz w:val="24"/>
          <w:highlight w:val="none"/>
        </w:rPr>
      </w:pPr>
      <w:r>
        <w:rPr>
          <w:rFonts w:hint="eastAsia" w:ascii="宋体" w:hAnsi="宋体" w:cs="宋体"/>
          <w:color w:val="auto"/>
          <w:sz w:val="24"/>
          <w:highlight w:val="none"/>
        </w:rPr>
        <w:t>2、（1）单位负责人为同一人或者存在直接控股、管理关系的不同供应商，不得参加同一合同项下的政府采购活动；（2）供应商未被列入失信被执行人名单、重大税收违法案件当事人名单、政府采购严重违法失信行为记录名单，信用信息以信用中国网站（www.creditchina.gov.cn）、中国政府采购网（www.ccgp.gov.cn）公布为准；（3）公益一类事业单位、使用事业编制且由财政拨款保障的群团组织，不作为政府购买服务的购买主体和承接主体；</w:t>
      </w:r>
    </w:p>
    <w:p w14:paraId="0DBA456C">
      <w:pPr>
        <w:widowControl w:val="0"/>
        <w:wordWrap/>
        <w:adjustRightInd/>
        <w:snapToGrid/>
        <w:spacing w:line="400" w:lineRule="exact"/>
        <w:ind w:left="482"/>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本项目不允许联合体投标。</w:t>
      </w:r>
    </w:p>
    <w:p w14:paraId="6C0827CE">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hint="eastAsia" w:ascii="宋体" w:hAnsi="宋体" w:cs="宋体"/>
          <w:b/>
          <w:color w:val="auto"/>
          <w:sz w:val="24"/>
          <w:szCs w:val="24"/>
          <w:highlight w:val="none"/>
          <w:lang w:eastAsia="zh-CN"/>
        </w:rPr>
      </w:pPr>
      <w:r>
        <w:rPr>
          <w:rFonts w:hint="eastAsia" w:ascii="宋体" w:hAnsi="宋体" w:cs="宋体"/>
          <w:b/>
          <w:color w:val="auto"/>
          <w:sz w:val="24"/>
          <w:szCs w:val="24"/>
          <w:highlight w:val="none"/>
          <w:lang w:val="en-US" w:eastAsia="zh-CN"/>
        </w:rPr>
        <w:t>五</w:t>
      </w:r>
      <w:r>
        <w:rPr>
          <w:rFonts w:hint="eastAsia" w:ascii="宋体" w:hAnsi="宋体" w:cs="宋体"/>
          <w:b/>
          <w:color w:val="auto"/>
          <w:sz w:val="24"/>
          <w:szCs w:val="24"/>
          <w:highlight w:val="none"/>
        </w:rPr>
        <w:t>、</w:t>
      </w:r>
      <w:r>
        <w:rPr>
          <w:rFonts w:hint="eastAsia" w:ascii="宋体" w:hAnsi="宋体" w:cs="宋体"/>
          <w:b/>
          <w:color w:val="auto"/>
          <w:sz w:val="24"/>
          <w:szCs w:val="24"/>
          <w:highlight w:val="none"/>
          <w:lang w:eastAsia="zh-CN"/>
        </w:rPr>
        <w:t>报名时间及地点：</w:t>
      </w:r>
    </w:p>
    <w:p w14:paraId="4D9BF598">
      <w:pPr>
        <w:keepNext w:val="0"/>
        <w:keepLines w:val="0"/>
        <w:pageBreakBefore w:val="0"/>
        <w:tabs>
          <w:tab w:val="left" w:pos="360"/>
          <w:tab w:val="left" w:pos="540"/>
        </w:tabs>
        <w:kinsoku/>
        <w:wordWrap/>
        <w:overflowPunct/>
        <w:topLinePunct w:val="0"/>
        <w:autoSpaceDE/>
        <w:autoSpaceDN/>
        <w:bidi w:val="0"/>
        <w:snapToGrid w:val="0"/>
        <w:spacing w:line="360" w:lineRule="auto"/>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1、时间：2025年</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18</w:t>
      </w:r>
      <w:r>
        <w:rPr>
          <w:rFonts w:hint="eastAsia" w:ascii="宋体" w:hAnsi="宋体" w:cs="宋体"/>
          <w:color w:val="auto"/>
          <w:sz w:val="24"/>
          <w:szCs w:val="24"/>
          <w:highlight w:val="none"/>
          <w:lang w:eastAsia="zh-CN"/>
        </w:rPr>
        <w:t>日至2025年</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lang w:eastAsia="zh-CN"/>
        </w:rPr>
        <w:t>日（双休日及法定节假日除外）上午：8：30-11：30；下午：1</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lang w:eastAsia="zh-CN"/>
        </w:rPr>
        <w:t>-17：00；</w:t>
      </w:r>
    </w:p>
    <w:p w14:paraId="37EF49BD">
      <w:pPr>
        <w:tabs>
          <w:tab w:val="left" w:pos="360"/>
          <w:tab w:val="left" w:pos="540"/>
        </w:tabs>
        <w:wordWrap/>
        <w:snapToGrid w:val="0"/>
        <w:spacing w:line="400" w:lineRule="exact"/>
        <w:ind w:firstLine="480" w:firstLineChars="200"/>
        <w:textAlignment w:val="auto"/>
        <w:rPr>
          <w:rFonts w:hint="eastAsia" w:ascii="宋体" w:hAnsi="宋体" w:cs="宋体"/>
          <w:b/>
          <w:bCs/>
          <w:color w:val="auto"/>
          <w:kern w:val="0"/>
          <w:sz w:val="24"/>
          <w:highlight w:val="none"/>
        </w:rPr>
      </w:pPr>
      <w:r>
        <w:rPr>
          <w:rFonts w:hint="eastAsia" w:ascii="宋体" w:hAnsi="宋体" w:cs="宋体"/>
          <w:color w:val="auto"/>
          <w:sz w:val="24"/>
          <w:szCs w:val="24"/>
          <w:highlight w:val="none"/>
          <w:lang w:eastAsia="zh-CN"/>
        </w:rPr>
        <w:t>2、报名形式：本项目采用邮箱审核资料，投标单位将报名材料发送至</w:t>
      </w:r>
      <w:r>
        <w:rPr>
          <w:rFonts w:hint="eastAsia" w:ascii="宋体" w:hAnsi="宋体" w:cs="宋体"/>
          <w:color w:val="auto"/>
          <w:sz w:val="24"/>
          <w:szCs w:val="24"/>
          <w:highlight w:val="none"/>
          <w:lang w:val="en-US" w:eastAsia="zh-CN"/>
        </w:rPr>
        <w:t>2863825425</w:t>
      </w:r>
      <w:r>
        <w:rPr>
          <w:rFonts w:hint="eastAsia" w:ascii="宋体" w:hAnsi="宋体" w:cs="宋体"/>
          <w:color w:val="auto"/>
          <w:sz w:val="24"/>
          <w:szCs w:val="24"/>
          <w:highlight w:val="none"/>
          <w:lang w:eastAsia="zh-CN"/>
        </w:rPr>
        <w:t>@qq.com邮箱，发至邮箱后会统一回复是否报名成功。</w:t>
      </w:r>
    </w:p>
    <w:p w14:paraId="50B42B42">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3、报名</w:t>
      </w:r>
      <w:r>
        <w:rPr>
          <w:rFonts w:hint="eastAsia" w:ascii="宋体" w:hAnsi="宋体" w:cs="宋体"/>
          <w:b/>
          <w:color w:val="auto"/>
          <w:sz w:val="24"/>
          <w:szCs w:val="24"/>
          <w:highlight w:val="none"/>
        </w:rPr>
        <w:t>需提供以下资料</w:t>
      </w:r>
      <w:r>
        <w:rPr>
          <w:rFonts w:hint="eastAsia" w:ascii="宋体" w:hAnsi="宋体" w:cs="宋体"/>
          <w:b/>
          <w:color w:val="auto"/>
          <w:sz w:val="24"/>
          <w:szCs w:val="24"/>
          <w:highlight w:val="none"/>
          <w:lang w:eastAsia="zh-CN"/>
        </w:rPr>
        <w:t>（均需彩色扫描件</w:t>
      </w:r>
      <w:bookmarkStart w:id="0" w:name="_GoBack"/>
      <w:bookmarkEnd w:id="0"/>
      <w:r>
        <w:rPr>
          <w:rFonts w:hint="eastAsia" w:ascii="宋体" w:hAnsi="宋体" w:cs="宋体"/>
          <w:b/>
          <w:color w:val="auto"/>
          <w:sz w:val="24"/>
          <w:szCs w:val="24"/>
          <w:highlight w:val="none"/>
          <w:lang w:eastAsia="zh-CN"/>
        </w:rPr>
        <w:t>以</w:t>
      </w:r>
      <w:r>
        <w:rPr>
          <w:rFonts w:hint="eastAsia" w:ascii="宋体" w:hAnsi="宋体" w:cs="宋体"/>
          <w:b/>
          <w:color w:val="auto"/>
          <w:sz w:val="24"/>
          <w:szCs w:val="24"/>
          <w:highlight w:val="none"/>
          <w:lang w:val="en-US" w:eastAsia="zh-CN"/>
        </w:rPr>
        <w:t>PDF格式发送</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rPr>
        <w:t>:</w:t>
      </w:r>
    </w:p>
    <w:p w14:paraId="7FD3D49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、企业营业执照加盖公章；</w:t>
      </w:r>
    </w:p>
    <w:p w14:paraId="35B91AD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、授权委托书；</w:t>
      </w:r>
    </w:p>
    <w:p w14:paraId="0D5917E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、授权代表有效身份证件加盖公章；</w:t>
      </w:r>
    </w:p>
    <w:p w14:paraId="5FF62E5C">
      <w:pPr>
        <w:keepNext w:val="0"/>
        <w:keepLines w:val="0"/>
        <w:pageBreakBefore w:val="0"/>
        <w:tabs>
          <w:tab w:val="left" w:pos="360"/>
          <w:tab w:val="left" w:pos="540"/>
        </w:tabs>
        <w:kinsoku/>
        <w:wordWrap/>
        <w:overflowPunct/>
        <w:topLinePunct w:val="0"/>
        <w:autoSpaceDE/>
        <w:autoSpaceDN/>
        <w:bidi w:val="0"/>
        <w:snapToGrid w:val="0"/>
        <w:spacing w:line="360" w:lineRule="auto"/>
        <w:ind w:firstLine="482" w:firstLineChars="200"/>
        <w:textAlignment w:val="auto"/>
        <w:rPr>
          <w:rFonts w:hint="eastAsia" w:ascii="宋体" w:hAnsi="宋体" w:cs="宋体"/>
          <w:b/>
          <w:bCs/>
          <w:color w:val="auto"/>
          <w:kern w:val="0"/>
          <w:sz w:val="24"/>
          <w:szCs w:val="24"/>
          <w:highlight w:val="none"/>
        </w:rPr>
      </w:pPr>
      <w:r>
        <w:rPr>
          <w:rFonts w:hint="eastAsia" w:ascii="宋体" w:hAnsi="宋体" w:cs="宋体"/>
          <w:b/>
          <w:bCs/>
          <w:color w:val="auto"/>
          <w:sz w:val="24"/>
          <w:szCs w:val="24"/>
          <w:highlight w:val="none"/>
          <w:lang w:val="en-US" w:eastAsia="zh-CN"/>
        </w:rPr>
        <w:t>六</w:t>
      </w:r>
      <w:r>
        <w:rPr>
          <w:rFonts w:hint="eastAsia" w:ascii="宋体" w:hAnsi="宋体" w:cs="宋体"/>
          <w:b/>
          <w:bCs/>
          <w:color w:val="auto"/>
          <w:sz w:val="24"/>
          <w:szCs w:val="24"/>
          <w:highlight w:val="none"/>
        </w:rPr>
        <w:t>、</w:t>
      </w:r>
      <w:r>
        <w:rPr>
          <w:rFonts w:hint="eastAsia" w:ascii="宋体" w:hAnsi="宋体" w:cs="宋体"/>
          <w:b/>
          <w:bCs/>
          <w:color w:val="auto"/>
          <w:kern w:val="0"/>
          <w:sz w:val="24"/>
          <w:szCs w:val="24"/>
          <w:highlight w:val="none"/>
        </w:rPr>
        <w:t>本项目投标人的资格仍需接受评标委员会审查。投标人应在投标文件中按招标文件的规定和要求附上所有符合投标人资格要求的证明文件，要求提供的复印件必须加盖单位公章，并在必要时提供原件备查。</w:t>
      </w:r>
    </w:p>
    <w:p w14:paraId="3FDEB4C6">
      <w:pPr>
        <w:keepNext w:val="0"/>
        <w:keepLines w:val="0"/>
        <w:pageBreakBefore w:val="0"/>
        <w:tabs>
          <w:tab w:val="left" w:pos="360"/>
          <w:tab w:val="left" w:pos="540"/>
        </w:tabs>
        <w:kinsoku/>
        <w:wordWrap/>
        <w:overflowPunct/>
        <w:topLinePunct w:val="0"/>
        <w:autoSpaceDE/>
        <w:autoSpaceDN/>
        <w:bidi w:val="0"/>
        <w:snapToGrid w:val="0"/>
        <w:spacing w:line="360" w:lineRule="auto"/>
        <w:ind w:firstLine="482" w:firstLineChars="200"/>
        <w:textAlignment w:val="auto"/>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lang w:val="en-US" w:eastAsia="zh-CN"/>
        </w:rPr>
        <w:t>七</w:t>
      </w:r>
      <w:r>
        <w:rPr>
          <w:rFonts w:hint="eastAsia" w:ascii="宋体" w:hAnsi="宋体" w:cs="宋体"/>
          <w:b/>
          <w:color w:val="auto"/>
          <w:kern w:val="0"/>
          <w:sz w:val="24"/>
          <w:szCs w:val="24"/>
          <w:highlight w:val="none"/>
        </w:rPr>
        <w:t>、公告期限：自本公告发布之日起</w:t>
      </w:r>
      <w:r>
        <w:rPr>
          <w:rFonts w:hint="eastAsia" w:ascii="宋体" w:hAnsi="宋体" w:cs="宋体"/>
          <w:b/>
          <w:color w:val="auto"/>
          <w:kern w:val="0"/>
          <w:sz w:val="24"/>
          <w:szCs w:val="24"/>
          <w:highlight w:val="none"/>
          <w:lang w:val="en-US" w:eastAsia="zh-CN"/>
        </w:rPr>
        <w:t>3</w:t>
      </w:r>
      <w:r>
        <w:rPr>
          <w:rFonts w:hint="eastAsia" w:ascii="宋体" w:hAnsi="宋体" w:cs="宋体"/>
          <w:b/>
          <w:color w:val="auto"/>
          <w:kern w:val="0"/>
          <w:sz w:val="24"/>
          <w:szCs w:val="24"/>
          <w:highlight w:val="none"/>
        </w:rPr>
        <w:t>个工作日。</w:t>
      </w:r>
    </w:p>
    <w:p w14:paraId="67FEEDA2">
      <w:pPr>
        <w:pStyle w:val="7"/>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2" w:firstLineChars="200"/>
        <w:jc w:val="both"/>
        <w:textAlignment w:val="auto"/>
        <w:rPr>
          <w:rFonts w:hint="eastAsia"/>
          <w:b/>
          <w:color w:val="auto"/>
          <w:sz w:val="24"/>
          <w:szCs w:val="24"/>
          <w:highlight w:val="none"/>
        </w:rPr>
      </w:pPr>
      <w:r>
        <w:rPr>
          <w:rFonts w:hint="eastAsia"/>
          <w:b/>
          <w:color w:val="auto"/>
          <w:sz w:val="24"/>
          <w:szCs w:val="24"/>
          <w:highlight w:val="none"/>
          <w:lang w:val="en-US" w:eastAsia="zh-CN"/>
        </w:rPr>
        <w:t>八</w:t>
      </w:r>
      <w:r>
        <w:rPr>
          <w:rFonts w:hint="eastAsia"/>
          <w:b/>
          <w:color w:val="auto"/>
          <w:sz w:val="24"/>
          <w:szCs w:val="24"/>
          <w:highlight w:val="none"/>
        </w:rPr>
        <w:t>、招标</w:t>
      </w:r>
      <w:r>
        <w:rPr>
          <w:rFonts w:hint="eastAsia"/>
          <w:b/>
          <w:color w:val="auto"/>
          <w:sz w:val="24"/>
          <w:szCs w:val="24"/>
          <w:highlight w:val="none"/>
          <w:lang w:eastAsia="zh-CN"/>
        </w:rPr>
        <w:t>公告</w:t>
      </w:r>
      <w:r>
        <w:rPr>
          <w:rFonts w:hint="eastAsia"/>
          <w:b/>
          <w:color w:val="auto"/>
          <w:sz w:val="24"/>
          <w:szCs w:val="24"/>
          <w:highlight w:val="none"/>
        </w:rPr>
        <w:t>、更正公告、中标结果的发布：</w:t>
      </w:r>
    </w:p>
    <w:p w14:paraId="6FED80C8">
      <w:pPr>
        <w:keepNext w:val="0"/>
        <w:keepLines w:val="0"/>
        <w:pageBreakBefore w:val="0"/>
        <w:widowControl/>
        <w:shd w:val="clear" w:color="auto" w:fill="FFFFFF"/>
        <w:kinsoku/>
        <w:wordWrap/>
        <w:overflowPunct/>
        <w:topLinePunct w:val="0"/>
        <w:autoSpaceDE/>
        <w:autoSpaceDN/>
        <w:bidi w:val="0"/>
        <w:snapToGrid w:val="0"/>
        <w:spacing w:line="360" w:lineRule="auto"/>
        <w:ind w:firstLine="482" w:firstLineChars="200"/>
        <w:jc w:val="left"/>
        <w:textAlignment w:val="auto"/>
        <w:rPr>
          <w:rFonts w:hint="eastAsia"/>
          <w:b/>
          <w:color w:val="auto"/>
          <w:sz w:val="24"/>
          <w:szCs w:val="24"/>
          <w:highlight w:val="none"/>
          <w:lang w:eastAsia="zh-CN"/>
        </w:rPr>
      </w:pPr>
      <w:r>
        <w:rPr>
          <w:rFonts w:hint="eastAsia"/>
          <w:b/>
          <w:color w:val="auto"/>
          <w:sz w:val="24"/>
          <w:szCs w:val="24"/>
          <w:highlight w:val="none"/>
          <w:lang w:eastAsia="zh-CN"/>
        </w:rPr>
        <w:t>浙江省政府采购网（https://zfcg.czt.zj.gov.cn）</w:t>
      </w:r>
    </w:p>
    <w:p w14:paraId="2CA45227">
      <w:pPr>
        <w:keepNext w:val="0"/>
        <w:keepLines w:val="0"/>
        <w:pageBreakBefore w:val="0"/>
        <w:widowControl/>
        <w:shd w:val="clear" w:color="auto" w:fill="FFFFFF"/>
        <w:kinsoku/>
        <w:wordWrap/>
        <w:overflowPunct/>
        <w:topLinePunct w:val="0"/>
        <w:autoSpaceDE/>
        <w:autoSpaceDN/>
        <w:bidi w:val="0"/>
        <w:snapToGrid w:val="0"/>
        <w:spacing w:line="360" w:lineRule="auto"/>
        <w:ind w:firstLine="480" w:firstLineChars="200"/>
        <w:jc w:val="left"/>
        <w:textAlignment w:val="auto"/>
        <w:rPr>
          <w:rFonts w:hint="eastAsia" w:ascii="宋体" w:hAnsi="宋体" w:cs="宋体"/>
          <w:b/>
          <w:color w:val="auto"/>
          <w:kern w:val="0"/>
          <w:sz w:val="24"/>
          <w:szCs w:val="24"/>
          <w:highlight w:val="none"/>
        </w:rPr>
      </w:pPr>
      <w:r>
        <w:rPr>
          <w:rFonts w:hint="eastAsia" w:ascii="宋体" w:hAnsi="宋体" w:cs="宋体"/>
          <w:color w:val="auto"/>
          <w:kern w:val="0"/>
          <w:sz w:val="24"/>
          <w:szCs w:val="24"/>
          <w:highlight w:val="none"/>
          <w:lang w:val="en-US" w:eastAsia="zh-CN"/>
        </w:rPr>
        <w:t xml:space="preserve"> </w:t>
      </w:r>
      <w:r>
        <w:rPr>
          <w:rFonts w:hint="eastAsia" w:ascii="宋体" w:hAnsi="宋体" w:cs="宋体"/>
          <w:b/>
          <w:color w:val="auto"/>
          <w:kern w:val="0"/>
          <w:sz w:val="24"/>
          <w:szCs w:val="24"/>
          <w:highlight w:val="none"/>
          <w:lang w:val="en-US" w:eastAsia="zh-CN"/>
        </w:rPr>
        <w:t>九</w:t>
      </w:r>
      <w:r>
        <w:rPr>
          <w:rFonts w:hint="eastAsia" w:ascii="宋体" w:hAnsi="宋体" w:cs="宋体"/>
          <w:b/>
          <w:color w:val="auto"/>
          <w:kern w:val="0"/>
          <w:sz w:val="24"/>
          <w:szCs w:val="24"/>
          <w:highlight w:val="none"/>
        </w:rPr>
        <w:t>、联系方式：</w:t>
      </w:r>
    </w:p>
    <w:p w14:paraId="5B603A76">
      <w:pPr>
        <w:keepNext w:val="0"/>
        <w:keepLines w:val="0"/>
        <w:pageBreakBefore w:val="0"/>
        <w:kinsoku/>
        <w:wordWrap/>
        <w:overflowPunct/>
        <w:topLinePunct w:val="0"/>
        <w:autoSpaceDE/>
        <w:autoSpaceDN/>
        <w:bidi w:val="0"/>
        <w:spacing w:line="360" w:lineRule="auto"/>
        <w:ind w:firstLine="0" w:firstLineChars="0"/>
        <w:textAlignment w:val="auto"/>
        <w:rPr>
          <w:rFonts w:hint="eastAsia" w:cs="宋体"/>
          <w:sz w:val="24"/>
          <w:szCs w:val="24"/>
          <w:highlight w:val="none"/>
        </w:rPr>
      </w:pPr>
      <w:r>
        <w:rPr>
          <w:rFonts w:hint="eastAsia" w:cs="宋体"/>
          <w:sz w:val="24"/>
          <w:szCs w:val="24"/>
          <w:highlight w:val="none"/>
          <w:lang w:val="en-US" w:eastAsia="zh-CN"/>
        </w:rPr>
        <w:t xml:space="preserve">    </w:t>
      </w:r>
      <w:r>
        <w:rPr>
          <w:rFonts w:hint="eastAsia" w:cs="宋体"/>
          <w:sz w:val="24"/>
          <w:szCs w:val="24"/>
          <w:highlight w:val="none"/>
        </w:rPr>
        <w:t>招标人：</w:t>
      </w:r>
      <w:r>
        <w:rPr>
          <w:rFonts w:hint="eastAsia" w:cs="宋体"/>
          <w:sz w:val="24"/>
          <w:szCs w:val="24"/>
          <w:highlight w:val="none"/>
          <w:lang w:val="en-US" w:eastAsia="zh-CN"/>
        </w:rPr>
        <w:t xml:space="preserve">杭州市规划和自然资源局临平分局                </w:t>
      </w:r>
    </w:p>
    <w:p w14:paraId="562657C7">
      <w:pPr>
        <w:keepNext w:val="0"/>
        <w:keepLines w:val="0"/>
        <w:pageBreakBefore w:val="0"/>
        <w:kinsoku/>
        <w:wordWrap/>
        <w:overflowPunct/>
        <w:topLinePunct w:val="0"/>
        <w:autoSpaceDE/>
        <w:autoSpaceDN/>
        <w:bidi w:val="0"/>
        <w:spacing w:line="360" w:lineRule="auto"/>
        <w:ind w:firstLine="480" w:firstLineChars="200"/>
        <w:textAlignment w:val="auto"/>
        <w:rPr>
          <w:rFonts w:hint="eastAsia" w:cs="宋体"/>
          <w:sz w:val="24"/>
          <w:szCs w:val="24"/>
          <w:highlight w:val="none"/>
        </w:rPr>
      </w:pPr>
      <w:r>
        <w:rPr>
          <w:rFonts w:hint="eastAsia" w:cs="宋体"/>
          <w:sz w:val="24"/>
          <w:szCs w:val="24"/>
          <w:highlight w:val="none"/>
        </w:rPr>
        <w:t>招标代理机构：</w:t>
      </w:r>
      <w:r>
        <w:rPr>
          <w:rFonts w:hint="eastAsia" w:cs="宋体"/>
          <w:sz w:val="24"/>
          <w:szCs w:val="24"/>
          <w:highlight w:val="none"/>
          <w:lang w:val="en-US" w:eastAsia="zh-CN"/>
        </w:rPr>
        <w:t>大地工程咨询有限公司</w:t>
      </w:r>
      <w:r>
        <w:rPr>
          <w:rFonts w:hint="eastAsia" w:cs="宋体"/>
          <w:sz w:val="24"/>
          <w:szCs w:val="24"/>
          <w:highlight w:val="none"/>
        </w:rPr>
        <w:t xml:space="preserve">   </w:t>
      </w:r>
    </w:p>
    <w:p w14:paraId="76950E5E">
      <w:pPr>
        <w:keepNext w:val="0"/>
        <w:keepLines w:val="0"/>
        <w:pageBreakBefore w:val="0"/>
        <w:kinsoku/>
        <w:wordWrap/>
        <w:overflowPunct/>
        <w:topLinePunct w:val="0"/>
        <w:autoSpaceDE/>
        <w:autoSpaceDN/>
        <w:bidi w:val="0"/>
        <w:spacing w:line="360" w:lineRule="auto"/>
        <w:ind w:firstLine="480" w:firstLineChars="200"/>
        <w:textAlignment w:val="auto"/>
        <w:rPr>
          <w:rFonts w:hint="default" w:cs="宋体"/>
          <w:sz w:val="24"/>
          <w:highlight w:val="none"/>
          <w:lang w:val="en-US" w:eastAsia="zh-CN"/>
        </w:rPr>
      </w:pPr>
      <w:r>
        <w:rPr>
          <w:rFonts w:hint="eastAsia" w:cs="宋体"/>
          <w:sz w:val="24"/>
          <w:szCs w:val="24"/>
          <w:highlight w:val="none"/>
        </w:rPr>
        <w:t>联系人：</w:t>
      </w:r>
      <w:r>
        <w:rPr>
          <w:rFonts w:hint="eastAsia" w:cs="宋体"/>
          <w:sz w:val="24"/>
          <w:szCs w:val="24"/>
          <w:highlight w:val="none"/>
          <w:lang w:val="en-US" w:eastAsia="zh-CN"/>
        </w:rPr>
        <w:t>陈</w:t>
      </w:r>
      <w:r>
        <w:rPr>
          <w:rFonts w:hint="eastAsia" w:cs="宋体"/>
          <w:sz w:val="24"/>
          <w:szCs w:val="24"/>
          <w:highlight w:val="none"/>
          <w:lang w:eastAsia="zh-CN"/>
        </w:rPr>
        <w:t>女士</w:t>
      </w:r>
      <w:r>
        <w:rPr>
          <w:rFonts w:hint="eastAsia" w:cs="宋体"/>
          <w:sz w:val="24"/>
          <w:szCs w:val="24"/>
          <w:highlight w:val="none"/>
        </w:rPr>
        <w:t xml:space="preserve">    联系电话：</w:t>
      </w:r>
      <w:r>
        <w:rPr>
          <w:rFonts w:hint="eastAsia" w:cs="宋体"/>
          <w:sz w:val="24"/>
          <w:szCs w:val="24"/>
          <w:highlight w:val="none"/>
          <w:lang w:val="en-US" w:eastAsia="zh-CN"/>
        </w:rPr>
        <w:t>0571-89162352</w:t>
      </w:r>
    </w:p>
    <w:p w14:paraId="0542EA2F">
      <w:pPr>
        <w:pageBreakBefore w:val="0"/>
        <w:kinsoku/>
        <w:wordWrap/>
        <w:overflowPunct/>
        <w:topLinePunct w:val="0"/>
        <w:autoSpaceDE/>
        <w:autoSpaceDN/>
        <w:bidi w:val="0"/>
        <w:spacing w:line="400" w:lineRule="exact"/>
        <w:ind w:firstLine="570"/>
        <w:jc w:val="right"/>
        <w:textAlignment w:val="auto"/>
        <w:rPr>
          <w:rFonts w:ascii="宋体" w:hAnsi="宋体" w:cs="宋体"/>
          <w:sz w:val="24"/>
          <w:highlight w:val="none"/>
        </w:rPr>
      </w:pPr>
      <w:r>
        <w:rPr>
          <w:rFonts w:ascii="宋体" w:hAnsi="宋体" w:cs="宋体"/>
          <w:sz w:val="24"/>
          <w:highlight w:val="none"/>
        </w:rPr>
        <w:t xml:space="preserve">                    </w:t>
      </w:r>
    </w:p>
    <w:p w14:paraId="43349F56">
      <w:pPr>
        <w:pageBreakBefore w:val="0"/>
        <w:kinsoku/>
        <w:wordWrap/>
        <w:overflowPunct/>
        <w:topLinePunct w:val="0"/>
        <w:autoSpaceDE/>
        <w:autoSpaceDN/>
        <w:bidi w:val="0"/>
        <w:spacing w:line="400" w:lineRule="exact"/>
        <w:ind w:firstLine="570"/>
        <w:jc w:val="right"/>
        <w:textAlignment w:val="auto"/>
        <w:rPr>
          <w:rFonts w:ascii="宋体" w:cs="宋体"/>
          <w:color w:val="FF0000"/>
          <w:sz w:val="24"/>
          <w:highlight w:val="none"/>
        </w:rPr>
      </w:pPr>
      <w:r>
        <w:rPr>
          <w:rFonts w:ascii="宋体" w:hAnsi="宋体" w:cs="宋体"/>
          <w:sz w:val="24"/>
          <w:highlight w:val="none"/>
        </w:rPr>
        <w:t xml:space="preserve"> </w:t>
      </w:r>
      <w:r>
        <w:rPr>
          <w:rFonts w:hint="eastAsia" w:ascii="宋体" w:hAnsi="宋体" w:cs="宋体"/>
          <w:sz w:val="24"/>
          <w:highlight w:val="none"/>
        </w:rPr>
        <w:t>招标人：</w:t>
      </w:r>
      <w:r>
        <w:rPr>
          <w:rFonts w:hint="eastAsia" w:ascii="宋体" w:hAnsi="宋体" w:cs="宋体"/>
          <w:sz w:val="24"/>
          <w:highlight w:val="none"/>
          <w:lang w:val="en-US" w:eastAsia="zh-CN"/>
        </w:rPr>
        <w:t xml:space="preserve">杭州市规划和自然资源局临平分局                </w:t>
      </w:r>
    </w:p>
    <w:p w14:paraId="36FA6FBC">
      <w:pPr>
        <w:jc w:val="right"/>
      </w:pPr>
      <w:r>
        <w:rPr>
          <w:rFonts w:hint="eastAsia" w:ascii="宋体" w:hAnsi="宋体" w:cs="宋体"/>
          <w:color w:val="auto"/>
          <w:sz w:val="24"/>
          <w:highlight w:val="none"/>
          <w:lang w:eastAsia="zh-CN"/>
        </w:rPr>
        <w:t>2025</w:t>
      </w:r>
      <w:r>
        <w:rPr>
          <w:rFonts w:hint="eastAsia" w:ascii="宋体" w:hAnsi="宋体" w:cs="宋体"/>
          <w:color w:val="auto"/>
          <w:sz w:val="24"/>
          <w:highlight w:val="none"/>
        </w:rPr>
        <w:t>年</w:t>
      </w:r>
      <w:r>
        <w:rPr>
          <w:rFonts w:hint="eastAsia" w:ascii="宋体" w:hAnsi="宋体" w:cs="宋体"/>
          <w:sz w:val="24"/>
          <w:highlight w:val="none"/>
          <w:lang w:val="en-US" w:eastAsia="zh-CN"/>
        </w:rPr>
        <w:t>6月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E93E89"/>
    <w:multiLevelType w:val="singleLevel"/>
    <w:tmpl w:val="6DE93E8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B33362"/>
    <w:rsid w:val="32153C73"/>
    <w:rsid w:val="70352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ascii="仿宋_GB2312" w:eastAsia="仿宋_GB2312"/>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pPr>
      <w:widowControl/>
      <w:spacing w:after="100" w:line="276" w:lineRule="auto"/>
      <w:jc w:val="left"/>
    </w:pPr>
    <w:rPr>
      <w:rFonts w:ascii="Calibri" w:hAnsi="Calibri"/>
      <w:kern w:val="0"/>
      <w:sz w:val="22"/>
      <w:szCs w:val="22"/>
    </w:rPr>
  </w:style>
  <w:style w:type="paragraph" w:customStyle="1" w:styleId="6">
    <w:name w:val="样式1"/>
    <w:basedOn w:val="3"/>
    <w:qFormat/>
    <w:uiPriority w:val="0"/>
    <w:pPr>
      <w:spacing w:line="576" w:lineRule="auto"/>
      <w:jc w:val="center"/>
    </w:pPr>
    <w:rPr>
      <w:rFonts w:ascii="Calibri" w:hAnsi="Calibri" w:eastAsia="黑体"/>
    </w:rPr>
  </w:style>
  <w:style w:type="paragraph" w:customStyle="1" w:styleId="7">
    <w:name w:val="p0"/>
    <w:basedOn w:val="1"/>
    <w:autoRedefine/>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2025-06-17T05:44:48Z</dcterms:created>
  <dc:creator>JZ</dc:creator>
  <cp:lastModifiedBy>Robin酱。</cp:lastModifiedBy>
  <dcterms:modified xsi:type="dcterms:W3CDTF">2025-06-17T05:50:02Z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eyJoZGlkIjoiODZkMTQwODIxMTgwMWZlZjYyMzFhZGZhZTQ3Y2QzMjciLCJ1c2VySWQiOiI2OTg2NTY1NzUifQ==</vt:lpwstr>
  </property>
  <property fmtid="{D5CDD505-2E9C-101B-9397-08002B2CF9AE}" pid="4" name="ICV">
    <vt:lpwstr>50FC58DE76C642EA9743E4675DC20D27_12</vt:lpwstr>
  </property>
</Properties>
</file>