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5604D">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基本格式：</w:t>
      </w:r>
    </w:p>
    <w:p w14:paraId="42EE838E">
      <w:pPr>
        <w:jc w:val="center"/>
        <w:rPr>
          <w:rFonts w:hint="eastAsia" w:ascii="宋体" w:hAnsi="宋体" w:eastAsia="宋体" w:cs="宋体"/>
          <w:color w:val="auto"/>
          <w:sz w:val="28"/>
          <w:szCs w:val="28"/>
          <w:highlight w:val="none"/>
        </w:rPr>
      </w:pPr>
      <w:r>
        <w:rPr>
          <w:rFonts w:hint="eastAsia" w:ascii="宋体" w:hAnsi="宋体" w:eastAsia="宋体" w:cs="宋体"/>
          <w:b/>
          <w:color w:val="auto"/>
          <w:sz w:val="32"/>
          <w:szCs w:val="32"/>
          <w:highlight w:val="none"/>
        </w:rPr>
        <w:t>关于对★★★★★★★★★★★★★★项目的意见建议</w:t>
      </w:r>
    </w:p>
    <w:p w14:paraId="24A8A926">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致：</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有限公司</w:t>
      </w:r>
    </w:p>
    <w:p w14:paraId="14939AAE">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对于贵公司于</w:t>
      </w:r>
      <w:r>
        <w:rPr>
          <w:rFonts w:hint="eastAsia" w:ascii="宋体" w:hAnsi="宋体" w:eastAsia="宋体" w:cs="宋体"/>
          <w:color w:val="auto"/>
          <w:sz w:val="28"/>
          <w:szCs w:val="28"/>
          <w:highlight w:val="none"/>
          <w:lang w:eastAsia="zh-CN"/>
        </w:rPr>
        <w:t>20</w:t>
      </w:r>
      <w:r>
        <w:rPr>
          <w:rFonts w:hint="eastAsia" w:ascii="宋体" w:hAnsi="宋体" w:eastAsia="宋体" w:cs="宋体"/>
          <w:color w:val="auto"/>
          <w:sz w:val="28"/>
          <w:szCs w:val="28"/>
          <w:highlight w:val="none"/>
          <w:lang w:val="en-US" w:eastAsia="zh-CN"/>
        </w:rPr>
        <w:t>25</w:t>
      </w:r>
      <w:r>
        <w:rPr>
          <w:rFonts w:hint="eastAsia" w:ascii="宋体" w:hAnsi="宋体" w:eastAsia="宋体" w:cs="宋体"/>
          <w:color w:val="auto"/>
          <w:sz w:val="28"/>
          <w:szCs w:val="28"/>
          <w:highlight w:val="none"/>
        </w:rPr>
        <w:t>年★月★日公示的★★★★★★★★★★★★★★★★★★★★★项目采购要素，我公司有如下意见建议：</w:t>
      </w:r>
    </w:p>
    <w:tbl>
      <w:tblPr>
        <w:tblStyle w:val="12"/>
        <w:tblW w:w="0" w:type="auto"/>
        <w:tblInd w:w="0" w:type="dxa"/>
        <w:tblLayout w:type="fixed"/>
        <w:tblCellMar>
          <w:top w:w="0" w:type="dxa"/>
          <w:left w:w="108" w:type="dxa"/>
          <w:bottom w:w="0" w:type="dxa"/>
          <w:right w:w="108" w:type="dxa"/>
        </w:tblCellMar>
      </w:tblPr>
      <w:tblGrid>
        <w:gridCol w:w="4261"/>
        <w:gridCol w:w="4261"/>
      </w:tblGrid>
      <w:tr w14:paraId="64DFCA60">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1AD05314">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原条款</w:t>
            </w:r>
          </w:p>
        </w:tc>
        <w:tc>
          <w:tcPr>
            <w:tcW w:w="4261" w:type="dxa"/>
            <w:tcBorders>
              <w:top w:val="single" w:color="auto" w:sz="4" w:space="0"/>
              <w:left w:val="single" w:color="auto" w:sz="4" w:space="0"/>
              <w:bottom w:val="single" w:color="auto" w:sz="4" w:space="0"/>
              <w:right w:val="single" w:color="auto" w:sz="4" w:space="0"/>
            </w:tcBorders>
            <w:noWrap w:val="0"/>
            <w:vAlign w:val="top"/>
          </w:tcPr>
          <w:p w14:paraId="5077C630">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本公司意见建议</w:t>
            </w:r>
          </w:p>
        </w:tc>
      </w:tr>
      <w:tr w14:paraId="057EEADA">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09CFEE96">
            <w:pPr>
              <w:jc w:val="center"/>
              <w:rPr>
                <w:rFonts w:hint="eastAsia" w:ascii="宋体" w:hAnsi="宋体" w:eastAsia="宋体" w:cs="宋体"/>
                <w:color w:val="auto"/>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7F7B703F">
            <w:pPr>
              <w:jc w:val="center"/>
              <w:rPr>
                <w:rFonts w:hint="eastAsia" w:ascii="宋体" w:hAnsi="宋体" w:eastAsia="宋体" w:cs="宋体"/>
                <w:color w:val="auto"/>
                <w:sz w:val="28"/>
                <w:szCs w:val="28"/>
                <w:highlight w:val="none"/>
              </w:rPr>
            </w:pPr>
          </w:p>
        </w:tc>
      </w:tr>
      <w:tr w14:paraId="64AE7EBE">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47581F25">
            <w:pPr>
              <w:jc w:val="center"/>
              <w:rPr>
                <w:rFonts w:hint="eastAsia" w:ascii="宋体" w:hAnsi="宋体" w:eastAsia="宋体" w:cs="宋体"/>
                <w:color w:val="auto"/>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5D49AA30">
            <w:pPr>
              <w:jc w:val="center"/>
              <w:rPr>
                <w:rFonts w:hint="eastAsia" w:ascii="宋体" w:hAnsi="宋体" w:eastAsia="宋体" w:cs="宋体"/>
                <w:color w:val="auto"/>
                <w:sz w:val="28"/>
                <w:szCs w:val="28"/>
                <w:highlight w:val="none"/>
              </w:rPr>
            </w:pPr>
          </w:p>
        </w:tc>
      </w:tr>
      <w:tr w14:paraId="13F8F905">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68F8A3A4">
            <w:pPr>
              <w:jc w:val="center"/>
              <w:rPr>
                <w:rFonts w:hint="eastAsia" w:ascii="宋体" w:hAnsi="宋体" w:eastAsia="宋体" w:cs="宋体"/>
                <w:color w:val="auto"/>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08AD2B74">
            <w:pPr>
              <w:jc w:val="center"/>
              <w:rPr>
                <w:rFonts w:hint="eastAsia" w:ascii="宋体" w:hAnsi="宋体" w:eastAsia="宋体" w:cs="宋体"/>
                <w:color w:val="auto"/>
                <w:sz w:val="28"/>
                <w:szCs w:val="28"/>
                <w:highlight w:val="none"/>
              </w:rPr>
            </w:pPr>
          </w:p>
        </w:tc>
      </w:tr>
    </w:tbl>
    <w:p w14:paraId="3E876E53">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传    真：★★★★★★★★</w:t>
      </w:r>
    </w:p>
    <w:p w14:paraId="2A66B503">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 系 人：★★★★★★★★</w:t>
      </w:r>
    </w:p>
    <w:p w14:paraId="15ACA308">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p>
    <w:p w14:paraId="7B22346E">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联系手机：★★★★★★★★</w:t>
      </w:r>
    </w:p>
    <w:p w14:paraId="3DFB8B94">
      <w:pPr>
        <w:ind w:left="4480" w:hanging="4480" w:hangingChars="1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电子邮箱：★★★★★★★★                       </w:t>
      </w:r>
    </w:p>
    <w:p w14:paraId="71B635E5">
      <w:pPr>
        <w:ind w:left="4481" w:leftChars="2134" w:firstLine="140" w:firstLineChars="50"/>
        <w:rPr>
          <w:rFonts w:hint="eastAsia" w:ascii="宋体" w:hAnsi="宋体" w:eastAsia="宋体" w:cs="宋体"/>
          <w:color w:val="auto"/>
          <w:sz w:val="28"/>
          <w:szCs w:val="28"/>
          <w:highlight w:val="none"/>
        </w:rPr>
      </w:pPr>
    </w:p>
    <w:p w14:paraId="10DAAD95">
      <w:pPr>
        <w:ind w:left="4481" w:leftChars="2134" w:firstLine="140" w:firstLineChars="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单位名称：（加盖公章）</w:t>
      </w:r>
    </w:p>
    <w:p w14:paraId="639F2C15">
      <w:pPr>
        <w:ind w:left="4760" w:hanging="4760" w:hangingChars="1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二O</w:t>
      </w:r>
      <w:r>
        <w:rPr>
          <w:rFonts w:hint="eastAsia" w:ascii="宋体" w:hAnsi="宋体" w:eastAsia="宋体" w:cs="宋体"/>
          <w:color w:val="auto"/>
          <w:sz w:val="28"/>
          <w:szCs w:val="28"/>
          <w:highlight w:val="none"/>
          <w:lang w:val="en-US" w:eastAsia="zh-CN"/>
        </w:rPr>
        <w:t>二五</w:t>
      </w:r>
      <w:r>
        <w:rPr>
          <w:rFonts w:hint="eastAsia" w:ascii="宋体" w:hAnsi="宋体" w:eastAsia="宋体" w:cs="宋体"/>
          <w:color w:val="auto"/>
          <w:sz w:val="28"/>
          <w:szCs w:val="28"/>
          <w:highlight w:val="none"/>
        </w:rPr>
        <w:t>年★月★日</w:t>
      </w:r>
    </w:p>
    <w:p w14:paraId="020F5DBF">
      <w:pPr>
        <w:rPr>
          <w:rFonts w:hint="eastAsia" w:ascii="宋体" w:hAnsi="宋体" w:eastAsia="宋体" w:cs="宋体"/>
          <w:color w:val="auto"/>
          <w:highlight w:val="none"/>
        </w:rPr>
      </w:pPr>
    </w:p>
    <w:p w14:paraId="440DB235">
      <w:pPr>
        <w:rPr>
          <w:rFonts w:hint="eastAsia" w:ascii="宋体" w:hAnsi="宋体" w:eastAsia="宋体" w:cs="宋体"/>
          <w:color w:val="auto"/>
          <w:highlight w:val="none"/>
        </w:rPr>
      </w:pPr>
      <w:r>
        <w:rPr>
          <w:rFonts w:hint="eastAsia" w:ascii="宋体" w:hAnsi="宋体" w:eastAsia="宋体" w:cs="宋体"/>
          <w:color w:val="auto"/>
          <w:highlight w:val="none"/>
        </w:rPr>
        <w:t>注：</w:t>
      </w:r>
    </w:p>
    <w:p w14:paraId="58443AA2">
      <w:pPr>
        <w:rPr>
          <w:rFonts w:hint="eastAsia" w:ascii="宋体" w:hAnsi="宋体" w:eastAsia="宋体" w:cs="宋体"/>
          <w:color w:val="auto"/>
          <w:highlight w:val="none"/>
        </w:rPr>
      </w:pPr>
      <w:r>
        <w:rPr>
          <w:rFonts w:hint="eastAsia" w:ascii="宋体" w:hAnsi="宋体" w:eastAsia="宋体" w:cs="宋体"/>
          <w:color w:val="auto"/>
          <w:highlight w:val="none"/>
        </w:rPr>
        <w:t>1、针对本项目的意见建议仅供采购人完善采购需求参考所用！</w:t>
      </w:r>
    </w:p>
    <w:p w14:paraId="00F28D9E">
      <w:pPr>
        <w:rPr>
          <w:rFonts w:hint="eastAsia" w:ascii="宋体" w:hAnsi="宋体" w:eastAsia="宋体" w:cs="宋体"/>
          <w:color w:val="auto"/>
          <w:highlight w:val="none"/>
        </w:rPr>
      </w:pPr>
      <w:r>
        <w:rPr>
          <w:rFonts w:hint="eastAsia" w:ascii="宋体" w:hAnsi="宋体" w:eastAsia="宋体" w:cs="宋体"/>
          <w:color w:val="auto"/>
          <w:highlight w:val="none"/>
        </w:rPr>
        <w:t>2、意见建议以书面（含传真）为准，供应商必须同时提供WORD版电子稿，并电话与公司项目联系人确认接收，否则视为供应商未提交书面意见建议。</w:t>
      </w:r>
    </w:p>
    <w:p w14:paraId="2F41400E">
      <w:pPr>
        <w:adjustRightInd w:val="0"/>
        <w:snapToGrid w:val="0"/>
        <w:spacing w:line="312" w:lineRule="auto"/>
        <w:jc w:val="center"/>
        <w:rPr>
          <w:rFonts w:hint="eastAsia" w:ascii="宋体" w:hAnsi="宋体" w:cs="宋体"/>
          <w:b/>
          <w:color w:val="auto"/>
          <w:sz w:val="36"/>
          <w:szCs w:val="36"/>
        </w:rPr>
        <w:sectPr>
          <w:headerReference r:id="rId3" w:type="default"/>
          <w:footerReference r:id="rId4" w:type="default"/>
          <w:pgSz w:w="11906" w:h="16838"/>
          <w:pgMar w:top="1236" w:right="1179" w:bottom="1236" w:left="1179" w:header="851" w:footer="992" w:gutter="0"/>
          <w:pgNumType w:start="1"/>
          <w:cols w:space="720" w:num="1"/>
          <w:docGrid w:type="lines" w:linePitch="312" w:charSpace="0"/>
        </w:sectPr>
      </w:pPr>
    </w:p>
    <w:p w14:paraId="0913B936">
      <w:pPr>
        <w:adjustRightInd w:val="0"/>
        <w:snapToGrid w:val="0"/>
        <w:spacing w:line="312" w:lineRule="auto"/>
        <w:jc w:val="center"/>
        <w:rPr>
          <w:rFonts w:hint="eastAsia" w:ascii="宋体" w:hAnsi="宋体" w:cs="宋体"/>
          <w:b/>
          <w:color w:val="auto"/>
          <w:sz w:val="36"/>
          <w:szCs w:val="36"/>
        </w:rPr>
      </w:pPr>
      <w:r>
        <w:rPr>
          <w:rFonts w:hint="eastAsia" w:ascii="宋体" w:hAnsi="宋体" w:eastAsia="宋体" w:cs="宋体"/>
          <w:b/>
          <w:color w:val="auto"/>
          <w:sz w:val="36"/>
          <w:szCs w:val="36"/>
          <w:lang w:eastAsia="zh-CN"/>
        </w:rPr>
        <w:t>浙江农林大学暨阳学院2025年</w:t>
      </w:r>
      <w:r>
        <w:rPr>
          <w:rFonts w:hint="eastAsia" w:ascii="宋体" w:hAnsi="宋体" w:eastAsia="宋体" w:cs="宋体"/>
          <w:b/>
          <w:color w:val="auto"/>
          <w:sz w:val="36"/>
          <w:szCs w:val="36"/>
          <w:lang w:val="en-US" w:eastAsia="zh-CN"/>
        </w:rPr>
        <w:t>学生</w:t>
      </w:r>
      <w:r>
        <w:rPr>
          <w:rFonts w:hint="eastAsia" w:ascii="宋体" w:hAnsi="宋体" w:eastAsia="宋体" w:cs="宋体"/>
          <w:b/>
          <w:color w:val="auto"/>
          <w:sz w:val="36"/>
          <w:szCs w:val="36"/>
          <w:lang w:eastAsia="zh-CN"/>
        </w:rPr>
        <w:t>保险采购</w:t>
      </w:r>
      <w:r>
        <w:rPr>
          <w:rFonts w:hint="eastAsia" w:ascii="宋体" w:hAnsi="宋体" w:eastAsia="宋体" w:cs="宋体"/>
          <w:b/>
          <w:color w:val="auto"/>
          <w:sz w:val="36"/>
          <w:szCs w:val="36"/>
        </w:rPr>
        <w:t>项</w:t>
      </w:r>
      <w:r>
        <w:rPr>
          <w:rFonts w:hint="eastAsia" w:ascii="宋体" w:hAnsi="宋体" w:cs="宋体"/>
          <w:b/>
          <w:color w:val="auto"/>
          <w:sz w:val="36"/>
          <w:szCs w:val="36"/>
        </w:rPr>
        <w:t>目要素</w:t>
      </w:r>
    </w:p>
    <w:p w14:paraId="35CE2740">
      <w:pPr>
        <w:autoSpaceDE w:val="0"/>
        <w:autoSpaceDN w:val="0"/>
        <w:adjustRightInd w:val="0"/>
        <w:spacing w:line="312" w:lineRule="auto"/>
        <w:ind w:firstLine="482" w:firstLineChars="200"/>
        <w:rPr>
          <w:rFonts w:hint="eastAsia" w:ascii="宋体" w:hAnsi="宋体" w:eastAsia="宋体" w:cs="宋体"/>
          <w:color w:val="auto"/>
          <w:sz w:val="24"/>
          <w:lang w:val="en-US" w:eastAsia="zh-CN"/>
        </w:rPr>
      </w:pPr>
      <w:r>
        <w:rPr>
          <w:rFonts w:hint="eastAsia" w:ascii="宋体" w:hAnsi="宋体" w:cs="宋体"/>
          <w:b/>
          <w:color w:val="auto"/>
          <w:sz w:val="24"/>
        </w:rPr>
        <w:t>一、项目名称：</w:t>
      </w:r>
      <w:r>
        <w:rPr>
          <w:rFonts w:hint="eastAsia" w:ascii="宋体" w:hAnsi="宋体" w:cs="宋体"/>
          <w:color w:val="auto"/>
          <w:sz w:val="24"/>
          <w:lang w:val="en-US" w:eastAsia="zh-CN"/>
        </w:rPr>
        <w:t>浙江农林大学暨阳学院2025年学生保险</w:t>
      </w:r>
      <w:r>
        <w:rPr>
          <w:rFonts w:hint="eastAsia" w:ascii="宋体" w:hAnsi="宋体" w:eastAsia="宋体" w:cs="宋体"/>
          <w:color w:val="auto"/>
          <w:sz w:val="24"/>
          <w:lang w:val="en-US" w:eastAsia="zh-CN"/>
        </w:rPr>
        <w:t>采购项目</w:t>
      </w:r>
    </w:p>
    <w:p w14:paraId="4D30FBBE">
      <w:pPr>
        <w:adjustRightInd w:val="0"/>
        <w:snapToGrid w:val="0"/>
        <w:spacing w:line="312" w:lineRule="auto"/>
        <w:ind w:firstLine="482" w:firstLineChars="200"/>
        <w:rPr>
          <w:rFonts w:hint="eastAsia" w:ascii="宋体" w:hAnsi="宋体" w:cs="宋体"/>
          <w:color w:val="auto"/>
          <w:sz w:val="24"/>
        </w:rPr>
      </w:pPr>
      <w:r>
        <w:rPr>
          <w:rFonts w:hint="eastAsia" w:ascii="宋体" w:hAnsi="宋体" w:cs="宋体"/>
          <w:b/>
          <w:color w:val="auto"/>
          <w:sz w:val="24"/>
        </w:rPr>
        <w:t>二、项目内容及规模：</w:t>
      </w:r>
      <w:bookmarkStart w:id="0" w:name="_Hlk44573494"/>
      <w:bookmarkStart w:id="1" w:name="_Hlk44574602"/>
      <w:r>
        <w:rPr>
          <w:rFonts w:hint="eastAsia" w:ascii="宋体" w:hAnsi="宋体" w:cs="宋体"/>
          <w:color w:val="auto"/>
          <w:sz w:val="24"/>
          <w:lang w:val="en-US" w:eastAsia="zh-CN"/>
        </w:rPr>
        <w:t>浙江农林大学暨阳学院2025年学生保险</w:t>
      </w:r>
      <w:r>
        <w:rPr>
          <w:rFonts w:hint="eastAsia" w:ascii="宋体" w:hAnsi="宋体" w:eastAsia="宋体" w:cs="宋体"/>
          <w:color w:val="auto"/>
          <w:sz w:val="24"/>
          <w:lang w:val="en-US" w:eastAsia="zh-CN"/>
        </w:rPr>
        <w:t>采购</w:t>
      </w:r>
      <w:r>
        <w:rPr>
          <w:rFonts w:hint="eastAsia" w:ascii="宋体" w:hAnsi="宋体" w:cs="宋体"/>
          <w:color w:val="auto"/>
          <w:sz w:val="24"/>
        </w:rPr>
        <w:t>，</w:t>
      </w:r>
      <w:bookmarkEnd w:id="0"/>
      <w:bookmarkEnd w:id="1"/>
      <w:r>
        <w:rPr>
          <w:rFonts w:hint="eastAsia" w:ascii="宋体" w:hAnsi="宋体" w:cs="宋体"/>
          <w:color w:val="auto"/>
          <w:sz w:val="24"/>
          <w:lang w:val="en-US" w:eastAsia="zh-CN"/>
        </w:rPr>
        <w:t>本项目共一个标的，按单价招标，数量按实结算，最高单价限价详见下表</w:t>
      </w:r>
      <w:r>
        <w:rPr>
          <w:rFonts w:hint="eastAsia" w:ascii="宋体" w:hAnsi="宋体" w:cs="宋体"/>
          <w:color w:val="auto"/>
          <w:sz w:val="24"/>
        </w:rPr>
        <w:t>，</w:t>
      </w:r>
      <w:r>
        <w:rPr>
          <w:rFonts w:hint="eastAsia" w:ascii="宋体" w:hAnsi="宋体" w:cs="宋体"/>
          <w:color w:val="auto"/>
          <w:sz w:val="24"/>
          <w:lang w:val="en-US" w:eastAsia="zh-CN"/>
        </w:rPr>
        <w:t>具体内容</w:t>
      </w:r>
      <w:r>
        <w:rPr>
          <w:rFonts w:hint="eastAsia" w:ascii="宋体" w:hAnsi="宋体" w:cs="宋体"/>
          <w:color w:val="auto"/>
          <w:sz w:val="24"/>
        </w:rPr>
        <w:t>详见采购需求。</w:t>
      </w:r>
    </w:p>
    <w:tbl>
      <w:tblPr>
        <w:tblStyle w:val="13"/>
        <w:tblW w:w="9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728"/>
        <w:gridCol w:w="1869"/>
        <w:gridCol w:w="1869"/>
        <w:gridCol w:w="3450"/>
      </w:tblGrid>
      <w:tr w14:paraId="48FEE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31" w:type="dxa"/>
            <w:vAlign w:val="center"/>
          </w:tcPr>
          <w:p w14:paraId="10E46A96">
            <w:pPr>
              <w:adjustRightInd w:val="0"/>
              <w:snapToGrid w:val="0"/>
              <w:spacing w:line="240" w:lineRule="auto"/>
              <w:jc w:val="center"/>
              <w:rPr>
                <w:rFonts w:hint="eastAsia" w:ascii="宋体" w:hAnsi="宋体" w:eastAsia="宋体" w:cs="宋体"/>
                <w:b/>
                <w:bCs/>
                <w:color w:val="auto"/>
                <w:sz w:val="24"/>
                <w:vertAlign w:val="baseline"/>
                <w:lang w:val="en-US" w:eastAsia="zh-CN"/>
              </w:rPr>
            </w:pPr>
            <w:r>
              <w:rPr>
                <w:rFonts w:hint="eastAsia" w:ascii="宋体" w:hAnsi="宋体" w:cs="宋体"/>
                <w:b/>
                <w:bCs/>
                <w:color w:val="auto"/>
                <w:sz w:val="24"/>
                <w:vertAlign w:val="baseline"/>
                <w:lang w:val="en-US" w:eastAsia="zh-CN"/>
              </w:rPr>
              <w:t>序号</w:t>
            </w:r>
          </w:p>
        </w:tc>
        <w:tc>
          <w:tcPr>
            <w:tcW w:w="1728" w:type="dxa"/>
            <w:vAlign w:val="center"/>
          </w:tcPr>
          <w:p w14:paraId="6D44D591">
            <w:pPr>
              <w:adjustRightInd w:val="0"/>
              <w:snapToGrid w:val="0"/>
              <w:spacing w:line="240" w:lineRule="auto"/>
              <w:jc w:val="center"/>
              <w:rPr>
                <w:rFonts w:hint="eastAsia" w:ascii="宋体" w:hAnsi="宋体" w:eastAsia="宋体" w:cs="宋体"/>
                <w:b/>
                <w:bCs/>
                <w:color w:val="auto"/>
                <w:sz w:val="24"/>
                <w:vertAlign w:val="baseline"/>
                <w:lang w:val="en-US" w:eastAsia="zh-CN"/>
              </w:rPr>
            </w:pPr>
            <w:r>
              <w:rPr>
                <w:rFonts w:hint="eastAsia" w:ascii="宋体" w:hAnsi="宋体" w:cs="宋体"/>
                <w:b/>
                <w:bCs/>
                <w:color w:val="auto"/>
                <w:sz w:val="24"/>
                <w:vertAlign w:val="baseline"/>
                <w:lang w:val="en-US" w:eastAsia="zh-CN"/>
              </w:rPr>
              <w:t>内容</w:t>
            </w:r>
          </w:p>
        </w:tc>
        <w:tc>
          <w:tcPr>
            <w:tcW w:w="1869" w:type="dxa"/>
            <w:vAlign w:val="center"/>
          </w:tcPr>
          <w:p w14:paraId="1D3DB0F8">
            <w:pPr>
              <w:adjustRightInd w:val="0"/>
              <w:snapToGrid w:val="0"/>
              <w:spacing w:line="240" w:lineRule="auto"/>
              <w:jc w:val="center"/>
              <w:rPr>
                <w:rFonts w:hint="default" w:ascii="宋体" w:hAnsi="宋体" w:cs="宋体"/>
                <w:b/>
                <w:bCs/>
                <w:color w:val="auto"/>
                <w:sz w:val="24"/>
                <w:vertAlign w:val="baseline"/>
                <w:lang w:val="en-US" w:eastAsia="zh-CN"/>
              </w:rPr>
            </w:pPr>
            <w:r>
              <w:rPr>
                <w:rFonts w:hint="eastAsia" w:ascii="宋体" w:hAnsi="宋体" w:cs="宋体"/>
                <w:b/>
                <w:bCs/>
                <w:color w:val="auto"/>
                <w:sz w:val="24"/>
                <w:vertAlign w:val="baseline"/>
                <w:lang w:val="en-US" w:eastAsia="zh-CN"/>
              </w:rPr>
              <w:t>人数（预估）</w:t>
            </w:r>
          </w:p>
        </w:tc>
        <w:tc>
          <w:tcPr>
            <w:tcW w:w="1869" w:type="dxa"/>
            <w:vAlign w:val="center"/>
          </w:tcPr>
          <w:p w14:paraId="36ABA371">
            <w:pPr>
              <w:adjustRightInd w:val="0"/>
              <w:snapToGrid w:val="0"/>
              <w:spacing w:line="240" w:lineRule="auto"/>
              <w:jc w:val="center"/>
              <w:rPr>
                <w:rFonts w:hint="default" w:ascii="宋体" w:hAnsi="宋体" w:eastAsia="宋体" w:cs="宋体"/>
                <w:b/>
                <w:bCs/>
                <w:color w:val="auto"/>
                <w:sz w:val="24"/>
                <w:vertAlign w:val="baseline"/>
                <w:lang w:val="en-US" w:eastAsia="zh-CN"/>
              </w:rPr>
            </w:pPr>
            <w:r>
              <w:rPr>
                <w:rFonts w:hint="eastAsia" w:ascii="宋体" w:hAnsi="宋体" w:cs="宋体"/>
                <w:b/>
                <w:bCs/>
                <w:color w:val="auto"/>
                <w:sz w:val="24"/>
                <w:vertAlign w:val="baseline"/>
                <w:lang w:val="en-US" w:eastAsia="zh-CN"/>
              </w:rPr>
              <w:t>最高单价限价</w:t>
            </w:r>
          </w:p>
        </w:tc>
        <w:tc>
          <w:tcPr>
            <w:tcW w:w="3450" w:type="dxa"/>
            <w:vAlign w:val="center"/>
          </w:tcPr>
          <w:p w14:paraId="3D17339A">
            <w:pPr>
              <w:adjustRightInd w:val="0"/>
              <w:snapToGrid w:val="0"/>
              <w:spacing w:line="240" w:lineRule="auto"/>
              <w:jc w:val="center"/>
              <w:rPr>
                <w:rFonts w:hint="eastAsia" w:ascii="宋体" w:hAnsi="宋体" w:eastAsia="宋体" w:cs="宋体"/>
                <w:b/>
                <w:bCs/>
                <w:color w:val="auto"/>
                <w:sz w:val="24"/>
                <w:vertAlign w:val="baseline"/>
                <w:lang w:val="en-US" w:eastAsia="zh-CN"/>
              </w:rPr>
            </w:pPr>
            <w:r>
              <w:rPr>
                <w:rFonts w:hint="eastAsia" w:ascii="宋体" w:hAnsi="宋体" w:cs="宋体"/>
                <w:b/>
                <w:bCs/>
                <w:color w:val="auto"/>
                <w:sz w:val="24"/>
                <w:vertAlign w:val="baseline"/>
                <w:lang w:val="en-US" w:eastAsia="zh-CN"/>
              </w:rPr>
              <w:t>备注</w:t>
            </w:r>
          </w:p>
        </w:tc>
      </w:tr>
      <w:tr w14:paraId="2D91D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731" w:type="dxa"/>
            <w:vAlign w:val="center"/>
          </w:tcPr>
          <w:p w14:paraId="5EC29834">
            <w:pPr>
              <w:adjustRightInd w:val="0"/>
              <w:snapToGrid w:val="0"/>
              <w:spacing w:line="240" w:lineRule="auto"/>
              <w:jc w:val="center"/>
              <w:rPr>
                <w:rFonts w:hint="eastAsia" w:ascii="宋体" w:hAnsi="宋体" w:cs="宋体"/>
                <w:color w:val="auto"/>
                <w:sz w:val="24"/>
                <w:vertAlign w:val="baseline"/>
                <w:lang w:val="en-US" w:eastAsia="zh-CN"/>
              </w:rPr>
            </w:pPr>
            <w:r>
              <w:rPr>
                <w:rFonts w:hint="eastAsia" w:ascii="宋体" w:hAnsi="宋体" w:cs="宋体"/>
                <w:color w:val="auto"/>
                <w:sz w:val="24"/>
                <w:vertAlign w:val="baseline"/>
                <w:lang w:val="en-US" w:eastAsia="zh-CN"/>
              </w:rPr>
              <w:t>1</w:t>
            </w:r>
          </w:p>
        </w:tc>
        <w:tc>
          <w:tcPr>
            <w:tcW w:w="1728" w:type="dxa"/>
            <w:vAlign w:val="center"/>
          </w:tcPr>
          <w:p w14:paraId="7D07F23C">
            <w:pPr>
              <w:adjustRightInd w:val="0"/>
              <w:snapToGrid w:val="0"/>
              <w:spacing w:line="240" w:lineRule="auto"/>
              <w:jc w:val="center"/>
              <w:rPr>
                <w:rFonts w:hint="eastAsia" w:ascii="宋体" w:hAnsi="宋体" w:cs="宋体"/>
                <w:color w:val="auto"/>
                <w:sz w:val="24"/>
                <w:vertAlign w:val="baseline"/>
                <w:lang w:val="en-US" w:eastAsia="zh-CN"/>
              </w:rPr>
            </w:pPr>
            <w:r>
              <w:rPr>
                <w:rFonts w:hint="eastAsia" w:ascii="宋体" w:hAnsi="宋体" w:cs="宋体"/>
                <w:color w:val="auto"/>
                <w:sz w:val="24"/>
                <w:vertAlign w:val="baseline"/>
                <w:lang w:val="en-US" w:eastAsia="zh-CN"/>
              </w:rPr>
              <w:t>大学生商业保险</w:t>
            </w:r>
          </w:p>
        </w:tc>
        <w:tc>
          <w:tcPr>
            <w:tcW w:w="1869" w:type="dxa"/>
            <w:vMerge w:val="restart"/>
            <w:vAlign w:val="center"/>
          </w:tcPr>
          <w:p w14:paraId="6A24B1E2">
            <w:pPr>
              <w:adjustRightInd w:val="0"/>
              <w:snapToGrid w:val="0"/>
              <w:spacing w:line="240" w:lineRule="auto"/>
              <w:jc w:val="center"/>
              <w:rPr>
                <w:rFonts w:hint="eastAsia" w:ascii="宋体" w:hAnsi="宋体" w:cs="宋体"/>
                <w:color w:val="auto"/>
                <w:sz w:val="24"/>
                <w:vertAlign w:val="baseline"/>
                <w:lang w:val="en-US" w:eastAsia="zh-CN"/>
              </w:rPr>
            </w:pPr>
            <w:r>
              <w:rPr>
                <w:rFonts w:hint="eastAsia" w:ascii="宋体" w:hAnsi="宋体" w:cs="宋体"/>
                <w:color w:val="auto"/>
                <w:sz w:val="24"/>
                <w:vertAlign w:val="baseline"/>
                <w:lang w:val="en-US" w:eastAsia="zh-CN"/>
              </w:rPr>
              <w:t>2025-2026学年在校注册的全体学生（约11000人，实际以投保人数为准）</w:t>
            </w:r>
          </w:p>
        </w:tc>
        <w:tc>
          <w:tcPr>
            <w:tcW w:w="1869" w:type="dxa"/>
            <w:vAlign w:val="center"/>
          </w:tcPr>
          <w:p w14:paraId="19DE770B">
            <w:pPr>
              <w:adjustRightInd w:val="0"/>
              <w:snapToGrid w:val="0"/>
              <w:spacing w:line="240" w:lineRule="auto"/>
              <w:jc w:val="center"/>
              <w:rPr>
                <w:rFonts w:hint="eastAsia" w:ascii="宋体" w:hAnsi="宋体" w:cs="宋体"/>
                <w:color w:val="auto"/>
                <w:sz w:val="24"/>
                <w:vertAlign w:val="baseline"/>
                <w:lang w:val="en-US" w:eastAsia="zh-CN"/>
              </w:rPr>
            </w:pPr>
            <w:r>
              <w:rPr>
                <w:rFonts w:hint="eastAsia" w:ascii="宋体" w:hAnsi="宋体" w:cs="宋体"/>
                <w:color w:val="auto"/>
                <w:sz w:val="24"/>
                <w:vertAlign w:val="baseline"/>
                <w:lang w:val="en-US" w:eastAsia="zh-CN"/>
              </w:rPr>
              <w:t>40元/人/年</w:t>
            </w:r>
          </w:p>
        </w:tc>
        <w:tc>
          <w:tcPr>
            <w:tcW w:w="3450" w:type="dxa"/>
            <w:vMerge w:val="restart"/>
          </w:tcPr>
          <w:p w14:paraId="13F1D0CE">
            <w:pPr>
              <w:adjustRightInd w:val="0"/>
              <w:snapToGrid w:val="0"/>
              <w:spacing w:line="240" w:lineRule="auto"/>
              <w:rPr>
                <w:rFonts w:hint="eastAsia" w:ascii="宋体" w:hAnsi="宋体" w:eastAsia="宋体" w:cs="宋体"/>
                <w:color w:val="auto"/>
                <w:sz w:val="24"/>
                <w:vertAlign w:val="baseline"/>
                <w:lang w:val="en-US" w:eastAsia="zh-CN"/>
              </w:rPr>
            </w:pPr>
            <w:r>
              <w:rPr>
                <w:rFonts w:hint="eastAsia" w:ascii="宋体" w:hAnsi="宋体" w:eastAsia="宋体" w:cs="宋体"/>
                <w:color w:val="auto"/>
                <w:sz w:val="24"/>
                <w:vertAlign w:val="baseline"/>
                <w:lang w:val="en-US" w:eastAsia="zh-CN"/>
              </w:rPr>
              <w:t>注：</w:t>
            </w:r>
          </w:p>
          <w:p w14:paraId="2CFE80D3">
            <w:pPr>
              <w:adjustRightInd w:val="0"/>
              <w:snapToGrid w:val="0"/>
              <w:spacing w:line="240" w:lineRule="auto"/>
              <w:rPr>
                <w:rFonts w:hint="eastAsia" w:ascii="宋体" w:hAnsi="宋体" w:eastAsia="宋体" w:cs="宋体"/>
                <w:color w:val="auto"/>
                <w:sz w:val="24"/>
                <w:vertAlign w:val="baseline"/>
                <w:lang w:val="en-US" w:eastAsia="zh-CN"/>
              </w:rPr>
            </w:pPr>
            <w:r>
              <w:rPr>
                <w:rFonts w:hint="eastAsia" w:ascii="宋体" w:hAnsi="宋体" w:eastAsia="宋体" w:cs="宋体"/>
                <w:color w:val="auto"/>
                <w:sz w:val="24"/>
                <w:vertAlign w:val="baseline"/>
                <w:lang w:val="en-US" w:eastAsia="zh-CN"/>
              </w:rPr>
              <w:t>1.</w:t>
            </w:r>
            <w:r>
              <w:rPr>
                <w:rFonts w:hint="eastAsia" w:ascii="宋体" w:hAnsi="宋体" w:cs="宋体"/>
                <w:color w:val="auto"/>
                <w:sz w:val="24"/>
                <w:vertAlign w:val="baseline"/>
                <w:lang w:val="en-US" w:eastAsia="zh-CN"/>
              </w:rPr>
              <w:t>服务期限为</w:t>
            </w:r>
            <w:r>
              <w:rPr>
                <w:rFonts w:hint="eastAsia" w:ascii="宋体" w:hAnsi="宋体" w:eastAsia="宋体" w:cs="宋体"/>
                <w:color w:val="auto"/>
                <w:sz w:val="24"/>
                <w:vertAlign w:val="baseline"/>
                <w:lang w:val="en-US" w:eastAsia="zh-CN"/>
              </w:rPr>
              <w:t>2025年9月1日—2026年8月31日。服务期满，经采购方批准可续签，每次续签期限最长为1年，最多续签2次。</w:t>
            </w:r>
          </w:p>
          <w:p w14:paraId="3A911491">
            <w:pPr>
              <w:adjustRightInd w:val="0"/>
              <w:snapToGrid w:val="0"/>
              <w:spacing w:line="240" w:lineRule="auto"/>
              <w:rPr>
                <w:rFonts w:hint="eastAsia" w:ascii="宋体" w:hAnsi="宋体" w:cs="宋体"/>
                <w:color w:val="auto"/>
                <w:sz w:val="24"/>
                <w:vertAlign w:val="baseline"/>
                <w:lang w:val="en-US" w:eastAsia="zh-CN"/>
              </w:rPr>
            </w:pPr>
            <w:r>
              <w:rPr>
                <w:rFonts w:hint="eastAsia" w:ascii="宋体" w:hAnsi="宋体" w:eastAsia="宋体" w:cs="宋体"/>
                <w:color w:val="auto"/>
                <w:sz w:val="24"/>
                <w:vertAlign w:val="baseline"/>
                <w:lang w:val="en-US" w:eastAsia="zh-CN"/>
              </w:rPr>
              <w:t>2.如技术要求中未特别注明需执行的国家相关标准、行业标准、地方标准或者其他标准、规范，则统一执行最新标准、规范。</w:t>
            </w:r>
          </w:p>
        </w:tc>
      </w:tr>
      <w:tr w14:paraId="67A8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43114066">
            <w:pPr>
              <w:adjustRightInd w:val="0"/>
              <w:snapToGrid w:val="0"/>
              <w:spacing w:line="240" w:lineRule="auto"/>
              <w:jc w:val="center"/>
              <w:rPr>
                <w:rFonts w:hint="eastAsia" w:ascii="宋体" w:hAnsi="宋体" w:cs="宋体"/>
                <w:color w:val="auto"/>
                <w:sz w:val="24"/>
                <w:vertAlign w:val="baseline"/>
                <w:lang w:val="en-US" w:eastAsia="zh-CN"/>
              </w:rPr>
            </w:pPr>
            <w:r>
              <w:rPr>
                <w:rFonts w:hint="eastAsia" w:ascii="宋体" w:hAnsi="宋体" w:cs="宋体"/>
                <w:color w:val="auto"/>
                <w:sz w:val="24"/>
                <w:vertAlign w:val="baseline"/>
                <w:lang w:val="en-US" w:eastAsia="zh-CN"/>
              </w:rPr>
              <w:t>2</w:t>
            </w:r>
          </w:p>
        </w:tc>
        <w:tc>
          <w:tcPr>
            <w:tcW w:w="1728" w:type="dxa"/>
            <w:vAlign w:val="center"/>
          </w:tcPr>
          <w:p w14:paraId="619FBB54">
            <w:pPr>
              <w:adjustRightInd w:val="0"/>
              <w:snapToGrid w:val="0"/>
              <w:spacing w:line="240" w:lineRule="auto"/>
              <w:jc w:val="center"/>
              <w:rPr>
                <w:rFonts w:hint="eastAsia" w:ascii="宋体" w:hAnsi="宋体" w:cs="宋体"/>
                <w:color w:val="auto"/>
                <w:sz w:val="24"/>
                <w:vertAlign w:val="baseline"/>
                <w:lang w:val="en-US" w:eastAsia="zh-CN"/>
              </w:rPr>
            </w:pPr>
            <w:r>
              <w:rPr>
                <w:rFonts w:hint="eastAsia" w:ascii="宋体" w:hAnsi="宋体" w:cs="宋体"/>
                <w:color w:val="auto"/>
                <w:sz w:val="24"/>
                <w:vertAlign w:val="baseline"/>
                <w:lang w:val="en-US" w:eastAsia="zh-CN"/>
              </w:rPr>
              <w:t>校方责任险</w:t>
            </w:r>
          </w:p>
        </w:tc>
        <w:tc>
          <w:tcPr>
            <w:tcW w:w="1869" w:type="dxa"/>
            <w:vMerge w:val="continue"/>
            <w:vAlign w:val="center"/>
          </w:tcPr>
          <w:p w14:paraId="1AED675C">
            <w:pPr>
              <w:adjustRightInd w:val="0"/>
              <w:snapToGrid w:val="0"/>
              <w:spacing w:line="240" w:lineRule="auto"/>
              <w:jc w:val="center"/>
              <w:rPr>
                <w:rFonts w:hint="eastAsia" w:ascii="宋体" w:hAnsi="宋体" w:cs="宋体"/>
                <w:color w:val="auto"/>
                <w:sz w:val="24"/>
                <w:vertAlign w:val="baseline"/>
                <w:lang w:val="en-US" w:eastAsia="zh-CN"/>
              </w:rPr>
            </w:pPr>
          </w:p>
        </w:tc>
        <w:tc>
          <w:tcPr>
            <w:tcW w:w="1869" w:type="dxa"/>
            <w:vAlign w:val="center"/>
          </w:tcPr>
          <w:p w14:paraId="73BED793">
            <w:pPr>
              <w:adjustRightInd w:val="0"/>
              <w:snapToGrid w:val="0"/>
              <w:spacing w:line="240" w:lineRule="auto"/>
              <w:jc w:val="center"/>
              <w:rPr>
                <w:rFonts w:hint="eastAsia" w:ascii="宋体" w:hAnsi="宋体" w:cs="宋体"/>
                <w:color w:val="auto"/>
                <w:sz w:val="24"/>
                <w:vertAlign w:val="baseline"/>
                <w:lang w:val="en-US" w:eastAsia="zh-CN"/>
              </w:rPr>
            </w:pPr>
            <w:r>
              <w:rPr>
                <w:rFonts w:hint="eastAsia" w:ascii="宋体" w:hAnsi="宋体" w:cs="宋体"/>
                <w:color w:val="auto"/>
                <w:sz w:val="24"/>
                <w:vertAlign w:val="baseline"/>
                <w:lang w:val="en-US" w:eastAsia="zh-CN"/>
              </w:rPr>
              <w:t>10元/人/年</w:t>
            </w:r>
          </w:p>
        </w:tc>
        <w:tc>
          <w:tcPr>
            <w:tcW w:w="3450" w:type="dxa"/>
            <w:vMerge w:val="continue"/>
          </w:tcPr>
          <w:p w14:paraId="3CE7CE6D">
            <w:pPr>
              <w:adjustRightInd w:val="0"/>
              <w:snapToGrid w:val="0"/>
              <w:spacing w:line="312" w:lineRule="auto"/>
              <w:rPr>
                <w:rFonts w:hint="eastAsia" w:ascii="宋体" w:hAnsi="宋体" w:cs="宋体"/>
                <w:color w:val="auto"/>
                <w:sz w:val="24"/>
                <w:vertAlign w:val="baseline"/>
                <w:lang w:val="en-US" w:eastAsia="zh-CN"/>
              </w:rPr>
            </w:pPr>
          </w:p>
        </w:tc>
      </w:tr>
    </w:tbl>
    <w:p w14:paraId="5E6222DE">
      <w:pPr>
        <w:adjustRightInd w:val="0"/>
        <w:snapToGrid w:val="0"/>
        <w:spacing w:line="312" w:lineRule="auto"/>
        <w:ind w:firstLine="482" w:firstLineChars="200"/>
        <w:rPr>
          <w:rFonts w:hint="eastAsia" w:ascii="宋体" w:hAnsi="宋体" w:cs="宋体"/>
          <w:b/>
          <w:color w:val="auto"/>
          <w:sz w:val="24"/>
        </w:rPr>
      </w:pPr>
      <w:r>
        <w:rPr>
          <w:rFonts w:hint="eastAsia" w:ascii="宋体" w:hAnsi="宋体" w:cs="宋体"/>
          <w:b/>
          <w:color w:val="auto"/>
          <w:sz w:val="24"/>
        </w:rPr>
        <w:t>三、投标人（供应商）资格要求：</w:t>
      </w:r>
    </w:p>
    <w:p w14:paraId="40B6E989">
      <w:pPr>
        <w:widowControl/>
        <w:wordWrap w:val="0"/>
        <w:adjustRightInd w:val="0"/>
        <w:snapToGrid w:val="0"/>
        <w:spacing w:line="324" w:lineRule="auto"/>
        <w:ind w:firstLine="480" w:firstLineChars="200"/>
        <w:jc w:val="left"/>
        <w:rPr>
          <w:rFonts w:hint="eastAsia" w:ascii="宋体" w:hAnsi="宋体" w:cs="宋体"/>
          <w:snapToGrid w:val="0"/>
          <w:color w:val="auto"/>
          <w:sz w:val="24"/>
        </w:rPr>
      </w:pPr>
      <w:r>
        <w:rPr>
          <w:rFonts w:hint="eastAsia" w:ascii="宋体" w:hAnsi="宋体" w:cs="宋体"/>
          <w:snapToGrid w:val="0"/>
          <w:color w:val="auto"/>
          <w:sz w:val="24"/>
        </w:rPr>
        <w:t>1.符合下列要求：</w:t>
      </w:r>
    </w:p>
    <w:p w14:paraId="1DC6A612">
      <w:pPr>
        <w:widowControl/>
        <w:wordWrap w:val="0"/>
        <w:adjustRightInd w:val="0"/>
        <w:snapToGrid w:val="0"/>
        <w:spacing w:line="324" w:lineRule="auto"/>
        <w:ind w:firstLine="480" w:firstLineChars="200"/>
        <w:jc w:val="left"/>
        <w:rPr>
          <w:rFonts w:hint="eastAsia" w:ascii="宋体" w:hAnsi="宋体" w:cs="宋体"/>
          <w:snapToGrid w:val="0"/>
          <w:color w:val="auto"/>
          <w:sz w:val="24"/>
        </w:rPr>
      </w:pPr>
      <w:r>
        <w:rPr>
          <w:rFonts w:hint="eastAsia" w:ascii="宋体" w:hAnsi="宋体" w:cs="宋体"/>
          <w:snapToGrid w:val="0"/>
          <w:color w:val="auto"/>
          <w:sz w:val="24"/>
        </w:rPr>
        <w:t>（1）具有独立承担民事责任的能力；</w:t>
      </w:r>
    </w:p>
    <w:p w14:paraId="1E3AE60D">
      <w:pPr>
        <w:widowControl/>
        <w:wordWrap w:val="0"/>
        <w:adjustRightInd w:val="0"/>
        <w:snapToGrid w:val="0"/>
        <w:spacing w:line="324" w:lineRule="auto"/>
        <w:ind w:firstLine="480" w:firstLineChars="200"/>
        <w:jc w:val="left"/>
        <w:rPr>
          <w:rFonts w:hint="eastAsia" w:ascii="宋体" w:hAnsi="宋体" w:cs="宋体"/>
          <w:snapToGrid w:val="0"/>
          <w:color w:val="auto"/>
          <w:sz w:val="24"/>
        </w:rPr>
      </w:pPr>
      <w:r>
        <w:rPr>
          <w:rFonts w:hint="eastAsia" w:ascii="宋体" w:hAnsi="宋体" w:cs="宋体"/>
          <w:snapToGrid w:val="0"/>
          <w:color w:val="auto"/>
          <w:sz w:val="24"/>
        </w:rPr>
        <w:t>（2）具有良好的商业信誉和健全的财务会计制度；</w:t>
      </w:r>
    </w:p>
    <w:p w14:paraId="5A0036B8">
      <w:pPr>
        <w:widowControl/>
        <w:wordWrap w:val="0"/>
        <w:adjustRightInd w:val="0"/>
        <w:snapToGrid w:val="0"/>
        <w:spacing w:line="324" w:lineRule="auto"/>
        <w:ind w:firstLine="480" w:firstLineChars="200"/>
        <w:jc w:val="left"/>
        <w:rPr>
          <w:rFonts w:hint="eastAsia" w:ascii="宋体" w:hAnsi="宋体" w:cs="宋体"/>
          <w:snapToGrid w:val="0"/>
          <w:color w:val="auto"/>
          <w:sz w:val="24"/>
        </w:rPr>
      </w:pPr>
      <w:r>
        <w:rPr>
          <w:rFonts w:hint="eastAsia" w:ascii="宋体" w:hAnsi="宋体" w:cs="宋体"/>
          <w:snapToGrid w:val="0"/>
          <w:color w:val="auto"/>
          <w:sz w:val="24"/>
        </w:rPr>
        <w:t>（3）具有履行合同所必需的设备和专业技术能力；</w:t>
      </w:r>
    </w:p>
    <w:p w14:paraId="7E50DA4B">
      <w:pPr>
        <w:widowControl/>
        <w:wordWrap w:val="0"/>
        <w:adjustRightInd w:val="0"/>
        <w:snapToGrid w:val="0"/>
        <w:spacing w:line="324" w:lineRule="auto"/>
        <w:ind w:firstLine="480" w:firstLineChars="200"/>
        <w:jc w:val="left"/>
        <w:rPr>
          <w:rFonts w:hint="eastAsia" w:ascii="宋体" w:hAnsi="宋体" w:cs="宋体"/>
          <w:snapToGrid w:val="0"/>
          <w:color w:val="auto"/>
          <w:sz w:val="24"/>
        </w:rPr>
      </w:pPr>
      <w:r>
        <w:rPr>
          <w:rFonts w:hint="eastAsia" w:ascii="宋体" w:hAnsi="宋体" w:cs="宋体"/>
          <w:snapToGrid w:val="0"/>
          <w:color w:val="auto"/>
          <w:sz w:val="24"/>
        </w:rPr>
        <w:t>（4）有依法缴纳税收和社会保障资金的良好记录；</w:t>
      </w:r>
    </w:p>
    <w:p w14:paraId="2712B5CE">
      <w:pPr>
        <w:widowControl/>
        <w:wordWrap w:val="0"/>
        <w:adjustRightInd w:val="0"/>
        <w:snapToGrid w:val="0"/>
        <w:spacing w:line="324" w:lineRule="auto"/>
        <w:ind w:firstLine="480" w:firstLineChars="200"/>
        <w:jc w:val="left"/>
        <w:rPr>
          <w:rFonts w:hint="eastAsia" w:ascii="宋体" w:hAnsi="宋体" w:cs="宋体"/>
          <w:snapToGrid w:val="0"/>
          <w:color w:val="auto"/>
          <w:sz w:val="24"/>
        </w:rPr>
      </w:pPr>
      <w:r>
        <w:rPr>
          <w:rFonts w:hint="eastAsia" w:ascii="宋体" w:hAnsi="宋体" w:cs="宋体"/>
          <w:snapToGrid w:val="0"/>
          <w:color w:val="auto"/>
          <w:sz w:val="24"/>
        </w:rPr>
        <w:t>（5）参加本次采购活动前三年内，在经营活动中没有重大违法记录；</w:t>
      </w:r>
    </w:p>
    <w:p w14:paraId="07FED038">
      <w:pPr>
        <w:widowControl/>
        <w:wordWrap w:val="0"/>
        <w:adjustRightInd w:val="0"/>
        <w:snapToGrid w:val="0"/>
        <w:spacing w:line="324" w:lineRule="auto"/>
        <w:ind w:firstLine="480" w:firstLineChars="200"/>
        <w:jc w:val="left"/>
        <w:rPr>
          <w:rFonts w:hint="eastAsia" w:ascii="宋体" w:hAnsi="宋体" w:cs="宋体"/>
          <w:snapToGrid w:val="0"/>
          <w:color w:val="auto"/>
          <w:sz w:val="24"/>
        </w:rPr>
      </w:pPr>
      <w:r>
        <w:rPr>
          <w:rFonts w:hint="eastAsia" w:ascii="宋体" w:hAnsi="宋体" w:cs="宋体"/>
          <w:snapToGrid w:val="0"/>
          <w:color w:val="auto"/>
          <w:sz w:val="24"/>
        </w:rPr>
        <w:t>（6）法律、行政法规规定的其他条件。</w:t>
      </w:r>
    </w:p>
    <w:p w14:paraId="29D4E51A">
      <w:pPr>
        <w:widowControl/>
        <w:wordWrap w:val="0"/>
        <w:adjustRightInd w:val="0"/>
        <w:snapToGrid w:val="0"/>
        <w:spacing w:line="324" w:lineRule="auto"/>
        <w:ind w:firstLine="480" w:firstLineChars="200"/>
        <w:jc w:val="left"/>
        <w:rPr>
          <w:rFonts w:hint="eastAsia" w:ascii="宋体" w:hAnsi="宋体" w:cs="宋体"/>
          <w:snapToGrid w:val="0"/>
          <w:color w:val="auto"/>
          <w:sz w:val="24"/>
        </w:rPr>
      </w:pPr>
      <w:r>
        <w:rPr>
          <w:rFonts w:hint="eastAsia" w:ascii="宋体" w:hAnsi="宋体" w:cs="宋体"/>
          <w:snapToGrid w:val="0"/>
          <w:color w:val="auto"/>
          <w:sz w:val="24"/>
        </w:rPr>
        <w:t>2.未被“信用中国”（www.creditchina.gov.cn）、中国政府采购网（www.ccgp.gov.cn）列入失信被执行人、重大税收违法失信主体、政府采购严重违法失信行为记录名单；</w:t>
      </w:r>
    </w:p>
    <w:p w14:paraId="6D52E9BD">
      <w:pPr>
        <w:widowControl/>
        <w:wordWrap w:val="0"/>
        <w:adjustRightInd w:val="0"/>
        <w:snapToGrid w:val="0"/>
        <w:spacing w:line="324" w:lineRule="auto"/>
        <w:ind w:firstLine="480" w:firstLineChars="200"/>
        <w:jc w:val="left"/>
        <w:rPr>
          <w:rFonts w:hint="eastAsia" w:ascii="宋体" w:hAnsi="宋体" w:eastAsia="宋体" w:cs="宋体"/>
          <w:snapToGrid w:val="0"/>
          <w:color w:val="auto"/>
          <w:sz w:val="24"/>
          <w:lang w:eastAsia="zh-CN"/>
        </w:rPr>
      </w:pPr>
      <w:r>
        <w:rPr>
          <w:rFonts w:hint="eastAsia" w:ascii="宋体" w:hAnsi="宋体" w:eastAsia="宋体" w:cs="宋体"/>
          <w:snapToGrid w:val="0"/>
          <w:color w:val="auto"/>
          <w:sz w:val="24"/>
        </w:rPr>
        <w:t>3.具有《中华人民共和国经营保险业务许可证》</w:t>
      </w:r>
      <w:r>
        <w:rPr>
          <w:rFonts w:hint="eastAsia" w:ascii="宋体" w:hAnsi="宋体" w:eastAsia="宋体" w:cs="宋体"/>
          <w:snapToGrid w:val="0"/>
          <w:color w:val="auto"/>
          <w:sz w:val="24"/>
          <w:lang w:eastAsia="zh-CN"/>
        </w:rPr>
        <w:t>；</w:t>
      </w:r>
    </w:p>
    <w:p w14:paraId="0B50B2B2">
      <w:pPr>
        <w:widowControl/>
        <w:wordWrap w:val="0"/>
        <w:adjustRightInd w:val="0"/>
        <w:snapToGrid w:val="0"/>
        <w:spacing w:line="324" w:lineRule="auto"/>
        <w:ind w:firstLine="480" w:firstLineChars="200"/>
        <w:jc w:val="left"/>
        <w:rPr>
          <w:rFonts w:hint="eastAsia" w:ascii="宋体" w:hAnsi="宋体" w:eastAsia="宋体" w:cs="宋体"/>
          <w:snapToGrid w:val="0"/>
          <w:color w:val="auto"/>
          <w:sz w:val="24"/>
        </w:rPr>
      </w:pPr>
      <w:r>
        <w:rPr>
          <w:rFonts w:hint="eastAsia" w:ascii="宋体" w:hAnsi="宋体" w:eastAsia="宋体" w:cs="宋体"/>
          <w:snapToGrid w:val="0"/>
          <w:color w:val="auto"/>
          <w:sz w:val="24"/>
          <w:lang w:val="en-US" w:eastAsia="zh-CN"/>
        </w:rPr>
        <w:t>4.</w:t>
      </w:r>
      <w:r>
        <w:rPr>
          <w:rFonts w:hint="eastAsia" w:ascii="宋体" w:hAnsi="宋体" w:eastAsia="宋体" w:cs="宋体"/>
          <w:snapToGrid w:val="0"/>
          <w:color w:val="auto"/>
          <w:sz w:val="24"/>
        </w:rPr>
        <w:t>本项目不接受联合体投标。</w:t>
      </w:r>
    </w:p>
    <w:p w14:paraId="23CF15CB">
      <w:pPr>
        <w:adjustRightInd w:val="0"/>
        <w:snapToGrid w:val="0"/>
        <w:spacing w:line="312"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四、评标办法：综合评分法</w:t>
      </w:r>
    </w:p>
    <w:p w14:paraId="416A883D">
      <w:pPr>
        <w:widowControl/>
        <w:wordWrap w:val="0"/>
        <w:adjustRightInd w:val="0"/>
        <w:snapToGrid w:val="0"/>
        <w:spacing w:line="324" w:lineRule="auto"/>
        <w:ind w:firstLine="480" w:firstLineChars="200"/>
        <w:jc w:val="left"/>
        <w:rPr>
          <w:rFonts w:hint="eastAsia" w:ascii="宋体" w:hAnsi="宋体" w:eastAsia="宋体" w:cs="宋体"/>
          <w:snapToGrid w:val="0"/>
          <w:color w:val="auto"/>
          <w:sz w:val="24"/>
        </w:rPr>
      </w:pPr>
      <w:r>
        <w:rPr>
          <w:rFonts w:hint="eastAsia" w:ascii="宋体" w:hAnsi="宋体" w:eastAsia="宋体" w:cs="宋体"/>
          <w:snapToGrid w:val="0"/>
          <w:color w:val="auto"/>
          <w:sz w:val="24"/>
        </w:rPr>
        <w:t>1.满分为100分。总得分=技术得分+商务得分；</w:t>
      </w:r>
    </w:p>
    <w:p w14:paraId="26E2BE2A">
      <w:pPr>
        <w:widowControl/>
        <w:wordWrap w:val="0"/>
        <w:adjustRightInd w:val="0"/>
        <w:snapToGrid w:val="0"/>
        <w:spacing w:line="324" w:lineRule="auto"/>
        <w:ind w:firstLine="480" w:firstLineChars="200"/>
        <w:jc w:val="left"/>
        <w:rPr>
          <w:rFonts w:hint="eastAsia" w:ascii="宋体" w:hAnsi="宋体" w:eastAsia="宋体" w:cs="宋体"/>
          <w:snapToGrid w:val="0"/>
          <w:color w:val="auto"/>
          <w:sz w:val="24"/>
        </w:rPr>
      </w:pPr>
      <w:r>
        <w:rPr>
          <w:rFonts w:hint="eastAsia" w:ascii="宋体" w:hAnsi="宋体" w:eastAsia="宋体" w:cs="宋体"/>
          <w:snapToGrid w:val="0"/>
          <w:color w:val="auto"/>
          <w:sz w:val="24"/>
        </w:rPr>
        <w:t>2.技术得分=技术评分，技术评分=所有评委的有效评分的算术平均数。</w:t>
      </w:r>
    </w:p>
    <w:p w14:paraId="22467B5A">
      <w:pPr>
        <w:widowControl/>
        <w:wordWrap w:val="0"/>
        <w:adjustRightInd w:val="0"/>
        <w:snapToGrid w:val="0"/>
        <w:spacing w:line="324" w:lineRule="auto"/>
        <w:ind w:firstLine="480" w:firstLineChars="200"/>
        <w:jc w:val="left"/>
        <w:rPr>
          <w:rFonts w:hint="eastAsia" w:ascii="宋体" w:hAnsi="宋体" w:eastAsia="宋体" w:cs="宋体"/>
          <w:snapToGrid w:val="0"/>
          <w:color w:val="auto"/>
          <w:sz w:val="24"/>
        </w:rPr>
      </w:pPr>
      <w:r>
        <w:rPr>
          <w:rFonts w:hint="eastAsia" w:ascii="宋体" w:hAnsi="宋体" w:eastAsia="宋体" w:cs="宋体"/>
          <w:snapToGrid w:val="0"/>
          <w:color w:val="auto"/>
          <w:sz w:val="24"/>
        </w:rPr>
        <w:t>3.商务得分</w:t>
      </w:r>
      <w:r>
        <w:rPr>
          <w:rFonts w:hint="eastAsia" w:ascii="宋体" w:hAnsi="宋体" w:eastAsia="宋体" w:cs="宋体"/>
          <w:snapToGrid w:val="0"/>
          <w:color w:val="auto"/>
          <w:sz w:val="24"/>
          <w:lang w:eastAsia="zh-CN"/>
        </w:rPr>
        <w:t>（</w:t>
      </w:r>
      <w:r>
        <w:rPr>
          <w:rFonts w:hint="eastAsia" w:ascii="宋体" w:hAnsi="宋体" w:eastAsia="宋体" w:cs="宋体"/>
          <w:snapToGrid w:val="0"/>
          <w:color w:val="auto"/>
          <w:sz w:val="24"/>
          <w:lang w:val="en-US" w:eastAsia="zh-CN"/>
        </w:rPr>
        <w:t>20分</w:t>
      </w:r>
      <w:r>
        <w:rPr>
          <w:rFonts w:hint="eastAsia" w:ascii="宋体" w:hAnsi="宋体" w:eastAsia="宋体" w:cs="宋体"/>
          <w:snapToGrid w:val="0"/>
          <w:color w:val="auto"/>
          <w:sz w:val="24"/>
          <w:lang w:eastAsia="zh-CN"/>
        </w:rPr>
        <w:t>）</w:t>
      </w:r>
      <w:r>
        <w:rPr>
          <w:rFonts w:hint="eastAsia" w:ascii="宋体" w:hAnsi="宋体" w:eastAsia="宋体" w:cs="宋体"/>
          <w:snapToGrid w:val="0"/>
          <w:color w:val="auto"/>
          <w:sz w:val="24"/>
          <w:lang w:val="en-US" w:eastAsia="zh-CN"/>
        </w:rPr>
        <w:t>=</w:t>
      </w:r>
      <w:r>
        <w:rPr>
          <w:rFonts w:hint="eastAsia" w:ascii="宋体" w:hAnsi="宋体" w:eastAsia="宋体" w:cs="宋体"/>
          <w:snapToGrid w:val="0"/>
          <w:color w:val="auto"/>
          <w:sz w:val="24"/>
        </w:rPr>
        <w:t>商业保险商务分</w:t>
      </w:r>
      <w:r>
        <w:rPr>
          <w:rFonts w:hint="eastAsia" w:ascii="宋体" w:hAnsi="宋体" w:eastAsia="宋体" w:cs="宋体"/>
          <w:snapToGrid w:val="0"/>
          <w:color w:val="auto"/>
          <w:sz w:val="24"/>
          <w:lang w:eastAsia="zh-CN"/>
        </w:rPr>
        <w:t>（</w:t>
      </w:r>
      <w:r>
        <w:rPr>
          <w:rFonts w:hint="eastAsia" w:ascii="宋体" w:hAnsi="宋体" w:eastAsia="宋体" w:cs="宋体"/>
          <w:snapToGrid w:val="0"/>
          <w:color w:val="auto"/>
          <w:sz w:val="24"/>
          <w:lang w:val="en-US" w:eastAsia="zh-CN"/>
        </w:rPr>
        <w:t>15分</w:t>
      </w:r>
      <w:r>
        <w:rPr>
          <w:rFonts w:hint="eastAsia" w:ascii="宋体" w:hAnsi="宋体" w:eastAsia="宋体" w:cs="宋体"/>
          <w:snapToGrid w:val="0"/>
          <w:color w:val="auto"/>
          <w:sz w:val="24"/>
          <w:lang w:eastAsia="zh-CN"/>
        </w:rPr>
        <w:t>）</w:t>
      </w:r>
      <w:r>
        <w:rPr>
          <w:rFonts w:hint="eastAsia" w:ascii="宋体" w:hAnsi="宋体" w:eastAsia="宋体" w:cs="宋体"/>
          <w:snapToGrid w:val="0"/>
          <w:color w:val="auto"/>
          <w:sz w:val="24"/>
        </w:rPr>
        <w:t>+校方责任险商务分</w:t>
      </w:r>
      <w:r>
        <w:rPr>
          <w:rFonts w:hint="eastAsia" w:ascii="宋体" w:hAnsi="宋体" w:eastAsia="宋体" w:cs="宋体"/>
          <w:snapToGrid w:val="0"/>
          <w:color w:val="auto"/>
          <w:sz w:val="24"/>
          <w:lang w:eastAsia="zh-CN"/>
        </w:rPr>
        <w:t>（</w:t>
      </w:r>
      <w:r>
        <w:rPr>
          <w:rFonts w:hint="eastAsia" w:ascii="宋体" w:hAnsi="宋体" w:eastAsia="宋体" w:cs="宋体"/>
          <w:snapToGrid w:val="0"/>
          <w:color w:val="auto"/>
          <w:sz w:val="24"/>
          <w:lang w:val="en-US" w:eastAsia="zh-CN"/>
        </w:rPr>
        <w:t>5分</w:t>
      </w:r>
      <w:r>
        <w:rPr>
          <w:rFonts w:hint="eastAsia" w:ascii="宋体" w:hAnsi="宋体" w:eastAsia="宋体" w:cs="宋体"/>
          <w:snapToGrid w:val="0"/>
          <w:color w:val="auto"/>
          <w:sz w:val="24"/>
          <w:lang w:eastAsia="zh-CN"/>
        </w:rPr>
        <w:t>）。</w:t>
      </w:r>
      <w:r>
        <w:rPr>
          <w:rFonts w:hint="eastAsia" w:ascii="宋体" w:hAnsi="宋体" w:eastAsia="宋体" w:cs="宋体"/>
          <w:snapToGrid w:val="0"/>
          <w:color w:val="auto"/>
          <w:sz w:val="24"/>
        </w:rPr>
        <w:t>评标基准价=有效投标人的最低投标报价（报价允许保留1位小数）。商务得分按照下列公式计算：</w:t>
      </w:r>
      <w:bookmarkStart w:id="2" w:name="_GoBack"/>
      <w:bookmarkEnd w:id="2"/>
    </w:p>
    <w:p w14:paraId="39D710DC">
      <w:pPr>
        <w:widowControl/>
        <w:wordWrap w:val="0"/>
        <w:adjustRightInd w:val="0"/>
        <w:snapToGrid w:val="0"/>
        <w:spacing w:line="324" w:lineRule="auto"/>
        <w:ind w:firstLine="480" w:firstLineChars="200"/>
        <w:jc w:val="left"/>
        <w:rPr>
          <w:rFonts w:hint="eastAsia" w:ascii="宋体" w:hAnsi="宋体" w:eastAsia="宋体" w:cs="宋体"/>
          <w:snapToGrid w:val="0"/>
          <w:color w:val="auto"/>
          <w:sz w:val="24"/>
        </w:rPr>
      </w:pPr>
      <w:r>
        <w:rPr>
          <w:rFonts w:hint="eastAsia" w:ascii="宋体" w:hAnsi="宋体" w:cs="宋体"/>
          <w:snapToGrid w:val="0"/>
          <w:color w:val="auto"/>
          <w:sz w:val="24"/>
          <w:lang w:val="en-US" w:eastAsia="zh-CN"/>
        </w:rPr>
        <w:t>①</w:t>
      </w:r>
      <w:r>
        <w:rPr>
          <w:rFonts w:hint="eastAsia" w:ascii="宋体" w:hAnsi="宋体" w:eastAsia="宋体" w:cs="宋体"/>
          <w:snapToGrid w:val="0"/>
          <w:color w:val="auto"/>
          <w:sz w:val="24"/>
        </w:rPr>
        <w:t>商业保险商务分（15分）=（商业保险评标基准价/商业保险投标报价）×15%×100；</w:t>
      </w:r>
    </w:p>
    <w:p w14:paraId="3470CF36">
      <w:pPr>
        <w:widowControl/>
        <w:wordWrap w:val="0"/>
        <w:adjustRightInd w:val="0"/>
        <w:snapToGrid w:val="0"/>
        <w:spacing w:line="324" w:lineRule="auto"/>
        <w:ind w:firstLine="480" w:firstLineChars="200"/>
        <w:jc w:val="left"/>
        <w:rPr>
          <w:rFonts w:hint="eastAsia" w:ascii="宋体" w:hAnsi="宋体" w:eastAsia="宋体" w:cs="宋体"/>
          <w:snapToGrid w:val="0"/>
          <w:color w:val="auto"/>
          <w:sz w:val="24"/>
        </w:rPr>
      </w:pPr>
      <w:r>
        <w:rPr>
          <w:rFonts w:hint="eastAsia" w:ascii="宋体" w:hAnsi="宋体" w:cs="宋体"/>
          <w:snapToGrid w:val="0"/>
          <w:color w:val="auto"/>
          <w:sz w:val="24"/>
          <w:lang w:val="en-US" w:eastAsia="zh-CN"/>
        </w:rPr>
        <w:t>②</w:t>
      </w:r>
      <w:r>
        <w:rPr>
          <w:rFonts w:hint="eastAsia" w:ascii="宋体" w:hAnsi="宋体" w:eastAsia="宋体" w:cs="宋体"/>
          <w:snapToGrid w:val="0"/>
          <w:color w:val="auto"/>
          <w:sz w:val="24"/>
        </w:rPr>
        <w:t>校方责任险商务分（5分）=（校方责任险评标基准价/校方责任险投标报价）×5%×100；</w:t>
      </w:r>
    </w:p>
    <w:p w14:paraId="78EDAA02">
      <w:pPr>
        <w:widowControl/>
        <w:wordWrap w:val="0"/>
        <w:adjustRightInd w:val="0"/>
        <w:snapToGrid w:val="0"/>
        <w:spacing w:line="324" w:lineRule="auto"/>
        <w:ind w:firstLine="480" w:firstLineChars="200"/>
        <w:jc w:val="left"/>
        <w:rPr>
          <w:rFonts w:hint="eastAsia" w:ascii="宋体" w:hAnsi="宋体" w:eastAsia="宋体" w:cs="宋体"/>
          <w:snapToGrid w:val="0"/>
          <w:color w:val="auto"/>
          <w:sz w:val="24"/>
        </w:rPr>
      </w:pPr>
      <w:r>
        <w:rPr>
          <w:rFonts w:hint="eastAsia" w:ascii="宋体" w:hAnsi="宋体" w:eastAsia="宋体" w:cs="宋体"/>
          <w:snapToGrid w:val="0"/>
          <w:color w:val="auto"/>
          <w:sz w:val="24"/>
        </w:rPr>
        <w:t>4.技术分评分细则（</w:t>
      </w:r>
      <w:r>
        <w:rPr>
          <w:rFonts w:hint="eastAsia" w:ascii="宋体" w:hAnsi="宋体" w:eastAsia="宋体" w:cs="宋体"/>
          <w:snapToGrid w:val="0"/>
          <w:color w:val="auto"/>
          <w:sz w:val="24"/>
          <w:lang w:val="en-US" w:eastAsia="zh-CN"/>
        </w:rPr>
        <w:t>8</w:t>
      </w:r>
      <w:r>
        <w:rPr>
          <w:rFonts w:hint="eastAsia" w:ascii="宋体" w:hAnsi="宋体" w:eastAsia="宋体" w:cs="宋体"/>
          <w:snapToGrid w:val="0"/>
          <w:color w:val="auto"/>
          <w:sz w:val="24"/>
        </w:rPr>
        <w:t>0分）</w:t>
      </w:r>
    </w:p>
    <w:tbl>
      <w:tblPr>
        <w:tblStyle w:val="12"/>
        <w:tblW w:w="99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598"/>
        <w:gridCol w:w="6698"/>
        <w:gridCol w:w="992"/>
      </w:tblGrid>
      <w:tr w14:paraId="29F21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709" w:type="dxa"/>
            <w:vMerge w:val="restart"/>
            <w:vAlign w:val="center"/>
          </w:tcPr>
          <w:p w14:paraId="407FD86E">
            <w:pPr>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598" w:type="dxa"/>
            <w:vMerge w:val="restart"/>
            <w:vAlign w:val="center"/>
          </w:tcPr>
          <w:p w14:paraId="4C9682D6">
            <w:pPr>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项目</w:t>
            </w:r>
          </w:p>
        </w:tc>
        <w:tc>
          <w:tcPr>
            <w:tcW w:w="6698" w:type="dxa"/>
            <w:vMerge w:val="restart"/>
            <w:vAlign w:val="center"/>
          </w:tcPr>
          <w:p w14:paraId="0CF48045">
            <w:pPr>
              <w:spacing w:line="240" w:lineRule="auto"/>
              <w:ind w:firstLine="241" w:firstLineChars="10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评分标准</w:t>
            </w:r>
          </w:p>
        </w:tc>
        <w:tc>
          <w:tcPr>
            <w:tcW w:w="992" w:type="dxa"/>
            <w:vMerge w:val="restart"/>
            <w:vAlign w:val="center"/>
          </w:tcPr>
          <w:p w14:paraId="64232D91">
            <w:pPr>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r>
      <w:tr w14:paraId="3936AD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709" w:type="dxa"/>
            <w:vMerge w:val="continue"/>
            <w:vAlign w:val="center"/>
          </w:tcPr>
          <w:p w14:paraId="4F8B02A4">
            <w:pPr>
              <w:widowControl/>
              <w:spacing w:line="240" w:lineRule="auto"/>
              <w:jc w:val="center"/>
              <w:rPr>
                <w:rFonts w:hint="eastAsia" w:ascii="宋体" w:hAnsi="宋体" w:eastAsia="宋体" w:cs="宋体"/>
                <w:color w:val="auto"/>
                <w:sz w:val="24"/>
                <w:szCs w:val="24"/>
              </w:rPr>
            </w:pPr>
          </w:p>
        </w:tc>
        <w:tc>
          <w:tcPr>
            <w:tcW w:w="1598" w:type="dxa"/>
            <w:vMerge w:val="continue"/>
            <w:vAlign w:val="center"/>
          </w:tcPr>
          <w:p w14:paraId="4845E4E9">
            <w:pPr>
              <w:widowControl/>
              <w:spacing w:line="240" w:lineRule="auto"/>
              <w:jc w:val="center"/>
              <w:rPr>
                <w:rFonts w:hint="eastAsia" w:ascii="宋体" w:hAnsi="宋体" w:eastAsia="宋体" w:cs="宋体"/>
                <w:color w:val="auto"/>
                <w:sz w:val="24"/>
                <w:szCs w:val="24"/>
              </w:rPr>
            </w:pPr>
          </w:p>
        </w:tc>
        <w:tc>
          <w:tcPr>
            <w:tcW w:w="6698" w:type="dxa"/>
            <w:vMerge w:val="continue"/>
            <w:vAlign w:val="center"/>
          </w:tcPr>
          <w:p w14:paraId="7EFD3E73">
            <w:pPr>
              <w:widowControl/>
              <w:spacing w:line="240" w:lineRule="auto"/>
              <w:jc w:val="left"/>
              <w:rPr>
                <w:rFonts w:hint="eastAsia" w:ascii="宋体" w:hAnsi="宋体" w:eastAsia="宋体" w:cs="宋体"/>
                <w:color w:val="auto"/>
                <w:sz w:val="24"/>
                <w:szCs w:val="24"/>
              </w:rPr>
            </w:pPr>
          </w:p>
        </w:tc>
        <w:tc>
          <w:tcPr>
            <w:tcW w:w="992" w:type="dxa"/>
            <w:vMerge w:val="continue"/>
            <w:vAlign w:val="center"/>
          </w:tcPr>
          <w:p w14:paraId="69EB8176">
            <w:pPr>
              <w:widowControl/>
              <w:spacing w:line="240" w:lineRule="auto"/>
              <w:jc w:val="center"/>
              <w:rPr>
                <w:rFonts w:hint="eastAsia" w:ascii="宋体" w:hAnsi="宋体" w:eastAsia="宋体" w:cs="宋体"/>
                <w:color w:val="auto"/>
                <w:sz w:val="24"/>
                <w:szCs w:val="24"/>
              </w:rPr>
            </w:pPr>
          </w:p>
        </w:tc>
      </w:tr>
      <w:tr w14:paraId="387A45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9" w:type="dxa"/>
            <w:shd w:val="clear" w:color="auto" w:fill="auto"/>
            <w:vAlign w:val="center"/>
          </w:tcPr>
          <w:p w14:paraId="41B31F55">
            <w:pPr>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1</w:t>
            </w:r>
          </w:p>
        </w:tc>
        <w:tc>
          <w:tcPr>
            <w:tcW w:w="1598" w:type="dxa"/>
            <w:shd w:val="clear" w:color="auto" w:fill="auto"/>
            <w:vAlign w:val="center"/>
          </w:tcPr>
          <w:p w14:paraId="28C88355">
            <w:pPr>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投标人信誉</w:t>
            </w:r>
          </w:p>
        </w:tc>
        <w:tc>
          <w:tcPr>
            <w:tcW w:w="6698" w:type="dxa"/>
            <w:shd w:val="clear" w:color="auto" w:fill="FFFFFF"/>
            <w:vAlign w:val="center"/>
          </w:tcPr>
          <w:p w14:paraId="07024BAC">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投标人具有</w:t>
            </w:r>
            <w:r>
              <w:rPr>
                <w:rFonts w:hint="eastAsia" w:asciiTheme="minorEastAsia" w:hAnsiTheme="minorEastAsia" w:eastAsiaTheme="minorEastAsia" w:cstheme="minorEastAsia"/>
                <w:color w:val="auto"/>
                <w:sz w:val="24"/>
                <w:szCs w:val="24"/>
                <w:lang w:val="en-US" w:eastAsia="zh-CN"/>
              </w:rPr>
              <w:t>政府</w:t>
            </w:r>
            <w:r>
              <w:rPr>
                <w:rFonts w:hint="eastAsia" w:asciiTheme="minorEastAsia" w:hAnsiTheme="minorEastAsia" w:eastAsiaTheme="minorEastAsia" w:cstheme="minorEastAsia"/>
                <w:color w:val="auto"/>
                <w:sz w:val="24"/>
                <w:szCs w:val="24"/>
              </w:rPr>
              <w:t>部门颁发的</w:t>
            </w:r>
            <w:r>
              <w:rPr>
                <w:rFonts w:hint="eastAsia" w:asciiTheme="minorEastAsia" w:hAnsiTheme="minorEastAsia" w:eastAsiaTheme="minorEastAsia" w:cstheme="minorEastAsia"/>
                <w:color w:val="auto"/>
                <w:sz w:val="24"/>
                <w:szCs w:val="24"/>
                <w:lang w:val="en-US" w:eastAsia="zh-CN"/>
              </w:rPr>
              <w:t>项目</w:t>
            </w:r>
            <w:r>
              <w:rPr>
                <w:rFonts w:hint="eastAsia" w:asciiTheme="minorEastAsia" w:hAnsiTheme="minorEastAsia" w:eastAsiaTheme="minorEastAsia" w:cstheme="minorEastAsia"/>
                <w:color w:val="auto"/>
                <w:sz w:val="24"/>
                <w:szCs w:val="24"/>
              </w:rPr>
              <w:t>相关荣誉、奖项</w:t>
            </w:r>
            <w:r>
              <w:rPr>
                <w:rFonts w:hint="eastAsia" w:asciiTheme="minorEastAsia" w:hAnsiTheme="minorEastAsia" w:eastAsiaTheme="minorEastAsia" w:cstheme="minorEastAsia"/>
                <w:color w:val="auto"/>
                <w:sz w:val="24"/>
                <w:szCs w:val="24"/>
                <w:lang w:val="en-US" w:eastAsia="zh-CN"/>
              </w:rPr>
              <w:t>的</w:t>
            </w:r>
            <w:r>
              <w:rPr>
                <w:rFonts w:hint="eastAsia" w:asciiTheme="minorEastAsia" w:hAnsiTheme="minorEastAsia" w:eastAsiaTheme="minorEastAsia" w:cstheme="minorEastAsia"/>
                <w:color w:val="auto"/>
                <w:sz w:val="24"/>
                <w:szCs w:val="24"/>
              </w:rPr>
              <w:t>，每提供一份有效证明材料得1分，本项最高得3分。</w:t>
            </w:r>
          </w:p>
          <w:p w14:paraId="3F98D1E4">
            <w:pPr>
              <w:spacing w:line="240" w:lineRule="auto"/>
              <w:rPr>
                <w:rFonts w:hint="eastAsia" w:ascii="宋体" w:hAnsi="宋体" w:eastAsia="宋体" w:cs="宋体"/>
                <w:color w:val="auto"/>
                <w:sz w:val="24"/>
                <w:szCs w:val="24"/>
              </w:rPr>
            </w:pPr>
            <w:r>
              <w:rPr>
                <w:rFonts w:hint="eastAsia" w:asciiTheme="minorEastAsia" w:hAnsiTheme="minorEastAsia" w:eastAsiaTheme="minorEastAsia" w:cstheme="minorEastAsia"/>
                <w:b/>
                <w:bCs/>
                <w:color w:val="auto"/>
                <w:sz w:val="24"/>
                <w:szCs w:val="24"/>
              </w:rPr>
              <w:t>注：</w:t>
            </w:r>
            <w:r>
              <w:rPr>
                <w:rFonts w:hint="eastAsia" w:asciiTheme="minorEastAsia" w:hAnsiTheme="minorEastAsia" w:eastAsiaTheme="minorEastAsia" w:cstheme="minorEastAsia"/>
                <w:b/>
                <w:bCs/>
                <w:color w:val="auto"/>
                <w:sz w:val="24"/>
                <w:szCs w:val="24"/>
                <w:lang w:val="en-US" w:eastAsia="zh-CN"/>
              </w:rPr>
              <w:t>技术</w:t>
            </w:r>
            <w:r>
              <w:rPr>
                <w:rFonts w:hint="eastAsia" w:asciiTheme="minorEastAsia" w:hAnsiTheme="minorEastAsia" w:eastAsiaTheme="minorEastAsia" w:cstheme="minorEastAsia"/>
                <w:b/>
                <w:bCs/>
                <w:color w:val="auto"/>
                <w:sz w:val="24"/>
                <w:szCs w:val="24"/>
              </w:rPr>
              <w:t>文件中需提供证书复印件或有效证明材料复印件并加盖投标人公章，否则不得分。</w:t>
            </w:r>
          </w:p>
        </w:tc>
        <w:tc>
          <w:tcPr>
            <w:tcW w:w="992" w:type="dxa"/>
            <w:vAlign w:val="center"/>
          </w:tcPr>
          <w:p w14:paraId="452C8F8E">
            <w:pPr>
              <w:spacing w:line="240" w:lineRule="auto"/>
              <w:jc w:val="center"/>
              <w:rPr>
                <w:rFonts w:hint="eastAsia" w:ascii="宋体" w:hAnsi="宋体" w:eastAsia="宋体" w:cs="宋体"/>
                <w:b/>
                <w:bCs/>
                <w:color w:val="auto"/>
                <w:sz w:val="24"/>
                <w:szCs w:val="24"/>
              </w:rPr>
            </w:pPr>
            <w:r>
              <w:rPr>
                <w:rFonts w:hint="eastAsia" w:asciiTheme="minorEastAsia" w:hAnsiTheme="minorEastAsia" w:eastAsiaTheme="minorEastAsia" w:cstheme="minorEastAsia"/>
                <w:b/>
                <w:bCs/>
                <w:color w:val="auto"/>
                <w:sz w:val="24"/>
                <w:szCs w:val="24"/>
              </w:rPr>
              <w:t>0-3分</w:t>
            </w:r>
          </w:p>
        </w:tc>
      </w:tr>
      <w:tr w14:paraId="611311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9" w:type="dxa"/>
            <w:shd w:val="clear" w:color="auto" w:fill="auto"/>
            <w:vAlign w:val="center"/>
          </w:tcPr>
          <w:p w14:paraId="3674B163">
            <w:pPr>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2</w:t>
            </w:r>
          </w:p>
        </w:tc>
        <w:tc>
          <w:tcPr>
            <w:tcW w:w="1598" w:type="dxa"/>
            <w:shd w:val="clear" w:color="auto" w:fill="auto"/>
            <w:vAlign w:val="center"/>
          </w:tcPr>
          <w:p w14:paraId="7EBDFEAD">
            <w:pPr>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项目业绩</w:t>
            </w:r>
          </w:p>
        </w:tc>
        <w:tc>
          <w:tcPr>
            <w:tcW w:w="6698" w:type="dxa"/>
            <w:shd w:val="clear" w:color="auto" w:fill="FFFFFF"/>
            <w:vAlign w:val="center"/>
          </w:tcPr>
          <w:p w14:paraId="78E3C0AB">
            <w:pPr>
              <w:spacing w:line="240" w:lineRule="auto"/>
              <w:jc w:val="left"/>
              <w:rPr>
                <w:rFonts w:ascii="宋体" w:hAnsi="宋体" w:cs="宋体"/>
                <w:color w:val="auto"/>
                <w:sz w:val="24"/>
                <w:highlight w:val="yellow"/>
              </w:rPr>
            </w:pPr>
            <w:r>
              <w:rPr>
                <w:rFonts w:hint="eastAsia" w:asciiTheme="minorEastAsia" w:hAnsiTheme="minorEastAsia" w:eastAsiaTheme="minorEastAsia" w:cstheme="minorEastAsia"/>
                <w:color w:val="auto"/>
                <w:sz w:val="24"/>
                <w:szCs w:val="24"/>
              </w:rPr>
              <w:t>投标人自20</w:t>
            </w:r>
            <w:r>
              <w:rPr>
                <w:rFonts w:hint="eastAsia" w:asciiTheme="minorEastAsia" w:hAnsiTheme="minorEastAsia" w:eastAsiaTheme="minorEastAsia" w:cstheme="minorEastAsia"/>
                <w:color w:val="auto"/>
                <w:sz w:val="24"/>
                <w:szCs w:val="24"/>
                <w:lang w:val="en-US" w:eastAsia="zh-CN"/>
              </w:rPr>
              <w:t>22</w:t>
            </w:r>
            <w:r>
              <w:rPr>
                <w:rFonts w:hint="eastAsia" w:asciiTheme="minorEastAsia" w:hAnsiTheme="minorEastAsia" w:eastAsiaTheme="minorEastAsia" w:cstheme="minorEastAsia"/>
                <w:color w:val="auto"/>
                <w:sz w:val="24"/>
                <w:szCs w:val="24"/>
              </w:rPr>
              <w:t>年1月1日以来（以合同签订时间或相关证明时间为准）</w:t>
            </w:r>
            <w:r>
              <w:rPr>
                <w:rFonts w:hint="eastAsia" w:asciiTheme="minorEastAsia" w:hAnsiTheme="minorEastAsia" w:eastAsiaTheme="minorEastAsia" w:cstheme="minorEastAsia"/>
                <w:color w:val="auto"/>
                <w:sz w:val="24"/>
                <w:szCs w:val="24"/>
                <w:lang w:eastAsia="zh-CN"/>
              </w:rPr>
              <w:t>，</w:t>
            </w:r>
            <w:r>
              <w:rPr>
                <w:rFonts w:hint="eastAsia" w:ascii="宋体" w:hAnsi="宋体" w:cs="宋体"/>
                <w:color w:val="auto"/>
                <w:sz w:val="24"/>
              </w:rPr>
              <w:t>具有同类或类似项目业绩的，每提供一个得1分，本项最高得2分。（同一项目不同年度在协议期内的只能统计1次，同一项目不同年度的分别招标或合作的可以分别统计）</w:t>
            </w:r>
          </w:p>
          <w:p w14:paraId="4F28FE34">
            <w:pPr>
              <w:spacing w:line="240" w:lineRule="auto"/>
              <w:textAlignment w:val="baseline"/>
              <w:rPr>
                <w:rFonts w:hint="eastAsia" w:ascii="宋体" w:hAnsi="宋体" w:eastAsia="宋体" w:cs="宋体"/>
                <w:color w:val="auto"/>
                <w:sz w:val="24"/>
                <w:szCs w:val="24"/>
              </w:rPr>
            </w:pPr>
            <w:r>
              <w:rPr>
                <w:rFonts w:hint="eastAsia" w:asciiTheme="minorEastAsia" w:hAnsiTheme="minorEastAsia" w:eastAsiaTheme="minorEastAsia" w:cstheme="minorEastAsia"/>
                <w:b/>
                <w:bCs/>
                <w:color w:val="auto"/>
                <w:sz w:val="24"/>
                <w:szCs w:val="24"/>
              </w:rPr>
              <w:t>注：</w:t>
            </w:r>
            <w:r>
              <w:rPr>
                <w:rFonts w:hint="eastAsia" w:asciiTheme="minorEastAsia" w:hAnsiTheme="minorEastAsia" w:eastAsiaTheme="minorEastAsia" w:cstheme="minorEastAsia"/>
                <w:b/>
                <w:bCs/>
                <w:color w:val="auto"/>
                <w:sz w:val="24"/>
                <w:szCs w:val="24"/>
                <w:lang w:val="en-US" w:eastAsia="zh-CN"/>
              </w:rPr>
              <w:t>技术</w:t>
            </w:r>
            <w:r>
              <w:rPr>
                <w:rFonts w:hint="eastAsia" w:asciiTheme="minorEastAsia" w:hAnsiTheme="minorEastAsia" w:eastAsiaTheme="minorEastAsia" w:cstheme="minorEastAsia"/>
                <w:b/>
                <w:bCs/>
                <w:color w:val="auto"/>
                <w:sz w:val="24"/>
                <w:szCs w:val="24"/>
              </w:rPr>
              <w:t>文件中</w:t>
            </w:r>
            <w:r>
              <w:rPr>
                <w:rFonts w:hint="eastAsia" w:asciiTheme="minorEastAsia" w:hAnsiTheme="minorEastAsia" w:eastAsiaTheme="minorEastAsia" w:cstheme="minorEastAsia"/>
                <w:b/>
                <w:bCs/>
                <w:color w:val="auto"/>
                <w:sz w:val="24"/>
                <w:szCs w:val="24"/>
                <w:lang w:val="en-US" w:eastAsia="zh-CN"/>
              </w:rPr>
              <w:t>需</w:t>
            </w:r>
            <w:r>
              <w:rPr>
                <w:rFonts w:hint="eastAsia" w:ascii="宋体" w:hAnsi="宋体" w:cs="宋体"/>
                <w:b/>
                <w:bCs/>
                <w:color w:val="auto"/>
                <w:sz w:val="24"/>
              </w:rPr>
              <w:t>提供合同或保单复印件并加盖投标人公章，不提供不得分。</w:t>
            </w:r>
          </w:p>
        </w:tc>
        <w:tc>
          <w:tcPr>
            <w:tcW w:w="992" w:type="dxa"/>
            <w:vAlign w:val="center"/>
          </w:tcPr>
          <w:p w14:paraId="4DF77780">
            <w:pPr>
              <w:spacing w:line="240" w:lineRule="auto"/>
              <w:jc w:val="center"/>
              <w:rPr>
                <w:rFonts w:hint="eastAsia" w:ascii="宋体" w:hAnsi="宋体" w:eastAsia="宋体" w:cs="宋体"/>
                <w:b/>
                <w:bCs/>
                <w:color w:val="auto"/>
                <w:sz w:val="24"/>
                <w:szCs w:val="24"/>
              </w:rPr>
            </w:pPr>
            <w:r>
              <w:rPr>
                <w:rFonts w:hint="eastAsia" w:asciiTheme="minorEastAsia" w:hAnsiTheme="minorEastAsia" w:eastAsiaTheme="minorEastAsia" w:cstheme="minorEastAsia"/>
                <w:b/>
                <w:bCs/>
                <w:color w:val="auto"/>
                <w:sz w:val="24"/>
                <w:szCs w:val="24"/>
              </w:rPr>
              <w:t>0-</w:t>
            </w:r>
            <w:r>
              <w:rPr>
                <w:rFonts w:hint="eastAsia" w:asciiTheme="minorEastAsia" w:hAnsiTheme="minorEastAsia" w:eastAsiaTheme="minorEastAsia" w:cstheme="minorEastAsia"/>
                <w:b/>
                <w:bCs/>
                <w:color w:val="auto"/>
                <w:sz w:val="24"/>
                <w:szCs w:val="24"/>
                <w:lang w:val="en-US" w:eastAsia="zh-CN"/>
              </w:rPr>
              <w:t>2</w:t>
            </w:r>
            <w:r>
              <w:rPr>
                <w:rFonts w:hint="eastAsia" w:asciiTheme="minorEastAsia" w:hAnsiTheme="minorEastAsia" w:eastAsiaTheme="minorEastAsia" w:cstheme="minorEastAsia"/>
                <w:b/>
                <w:bCs/>
                <w:color w:val="auto"/>
                <w:sz w:val="24"/>
                <w:szCs w:val="24"/>
              </w:rPr>
              <w:t>分</w:t>
            </w:r>
          </w:p>
        </w:tc>
      </w:tr>
      <w:tr w14:paraId="3900A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9" w:type="dxa"/>
            <w:shd w:val="clear" w:color="auto" w:fill="FFFFFF" w:themeFill="background1"/>
            <w:vAlign w:val="center"/>
          </w:tcPr>
          <w:p w14:paraId="2CC602FA">
            <w:pPr>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3</w:t>
            </w:r>
          </w:p>
        </w:tc>
        <w:tc>
          <w:tcPr>
            <w:tcW w:w="1598" w:type="dxa"/>
            <w:shd w:val="clear" w:color="auto" w:fill="FFFFFF" w:themeFill="background1"/>
            <w:vAlign w:val="center"/>
          </w:tcPr>
          <w:p w14:paraId="13B1E25E">
            <w:pPr>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技术响应程度</w:t>
            </w:r>
          </w:p>
        </w:tc>
        <w:tc>
          <w:tcPr>
            <w:tcW w:w="6698" w:type="dxa"/>
            <w:shd w:val="clear" w:color="auto" w:fill="FFFFFF" w:themeFill="background1"/>
            <w:vAlign w:val="center"/>
          </w:tcPr>
          <w:p w14:paraId="2D964065">
            <w:pPr>
              <w:widowControl/>
              <w:spacing w:line="240" w:lineRule="auto"/>
              <w:jc w:val="left"/>
              <w:rPr>
                <w:rFonts w:hint="eastAsia" w:ascii="宋体" w:hAnsi="宋体" w:cs="宋体"/>
                <w:snapToGrid w:val="0"/>
                <w:color w:val="auto"/>
                <w:kern w:val="0"/>
              </w:rPr>
            </w:pPr>
            <w:r>
              <w:rPr>
                <w:rFonts w:hint="eastAsia" w:ascii="宋体" w:hAnsi="宋体" w:cs="宋体"/>
                <w:snapToGrid w:val="0"/>
                <w:color w:val="auto"/>
                <w:kern w:val="0"/>
                <w:sz w:val="24"/>
              </w:rPr>
              <w:t>根据投标产品的技术要求是否符合招标文件性能参数要求及符合程度进行评价。</w:t>
            </w:r>
          </w:p>
          <w:p w14:paraId="14A1DA88">
            <w:pPr>
              <w:spacing w:line="240" w:lineRule="auto"/>
              <w:rPr>
                <w:rFonts w:hint="eastAsia" w:ascii="宋体" w:hAnsi="宋体"/>
                <w:color w:val="auto"/>
                <w:sz w:val="24"/>
              </w:rPr>
            </w:pPr>
            <w:r>
              <w:rPr>
                <w:rFonts w:hint="eastAsia" w:ascii="宋体" w:hAnsi="宋体" w:cs="宋体"/>
                <w:color w:val="auto"/>
                <w:sz w:val="24"/>
              </w:rPr>
              <w:t>1）带</w:t>
            </w:r>
            <w:r>
              <w:rPr>
                <w:rFonts w:hint="eastAsia" w:ascii="宋体" w:hAnsi="宋体"/>
                <w:color w:val="auto"/>
                <w:sz w:val="24"/>
              </w:rPr>
              <w:t>★</w:t>
            </w:r>
            <w:r>
              <w:rPr>
                <w:rFonts w:hint="eastAsia" w:ascii="宋体" w:hAnsi="宋体" w:cs="宋体"/>
                <w:color w:val="auto"/>
                <w:sz w:val="24"/>
              </w:rPr>
              <w:t>号实质性指标参数，不满足作无效投标。</w:t>
            </w:r>
          </w:p>
          <w:p w14:paraId="2AC52350">
            <w:pPr>
              <w:spacing w:line="240" w:lineRule="auto"/>
              <w:rPr>
                <w:rFonts w:hint="eastAsia" w:asciiTheme="minorEastAsia" w:hAnsiTheme="minorEastAsia" w:eastAsiaTheme="minorEastAsia" w:cstheme="minorEastAsia"/>
                <w:color w:val="auto"/>
                <w:sz w:val="24"/>
              </w:rPr>
            </w:pPr>
            <w:r>
              <w:rPr>
                <w:rFonts w:hint="eastAsia" w:ascii="宋体" w:hAnsi="宋体"/>
                <w:color w:val="auto"/>
                <w:sz w:val="24"/>
              </w:rPr>
              <w:t>2）</w:t>
            </w:r>
            <w:r>
              <w:rPr>
                <w:rFonts w:hint="eastAsia" w:asciiTheme="minorEastAsia" w:hAnsiTheme="minorEastAsia" w:eastAsiaTheme="minorEastAsia" w:cstheme="minorEastAsia"/>
                <w:color w:val="auto"/>
                <w:sz w:val="24"/>
              </w:rPr>
              <w:t>一般指标响应情况（满分</w:t>
            </w:r>
            <w:r>
              <w:rPr>
                <w:rFonts w:hint="eastAsia" w:asciiTheme="minorEastAsia" w:hAnsiTheme="minorEastAsia" w:eastAsiaTheme="minorEastAsia" w:cstheme="minorEastAsia"/>
                <w:color w:val="auto"/>
                <w:sz w:val="24"/>
                <w:lang w:val="en-US" w:eastAsia="zh-CN"/>
              </w:rPr>
              <w:t>15</w:t>
            </w:r>
            <w:r>
              <w:rPr>
                <w:rFonts w:hint="eastAsia" w:asciiTheme="minorEastAsia" w:hAnsiTheme="minorEastAsia" w:eastAsiaTheme="minorEastAsia" w:cstheme="minorEastAsia"/>
                <w:color w:val="auto"/>
                <w:sz w:val="24"/>
              </w:rPr>
              <w:t>分）：允许偏离的技术条款低于技术要求（负偏离）的，每项扣2分，扣完为止。</w:t>
            </w:r>
          </w:p>
          <w:p w14:paraId="5DCB6EB4">
            <w:pPr>
              <w:spacing w:line="240" w:lineRule="auto"/>
              <w:rPr>
                <w:rFonts w:hint="eastAsia" w:ascii="宋体" w:hAnsi="宋体" w:eastAsia="宋体" w:cs="宋体"/>
                <w:color w:val="auto"/>
                <w:sz w:val="24"/>
                <w:szCs w:val="24"/>
              </w:rPr>
            </w:pPr>
            <w:r>
              <w:rPr>
                <w:rFonts w:hint="eastAsia" w:asciiTheme="minorEastAsia" w:hAnsiTheme="minorEastAsia" w:eastAsiaTheme="minorEastAsia" w:cstheme="minorEastAsia"/>
                <w:b/>
                <w:bCs/>
                <w:color w:val="auto"/>
                <w:sz w:val="24"/>
              </w:rPr>
              <w:t>注：</w:t>
            </w:r>
            <w:r>
              <w:rPr>
                <w:rFonts w:hint="eastAsia" w:ascii="宋体" w:hAnsi="宋体" w:cs="宋体"/>
                <w:b/>
                <w:bCs/>
                <w:snapToGrid w:val="0"/>
                <w:color w:val="auto"/>
                <w:kern w:val="0"/>
                <w:sz w:val="24"/>
              </w:rPr>
              <w:t>需提供技术偏离表并加盖投标人签章，否则不得分。</w:t>
            </w:r>
            <w:r>
              <w:rPr>
                <w:rFonts w:hint="eastAsia" w:asciiTheme="minorEastAsia" w:hAnsiTheme="minorEastAsia" w:eastAsiaTheme="minorEastAsia" w:cstheme="minorEastAsia"/>
                <w:b/>
                <w:bCs/>
                <w:color w:val="auto"/>
                <w:sz w:val="24"/>
              </w:rPr>
              <w:t>性能参数中要求提供报告、证书、说明等佐证材料的，如未提供则视作负偏离，</w:t>
            </w:r>
            <w:r>
              <w:rPr>
                <w:rFonts w:hint="eastAsia" w:ascii="宋体" w:hAnsi="宋体"/>
                <w:b/>
                <w:color w:val="auto"/>
                <w:sz w:val="24"/>
              </w:rPr>
              <w:t>技术偏离表技术要求中响应规格与技术支持资料不一致的经评标委员会讨论后可被认定为负偏离。</w:t>
            </w:r>
          </w:p>
        </w:tc>
        <w:tc>
          <w:tcPr>
            <w:tcW w:w="992" w:type="dxa"/>
            <w:shd w:val="clear" w:color="auto" w:fill="FFFFFF" w:themeFill="background1"/>
            <w:vAlign w:val="center"/>
          </w:tcPr>
          <w:p w14:paraId="4D4EB43E">
            <w:pPr>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0-15分</w:t>
            </w:r>
          </w:p>
        </w:tc>
      </w:tr>
      <w:tr w14:paraId="4B7236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9" w:type="dxa"/>
            <w:vMerge w:val="restart"/>
            <w:shd w:val="clear" w:color="auto" w:fill="FFFFFF" w:themeFill="background1"/>
            <w:vAlign w:val="center"/>
          </w:tcPr>
          <w:p w14:paraId="1C5EA8E1">
            <w:pPr>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4</w:t>
            </w:r>
          </w:p>
        </w:tc>
        <w:tc>
          <w:tcPr>
            <w:tcW w:w="1598" w:type="dxa"/>
            <w:vMerge w:val="restart"/>
            <w:shd w:val="clear" w:color="auto" w:fill="FFFFFF" w:themeFill="background1"/>
            <w:vAlign w:val="center"/>
          </w:tcPr>
          <w:p w14:paraId="59C39D9A">
            <w:pPr>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服务方案</w:t>
            </w:r>
          </w:p>
        </w:tc>
        <w:tc>
          <w:tcPr>
            <w:tcW w:w="6698" w:type="dxa"/>
            <w:tcBorders>
              <w:bottom w:val="single" w:color="auto" w:sz="4" w:space="0"/>
            </w:tcBorders>
            <w:shd w:val="clear" w:color="auto" w:fill="FFFFFF" w:themeFill="background1"/>
            <w:vAlign w:val="center"/>
          </w:tcPr>
          <w:p w14:paraId="114C64D2">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根据投标人提供的保险方案内容设计是否齐全、合理等</w:t>
            </w:r>
            <w:r>
              <w:rPr>
                <w:rFonts w:hint="eastAsia" w:ascii="宋体" w:hAnsi="宋体" w:eastAsia="宋体" w:cs="宋体"/>
                <w:bCs/>
                <w:color w:val="auto"/>
                <w:sz w:val="24"/>
                <w:szCs w:val="24"/>
              </w:rPr>
              <w:t>由专家</w:t>
            </w:r>
            <w:r>
              <w:rPr>
                <w:rFonts w:hint="eastAsia" w:ascii="宋体" w:hAnsi="宋体" w:eastAsia="宋体" w:cs="宋体"/>
                <w:bCs/>
                <w:color w:val="auto"/>
                <w:sz w:val="24"/>
                <w:szCs w:val="24"/>
                <w:lang w:val="en-US" w:eastAsia="zh-CN"/>
              </w:rPr>
              <w:t>进行打分</w:t>
            </w:r>
            <w:r>
              <w:rPr>
                <w:rFonts w:hint="eastAsia" w:ascii="宋体" w:hAnsi="宋体" w:eastAsia="宋体" w:cs="宋体"/>
                <w:color w:val="auto"/>
                <w:sz w:val="24"/>
                <w:szCs w:val="24"/>
              </w:rPr>
              <w:t>。</w:t>
            </w:r>
          </w:p>
          <w:p w14:paraId="16A876B6">
            <w:pPr>
              <w:spacing w:line="240" w:lineRule="auto"/>
              <w:rPr>
                <w:rFonts w:hint="eastAsia" w:ascii="宋体" w:hAnsi="宋体" w:eastAsia="宋体" w:cs="宋体"/>
                <w:bCs/>
                <w:color w:val="auto"/>
                <w:sz w:val="24"/>
              </w:rPr>
            </w:pPr>
            <w:r>
              <w:rPr>
                <w:rFonts w:hint="eastAsia" w:ascii="宋体" w:hAnsi="宋体" w:eastAsia="宋体" w:cs="宋体"/>
                <w:bCs/>
                <w:color w:val="auto"/>
                <w:sz w:val="24"/>
              </w:rPr>
              <w:t>方案合理、可行性高的，得</w:t>
            </w:r>
            <w:r>
              <w:rPr>
                <w:rFonts w:hint="eastAsia" w:ascii="宋体" w:hAnsi="宋体" w:eastAsia="宋体" w:cs="宋体"/>
                <w:bCs/>
                <w:color w:val="auto"/>
                <w:sz w:val="24"/>
                <w:lang w:val="en-US" w:eastAsia="zh-CN"/>
              </w:rPr>
              <w:t>5</w:t>
            </w:r>
            <w:r>
              <w:rPr>
                <w:rFonts w:hint="eastAsia" w:ascii="宋体" w:hAnsi="宋体" w:eastAsia="宋体" w:cs="宋体"/>
                <w:bCs/>
                <w:color w:val="auto"/>
                <w:sz w:val="24"/>
              </w:rPr>
              <w:t>分；</w:t>
            </w:r>
          </w:p>
          <w:p w14:paraId="4305F9A4">
            <w:pPr>
              <w:spacing w:line="240" w:lineRule="auto"/>
              <w:rPr>
                <w:rFonts w:hint="eastAsia" w:ascii="宋体" w:hAnsi="宋体" w:eastAsia="宋体" w:cs="宋体"/>
                <w:bCs/>
                <w:color w:val="auto"/>
                <w:sz w:val="24"/>
              </w:rPr>
            </w:pPr>
            <w:r>
              <w:rPr>
                <w:rFonts w:hint="eastAsia" w:ascii="宋体" w:hAnsi="宋体" w:eastAsia="宋体" w:cs="宋体"/>
                <w:bCs/>
                <w:color w:val="auto"/>
                <w:sz w:val="24"/>
              </w:rPr>
              <w:t>方案较合理、可行性一般的，得</w:t>
            </w:r>
            <w:r>
              <w:rPr>
                <w:rFonts w:hint="eastAsia" w:ascii="宋体" w:hAnsi="宋体" w:eastAsia="宋体" w:cs="宋体"/>
                <w:bCs/>
                <w:color w:val="auto"/>
                <w:sz w:val="24"/>
                <w:lang w:val="en-US" w:eastAsia="zh-CN"/>
              </w:rPr>
              <w:t>3</w:t>
            </w:r>
            <w:r>
              <w:rPr>
                <w:rFonts w:hint="eastAsia" w:ascii="宋体" w:hAnsi="宋体" w:eastAsia="宋体" w:cs="宋体"/>
                <w:bCs/>
                <w:color w:val="auto"/>
                <w:sz w:val="24"/>
              </w:rPr>
              <w:t>分；</w:t>
            </w:r>
          </w:p>
          <w:p w14:paraId="2AF98D57">
            <w:pPr>
              <w:spacing w:line="240" w:lineRule="auto"/>
              <w:rPr>
                <w:rFonts w:hint="eastAsia" w:ascii="宋体" w:hAnsi="宋体" w:eastAsia="宋体" w:cs="宋体"/>
                <w:bCs/>
                <w:color w:val="auto"/>
                <w:sz w:val="24"/>
              </w:rPr>
            </w:pPr>
            <w:r>
              <w:rPr>
                <w:rFonts w:hint="eastAsia" w:ascii="宋体" w:hAnsi="宋体" w:eastAsia="宋体" w:cs="宋体"/>
                <w:bCs/>
                <w:color w:val="auto"/>
                <w:sz w:val="24"/>
              </w:rPr>
              <w:t>方案较不合理、可行性较差的，得1分；</w:t>
            </w:r>
          </w:p>
          <w:p w14:paraId="16136FAA">
            <w:pPr>
              <w:spacing w:line="240" w:lineRule="auto"/>
              <w:rPr>
                <w:rFonts w:hint="eastAsia" w:ascii="宋体" w:hAnsi="宋体" w:eastAsia="宋体" w:cs="宋体"/>
                <w:color w:val="auto"/>
                <w:sz w:val="24"/>
                <w:szCs w:val="24"/>
              </w:rPr>
            </w:pPr>
            <w:r>
              <w:rPr>
                <w:rFonts w:hint="eastAsia" w:ascii="宋体" w:hAnsi="宋体" w:eastAsia="宋体" w:cs="宋体"/>
                <w:bCs/>
                <w:color w:val="auto"/>
                <w:sz w:val="24"/>
              </w:rPr>
              <w:t>不提供不得分。</w:t>
            </w:r>
          </w:p>
        </w:tc>
        <w:tc>
          <w:tcPr>
            <w:tcW w:w="992" w:type="dxa"/>
            <w:tcBorders>
              <w:bottom w:val="single" w:color="auto" w:sz="4" w:space="0"/>
            </w:tcBorders>
            <w:shd w:val="clear" w:color="auto" w:fill="FFFFFF" w:themeFill="background1"/>
            <w:vAlign w:val="center"/>
          </w:tcPr>
          <w:p w14:paraId="182D7346">
            <w:pPr>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0-</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分</w:t>
            </w:r>
          </w:p>
        </w:tc>
      </w:tr>
      <w:tr w14:paraId="12F166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9" w:type="dxa"/>
            <w:vMerge w:val="continue"/>
            <w:shd w:val="clear" w:color="auto" w:fill="FFFFFF" w:themeFill="background1"/>
            <w:vAlign w:val="center"/>
          </w:tcPr>
          <w:p w14:paraId="613E356F">
            <w:pPr>
              <w:spacing w:line="240" w:lineRule="auto"/>
              <w:jc w:val="center"/>
              <w:rPr>
                <w:rFonts w:hint="eastAsia" w:ascii="宋体" w:hAnsi="宋体" w:eastAsia="宋体" w:cs="宋体"/>
                <w:b/>
                <w:color w:val="auto"/>
                <w:sz w:val="24"/>
                <w:szCs w:val="24"/>
              </w:rPr>
            </w:pPr>
          </w:p>
        </w:tc>
        <w:tc>
          <w:tcPr>
            <w:tcW w:w="1598" w:type="dxa"/>
            <w:vMerge w:val="continue"/>
            <w:shd w:val="clear" w:color="auto" w:fill="FFFFFF" w:themeFill="background1"/>
            <w:vAlign w:val="center"/>
          </w:tcPr>
          <w:p w14:paraId="31E149DC">
            <w:pPr>
              <w:spacing w:line="240" w:lineRule="auto"/>
              <w:jc w:val="center"/>
              <w:rPr>
                <w:rFonts w:hint="eastAsia" w:ascii="宋体" w:hAnsi="宋体" w:eastAsia="宋体" w:cs="宋体"/>
                <w:b/>
                <w:color w:val="auto"/>
                <w:sz w:val="24"/>
                <w:szCs w:val="24"/>
              </w:rPr>
            </w:pPr>
          </w:p>
        </w:tc>
        <w:tc>
          <w:tcPr>
            <w:tcW w:w="6698" w:type="dxa"/>
            <w:tcBorders>
              <w:top w:val="single" w:color="auto" w:sz="4" w:space="0"/>
              <w:bottom w:val="single" w:color="auto" w:sz="4" w:space="0"/>
            </w:tcBorders>
            <w:shd w:val="clear" w:color="auto" w:fill="FFFFFF" w:themeFill="background1"/>
            <w:vAlign w:val="center"/>
          </w:tcPr>
          <w:p w14:paraId="64CD68DA">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根据投标人提出的针对本项目的服务质量保障措施及应急方案等</w:t>
            </w:r>
            <w:r>
              <w:rPr>
                <w:rFonts w:hint="eastAsia" w:ascii="宋体" w:hAnsi="宋体" w:eastAsia="宋体" w:cs="宋体"/>
                <w:bCs/>
                <w:color w:val="auto"/>
                <w:sz w:val="24"/>
                <w:szCs w:val="24"/>
              </w:rPr>
              <w:t>由专家</w:t>
            </w:r>
            <w:r>
              <w:rPr>
                <w:rFonts w:hint="eastAsia" w:ascii="宋体" w:hAnsi="宋体" w:eastAsia="宋体" w:cs="宋体"/>
                <w:bCs/>
                <w:color w:val="auto"/>
                <w:sz w:val="24"/>
                <w:szCs w:val="24"/>
                <w:lang w:val="en-US" w:eastAsia="zh-CN"/>
              </w:rPr>
              <w:t>进行打分</w:t>
            </w:r>
            <w:r>
              <w:rPr>
                <w:rFonts w:hint="eastAsia" w:ascii="宋体" w:hAnsi="宋体" w:eastAsia="宋体" w:cs="宋体"/>
                <w:color w:val="auto"/>
                <w:sz w:val="24"/>
                <w:szCs w:val="24"/>
              </w:rPr>
              <w:t>。</w:t>
            </w:r>
          </w:p>
          <w:p w14:paraId="6EDE77A4">
            <w:pPr>
              <w:spacing w:line="240" w:lineRule="auto"/>
              <w:rPr>
                <w:rFonts w:hint="eastAsia" w:ascii="宋体" w:hAnsi="宋体" w:eastAsia="宋体" w:cs="宋体"/>
                <w:bCs/>
                <w:color w:val="auto"/>
                <w:sz w:val="24"/>
              </w:rPr>
            </w:pPr>
            <w:r>
              <w:rPr>
                <w:rFonts w:hint="eastAsia" w:ascii="宋体" w:hAnsi="宋体" w:eastAsia="宋体" w:cs="宋体"/>
                <w:bCs/>
                <w:color w:val="auto"/>
                <w:sz w:val="24"/>
              </w:rPr>
              <w:t>方案合理、可行性高的，得</w:t>
            </w:r>
            <w:r>
              <w:rPr>
                <w:rFonts w:hint="eastAsia" w:ascii="宋体" w:hAnsi="宋体" w:eastAsia="宋体" w:cs="宋体"/>
                <w:bCs/>
                <w:color w:val="auto"/>
                <w:sz w:val="24"/>
                <w:lang w:val="en-US" w:eastAsia="zh-CN"/>
              </w:rPr>
              <w:t>5</w:t>
            </w:r>
            <w:r>
              <w:rPr>
                <w:rFonts w:hint="eastAsia" w:ascii="宋体" w:hAnsi="宋体" w:eastAsia="宋体" w:cs="宋体"/>
                <w:bCs/>
                <w:color w:val="auto"/>
                <w:sz w:val="24"/>
              </w:rPr>
              <w:t>分；</w:t>
            </w:r>
          </w:p>
          <w:p w14:paraId="5F0BC2D4">
            <w:pPr>
              <w:spacing w:line="240" w:lineRule="auto"/>
              <w:rPr>
                <w:rFonts w:hint="eastAsia" w:ascii="宋体" w:hAnsi="宋体" w:eastAsia="宋体" w:cs="宋体"/>
                <w:bCs/>
                <w:color w:val="auto"/>
                <w:sz w:val="24"/>
              </w:rPr>
            </w:pPr>
            <w:r>
              <w:rPr>
                <w:rFonts w:hint="eastAsia" w:ascii="宋体" w:hAnsi="宋体" w:eastAsia="宋体" w:cs="宋体"/>
                <w:bCs/>
                <w:color w:val="auto"/>
                <w:sz w:val="24"/>
              </w:rPr>
              <w:t>方案较合理、可行性一般的，得</w:t>
            </w:r>
            <w:r>
              <w:rPr>
                <w:rFonts w:hint="eastAsia" w:ascii="宋体" w:hAnsi="宋体" w:eastAsia="宋体" w:cs="宋体"/>
                <w:bCs/>
                <w:color w:val="auto"/>
                <w:sz w:val="24"/>
                <w:lang w:val="en-US" w:eastAsia="zh-CN"/>
              </w:rPr>
              <w:t>3</w:t>
            </w:r>
            <w:r>
              <w:rPr>
                <w:rFonts w:hint="eastAsia" w:ascii="宋体" w:hAnsi="宋体" w:eastAsia="宋体" w:cs="宋体"/>
                <w:bCs/>
                <w:color w:val="auto"/>
                <w:sz w:val="24"/>
              </w:rPr>
              <w:t>分；</w:t>
            </w:r>
          </w:p>
          <w:p w14:paraId="1FB53AD7">
            <w:pPr>
              <w:spacing w:line="240" w:lineRule="auto"/>
              <w:rPr>
                <w:rFonts w:hint="eastAsia" w:ascii="宋体" w:hAnsi="宋体" w:eastAsia="宋体" w:cs="宋体"/>
                <w:bCs/>
                <w:color w:val="auto"/>
                <w:sz w:val="24"/>
              </w:rPr>
            </w:pPr>
            <w:r>
              <w:rPr>
                <w:rFonts w:hint="eastAsia" w:ascii="宋体" w:hAnsi="宋体" w:eastAsia="宋体" w:cs="宋体"/>
                <w:bCs/>
                <w:color w:val="auto"/>
                <w:sz w:val="24"/>
              </w:rPr>
              <w:t>方案较不合理、可行性较差的，得1分；</w:t>
            </w:r>
          </w:p>
          <w:p w14:paraId="6087362C">
            <w:pPr>
              <w:spacing w:line="240" w:lineRule="auto"/>
              <w:rPr>
                <w:rFonts w:hint="eastAsia" w:ascii="宋体" w:hAnsi="宋体" w:eastAsia="宋体" w:cs="宋体"/>
                <w:color w:val="auto"/>
                <w:sz w:val="24"/>
                <w:szCs w:val="24"/>
              </w:rPr>
            </w:pPr>
            <w:r>
              <w:rPr>
                <w:rFonts w:hint="eastAsia" w:ascii="宋体" w:hAnsi="宋体" w:eastAsia="宋体" w:cs="宋体"/>
                <w:bCs/>
                <w:color w:val="auto"/>
                <w:sz w:val="24"/>
              </w:rPr>
              <w:t>不提供不得分。</w:t>
            </w:r>
          </w:p>
        </w:tc>
        <w:tc>
          <w:tcPr>
            <w:tcW w:w="992" w:type="dxa"/>
            <w:tcBorders>
              <w:top w:val="single" w:color="auto" w:sz="4" w:space="0"/>
              <w:bottom w:val="single" w:color="auto" w:sz="4" w:space="0"/>
            </w:tcBorders>
            <w:shd w:val="clear" w:color="auto" w:fill="FFFFFF" w:themeFill="background1"/>
            <w:vAlign w:val="center"/>
          </w:tcPr>
          <w:p w14:paraId="4EB32A41">
            <w:pPr>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0-</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分</w:t>
            </w:r>
          </w:p>
        </w:tc>
      </w:tr>
      <w:tr w14:paraId="28EBA3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9" w:type="dxa"/>
            <w:vMerge w:val="continue"/>
            <w:shd w:val="clear" w:color="auto" w:fill="FFFFFF" w:themeFill="background1"/>
            <w:vAlign w:val="center"/>
          </w:tcPr>
          <w:p w14:paraId="6BD0B970">
            <w:pPr>
              <w:spacing w:line="240" w:lineRule="auto"/>
              <w:jc w:val="center"/>
              <w:rPr>
                <w:rFonts w:hint="eastAsia" w:ascii="宋体" w:hAnsi="宋体" w:eastAsia="宋体" w:cs="宋体"/>
                <w:b/>
                <w:color w:val="auto"/>
                <w:sz w:val="24"/>
                <w:szCs w:val="24"/>
              </w:rPr>
            </w:pPr>
          </w:p>
        </w:tc>
        <w:tc>
          <w:tcPr>
            <w:tcW w:w="1598" w:type="dxa"/>
            <w:vMerge w:val="continue"/>
            <w:shd w:val="clear" w:color="auto" w:fill="FFFFFF" w:themeFill="background1"/>
            <w:vAlign w:val="center"/>
          </w:tcPr>
          <w:p w14:paraId="376EBBD5">
            <w:pPr>
              <w:spacing w:line="240" w:lineRule="auto"/>
              <w:jc w:val="center"/>
              <w:rPr>
                <w:rFonts w:hint="eastAsia" w:ascii="宋体" w:hAnsi="宋体" w:eastAsia="宋体" w:cs="宋体"/>
                <w:b/>
                <w:color w:val="auto"/>
                <w:sz w:val="24"/>
                <w:szCs w:val="24"/>
              </w:rPr>
            </w:pPr>
          </w:p>
        </w:tc>
        <w:tc>
          <w:tcPr>
            <w:tcW w:w="6698" w:type="dxa"/>
            <w:tcBorders>
              <w:top w:val="single" w:color="auto" w:sz="4" w:space="0"/>
              <w:bottom w:val="single" w:color="auto" w:sz="4" w:space="0"/>
            </w:tcBorders>
            <w:shd w:val="clear" w:color="auto" w:fill="FFFFFF" w:themeFill="background1"/>
            <w:vAlign w:val="center"/>
          </w:tcPr>
          <w:p w14:paraId="47662BF0">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根据投标人提出的针对学校专门组织拟派的具有资质的服务团队的情况</w:t>
            </w:r>
            <w:r>
              <w:rPr>
                <w:rFonts w:hint="eastAsia" w:ascii="宋体" w:hAnsi="宋体" w:eastAsia="宋体" w:cs="宋体"/>
                <w:color w:val="auto"/>
                <w:sz w:val="24"/>
                <w:szCs w:val="24"/>
                <w:lang w:val="en-US" w:eastAsia="zh-CN"/>
              </w:rPr>
              <w:t>等</w:t>
            </w:r>
            <w:r>
              <w:rPr>
                <w:rFonts w:hint="eastAsia" w:ascii="宋体" w:hAnsi="宋体" w:eastAsia="宋体" w:cs="宋体"/>
                <w:bCs/>
                <w:color w:val="auto"/>
                <w:sz w:val="24"/>
                <w:szCs w:val="24"/>
              </w:rPr>
              <w:t>由专家</w:t>
            </w:r>
            <w:r>
              <w:rPr>
                <w:rFonts w:hint="eastAsia" w:ascii="宋体" w:hAnsi="宋体" w:eastAsia="宋体" w:cs="宋体"/>
                <w:bCs/>
                <w:color w:val="auto"/>
                <w:sz w:val="24"/>
                <w:szCs w:val="24"/>
                <w:lang w:val="en-US" w:eastAsia="zh-CN"/>
              </w:rPr>
              <w:t>进行打分</w:t>
            </w:r>
            <w:r>
              <w:rPr>
                <w:rFonts w:hint="eastAsia" w:ascii="宋体" w:hAnsi="宋体" w:eastAsia="宋体" w:cs="宋体"/>
                <w:color w:val="auto"/>
                <w:sz w:val="24"/>
                <w:szCs w:val="24"/>
              </w:rPr>
              <w:t>。</w:t>
            </w:r>
          </w:p>
          <w:p w14:paraId="45F3648F">
            <w:pPr>
              <w:spacing w:line="240" w:lineRule="auto"/>
              <w:rPr>
                <w:rFonts w:hint="eastAsia" w:ascii="宋体" w:hAnsi="宋体" w:eastAsia="宋体" w:cs="宋体"/>
                <w:bCs/>
                <w:color w:val="auto"/>
                <w:sz w:val="24"/>
              </w:rPr>
            </w:pPr>
            <w:r>
              <w:rPr>
                <w:rFonts w:hint="eastAsia" w:ascii="宋体" w:hAnsi="宋体" w:eastAsia="宋体" w:cs="宋体"/>
                <w:bCs/>
                <w:color w:val="auto"/>
                <w:sz w:val="24"/>
              </w:rPr>
              <w:t>方案合理、可行性高的，得</w:t>
            </w:r>
            <w:r>
              <w:rPr>
                <w:rFonts w:hint="eastAsia" w:ascii="宋体" w:hAnsi="宋体" w:eastAsia="宋体" w:cs="宋体"/>
                <w:bCs/>
                <w:color w:val="auto"/>
                <w:sz w:val="24"/>
                <w:lang w:val="en-US" w:eastAsia="zh-CN"/>
              </w:rPr>
              <w:t>5</w:t>
            </w:r>
            <w:r>
              <w:rPr>
                <w:rFonts w:hint="eastAsia" w:ascii="宋体" w:hAnsi="宋体" w:eastAsia="宋体" w:cs="宋体"/>
                <w:bCs/>
                <w:color w:val="auto"/>
                <w:sz w:val="24"/>
              </w:rPr>
              <w:t>分；</w:t>
            </w:r>
          </w:p>
          <w:p w14:paraId="1BE08764">
            <w:pPr>
              <w:spacing w:line="240" w:lineRule="auto"/>
              <w:rPr>
                <w:rFonts w:hint="eastAsia" w:ascii="宋体" w:hAnsi="宋体" w:eastAsia="宋体" w:cs="宋体"/>
                <w:bCs/>
                <w:color w:val="auto"/>
                <w:sz w:val="24"/>
              </w:rPr>
            </w:pPr>
            <w:r>
              <w:rPr>
                <w:rFonts w:hint="eastAsia" w:ascii="宋体" w:hAnsi="宋体" w:eastAsia="宋体" w:cs="宋体"/>
                <w:bCs/>
                <w:color w:val="auto"/>
                <w:sz w:val="24"/>
              </w:rPr>
              <w:t>方案较合理、可行性一般的，得</w:t>
            </w:r>
            <w:r>
              <w:rPr>
                <w:rFonts w:hint="eastAsia" w:ascii="宋体" w:hAnsi="宋体" w:eastAsia="宋体" w:cs="宋体"/>
                <w:bCs/>
                <w:color w:val="auto"/>
                <w:sz w:val="24"/>
                <w:lang w:val="en-US" w:eastAsia="zh-CN"/>
              </w:rPr>
              <w:t>3</w:t>
            </w:r>
            <w:r>
              <w:rPr>
                <w:rFonts w:hint="eastAsia" w:ascii="宋体" w:hAnsi="宋体" w:eastAsia="宋体" w:cs="宋体"/>
                <w:bCs/>
                <w:color w:val="auto"/>
                <w:sz w:val="24"/>
              </w:rPr>
              <w:t>分；</w:t>
            </w:r>
          </w:p>
          <w:p w14:paraId="682CA270">
            <w:pPr>
              <w:spacing w:line="240" w:lineRule="auto"/>
              <w:rPr>
                <w:rFonts w:hint="eastAsia" w:ascii="宋体" w:hAnsi="宋体" w:eastAsia="宋体" w:cs="宋体"/>
                <w:bCs/>
                <w:color w:val="auto"/>
                <w:sz w:val="24"/>
              </w:rPr>
            </w:pPr>
            <w:r>
              <w:rPr>
                <w:rFonts w:hint="eastAsia" w:ascii="宋体" w:hAnsi="宋体" w:eastAsia="宋体" w:cs="宋体"/>
                <w:bCs/>
                <w:color w:val="auto"/>
                <w:sz w:val="24"/>
              </w:rPr>
              <w:t>方案较不合理、可行性较差的，得1分；</w:t>
            </w:r>
          </w:p>
          <w:p w14:paraId="44F82D28">
            <w:pPr>
              <w:spacing w:line="240" w:lineRule="auto"/>
              <w:rPr>
                <w:rFonts w:hint="eastAsia" w:ascii="宋体" w:hAnsi="宋体" w:eastAsia="宋体" w:cs="宋体"/>
                <w:color w:val="auto"/>
                <w:sz w:val="24"/>
                <w:szCs w:val="24"/>
              </w:rPr>
            </w:pPr>
            <w:r>
              <w:rPr>
                <w:rFonts w:hint="eastAsia" w:ascii="宋体" w:hAnsi="宋体" w:eastAsia="宋体" w:cs="宋体"/>
                <w:bCs/>
                <w:color w:val="auto"/>
                <w:sz w:val="24"/>
              </w:rPr>
              <w:t>不提供不得分。</w:t>
            </w:r>
          </w:p>
        </w:tc>
        <w:tc>
          <w:tcPr>
            <w:tcW w:w="992" w:type="dxa"/>
            <w:tcBorders>
              <w:top w:val="single" w:color="auto" w:sz="4" w:space="0"/>
              <w:bottom w:val="single" w:color="auto" w:sz="4" w:space="0"/>
            </w:tcBorders>
            <w:shd w:val="clear" w:color="auto" w:fill="FFFFFF" w:themeFill="background1"/>
            <w:vAlign w:val="center"/>
          </w:tcPr>
          <w:p w14:paraId="22C77EC0">
            <w:pPr>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0-</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分</w:t>
            </w:r>
          </w:p>
        </w:tc>
      </w:tr>
      <w:tr w14:paraId="34919D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9" w:type="dxa"/>
            <w:vMerge w:val="continue"/>
            <w:shd w:val="clear" w:color="auto" w:fill="FFFFFF" w:themeFill="background1"/>
            <w:vAlign w:val="center"/>
          </w:tcPr>
          <w:p w14:paraId="4EDE1E2B">
            <w:pPr>
              <w:spacing w:line="240" w:lineRule="auto"/>
              <w:jc w:val="center"/>
              <w:rPr>
                <w:rFonts w:hint="eastAsia" w:ascii="宋体" w:hAnsi="宋体" w:eastAsia="宋体" w:cs="宋体"/>
                <w:b/>
                <w:color w:val="auto"/>
                <w:sz w:val="24"/>
                <w:szCs w:val="24"/>
              </w:rPr>
            </w:pPr>
          </w:p>
        </w:tc>
        <w:tc>
          <w:tcPr>
            <w:tcW w:w="1598" w:type="dxa"/>
            <w:vMerge w:val="continue"/>
            <w:shd w:val="clear" w:color="auto" w:fill="FFFFFF" w:themeFill="background1"/>
            <w:vAlign w:val="center"/>
          </w:tcPr>
          <w:p w14:paraId="0ACA4036">
            <w:pPr>
              <w:spacing w:line="240" w:lineRule="auto"/>
              <w:jc w:val="center"/>
              <w:rPr>
                <w:rFonts w:hint="eastAsia" w:ascii="宋体" w:hAnsi="宋体" w:eastAsia="宋体" w:cs="宋体"/>
                <w:b/>
                <w:color w:val="auto"/>
                <w:sz w:val="24"/>
                <w:szCs w:val="24"/>
              </w:rPr>
            </w:pPr>
          </w:p>
        </w:tc>
        <w:tc>
          <w:tcPr>
            <w:tcW w:w="6698" w:type="dxa"/>
            <w:tcBorders>
              <w:top w:val="single" w:color="auto" w:sz="4" w:space="0"/>
            </w:tcBorders>
            <w:shd w:val="clear" w:color="auto" w:fill="FFFFFF" w:themeFill="background1"/>
            <w:vAlign w:val="center"/>
          </w:tcPr>
          <w:p w14:paraId="1E1A0F9A">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根据投标人提供的投诉渠道、投诉处理相关制度或办法等情况</w:t>
            </w:r>
            <w:r>
              <w:rPr>
                <w:rFonts w:hint="eastAsia" w:ascii="宋体" w:hAnsi="宋体" w:eastAsia="宋体" w:cs="宋体"/>
                <w:bCs/>
                <w:color w:val="auto"/>
                <w:sz w:val="24"/>
                <w:szCs w:val="24"/>
              </w:rPr>
              <w:t>由专家</w:t>
            </w:r>
            <w:r>
              <w:rPr>
                <w:rFonts w:hint="eastAsia" w:ascii="宋体" w:hAnsi="宋体" w:eastAsia="宋体" w:cs="宋体"/>
                <w:bCs/>
                <w:color w:val="auto"/>
                <w:sz w:val="24"/>
                <w:szCs w:val="24"/>
                <w:lang w:val="en-US" w:eastAsia="zh-CN"/>
              </w:rPr>
              <w:t>进行打分</w:t>
            </w:r>
            <w:r>
              <w:rPr>
                <w:rFonts w:hint="eastAsia" w:ascii="宋体" w:hAnsi="宋体" w:eastAsia="宋体" w:cs="宋体"/>
                <w:color w:val="auto"/>
                <w:sz w:val="24"/>
                <w:szCs w:val="24"/>
              </w:rPr>
              <w:t>。</w:t>
            </w:r>
          </w:p>
          <w:p w14:paraId="5DC8C42D">
            <w:pPr>
              <w:spacing w:line="240" w:lineRule="auto"/>
              <w:jc w:val="left"/>
              <w:rPr>
                <w:rFonts w:hint="eastAsia" w:ascii="宋体" w:hAnsi="宋体" w:cs="宋体"/>
                <w:color w:val="auto"/>
                <w:sz w:val="24"/>
                <w:szCs w:val="24"/>
              </w:rPr>
            </w:pPr>
            <w:r>
              <w:rPr>
                <w:rFonts w:hint="eastAsia" w:ascii="宋体" w:hAnsi="宋体" w:cs="宋体"/>
                <w:color w:val="auto"/>
                <w:sz w:val="24"/>
                <w:szCs w:val="24"/>
              </w:rPr>
              <w:t>方案内容完整、合理可行性的得</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p w14:paraId="547A163E">
            <w:pPr>
              <w:spacing w:line="240" w:lineRule="auto"/>
              <w:jc w:val="left"/>
              <w:rPr>
                <w:rFonts w:hint="eastAsia" w:ascii="宋体" w:hAnsi="宋体" w:cs="宋体"/>
                <w:color w:val="auto"/>
                <w:sz w:val="24"/>
                <w:szCs w:val="24"/>
              </w:rPr>
            </w:pPr>
            <w:r>
              <w:rPr>
                <w:rFonts w:hint="eastAsia" w:ascii="宋体" w:hAnsi="宋体" w:cs="宋体"/>
                <w:color w:val="auto"/>
                <w:sz w:val="24"/>
                <w:szCs w:val="24"/>
              </w:rPr>
              <w:t>方案内容基本完整、基本可行的得</w:t>
            </w:r>
            <w:r>
              <w:rPr>
                <w:rFonts w:hint="eastAsia" w:ascii="宋体" w:hAnsi="宋体" w:cs="宋体"/>
                <w:color w:val="auto"/>
                <w:sz w:val="24"/>
                <w:szCs w:val="24"/>
                <w:lang w:val="en-US" w:eastAsia="zh-CN"/>
              </w:rPr>
              <w:t>3</w:t>
            </w:r>
            <w:r>
              <w:rPr>
                <w:rFonts w:hint="eastAsia" w:ascii="宋体" w:hAnsi="宋体" w:cs="宋体"/>
                <w:color w:val="auto"/>
                <w:sz w:val="24"/>
                <w:szCs w:val="24"/>
              </w:rPr>
              <w:t>分；</w:t>
            </w:r>
          </w:p>
          <w:p w14:paraId="64881026">
            <w:pPr>
              <w:spacing w:line="240" w:lineRule="auto"/>
              <w:jc w:val="left"/>
              <w:rPr>
                <w:rFonts w:hint="eastAsia" w:ascii="宋体" w:hAnsi="宋体" w:cs="宋体"/>
                <w:color w:val="auto"/>
                <w:sz w:val="24"/>
                <w:szCs w:val="24"/>
              </w:rPr>
            </w:pPr>
            <w:r>
              <w:rPr>
                <w:rFonts w:hint="eastAsia" w:ascii="宋体" w:hAnsi="宋体" w:cs="宋体"/>
                <w:color w:val="auto"/>
                <w:sz w:val="24"/>
                <w:szCs w:val="24"/>
              </w:rPr>
              <w:t>方案内容简单、可行性不高的得</w:t>
            </w:r>
            <w:r>
              <w:rPr>
                <w:rFonts w:hint="eastAsia" w:ascii="宋体" w:hAnsi="宋体" w:cs="宋体"/>
                <w:color w:val="auto"/>
                <w:sz w:val="24"/>
                <w:szCs w:val="24"/>
                <w:lang w:val="en-US" w:eastAsia="zh-CN"/>
              </w:rPr>
              <w:t>1</w:t>
            </w:r>
            <w:r>
              <w:rPr>
                <w:rFonts w:hint="eastAsia" w:ascii="宋体" w:hAnsi="宋体" w:cs="宋体"/>
                <w:color w:val="auto"/>
                <w:sz w:val="24"/>
                <w:szCs w:val="24"/>
              </w:rPr>
              <w:t>分；</w:t>
            </w:r>
          </w:p>
          <w:p w14:paraId="250C85D5">
            <w:pPr>
              <w:spacing w:line="240" w:lineRule="auto"/>
              <w:rPr>
                <w:rFonts w:hint="eastAsia" w:ascii="宋体" w:hAnsi="宋体" w:eastAsia="宋体" w:cs="宋体"/>
                <w:color w:val="auto"/>
                <w:sz w:val="24"/>
                <w:szCs w:val="24"/>
              </w:rPr>
            </w:pPr>
            <w:r>
              <w:rPr>
                <w:rFonts w:hint="eastAsia" w:ascii="宋体" w:hAnsi="宋体" w:cs="宋体"/>
                <w:color w:val="auto"/>
                <w:sz w:val="24"/>
                <w:szCs w:val="24"/>
              </w:rPr>
              <w:t>未提供方案不得分。</w:t>
            </w:r>
          </w:p>
        </w:tc>
        <w:tc>
          <w:tcPr>
            <w:tcW w:w="992" w:type="dxa"/>
            <w:tcBorders>
              <w:top w:val="single" w:color="auto" w:sz="4" w:space="0"/>
            </w:tcBorders>
            <w:shd w:val="clear" w:color="auto" w:fill="FFFFFF" w:themeFill="background1"/>
            <w:vAlign w:val="center"/>
          </w:tcPr>
          <w:p w14:paraId="0CBEFEDC">
            <w:pPr>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0-</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分</w:t>
            </w:r>
          </w:p>
        </w:tc>
      </w:tr>
      <w:tr w14:paraId="76ADC1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9" w:type="dxa"/>
            <w:shd w:val="clear" w:color="auto" w:fill="FFFFFF" w:themeFill="background1"/>
            <w:vAlign w:val="center"/>
          </w:tcPr>
          <w:p w14:paraId="64C7BFA3">
            <w:pPr>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5</w:t>
            </w:r>
          </w:p>
        </w:tc>
        <w:tc>
          <w:tcPr>
            <w:tcW w:w="1598" w:type="dxa"/>
            <w:shd w:val="clear" w:color="auto" w:fill="FFFFFF" w:themeFill="background1"/>
            <w:vAlign w:val="center"/>
          </w:tcPr>
          <w:p w14:paraId="13F82884">
            <w:pPr>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综合偿付能力</w:t>
            </w:r>
          </w:p>
        </w:tc>
        <w:tc>
          <w:tcPr>
            <w:tcW w:w="6698" w:type="dxa"/>
            <w:shd w:val="clear" w:color="auto" w:fill="FFFFFF" w:themeFill="background1"/>
            <w:vAlign w:val="center"/>
          </w:tcPr>
          <w:p w14:paraId="493702CA">
            <w:pPr>
              <w:pageBreakBefore w:val="0"/>
              <w:widowControl/>
              <w:kinsoku/>
              <w:wordWrap/>
              <w:overflowPunct/>
              <w:topLinePunct w:val="0"/>
              <w:bidi w:val="0"/>
              <w:adjustRightInd/>
              <w:snapToGrid/>
              <w:spacing w:line="240" w:lineRule="auto"/>
              <w:ind w:lef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2024</w:t>
            </w:r>
            <w:r>
              <w:rPr>
                <w:rFonts w:hint="eastAsia" w:ascii="宋体" w:hAnsi="宋体" w:eastAsia="宋体" w:cs="宋体"/>
                <w:color w:val="auto"/>
                <w:kern w:val="0"/>
                <w:sz w:val="24"/>
                <w:szCs w:val="24"/>
                <w:highlight w:val="none"/>
              </w:rPr>
              <w:t>年度投标人总公司综合偿付能力在200%(含)及以上得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分；150%（含）-200%</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不含</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分；100%（含）-150%</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不含</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val="en-US" w:eastAsia="zh-CN"/>
              </w:rPr>
              <w:t>低于100%不得分。</w:t>
            </w:r>
          </w:p>
          <w:p w14:paraId="4D1ABB30">
            <w:pPr>
              <w:pageBreakBefore w:val="0"/>
              <w:kinsoku/>
              <w:wordWrap/>
              <w:overflowPunct/>
              <w:topLinePunct w:val="0"/>
              <w:bidi w:val="0"/>
              <w:snapToGrid/>
              <w:spacing w:line="240" w:lineRule="auto"/>
              <w:ind w:left="0" w:leftChars="0"/>
              <w:jc w:val="left"/>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注：技术文件中须</w:t>
            </w:r>
            <w:r>
              <w:rPr>
                <w:rFonts w:hint="eastAsia" w:ascii="宋体" w:hAnsi="宋体" w:eastAsia="宋体" w:cs="宋体"/>
                <w:b/>
                <w:bCs/>
                <w:color w:val="auto"/>
                <w:sz w:val="24"/>
                <w:szCs w:val="24"/>
              </w:rPr>
              <w:t>提供</w:t>
            </w:r>
            <w:r>
              <w:rPr>
                <w:rFonts w:hint="eastAsia" w:ascii="宋体" w:hAnsi="宋体" w:eastAsia="宋体" w:cs="宋体"/>
                <w:b/>
                <w:bCs/>
                <w:color w:val="auto"/>
                <w:sz w:val="24"/>
                <w:szCs w:val="24"/>
                <w:lang w:val="en-US" w:eastAsia="zh-CN"/>
              </w:rPr>
              <w:t>相关证明材料（如</w:t>
            </w:r>
            <w:r>
              <w:rPr>
                <w:rFonts w:hint="eastAsia" w:ascii="宋体" w:hAnsi="宋体" w:eastAsia="宋体" w:cs="宋体"/>
                <w:b/>
                <w:bCs/>
                <w:color w:val="auto"/>
                <w:sz w:val="24"/>
                <w:szCs w:val="24"/>
              </w:rPr>
              <w:t>偿付报告</w:t>
            </w:r>
            <w:r>
              <w:rPr>
                <w:rFonts w:hint="eastAsia" w:ascii="宋体" w:hAnsi="宋体" w:eastAsia="宋体" w:cs="宋体"/>
                <w:b/>
                <w:bCs/>
                <w:color w:val="auto"/>
                <w:sz w:val="24"/>
                <w:szCs w:val="24"/>
                <w:lang w:val="en-US" w:eastAsia="zh-CN"/>
              </w:rPr>
              <w:t>复印件、经</w:t>
            </w:r>
            <w:r>
              <w:rPr>
                <w:rFonts w:hint="eastAsia" w:ascii="宋体" w:hAnsi="宋体" w:eastAsia="宋体" w:cs="宋体"/>
                <w:b/>
                <w:bCs/>
                <w:color w:val="auto"/>
                <w:sz w:val="24"/>
                <w:szCs w:val="24"/>
              </w:rPr>
              <w:t>银保监局审核的官网公示材料</w:t>
            </w:r>
            <w:r>
              <w:rPr>
                <w:rFonts w:hint="eastAsia" w:ascii="宋体" w:hAnsi="宋体" w:eastAsia="宋体" w:cs="宋体"/>
                <w:b/>
                <w:bCs/>
                <w:color w:val="auto"/>
                <w:sz w:val="24"/>
                <w:szCs w:val="24"/>
                <w:lang w:val="en-US" w:eastAsia="zh-CN"/>
              </w:rPr>
              <w:t>等）</w:t>
            </w:r>
            <w:r>
              <w:rPr>
                <w:rFonts w:hint="eastAsia" w:ascii="宋体" w:hAnsi="宋体" w:eastAsia="宋体" w:cs="宋体"/>
                <w:b/>
                <w:bCs/>
                <w:color w:val="auto"/>
                <w:sz w:val="24"/>
                <w:szCs w:val="24"/>
              </w:rPr>
              <w:t>并加盖投标人公章，不提供不得分</w:t>
            </w:r>
            <w:r>
              <w:rPr>
                <w:rFonts w:hint="eastAsia" w:ascii="宋体" w:hAnsi="宋体" w:eastAsia="宋体" w:cs="宋体"/>
                <w:b/>
                <w:bCs/>
                <w:color w:val="auto"/>
                <w:sz w:val="24"/>
                <w:szCs w:val="24"/>
                <w:lang w:eastAsia="zh-CN"/>
              </w:rPr>
              <w:t>。</w:t>
            </w:r>
          </w:p>
        </w:tc>
        <w:tc>
          <w:tcPr>
            <w:tcW w:w="992" w:type="dxa"/>
            <w:shd w:val="clear" w:color="auto" w:fill="FFFFFF" w:themeFill="background1"/>
            <w:vAlign w:val="center"/>
          </w:tcPr>
          <w:p w14:paraId="483D5965">
            <w:pPr>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pacing w:val="-6"/>
                <w:sz w:val="24"/>
              </w:rPr>
              <w:t>0-5分</w:t>
            </w:r>
          </w:p>
        </w:tc>
      </w:tr>
      <w:tr w14:paraId="0BBC56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9" w:type="dxa"/>
            <w:shd w:val="clear" w:color="auto" w:fill="FFFFFF" w:themeFill="background1"/>
            <w:vAlign w:val="center"/>
          </w:tcPr>
          <w:p w14:paraId="20917D04">
            <w:pPr>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6</w:t>
            </w:r>
          </w:p>
        </w:tc>
        <w:tc>
          <w:tcPr>
            <w:tcW w:w="1598" w:type="dxa"/>
            <w:shd w:val="clear" w:color="auto" w:fill="FFFFFF" w:themeFill="background1"/>
            <w:vAlign w:val="center"/>
          </w:tcPr>
          <w:p w14:paraId="4301C9E9">
            <w:pPr>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免赔率</w:t>
            </w:r>
          </w:p>
        </w:tc>
        <w:tc>
          <w:tcPr>
            <w:tcW w:w="6698" w:type="dxa"/>
            <w:shd w:val="clear" w:color="auto" w:fill="FFFFFF" w:themeFill="background1"/>
            <w:vAlign w:val="center"/>
          </w:tcPr>
          <w:p w14:paraId="74D5EE95">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根据免赔率综合情况考虑依次排名，第一名得5分，第二名得3分，第三名得1分，其余得0.5分，未提供证明材料不得分（免赔率越小越好）。</w:t>
            </w:r>
          </w:p>
          <w:p w14:paraId="239EEB6B">
            <w:pPr>
              <w:spacing w:line="24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注：</w:t>
            </w:r>
            <w:r>
              <w:rPr>
                <w:rFonts w:hint="eastAsia" w:ascii="宋体" w:hAnsi="宋体" w:eastAsia="宋体" w:cs="宋体"/>
                <w:b/>
                <w:bCs/>
                <w:color w:val="auto"/>
                <w:sz w:val="24"/>
                <w:szCs w:val="24"/>
                <w:lang w:val="en-US" w:eastAsia="zh-CN"/>
              </w:rPr>
              <w:t>技术文件中</w:t>
            </w:r>
            <w:r>
              <w:rPr>
                <w:rFonts w:hint="eastAsia" w:ascii="宋体" w:hAnsi="宋体" w:eastAsia="宋体" w:cs="宋体"/>
                <w:b/>
                <w:bCs/>
                <w:color w:val="auto"/>
                <w:sz w:val="24"/>
                <w:szCs w:val="24"/>
              </w:rPr>
              <w:t>需提供有效证明材料复印件并加盖投标人公章，否则不得分。</w:t>
            </w:r>
          </w:p>
        </w:tc>
        <w:tc>
          <w:tcPr>
            <w:tcW w:w="992" w:type="dxa"/>
            <w:shd w:val="clear" w:color="auto" w:fill="FFFFFF" w:themeFill="background1"/>
            <w:vAlign w:val="center"/>
          </w:tcPr>
          <w:p w14:paraId="297A40C8">
            <w:pPr>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pacing w:val="-6"/>
                <w:sz w:val="24"/>
              </w:rPr>
              <w:t>0-5分</w:t>
            </w:r>
          </w:p>
        </w:tc>
      </w:tr>
      <w:tr w14:paraId="0B3B93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9" w:type="dxa"/>
            <w:shd w:val="clear" w:color="auto" w:fill="FFFFFF" w:themeFill="background1"/>
            <w:vAlign w:val="center"/>
          </w:tcPr>
          <w:p w14:paraId="3D7E0462">
            <w:pPr>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7</w:t>
            </w:r>
          </w:p>
        </w:tc>
        <w:tc>
          <w:tcPr>
            <w:tcW w:w="1598" w:type="dxa"/>
            <w:shd w:val="clear" w:color="auto" w:fill="FFFFFF" w:themeFill="background1"/>
            <w:vAlign w:val="center"/>
          </w:tcPr>
          <w:p w14:paraId="44C36FDE">
            <w:pPr>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理赔全程</w:t>
            </w:r>
          </w:p>
          <w:p w14:paraId="05D220EC">
            <w:pPr>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跟踪</w:t>
            </w:r>
          </w:p>
        </w:tc>
        <w:tc>
          <w:tcPr>
            <w:tcW w:w="6698" w:type="dxa"/>
            <w:shd w:val="clear" w:color="auto" w:fill="FFFFFF" w:themeFill="background1"/>
            <w:vAlign w:val="center"/>
          </w:tcPr>
          <w:p w14:paraId="0A1F4402">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根据投标人提供的处理学校申请理赔后的进展及时告知学校等情况</w:t>
            </w:r>
            <w:r>
              <w:rPr>
                <w:rFonts w:hint="eastAsia" w:ascii="宋体" w:hAnsi="宋体" w:eastAsia="宋体" w:cs="宋体"/>
                <w:bCs/>
                <w:color w:val="auto"/>
                <w:sz w:val="24"/>
                <w:szCs w:val="24"/>
              </w:rPr>
              <w:t>由专家</w:t>
            </w:r>
            <w:r>
              <w:rPr>
                <w:rFonts w:hint="eastAsia" w:ascii="宋体" w:hAnsi="宋体" w:eastAsia="宋体" w:cs="宋体"/>
                <w:bCs/>
                <w:color w:val="auto"/>
                <w:sz w:val="24"/>
                <w:szCs w:val="24"/>
                <w:lang w:val="en-US" w:eastAsia="zh-CN"/>
              </w:rPr>
              <w:t>进行打分</w:t>
            </w:r>
            <w:r>
              <w:rPr>
                <w:rFonts w:hint="eastAsia" w:ascii="宋体" w:hAnsi="宋体" w:eastAsia="宋体" w:cs="宋体"/>
                <w:color w:val="auto"/>
                <w:sz w:val="24"/>
                <w:szCs w:val="24"/>
              </w:rPr>
              <w:t>。</w:t>
            </w:r>
          </w:p>
          <w:p w14:paraId="371ED7F8">
            <w:pPr>
              <w:keepNext w:val="0"/>
              <w:keepLines w:val="0"/>
              <w:pageBreakBefore w:val="0"/>
              <w:widowControl w:val="0"/>
              <w:kinsoku/>
              <w:wordWrap/>
              <w:overflowPunct/>
              <w:topLinePunct w:val="0"/>
              <w:bidi w:val="0"/>
              <w:adjustRightInd/>
              <w:spacing w:line="240" w:lineRule="auto"/>
              <w:jc w:val="left"/>
              <w:textAlignment w:val="auto"/>
              <w:rPr>
                <w:rFonts w:hint="eastAsia" w:ascii="宋体" w:hAnsi="宋体" w:cs="宋体"/>
                <w:color w:val="auto"/>
                <w:sz w:val="24"/>
                <w:szCs w:val="24"/>
              </w:rPr>
            </w:pPr>
            <w:r>
              <w:rPr>
                <w:rFonts w:hint="eastAsia" w:ascii="宋体" w:hAnsi="宋体" w:cs="宋体"/>
                <w:color w:val="auto"/>
                <w:sz w:val="24"/>
                <w:szCs w:val="24"/>
              </w:rPr>
              <w:t>方案内容完整、合理可行性的得</w:t>
            </w:r>
            <w:r>
              <w:rPr>
                <w:rFonts w:hint="eastAsia" w:ascii="宋体" w:hAnsi="宋体" w:cs="宋体"/>
                <w:color w:val="auto"/>
                <w:sz w:val="24"/>
                <w:szCs w:val="24"/>
                <w:lang w:val="en-US" w:eastAsia="zh-CN"/>
              </w:rPr>
              <w:t>7</w:t>
            </w:r>
            <w:r>
              <w:rPr>
                <w:rFonts w:hint="eastAsia" w:ascii="宋体" w:hAnsi="宋体" w:cs="宋体"/>
                <w:color w:val="auto"/>
                <w:sz w:val="24"/>
                <w:szCs w:val="24"/>
              </w:rPr>
              <w:t>分；</w:t>
            </w:r>
          </w:p>
          <w:p w14:paraId="30330E06">
            <w:pPr>
              <w:keepNext w:val="0"/>
              <w:keepLines w:val="0"/>
              <w:pageBreakBefore w:val="0"/>
              <w:widowControl w:val="0"/>
              <w:kinsoku/>
              <w:wordWrap/>
              <w:overflowPunct/>
              <w:topLinePunct w:val="0"/>
              <w:bidi w:val="0"/>
              <w:adjustRightInd/>
              <w:spacing w:line="240" w:lineRule="auto"/>
              <w:jc w:val="left"/>
              <w:textAlignment w:val="auto"/>
              <w:rPr>
                <w:rFonts w:hint="eastAsia" w:ascii="宋体" w:hAnsi="宋体" w:cs="宋体"/>
                <w:color w:val="auto"/>
                <w:sz w:val="24"/>
                <w:szCs w:val="24"/>
              </w:rPr>
            </w:pPr>
            <w:r>
              <w:rPr>
                <w:rFonts w:hint="eastAsia" w:ascii="宋体" w:hAnsi="宋体" w:cs="宋体"/>
                <w:color w:val="auto"/>
                <w:sz w:val="24"/>
                <w:szCs w:val="24"/>
              </w:rPr>
              <w:t>方案内容基本完整、基本可行的得</w:t>
            </w:r>
            <w:r>
              <w:rPr>
                <w:rFonts w:hint="eastAsia" w:ascii="宋体" w:hAnsi="宋体" w:cs="宋体"/>
                <w:color w:val="auto"/>
                <w:sz w:val="24"/>
                <w:szCs w:val="24"/>
                <w:lang w:val="en-US" w:eastAsia="zh-CN"/>
              </w:rPr>
              <w:t>4</w:t>
            </w:r>
            <w:r>
              <w:rPr>
                <w:rFonts w:hint="eastAsia" w:ascii="宋体" w:hAnsi="宋体" w:cs="宋体"/>
                <w:color w:val="auto"/>
                <w:sz w:val="24"/>
                <w:szCs w:val="24"/>
              </w:rPr>
              <w:t>分；</w:t>
            </w:r>
          </w:p>
          <w:p w14:paraId="5DCB0759">
            <w:pPr>
              <w:keepNext w:val="0"/>
              <w:keepLines w:val="0"/>
              <w:pageBreakBefore w:val="0"/>
              <w:widowControl w:val="0"/>
              <w:kinsoku/>
              <w:wordWrap/>
              <w:overflowPunct/>
              <w:topLinePunct w:val="0"/>
              <w:bidi w:val="0"/>
              <w:adjustRightInd/>
              <w:spacing w:line="240" w:lineRule="auto"/>
              <w:jc w:val="left"/>
              <w:textAlignment w:val="auto"/>
              <w:rPr>
                <w:rFonts w:hint="eastAsia" w:ascii="宋体" w:hAnsi="宋体" w:cs="宋体"/>
                <w:color w:val="auto"/>
                <w:sz w:val="24"/>
                <w:szCs w:val="24"/>
              </w:rPr>
            </w:pPr>
            <w:r>
              <w:rPr>
                <w:rFonts w:hint="eastAsia" w:ascii="宋体" w:hAnsi="宋体" w:cs="宋体"/>
                <w:color w:val="auto"/>
                <w:sz w:val="24"/>
                <w:szCs w:val="24"/>
              </w:rPr>
              <w:t>方案内容简单、可行性不高的得2分；</w:t>
            </w:r>
          </w:p>
          <w:p w14:paraId="775ADC8C">
            <w:pPr>
              <w:pStyle w:val="18"/>
              <w:keepNext w:val="0"/>
              <w:keepLines w:val="0"/>
              <w:pageBreakBefore w:val="0"/>
              <w:widowControl w:val="0"/>
              <w:kinsoku/>
              <w:wordWrap/>
              <w:overflowPunct/>
              <w:topLinePunct w:val="0"/>
              <w:bidi w:val="0"/>
              <w:adjustRightInd/>
              <w:spacing w:after="0" w:line="240" w:lineRule="auto"/>
              <w:ind w:left="0" w:leftChars="0" w:firstLine="0" w:firstLineChars="0"/>
              <w:textAlignment w:val="auto"/>
              <w:rPr>
                <w:rFonts w:hint="eastAsia"/>
                <w:color w:val="auto"/>
              </w:rPr>
            </w:pPr>
            <w:r>
              <w:rPr>
                <w:rFonts w:hint="eastAsia" w:ascii="宋体" w:hAnsi="宋体" w:cs="宋体"/>
                <w:color w:val="auto"/>
                <w:sz w:val="24"/>
                <w:szCs w:val="24"/>
              </w:rPr>
              <w:t>未提供方案不得分。</w:t>
            </w:r>
          </w:p>
        </w:tc>
        <w:tc>
          <w:tcPr>
            <w:tcW w:w="992" w:type="dxa"/>
            <w:shd w:val="clear" w:color="auto" w:fill="FFFFFF" w:themeFill="background1"/>
            <w:vAlign w:val="center"/>
          </w:tcPr>
          <w:p w14:paraId="6B0137E9">
            <w:pPr>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pacing w:val="-6"/>
                <w:sz w:val="24"/>
              </w:rPr>
              <w:t>0-</w:t>
            </w:r>
            <w:r>
              <w:rPr>
                <w:rFonts w:hint="eastAsia" w:ascii="宋体" w:hAnsi="宋体" w:eastAsia="宋体" w:cs="宋体"/>
                <w:b/>
                <w:bCs/>
                <w:color w:val="auto"/>
                <w:spacing w:val="-6"/>
                <w:sz w:val="24"/>
                <w:lang w:val="en-US" w:eastAsia="zh-CN"/>
              </w:rPr>
              <w:t>7</w:t>
            </w:r>
            <w:r>
              <w:rPr>
                <w:rFonts w:hint="eastAsia" w:ascii="宋体" w:hAnsi="宋体" w:eastAsia="宋体" w:cs="宋体"/>
                <w:b/>
                <w:bCs/>
                <w:color w:val="auto"/>
                <w:spacing w:val="-6"/>
                <w:sz w:val="24"/>
              </w:rPr>
              <w:t>分</w:t>
            </w:r>
          </w:p>
        </w:tc>
      </w:tr>
      <w:tr w14:paraId="79CAB1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9" w:type="dxa"/>
            <w:shd w:val="clear" w:color="auto" w:fill="FFFFFF" w:themeFill="background1"/>
            <w:vAlign w:val="center"/>
          </w:tcPr>
          <w:p w14:paraId="4C36A6FF">
            <w:pPr>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8</w:t>
            </w:r>
          </w:p>
        </w:tc>
        <w:tc>
          <w:tcPr>
            <w:tcW w:w="1598" w:type="dxa"/>
            <w:shd w:val="clear" w:color="auto" w:fill="FFFFFF" w:themeFill="background1"/>
            <w:vAlign w:val="center"/>
          </w:tcPr>
          <w:p w14:paraId="0800B879">
            <w:pPr>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项目保额</w:t>
            </w:r>
          </w:p>
        </w:tc>
        <w:tc>
          <w:tcPr>
            <w:tcW w:w="6698" w:type="dxa"/>
            <w:shd w:val="clear" w:color="auto" w:fill="FFFFFF" w:themeFill="background1"/>
            <w:vAlign w:val="center"/>
          </w:tcPr>
          <w:p w14:paraId="4BC8EE15">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根据投标人提出的针对本项目的保额情况</w:t>
            </w:r>
            <w:r>
              <w:rPr>
                <w:rFonts w:hint="eastAsia" w:ascii="宋体" w:hAnsi="宋体" w:eastAsia="宋体" w:cs="宋体"/>
                <w:bCs/>
                <w:color w:val="auto"/>
                <w:sz w:val="24"/>
                <w:szCs w:val="24"/>
              </w:rPr>
              <w:t>由专家</w:t>
            </w:r>
            <w:r>
              <w:rPr>
                <w:rFonts w:hint="eastAsia" w:ascii="宋体" w:hAnsi="宋体" w:eastAsia="宋体" w:cs="宋体"/>
                <w:bCs/>
                <w:color w:val="auto"/>
                <w:sz w:val="24"/>
                <w:szCs w:val="24"/>
                <w:lang w:val="en-US" w:eastAsia="zh-CN"/>
              </w:rPr>
              <w:t>进行打分</w:t>
            </w:r>
            <w:r>
              <w:rPr>
                <w:rFonts w:hint="eastAsia" w:ascii="宋体" w:hAnsi="宋体" w:eastAsia="宋体" w:cs="宋体"/>
                <w:color w:val="auto"/>
                <w:sz w:val="24"/>
                <w:szCs w:val="24"/>
              </w:rPr>
              <w:t>。</w:t>
            </w:r>
          </w:p>
          <w:p w14:paraId="4972818B">
            <w:pPr>
              <w:keepNext w:val="0"/>
              <w:keepLines w:val="0"/>
              <w:pageBreakBefore w:val="0"/>
              <w:widowControl w:val="0"/>
              <w:kinsoku/>
              <w:wordWrap/>
              <w:overflowPunct/>
              <w:topLinePunct w:val="0"/>
              <w:bidi w:val="0"/>
              <w:adjustRightInd/>
              <w:spacing w:line="240" w:lineRule="auto"/>
              <w:jc w:val="left"/>
              <w:textAlignment w:val="auto"/>
              <w:rPr>
                <w:rFonts w:hint="eastAsia" w:ascii="宋体" w:hAnsi="宋体" w:cs="宋体"/>
                <w:color w:val="auto"/>
                <w:sz w:val="24"/>
                <w:szCs w:val="24"/>
              </w:rPr>
            </w:pPr>
            <w:r>
              <w:rPr>
                <w:rFonts w:hint="eastAsia" w:ascii="宋体" w:hAnsi="宋体" w:cs="宋体"/>
                <w:color w:val="auto"/>
                <w:sz w:val="24"/>
                <w:szCs w:val="24"/>
              </w:rPr>
              <w:t>方案内容完整、合理可行性的得</w:t>
            </w:r>
            <w:r>
              <w:rPr>
                <w:rFonts w:hint="eastAsia" w:ascii="宋体" w:hAnsi="宋体" w:cs="宋体"/>
                <w:color w:val="auto"/>
                <w:sz w:val="24"/>
                <w:szCs w:val="24"/>
                <w:lang w:val="en-US" w:eastAsia="zh-CN"/>
              </w:rPr>
              <w:t>6</w:t>
            </w:r>
            <w:r>
              <w:rPr>
                <w:rFonts w:hint="eastAsia" w:ascii="宋体" w:hAnsi="宋体" w:cs="宋体"/>
                <w:color w:val="auto"/>
                <w:sz w:val="24"/>
                <w:szCs w:val="24"/>
              </w:rPr>
              <w:t>分；</w:t>
            </w:r>
          </w:p>
          <w:p w14:paraId="665AB988">
            <w:pPr>
              <w:keepNext w:val="0"/>
              <w:keepLines w:val="0"/>
              <w:pageBreakBefore w:val="0"/>
              <w:widowControl w:val="0"/>
              <w:kinsoku/>
              <w:wordWrap/>
              <w:overflowPunct/>
              <w:topLinePunct w:val="0"/>
              <w:bidi w:val="0"/>
              <w:adjustRightInd/>
              <w:spacing w:line="240" w:lineRule="auto"/>
              <w:jc w:val="left"/>
              <w:textAlignment w:val="auto"/>
              <w:rPr>
                <w:rFonts w:hint="eastAsia" w:ascii="宋体" w:hAnsi="宋体" w:cs="宋体"/>
                <w:color w:val="auto"/>
                <w:sz w:val="24"/>
                <w:szCs w:val="24"/>
              </w:rPr>
            </w:pPr>
            <w:r>
              <w:rPr>
                <w:rFonts w:hint="eastAsia" w:ascii="宋体" w:hAnsi="宋体" w:cs="宋体"/>
                <w:color w:val="auto"/>
                <w:sz w:val="24"/>
                <w:szCs w:val="24"/>
              </w:rPr>
              <w:t>方案内容基本完整、基本可行的得</w:t>
            </w:r>
            <w:r>
              <w:rPr>
                <w:rFonts w:hint="eastAsia" w:ascii="宋体" w:hAnsi="宋体" w:cs="宋体"/>
                <w:color w:val="auto"/>
                <w:sz w:val="24"/>
                <w:szCs w:val="24"/>
                <w:lang w:val="en-US" w:eastAsia="zh-CN"/>
              </w:rPr>
              <w:t>4</w:t>
            </w:r>
            <w:r>
              <w:rPr>
                <w:rFonts w:hint="eastAsia" w:ascii="宋体" w:hAnsi="宋体" w:cs="宋体"/>
                <w:color w:val="auto"/>
                <w:sz w:val="24"/>
                <w:szCs w:val="24"/>
              </w:rPr>
              <w:t>分；</w:t>
            </w:r>
          </w:p>
          <w:p w14:paraId="10A13F08">
            <w:pPr>
              <w:keepNext w:val="0"/>
              <w:keepLines w:val="0"/>
              <w:pageBreakBefore w:val="0"/>
              <w:widowControl w:val="0"/>
              <w:kinsoku/>
              <w:wordWrap/>
              <w:overflowPunct/>
              <w:topLinePunct w:val="0"/>
              <w:bidi w:val="0"/>
              <w:adjustRightInd/>
              <w:spacing w:line="240" w:lineRule="auto"/>
              <w:jc w:val="left"/>
              <w:textAlignment w:val="auto"/>
              <w:rPr>
                <w:rFonts w:hint="eastAsia" w:ascii="宋体" w:hAnsi="宋体" w:cs="宋体"/>
                <w:color w:val="auto"/>
                <w:sz w:val="24"/>
                <w:szCs w:val="24"/>
              </w:rPr>
            </w:pPr>
            <w:r>
              <w:rPr>
                <w:rFonts w:hint="eastAsia" w:ascii="宋体" w:hAnsi="宋体" w:cs="宋体"/>
                <w:color w:val="auto"/>
                <w:sz w:val="24"/>
                <w:szCs w:val="24"/>
              </w:rPr>
              <w:t>方案内容简单、可行性不高的得</w:t>
            </w:r>
            <w:r>
              <w:rPr>
                <w:rFonts w:hint="eastAsia" w:ascii="宋体" w:hAnsi="宋体" w:cs="宋体"/>
                <w:color w:val="auto"/>
                <w:sz w:val="24"/>
                <w:szCs w:val="24"/>
                <w:lang w:val="en-US" w:eastAsia="zh-CN"/>
              </w:rPr>
              <w:t>2</w:t>
            </w:r>
            <w:r>
              <w:rPr>
                <w:rFonts w:hint="eastAsia" w:ascii="宋体" w:hAnsi="宋体" w:cs="宋体"/>
                <w:color w:val="auto"/>
                <w:sz w:val="24"/>
                <w:szCs w:val="24"/>
              </w:rPr>
              <w:t>分；</w:t>
            </w:r>
          </w:p>
          <w:p w14:paraId="18A597EE">
            <w:pPr>
              <w:spacing w:line="240" w:lineRule="auto"/>
              <w:rPr>
                <w:rFonts w:hint="eastAsia" w:ascii="宋体" w:hAnsi="宋体" w:eastAsia="宋体" w:cs="宋体"/>
                <w:color w:val="auto"/>
                <w:sz w:val="24"/>
                <w:szCs w:val="24"/>
              </w:rPr>
            </w:pPr>
            <w:r>
              <w:rPr>
                <w:rFonts w:hint="eastAsia" w:ascii="宋体" w:hAnsi="宋体" w:cs="宋体"/>
                <w:color w:val="auto"/>
                <w:sz w:val="24"/>
                <w:szCs w:val="24"/>
              </w:rPr>
              <w:t>未提供方案不得分。</w:t>
            </w:r>
          </w:p>
        </w:tc>
        <w:tc>
          <w:tcPr>
            <w:tcW w:w="992" w:type="dxa"/>
            <w:shd w:val="clear" w:color="auto" w:fill="FFFFFF" w:themeFill="background1"/>
            <w:vAlign w:val="center"/>
          </w:tcPr>
          <w:p w14:paraId="205FA215">
            <w:pPr>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pacing w:val="-6"/>
                <w:sz w:val="24"/>
              </w:rPr>
              <w:t>0-</w:t>
            </w:r>
            <w:r>
              <w:rPr>
                <w:rFonts w:hint="eastAsia" w:ascii="宋体" w:hAnsi="宋体" w:eastAsia="宋体" w:cs="宋体"/>
                <w:b/>
                <w:bCs/>
                <w:color w:val="auto"/>
                <w:spacing w:val="-6"/>
                <w:sz w:val="24"/>
                <w:lang w:val="en-US" w:eastAsia="zh-CN"/>
              </w:rPr>
              <w:t>6</w:t>
            </w:r>
            <w:r>
              <w:rPr>
                <w:rFonts w:hint="eastAsia" w:ascii="宋体" w:hAnsi="宋体" w:eastAsia="宋体" w:cs="宋体"/>
                <w:b/>
                <w:bCs/>
                <w:color w:val="auto"/>
                <w:spacing w:val="-6"/>
                <w:sz w:val="24"/>
              </w:rPr>
              <w:t>分</w:t>
            </w:r>
          </w:p>
        </w:tc>
      </w:tr>
      <w:tr w14:paraId="1341CA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9" w:type="dxa"/>
            <w:shd w:val="clear" w:color="auto" w:fill="FFFFFF" w:themeFill="background1"/>
            <w:vAlign w:val="center"/>
          </w:tcPr>
          <w:p w14:paraId="22C3B906">
            <w:pPr>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9</w:t>
            </w:r>
          </w:p>
        </w:tc>
        <w:tc>
          <w:tcPr>
            <w:tcW w:w="1598" w:type="dxa"/>
            <w:shd w:val="clear" w:color="auto" w:fill="FFFFFF" w:themeFill="background1"/>
            <w:vAlign w:val="center"/>
          </w:tcPr>
          <w:p w14:paraId="63CB2A52">
            <w:pPr>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出单承保</w:t>
            </w:r>
          </w:p>
        </w:tc>
        <w:tc>
          <w:tcPr>
            <w:tcW w:w="6698" w:type="dxa"/>
            <w:shd w:val="clear" w:color="auto" w:fill="FFFFFF" w:themeFill="background1"/>
            <w:vAlign w:val="center"/>
          </w:tcPr>
          <w:p w14:paraId="54F03473">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根据投标人提供的服务承诺、设立专门的服务队伍、承保时效性等，</w:t>
            </w:r>
            <w:r>
              <w:rPr>
                <w:rFonts w:hint="eastAsia" w:ascii="宋体" w:hAnsi="宋体" w:eastAsia="宋体" w:cs="宋体"/>
                <w:bCs/>
                <w:color w:val="auto"/>
                <w:sz w:val="24"/>
                <w:szCs w:val="24"/>
              </w:rPr>
              <w:t>由专家</w:t>
            </w:r>
            <w:r>
              <w:rPr>
                <w:rFonts w:hint="eastAsia" w:ascii="宋体" w:hAnsi="宋体" w:eastAsia="宋体" w:cs="宋体"/>
                <w:bCs/>
                <w:color w:val="auto"/>
                <w:sz w:val="24"/>
                <w:szCs w:val="24"/>
                <w:lang w:val="en-US" w:eastAsia="zh-CN"/>
              </w:rPr>
              <w:t>进行打分</w:t>
            </w:r>
            <w:r>
              <w:rPr>
                <w:rFonts w:hint="eastAsia" w:ascii="宋体" w:hAnsi="宋体" w:eastAsia="宋体" w:cs="宋体"/>
                <w:color w:val="auto"/>
                <w:sz w:val="24"/>
                <w:szCs w:val="24"/>
              </w:rPr>
              <w:t>。</w:t>
            </w:r>
          </w:p>
          <w:p w14:paraId="2D2E402E">
            <w:pPr>
              <w:keepNext w:val="0"/>
              <w:keepLines w:val="0"/>
              <w:pageBreakBefore w:val="0"/>
              <w:widowControl w:val="0"/>
              <w:kinsoku/>
              <w:wordWrap/>
              <w:overflowPunct/>
              <w:topLinePunct w:val="0"/>
              <w:bidi w:val="0"/>
              <w:adjustRightInd/>
              <w:spacing w:line="240" w:lineRule="auto"/>
              <w:jc w:val="left"/>
              <w:textAlignment w:val="auto"/>
              <w:rPr>
                <w:rFonts w:hint="eastAsia" w:ascii="宋体" w:hAnsi="宋体" w:cs="宋体"/>
                <w:color w:val="auto"/>
                <w:sz w:val="24"/>
                <w:szCs w:val="24"/>
              </w:rPr>
            </w:pPr>
            <w:r>
              <w:rPr>
                <w:rFonts w:hint="eastAsia" w:ascii="宋体" w:hAnsi="宋体" w:cs="宋体"/>
                <w:color w:val="auto"/>
                <w:sz w:val="24"/>
                <w:szCs w:val="24"/>
              </w:rPr>
              <w:t>方案内容完整、合理可行性的得</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p w14:paraId="45989998">
            <w:pPr>
              <w:keepNext w:val="0"/>
              <w:keepLines w:val="0"/>
              <w:pageBreakBefore w:val="0"/>
              <w:widowControl w:val="0"/>
              <w:kinsoku/>
              <w:wordWrap/>
              <w:overflowPunct/>
              <w:topLinePunct w:val="0"/>
              <w:bidi w:val="0"/>
              <w:adjustRightInd/>
              <w:spacing w:line="240" w:lineRule="auto"/>
              <w:jc w:val="left"/>
              <w:textAlignment w:val="auto"/>
              <w:rPr>
                <w:rFonts w:hint="eastAsia" w:ascii="宋体" w:hAnsi="宋体" w:cs="宋体"/>
                <w:color w:val="auto"/>
                <w:sz w:val="24"/>
                <w:szCs w:val="24"/>
              </w:rPr>
            </w:pPr>
            <w:r>
              <w:rPr>
                <w:rFonts w:hint="eastAsia" w:ascii="宋体" w:hAnsi="宋体" w:cs="宋体"/>
                <w:color w:val="auto"/>
                <w:sz w:val="24"/>
                <w:szCs w:val="24"/>
              </w:rPr>
              <w:t>方案内容基本完整、基本可行的得</w:t>
            </w:r>
            <w:r>
              <w:rPr>
                <w:rFonts w:hint="eastAsia" w:ascii="宋体" w:hAnsi="宋体" w:cs="宋体"/>
                <w:color w:val="auto"/>
                <w:sz w:val="24"/>
                <w:szCs w:val="24"/>
                <w:lang w:val="en-US" w:eastAsia="zh-CN"/>
              </w:rPr>
              <w:t>3</w:t>
            </w:r>
            <w:r>
              <w:rPr>
                <w:rFonts w:hint="eastAsia" w:ascii="宋体" w:hAnsi="宋体" w:cs="宋体"/>
                <w:color w:val="auto"/>
                <w:sz w:val="24"/>
                <w:szCs w:val="24"/>
              </w:rPr>
              <w:t>分；</w:t>
            </w:r>
          </w:p>
          <w:p w14:paraId="29E057AB">
            <w:pPr>
              <w:keepNext w:val="0"/>
              <w:keepLines w:val="0"/>
              <w:pageBreakBefore w:val="0"/>
              <w:widowControl w:val="0"/>
              <w:kinsoku/>
              <w:wordWrap/>
              <w:overflowPunct/>
              <w:topLinePunct w:val="0"/>
              <w:bidi w:val="0"/>
              <w:adjustRightInd/>
              <w:spacing w:line="240" w:lineRule="auto"/>
              <w:jc w:val="left"/>
              <w:textAlignment w:val="auto"/>
              <w:rPr>
                <w:rFonts w:hint="eastAsia" w:ascii="宋体" w:hAnsi="宋体" w:cs="宋体"/>
                <w:color w:val="auto"/>
                <w:sz w:val="24"/>
                <w:szCs w:val="24"/>
              </w:rPr>
            </w:pPr>
            <w:r>
              <w:rPr>
                <w:rFonts w:hint="eastAsia" w:ascii="宋体" w:hAnsi="宋体" w:cs="宋体"/>
                <w:color w:val="auto"/>
                <w:sz w:val="24"/>
                <w:szCs w:val="24"/>
              </w:rPr>
              <w:t>方案内容简单、可行性不高的得</w:t>
            </w:r>
            <w:r>
              <w:rPr>
                <w:rFonts w:hint="eastAsia" w:ascii="宋体" w:hAnsi="宋体" w:cs="宋体"/>
                <w:color w:val="auto"/>
                <w:sz w:val="24"/>
                <w:szCs w:val="24"/>
                <w:lang w:val="en-US" w:eastAsia="zh-CN"/>
              </w:rPr>
              <w:t>1</w:t>
            </w:r>
            <w:r>
              <w:rPr>
                <w:rFonts w:hint="eastAsia" w:ascii="宋体" w:hAnsi="宋体" w:cs="宋体"/>
                <w:color w:val="auto"/>
                <w:sz w:val="24"/>
                <w:szCs w:val="24"/>
              </w:rPr>
              <w:t>分；</w:t>
            </w:r>
          </w:p>
          <w:p w14:paraId="4A88E6FB">
            <w:pPr>
              <w:spacing w:line="240" w:lineRule="auto"/>
              <w:rPr>
                <w:rFonts w:hint="eastAsia" w:ascii="宋体" w:hAnsi="宋体" w:eastAsia="宋体" w:cs="宋体"/>
                <w:color w:val="auto"/>
                <w:sz w:val="24"/>
                <w:szCs w:val="24"/>
              </w:rPr>
            </w:pPr>
            <w:r>
              <w:rPr>
                <w:rFonts w:hint="eastAsia" w:ascii="宋体" w:hAnsi="宋体" w:cs="宋体"/>
                <w:color w:val="auto"/>
                <w:sz w:val="24"/>
                <w:szCs w:val="24"/>
              </w:rPr>
              <w:t>未提供方案不得分。</w:t>
            </w:r>
          </w:p>
        </w:tc>
        <w:tc>
          <w:tcPr>
            <w:tcW w:w="992" w:type="dxa"/>
            <w:shd w:val="clear" w:color="auto" w:fill="FFFFFF" w:themeFill="background1"/>
            <w:vAlign w:val="center"/>
          </w:tcPr>
          <w:p w14:paraId="1C33962F">
            <w:pPr>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pacing w:val="-6"/>
                <w:sz w:val="24"/>
              </w:rPr>
              <w:t>0-</w:t>
            </w:r>
            <w:r>
              <w:rPr>
                <w:rFonts w:hint="eastAsia" w:ascii="宋体" w:hAnsi="宋体" w:eastAsia="宋体" w:cs="宋体"/>
                <w:b/>
                <w:bCs/>
                <w:color w:val="auto"/>
                <w:spacing w:val="-6"/>
                <w:sz w:val="24"/>
                <w:lang w:val="en-US" w:eastAsia="zh-CN"/>
              </w:rPr>
              <w:t>5</w:t>
            </w:r>
            <w:r>
              <w:rPr>
                <w:rFonts w:hint="eastAsia" w:ascii="宋体" w:hAnsi="宋体" w:eastAsia="宋体" w:cs="宋体"/>
                <w:b/>
                <w:bCs/>
                <w:color w:val="auto"/>
                <w:spacing w:val="-6"/>
                <w:sz w:val="24"/>
              </w:rPr>
              <w:t>分</w:t>
            </w:r>
          </w:p>
        </w:tc>
      </w:tr>
      <w:tr w14:paraId="08682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9" w:type="dxa"/>
            <w:shd w:val="clear" w:color="auto" w:fill="FFFFFF" w:themeFill="background1"/>
            <w:vAlign w:val="center"/>
          </w:tcPr>
          <w:p w14:paraId="1A0BC5E8">
            <w:pPr>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10</w:t>
            </w:r>
          </w:p>
        </w:tc>
        <w:tc>
          <w:tcPr>
            <w:tcW w:w="1598" w:type="dxa"/>
            <w:shd w:val="clear" w:color="auto" w:fill="FFFFFF" w:themeFill="background1"/>
            <w:vAlign w:val="center"/>
          </w:tcPr>
          <w:p w14:paraId="2376C894">
            <w:pPr>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优惠条件</w:t>
            </w:r>
          </w:p>
        </w:tc>
        <w:tc>
          <w:tcPr>
            <w:tcW w:w="6698" w:type="dxa"/>
            <w:shd w:val="clear" w:color="auto" w:fill="FFFFFF" w:themeFill="background1"/>
            <w:vAlign w:val="center"/>
          </w:tcPr>
          <w:p w14:paraId="2EFE4A52">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承诺给予采购人的各种优惠（包括贫困学生提供支持，对学生工作提供支持等）</w:t>
            </w:r>
            <w:r>
              <w:rPr>
                <w:rFonts w:hint="eastAsia" w:ascii="宋体" w:hAnsi="宋体" w:eastAsia="宋体" w:cs="宋体"/>
                <w:color w:val="auto"/>
                <w:sz w:val="24"/>
                <w:szCs w:val="24"/>
                <w:lang w:val="en-US" w:eastAsia="zh-CN"/>
              </w:rPr>
              <w:t>进行打分</w:t>
            </w:r>
            <w:r>
              <w:rPr>
                <w:rFonts w:hint="eastAsia" w:ascii="宋体" w:hAnsi="宋体" w:eastAsia="宋体" w:cs="宋体"/>
                <w:color w:val="auto"/>
                <w:sz w:val="24"/>
                <w:szCs w:val="24"/>
              </w:rPr>
              <w:t>。</w:t>
            </w:r>
          </w:p>
          <w:p w14:paraId="6618C9A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内容完整全面、科学合理、可行性强的得7分；</w:t>
            </w:r>
          </w:p>
          <w:p w14:paraId="7D5240B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内容存在欠缺，但相对完整、基本合理的得4分；</w:t>
            </w:r>
          </w:p>
          <w:p w14:paraId="5991321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内容简陋、层次模糊、操作性较差的得2分；</w:t>
            </w:r>
          </w:p>
          <w:p w14:paraId="714D9670">
            <w:pPr>
              <w:pStyle w:val="18"/>
              <w:keepNext w:val="0"/>
              <w:keepLines w:val="0"/>
              <w:pageBreakBefore w:val="0"/>
              <w:widowControl w:val="0"/>
              <w:kinsoku/>
              <w:wordWrap/>
              <w:overflowPunct/>
              <w:topLinePunct w:val="0"/>
              <w:bidi w:val="0"/>
              <w:adjustRightInd/>
              <w:spacing w:after="0" w:line="240" w:lineRule="auto"/>
              <w:ind w:left="0" w:leftChars="0" w:firstLine="0" w:firstLineChars="0"/>
              <w:textAlignment w:val="auto"/>
              <w:rPr>
                <w:rFonts w:hint="eastAsia" w:ascii="宋体" w:hAnsi="宋体" w:eastAsia="宋体" w:cs="宋体"/>
                <w:color w:val="auto"/>
              </w:rPr>
            </w:pPr>
            <w:r>
              <w:rPr>
                <w:rFonts w:hint="eastAsia" w:ascii="宋体" w:hAnsi="宋体" w:eastAsia="宋体" w:cs="宋体"/>
                <w:color w:val="auto"/>
                <w:sz w:val="24"/>
                <w:szCs w:val="24"/>
                <w:highlight w:val="none"/>
              </w:rPr>
              <w:t>不符合项目需求</w:t>
            </w:r>
            <w:r>
              <w:rPr>
                <w:rFonts w:hint="eastAsia" w:ascii="宋体" w:hAnsi="宋体" w:eastAsia="宋体" w:cs="宋体"/>
                <w:color w:val="auto"/>
                <w:sz w:val="24"/>
                <w:szCs w:val="24"/>
                <w:highlight w:val="none"/>
                <w:lang w:val="en-US" w:eastAsia="zh-CN"/>
              </w:rPr>
              <w:t>或不提供不得分</w:t>
            </w:r>
            <w:r>
              <w:rPr>
                <w:rFonts w:hint="eastAsia" w:ascii="宋体" w:hAnsi="宋体" w:eastAsia="宋体" w:cs="宋体"/>
                <w:color w:val="auto"/>
                <w:sz w:val="24"/>
                <w:szCs w:val="24"/>
                <w:highlight w:val="none"/>
              </w:rPr>
              <w:t>。</w:t>
            </w:r>
          </w:p>
          <w:p w14:paraId="74E4DE39">
            <w:pPr>
              <w:spacing w:line="24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（注：</w:t>
            </w:r>
            <w:r>
              <w:rPr>
                <w:rFonts w:hint="eastAsia" w:ascii="宋体" w:hAnsi="宋体" w:eastAsia="宋体" w:cs="宋体"/>
                <w:b/>
                <w:bCs/>
                <w:color w:val="auto"/>
                <w:sz w:val="24"/>
                <w:szCs w:val="24"/>
                <w:lang w:val="en-US" w:eastAsia="zh-CN"/>
              </w:rPr>
              <w:t>技术</w:t>
            </w:r>
            <w:r>
              <w:rPr>
                <w:rFonts w:hint="eastAsia" w:ascii="宋体" w:hAnsi="宋体" w:eastAsia="宋体" w:cs="宋体"/>
                <w:b/>
                <w:bCs/>
                <w:color w:val="auto"/>
                <w:sz w:val="24"/>
                <w:szCs w:val="24"/>
              </w:rPr>
              <w:t>文件中需提供承诺函</w:t>
            </w:r>
            <w:r>
              <w:rPr>
                <w:rFonts w:hint="eastAsia" w:ascii="宋体" w:hAnsi="宋体" w:eastAsia="宋体" w:cs="宋体"/>
                <w:b/>
                <w:bCs/>
                <w:color w:val="auto"/>
                <w:sz w:val="24"/>
                <w:szCs w:val="24"/>
                <w:lang w:val="en-US" w:eastAsia="zh-CN"/>
              </w:rPr>
              <w:t>并加盖投标人公章</w:t>
            </w:r>
            <w:r>
              <w:rPr>
                <w:rFonts w:hint="eastAsia" w:ascii="宋体" w:hAnsi="宋体" w:eastAsia="宋体" w:cs="宋体"/>
                <w:b/>
                <w:bCs/>
                <w:color w:val="auto"/>
                <w:sz w:val="24"/>
                <w:szCs w:val="24"/>
              </w:rPr>
              <w:t>，承诺函格式自拟</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不提供不得分</w:t>
            </w:r>
            <w:r>
              <w:rPr>
                <w:rFonts w:hint="eastAsia" w:ascii="宋体" w:hAnsi="宋体" w:eastAsia="宋体" w:cs="宋体"/>
                <w:b/>
                <w:bCs/>
                <w:color w:val="auto"/>
                <w:sz w:val="24"/>
                <w:szCs w:val="24"/>
              </w:rPr>
              <w:t>。）</w:t>
            </w:r>
          </w:p>
        </w:tc>
        <w:tc>
          <w:tcPr>
            <w:tcW w:w="992" w:type="dxa"/>
            <w:shd w:val="clear" w:color="auto" w:fill="FFFFFF" w:themeFill="background1"/>
            <w:vAlign w:val="center"/>
          </w:tcPr>
          <w:p w14:paraId="72632A15">
            <w:pPr>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pacing w:val="-6"/>
                <w:sz w:val="24"/>
              </w:rPr>
              <w:t>0-</w:t>
            </w:r>
            <w:r>
              <w:rPr>
                <w:rFonts w:hint="eastAsia" w:ascii="宋体" w:hAnsi="宋体" w:eastAsia="宋体" w:cs="宋体"/>
                <w:b/>
                <w:bCs/>
                <w:color w:val="auto"/>
                <w:spacing w:val="-6"/>
                <w:sz w:val="24"/>
                <w:lang w:val="en-US" w:eastAsia="zh-CN"/>
              </w:rPr>
              <w:t>7</w:t>
            </w:r>
            <w:r>
              <w:rPr>
                <w:rFonts w:hint="eastAsia" w:ascii="宋体" w:hAnsi="宋体" w:eastAsia="宋体" w:cs="宋体"/>
                <w:b/>
                <w:bCs/>
                <w:color w:val="auto"/>
                <w:spacing w:val="-6"/>
                <w:sz w:val="24"/>
              </w:rPr>
              <w:t>分</w:t>
            </w:r>
          </w:p>
        </w:tc>
      </w:tr>
      <w:tr w14:paraId="7983B6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9" w:type="dxa"/>
            <w:shd w:val="clear" w:color="auto" w:fill="FFFFFF" w:themeFill="background1"/>
            <w:vAlign w:val="center"/>
          </w:tcPr>
          <w:p w14:paraId="59578072">
            <w:pPr>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11</w:t>
            </w:r>
          </w:p>
        </w:tc>
        <w:tc>
          <w:tcPr>
            <w:tcW w:w="1598" w:type="dxa"/>
            <w:shd w:val="clear" w:color="auto" w:fill="FFFFFF" w:themeFill="background1"/>
            <w:vAlign w:val="center"/>
          </w:tcPr>
          <w:p w14:paraId="1D94AF20">
            <w:pPr>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服务渠道</w:t>
            </w:r>
          </w:p>
        </w:tc>
        <w:tc>
          <w:tcPr>
            <w:tcW w:w="6698" w:type="dxa"/>
            <w:shd w:val="clear" w:color="auto" w:fill="FFFFFF" w:themeFill="background1"/>
            <w:vAlign w:val="center"/>
          </w:tcPr>
          <w:p w14:paraId="06E1E2F2">
            <w:pPr>
              <w:keepNext w:val="0"/>
              <w:keepLines w:val="0"/>
              <w:pageBreakBefore w:val="0"/>
              <w:widowControl w:val="0"/>
              <w:kinsoku/>
              <w:wordWrap/>
              <w:overflowPunct/>
              <w:topLinePunct w:val="0"/>
              <w:bidi w:val="0"/>
              <w:adjustRightIn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投标人具备网络、电话、短信、网点及专员等多样化服务渠道，便于投保人对本合作项目的问题咨询，充分体现服务的人性化和各类服务渠道的便捷性</w:t>
            </w:r>
            <w:r>
              <w:rPr>
                <w:rFonts w:hint="eastAsia" w:ascii="宋体" w:hAnsi="宋体" w:eastAsia="宋体" w:cs="宋体"/>
                <w:color w:val="auto"/>
                <w:sz w:val="24"/>
                <w:szCs w:val="24"/>
                <w:lang w:val="en-US" w:eastAsia="zh-CN"/>
              </w:rPr>
              <w:t>等由专家进行打分</w:t>
            </w:r>
            <w:r>
              <w:rPr>
                <w:rFonts w:hint="eastAsia" w:ascii="宋体" w:hAnsi="宋体" w:eastAsia="宋体" w:cs="宋体"/>
                <w:color w:val="auto"/>
                <w:sz w:val="24"/>
                <w:szCs w:val="24"/>
              </w:rPr>
              <w:t>。</w:t>
            </w:r>
          </w:p>
          <w:p w14:paraId="22153F24">
            <w:pPr>
              <w:keepNext w:val="0"/>
              <w:keepLines w:val="0"/>
              <w:pageBreakBefore w:val="0"/>
              <w:widowControl w:val="0"/>
              <w:kinsoku/>
              <w:wordWrap/>
              <w:overflowPunct/>
              <w:topLinePunct w:val="0"/>
              <w:bidi w:val="0"/>
              <w:adjustRightInd/>
              <w:spacing w:line="240" w:lineRule="auto"/>
              <w:jc w:val="left"/>
              <w:textAlignment w:val="auto"/>
              <w:rPr>
                <w:rFonts w:hint="eastAsia" w:ascii="宋体" w:hAnsi="宋体" w:cs="宋体"/>
                <w:color w:val="auto"/>
                <w:sz w:val="24"/>
                <w:szCs w:val="24"/>
              </w:rPr>
            </w:pPr>
            <w:r>
              <w:rPr>
                <w:rFonts w:hint="eastAsia" w:ascii="宋体" w:hAnsi="宋体" w:cs="宋体"/>
                <w:color w:val="auto"/>
                <w:sz w:val="24"/>
                <w:szCs w:val="24"/>
              </w:rPr>
              <w:t>服务渠道多样化、联系方便的得</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p w14:paraId="16F4DCF9">
            <w:pPr>
              <w:keepNext w:val="0"/>
              <w:keepLines w:val="0"/>
              <w:pageBreakBefore w:val="0"/>
              <w:widowControl w:val="0"/>
              <w:kinsoku/>
              <w:wordWrap/>
              <w:overflowPunct/>
              <w:topLinePunct w:val="0"/>
              <w:bidi w:val="0"/>
              <w:adjustRightInd/>
              <w:spacing w:line="240" w:lineRule="auto"/>
              <w:jc w:val="left"/>
              <w:textAlignment w:val="auto"/>
              <w:rPr>
                <w:rFonts w:hint="eastAsia" w:ascii="宋体" w:hAnsi="宋体" w:cs="宋体"/>
                <w:color w:val="auto"/>
                <w:sz w:val="24"/>
                <w:szCs w:val="24"/>
              </w:rPr>
            </w:pPr>
            <w:r>
              <w:rPr>
                <w:rFonts w:hint="eastAsia" w:ascii="宋体" w:hAnsi="宋体" w:cs="宋体"/>
                <w:color w:val="auto"/>
                <w:sz w:val="24"/>
                <w:szCs w:val="24"/>
              </w:rPr>
              <w:t>服务渠道基本能够满足需求的得</w:t>
            </w:r>
            <w:r>
              <w:rPr>
                <w:rFonts w:hint="eastAsia" w:ascii="宋体" w:hAnsi="宋体" w:cs="宋体"/>
                <w:color w:val="auto"/>
                <w:sz w:val="24"/>
                <w:szCs w:val="24"/>
                <w:lang w:val="en-US" w:eastAsia="zh-CN"/>
              </w:rPr>
              <w:t>3</w:t>
            </w:r>
            <w:r>
              <w:rPr>
                <w:rFonts w:hint="eastAsia" w:ascii="宋体" w:hAnsi="宋体" w:cs="宋体"/>
                <w:color w:val="auto"/>
                <w:sz w:val="24"/>
                <w:szCs w:val="24"/>
              </w:rPr>
              <w:t>分；</w:t>
            </w:r>
          </w:p>
          <w:p w14:paraId="15FC28B5">
            <w:pPr>
              <w:keepNext w:val="0"/>
              <w:keepLines w:val="0"/>
              <w:pageBreakBefore w:val="0"/>
              <w:widowControl w:val="0"/>
              <w:kinsoku/>
              <w:wordWrap/>
              <w:overflowPunct/>
              <w:topLinePunct w:val="0"/>
              <w:bidi w:val="0"/>
              <w:adjustRightInd/>
              <w:spacing w:line="240" w:lineRule="auto"/>
              <w:jc w:val="left"/>
              <w:textAlignment w:val="auto"/>
              <w:rPr>
                <w:rFonts w:hint="eastAsia" w:ascii="宋体" w:hAnsi="宋体" w:cs="宋体"/>
                <w:color w:val="auto"/>
                <w:sz w:val="24"/>
                <w:szCs w:val="24"/>
              </w:rPr>
            </w:pPr>
            <w:r>
              <w:rPr>
                <w:rFonts w:hint="eastAsia" w:ascii="宋体" w:hAnsi="宋体" w:cs="宋体"/>
                <w:color w:val="auto"/>
                <w:sz w:val="24"/>
                <w:szCs w:val="24"/>
              </w:rPr>
              <w:t>服务渠道单一、难以联系的得</w:t>
            </w:r>
            <w:r>
              <w:rPr>
                <w:rFonts w:hint="eastAsia" w:ascii="宋体" w:hAnsi="宋体" w:cs="宋体"/>
                <w:color w:val="auto"/>
                <w:sz w:val="24"/>
                <w:szCs w:val="24"/>
                <w:lang w:val="en-US" w:eastAsia="zh-CN"/>
              </w:rPr>
              <w:t>1</w:t>
            </w:r>
            <w:r>
              <w:rPr>
                <w:rFonts w:hint="eastAsia" w:ascii="宋体" w:hAnsi="宋体" w:cs="宋体"/>
                <w:color w:val="auto"/>
                <w:sz w:val="24"/>
                <w:szCs w:val="24"/>
              </w:rPr>
              <w:t>分；</w:t>
            </w:r>
          </w:p>
          <w:p w14:paraId="46F6442E">
            <w:pPr>
              <w:pStyle w:val="18"/>
              <w:keepNext w:val="0"/>
              <w:keepLines w:val="0"/>
              <w:pageBreakBefore w:val="0"/>
              <w:widowControl w:val="0"/>
              <w:kinsoku/>
              <w:wordWrap/>
              <w:overflowPunct/>
              <w:topLinePunct w:val="0"/>
              <w:bidi w:val="0"/>
              <w:adjustRightInd/>
              <w:spacing w:after="0" w:line="240" w:lineRule="auto"/>
              <w:ind w:left="0" w:leftChars="0" w:firstLine="0" w:firstLineChars="0"/>
              <w:textAlignment w:val="auto"/>
              <w:rPr>
                <w:rFonts w:hint="eastAsia"/>
                <w:color w:val="auto"/>
              </w:rPr>
            </w:pPr>
            <w:r>
              <w:rPr>
                <w:rFonts w:hint="eastAsia" w:ascii="宋体" w:hAnsi="宋体" w:cs="宋体"/>
                <w:color w:val="auto"/>
                <w:sz w:val="24"/>
                <w:szCs w:val="24"/>
              </w:rPr>
              <w:t>未提供方案不得分。</w:t>
            </w:r>
          </w:p>
        </w:tc>
        <w:tc>
          <w:tcPr>
            <w:tcW w:w="992" w:type="dxa"/>
            <w:shd w:val="clear" w:color="auto" w:fill="FFFFFF" w:themeFill="background1"/>
            <w:vAlign w:val="center"/>
          </w:tcPr>
          <w:p w14:paraId="331BF6C8">
            <w:pPr>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pacing w:val="-6"/>
                <w:sz w:val="24"/>
              </w:rPr>
              <w:t>0-</w:t>
            </w:r>
            <w:r>
              <w:rPr>
                <w:rFonts w:hint="eastAsia" w:ascii="宋体" w:hAnsi="宋体" w:eastAsia="宋体" w:cs="宋体"/>
                <w:b/>
                <w:bCs/>
                <w:color w:val="auto"/>
                <w:spacing w:val="-6"/>
                <w:sz w:val="24"/>
                <w:lang w:val="en-US" w:eastAsia="zh-CN"/>
              </w:rPr>
              <w:t>5</w:t>
            </w:r>
            <w:r>
              <w:rPr>
                <w:rFonts w:hint="eastAsia" w:ascii="宋体" w:hAnsi="宋体" w:eastAsia="宋体" w:cs="宋体"/>
                <w:b/>
                <w:bCs/>
                <w:color w:val="auto"/>
                <w:spacing w:val="-6"/>
                <w:sz w:val="24"/>
              </w:rPr>
              <w:t>分</w:t>
            </w:r>
          </w:p>
        </w:tc>
      </w:tr>
      <w:tr w14:paraId="588B9F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997" w:type="dxa"/>
            <w:gridSpan w:val="4"/>
            <w:shd w:val="clear" w:color="auto" w:fill="auto"/>
            <w:vAlign w:val="center"/>
          </w:tcPr>
          <w:p w14:paraId="432FC990">
            <w:pPr>
              <w:spacing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注：</w:t>
            </w:r>
          </w:p>
          <w:p w14:paraId="3E531C35">
            <w:pPr>
              <w:spacing w:line="240" w:lineRule="auto"/>
              <w:rPr>
                <w:rFonts w:hint="eastAsia" w:ascii="宋体" w:hAnsi="宋体" w:eastAsia="宋体" w:cs="宋体"/>
                <w:bCs/>
                <w:color w:val="auto"/>
                <w:sz w:val="24"/>
              </w:rPr>
            </w:pPr>
            <w:r>
              <w:rPr>
                <w:rFonts w:hint="eastAsia" w:ascii="宋体" w:hAnsi="宋体" w:eastAsia="宋体" w:cs="宋体"/>
                <w:bCs/>
                <w:color w:val="auto"/>
                <w:sz w:val="24"/>
              </w:rPr>
              <w:t>①上述评审细则中要求提供的相关资质或证明材料均以复印件形式置于商务技术文件中，且均需加盖投标人公章，否则视同未提供。</w:t>
            </w:r>
          </w:p>
          <w:p w14:paraId="5F32A7DF">
            <w:pPr>
              <w:spacing w:line="240" w:lineRule="auto"/>
              <w:rPr>
                <w:rFonts w:hint="eastAsia" w:ascii="宋体" w:hAnsi="宋体" w:eastAsia="宋体" w:cs="宋体"/>
                <w:color w:val="auto"/>
                <w:sz w:val="24"/>
              </w:rPr>
            </w:pPr>
            <w:r>
              <w:rPr>
                <w:rFonts w:hint="eastAsia" w:ascii="宋体" w:hAnsi="宋体" w:eastAsia="宋体" w:cs="宋体"/>
                <w:bCs/>
                <w:color w:val="auto"/>
                <w:sz w:val="24"/>
              </w:rPr>
              <w:t>②相关</w:t>
            </w:r>
            <w:r>
              <w:rPr>
                <w:rFonts w:hint="eastAsia" w:ascii="宋体" w:hAnsi="宋体" w:eastAsia="宋体" w:cs="宋体"/>
                <w:color w:val="auto"/>
                <w:sz w:val="24"/>
              </w:rPr>
              <w:t>评分资质、证书等证明材料复印件必须清晰易辨，否则评标委员会有权作出不利于投标人的评判。</w:t>
            </w:r>
          </w:p>
          <w:p w14:paraId="0047826D">
            <w:pPr>
              <w:spacing w:line="240" w:lineRule="auto"/>
              <w:rPr>
                <w:rFonts w:hint="eastAsia" w:ascii="宋体" w:hAnsi="宋体" w:eastAsia="宋体" w:cs="宋体"/>
                <w:b/>
                <w:color w:val="auto"/>
                <w:sz w:val="24"/>
              </w:rPr>
            </w:pPr>
            <w:r>
              <w:rPr>
                <w:rFonts w:hint="eastAsia" w:ascii="宋体" w:hAnsi="宋体" w:eastAsia="宋体" w:cs="宋体"/>
                <w:color w:val="auto"/>
                <w:sz w:val="24"/>
              </w:rPr>
              <w:t>③上述评分企业所提供的证明材料必须真实，否则取消中标资格。</w:t>
            </w:r>
          </w:p>
        </w:tc>
      </w:tr>
    </w:tbl>
    <w:p w14:paraId="2C147C4C">
      <w:pPr>
        <w:spacing w:line="312" w:lineRule="auto"/>
        <w:rPr>
          <w:rFonts w:hint="eastAsia" w:ascii="宋体" w:hAnsi="宋体" w:cs="宋体"/>
          <w:color w:val="auto"/>
          <w:sz w:val="24"/>
        </w:rPr>
      </w:pPr>
      <w:r>
        <w:rPr>
          <w:rFonts w:hint="eastAsia" w:ascii="宋体" w:hAnsi="宋体" w:cs="宋体"/>
          <w:b/>
          <w:bCs/>
          <w:color w:val="auto"/>
          <w:sz w:val="24"/>
        </w:rPr>
        <w:t>5.本次评审通过资格审查和符合性评审的单位全部入围进行报价评审。</w:t>
      </w:r>
    </w:p>
    <w:p w14:paraId="3A738C6C">
      <w:pPr>
        <w:keepNext w:val="0"/>
        <w:keepLines w:val="0"/>
        <w:pageBreakBefore w:val="0"/>
        <w:widowControl w:val="0"/>
        <w:kinsoku/>
        <w:wordWrap/>
        <w:overflowPunct/>
        <w:topLinePunct w:val="0"/>
        <w:autoSpaceDE/>
        <w:autoSpaceDN/>
        <w:bidi w:val="0"/>
        <w:adjustRightInd w:val="0"/>
        <w:snapToGrid w:val="0"/>
        <w:spacing w:line="30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五、采购需求</w:t>
      </w:r>
    </w:p>
    <w:p w14:paraId="25B042B2">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一、大学生商业</w:t>
      </w:r>
      <w:r>
        <w:rPr>
          <w:rFonts w:hint="eastAsia" w:ascii="宋体" w:hAnsi="宋体" w:eastAsia="宋体" w:cs="宋体"/>
          <w:b/>
          <w:bCs/>
          <w:color w:val="auto"/>
          <w:sz w:val="24"/>
          <w:szCs w:val="24"/>
        </w:rPr>
        <w:t>保险</w:t>
      </w:r>
    </w:p>
    <w:p w14:paraId="11A54B35">
      <w:pPr>
        <w:keepNext w:val="0"/>
        <w:keepLines w:val="0"/>
        <w:pageBreakBefore w:val="0"/>
        <w:widowControl w:val="0"/>
        <w:kinsoku/>
        <w:wordWrap/>
        <w:overflowPunct/>
        <w:topLinePunct w:val="0"/>
        <w:autoSpaceDE/>
        <w:autoSpaceDN/>
        <w:bidi w:val="0"/>
        <w:spacing w:line="30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（一）大学生商业保险</w:t>
      </w:r>
      <w:r>
        <w:rPr>
          <w:rFonts w:hint="eastAsia" w:ascii="宋体" w:hAnsi="宋体" w:eastAsia="宋体" w:cs="宋体"/>
          <w:b/>
          <w:bCs/>
          <w:color w:val="auto"/>
          <w:sz w:val="24"/>
          <w:szCs w:val="24"/>
          <w:lang w:val="en-US" w:eastAsia="zh-CN"/>
        </w:rPr>
        <w:t>额度</w:t>
      </w:r>
      <w:r>
        <w:rPr>
          <w:rFonts w:hint="eastAsia" w:ascii="宋体" w:hAnsi="宋体" w:eastAsia="宋体" w:cs="宋体"/>
          <w:b/>
          <w:bCs/>
          <w:color w:val="auto"/>
          <w:sz w:val="24"/>
          <w:szCs w:val="24"/>
        </w:rPr>
        <w:t>要求</w:t>
      </w:r>
      <w:r>
        <w:rPr>
          <w:rFonts w:hint="eastAsia" w:ascii="宋体" w:hAnsi="宋体" w:eastAsia="宋体" w:cs="宋体"/>
          <w:b/>
          <w:color w:val="auto"/>
          <w:sz w:val="24"/>
          <w:szCs w:val="24"/>
        </w:rPr>
        <w:t>（基本要求，投标人可高于采购人要求的最低保险金额）</w:t>
      </w:r>
    </w:p>
    <w:tbl>
      <w:tblPr>
        <w:tblStyle w:val="1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410"/>
        <w:gridCol w:w="4678"/>
      </w:tblGrid>
      <w:tr w14:paraId="1C563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8" w:type="dxa"/>
            <w:vAlign w:val="bottom"/>
          </w:tcPr>
          <w:p w14:paraId="06D7CB4A">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保障项目</w:t>
            </w:r>
          </w:p>
        </w:tc>
        <w:tc>
          <w:tcPr>
            <w:tcW w:w="2410" w:type="dxa"/>
            <w:vAlign w:val="bottom"/>
          </w:tcPr>
          <w:p w14:paraId="5325381B">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保险金额</w:t>
            </w:r>
          </w:p>
        </w:tc>
        <w:tc>
          <w:tcPr>
            <w:tcW w:w="4678" w:type="dxa"/>
            <w:vAlign w:val="bottom"/>
          </w:tcPr>
          <w:p w14:paraId="2B938B54">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保险责任说明</w:t>
            </w:r>
          </w:p>
        </w:tc>
      </w:tr>
      <w:tr w14:paraId="71358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8" w:type="dxa"/>
            <w:vAlign w:val="center"/>
          </w:tcPr>
          <w:p w14:paraId="308F27E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疾病、意外住院医疗</w:t>
            </w:r>
          </w:p>
        </w:tc>
        <w:tc>
          <w:tcPr>
            <w:tcW w:w="2410" w:type="dxa"/>
            <w:vAlign w:val="center"/>
          </w:tcPr>
          <w:p w14:paraId="55E77EB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不低于20万/人</w:t>
            </w:r>
          </w:p>
        </w:tc>
        <w:tc>
          <w:tcPr>
            <w:tcW w:w="4678" w:type="dxa"/>
            <w:vAlign w:val="center"/>
          </w:tcPr>
          <w:p w14:paraId="19E3048F">
            <w:pPr>
              <w:widowControl/>
              <w:rPr>
                <w:rFonts w:hint="eastAsia" w:ascii="宋体" w:hAnsi="宋体" w:eastAsia="宋体" w:cs="宋体"/>
                <w:color w:val="auto"/>
                <w:sz w:val="24"/>
                <w:szCs w:val="24"/>
              </w:rPr>
            </w:pPr>
            <w:r>
              <w:rPr>
                <w:rFonts w:hint="eastAsia" w:ascii="宋体" w:hAnsi="宋体" w:eastAsia="宋体" w:cs="宋体"/>
                <w:color w:val="auto"/>
                <w:sz w:val="24"/>
                <w:szCs w:val="24"/>
              </w:rPr>
              <w:t>疾病、意外住院时，在符合医保报销保规定范围内医保报销后剩余部分全额补足。</w:t>
            </w:r>
          </w:p>
        </w:tc>
      </w:tr>
      <w:tr w14:paraId="26DA5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8" w:type="dxa"/>
            <w:vAlign w:val="center"/>
          </w:tcPr>
          <w:p w14:paraId="52FB567C">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意外伤害医疗门诊</w:t>
            </w:r>
          </w:p>
        </w:tc>
        <w:tc>
          <w:tcPr>
            <w:tcW w:w="2410" w:type="dxa"/>
            <w:vAlign w:val="center"/>
          </w:tcPr>
          <w:p w14:paraId="6F91E476">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不低于3万/人</w:t>
            </w:r>
          </w:p>
        </w:tc>
        <w:tc>
          <w:tcPr>
            <w:tcW w:w="4678" w:type="dxa"/>
            <w:vAlign w:val="center"/>
          </w:tcPr>
          <w:p w14:paraId="2D979CFD">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因意外伤害造成门诊。对检查费不得有赔付限制。</w:t>
            </w:r>
          </w:p>
        </w:tc>
      </w:tr>
      <w:tr w14:paraId="6A2E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8" w:type="dxa"/>
            <w:vAlign w:val="center"/>
          </w:tcPr>
          <w:p w14:paraId="0100A6B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意外伤害残疾/身故</w:t>
            </w:r>
          </w:p>
        </w:tc>
        <w:tc>
          <w:tcPr>
            <w:tcW w:w="2410" w:type="dxa"/>
            <w:vAlign w:val="center"/>
          </w:tcPr>
          <w:p w14:paraId="7CE12DBD">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不低于20万/人</w:t>
            </w:r>
          </w:p>
        </w:tc>
        <w:tc>
          <w:tcPr>
            <w:tcW w:w="4678" w:type="dxa"/>
            <w:vAlign w:val="center"/>
          </w:tcPr>
          <w:p w14:paraId="093C172F">
            <w:pPr>
              <w:widowControl/>
              <w:rPr>
                <w:rFonts w:hint="eastAsia" w:ascii="宋体" w:hAnsi="宋体" w:eastAsia="宋体" w:cs="宋体"/>
                <w:color w:val="auto"/>
                <w:sz w:val="24"/>
                <w:szCs w:val="24"/>
              </w:rPr>
            </w:pPr>
            <w:r>
              <w:rPr>
                <w:rFonts w:hint="eastAsia" w:ascii="宋体" w:hAnsi="宋体" w:eastAsia="宋体" w:cs="宋体"/>
                <w:color w:val="auto"/>
                <w:sz w:val="24"/>
                <w:szCs w:val="24"/>
              </w:rPr>
              <w:t>被保险人遭受意外伤害造成身故全额赔付、造成残疾按残疾等级赔付。</w:t>
            </w:r>
          </w:p>
        </w:tc>
      </w:tr>
      <w:tr w14:paraId="57E74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8" w:type="dxa"/>
            <w:vAlign w:val="center"/>
          </w:tcPr>
          <w:p w14:paraId="56CBF54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住院补贴</w:t>
            </w:r>
          </w:p>
        </w:tc>
        <w:tc>
          <w:tcPr>
            <w:tcW w:w="2410" w:type="dxa"/>
            <w:vAlign w:val="center"/>
          </w:tcPr>
          <w:p w14:paraId="011C1EF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不低于20元/天</w:t>
            </w:r>
          </w:p>
        </w:tc>
        <w:tc>
          <w:tcPr>
            <w:tcW w:w="4678" w:type="dxa"/>
            <w:vAlign w:val="center"/>
          </w:tcPr>
          <w:p w14:paraId="2A0C976D">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不少于180天 。 </w:t>
            </w:r>
          </w:p>
        </w:tc>
      </w:tr>
      <w:tr w14:paraId="69F0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8" w:type="dxa"/>
            <w:vAlign w:val="center"/>
          </w:tcPr>
          <w:p w14:paraId="56CF60B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疾病身故</w:t>
            </w:r>
          </w:p>
        </w:tc>
        <w:tc>
          <w:tcPr>
            <w:tcW w:w="2410" w:type="dxa"/>
            <w:vAlign w:val="center"/>
          </w:tcPr>
          <w:p w14:paraId="13A7E24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不低于8万/人</w:t>
            </w:r>
          </w:p>
        </w:tc>
        <w:tc>
          <w:tcPr>
            <w:tcW w:w="4678" w:type="dxa"/>
            <w:vAlign w:val="center"/>
          </w:tcPr>
          <w:p w14:paraId="759662C0">
            <w:pPr>
              <w:widowControl/>
              <w:rPr>
                <w:rFonts w:hint="eastAsia" w:ascii="宋体" w:hAnsi="宋体" w:eastAsia="宋体" w:cs="宋体"/>
                <w:color w:val="auto"/>
                <w:sz w:val="24"/>
                <w:szCs w:val="24"/>
              </w:rPr>
            </w:pPr>
            <w:r>
              <w:rPr>
                <w:rFonts w:hint="eastAsia" w:ascii="宋体" w:hAnsi="宋体" w:eastAsia="宋体" w:cs="宋体"/>
                <w:color w:val="auto"/>
                <w:sz w:val="24"/>
                <w:szCs w:val="24"/>
              </w:rPr>
              <w:t>疾病身故全额赔付。</w:t>
            </w:r>
          </w:p>
        </w:tc>
      </w:tr>
      <w:tr w14:paraId="0D477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6" w:type="dxa"/>
            <w:gridSpan w:val="3"/>
            <w:vAlign w:val="center"/>
          </w:tcPr>
          <w:p w14:paraId="7948C1C7">
            <w:pPr>
              <w:keepNext w:val="0"/>
              <w:keepLines w:val="0"/>
              <w:pageBreakBefore w:val="0"/>
              <w:kinsoku/>
              <w:overflowPunct/>
              <w:topLinePunct w:val="0"/>
              <w:bidi w:val="0"/>
              <w:spacing w:line="300" w:lineRule="auto"/>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注：如技术要求中未特别注明需执行的国家相关标准、行业标准、地方标准或者其他标准、规范，则统一执行最新标准、规范。</w:t>
            </w:r>
          </w:p>
        </w:tc>
      </w:tr>
    </w:tbl>
    <w:p w14:paraId="5A23D150">
      <w:pPr>
        <w:keepNext w:val="0"/>
        <w:keepLines w:val="0"/>
        <w:pageBreakBefore w:val="0"/>
        <w:kinsoku/>
        <w:overflowPunct/>
        <w:topLinePunct w:val="0"/>
        <w:bidi w:val="0"/>
        <w:spacing w:line="300" w:lineRule="auto"/>
        <w:ind w:firstLine="472" w:firstLineChars="196"/>
        <w:textAlignment w:val="auto"/>
        <w:rPr>
          <w:rFonts w:hint="eastAsia" w:ascii="宋体" w:hAnsi="宋体" w:eastAsia="宋体" w:cs="宋体"/>
          <w:color w:val="auto"/>
          <w:sz w:val="24"/>
          <w:szCs w:val="24"/>
          <w:lang w:eastAsia="zh-CN"/>
        </w:rPr>
      </w:pPr>
      <w:r>
        <w:rPr>
          <w:rFonts w:hint="eastAsia" w:ascii="宋体" w:hAnsi="宋体" w:eastAsia="宋体" w:cs="Times New Roman"/>
          <w:b/>
          <w:bCs w:val="0"/>
          <w:color w:val="auto"/>
          <w:sz w:val="24"/>
          <w:szCs w:val="24"/>
          <w:highlight w:val="none"/>
          <w:lang w:val="en-US" w:eastAsia="zh-CN"/>
        </w:rPr>
        <w:t>注：</w:t>
      </w:r>
      <w:r>
        <w:rPr>
          <w:rFonts w:ascii="宋体" w:hAnsi="宋体" w:eastAsia="宋体" w:cs="Times New Roman"/>
          <w:b/>
          <w:bCs w:val="0"/>
          <w:color w:val="auto"/>
          <w:sz w:val="24"/>
          <w:szCs w:val="24"/>
          <w:highlight w:val="none"/>
        </w:rPr>
        <w:t>技术文件中提供相关承诺函，格式自拟，不提供或未实质响应则作无效投标处理</w:t>
      </w:r>
      <w:r>
        <w:rPr>
          <w:rFonts w:hint="eastAsia" w:ascii="宋体" w:hAnsi="宋体" w:eastAsia="宋体" w:cs="Times New Roman"/>
          <w:b/>
          <w:bCs w:val="0"/>
          <w:color w:val="auto"/>
          <w:sz w:val="24"/>
          <w:szCs w:val="24"/>
          <w:highlight w:val="none"/>
          <w:lang w:eastAsia="zh-CN"/>
        </w:rPr>
        <w:t>。</w:t>
      </w:r>
    </w:p>
    <w:p w14:paraId="0C775BA5">
      <w:pPr>
        <w:keepNext w:val="0"/>
        <w:keepLines w:val="0"/>
        <w:pageBreakBefore w:val="0"/>
        <w:kinsoku/>
        <w:overflowPunct/>
        <w:topLinePunct w:val="0"/>
        <w:bidi w:val="0"/>
        <w:spacing w:line="30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（二）服务</w:t>
      </w:r>
      <w:r>
        <w:rPr>
          <w:rFonts w:hint="eastAsia" w:ascii="宋体" w:hAnsi="宋体" w:eastAsia="宋体" w:cs="宋体"/>
          <w:b/>
          <w:color w:val="auto"/>
          <w:sz w:val="24"/>
          <w:szCs w:val="24"/>
        </w:rPr>
        <w:t>要求</w:t>
      </w:r>
    </w:p>
    <w:p w14:paraId="55894AC2">
      <w:pPr>
        <w:keepNext w:val="0"/>
        <w:keepLines w:val="0"/>
        <w:pageBreakBefore w:val="0"/>
        <w:kinsoku/>
        <w:overflowPunct/>
        <w:topLinePunct w:val="0"/>
        <w:bidi w:val="0"/>
        <w:spacing w:line="30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.保险生效日以新生入学时间为准。成交方在保险方案书中应明确各险种受益人的权益、收费、服务措施，并对保险费构成费率予以说明。</w:t>
      </w:r>
    </w:p>
    <w:p w14:paraId="4A9B467F">
      <w:pPr>
        <w:keepNext w:val="0"/>
        <w:keepLines w:val="0"/>
        <w:pageBreakBefore w:val="0"/>
        <w:kinsoku/>
        <w:overflowPunct/>
        <w:topLinePunct w:val="0"/>
        <w:bidi w:val="0"/>
        <w:spacing w:line="30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.中标人需在校方教学期间，上门受理案件，并在最短时间内将赔付金额发给学生。</w:t>
      </w:r>
    </w:p>
    <w:p w14:paraId="3EE8559D">
      <w:pPr>
        <w:keepNext w:val="0"/>
        <w:keepLines w:val="0"/>
        <w:pageBreakBefore w:val="0"/>
        <w:kinsoku/>
        <w:overflowPunct/>
        <w:topLinePunct w:val="0"/>
        <w:bidi w:val="0"/>
        <w:spacing w:line="30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.中标人在受理学生理赔案件30天内需拒赔回复或进行理赔。</w:t>
      </w:r>
    </w:p>
    <w:p w14:paraId="11180022">
      <w:pPr>
        <w:keepNext w:val="0"/>
        <w:keepLines w:val="0"/>
        <w:pageBreakBefore w:val="0"/>
        <w:kinsoku/>
        <w:overflowPunct/>
        <w:topLinePunct w:val="0"/>
        <w:bidi w:val="0"/>
        <w:spacing w:line="30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.保险工作每学期结束，保险公司需提供学生保险理赔汇总情况表。</w:t>
      </w:r>
    </w:p>
    <w:p w14:paraId="6B0DBBC7">
      <w:pPr>
        <w:keepNext w:val="0"/>
        <w:keepLines w:val="0"/>
        <w:pageBreakBefore w:val="0"/>
        <w:kinsoku/>
        <w:overflowPunct/>
        <w:topLinePunct w:val="0"/>
        <w:bidi w:val="0"/>
        <w:spacing w:line="30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.理赔应根据方便、快捷为原则，理赔时应一次性告知所需材料并应在材料提交后根据理赔金额在30天内赔偿到位。</w:t>
      </w:r>
    </w:p>
    <w:p w14:paraId="55861B17">
      <w:pPr>
        <w:keepNext w:val="0"/>
        <w:keepLines w:val="0"/>
        <w:pageBreakBefore w:val="0"/>
        <w:kinsoku/>
        <w:overflowPunct/>
        <w:topLinePunct w:val="0"/>
        <w:bidi w:val="0"/>
        <w:spacing w:line="30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.投标响应方必须清楚告之保险生效日期和保单出具情况。</w:t>
      </w:r>
    </w:p>
    <w:p w14:paraId="4F005987">
      <w:pPr>
        <w:keepNext w:val="0"/>
        <w:keepLines w:val="0"/>
        <w:pageBreakBefore w:val="0"/>
        <w:kinsoku/>
        <w:overflowPunct/>
        <w:topLinePunct w:val="0"/>
        <w:bidi w:val="0"/>
        <w:spacing w:line="30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.其它服务承诺，如：对贫困学生提供支持，对学生工作提供支持等。</w:t>
      </w:r>
    </w:p>
    <w:p w14:paraId="778CBCF0">
      <w:pPr>
        <w:keepNext w:val="0"/>
        <w:keepLines w:val="0"/>
        <w:pageBreakBefore w:val="0"/>
        <w:kinsoku/>
        <w:overflowPunct/>
        <w:topLinePunct w:val="0"/>
        <w:bidi w:val="0"/>
        <w:spacing w:line="300" w:lineRule="auto"/>
        <w:ind w:firstLine="470" w:firstLineChars="196"/>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.投标响应方案中必须明确意外身故、疾病身故、意外伤残、意外医疗、住院医疗等项目的保额以及免赔率等内容。</w:t>
      </w:r>
      <w:r>
        <w:rPr>
          <w:rFonts w:ascii="宋体" w:hAnsi="宋体" w:eastAsia="宋体" w:cs="Times New Roman"/>
          <w:b/>
          <w:bCs w:val="0"/>
          <w:color w:val="auto"/>
          <w:sz w:val="24"/>
          <w:szCs w:val="24"/>
          <w:highlight w:val="none"/>
        </w:rPr>
        <w:t>（</w:t>
      </w:r>
      <w:r>
        <w:rPr>
          <w:rFonts w:hint="eastAsia" w:ascii="宋体" w:hAnsi="宋体" w:eastAsia="宋体" w:cs="Times New Roman"/>
          <w:b/>
          <w:bCs w:val="0"/>
          <w:color w:val="auto"/>
          <w:sz w:val="24"/>
          <w:szCs w:val="24"/>
          <w:highlight w:val="none"/>
          <w:lang w:val="en-US" w:eastAsia="zh-CN"/>
        </w:rPr>
        <w:t>注：</w:t>
      </w:r>
      <w:r>
        <w:rPr>
          <w:rFonts w:ascii="宋体" w:hAnsi="宋体" w:eastAsia="宋体" w:cs="Times New Roman"/>
          <w:b/>
          <w:bCs w:val="0"/>
          <w:color w:val="auto"/>
          <w:sz w:val="24"/>
          <w:szCs w:val="24"/>
          <w:highlight w:val="none"/>
        </w:rPr>
        <w:t>技术文件中提供相关承诺函，格式自拟，不提供或未实质响应则作无效投标处理</w:t>
      </w:r>
      <w:r>
        <w:rPr>
          <w:rFonts w:hint="eastAsia" w:ascii="宋体" w:hAnsi="宋体" w:eastAsia="宋体" w:cs="Times New Roman"/>
          <w:b/>
          <w:bCs w:val="0"/>
          <w:color w:val="auto"/>
          <w:sz w:val="24"/>
          <w:szCs w:val="24"/>
          <w:highlight w:val="none"/>
          <w:lang w:eastAsia="zh-CN"/>
        </w:rPr>
        <w:t>。</w:t>
      </w:r>
      <w:r>
        <w:rPr>
          <w:rFonts w:ascii="宋体" w:hAnsi="宋体" w:eastAsia="宋体" w:cs="Times New Roman"/>
          <w:b/>
          <w:bCs w:val="0"/>
          <w:color w:val="auto"/>
          <w:sz w:val="24"/>
          <w:szCs w:val="24"/>
          <w:highlight w:val="none"/>
        </w:rPr>
        <w:t>）</w:t>
      </w:r>
    </w:p>
    <w:p w14:paraId="79570D46">
      <w:pPr>
        <w:keepNext w:val="0"/>
        <w:keepLines w:val="0"/>
        <w:pageBreakBefore w:val="0"/>
        <w:kinsoku/>
        <w:overflowPunct/>
        <w:topLinePunct w:val="0"/>
        <w:bidi w:val="0"/>
        <w:spacing w:line="30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.投标响应方案中明确免责条款。</w:t>
      </w:r>
    </w:p>
    <w:p w14:paraId="4417A184">
      <w:pPr>
        <w:keepNext w:val="0"/>
        <w:keepLines w:val="0"/>
        <w:pageBreakBefore w:val="0"/>
        <w:kinsoku/>
        <w:overflowPunct/>
        <w:topLinePunct w:val="0"/>
        <w:bidi w:val="0"/>
        <w:spacing w:line="300" w:lineRule="auto"/>
        <w:ind w:firstLine="482" w:firstLineChars="20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rPr>
        <w:t>校方责任险</w:t>
      </w:r>
    </w:p>
    <w:p w14:paraId="55CC8586">
      <w:pPr>
        <w:keepNext w:val="0"/>
        <w:keepLines w:val="0"/>
        <w:pageBreakBefore w:val="0"/>
        <w:kinsoku/>
        <w:overflowPunct/>
        <w:topLinePunct w:val="0"/>
        <w:bidi w:val="0"/>
        <w:spacing w:line="30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rPr>
        <w:t>）校方责任险</w:t>
      </w:r>
      <w:r>
        <w:rPr>
          <w:rFonts w:hint="eastAsia" w:ascii="宋体" w:hAnsi="宋体" w:eastAsia="宋体" w:cs="宋体"/>
          <w:b/>
          <w:color w:val="auto"/>
          <w:sz w:val="24"/>
          <w:szCs w:val="24"/>
          <w:lang w:val="en-US" w:eastAsia="zh-CN"/>
        </w:rPr>
        <w:t>额度</w:t>
      </w:r>
      <w:r>
        <w:rPr>
          <w:rFonts w:hint="eastAsia" w:ascii="宋体" w:hAnsi="宋体" w:eastAsia="宋体" w:cs="宋体"/>
          <w:b/>
          <w:color w:val="auto"/>
          <w:sz w:val="24"/>
          <w:szCs w:val="24"/>
        </w:rPr>
        <w:t>要求（基本要求，投标人可高于采购人要求的最低保险金额）</w:t>
      </w:r>
    </w:p>
    <w:tbl>
      <w:tblPr>
        <w:tblStyle w:val="12"/>
        <w:tblW w:w="833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60"/>
        <w:gridCol w:w="2693"/>
        <w:gridCol w:w="2984"/>
      </w:tblGrid>
      <w:tr w14:paraId="0F8DD3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60" w:type="dxa"/>
            <w:vAlign w:val="center"/>
          </w:tcPr>
          <w:p w14:paraId="46293367">
            <w:pPr>
              <w:keepNext w:val="0"/>
              <w:keepLines w:val="0"/>
              <w:pageBreakBefore w:val="0"/>
              <w:kinsoku/>
              <w:overflowPunct/>
              <w:topLinePunct w:val="0"/>
              <w:bidi w:val="0"/>
              <w:snapToGrid w:val="0"/>
              <w:spacing w:line="24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保障项目</w:t>
            </w:r>
          </w:p>
        </w:tc>
        <w:tc>
          <w:tcPr>
            <w:tcW w:w="2693" w:type="dxa"/>
            <w:vAlign w:val="center"/>
          </w:tcPr>
          <w:p w14:paraId="25602759">
            <w:pPr>
              <w:keepNext w:val="0"/>
              <w:keepLines w:val="0"/>
              <w:pageBreakBefore w:val="0"/>
              <w:widowControl/>
              <w:kinsoku/>
              <w:overflowPunct/>
              <w:topLinePunct w:val="0"/>
              <w:bidi w:val="0"/>
              <w:snapToGrid w:val="0"/>
              <w:spacing w:line="24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每次事故个人赔偿额度</w:t>
            </w:r>
          </w:p>
        </w:tc>
        <w:tc>
          <w:tcPr>
            <w:tcW w:w="2984" w:type="dxa"/>
            <w:vAlign w:val="center"/>
          </w:tcPr>
          <w:p w14:paraId="093B3CC7">
            <w:pPr>
              <w:keepNext w:val="0"/>
              <w:keepLines w:val="0"/>
              <w:pageBreakBefore w:val="0"/>
              <w:widowControl/>
              <w:kinsoku/>
              <w:overflowPunct/>
              <w:topLinePunct w:val="0"/>
              <w:bidi w:val="0"/>
              <w:snapToGrid w:val="0"/>
              <w:spacing w:line="30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保险对象</w:t>
            </w:r>
          </w:p>
        </w:tc>
      </w:tr>
      <w:tr w14:paraId="20CE15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60" w:type="dxa"/>
            <w:vAlign w:val="center"/>
          </w:tcPr>
          <w:p w14:paraId="247F0B5C">
            <w:pPr>
              <w:keepNext w:val="0"/>
              <w:keepLines w:val="0"/>
              <w:pageBreakBefore w:val="0"/>
              <w:kinsoku/>
              <w:overflowPunct/>
              <w:topLinePunct w:val="0"/>
              <w:bidi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校方责任险</w:t>
            </w:r>
          </w:p>
        </w:tc>
        <w:tc>
          <w:tcPr>
            <w:tcW w:w="2693" w:type="dxa"/>
            <w:vAlign w:val="center"/>
          </w:tcPr>
          <w:p w14:paraId="10AA7660">
            <w:pPr>
              <w:keepNext w:val="0"/>
              <w:keepLines w:val="0"/>
              <w:pageBreakBefore w:val="0"/>
              <w:kinsoku/>
              <w:overflowPunct/>
              <w:topLinePunct w:val="0"/>
              <w:bidi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不低于80万</w:t>
            </w:r>
          </w:p>
        </w:tc>
        <w:tc>
          <w:tcPr>
            <w:tcW w:w="2984" w:type="dxa"/>
            <w:vMerge w:val="restart"/>
            <w:vAlign w:val="center"/>
          </w:tcPr>
          <w:p w14:paraId="5E4D4D82">
            <w:pPr>
              <w:keepNext w:val="0"/>
              <w:keepLines w:val="0"/>
              <w:pageBreakBefore w:val="0"/>
              <w:kinsoku/>
              <w:overflowPunct/>
              <w:topLinePunct w:val="0"/>
              <w:bidi w:val="0"/>
              <w:snapToGrid w:val="0"/>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中标服务年限内的</w:t>
            </w:r>
            <w:r>
              <w:rPr>
                <w:rFonts w:hint="eastAsia" w:ascii="宋体" w:hAnsi="宋体" w:eastAsia="宋体" w:cs="宋体"/>
                <w:color w:val="auto"/>
                <w:sz w:val="24"/>
                <w:szCs w:val="24"/>
              </w:rPr>
              <w:t>在校注册的全体学生</w:t>
            </w:r>
          </w:p>
        </w:tc>
      </w:tr>
      <w:tr w14:paraId="7EADD9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60" w:type="dxa"/>
            <w:vAlign w:val="center"/>
          </w:tcPr>
          <w:p w14:paraId="3441EEA3">
            <w:pPr>
              <w:keepNext w:val="0"/>
              <w:keepLines w:val="0"/>
              <w:pageBreakBefore w:val="0"/>
              <w:kinsoku/>
              <w:overflowPunct/>
              <w:topLinePunct w:val="0"/>
              <w:bidi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无过失责任险</w:t>
            </w:r>
          </w:p>
        </w:tc>
        <w:tc>
          <w:tcPr>
            <w:tcW w:w="2693" w:type="dxa"/>
            <w:vAlign w:val="center"/>
          </w:tcPr>
          <w:p w14:paraId="0F263F5C">
            <w:pPr>
              <w:keepNext w:val="0"/>
              <w:keepLines w:val="0"/>
              <w:pageBreakBefore w:val="0"/>
              <w:widowControl/>
              <w:kinsoku/>
              <w:overflowPunct/>
              <w:topLinePunct w:val="0"/>
              <w:bidi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不低于10万</w:t>
            </w:r>
          </w:p>
        </w:tc>
        <w:tc>
          <w:tcPr>
            <w:tcW w:w="2984" w:type="dxa"/>
            <w:vMerge w:val="continue"/>
            <w:vAlign w:val="center"/>
          </w:tcPr>
          <w:p w14:paraId="5063E9D9">
            <w:pPr>
              <w:keepNext w:val="0"/>
              <w:keepLines w:val="0"/>
              <w:pageBreakBefore w:val="0"/>
              <w:kinsoku/>
              <w:overflowPunct/>
              <w:topLinePunct w:val="0"/>
              <w:bidi w:val="0"/>
              <w:snapToGrid w:val="0"/>
              <w:spacing w:line="300" w:lineRule="auto"/>
              <w:jc w:val="center"/>
              <w:textAlignment w:val="auto"/>
              <w:rPr>
                <w:rFonts w:hint="eastAsia" w:ascii="宋体" w:hAnsi="宋体" w:eastAsia="宋体" w:cs="宋体"/>
                <w:color w:val="auto"/>
                <w:sz w:val="24"/>
                <w:szCs w:val="24"/>
              </w:rPr>
            </w:pPr>
          </w:p>
        </w:tc>
      </w:tr>
      <w:tr w14:paraId="079C6D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60" w:type="dxa"/>
            <w:vAlign w:val="center"/>
          </w:tcPr>
          <w:p w14:paraId="320EF78A">
            <w:pPr>
              <w:keepNext w:val="0"/>
              <w:keepLines w:val="0"/>
              <w:pageBreakBefore w:val="0"/>
              <w:kinsoku/>
              <w:overflowPunct/>
              <w:topLinePunct w:val="0"/>
              <w:bidi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附加自然灾害险</w:t>
            </w:r>
          </w:p>
        </w:tc>
        <w:tc>
          <w:tcPr>
            <w:tcW w:w="2693" w:type="dxa"/>
            <w:vAlign w:val="center"/>
          </w:tcPr>
          <w:p w14:paraId="2927FEFA">
            <w:pPr>
              <w:keepNext w:val="0"/>
              <w:keepLines w:val="0"/>
              <w:pageBreakBefore w:val="0"/>
              <w:widowControl/>
              <w:kinsoku/>
              <w:overflowPunct/>
              <w:topLinePunct w:val="0"/>
              <w:bidi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不低于20万</w:t>
            </w:r>
          </w:p>
        </w:tc>
        <w:tc>
          <w:tcPr>
            <w:tcW w:w="2984" w:type="dxa"/>
            <w:vMerge w:val="continue"/>
            <w:vAlign w:val="center"/>
          </w:tcPr>
          <w:p w14:paraId="3377C2E0">
            <w:pPr>
              <w:keepNext w:val="0"/>
              <w:keepLines w:val="0"/>
              <w:pageBreakBefore w:val="0"/>
              <w:widowControl/>
              <w:kinsoku/>
              <w:overflowPunct/>
              <w:topLinePunct w:val="0"/>
              <w:bidi w:val="0"/>
              <w:snapToGrid w:val="0"/>
              <w:spacing w:line="300" w:lineRule="auto"/>
              <w:jc w:val="center"/>
              <w:textAlignment w:val="auto"/>
              <w:rPr>
                <w:rFonts w:hint="eastAsia" w:ascii="宋体" w:hAnsi="宋体" w:eastAsia="宋体" w:cs="宋体"/>
                <w:color w:val="auto"/>
                <w:sz w:val="24"/>
                <w:szCs w:val="24"/>
              </w:rPr>
            </w:pPr>
          </w:p>
        </w:tc>
      </w:tr>
      <w:tr w14:paraId="2C85AF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37" w:type="dxa"/>
            <w:gridSpan w:val="3"/>
            <w:vAlign w:val="center"/>
          </w:tcPr>
          <w:p w14:paraId="62660254">
            <w:pPr>
              <w:keepNext w:val="0"/>
              <w:keepLines w:val="0"/>
              <w:pageBreakBefore w:val="0"/>
              <w:kinsoku/>
              <w:overflowPunct/>
              <w:topLinePunct w:val="0"/>
              <w:bidi w:val="0"/>
              <w:spacing w:line="300" w:lineRule="auto"/>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注：如技术要求中未特别注明需执行的国家相关标准、行业标准、地方标准或者其他标准、规范，则统一执行最新标准、规范。</w:t>
            </w:r>
          </w:p>
        </w:tc>
      </w:tr>
    </w:tbl>
    <w:p w14:paraId="4676A652">
      <w:pPr>
        <w:keepNext w:val="0"/>
        <w:keepLines w:val="0"/>
        <w:pageBreakBefore w:val="0"/>
        <w:kinsoku/>
        <w:overflowPunct/>
        <w:topLinePunct w:val="0"/>
        <w:bidi w:val="0"/>
        <w:spacing w:line="300" w:lineRule="auto"/>
        <w:ind w:firstLine="472" w:firstLineChars="196"/>
        <w:textAlignment w:val="auto"/>
        <w:rPr>
          <w:rFonts w:hint="eastAsia" w:ascii="宋体" w:hAnsi="宋体" w:eastAsia="宋体" w:cs="宋体"/>
          <w:color w:val="auto"/>
          <w:sz w:val="24"/>
          <w:szCs w:val="24"/>
          <w:lang w:eastAsia="zh-CN"/>
        </w:rPr>
      </w:pPr>
      <w:r>
        <w:rPr>
          <w:rFonts w:hint="eastAsia" w:ascii="宋体" w:hAnsi="宋体" w:eastAsia="宋体" w:cs="Times New Roman"/>
          <w:b/>
          <w:bCs w:val="0"/>
          <w:color w:val="auto"/>
          <w:sz w:val="24"/>
          <w:szCs w:val="24"/>
          <w:highlight w:val="none"/>
          <w:lang w:val="en-US" w:eastAsia="zh-CN"/>
        </w:rPr>
        <w:t>注：</w:t>
      </w:r>
      <w:r>
        <w:rPr>
          <w:rFonts w:ascii="宋体" w:hAnsi="宋体" w:eastAsia="宋体" w:cs="Times New Roman"/>
          <w:b/>
          <w:bCs w:val="0"/>
          <w:color w:val="auto"/>
          <w:sz w:val="24"/>
          <w:szCs w:val="24"/>
          <w:highlight w:val="none"/>
        </w:rPr>
        <w:t>技术文件中提供相关承诺函，格式自拟，不提供或未实质响应则作无效投标处理</w:t>
      </w:r>
      <w:r>
        <w:rPr>
          <w:rFonts w:hint="eastAsia" w:ascii="宋体" w:hAnsi="宋体" w:eastAsia="宋体" w:cs="Times New Roman"/>
          <w:b/>
          <w:bCs w:val="0"/>
          <w:color w:val="auto"/>
          <w:sz w:val="24"/>
          <w:szCs w:val="24"/>
          <w:highlight w:val="none"/>
          <w:lang w:eastAsia="zh-CN"/>
        </w:rPr>
        <w:t>。</w:t>
      </w:r>
    </w:p>
    <w:p w14:paraId="4272C223">
      <w:pPr>
        <w:keepNext w:val="0"/>
        <w:keepLines w:val="0"/>
        <w:pageBreakBefore w:val="0"/>
        <w:kinsoku/>
        <w:overflowPunct/>
        <w:topLinePunct w:val="0"/>
        <w:bidi w:val="0"/>
        <w:spacing w:line="300" w:lineRule="auto"/>
        <w:ind w:firstLine="405"/>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服务</w:t>
      </w:r>
      <w:r>
        <w:rPr>
          <w:rFonts w:hint="eastAsia" w:ascii="宋体" w:hAnsi="宋体" w:eastAsia="宋体" w:cs="宋体"/>
          <w:b/>
          <w:color w:val="auto"/>
          <w:sz w:val="24"/>
          <w:szCs w:val="24"/>
        </w:rPr>
        <w:t>要求</w:t>
      </w:r>
    </w:p>
    <w:p w14:paraId="37282283">
      <w:pPr>
        <w:keepNext w:val="0"/>
        <w:keepLines w:val="0"/>
        <w:pageBreakBefore w:val="0"/>
        <w:kinsoku/>
        <w:overflowPunct/>
        <w:topLinePunct w:val="0"/>
        <w:bidi w:val="0"/>
        <w:spacing w:line="30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.接到报案后，24小时内反应，理赔应根据方便、快捷为原则，理赔时应一次性告知所需材料，材料提交后根据理赔金额应在7个工作日内赔偿到位。</w:t>
      </w:r>
    </w:p>
    <w:p w14:paraId="13A45E46">
      <w:pPr>
        <w:keepNext w:val="0"/>
        <w:keepLines w:val="0"/>
        <w:pageBreakBefore w:val="0"/>
        <w:kinsoku/>
        <w:overflowPunct/>
        <w:topLinePunct w:val="0"/>
        <w:bidi w:val="0"/>
        <w:spacing w:line="30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.新增学生完成注册后自动纳入保险保障范围。</w:t>
      </w:r>
    </w:p>
    <w:p w14:paraId="3B67BCEC">
      <w:pPr>
        <w:keepNext w:val="0"/>
        <w:keepLines w:val="0"/>
        <w:pageBreakBefore w:val="0"/>
        <w:kinsoku/>
        <w:overflowPunct/>
        <w:topLinePunct w:val="0"/>
        <w:bidi w:val="0"/>
        <w:spacing w:line="30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.来校进行校际交流活动的外校生在参保学校所在地交流期间发生事故的参照本保险的注册学生予以扩展负责。</w:t>
      </w:r>
    </w:p>
    <w:p w14:paraId="7F0CCC5D">
      <w:pPr>
        <w:keepNext w:val="0"/>
        <w:keepLines w:val="0"/>
        <w:pageBreakBefore w:val="0"/>
        <w:widowControl/>
        <w:tabs>
          <w:tab w:val="left" w:pos="425"/>
          <w:tab w:val="left" w:pos="747"/>
        </w:tabs>
        <w:kinsoku/>
        <w:overflowPunct/>
        <w:topLinePunct w:val="0"/>
        <w:bidi w:val="0"/>
        <w:spacing w:line="300" w:lineRule="auto"/>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（三）服务期限</w:t>
      </w:r>
    </w:p>
    <w:p w14:paraId="45530D6F">
      <w:pPr>
        <w:keepNext w:val="0"/>
        <w:keepLines w:val="0"/>
        <w:pageBreakBefore w:val="0"/>
        <w:kinsoku/>
        <w:overflowPunct/>
        <w:topLinePunct w:val="0"/>
        <w:bidi w:val="0"/>
        <w:spacing w:line="300" w:lineRule="auto"/>
        <w:ind w:firstLine="480" w:firstLineChars="200"/>
        <w:textAlignment w:val="auto"/>
        <w:rPr>
          <w:rFonts w:hint="eastAsia" w:ascii="宋体" w:hAnsi="宋体" w:eastAsia="宋体" w:cs="宋体"/>
          <w:color w:val="auto"/>
          <w:sz w:val="24"/>
          <w:vertAlign w:val="baseline"/>
          <w:lang w:val="en-US" w:eastAsia="zh-CN"/>
        </w:rPr>
      </w:pPr>
      <w:r>
        <w:rPr>
          <w:rFonts w:hint="eastAsia" w:ascii="宋体" w:hAnsi="宋体" w:cs="宋体"/>
          <w:color w:val="auto"/>
          <w:sz w:val="24"/>
          <w:vertAlign w:val="baseline"/>
          <w:lang w:val="en-US" w:eastAsia="zh-CN"/>
        </w:rPr>
        <w:t>服务期限为</w:t>
      </w:r>
      <w:r>
        <w:rPr>
          <w:rFonts w:hint="eastAsia" w:ascii="宋体" w:hAnsi="宋体" w:eastAsia="宋体" w:cs="宋体"/>
          <w:color w:val="auto"/>
          <w:sz w:val="24"/>
          <w:vertAlign w:val="baseline"/>
          <w:lang w:val="en-US" w:eastAsia="zh-CN"/>
        </w:rPr>
        <w:t>2025年9月1日—2026年8月31日。服务期满，经采购</w:t>
      </w:r>
      <w:r>
        <w:rPr>
          <w:rFonts w:hint="eastAsia" w:ascii="宋体" w:hAnsi="宋体" w:cs="宋体"/>
          <w:color w:val="auto"/>
          <w:sz w:val="24"/>
          <w:vertAlign w:val="baseline"/>
          <w:lang w:val="en-US" w:eastAsia="zh-CN"/>
        </w:rPr>
        <w:t>方</w:t>
      </w:r>
      <w:r>
        <w:rPr>
          <w:rFonts w:hint="eastAsia" w:ascii="宋体" w:hAnsi="宋体" w:eastAsia="宋体" w:cs="宋体"/>
          <w:color w:val="auto"/>
          <w:sz w:val="24"/>
          <w:vertAlign w:val="baseline"/>
          <w:lang w:val="en-US" w:eastAsia="zh-CN"/>
        </w:rPr>
        <w:t>批准可续签，每次续签期限最长为1年，最多续签2次。</w:t>
      </w:r>
    </w:p>
    <w:p w14:paraId="51A03646">
      <w:pPr>
        <w:keepNext w:val="0"/>
        <w:keepLines w:val="0"/>
        <w:pageBreakBefore w:val="0"/>
        <w:kinsoku/>
        <w:overflowPunct/>
        <w:topLinePunct w:val="0"/>
        <w:bidi w:val="0"/>
        <w:spacing w:line="30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其中：</w:t>
      </w:r>
    </w:p>
    <w:p w14:paraId="102E8E05">
      <w:pPr>
        <w:keepNext w:val="0"/>
        <w:keepLines w:val="0"/>
        <w:pageBreakBefore w:val="0"/>
        <w:kinsoku/>
        <w:overflowPunct/>
        <w:topLinePunct w:val="0"/>
        <w:bidi w:val="0"/>
        <w:spacing w:line="30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大</w:t>
      </w:r>
      <w:r>
        <w:rPr>
          <w:rFonts w:hint="eastAsia" w:ascii="宋体" w:hAnsi="宋体" w:eastAsia="宋体" w:cs="宋体"/>
          <w:color w:val="auto"/>
          <w:sz w:val="24"/>
          <w:szCs w:val="24"/>
          <w:lang w:val="en-US" w:eastAsia="zh-CN"/>
        </w:rPr>
        <w:t>学生商业保险</w:t>
      </w:r>
    </w:p>
    <w:p w14:paraId="559C3B6B">
      <w:pPr>
        <w:keepNext w:val="0"/>
        <w:keepLines w:val="0"/>
        <w:pageBreakBefore w:val="0"/>
        <w:kinsoku/>
        <w:overflowPunct/>
        <w:topLinePunct w:val="0"/>
        <w:bidi w:val="0"/>
        <w:spacing w:line="30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服务对象：2025-2026学年在校注册的全体学生；保险起止日期：以保险凭证约定为准。</w:t>
      </w:r>
    </w:p>
    <w:p w14:paraId="5D9EC7C7">
      <w:pPr>
        <w:keepNext w:val="0"/>
        <w:keepLines w:val="0"/>
        <w:pageBreakBefore w:val="0"/>
        <w:kinsoku/>
        <w:overflowPunct/>
        <w:topLinePunct w:val="0"/>
        <w:bidi w:val="0"/>
        <w:spacing w:line="30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2.校方责任险</w:t>
      </w:r>
    </w:p>
    <w:p w14:paraId="100EB642">
      <w:pPr>
        <w:keepNext w:val="0"/>
        <w:keepLines w:val="0"/>
        <w:pageBreakBefore w:val="0"/>
        <w:kinsoku/>
        <w:overflowPunct/>
        <w:topLinePunct w:val="0"/>
        <w:bidi w:val="0"/>
        <w:adjustRightInd w:val="0"/>
        <w:snapToGrid w:val="0"/>
        <w:spacing w:line="30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服务对象：2025-2026学年在校注册的全体学生；保险生效日：以保险凭证约定为准（2025年9月29日-2026年9月28日）。</w:t>
      </w:r>
    </w:p>
    <w:p w14:paraId="1F09C754">
      <w:pPr>
        <w:keepNext w:val="0"/>
        <w:keepLines w:val="0"/>
        <w:pageBreakBefore w:val="0"/>
        <w:kinsoku/>
        <w:wordWrap w:val="0"/>
        <w:overflowPunct/>
        <w:topLinePunct w:val="0"/>
        <w:bidi w:val="0"/>
        <w:adjustRightInd w:val="0"/>
        <w:snapToGrid w:val="0"/>
        <w:spacing w:line="300" w:lineRule="auto"/>
        <w:ind w:firstLine="482" w:firstLineChars="200"/>
        <w:jc w:val="left"/>
        <w:textAlignment w:val="auto"/>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lang w:val="en-US" w:eastAsia="zh-CN"/>
        </w:rPr>
        <w:t>三</w:t>
      </w:r>
      <w:r>
        <w:rPr>
          <w:rFonts w:hint="eastAsia" w:ascii="宋体" w:hAnsi="宋体" w:eastAsia="宋体" w:cs="宋体"/>
          <w:b/>
          <w:snapToGrid w:val="0"/>
          <w:color w:val="auto"/>
          <w:sz w:val="24"/>
          <w:szCs w:val="24"/>
        </w:rPr>
        <w:t>、</w:t>
      </w:r>
      <w:r>
        <w:rPr>
          <w:rFonts w:hint="eastAsia" w:ascii="宋体" w:hAnsi="宋体" w:eastAsia="宋体" w:cs="宋体"/>
          <w:b/>
          <w:bCs/>
          <w:snapToGrid w:val="0"/>
          <w:color w:val="auto"/>
          <w:sz w:val="24"/>
          <w:szCs w:val="24"/>
        </w:rPr>
        <w:t>履约保证金及付款方式</w:t>
      </w:r>
    </w:p>
    <w:p w14:paraId="6353BE32">
      <w:pPr>
        <w:pStyle w:val="21"/>
        <w:keepNext w:val="0"/>
        <w:keepLines w:val="0"/>
        <w:pageBreakBefore w:val="0"/>
        <w:widowControl w:val="0"/>
        <w:kinsoku/>
        <w:overflowPunct/>
        <w:topLinePunct w:val="0"/>
        <w:bidi w:val="0"/>
        <w:snapToGrid/>
        <w:spacing w:after="0" w:afterLines="0" w:line="300" w:lineRule="auto"/>
        <w:ind w:firstLine="480"/>
        <w:textAlignment w:val="auto"/>
        <w:rPr>
          <w:rFonts w:hint="eastAsia" w:ascii="宋体" w:hAnsi="宋体" w:eastAsia="宋体" w:cs="宋体"/>
          <w:bCs/>
          <w:color w:val="auto"/>
          <w:sz w:val="24"/>
          <w:szCs w:val="24"/>
        </w:rPr>
      </w:pPr>
      <w:r>
        <w:rPr>
          <w:rFonts w:hint="eastAsia" w:ascii="宋体" w:hAnsi="宋体" w:eastAsia="宋体" w:cs="宋体"/>
          <w:b/>
          <w:bCs w:val="0"/>
          <w:snapToGrid w:val="0"/>
          <w:color w:val="auto"/>
          <w:sz w:val="24"/>
          <w:szCs w:val="24"/>
        </w:rPr>
        <w:t>1.履约保证金：</w:t>
      </w:r>
      <w:r>
        <w:rPr>
          <w:rFonts w:hint="eastAsia" w:ascii="宋体" w:hAnsi="宋体" w:eastAsia="宋体" w:cs="宋体"/>
          <w:bCs/>
          <w:snapToGrid w:val="0"/>
          <w:color w:val="auto"/>
          <w:sz w:val="24"/>
          <w:szCs w:val="24"/>
          <w:lang w:val="en-US" w:eastAsia="zh-CN"/>
        </w:rPr>
        <w:t>项目实施前，</w:t>
      </w:r>
      <w:r>
        <w:rPr>
          <w:rFonts w:hint="eastAsia" w:ascii="宋体" w:hAnsi="宋体" w:eastAsia="宋体" w:cs="宋体"/>
          <w:bCs/>
          <w:snapToGrid w:val="0"/>
          <w:color w:val="auto"/>
          <w:sz w:val="24"/>
          <w:szCs w:val="24"/>
        </w:rPr>
        <w:t>中标人须向采购人缴纳</w:t>
      </w:r>
      <w:r>
        <w:rPr>
          <w:rFonts w:hint="eastAsia" w:ascii="宋体" w:hAnsi="宋体" w:cs="宋体"/>
          <w:bCs/>
          <w:snapToGrid w:val="0"/>
          <w:color w:val="auto"/>
          <w:sz w:val="24"/>
          <w:szCs w:val="24"/>
          <w:highlight w:val="none"/>
          <w:lang w:val="en-US" w:eastAsia="zh-CN"/>
        </w:rPr>
        <w:t>5500元</w:t>
      </w:r>
      <w:r>
        <w:rPr>
          <w:rFonts w:hint="eastAsia" w:ascii="宋体" w:hAnsi="宋体" w:eastAsia="宋体" w:cs="宋体"/>
          <w:bCs/>
          <w:snapToGrid w:val="0"/>
          <w:color w:val="auto"/>
          <w:sz w:val="24"/>
          <w:szCs w:val="24"/>
        </w:rPr>
        <w:t>的履约保证金，服务期结束无异议后无息退回。</w:t>
      </w:r>
    </w:p>
    <w:p w14:paraId="58DA1F00">
      <w:pPr>
        <w:keepNext w:val="0"/>
        <w:keepLines w:val="0"/>
        <w:pageBreakBefore w:val="0"/>
        <w:kinsoku/>
        <w:overflowPunct/>
        <w:topLinePunct w:val="0"/>
        <w:bidi w:val="0"/>
        <w:spacing w:line="300" w:lineRule="auto"/>
        <w:ind w:firstLine="472" w:firstLineChars="196"/>
        <w:textAlignment w:val="auto"/>
        <w:rPr>
          <w:rFonts w:hint="eastAsia" w:ascii="宋体" w:hAnsi="宋体" w:eastAsia="宋体" w:cs="宋体"/>
          <w:b/>
          <w:bCs w:val="0"/>
          <w:snapToGrid w:val="0"/>
          <w:color w:val="auto"/>
          <w:sz w:val="24"/>
          <w:szCs w:val="24"/>
        </w:rPr>
      </w:pPr>
      <w:r>
        <w:rPr>
          <w:rFonts w:hint="eastAsia" w:ascii="宋体" w:hAnsi="宋体" w:eastAsia="宋体" w:cs="宋体"/>
          <w:b/>
          <w:bCs w:val="0"/>
          <w:snapToGrid w:val="0"/>
          <w:color w:val="auto"/>
          <w:sz w:val="24"/>
          <w:szCs w:val="24"/>
        </w:rPr>
        <w:t>2.付款方式：</w:t>
      </w:r>
    </w:p>
    <w:p w14:paraId="67AC89B4">
      <w:pPr>
        <w:keepNext w:val="0"/>
        <w:keepLines w:val="0"/>
        <w:pageBreakBefore w:val="0"/>
        <w:kinsoku/>
        <w:overflowPunct/>
        <w:topLinePunct w:val="0"/>
        <w:bidi w:val="0"/>
        <w:spacing w:line="30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bCs/>
          <w:snapToGrid w:val="0"/>
          <w:color w:val="auto"/>
          <w:sz w:val="24"/>
          <w:szCs w:val="24"/>
          <w:lang w:val="en-US" w:eastAsia="zh-CN"/>
        </w:rPr>
        <w:t>①</w:t>
      </w:r>
      <w:r>
        <w:rPr>
          <w:rFonts w:hint="eastAsia" w:ascii="宋体" w:hAnsi="宋体" w:eastAsia="宋体" w:cs="宋体"/>
          <w:color w:val="auto"/>
          <w:sz w:val="24"/>
          <w:szCs w:val="24"/>
        </w:rPr>
        <w:t>大学生商业保险</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为新生入学时按学制一次性</w:t>
      </w:r>
      <w:r>
        <w:rPr>
          <w:rFonts w:hint="eastAsia" w:ascii="宋体" w:hAnsi="宋体" w:eastAsia="宋体" w:cs="宋体"/>
          <w:color w:val="auto"/>
          <w:sz w:val="24"/>
          <w:szCs w:val="24"/>
          <w:lang w:val="en-US" w:eastAsia="zh-CN"/>
        </w:rPr>
        <w:t>收取</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由学院按年支付给中标人。</w:t>
      </w:r>
      <w:r>
        <w:rPr>
          <w:rFonts w:hint="eastAsia" w:ascii="宋体" w:hAnsi="宋体" w:eastAsia="宋体" w:cs="宋体"/>
          <w:color w:val="auto"/>
          <w:sz w:val="24"/>
          <w:szCs w:val="24"/>
        </w:rPr>
        <w:t>学生自愿投保，按实际参保人数计算，中标人自行到采购人处收取，并提供收费收据。</w:t>
      </w:r>
    </w:p>
    <w:p w14:paraId="2D026E5E">
      <w:pPr>
        <w:keepNext w:val="0"/>
        <w:keepLines w:val="0"/>
        <w:pageBreakBefore w:val="0"/>
        <w:kinsoku/>
        <w:overflowPunct/>
        <w:topLinePunct w:val="0"/>
        <w:bidi w:val="0"/>
        <w:spacing w:line="30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②</w:t>
      </w:r>
      <w:r>
        <w:rPr>
          <w:rFonts w:hint="eastAsia" w:ascii="宋体" w:hAnsi="宋体" w:eastAsia="宋体" w:cs="宋体"/>
          <w:color w:val="auto"/>
          <w:sz w:val="24"/>
          <w:szCs w:val="24"/>
        </w:rPr>
        <w:t>校方责任险</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保费在保险生效前一次性支付中标人，保险生效日以保险凭证约定为准。</w:t>
      </w:r>
    </w:p>
    <w:p w14:paraId="1724436F">
      <w:pPr>
        <w:keepNext w:val="0"/>
        <w:keepLines w:val="0"/>
        <w:pageBreakBefore w:val="0"/>
        <w:kinsoku/>
        <w:wordWrap w:val="0"/>
        <w:overflowPunct/>
        <w:topLinePunct w:val="0"/>
        <w:autoSpaceDE w:val="0"/>
        <w:autoSpaceDN w:val="0"/>
        <w:bidi w:val="0"/>
        <w:spacing w:line="300" w:lineRule="auto"/>
        <w:ind w:firstLine="597"/>
        <w:jc w:val="left"/>
        <w:textAlignment w:val="auto"/>
        <w:rPr>
          <w:rFonts w:hint="eastAsia" w:ascii="宋体" w:hAnsi="宋体" w:eastAsia="宋体" w:cs="宋体"/>
          <w:b/>
          <w:bCs/>
          <w:snapToGrid w:val="0"/>
          <w:color w:val="auto"/>
          <w:sz w:val="24"/>
          <w:szCs w:val="24"/>
        </w:rPr>
      </w:pPr>
      <w:r>
        <w:rPr>
          <w:rFonts w:hint="eastAsia" w:ascii="宋体" w:hAnsi="宋体" w:cs="宋体"/>
          <w:b/>
          <w:bCs/>
          <w:snapToGrid w:val="0"/>
          <w:color w:val="auto"/>
          <w:sz w:val="24"/>
          <w:szCs w:val="24"/>
          <w:lang w:val="en-US" w:eastAsia="zh-CN"/>
        </w:rPr>
        <w:t>四</w:t>
      </w:r>
      <w:r>
        <w:rPr>
          <w:rFonts w:hint="eastAsia" w:ascii="宋体" w:hAnsi="宋体" w:eastAsia="宋体" w:cs="宋体"/>
          <w:b/>
          <w:bCs/>
          <w:snapToGrid w:val="0"/>
          <w:color w:val="auto"/>
          <w:sz w:val="24"/>
          <w:szCs w:val="24"/>
        </w:rPr>
        <w:t>、最高限价</w:t>
      </w:r>
    </w:p>
    <w:p w14:paraId="2038AD1A">
      <w:pPr>
        <w:keepNext w:val="0"/>
        <w:keepLines w:val="0"/>
        <w:pageBreakBefore w:val="0"/>
        <w:kinsoku/>
        <w:overflowPunct/>
        <w:topLinePunct w:val="0"/>
        <w:bidi w:val="0"/>
        <w:spacing w:line="300" w:lineRule="auto"/>
        <w:ind w:firstLine="480"/>
        <w:textAlignment w:val="auto"/>
        <w:rPr>
          <w:rFonts w:hint="eastAsia" w:ascii="宋体" w:hAnsi="宋体" w:eastAsia="宋体" w:cs="宋体"/>
          <w:b/>
          <w:bCs/>
          <w:color w:val="auto"/>
          <w:sz w:val="24"/>
          <w:szCs w:val="24"/>
          <w:highlight w:val="none"/>
        </w:rPr>
      </w:pPr>
      <w:r>
        <w:rPr>
          <w:rFonts w:hint="eastAsia" w:ascii="宋体" w:hAnsi="宋体" w:eastAsia="宋体" w:cs="宋体"/>
          <w:b/>
          <w:bCs/>
          <w:snapToGrid w:val="0"/>
          <w:color w:val="auto"/>
          <w:sz w:val="24"/>
          <w:szCs w:val="24"/>
        </w:rPr>
        <w:t>本次采购大学生商业保</w:t>
      </w:r>
      <w:r>
        <w:rPr>
          <w:rFonts w:hint="eastAsia" w:ascii="宋体" w:hAnsi="宋体" w:eastAsia="宋体" w:cs="宋体"/>
          <w:b/>
          <w:bCs/>
          <w:snapToGrid w:val="0"/>
          <w:color w:val="auto"/>
          <w:sz w:val="24"/>
          <w:szCs w:val="24"/>
          <w:lang w:val="en-US" w:eastAsia="zh-CN"/>
        </w:rPr>
        <w:t>险最高单价限价为人民币肆拾元每人每年（小写：40元/人/年）；校方责任险最高单价限价为人民币壹</w:t>
      </w:r>
      <w:r>
        <w:rPr>
          <w:rFonts w:hint="eastAsia" w:ascii="宋体" w:hAnsi="宋体" w:eastAsia="宋体" w:cs="宋体"/>
          <w:b/>
          <w:bCs/>
          <w:snapToGrid w:val="0"/>
          <w:color w:val="auto"/>
          <w:sz w:val="24"/>
          <w:szCs w:val="24"/>
        </w:rPr>
        <w:t>拾元</w:t>
      </w:r>
      <w:r>
        <w:rPr>
          <w:rFonts w:hint="eastAsia" w:ascii="宋体" w:hAnsi="宋体" w:eastAsia="宋体" w:cs="宋体"/>
          <w:b/>
          <w:bCs/>
          <w:snapToGrid w:val="0"/>
          <w:color w:val="auto"/>
          <w:sz w:val="24"/>
          <w:szCs w:val="24"/>
          <w:lang w:val="en-US" w:eastAsia="zh-CN"/>
        </w:rPr>
        <w:t>每人每年</w:t>
      </w:r>
      <w:r>
        <w:rPr>
          <w:rFonts w:hint="eastAsia" w:ascii="宋体" w:hAnsi="宋体" w:eastAsia="宋体" w:cs="宋体"/>
          <w:b/>
          <w:bCs/>
          <w:snapToGrid w:val="0"/>
          <w:color w:val="auto"/>
          <w:sz w:val="24"/>
          <w:szCs w:val="24"/>
        </w:rPr>
        <w:t>（</w:t>
      </w:r>
      <w:r>
        <w:rPr>
          <w:rFonts w:hint="eastAsia" w:ascii="宋体" w:hAnsi="宋体" w:eastAsia="宋体" w:cs="宋体"/>
          <w:b/>
          <w:bCs/>
          <w:snapToGrid w:val="0"/>
          <w:color w:val="auto"/>
          <w:sz w:val="24"/>
          <w:szCs w:val="24"/>
          <w:lang w:val="en-US" w:eastAsia="zh-CN"/>
        </w:rPr>
        <w:t>小写：1</w:t>
      </w:r>
      <w:r>
        <w:rPr>
          <w:rFonts w:hint="eastAsia" w:ascii="宋体" w:hAnsi="宋体" w:eastAsia="宋体" w:cs="宋体"/>
          <w:b/>
          <w:bCs/>
          <w:snapToGrid w:val="0"/>
          <w:color w:val="auto"/>
          <w:sz w:val="24"/>
          <w:szCs w:val="24"/>
        </w:rPr>
        <w:t>0元/人/年）</w:t>
      </w:r>
      <w:r>
        <w:rPr>
          <w:rFonts w:hint="eastAsia" w:ascii="宋体" w:hAnsi="宋体" w:eastAsia="宋体" w:cs="宋体"/>
          <w:b/>
          <w:bCs/>
          <w:snapToGrid w:val="0"/>
          <w:color w:val="auto"/>
          <w:sz w:val="24"/>
          <w:szCs w:val="24"/>
          <w:lang w:eastAsia="zh-CN"/>
        </w:rPr>
        <w:t>，</w:t>
      </w:r>
      <w:r>
        <w:rPr>
          <w:rFonts w:hint="eastAsia" w:ascii="宋体" w:hAnsi="宋体" w:eastAsia="宋体" w:cs="宋体"/>
          <w:b/>
          <w:bCs/>
          <w:snapToGrid w:val="0"/>
          <w:color w:val="auto"/>
          <w:sz w:val="24"/>
          <w:szCs w:val="24"/>
        </w:rPr>
        <w:t>任何超过最高</w:t>
      </w:r>
      <w:r>
        <w:rPr>
          <w:rFonts w:hint="eastAsia" w:ascii="宋体" w:hAnsi="宋体" w:eastAsia="宋体" w:cs="宋体"/>
          <w:b/>
          <w:bCs/>
          <w:snapToGrid w:val="0"/>
          <w:color w:val="auto"/>
          <w:sz w:val="24"/>
          <w:szCs w:val="24"/>
          <w:lang w:val="en-US" w:eastAsia="zh-CN"/>
        </w:rPr>
        <w:t>单价</w:t>
      </w:r>
      <w:r>
        <w:rPr>
          <w:rFonts w:hint="eastAsia" w:ascii="宋体" w:hAnsi="宋体" w:eastAsia="宋体" w:cs="宋体"/>
          <w:b/>
          <w:bCs/>
          <w:snapToGrid w:val="0"/>
          <w:color w:val="auto"/>
          <w:sz w:val="24"/>
          <w:szCs w:val="24"/>
        </w:rPr>
        <w:t>限价的报价将被认定为无效报价。</w:t>
      </w:r>
    </w:p>
    <w:p w14:paraId="7E87AAEB">
      <w:pPr>
        <w:spacing w:line="300" w:lineRule="auto"/>
        <w:ind w:firstLine="480"/>
        <w:rPr>
          <w:rFonts w:hint="eastAsia" w:ascii="宋体" w:hAnsi="宋体" w:eastAsia="宋体" w:cs="宋体"/>
          <w:b/>
          <w:bCs/>
          <w:color w:val="auto"/>
          <w:sz w:val="24"/>
          <w:szCs w:val="24"/>
          <w:highlight w:val="none"/>
        </w:rPr>
      </w:pPr>
    </w:p>
    <w:p w14:paraId="6B4ADA52">
      <w:pPr>
        <w:spacing w:line="300" w:lineRule="auto"/>
        <w:ind w:firstLine="480"/>
        <w:rPr>
          <w:rFonts w:hint="eastAsia" w:ascii="宋体" w:hAnsi="宋体" w:cs="宋体"/>
          <w:b/>
          <w:bCs/>
          <w:snapToGrid w:val="0"/>
          <w:color w:val="auto"/>
          <w:sz w:val="24"/>
          <w:lang w:val="en-US" w:eastAsia="zh-CN"/>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val="en-US" w:eastAsia="zh-CN"/>
        </w:rPr>
        <w:t>以上“</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为实质性响应</w:t>
      </w:r>
      <w:r>
        <w:rPr>
          <w:rFonts w:hint="eastAsia" w:ascii="宋体" w:hAnsi="宋体" w:eastAsia="宋体" w:cs="宋体"/>
          <w:b/>
          <w:bCs/>
          <w:color w:val="auto"/>
          <w:sz w:val="24"/>
          <w:szCs w:val="24"/>
          <w:highlight w:val="none"/>
          <w:lang w:val="en-US" w:eastAsia="zh-CN"/>
        </w:rPr>
        <w:t>条款</w:t>
      </w:r>
      <w:r>
        <w:rPr>
          <w:rFonts w:hint="eastAsia" w:ascii="宋体" w:hAnsi="宋体" w:eastAsia="宋体" w:cs="宋体"/>
          <w:b/>
          <w:bCs/>
          <w:color w:val="auto"/>
          <w:sz w:val="24"/>
          <w:szCs w:val="24"/>
          <w:highlight w:val="none"/>
        </w:rPr>
        <w:t>，不满足</w:t>
      </w:r>
      <w:r>
        <w:rPr>
          <w:rFonts w:hint="eastAsia" w:ascii="宋体" w:hAnsi="宋体" w:eastAsia="宋体" w:cs="宋体"/>
          <w:b/>
          <w:bCs/>
          <w:color w:val="auto"/>
          <w:sz w:val="24"/>
          <w:szCs w:val="24"/>
          <w:highlight w:val="none"/>
          <w:lang w:val="en-US" w:eastAsia="zh-CN"/>
        </w:rPr>
        <w:t>或未实质性响应</w:t>
      </w:r>
      <w:r>
        <w:rPr>
          <w:rFonts w:hint="eastAsia" w:ascii="宋体" w:hAnsi="宋体" w:eastAsia="宋体" w:cs="宋体"/>
          <w:b/>
          <w:bCs/>
          <w:color w:val="auto"/>
          <w:sz w:val="24"/>
          <w:szCs w:val="24"/>
          <w:highlight w:val="none"/>
        </w:rPr>
        <w:t>则</w:t>
      </w:r>
      <w:r>
        <w:rPr>
          <w:rFonts w:hint="eastAsia" w:ascii="宋体" w:hAnsi="宋体" w:eastAsia="宋体" w:cs="宋体"/>
          <w:b/>
          <w:bCs/>
          <w:color w:val="auto"/>
          <w:sz w:val="24"/>
          <w:szCs w:val="24"/>
          <w:highlight w:val="none"/>
          <w:lang w:val="en-US" w:eastAsia="zh-CN"/>
        </w:rPr>
        <w:t>作</w:t>
      </w:r>
      <w:r>
        <w:rPr>
          <w:rFonts w:hint="eastAsia" w:ascii="宋体" w:hAnsi="宋体" w:eastAsia="宋体" w:cs="宋体"/>
          <w:b/>
          <w:bCs/>
          <w:color w:val="auto"/>
          <w:sz w:val="24"/>
          <w:szCs w:val="24"/>
          <w:highlight w:val="none"/>
        </w:rPr>
        <w:t>无效投标</w:t>
      </w:r>
      <w:r>
        <w:rPr>
          <w:rFonts w:hint="eastAsia" w:ascii="宋体" w:hAnsi="宋体" w:eastAsia="宋体" w:cs="宋体"/>
          <w:b/>
          <w:bCs/>
          <w:color w:val="auto"/>
          <w:sz w:val="24"/>
          <w:szCs w:val="24"/>
          <w:highlight w:val="none"/>
          <w:lang w:val="en-US" w:eastAsia="zh-CN"/>
        </w:rPr>
        <w:t>处理</w:t>
      </w:r>
      <w:r>
        <w:rPr>
          <w:rFonts w:hint="eastAsia" w:ascii="宋体" w:hAnsi="宋体" w:eastAsia="宋体" w:cs="宋体"/>
          <w:b/>
          <w:bCs/>
          <w:color w:val="auto"/>
          <w:sz w:val="24"/>
          <w:szCs w:val="24"/>
          <w:highlight w:val="none"/>
        </w:rPr>
        <w:t>。</w:t>
      </w:r>
    </w:p>
    <w:sectPr>
      <w:headerReference r:id="rId5" w:type="default"/>
      <w:footerReference r:id="rId6" w:type="default"/>
      <w:pgSz w:w="11906" w:h="16838"/>
      <w:pgMar w:top="1236" w:right="1236" w:bottom="1236" w:left="1236"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4F1FE">
    <w:pPr>
      <w:pStyle w:val="8"/>
      <w:tabs>
        <w:tab w:val="right" w:pos="9548"/>
        <w:tab w:val="clear" w:pos="4153"/>
      </w:tabs>
      <w:ind w:right="360"/>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3855C">
    <w:pPr>
      <w:pStyle w:val="8"/>
      <w:tabs>
        <w:tab w:val="right" w:pos="9548"/>
        <w:tab w:val="clear" w:pos="4153"/>
      </w:tabs>
      <w:ind w:right="360"/>
    </w:pP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5B39A">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22B1B">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YTc2ZjJhNzVkNDI0MzkxMjBhMGJiZjE5MTY0YTUifQ=="/>
  </w:docVars>
  <w:rsids>
    <w:rsidRoot w:val="662408E1"/>
    <w:rsid w:val="003473BC"/>
    <w:rsid w:val="0035287D"/>
    <w:rsid w:val="003A44A6"/>
    <w:rsid w:val="00485297"/>
    <w:rsid w:val="004F2CA6"/>
    <w:rsid w:val="006528EC"/>
    <w:rsid w:val="006D7635"/>
    <w:rsid w:val="0076337B"/>
    <w:rsid w:val="00B76261"/>
    <w:rsid w:val="00D13D32"/>
    <w:rsid w:val="00FB4613"/>
    <w:rsid w:val="017F5F9C"/>
    <w:rsid w:val="01B97F5E"/>
    <w:rsid w:val="023F049E"/>
    <w:rsid w:val="030733BB"/>
    <w:rsid w:val="03620118"/>
    <w:rsid w:val="04571835"/>
    <w:rsid w:val="06E33324"/>
    <w:rsid w:val="0A084DAC"/>
    <w:rsid w:val="0A0C5185"/>
    <w:rsid w:val="0ACD6B49"/>
    <w:rsid w:val="0E6C0519"/>
    <w:rsid w:val="0EC51F9E"/>
    <w:rsid w:val="0ED939EE"/>
    <w:rsid w:val="0FFC7994"/>
    <w:rsid w:val="12386C7D"/>
    <w:rsid w:val="138D1D96"/>
    <w:rsid w:val="14E769E4"/>
    <w:rsid w:val="154F42C8"/>
    <w:rsid w:val="17111B32"/>
    <w:rsid w:val="171A1707"/>
    <w:rsid w:val="17255A22"/>
    <w:rsid w:val="17A775C7"/>
    <w:rsid w:val="194A1770"/>
    <w:rsid w:val="1A254691"/>
    <w:rsid w:val="1BBD6A6F"/>
    <w:rsid w:val="1BEB1CB1"/>
    <w:rsid w:val="1CD37CCF"/>
    <w:rsid w:val="1D877C74"/>
    <w:rsid w:val="1F8E14F3"/>
    <w:rsid w:val="1FBD5EBF"/>
    <w:rsid w:val="1FD17954"/>
    <w:rsid w:val="20F81F49"/>
    <w:rsid w:val="21F24DFB"/>
    <w:rsid w:val="22970BAB"/>
    <w:rsid w:val="22C9509E"/>
    <w:rsid w:val="23473B40"/>
    <w:rsid w:val="24A23598"/>
    <w:rsid w:val="25106DF3"/>
    <w:rsid w:val="26035B0A"/>
    <w:rsid w:val="26A36964"/>
    <w:rsid w:val="27B5123C"/>
    <w:rsid w:val="285E6FE6"/>
    <w:rsid w:val="2902124D"/>
    <w:rsid w:val="29424157"/>
    <w:rsid w:val="29C92714"/>
    <w:rsid w:val="2A7C3749"/>
    <w:rsid w:val="2A901BBF"/>
    <w:rsid w:val="2AF27EBA"/>
    <w:rsid w:val="2AF83194"/>
    <w:rsid w:val="2CD86321"/>
    <w:rsid w:val="2D063A1C"/>
    <w:rsid w:val="2DEA4E78"/>
    <w:rsid w:val="2F915538"/>
    <w:rsid w:val="307F62FF"/>
    <w:rsid w:val="31374B9C"/>
    <w:rsid w:val="320209E2"/>
    <w:rsid w:val="32C90629"/>
    <w:rsid w:val="342F76A0"/>
    <w:rsid w:val="345C3BFB"/>
    <w:rsid w:val="34AE2C27"/>
    <w:rsid w:val="35775A94"/>
    <w:rsid w:val="3593128D"/>
    <w:rsid w:val="36D956AC"/>
    <w:rsid w:val="374B0FB6"/>
    <w:rsid w:val="379E72A3"/>
    <w:rsid w:val="396E1F85"/>
    <w:rsid w:val="3B7A1023"/>
    <w:rsid w:val="3BEFF9DC"/>
    <w:rsid w:val="3C062B24"/>
    <w:rsid w:val="3D9237DD"/>
    <w:rsid w:val="3DE11DF4"/>
    <w:rsid w:val="3E0077CE"/>
    <w:rsid w:val="3E407E8E"/>
    <w:rsid w:val="3FF83425"/>
    <w:rsid w:val="403635D5"/>
    <w:rsid w:val="427E044B"/>
    <w:rsid w:val="42D4469C"/>
    <w:rsid w:val="43B835F7"/>
    <w:rsid w:val="44262789"/>
    <w:rsid w:val="44EC4BCA"/>
    <w:rsid w:val="45CE0876"/>
    <w:rsid w:val="46C605CF"/>
    <w:rsid w:val="470703F1"/>
    <w:rsid w:val="47517395"/>
    <w:rsid w:val="47584820"/>
    <w:rsid w:val="486830DA"/>
    <w:rsid w:val="492C413F"/>
    <w:rsid w:val="49644ABA"/>
    <w:rsid w:val="49C61CE6"/>
    <w:rsid w:val="49C8156E"/>
    <w:rsid w:val="49DF525F"/>
    <w:rsid w:val="49EF7646"/>
    <w:rsid w:val="4A640768"/>
    <w:rsid w:val="4C023F8C"/>
    <w:rsid w:val="4C0373D9"/>
    <w:rsid w:val="4D3D691B"/>
    <w:rsid w:val="4DB2378B"/>
    <w:rsid w:val="4DDC7B96"/>
    <w:rsid w:val="4F4628B7"/>
    <w:rsid w:val="508F3A4D"/>
    <w:rsid w:val="51F003FF"/>
    <w:rsid w:val="55B327A2"/>
    <w:rsid w:val="57E91792"/>
    <w:rsid w:val="59960F02"/>
    <w:rsid w:val="5AD96027"/>
    <w:rsid w:val="5B4377F2"/>
    <w:rsid w:val="5BA9500B"/>
    <w:rsid w:val="5C94289E"/>
    <w:rsid w:val="5C9664F6"/>
    <w:rsid w:val="5D2336CE"/>
    <w:rsid w:val="5D5D27C1"/>
    <w:rsid w:val="5D6B3030"/>
    <w:rsid w:val="5DB057B9"/>
    <w:rsid w:val="5DFA32E2"/>
    <w:rsid w:val="5EB5550A"/>
    <w:rsid w:val="5FDD0CC0"/>
    <w:rsid w:val="601B6E1A"/>
    <w:rsid w:val="608C09CC"/>
    <w:rsid w:val="61351EB4"/>
    <w:rsid w:val="61623F82"/>
    <w:rsid w:val="61B72756"/>
    <w:rsid w:val="6321792E"/>
    <w:rsid w:val="63D97543"/>
    <w:rsid w:val="64630054"/>
    <w:rsid w:val="65502AFE"/>
    <w:rsid w:val="662408E1"/>
    <w:rsid w:val="6684258F"/>
    <w:rsid w:val="66E143AA"/>
    <w:rsid w:val="69AC2A06"/>
    <w:rsid w:val="69C63668"/>
    <w:rsid w:val="69DF3FB1"/>
    <w:rsid w:val="6A446B8F"/>
    <w:rsid w:val="6AEC5268"/>
    <w:rsid w:val="6AF74F6E"/>
    <w:rsid w:val="6D4B00CA"/>
    <w:rsid w:val="6E7A79B2"/>
    <w:rsid w:val="6EA91C0A"/>
    <w:rsid w:val="6EFA6397"/>
    <w:rsid w:val="6F125AF7"/>
    <w:rsid w:val="70AA3CDC"/>
    <w:rsid w:val="720011E0"/>
    <w:rsid w:val="72981B13"/>
    <w:rsid w:val="739031BB"/>
    <w:rsid w:val="73B4284E"/>
    <w:rsid w:val="75D752AF"/>
    <w:rsid w:val="763444AF"/>
    <w:rsid w:val="76A52FA5"/>
    <w:rsid w:val="76FB76A4"/>
    <w:rsid w:val="771B30EC"/>
    <w:rsid w:val="77B63910"/>
    <w:rsid w:val="78236AB5"/>
    <w:rsid w:val="78B576EF"/>
    <w:rsid w:val="793C2330"/>
    <w:rsid w:val="799C685C"/>
    <w:rsid w:val="79B502CF"/>
    <w:rsid w:val="7A794AA5"/>
    <w:rsid w:val="7B1B1396"/>
    <w:rsid w:val="7B4B71A3"/>
    <w:rsid w:val="7CCD11BA"/>
    <w:rsid w:val="7DA41F1A"/>
    <w:rsid w:val="7DBF2D99"/>
    <w:rsid w:val="7DF84014"/>
    <w:rsid w:val="7EA255FA"/>
    <w:rsid w:val="7ECD4A5F"/>
    <w:rsid w:val="7EFD4982"/>
    <w:rsid w:val="7F5E2F63"/>
    <w:rsid w:val="7FA267AF"/>
    <w:rsid w:val="97FDBDE9"/>
    <w:rsid w:val="9F6F0807"/>
    <w:rsid w:val="A3FD1DA2"/>
    <w:rsid w:val="BFBFD40A"/>
    <w:rsid w:val="F3EA6B3D"/>
    <w:rsid w:val="F7B4D899"/>
    <w:rsid w:val="FFF5D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spacing w:line="312" w:lineRule="auto"/>
      <w:ind w:firstLine="420"/>
    </w:pPr>
  </w:style>
  <w:style w:type="paragraph" w:styleId="5">
    <w:name w:val="index 5"/>
    <w:basedOn w:val="1"/>
    <w:next w:val="1"/>
    <w:qFormat/>
    <w:uiPriority w:val="0"/>
    <w:pPr>
      <w:ind w:left="800" w:leftChars="800"/>
    </w:pPr>
  </w:style>
  <w:style w:type="paragraph" w:styleId="6">
    <w:name w:val="annotation text"/>
    <w:basedOn w:val="1"/>
    <w:link w:val="27"/>
    <w:qFormat/>
    <w:uiPriority w:val="0"/>
    <w:pPr>
      <w:jc w:val="left"/>
    </w:pPr>
  </w:style>
  <w:style w:type="paragraph" w:styleId="7">
    <w:name w:val="Body Text Indent"/>
    <w:basedOn w:val="1"/>
    <w:qFormat/>
    <w:uiPriority w:val="0"/>
    <w:pPr>
      <w:spacing w:line="480" w:lineRule="exact"/>
      <w:ind w:firstLine="480"/>
    </w:pPr>
    <w:rPr>
      <w:rFonts w:ascii="宋体" w:hAnsi="宋体"/>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annotation subject"/>
    <w:basedOn w:val="6"/>
    <w:next w:val="6"/>
    <w:link w:val="28"/>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qFormat/>
    <w:uiPriority w:val="0"/>
    <w:rPr>
      <w:rFonts w:ascii="Times New Roman" w:hAnsi="Times New Roman" w:eastAsia="宋体" w:cs="Times New Roman"/>
      <w:color w:val="auto"/>
      <w:kern w:val="2"/>
      <w:sz w:val="24"/>
      <w:szCs w:val="20"/>
    </w:rPr>
  </w:style>
  <w:style w:type="character" w:styleId="17">
    <w:name w:val="annotation reference"/>
    <w:basedOn w:val="14"/>
    <w:qFormat/>
    <w:uiPriority w:val="0"/>
    <w:rPr>
      <w:sz w:val="21"/>
      <w:szCs w:val="21"/>
    </w:rPr>
  </w:style>
  <w:style w:type="paragraph" w:customStyle="1" w:styleId="18">
    <w:name w:val="正文缩进1"/>
    <w:basedOn w:val="1"/>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19">
    <w:name w:val="Body Text First Indent 21"/>
    <w:basedOn w:val="20"/>
    <w:qFormat/>
    <w:uiPriority w:val="0"/>
    <w:pPr>
      <w:ind w:firstLine="420"/>
    </w:pPr>
    <w:rPr>
      <w:rFonts w:cs="宋体"/>
    </w:rPr>
  </w:style>
  <w:style w:type="paragraph" w:customStyle="1" w:styleId="20">
    <w:name w:val="Body Text Indent1"/>
    <w:basedOn w:val="1"/>
    <w:next w:val="1"/>
    <w:qFormat/>
    <w:uiPriority w:val="0"/>
    <w:pPr>
      <w:spacing w:after="120"/>
      <w:ind w:left="420" w:leftChars="200"/>
    </w:pPr>
  </w:style>
  <w:style w:type="paragraph" w:customStyle="1" w:styleId="21">
    <w:name w:val="正文段"/>
    <w:basedOn w:val="1"/>
    <w:next w:val="5"/>
    <w:qFormat/>
    <w:uiPriority w:val="0"/>
    <w:pPr>
      <w:widowControl/>
      <w:snapToGrid w:val="0"/>
      <w:spacing w:after="156" w:afterLines="50"/>
      <w:ind w:firstLine="200" w:firstLineChars="200"/>
    </w:pPr>
    <w:rPr>
      <w:kern w:val="0"/>
      <w:sz w:val="24"/>
      <w:szCs w:val="20"/>
    </w:rPr>
  </w:style>
  <w:style w:type="paragraph" w:customStyle="1" w:styleId="22">
    <w:name w:val="Table Text"/>
    <w:basedOn w:val="1"/>
    <w:autoRedefine/>
    <w:qFormat/>
    <w:uiPriority w:val="99"/>
    <w:pPr>
      <w:widowControl/>
      <w:spacing w:before="60" w:after="60"/>
      <w:jc w:val="left"/>
    </w:pPr>
    <w:rPr>
      <w:kern w:val="0"/>
      <w:szCs w:val="20"/>
    </w:rPr>
  </w:style>
  <w:style w:type="paragraph" w:customStyle="1" w:styleId="23">
    <w:name w:val="无间隔1"/>
    <w:qFormat/>
    <w:uiPriority w:val="1"/>
    <w:pPr>
      <w:widowControl w:val="0"/>
      <w:jc w:val="both"/>
    </w:pPr>
    <w:rPr>
      <w:rFonts w:ascii="Calibri" w:hAnsi="Calibri" w:eastAsia="宋体" w:cs="Times New Roman"/>
      <w:kern w:val="2"/>
      <w:sz w:val="21"/>
      <w:szCs w:val="22"/>
      <w:lang w:val="en-US" w:eastAsia="zh-CN" w:bidi="ar-SA"/>
    </w:rPr>
  </w:style>
  <w:style w:type="paragraph" w:styleId="24">
    <w:name w:val="List Paragraph"/>
    <w:basedOn w:val="1"/>
    <w:unhideWhenUsed/>
    <w:qFormat/>
    <w:uiPriority w:val="99"/>
    <w:pPr>
      <w:ind w:firstLine="420" w:firstLineChars="200"/>
    </w:pPr>
  </w:style>
  <w:style w:type="paragraph" w:customStyle="1" w:styleId="25">
    <w:name w:val="小标题"/>
    <w:basedOn w:val="1"/>
    <w:qFormat/>
    <w:uiPriority w:val="0"/>
    <w:pPr>
      <w:spacing w:before="100" w:beforeLines="100" w:after="50" w:afterLines="50" w:line="300" w:lineRule="auto"/>
      <w:ind w:left="-177" w:leftChars="-177"/>
      <w:jc w:val="left"/>
      <w:outlineLvl w:val="1"/>
    </w:pPr>
    <w:rPr>
      <w:rFonts w:ascii="宋体" w:hAnsi="宋体"/>
      <w:b/>
      <w:snapToGrid w:val="0"/>
      <w:sz w:val="24"/>
    </w:rPr>
  </w:style>
  <w:style w:type="character" w:customStyle="1" w:styleId="26">
    <w:name w:val="font31"/>
    <w:basedOn w:val="14"/>
    <w:autoRedefine/>
    <w:qFormat/>
    <w:uiPriority w:val="0"/>
    <w:rPr>
      <w:rFonts w:hint="eastAsia" w:ascii="宋体" w:hAnsi="宋体" w:eastAsia="宋体" w:cs="宋体"/>
      <w:color w:val="000000"/>
      <w:sz w:val="21"/>
      <w:szCs w:val="21"/>
      <w:u w:val="none"/>
    </w:rPr>
  </w:style>
  <w:style w:type="character" w:customStyle="1" w:styleId="27">
    <w:name w:val="批注文字 字符"/>
    <w:basedOn w:val="14"/>
    <w:link w:val="6"/>
    <w:qFormat/>
    <w:uiPriority w:val="0"/>
    <w:rPr>
      <w:kern w:val="2"/>
      <w:sz w:val="21"/>
      <w:szCs w:val="24"/>
    </w:rPr>
  </w:style>
  <w:style w:type="character" w:customStyle="1" w:styleId="28">
    <w:name w:val="批注主题 字符"/>
    <w:basedOn w:val="27"/>
    <w:link w:val="11"/>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4196</Words>
  <Characters>4410</Characters>
  <Lines>443</Lines>
  <Paragraphs>472</Paragraphs>
  <TotalTime>0</TotalTime>
  <ScaleCrop>false</ScaleCrop>
  <LinksUpToDate>false</LinksUpToDate>
  <CharactersWithSpaces>4412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2024-07-15T01:07:00Z</dcterms:created>
  <dc:creator>k i ng</dc:creator>
  <cp:lastModifiedBy>路飞</cp:lastModifiedBy>
  <dcterms:modified xsi:type="dcterms:W3CDTF">2025-07-02T09:46:38Z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35612D10456449C2BE12A03F3A59E047_13</vt:lpwstr>
  </property>
  <property fmtid="{D5CDD505-2E9C-101B-9397-08002B2CF9AE}" pid="4" name="KSOTemplateDocerSaveRecord">
    <vt:lpwstr>eyJoZGlkIjoiZDk2MzAxNzMzNTM2YjJhYjA4OGE4ZWRlOTY0MzI3YmEiLCJ1c2VySWQiOiI3MTQxNzcxODMifQ==</vt:lpwstr>
  </property>
</Properties>
</file>