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1E8F6">
      <w:pPr>
        <w:autoSpaceDE/>
        <w:autoSpaceDN/>
        <w:jc w:val="center"/>
        <w:rPr>
          <w:rFonts w:hint="eastAsia" w:ascii="宋体" w:hAnsi="宋体" w:eastAsia="宋体" w:cs="宋体"/>
          <w:b/>
          <w:bCs/>
          <w:color w:val="auto"/>
          <w:sz w:val="52"/>
          <w:szCs w:val="52"/>
          <w:highlight w:val="none"/>
        </w:rPr>
      </w:pPr>
      <w:r>
        <w:rPr>
          <w:rFonts w:hint="eastAsia" w:ascii="宋体" w:hAnsi="宋体" w:cs="宋体"/>
          <w:b/>
          <w:bCs/>
          <w:color w:val="auto"/>
          <w:sz w:val="72"/>
          <w:szCs w:val="72"/>
          <w:highlight w:val="none"/>
          <w:lang w:eastAsia="zh-CN"/>
        </w:rPr>
        <w:t>浙江省诸暨市学勉</w:t>
      </w:r>
      <w:bookmarkStart w:id="19" w:name="_GoBack"/>
      <w:bookmarkEnd w:id="19"/>
      <w:r>
        <w:rPr>
          <w:rFonts w:hint="eastAsia" w:ascii="宋体" w:hAnsi="宋体" w:cs="宋体"/>
          <w:b/>
          <w:bCs/>
          <w:color w:val="auto"/>
          <w:sz w:val="72"/>
          <w:szCs w:val="72"/>
          <w:highlight w:val="none"/>
          <w:lang w:eastAsia="zh-CN"/>
        </w:rPr>
        <w:t>中学2025年度疗休养服务采购</w:t>
      </w:r>
      <w:r>
        <w:rPr>
          <w:rFonts w:hint="eastAsia" w:ascii="宋体" w:hAnsi="宋体" w:eastAsia="宋体" w:cs="宋体"/>
          <w:b/>
          <w:bCs/>
          <w:color w:val="auto"/>
          <w:sz w:val="72"/>
          <w:szCs w:val="72"/>
          <w:highlight w:val="none"/>
          <w:lang w:eastAsia="zh-CN"/>
        </w:rPr>
        <w:t>项目</w:t>
      </w:r>
    </w:p>
    <w:p w14:paraId="27F7678D">
      <w:pPr>
        <w:autoSpaceDE/>
        <w:autoSpaceDN/>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（编号：</w:t>
      </w:r>
      <w:r>
        <w:rPr>
          <w:rFonts w:hint="eastAsia" w:ascii="宋体" w:hAnsi="宋体" w:cs="宋体"/>
          <w:b/>
          <w:bCs/>
          <w:color w:val="auto"/>
          <w:sz w:val="32"/>
          <w:szCs w:val="32"/>
          <w:highlight w:val="none"/>
          <w:lang w:eastAsia="zh-CN"/>
        </w:rPr>
        <w:t>浙江明业2025-06-09-01</w:t>
      </w:r>
      <w:r>
        <w:rPr>
          <w:rFonts w:hint="eastAsia" w:ascii="宋体" w:hAnsi="宋体" w:eastAsia="宋体" w:cs="宋体"/>
          <w:b/>
          <w:bCs/>
          <w:color w:val="auto"/>
          <w:sz w:val="32"/>
          <w:szCs w:val="32"/>
          <w:highlight w:val="none"/>
        </w:rPr>
        <w:t>）</w:t>
      </w:r>
    </w:p>
    <w:p w14:paraId="443B8EA1">
      <w:pPr>
        <w:autoSpaceDE/>
        <w:autoSpaceDN/>
        <w:jc w:val="center"/>
        <w:rPr>
          <w:rFonts w:hint="eastAsia" w:ascii="宋体" w:hAnsi="宋体" w:eastAsia="宋体" w:cs="宋体"/>
          <w:color w:val="auto"/>
          <w:highlight w:val="none"/>
        </w:rPr>
      </w:pPr>
    </w:p>
    <w:p w14:paraId="62206B2E">
      <w:pP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w:t>
      </w:r>
    </w:p>
    <w:p w14:paraId="34F94702">
      <w:pPr>
        <w:autoSpaceDE/>
        <w:autoSpaceDN/>
        <w:jc w:val="center"/>
        <w:rPr>
          <w:rFonts w:hint="eastAsia" w:ascii="宋体" w:hAnsi="宋体" w:eastAsia="宋体" w:cs="宋体"/>
          <w:b/>
          <w:bCs/>
          <w:color w:val="auto"/>
          <w:sz w:val="28"/>
          <w:szCs w:val="28"/>
          <w:highlight w:val="none"/>
        </w:rPr>
      </w:pPr>
    </w:p>
    <w:p w14:paraId="5837A6CA">
      <w:pP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标</w:t>
      </w:r>
    </w:p>
    <w:p w14:paraId="58E50914">
      <w:pPr>
        <w:autoSpaceDE/>
        <w:autoSpaceDN/>
        <w:jc w:val="center"/>
        <w:rPr>
          <w:rFonts w:hint="eastAsia" w:ascii="宋体" w:hAnsi="宋体" w:eastAsia="宋体" w:cs="宋体"/>
          <w:b/>
          <w:bCs/>
          <w:color w:val="auto"/>
          <w:sz w:val="28"/>
          <w:szCs w:val="28"/>
          <w:highlight w:val="none"/>
        </w:rPr>
      </w:pPr>
    </w:p>
    <w:p w14:paraId="762A5CE1">
      <w:pPr>
        <w:autoSpaceDE/>
        <w:autoSpaceDN/>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14:paraId="0D71B4A6">
      <w:pPr>
        <w:autoSpaceDE/>
        <w:autoSpaceDN/>
        <w:jc w:val="center"/>
        <w:rPr>
          <w:rFonts w:hint="eastAsia" w:ascii="宋体" w:hAnsi="宋体" w:eastAsia="宋体" w:cs="宋体"/>
          <w:b/>
          <w:bCs/>
          <w:color w:val="auto"/>
          <w:sz w:val="28"/>
          <w:szCs w:val="28"/>
          <w:highlight w:val="none"/>
        </w:rPr>
      </w:pPr>
    </w:p>
    <w:p w14:paraId="7AA7527F">
      <w:pPr>
        <w:autoSpaceDE/>
        <w:autoSpaceDN/>
        <w:jc w:val="center"/>
        <w:rPr>
          <w:rFonts w:hint="eastAsia" w:ascii="宋体" w:hAnsi="宋体" w:eastAsia="宋体" w:cs="宋体"/>
          <w:color w:val="auto"/>
          <w:sz w:val="84"/>
          <w:szCs w:val="84"/>
          <w:highlight w:val="none"/>
        </w:rPr>
      </w:pPr>
      <w:r>
        <w:rPr>
          <w:rFonts w:hint="eastAsia" w:ascii="宋体" w:hAnsi="宋体" w:eastAsia="宋体" w:cs="宋体"/>
          <w:b/>
          <w:bCs/>
          <w:color w:val="auto"/>
          <w:sz w:val="84"/>
          <w:szCs w:val="84"/>
          <w:highlight w:val="none"/>
        </w:rPr>
        <w:t>件</w:t>
      </w:r>
    </w:p>
    <w:p w14:paraId="64412D05">
      <w:pPr>
        <w:pStyle w:val="10"/>
        <w:adjustRightInd w:val="0"/>
        <w:snapToGrid w:val="0"/>
        <w:spacing w:before="120" w:after="120"/>
        <w:jc w:val="left"/>
        <w:rPr>
          <w:rFonts w:hint="eastAsia" w:ascii="宋体" w:hAnsi="宋体" w:eastAsia="宋体" w:cs="宋体"/>
          <w:bCs/>
          <w:color w:val="auto"/>
          <w:w w:val="95"/>
          <w:sz w:val="36"/>
          <w:szCs w:val="36"/>
          <w:highlight w:val="none"/>
        </w:rPr>
      </w:pPr>
      <w:r>
        <w:rPr>
          <w:rFonts w:hint="eastAsia" w:ascii="宋体" w:hAnsi="宋体" w:eastAsia="宋体" w:cs="宋体"/>
          <w:bCs/>
          <w:color w:val="auto"/>
          <w:w w:val="95"/>
          <w:sz w:val="36"/>
          <w:szCs w:val="36"/>
          <w:highlight w:val="none"/>
        </w:rPr>
        <w:t xml:space="preserve">   </w:t>
      </w:r>
    </w:p>
    <w:p w14:paraId="5488FE15">
      <w:pPr>
        <w:spacing w:line="360" w:lineRule="auto"/>
        <w:ind w:firstLine="1606" w:firstLineChars="5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 购 单 位：</w:t>
      </w:r>
      <w:r>
        <w:rPr>
          <w:rFonts w:hint="eastAsia" w:ascii="宋体" w:hAnsi="宋体" w:cs="宋体"/>
          <w:b/>
          <w:bCs/>
          <w:color w:val="auto"/>
          <w:sz w:val="32"/>
          <w:szCs w:val="32"/>
          <w:highlight w:val="none"/>
          <w:lang w:eastAsia="zh-CN"/>
        </w:rPr>
        <w:t>浙江省诸暨市学勉中学</w:t>
      </w:r>
    </w:p>
    <w:p w14:paraId="4A00C47C">
      <w:pPr>
        <w:spacing w:line="360" w:lineRule="auto"/>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 采购代理机构：浙江明业项目管理有限公司</w:t>
      </w:r>
    </w:p>
    <w:p w14:paraId="77AF484C">
      <w:pPr>
        <w:pStyle w:val="10"/>
        <w:adjustRightInd w:val="0"/>
        <w:snapToGrid w:val="0"/>
        <w:spacing w:before="120" w:after="120"/>
        <w:jc w:val="center"/>
        <w:rPr>
          <w:rFonts w:hint="eastAsia" w:ascii="宋体" w:hAnsi="宋体" w:eastAsia="宋体" w:cs="宋体"/>
          <w:b/>
          <w:color w:val="auto"/>
          <w:w w:val="95"/>
          <w:sz w:val="32"/>
          <w:szCs w:val="32"/>
          <w:highlight w:val="none"/>
        </w:rPr>
      </w:pPr>
      <w:r>
        <w:rPr>
          <w:rFonts w:hint="eastAsia" w:ascii="宋体" w:hAnsi="宋体" w:eastAsia="宋体" w:cs="宋体"/>
          <w:b/>
          <w:color w:val="auto"/>
          <w:w w:val="95"/>
          <w:sz w:val="32"/>
          <w:szCs w:val="32"/>
          <w:highlight w:val="none"/>
        </w:rPr>
        <w:t>二〇二</w:t>
      </w:r>
      <w:r>
        <w:rPr>
          <w:rFonts w:hint="eastAsia" w:ascii="宋体" w:hAnsi="宋体" w:eastAsia="宋体" w:cs="宋体"/>
          <w:b/>
          <w:color w:val="auto"/>
          <w:w w:val="95"/>
          <w:sz w:val="32"/>
          <w:szCs w:val="32"/>
          <w:highlight w:val="none"/>
          <w:lang w:val="en-US" w:eastAsia="zh-CN"/>
        </w:rPr>
        <w:t>五</w:t>
      </w:r>
      <w:r>
        <w:rPr>
          <w:rFonts w:hint="eastAsia" w:ascii="宋体" w:hAnsi="宋体" w:eastAsia="宋体" w:cs="宋体"/>
          <w:b/>
          <w:color w:val="auto"/>
          <w:w w:val="95"/>
          <w:sz w:val="32"/>
          <w:szCs w:val="32"/>
          <w:highlight w:val="none"/>
        </w:rPr>
        <w:t>年</w:t>
      </w:r>
      <w:r>
        <w:rPr>
          <w:rFonts w:hint="eastAsia" w:ascii="宋体" w:hAnsi="宋体" w:cs="宋体"/>
          <w:b/>
          <w:color w:val="auto"/>
          <w:w w:val="95"/>
          <w:sz w:val="32"/>
          <w:szCs w:val="32"/>
          <w:highlight w:val="none"/>
          <w:lang w:val="en-US" w:eastAsia="zh-CN"/>
        </w:rPr>
        <w:t>六</w:t>
      </w:r>
      <w:r>
        <w:rPr>
          <w:rFonts w:hint="eastAsia" w:ascii="宋体" w:hAnsi="宋体" w:eastAsia="宋体" w:cs="宋体"/>
          <w:b/>
          <w:color w:val="auto"/>
          <w:w w:val="95"/>
          <w:sz w:val="32"/>
          <w:szCs w:val="32"/>
          <w:highlight w:val="none"/>
        </w:rPr>
        <w:t>月</w:t>
      </w:r>
    </w:p>
    <w:p w14:paraId="0A8B05CB">
      <w:pPr>
        <w:rPr>
          <w:rFonts w:hint="eastAsia" w:ascii="宋体" w:hAnsi="宋体" w:eastAsia="宋体" w:cs="宋体"/>
          <w:b/>
          <w:color w:val="auto"/>
          <w:sz w:val="36"/>
          <w:szCs w:val="36"/>
          <w:highlight w:val="none"/>
        </w:rPr>
      </w:pPr>
    </w:p>
    <w:p w14:paraId="28B0780D">
      <w:pPr>
        <w:jc w:val="center"/>
        <w:rPr>
          <w:rFonts w:hint="eastAsia" w:ascii="宋体" w:hAnsi="宋体" w:eastAsia="宋体" w:cs="宋体"/>
          <w:b/>
          <w:color w:val="auto"/>
          <w:sz w:val="44"/>
          <w:szCs w:val="44"/>
          <w:highlight w:val="none"/>
        </w:rPr>
        <w:sectPr>
          <w:headerReference r:id="rId4" w:type="first"/>
          <w:headerReference r:id="rId3" w:type="default"/>
          <w:footerReference r:id="rId5" w:type="default"/>
          <w:footerReference r:id="rId6" w:type="even"/>
          <w:pgSz w:w="11906" w:h="16838"/>
          <w:pgMar w:top="1236" w:right="1236" w:bottom="1236" w:left="1236" w:header="851" w:footer="907" w:gutter="0"/>
          <w:pgBorders>
            <w:top w:val="none" w:sz="0" w:space="0"/>
            <w:left w:val="none" w:sz="0" w:space="0"/>
            <w:bottom w:val="none" w:sz="0" w:space="0"/>
            <w:right w:val="none" w:sz="0" w:space="0"/>
          </w:pgBorders>
          <w:pgNumType w:start="0"/>
          <w:cols w:space="720" w:num="1"/>
          <w:docGrid w:type="lines" w:linePitch="312" w:charSpace="0"/>
        </w:sectPr>
      </w:pPr>
      <w:bookmarkStart w:id="0" w:name="_Toc125344501"/>
    </w:p>
    <w:p w14:paraId="5F44E1E5">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录</w:t>
      </w:r>
    </w:p>
    <w:p w14:paraId="4C6B9D6C">
      <w:pPr>
        <w:jc w:val="center"/>
        <w:rPr>
          <w:rFonts w:hint="eastAsia" w:ascii="宋体" w:hAnsi="宋体" w:eastAsia="宋体" w:cs="宋体"/>
          <w:b/>
          <w:color w:val="auto"/>
          <w:sz w:val="44"/>
          <w:szCs w:val="44"/>
          <w:highlight w:val="none"/>
        </w:rPr>
      </w:pPr>
    </w:p>
    <w:p w14:paraId="739FF99C">
      <w:pPr>
        <w:jc w:val="center"/>
        <w:rPr>
          <w:rFonts w:hint="eastAsia" w:ascii="宋体" w:hAnsi="宋体" w:eastAsia="宋体" w:cs="宋体"/>
          <w:color w:val="auto"/>
          <w:highlight w:val="none"/>
        </w:rPr>
      </w:pPr>
    </w:p>
    <w:p w14:paraId="302428C3">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招标公告</w:t>
      </w:r>
    </w:p>
    <w:p w14:paraId="6B851A32">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投标须知</w:t>
      </w:r>
    </w:p>
    <w:p w14:paraId="5C34D33C">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1E566BD6">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招标需求</w:t>
      </w:r>
    </w:p>
    <w:p w14:paraId="32F0890D">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诸暨市采购合同</w:t>
      </w:r>
    </w:p>
    <w:p w14:paraId="02254657">
      <w:pPr>
        <w:snapToGrid w:val="0"/>
        <w:spacing w:line="480" w:lineRule="auto"/>
        <w:ind w:firstLine="1807" w:firstLineChars="50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应提交的有关格式范例</w:t>
      </w:r>
    </w:p>
    <w:p w14:paraId="268754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请各位投标人详细阅读各项条款</w:t>
      </w:r>
    </w:p>
    <w:p w14:paraId="7EB47ADE">
      <w:pPr>
        <w:jc w:val="center"/>
        <w:rPr>
          <w:rFonts w:hint="eastAsia" w:ascii="宋体" w:hAnsi="宋体" w:eastAsia="宋体" w:cs="宋体"/>
          <w:b/>
          <w:color w:val="auto"/>
          <w:sz w:val="36"/>
          <w:szCs w:val="36"/>
          <w:highlight w:val="none"/>
        </w:rPr>
        <w:sectPr>
          <w:footerReference r:id="rId7" w:type="default"/>
          <w:pgSz w:w="11906" w:h="16838"/>
          <w:pgMar w:top="1236" w:right="1236" w:bottom="1236" w:left="1236" w:header="851" w:footer="907" w:gutter="0"/>
          <w:pgBorders>
            <w:top w:val="none" w:sz="0" w:space="0"/>
            <w:left w:val="none" w:sz="0" w:space="0"/>
            <w:bottom w:val="none" w:sz="0" w:space="0"/>
            <w:right w:val="none" w:sz="0" w:space="0"/>
          </w:pgBorders>
          <w:pgNumType w:start="1"/>
          <w:cols w:space="720" w:num="1"/>
          <w:docGrid w:type="lines" w:linePitch="312" w:charSpace="0"/>
        </w:sectPr>
      </w:pPr>
    </w:p>
    <w:p w14:paraId="6E36D1E7">
      <w:pPr>
        <w:keepNext w:val="0"/>
        <w:keepLines w:val="0"/>
        <w:pageBreakBefore w:val="0"/>
        <w:widowControl w:val="0"/>
        <w:kinsoku/>
        <w:wordWrap/>
        <w:topLinePunct w:val="0"/>
        <w:bidi w:val="0"/>
        <w:adjustRightInd w:val="0"/>
        <w:spacing w:line="288" w:lineRule="auto"/>
        <w:ind w:left="0" w:leftChars="0"/>
        <w:jc w:val="center"/>
        <w:textAlignment w:val="auto"/>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rPr>
        <w:t>第一章</w:t>
      </w:r>
      <w:bookmarkStart w:id="1" w:name="OLE_LINK10"/>
      <w:r>
        <w:rPr>
          <w:rFonts w:hint="eastAsia" w:ascii="宋体" w:hAnsi="宋体" w:eastAsia="宋体" w:cs="宋体"/>
          <w:b/>
          <w:color w:val="auto"/>
          <w:sz w:val="44"/>
          <w:szCs w:val="44"/>
          <w:highlight w:val="none"/>
          <w:lang w:val="en-US" w:eastAsia="zh-CN"/>
        </w:rPr>
        <w:t xml:space="preserve">  </w:t>
      </w:r>
      <w:r>
        <w:rPr>
          <w:rFonts w:hint="eastAsia" w:ascii="宋体" w:hAnsi="宋体" w:cs="宋体"/>
          <w:b/>
          <w:color w:val="auto"/>
          <w:sz w:val="44"/>
          <w:szCs w:val="44"/>
          <w:highlight w:val="none"/>
          <w:lang w:val="en-US" w:eastAsia="zh-CN"/>
        </w:rPr>
        <w:t>第二次</w:t>
      </w:r>
      <w:r>
        <w:rPr>
          <w:rFonts w:hint="eastAsia" w:ascii="宋体" w:hAnsi="宋体" w:eastAsia="宋体" w:cs="宋体"/>
          <w:b/>
          <w:color w:val="auto"/>
          <w:sz w:val="44"/>
          <w:szCs w:val="44"/>
          <w:highlight w:val="none"/>
        </w:rPr>
        <w:t>招标公告</w:t>
      </w:r>
      <w:bookmarkEnd w:id="0"/>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非政府采购）</w:t>
      </w:r>
    </w:p>
    <w:p w14:paraId="0A521820">
      <w:pPr>
        <w:keepNext w:val="0"/>
        <w:keepLines w:val="0"/>
        <w:pageBreakBefore w:val="0"/>
        <w:widowControl w:val="0"/>
        <w:kinsoku/>
        <w:wordWrap/>
        <w:topLinePunct w:val="0"/>
        <w:bidi w:val="0"/>
        <w:adjustRightInd w:val="0"/>
        <w:spacing w:line="288" w:lineRule="auto"/>
        <w:ind w:left="0" w:leftChars="0"/>
        <w:jc w:val="center"/>
        <w:textAlignment w:val="auto"/>
        <w:rPr>
          <w:rFonts w:hint="eastAsia" w:ascii="宋体" w:hAnsi="宋体" w:eastAsia="宋体" w:cs="宋体"/>
          <w:color w:val="auto"/>
          <w:sz w:val="28"/>
          <w:szCs w:val="28"/>
          <w:highlight w:val="none"/>
        </w:rPr>
      </w:pPr>
      <w:bookmarkStart w:id="2" w:name="_Toc125344503"/>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浙江明业2025-06-09-01</w:t>
      </w:r>
      <w:r>
        <w:rPr>
          <w:rFonts w:hint="eastAsia" w:ascii="宋体" w:hAnsi="宋体" w:eastAsia="宋体" w:cs="宋体"/>
          <w:b/>
          <w:color w:val="auto"/>
          <w:sz w:val="28"/>
          <w:szCs w:val="28"/>
          <w:highlight w:val="none"/>
        </w:rPr>
        <w:t>）</w:t>
      </w:r>
    </w:p>
    <w:p w14:paraId="403E9A03">
      <w:pPr>
        <w:keepNext w:val="0"/>
        <w:keepLines w:val="0"/>
        <w:pageBreakBefore w:val="0"/>
        <w:widowControl w:val="0"/>
        <w:kinsoku/>
        <w:wordWrap/>
        <w:overflowPunct/>
        <w:topLinePunct w:val="0"/>
        <w:bidi w:val="0"/>
        <w:adjustRightInd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根据相关法律法规等有关规定，经</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批准，</w:t>
      </w:r>
      <w:r>
        <w:rPr>
          <w:rFonts w:hint="eastAsia" w:ascii="宋体" w:hAnsi="宋体" w:eastAsia="宋体" w:cs="宋体"/>
          <w:color w:val="auto"/>
          <w:sz w:val="24"/>
          <w:szCs w:val="24"/>
          <w:highlight w:val="none"/>
          <w:u w:val="single"/>
        </w:rPr>
        <w:t>浙江明业项目管理有限公司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浙江省诸暨市学勉中学</w:t>
      </w:r>
      <w:r>
        <w:rPr>
          <w:rFonts w:hint="eastAsia" w:ascii="宋体" w:hAnsi="宋体" w:eastAsia="宋体" w:cs="宋体"/>
          <w:color w:val="auto"/>
          <w:sz w:val="24"/>
          <w:szCs w:val="24"/>
          <w:highlight w:val="none"/>
        </w:rPr>
        <w:t>委托，对下列项目进行公开招标，特邀请国内符合条件的投标人参与投标。现将有关事项公告如下：</w:t>
      </w:r>
    </w:p>
    <w:p w14:paraId="51C3A5F3">
      <w:pPr>
        <w:keepNext w:val="0"/>
        <w:keepLines w:val="0"/>
        <w:pageBreakBefore w:val="0"/>
        <w:widowControl w:val="0"/>
        <w:kinsoku/>
        <w:wordWrap/>
        <w:overflowPunct/>
        <w:topLinePunct w:val="0"/>
        <w:bidi w:val="0"/>
        <w:adjustRightInd w:val="0"/>
        <w:snapToGrid w:val="0"/>
        <w:spacing w:line="288" w:lineRule="auto"/>
        <w:ind w:left="0" w:leftChars="0" w:firstLine="472" w:firstLineChars="196"/>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一、项目名称：</w:t>
      </w:r>
      <w:r>
        <w:rPr>
          <w:rFonts w:hint="eastAsia" w:ascii="宋体" w:hAnsi="宋体" w:cs="宋体"/>
          <w:b w:val="0"/>
          <w:bCs/>
          <w:color w:val="auto"/>
          <w:sz w:val="24"/>
          <w:szCs w:val="24"/>
          <w:highlight w:val="none"/>
          <w:lang w:eastAsia="zh-CN"/>
        </w:rPr>
        <w:t>浙江省诸暨市学勉中学2025年度疗休养服务采购</w:t>
      </w:r>
      <w:r>
        <w:rPr>
          <w:rFonts w:hint="eastAsia" w:ascii="宋体" w:hAnsi="宋体" w:eastAsia="宋体" w:cs="宋体"/>
          <w:b w:val="0"/>
          <w:bCs/>
          <w:color w:val="auto"/>
          <w:sz w:val="24"/>
          <w:szCs w:val="24"/>
          <w:highlight w:val="none"/>
          <w:lang w:eastAsia="zh-CN"/>
        </w:rPr>
        <w:t>项目</w:t>
      </w:r>
    </w:p>
    <w:p w14:paraId="4A9D94D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二、采购组织类型：</w:t>
      </w:r>
      <w:r>
        <w:rPr>
          <w:rFonts w:hint="eastAsia" w:ascii="宋体" w:hAnsi="宋体" w:eastAsia="宋体" w:cs="宋体"/>
          <w:b w:val="0"/>
          <w:bCs/>
          <w:color w:val="auto"/>
          <w:sz w:val="24"/>
          <w:szCs w:val="24"/>
          <w:highlight w:val="none"/>
          <w:lang w:val="en-US" w:eastAsia="zh-CN"/>
        </w:rPr>
        <w:t>采购</w:t>
      </w:r>
      <w:r>
        <w:rPr>
          <w:rFonts w:hint="eastAsia" w:ascii="宋体" w:hAnsi="宋体" w:eastAsia="宋体" w:cs="宋体"/>
          <w:b w:val="0"/>
          <w:bCs/>
          <w:color w:val="auto"/>
          <w:sz w:val="24"/>
          <w:szCs w:val="24"/>
          <w:highlight w:val="none"/>
          <w:lang w:eastAsia="zh-CN"/>
        </w:rPr>
        <w:t>委托代</w:t>
      </w:r>
      <w:r>
        <w:rPr>
          <w:rFonts w:hint="eastAsia" w:ascii="宋体" w:hAnsi="宋体" w:eastAsia="宋体" w:cs="宋体"/>
          <w:b w:val="0"/>
          <w:bCs/>
          <w:color w:val="auto"/>
          <w:sz w:val="24"/>
          <w:szCs w:val="24"/>
          <w:highlight w:val="none"/>
        </w:rPr>
        <w:t>理</w:t>
      </w:r>
    </w:p>
    <w:p w14:paraId="0DA0C2BA">
      <w:pPr>
        <w:keepNext w:val="0"/>
        <w:keepLines w:val="0"/>
        <w:pageBreakBefore w:val="0"/>
        <w:widowControl w:val="0"/>
        <w:kinsoku/>
        <w:wordWrap/>
        <w:overflowPunct w:val="0"/>
        <w:topLinePunct w:val="0"/>
        <w:bidi w:val="0"/>
        <w:adjustRightInd w:val="0"/>
        <w:snapToGrid w:val="0"/>
        <w:spacing w:line="288" w:lineRule="auto"/>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三、项目内容及规模：</w:t>
      </w:r>
      <w:bookmarkStart w:id="3" w:name="_Hlk44574602"/>
      <w:bookmarkStart w:id="4" w:name="_Hlk44573494"/>
      <w:r>
        <w:rPr>
          <w:rFonts w:hint="eastAsia" w:ascii="宋体" w:hAnsi="宋体" w:cs="宋体"/>
          <w:b w:val="0"/>
          <w:bCs/>
          <w:color w:val="auto"/>
          <w:sz w:val="24"/>
          <w:szCs w:val="24"/>
          <w:highlight w:val="none"/>
          <w:lang w:eastAsia="zh-CN"/>
        </w:rPr>
        <w:t>浙江省诸暨市学勉中学2025年度疗休养服务采购</w:t>
      </w:r>
      <w:r>
        <w:rPr>
          <w:rFonts w:hint="eastAsia" w:ascii="宋体" w:hAnsi="宋体" w:eastAsia="宋体" w:cs="宋体"/>
          <w:color w:val="auto"/>
          <w:sz w:val="24"/>
          <w:szCs w:val="24"/>
          <w:highlight w:val="none"/>
          <w:lang w:eastAsia="zh-CN"/>
        </w:rPr>
        <w:t>，</w:t>
      </w:r>
      <w:bookmarkEnd w:id="3"/>
      <w:bookmarkEnd w:id="4"/>
      <w:r>
        <w:rPr>
          <w:rFonts w:hint="eastAsia" w:ascii="宋体" w:hAnsi="宋体" w:eastAsia="宋体" w:cs="宋体"/>
          <w:color w:val="auto"/>
          <w:sz w:val="24"/>
          <w:szCs w:val="24"/>
          <w:highlight w:val="none"/>
          <w:lang w:eastAsia="zh-CN"/>
        </w:rPr>
        <w:t>本项目共</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个标项，</w:t>
      </w:r>
      <w:r>
        <w:rPr>
          <w:rFonts w:hint="eastAsia" w:ascii="宋体" w:hAnsi="宋体" w:eastAsia="宋体" w:cs="宋体"/>
          <w:color w:val="auto"/>
          <w:sz w:val="24"/>
          <w:szCs w:val="24"/>
          <w:highlight w:val="none"/>
        </w:rPr>
        <w:t>人数约</w:t>
      </w:r>
      <w:r>
        <w:rPr>
          <w:rFonts w:hint="eastAsia" w:ascii="宋体" w:hAnsi="宋体"/>
          <w:color w:val="auto"/>
          <w:sz w:val="24"/>
          <w:szCs w:val="24"/>
          <w:lang w:val="en-US" w:eastAsia="zh-CN"/>
        </w:rPr>
        <w:t>55</w:t>
      </w:r>
      <w:r>
        <w:rPr>
          <w:rFonts w:hint="eastAsia" w:ascii="宋体" w:hAnsi="宋体" w:eastAsia="宋体"/>
          <w:color w:val="auto"/>
          <w:sz w:val="24"/>
          <w:szCs w:val="24"/>
        </w:rPr>
        <w:t>人</w:t>
      </w:r>
      <w:r>
        <w:rPr>
          <w:rFonts w:hint="eastAsia" w:ascii="宋体" w:hAnsi="宋体" w:eastAsia="宋体" w:cs="宋体"/>
          <w:color w:val="auto"/>
          <w:sz w:val="24"/>
          <w:szCs w:val="24"/>
          <w:highlight w:val="none"/>
        </w:rPr>
        <w:t>（实际参与疗休养人数以最终成行总人数为准），</w:t>
      </w:r>
      <w:r>
        <w:rPr>
          <w:rFonts w:hint="eastAsia" w:ascii="宋体" w:hAnsi="宋体" w:eastAsia="宋体" w:cs="宋体"/>
          <w:color w:val="auto"/>
          <w:sz w:val="24"/>
          <w:szCs w:val="24"/>
          <w:highlight w:val="none"/>
          <w:lang w:val="en-US" w:eastAsia="zh-CN"/>
        </w:rPr>
        <w:t>采购预算</w:t>
      </w:r>
      <w:r>
        <w:rPr>
          <w:rFonts w:hint="eastAsia" w:ascii="宋体" w:hAnsi="宋体" w:eastAsia="宋体" w:cs="宋体"/>
          <w:color w:val="auto"/>
          <w:sz w:val="24"/>
          <w:szCs w:val="24"/>
          <w:highlight w:val="none"/>
        </w:rPr>
        <w:t>总金额为</w:t>
      </w:r>
      <w:r>
        <w:rPr>
          <w:rFonts w:hint="eastAsia" w:ascii="宋体" w:hAnsi="宋体" w:cs="宋体"/>
          <w:color w:val="auto"/>
          <w:sz w:val="24"/>
          <w:szCs w:val="24"/>
          <w:highlight w:val="none"/>
          <w:lang w:val="en-US" w:eastAsia="zh-CN"/>
        </w:rPr>
        <w:t>16.50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最高单价限价</w:t>
      </w:r>
      <w:r>
        <w:rPr>
          <w:rFonts w:hint="eastAsia" w:ascii="宋体" w:hAnsi="宋体" w:eastAsia="宋体" w:cs="宋体"/>
          <w:color w:val="auto"/>
          <w:sz w:val="24"/>
          <w:szCs w:val="24"/>
          <w:highlight w:val="none"/>
          <w:lang w:eastAsia="zh-CN"/>
        </w:rPr>
        <w:t>见下表，具体内容详见采购需求。</w:t>
      </w:r>
    </w:p>
    <w:tbl>
      <w:tblPr>
        <w:tblStyle w:val="16"/>
        <w:tblW w:w="9598" w:type="dxa"/>
        <w:jc w:val="center"/>
        <w:tblLayout w:type="fixed"/>
        <w:tblCellMar>
          <w:top w:w="0" w:type="dxa"/>
          <w:left w:w="0" w:type="dxa"/>
          <w:bottom w:w="0" w:type="dxa"/>
          <w:right w:w="0" w:type="dxa"/>
        </w:tblCellMar>
      </w:tblPr>
      <w:tblGrid>
        <w:gridCol w:w="592"/>
        <w:gridCol w:w="1307"/>
        <w:gridCol w:w="1132"/>
        <w:gridCol w:w="1875"/>
        <w:gridCol w:w="1210"/>
        <w:gridCol w:w="1656"/>
        <w:gridCol w:w="1826"/>
      </w:tblGrid>
      <w:tr w14:paraId="20BAAB7F">
        <w:tblPrEx>
          <w:tblCellMar>
            <w:top w:w="0" w:type="dxa"/>
            <w:left w:w="0" w:type="dxa"/>
            <w:bottom w:w="0" w:type="dxa"/>
            <w:right w:w="0" w:type="dxa"/>
          </w:tblCellMar>
        </w:tblPrEx>
        <w:trPr>
          <w:cantSplit/>
          <w:trHeight w:val="644"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D23BF2">
            <w:pPr>
              <w:jc w:val="center"/>
              <w:rPr>
                <w:rFonts w:ascii="宋体" w:hAnsi="宋体" w:eastAsia="宋体" w:cs="仿宋"/>
                <w:color w:val="auto"/>
                <w:sz w:val="24"/>
                <w:highlight w:val="none"/>
              </w:rPr>
            </w:pPr>
            <w:r>
              <w:rPr>
                <w:rFonts w:hint="eastAsia" w:ascii="宋体" w:hAnsi="宋体" w:eastAsia="宋体" w:cs="仿宋"/>
                <w:b/>
                <w:color w:val="auto"/>
                <w:sz w:val="24"/>
                <w:highlight w:val="none"/>
              </w:rPr>
              <w:t>标项</w:t>
            </w:r>
          </w:p>
        </w:tc>
        <w:tc>
          <w:tcPr>
            <w:tcW w:w="13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EB30A6">
            <w:pPr>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标项</w:t>
            </w:r>
            <w:r>
              <w:rPr>
                <w:rFonts w:hint="eastAsia" w:ascii="宋体" w:hAnsi="宋体" w:eastAsia="宋体" w:cs="仿宋"/>
                <w:b/>
                <w:color w:val="auto"/>
                <w:sz w:val="24"/>
                <w:highlight w:val="none"/>
              </w:rPr>
              <w:t>名称</w:t>
            </w:r>
          </w:p>
        </w:tc>
        <w:tc>
          <w:tcPr>
            <w:tcW w:w="11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4C25F8">
            <w:pPr>
              <w:jc w:val="center"/>
              <w:rPr>
                <w:rFonts w:hint="eastAsia" w:ascii="宋体" w:hAnsi="宋体" w:eastAsia="宋体" w:cs="仿宋"/>
                <w:b/>
                <w:color w:val="auto"/>
                <w:sz w:val="24"/>
                <w:highlight w:val="none"/>
                <w:lang w:val="en-US" w:eastAsia="zh-CN"/>
              </w:rPr>
            </w:pPr>
            <w:r>
              <w:rPr>
                <w:rFonts w:hint="eastAsia" w:ascii="宋体" w:hAnsi="宋体" w:eastAsia="宋体" w:cs="仿宋"/>
                <w:b/>
                <w:color w:val="auto"/>
                <w:sz w:val="24"/>
                <w:highlight w:val="none"/>
                <w:lang w:val="en-US" w:eastAsia="zh-CN"/>
              </w:rPr>
              <w:t>行程</w:t>
            </w:r>
            <w:r>
              <w:rPr>
                <w:rFonts w:hint="eastAsia" w:ascii="宋体" w:hAnsi="宋体" w:eastAsia="宋体" w:cs="仿宋"/>
                <w:b/>
                <w:color w:val="auto"/>
                <w:sz w:val="24"/>
                <w:highlight w:val="none"/>
              </w:rPr>
              <w:t>天数</w:t>
            </w:r>
          </w:p>
        </w:tc>
        <w:tc>
          <w:tcPr>
            <w:tcW w:w="18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390828">
            <w:pPr>
              <w:keepNext w:val="0"/>
              <w:keepLines w:val="0"/>
              <w:pageBreakBefore w:val="0"/>
              <w:kinsoku/>
              <w:wordWrap/>
              <w:topLinePunct w:val="0"/>
              <w:bidi w:val="0"/>
              <w:snapToGrid/>
              <w:spacing w:line="288"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疗休养费用标准</w:t>
            </w:r>
          </w:p>
          <w:p w14:paraId="3BE9C4B5">
            <w:pPr>
              <w:jc w:val="center"/>
              <w:rPr>
                <w:rFonts w:ascii="宋体" w:hAnsi="宋体" w:eastAsia="宋体" w:cs="仿宋"/>
                <w:b/>
                <w:color w:val="auto"/>
                <w:sz w:val="24"/>
                <w:highlight w:val="none"/>
              </w:rPr>
            </w:pPr>
            <w:r>
              <w:rPr>
                <w:rFonts w:hint="eastAsia" w:ascii="宋体" w:hAnsi="宋体" w:eastAsia="宋体" w:cs="宋体"/>
                <w:b/>
                <w:color w:val="auto"/>
                <w:sz w:val="24"/>
                <w:szCs w:val="24"/>
                <w:highlight w:val="none"/>
              </w:rPr>
              <w:t>（元/人）</w:t>
            </w:r>
          </w:p>
        </w:tc>
        <w:tc>
          <w:tcPr>
            <w:tcW w:w="12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B4C63B">
            <w:pPr>
              <w:jc w:val="center"/>
              <w:rPr>
                <w:rFonts w:hint="eastAsia" w:ascii="宋体" w:hAnsi="宋体" w:eastAsia="宋体" w:cs="仿宋"/>
                <w:b/>
                <w:color w:val="auto"/>
                <w:sz w:val="24"/>
                <w:highlight w:val="none"/>
                <w:lang w:eastAsia="zh-CN"/>
              </w:rPr>
            </w:pPr>
            <w:r>
              <w:rPr>
                <w:rFonts w:hint="eastAsia" w:ascii="宋体" w:hAnsi="宋体" w:eastAsia="宋体" w:cs="仿宋"/>
                <w:b/>
                <w:color w:val="auto"/>
                <w:sz w:val="24"/>
                <w:highlight w:val="none"/>
              </w:rPr>
              <w:t>人数</w:t>
            </w:r>
            <w:r>
              <w:rPr>
                <w:rFonts w:hint="eastAsia" w:ascii="宋体" w:hAnsi="宋体" w:eastAsia="宋体" w:cs="仿宋"/>
                <w:b/>
                <w:color w:val="auto"/>
                <w:sz w:val="24"/>
                <w:highlight w:val="none"/>
                <w:lang w:eastAsia="zh-CN"/>
              </w:rPr>
              <w:t>（</w:t>
            </w:r>
            <w:r>
              <w:rPr>
                <w:rFonts w:hint="eastAsia" w:ascii="宋体" w:hAnsi="宋体" w:eastAsia="宋体" w:cs="仿宋"/>
                <w:bCs/>
                <w:color w:val="auto"/>
                <w:sz w:val="24"/>
                <w:highlight w:val="none"/>
                <w:lang w:val="en-US" w:eastAsia="zh-CN"/>
              </w:rPr>
              <w:t>人</w:t>
            </w:r>
            <w:r>
              <w:rPr>
                <w:rFonts w:hint="eastAsia" w:ascii="宋体" w:hAnsi="宋体" w:eastAsia="宋体" w:cs="仿宋"/>
                <w:b/>
                <w:color w:val="auto"/>
                <w:sz w:val="24"/>
                <w:highlight w:val="none"/>
                <w:lang w:eastAsia="zh-CN"/>
              </w:rPr>
              <w:t>）</w:t>
            </w:r>
          </w:p>
        </w:tc>
        <w:tc>
          <w:tcPr>
            <w:tcW w:w="1656"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DC714EC">
            <w:pPr>
              <w:jc w:val="center"/>
              <w:rPr>
                <w:rFonts w:hint="eastAsia" w:ascii="宋体" w:hAnsi="宋体" w:eastAsia="宋体" w:cs="仿宋"/>
                <w:b/>
                <w:color w:val="auto"/>
                <w:sz w:val="24"/>
                <w:highlight w:val="none"/>
              </w:rPr>
            </w:pPr>
            <w:r>
              <w:rPr>
                <w:rFonts w:hint="eastAsia" w:ascii="宋体" w:hAnsi="宋体" w:eastAsia="宋体" w:cs="仿宋"/>
                <w:b/>
                <w:color w:val="auto"/>
                <w:sz w:val="24"/>
                <w:highlight w:val="none"/>
              </w:rPr>
              <w:t>预算金额</w:t>
            </w:r>
            <w:r>
              <w:rPr>
                <w:rFonts w:hint="eastAsia" w:ascii="宋体" w:hAnsi="宋体" w:eastAsia="宋体" w:cs="仿宋"/>
                <w:b/>
                <w:color w:val="auto"/>
                <w:sz w:val="24"/>
                <w:highlight w:val="none"/>
                <w:lang w:eastAsia="zh-CN"/>
              </w:rPr>
              <w:t>（</w:t>
            </w:r>
            <w:r>
              <w:rPr>
                <w:rFonts w:hint="eastAsia" w:ascii="宋体" w:hAnsi="宋体" w:eastAsia="宋体" w:cs="仿宋"/>
                <w:b/>
                <w:color w:val="auto"/>
                <w:sz w:val="24"/>
                <w:highlight w:val="none"/>
                <w:lang w:val="en-US" w:eastAsia="zh-CN"/>
              </w:rPr>
              <w:t>元</w:t>
            </w:r>
            <w:r>
              <w:rPr>
                <w:rFonts w:hint="eastAsia" w:ascii="宋体" w:hAnsi="宋体" w:eastAsia="宋体" w:cs="仿宋"/>
                <w:b/>
                <w:color w:val="auto"/>
                <w:sz w:val="24"/>
                <w:highlight w:val="none"/>
                <w:lang w:eastAsia="zh-CN"/>
              </w:rPr>
              <w:t>）</w:t>
            </w:r>
          </w:p>
        </w:tc>
        <w:tc>
          <w:tcPr>
            <w:tcW w:w="1826"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404CEAF">
            <w:pPr>
              <w:jc w:val="center"/>
              <w:rPr>
                <w:rFonts w:hint="eastAsia" w:ascii="宋体" w:hAnsi="宋体" w:eastAsia="宋体" w:cs="仿宋"/>
                <w:b/>
                <w:color w:val="auto"/>
                <w:sz w:val="24"/>
                <w:szCs w:val="21"/>
                <w:highlight w:val="none"/>
                <w:lang w:val="en-US" w:eastAsia="zh-CN" w:bidi="ar-SA"/>
              </w:rPr>
            </w:pPr>
            <w:r>
              <w:rPr>
                <w:rFonts w:hint="eastAsia" w:ascii="宋体" w:hAnsi="宋体" w:eastAsia="宋体" w:cs="仿宋"/>
                <w:b/>
                <w:color w:val="auto"/>
                <w:sz w:val="24"/>
                <w:highlight w:val="none"/>
              </w:rPr>
              <w:t>备注</w:t>
            </w:r>
          </w:p>
        </w:tc>
      </w:tr>
      <w:tr w14:paraId="3327A8F9">
        <w:tblPrEx>
          <w:tblCellMar>
            <w:top w:w="0" w:type="dxa"/>
            <w:left w:w="0" w:type="dxa"/>
            <w:bottom w:w="0" w:type="dxa"/>
            <w:right w:w="0" w:type="dxa"/>
          </w:tblCellMar>
        </w:tblPrEx>
        <w:trPr>
          <w:cantSplit/>
          <w:trHeight w:val="701"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BF615E">
            <w:pPr>
              <w:spacing w:line="240" w:lineRule="auto"/>
              <w:jc w:val="center"/>
              <w:rPr>
                <w:rFonts w:hint="eastAsia"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1</w:t>
            </w:r>
          </w:p>
        </w:tc>
        <w:tc>
          <w:tcPr>
            <w:tcW w:w="130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B0233">
            <w:pPr>
              <w:spacing w:line="240" w:lineRule="auto"/>
              <w:jc w:val="center"/>
              <w:rPr>
                <w:rFonts w:hint="eastAsia" w:ascii="宋体" w:hAnsi="宋体" w:eastAsia="宋体" w:cs="仿宋"/>
                <w:bCs/>
                <w:color w:val="auto"/>
                <w:sz w:val="24"/>
                <w:highlight w:val="none"/>
                <w:lang w:val="en-US" w:eastAsia="zh-CN"/>
              </w:rPr>
            </w:pPr>
            <w:r>
              <w:rPr>
                <w:rFonts w:hint="eastAsia" w:ascii="宋体" w:hAnsi="宋体" w:eastAsia="宋体" w:cs="仿宋"/>
                <w:bCs/>
                <w:color w:val="auto"/>
                <w:sz w:val="24"/>
                <w:lang w:val="en-US" w:eastAsia="zh-CN"/>
              </w:rPr>
              <w:t>潮汕</w:t>
            </w:r>
            <w:r>
              <w:rPr>
                <w:rFonts w:hint="eastAsia" w:ascii="宋体" w:hAnsi="宋体" w:eastAsia="宋体" w:cs="仿宋"/>
                <w:bCs/>
                <w:color w:val="auto"/>
                <w:sz w:val="24"/>
              </w:rPr>
              <w:t>疗休养</w:t>
            </w:r>
          </w:p>
        </w:tc>
        <w:tc>
          <w:tcPr>
            <w:tcW w:w="11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252ED3">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5日</w:t>
            </w:r>
          </w:p>
        </w:tc>
        <w:tc>
          <w:tcPr>
            <w:tcW w:w="18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CFE83F">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宋体"/>
                <w:color w:val="auto"/>
                <w:sz w:val="24"/>
                <w:szCs w:val="24"/>
                <w:vertAlign w:val="baseline"/>
                <w:lang w:val="en-US" w:eastAsia="zh-CN"/>
              </w:rPr>
              <w:t>3000</w:t>
            </w:r>
          </w:p>
        </w:tc>
        <w:tc>
          <w:tcPr>
            <w:tcW w:w="12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36D8EB">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55</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248797A">
            <w:pPr>
              <w:jc w:val="center"/>
              <w:rPr>
                <w:rFonts w:hint="default"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165000</w:t>
            </w:r>
          </w:p>
        </w:tc>
        <w:tc>
          <w:tcPr>
            <w:tcW w:w="182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D9B592B">
            <w:pPr>
              <w:jc w:val="center"/>
              <w:rPr>
                <w:rFonts w:hint="eastAsia" w:ascii="宋体" w:hAnsi="宋体" w:eastAsia="宋体" w:cs="仿宋"/>
                <w:b/>
                <w:color w:val="auto"/>
                <w:sz w:val="24"/>
                <w:szCs w:val="21"/>
                <w:highlight w:val="none"/>
                <w:shd w:val="clear" w:color="auto" w:fill="FFFF00"/>
                <w:lang w:val="en-US" w:eastAsia="zh-CN" w:bidi="ar-SA"/>
              </w:rPr>
            </w:pPr>
            <w:r>
              <w:rPr>
                <w:rFonts w:hint="eastAsia" w:ascii="宋体" w:hAnsi="宋体" w:eastAsia="宋体" w:cs="仿宋"/>
                <w:color w:val="auto"/>
                <w:kern w:val="0"/>
                <w:sz w:val="24"/>
                <w:highlight w:val="none"/>
              </w:rPr>
              <w:t>批数及每批人数以实际成团人数为准</w:t>
            </w:r>
          </w:p>
        </w:tc>
      </w:tr>
    </w:tbl>
    <w:p w14:paraId="6AD5635F">
      <w:pPr>
        <w:pStyle w:val="7"/>
        <w:rPr>
          <w:rFonts w:hint="eastAsia"/>
          <w:color w:val="auto"/>
          <w:lang w:val="en-US" w:eastAsia="zh-CN"/>
        </w:rPr>
      </w:pPr>
    </w:p>
    <w:p w14:paraId="5A76A726">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四、评标办法：</w:t>
      </w:r>
      <w:r>
        <w:rPr>
          <w:rFonts w:hint="eastAsia" w:ascii="宋体" w:hAnsi="宋体" w:eastAsia="宋体" w:cs="宋体"/>
          <w:b w:val="0"/>
          <w:bCs/>
          <w:color w:val="auto"/>
          <w:sz w:val="24"/>
          <w:szCs w:val="24"/>
          <w:highlight w:val="none"/>
        </w:rPr>
        <w:t>综合评分法</w:t>
      </w:r>
    </w:p>
    <w:p w14:paraId="23F6474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五、投标人（供应商）资格要求：</w:t>
      </w:r>
    </w:p>
    <w:p w14:paraId="3A7B1E3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color w:val="auto"/>
          <w:sz w:val="24"/>
          <w:szCs w:val="24"/>
          <w:highlight w:val="none"/>
          <w:lang w:val="en-US" w:eastAsia="zh-CN"/>
        </w:rPr>
        <w:t>符合下列要求：</w:t>
      </w:r>
    </w:p>
    <w:p w14:paraId="254EF9BB">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0F4A7FD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14:paraId="015B6D4D">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14:paraId="4D3C24A6">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14:paraId="7ADCEFC4">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（5）参加采购活动前三年内，在经营活动中没有重大违法记录；</w:t>
      </w:r>
    </w:p>
    <w:p w14:paraId="3194685B">
      <w:pPr>
        <w:keepNext w:val="0"/>
        <w:keepLines w:val="0"/>
        <w:pageBreakBefore w:val="0"/>
        <w:widowControl w:val="0"/>
        <w:kinsoku/>
        <w:wordWrap/>
        <w:overflowPunct/>
        <w:topLinePunct w:val="0"/>
        <w:autoSpaceDE w:val="0"/>
        <w:autoSpaceDN w:val="0"/>
        <w:bidi w:val="0"/>
        <w:adjustRightInd w:val="0"/>
        <w:snapToGrid w:val="0"/>
        <w:spacing w:line="312" w:lineRule="auto"/>
        <w:ind w:left="0" w:right="0" w:firstLine="48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（6）法律、行政法规规定的其他条件。</w:t>
      </w:r>
    </w:p>
    <w:p w14:paraId="5401F616">
      <w:pPr>
        <w:keepNext w:val="0"/>
        <w:keepLines w:val="0"/>
        <w:pageBreakBefore w:val="0"/>
        <w:widowControl w:val="0"/>
        <w:kinsoku/>
        <w:wordWrap/>
        <w:overflowPunct/>
        <w:topLinePunct w:val="0"/>
        <w:autoSpaceDE w:val="0"/>
        <w:autoSpaceDN w:val="0"/>
        <w:bidi w:val="0"/>
        <w:adjustRightInd w:val="0"/>
        <w:snapToGrid w:val="0"/>
        <w:spacing w:line="312" w:lineRule="auto"/>
        <w:ind w:left="0" w:right="0" w:firstLine="48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w:t>
      </w:r>
      <w:r>
        <w:rPr>
          <w:rFonts w:hint="eastAsia" w:ascii="宋体" w:hAnsi="宋体" w:eastAsia="宋体" w:cs="宋体"/>
          <w:bCs/>
          <w:snapToGrid w:val="0"/>
          <w:color w:val="auto"/>
          <w:kern w:val="0"/>
          <w:sz w:val="24"/>
          <w:szCs w:val="24"/>
          <w:highlight w:val="none"/>
        </w:rPr>
        <w:t>未被“信用中国”（www.creditchina.gov.cn)、中国政府采购网（www.ccgp.gov.cn）列入失信被执行人、重大税收违法失信主体、政府采购严重违法失信行为记录名单。</w:t>
      </w:r>
    </w:p>
    <w:p w14:paraId="4724CEDF">
      <w:pPr>
        <w:pStyle w:val="20"/>
        <w:keepNext w:val="0"/>
        <w:keepLines w:val="0"/>
        <w:pageBreakBefore w:val="0"/>
        <w:widowControl w:val="0"/>
        <w:kinsoku/>
        <w:wordWrap/>
        <w:overflowPunct/>
        <w:topLinePunct w:val="0"/>
        <w:bidi w:val="0"/>
        <w:adjustRightInd w:val="0"/>
        <w:snapToGrid w:val="0"/>
        <w:spacing w:afterLines="0" w:line="288" w:lineRule="auto"/>
        <w:ind w:left="0" w:leftChars="0" w:firstLine="482"/>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w:t>
      </w:r>
      <w:r>
        <w:rPr>
          <w:rFonts w:hint="eastAsia" w:ascii="宋体" w:hAnsi="宋体" w:eastAsia="宋体" w:cs="宋体"/>
          <w:bCs/>
          <w:color w:val="auto"/>
          <w:sz w:val="24"/>
          <w:szCs w:val="24"/>
          <w:highlight w:val="none"/>
          <w:lang w:val="en-US" w:eastAsia="zh-CN"/>
        </w:rPr>
        <w:t>具有旅游行政管理部门颁发的《旅行社业务经营许可证》。</w:t>
      </w:r>
    </w:p>
    <w:p w14:paraId="0FE9CE51">
      <w:pPr>
        <w:pStyle w:val="20"/>
        <w:keepNext w:val="0"/>
        <w:keepLines w:val="0"/>
        <w:pageBreakBefore w:val="0"/>
        <w:widowControl w:val="0"/>
        <w:kinsoku/>
        <w:wordWrap/>
        <w:overflowPunct/>
        <w:topLinePunct w:val="0"/>
        <w:bidi w:val="0"/>
        <w:adjustRightInd w:val="0"/>
        <w:snapToGrid w:val="0"/>
        <w:spacing w:afterLines="0" w:line="288" w:lineRule="auto"/>
        <w:ind w:left="0" w:leftChars="0" w:firstLine="482"/>
        <w:textAlignment w:val="auto"/>
        <w:rPr>
          <w:rFonts w:hint="eastAsia" w:ascii="宋体" w:hAnsi="宋体" w:eastAsia="宋体" w:cs="宋体"/>
          <w:bCs/>
          <w:color w:val="auto"/>
          <w:szCs w:val="24"/>
          <w:highlight w:val="none"/>
        </w:rPr>
      </w:pPr>
      <w:r>
        <w:rPr>
          <w:rFonts w:hint="eastAsia" w:ascii="宋体" w:hAnsi="宋体" w:cs="宋体"/>
          <w:bCs/>
          <w:snapToGrid w:val="0"/>
          <w:color w:val="auto"/>
          <w:kern w:val="0"/>
          <w:sz w:val="24"/>
          <w:szCs w:val="24"/>
          <w:highlight w:val="none"/>
          <w:lang w:val="en-US" w:eastAsia="zh-CN"/>
        </w:rPr>
        <w:t>4.</w:t>
      </w:r>
      <w:r>
        <w:rPr>
          <w:rFonts w:hint="eastAsia" w:ascii="宋体" w:hAnsi="宋体" w:eastAsia="宋体" w:cs="宋体"/>
          <w:bCs/>
          <w:snapToGrid w:val="0"/>
          <w:color w:val="auto"/>
          <w:kern w:val="0"/>
          <w:sz w:val="24"/>
          <w:szCs w:val="24"/>
          <w:highlight w:val="none"/>
          <w:lang w:val="en-US" w:eastAsia="zh-CN"/>
        </w:rPr>
        <w:t>本项目不接受联合体投标。</w:t>
      </w:r>
      <w:r>
        <w:rPr>
          <w:rFonts w:hint="eastAsia" w:ascii="宋体" w:hAnsi="宋体" w:eastAsia="宋体" w:cs="宋体"/>
          <w:bCs/>
          <w:color w:val="auto"/>
          <w:szCs w:val="24"/>
          <w:highlight w:val="none"/>
        </w:rPr>
        <w:t xml:space="preserve"> </w:t>
      </w:r>
    </w:p>
    <w:p w14:paraId="181D0AFD">
      <w:pPr>
        <w:pStyle w:val="20"/>
        <w:keepNext w:val="0"/>
        <w:keepLines w:val="0"/>
        <w:pageBreakBefore w:val="0"/>
        <w:widowControl w:val="0"/>
        <w:kinsoku/>
        <w:wordWrap/>
        <w:overflowPunct/>
        <w:topLinePunct w:val="0"/>
        <w:bidi w:val="0"/>
        <w:adjustRightInd w:val="0"/>
        <w:snapToGrid w:val="0"/>
        <w:spacing w:afterLines="0" w:line="288" w:lineRule="auto"/>
        <w:ind w:left="0" w:leftChars="0" w:firstLine="482"/>
        <w:textAlignment w:val="auto"/>
        <w:rPr>
          <w:rFonts w:hint="eastAsia" w:ascii="宋体" w:hAnsi="宋体" w:eastAsia="宋体" w:cs="宋体"/>
          <w:b/>
          <w:color w:val="auto"/>
          <w:highlight w:val="none"/>
        </w:rPr>
      </w:pPr>
      <w:r>
        <w:rPr>
          <w:rFonts w:hint="eastAsia" w:ascii="宋体" w:hAnsi="宋体" w:eastAsia="宋体" w:cs="宋体"/>
          <w:b/>
          <w:color w:val="auto"/>
          <w:szCs w:val="24"/>
          <w:highlight w:val="none"/>
        </w:rPr>
        <w:t>六、</w:t>
      </w:r>
      <w:r>
        <w:rPr>
          <w:rFonts w:hint="eastAsia" w:ascii="宋体" w:hAnsi="宋体" w:eastAsia="宋体" w:cs="宋体"/>
          <w:b/>
          <w:color w:val="auto"/>
          <w:highlight w:val="none"/>
        </w:rPr>
        <w:t>招标文件的获取：</w:t>
      </w:r>
    </w:p>
    <w:p w14:paraId="01538257">
      <w:pPr>
        <w:pStyle w:val="20"/>
        <w:keepNext w:val="0"/>
        <w:keepLines w:val="0"/>
        <w:pageBreakBefore w:val="0"/>
        <w:widowControl w:val="0"/>
        <w:kinsoku/>
        <w:wordWrap/>
        <w:overflowPunct/>
        <w:topLinePunct w:val="0"/>
        <w:bidi w:val="0"/>
        <w:adjustRightInd w:val="0"/>
        <w:snapToGrid w:val="0"/>
        <w:spacing w:afterLines="0" w:line="288"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本项目招标文件采用网上下载方式发布，发布时间为</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17</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24</w:t>
      </w:r>
      <w:r>
        <w:rPr>
          <w:rFonts w:hint="eastAsia" w:ascii="宋体" w:hAnsi="宋体" w:eastAsia="宋体" w:cs="宋体"/>
          <w:color w:val="auto"/>
          <w:highlight w:val="none"/>
        </w:rPr>
        <w:t>日，符合资格条件的供应商请在浙江政府采购网（http://zfcg.czt.zj.gov.cn/）或浙江企业采购信息服务网（https://b.zhengcaiyun.cn/）</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诸暨市公共资源交易网（http://www.zhuji.gov.cn/col/col1388385/index.html）下载招标文件，本项目无须报名，于开标当日直接参加投标。</w:t>
      </w:r>
    </w:p>
    <w:p w14:paraId="51698FFF">
      <w:pPr>
        <w:pStyle w:val="20"/>
        <w:keepNext w:val="0"/>
        <w:keepLines w:val="0"/>
        <w:pageBreakBefore w:val="0"/>
        <w:widowControl w:val="0"/>
        <w:kinsoku/>
        <w:wordWrap/>
        <w:overflowPunct/>
        <w:topLinePunct w:val="0"/>
        <w:bidi w:val="0"/>
        <w:adjustRightInd w:val="0"/>
        <w:snapToGrid w:val="0"/>
        <w:spacing w:afterLines="0" w:line="288"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招标文件</w:t>
      </w:r>
      <w:r>
        <w:rPr>
          <w:rFonts w:hint="eastAsia" w:ascii="宋体" w:hAnsi="宋体" w:eastAsia="宋体" w:cs="宋体"/>
          <w:color w:val="auto"/>
          <w:highlight w:val="none"/>
        </w:rPr>
        <w:t>发布截止时间之后有潜在供应商提出要求获取招标文件的，允许获取。</w:t>
      </w:r>
    </w:p>
    <w:p w14:paraId="50EF5735">
      <w:pPr>
        <w:keepNext w:val="0"/>
        <w:keepLines w:val="0"/>
        <w:pageBreakBefore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七、投标保证金：</w:t>
      </w:r>
    </w:p>
    <w:p w14:paraId="7E9981EC">
      <w:pPr>
        <w:keepNext w:val="0"/>
        <w:keepLines w:val="0"/>
        <w:pageBreakBefore w:val="0"/>
        <w:kinsoku/>
        <w:wordWrap/>
        <w:overflowPunct/>
        <w:topLinePunct w:val="0"/>
        <w:bidi w:val="0"/>
        <w:adjustRightInd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本项目免收投标保证金。</w:t>
      </w:r>
    </w:p>
    <w:p w14:paraId="6D41B45E">
      <w:pPr>
        <w:keepNext w:val="0"/>
        <w:keepLines w:val="0"/>
        <w:pageBreakBefore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、投标文件提交：</w:t>
      </w:r>
    </w:p>
    <w:p w14:paraId="0F7109D4">
      <w:pPr>
        <w:keepNext w:val="0"/>
        <w:keepLines w:val="0"/>
        <w:pageBreakBefore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投标人须于</w:t>
      </w:r>
      <w:bookmarkStart w:id="5" w:name="OLE_LINK2"/>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bookmarkEnd w:id="5"/>
      <w:r>
        <w:rPr>
          <w:rFonts w:hint="eastAsia" w:ascii="宋体" w:hAnsi="宋体" w:eastAsia="宋体" w:cs="宋体"/>
          <w:color w:val="auto"/>
          <w:sz w:val="24"/>
          <w:szCs w:val="24"/>
          <w:highlight w:val="none"/>
          <w:lang w:val="en-US" w:eastAsia="zh-CN"/>
        </w:rPr>
        <w:t>9:30</w:t>
      </w:r>
      <w:r>
        <w:rPr>
          <w:rFonts w:hint="eastAsia" w:ascii="宋体" w:hAnsi="宋体" w:eastAsia="宋体" w:cs="宋体"/>
          <w:color w:val="auto"/>
          <w:sz w:val="24"/>
          <w:szCs w:val="24"/>
          <w:highlight w:val="none"/>
        </w:rPr>
        <w:t>前将投标文件密封送达浙江明业项目管理有限公司开标室</w:t>
      </w:r>
      <w:r>
        <w:rPr>
          <w:rFonts w:hint="eastAsia" w:ascii="宋体" w:hAnsi="宋体" w:eastAsia="宋体" w:cs="宋体"/>
          <w:color w:val="auto"/>
          <w:sz w:val="24"/>
          <w:szCs w:val="24"/>
          <w:highlight w:val="none"/>
          <w:lang w:eastAsia="zh-CN"/>
        </w:rPr>
        <w:t>（诸暨市苎萝东路195号祥生新世纪广场商务楼11楼1105号）</w:t>
      </w:r>
      <w:r>
        <w:rPr>
          <w:rFonts w:hint="eastAsia" w:ascii="宋体" w:hAnsi="宋体" w:eastAsia="宋体" w:cs="宋体"/>
          <w:color w:val="auto"/>
          <w:sz w:val="24"/>
          <w:szCs w:val="24"/>
          <w:highlight w:val="none"/>
        </w:rPr>
        <w:t>，逾期送达或未密封将拒绝接收。</w:t>
      </w:r>
      <w:r>
        <w:rPr>
          <w:rFonts w:hint="eastAsia" w:ascii="宋体" w:hAnsi="宋体" w:eastAsia="宋体" w:cs="宋体"/>
          <w:b/>
          <w:bCs/>
          <w:color w:val="auto"/>
          <w:sz w:val="24"/>
          <w:szCs w:val="24"/>
          <w:highlight w:val="none"/>
        </w:rPr>
        <w:t>投标人均须在投标截止时间前递交投标文件，取消投标人相关人员集中到现场参加开标的要求。采用现场递交的，即交即走；采用邮寄投标文件模式的（采用EMS或顺丰邮寄，以代理机构工作人员签收时间为准），请提前一天通知代理机构工作人员；</w:t>
      </w:r>
    </w:p>
    <w:p w14:paraId="59B921E0">
      <w:pPr>
        <w:keepNext w:val="0"/>
        <w:keepLines w:val="0"/>
        <w:pageBreakBefore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邮寄地址：</w:t>
      </w:r>
      <w:r>
        <w:rPr>
          <w:rFonts w:hint="eastAsia" w:ascii="宋体" w:hAnsi="宋体" w:eastAsia="宋体" w:cs="宋体"/>
          <w:color w:val="auto"/>
          <w:sz w:val="24"/>
          <w:szCs w:val="24"/>
          <w:highlight w:val="none"/>
          <w:lang w:eastAsia="zh-CN"/>
        </w:rPr>
        <w:t>诸暨市苎萝东路195号祥生新世纪广场商务楼11楼1105号</w:t>
      </w:r>
      <w:r>
        <w:rPr>
          <w:rFonts w:hint="eastAsia" w:ascii="宋体" w:hAnsi="宋体" w:eastAsia="宋体" w:cs="宋体"/>
          <w:color w:val="auto"/>
          <w:sz w:val="24"/>
          <w:szCs w:val="24"/>
          <w:highlight w:val="none"/>
        </w:rPr>
        <w:t>（浙江明业项目管理有限公司）；邮件接收人：</w:t>
      </w:r>
      <w:r>
        <w:rPr>
          <w:rFonts w:hint="eastAsia" w:ascii="宋体" w:hAnsi="宋体" w:eastAsia="宋体" w:cs="宋体"/>
          <w:color w:val="auto"/>
          <w:sz w:val="24"/>
          <w:szCs w:val="24"/>
          <w:highlight w:val="none"/>
          <w:lang w:eastAsia="zh-CN"/>
        </w:rPr>
        <w:t>方亚薇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18857582587</w:t>
      </w:r>
      <w:r>
        <w:rPr>
          <w:rFonts w:hint="eastAsia" w:ascii="宋体" w:hAnsi="宋体" w:eastAsia="宋体" w:cs="宋体"/>
          <w:b/>
          <w:bCs/>
          <w:color w:val="auto"/>
          <w:sz w:val="24"/>
          <w:szCs w:val="24"/>
          <w:highlight w:val="none"/>
        </w:rPr>
        <w:t>（拒收到付）</w:t>
      </w:r>
    </w:p>
    <w:p w14:paraId="0A2FA6F8">
      <w:pPr>
        <w:keepNext w:val="0"/>
        <w:keepLines w:val="0"/>
        <w:pageBreakBefore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、开标时间和地点：</w:t>
      </w:r>
    </w:p>
    <w:p w14:paraId="27AD79F0">
      <w:pPr>
        <w:keepNext w:val="0"/>
        <w:keepLines w:val="0"/>
        <w:pageBreakBefore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9:30</w:t>
      </w:r>
    </w:p>
    <w:p w14:paraId="0EBC60C6">
      <w:pPr>
        <w:keepNext w:val="0"/>
        <w:keepLines w:val="0"/>
        <w:pageBreakBefore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开标地点：浙江明业项目管理有限公司开标室（</w:t>
      </w:r>
      <w:r>
        <w:rPr>
          <w:rFonts w:hint="eastAsia" w:ascii="宋体" w:hAnsi="宋体" w:eastAsia="宋体" w:cs="宋体"/>
          <w:color w:val="auto"/>
          <w:sz w:val="24"/>
          <w:szCs w:val="24"/>
          <w:highlight w:val="none"/>
          <w:lang w:val="en-US" w:eastAsia="zh-CN"/>
        </w:rPr>
        <w:t>诸暨市苎萝东路195号祥生新世纪广场商务楼11楼1105号</w:t>
      </w:r>
      <w:r>
        <w:rPr>
          <w:rFonts w:hint="eastAsia" w:ascii="宋体" w:hAnsi="宋体" w:eastAsia="宋体" w:cs="宋体"/>
          <w:color w:val="auto"/>
          <w:sz w:val="24"/>
          <w:szCs w:val="24"/>
          <w:highlight w:val="none"/>
        </w:rPr>
        <w:t>）</w:t>
      </w:r>
    </w:p>
    <w:p w14:paraId="62927020">
      <w:pPr>
        <w:keepNext w:val="0"/>
        <w:keepLines w:val="0"/>
        <w:pageBreakBefore w:val="0"/>
        <w:numPr>
          <w:ilvl w:val="0"/>
          <w:numId w:val="0"/>
        </w:numPr>
        <w:kinsoku/>
        <w:wordWrap/>
        <w:overflowPunct/>
        <w:topLinePunct w:val="0"/>
        <w:bidi w:val="0"/>
        <w:adjustRightInd w:val="0"/>
        <w:snapToGrid w:val="0"/>
        <w:spacing w:line="288" w:lineRule="auto"/>
        <w:ind w:leftChars="200"/>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lang w:val="en-US" w:eastAsia="zh-CN"/>
        </w:rPr>
        <w:t>十、</w:t>
      </w:r>
      <w:r>
        <w:rPr>
          <w:rFonts w:hint="eastAsia" w:ascii="宋体" w:hAnsi="宋体" w:eastAsia="宋体" w:cs="宋体"/>
          <w:b/>
          <w:color w:val="auto"/>
          <w:sz w:val="24"/>
          <w:highlight w:val="none"/>
        </w:rPr>
        <w:t>其他说明</w:t>
      </w:r>
    </w:p>
    <w:p w14:paraId="7FFC4ACB">
      <w:pPr>
        <w:keepNext w:val="0"/>
        <w:keepLines w:val="0"/>
        <w:pageBreakBefore w:val="0"/>
        <w:widowControl/>
        <w:kinsoku/>
        <w:wordWrap/>
        <w:overflowPunct/>
        <w:topLinePunct w:val="0"/>
        <w:bidi w:val="0"/>
        <w:adjustRightInd w:val="0"/>
        <w:snapToGrid w:val="0"/>
        <w:spacing w:line="288" w:lineRule="auto"/>
        <w:ind w:left="0" w:leftChars="0" w:firstLine="600" w:firstLineChars="25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取消投标人在开标现场的书面签字确认等有关操作要求；需要答辩的，通过视频、电话等方式组织答辩；要求投标人进行澄清、说明或者补正的，均通过指定的电子邮箱</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"mailto:630517312@qq.com" </w:instrText>
      </w:r>
      <w:r>
        <w:rPr>
          <w:rFonts w:hint="eastAsia" w:ascii="宋体" w:hAnsi="宋体" w:eastAsia="宋体" w:cs="宋体"/>
          <w:color w:val="auto"/>
          <w:sz w:val="24"/>
          <w:highlight w:val="none"/>
        </w:rPr>
        <w:fldChar w:fldCharType="separate"/>
      </w:r>
      <w:r>
        <w:rPr>
          <w:rStyle w:val="19"/>
          <w:rFonts w:hint="eastAsia" w:ascii="宋体" w:hAnsi="宋体" w:eastAsia="宋体" w:cs="宋体"/>
          <w:color w:val="auto"/>
          <w:sz w:val="24"/>
          <w:highlight w:val="none"/>
        </w:rPr>
        <w:t>3210427674@qq.com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szCs w:val="24"/>
          <w:highlight w:val="none"/>
        </w:rPr>
        <w:t>作出澄清、说明或者补正。提交澄清、说明或补正的时间不少于半小时。</w:t>
      </w:r>
    </w:p>
    <w:p w14:paraId="2E09B021">
      <w:pPr>
        <w:keepNext w:val="0"/>
        <w:keepLines w:val="0"/>
        <w:pageBreakBefore w:val="0"/>
        <w:kinsoku/>
        <w:wordWrap/>
        <w:overflowPunct/>
        <w:topLinePunct w:val="0"/>
        <w:autoSpaceDE/>
        <w:autoSpaceDN/>
        <w:bidi w:val="0"/>
        <w:adjustRightInd w:val="0"/>
        <w:snapToGrid w:val="0"/>
        <w:spacing w:line="288"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、业务咨询：</w:t>
      </w:r>
    </w:p>
    <w:p w14:paraId="2D7B47BA">
      <w:pPr>
        <w:keepNext w:val="0"/>
        <w:keepLines w:val="0"/>
        <w:pageBreakBefore w:val="0"/>
        <w:kinsoku/>
        <w:wordWrap/>
        <w:overflowPunct/>
        <w:topLinePunct w:val="0"/>
        <w:autoSpaceDE/>
        <w:autoSpaceDN/>
        <w:bidi w:val="0"/>
        <w:adjustRightInd w:val="0"/>
        <w:snapToGrid w:val="0"/>
        <w:spacing w:line="288" w:lineRule="auto"/>
        <w:ind w:left="0" w:leftChars="0" w:firstLine="720" w:firstLineChars="3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采购单位联系人</w:t>
      </w:r>
      <w:r>
        <w:rPr>
          <w:rFonts w:hint="eastAsia" w:ascii="宋体" w:hAnsi="宋体" w:eastAsia="宋体" w:cs="宋体"/>
          <w:color w:val="auto"/>
          <w:sz w:val="24"/>
          <w:highlight w:val="none"/>
          <w:lang w:eastAsia="zh-CN"/>
        </w:rPr>
        <w:t>：</w:t>
      </w:r>
      <w:r>
        <w:rPr>
          <w:rFonts w:hint="eastAsia" w:ascii="宋体" w:hAnsi="宋体" w:cs="宋体"/>
          <w:snapToGrid w:val="0"/>
          <w:color w:val="auto"/>
          <w:kern w:val="0"/>
          <w:sz w:val="24"/>
          <w:lang w:val="en-US" w:eastAsia="zh-CN"/>
        </w:rPr>
        <w:t>季老师</w:t>
      </w:r>
    </w:p>
    <w:p w14:paraId="55A41D89">
      <w:pPr>
        <w:keepNext w:val="0"/>
        <w:keepLines w:val="0"/>
        <w:pageBreakBefore w:val="0"/>
        <w:kinsoku/>
        <w:wordWrap/>
        <w:overflowPunct/>
        <w:topLinePunct w:val="0"/>
        <w:autoSpaceDE/>
        <w:autoSpaceDN/>
        <w:bidi w:val="0"/>
        <w:adjustRightInd w:val="0"/>
        <w:snapToGrid w:val="0"/>
        <w:spacing w:line="288" w:lineRule="auto"/>
        <w:ind w:left="0" w:leftChars="0"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lang w:eastAsia="zh-CN"/>
        </w:rPr>
        <w:t>电话：</w:t>
      </w:r>
      <w:r>
        <w:rPr>
          <w:rFonts w:hint="eastAsia" w:ascii="宋体" w:hAnsi="宋体" w:cs="宋体"/>
          <w:snapToGrid w:val="0"/>
          <w:color w:val="auto"/>
          <w:kern w:val="0"/>
          <w:sz w:val="24"/>
          <w:lang w:val="en-US" w:eastAsia="zh-CN"/>
        </w:rPr>
        <w:t>13758574871</w:t>
      </w:r>
    </w:p>
    <w:p w14:paraId="27D72E8D">
      <w:pPr>
        <w:keepNext w:val="0"/>
        <w:keepLines w:val="0"/>
        <w:pageBreakBefore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采购单位地址</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浙江省诸暨市学勉中学</w:t>
      </w:r>
      <w:r>
        <w:rPr>
          <w:rFonts w:hint="eastAsia" w:ascii="宋体" w:hAnsi="宋体" w:eastAsia="宋体" w:cs="宋体"/>
          <w:color w:val="auto"/>
          <w:sz w:val="24"/>
          <w:highlight w:val="none"/>
        </w:rPr>
        <w:t xml:space="preserve"> </w:t>
      </w:r>
    </w:p>
    <w:p w14:paraId="1F54B1EF">
      <w:pPr>
        <w:pStyle w:val="21"/>
        <w:keepNext w:val="0"/>
        <w:keepLines w:val="0"/>
        <w:pageBreakBefore w:val="0"/>
        <w:kinsoku/>
        <w:wordWrap/>
        <w:overflowPunct/>
        <w:topLinePunct w:val="0"/>
        <w:bidi w:val="0"/>
        <w:adjustRightInd w:val="0"/>
        <w:snapToGrid w:val="0"/>
        <w:spacing w:after="0" w:afterLines="0" w:line="288" w:lineRule="auto"/>
        <w:ind w:left="0" w:leftChars="0"/>
        <w:textAlignment w:val="auto"/>
        <w:rPr>
          <w:rFonts w:hint="eastAsia" w:ascii="宋体" w:hAnsi="宋体" w:eastAsia="宋体" w:cs="宋体"/>
          <w:color w:val="auto"/>
          <w:highlight w:val="none"/>
        </w:rPr>
      </w:pPr>
    </w:p>
    <w:p w14:paraId="4E1172EE">
      <w:pPr>
        <w:keepNext w:val="0"/>
        <w:keepLines w:val="0"/>
        <w:pageBreakBefore w:val="0"/>
        <w:kinsoku/>
        <w:wordWrap/>
        <w:overflowPunct/>
        <w:topLinePunct w:val="0"/>
        <w:bidi w:val="0"/>
        <w:adjustRightInd w:val="0"/>
        <w:snapToGrid w:val="0"/>
        <w:spacing w:line="288" w:lineRule="auto"/>
        <w:ind w:left="0" w:leftChars="0"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代理机构联系人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方亚薇</w:t>
      </w:r>
      <w:r>
        <w:rPr>
          <w:rFonts w:hint="eastAsia" w:ascii="宋体" w:hAnsi="宋体" w:eastAsia="宋体" w:cs="宋体"/>
          <w:color w:val="auto"/>
          <w:sz w:val="24"/>
          <w:highlight w:val="none"/>
        </w:rPr>
        <w:t xml:space="preserve">      </w:t>
      </w:r>
    </w:p>
    <w:p w14:paraId="6E6D8BDC">
      <w:pPr>
        <w:keepNext w:val="0"/>
        <w:keepLines w:val="0"/>
        <w:pageBreakBefore w:val="0"/>
        <w:kinsoku/>
        <w:wordWrap/>
        <w:overflowPunct/>
        <w:topLinePunct w:val="0"/>
        <w:bidi w:val="0"/>
        <w:adjustRightInd w:val="0"/>
        <w:snapToGrid w:val="0"/>
        <w:spacing w:line="288" w:lineRule="auto"/>
        <w:ind w:left="0" w:leftChars="0" w:firstLine="540" w:firstLineChars="225"/>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18857582587</w:t>
      </w:r>
    </w:p>
    <w:p w14:paraId="2360E4C7">
      <w:pPr>
        <w:keepNext w:val="0"/>
        <w:keepLines w:val="0"/>
        <w:pageBreakBefore w:val="0"/>
        <w:kinsoku/>
        <w:wordWrap/>
        <w:overflowPunct/>
        <w:topLinePunct w:val="0"/>
        <w:bidi w:val="0"/>
        <w:adjustRightInd w:val="0"/>
        <w:snapToGrid w:val="0"/>
        <w:spacing w:line="288" w:lineRule="auto"/>
        <w:ind w:left="0" w:leftChars="0" w:firstLine="540" w:firstLineChars="22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代理机构单位地址</w:t>
      </w:r>
      <w:r>
        <w:rPr>
          <w:rFonts w:hint="eastAsia" w:ascii="宋体" w:hAnsi="宋体" w:eastAsia="宋体" w:cs="宋体"/>
          <w:color w:val="auto"/>
          <w:sz w:val="24"/>
          <w:highlight w:val="none"/>
          <w:lang w:eastAsia="zh-CN"/>
        </w:rPr>
        <w:t>：诸暨市苎萝东路195号祥生新世纪广场商务楼11楼110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号</w:t>
      </w:r>
    </w:p>
    <w:p w14:paraId="0C86CE82">
      <w:pPr>
        <w:keepNext w:val="0"/>
        <w:keepLines w:val="0"/>
        <w:pageBreakBefore w:val="0"/>
        <w:kinsoku/>
        <w:wordWrap/>
        <w:overflowPunct/>
        <w:topLinePunct w:val="0"/>
        <w:bidi w:val="0"/>
        <w:adjustRightInd w:val="0"/>
        <w:snapToGrid w:val="0"/>
        <w:spacing w:line="288" w:lineRule="auto"/>
        <w:ind w:left="0" w:leftChars="0" w:firstLine="2700" w:firstLineChars="1125"/>
        <w:textAlignment w:val="auto"/>
        <w:rPr>
          <w:rFonts w:hint="eastAsia" w:ascii="宋体" w:hAnsi="宋体" w:eastAsia="宋体" w:cs="宋体"/>
          <w:color w:val="auto"/>
          <w:sz w:val="24"/>
          <w:highlight w:val="none"/>
        </w:rPr>
      </w:pPr>
    </w:p>
    <w:p w14:paraId="3844C909">
      <w:pPr>
        <w:keepNext w:val="0"/>
        <w:keepLines w:val="0"/>
        <w:pageBreakBefore w:val="0"/>
        <w:kinsoku/>
        <w:wordWrap/>
        <w:overflowPunct/>
        <w:topLinePunct w:val="0"/>
        <w:bidi w:val="0"/>
        <w:adjustRightInd w:val="0"/>
        <w:snapToGrid w:val="0"/>
        <w:spacing w:line="288" w:lineRule="auto"/>
        <w:ind w:left="0" w:leftChars="0" w:firstLine="2700" w:firstLineChars="1125"/>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浙江省诸暨市学勉中学</w:t>
      </w:r>
    </w:p>
    <w:p w14:paraId="248F7C73">
      <w:pPr>
        <w:keepNext w:val="0"/>
        <w:keepLines w:val="0"/>
        <w:pageBreakBefore w:val="0"/>
        <w:kinsoku/>
        <w:wordWrap/>
        <w:overflowPunct/>
        <w:topLinePunct w:val="0"/>
        <w:bidi w:val="0"/>
        <w:adjustRightInd w:val="0"/>
        <w:snapToGrid w:val="0"/>
        <w:spacing w:line="288" w:lineRule="auto"/>
        <w:ind w:left="0" w:lef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浙江明业项目管理有限公司</w:t>
      </w:r>
    </w:p>
    <w:p w14:paraId="3C364009">
      <w:pPr>
        <w:keepNext w:val="0"/>
        <w:keepLines w:val="0"/>
        <w:pageBreakBefore w:val="0"/>
        <w:kinsoku/>
        <w:wordWrap/>
        <w:overflowPunct/>
        <w:topLinePunct w:val="0"/>
        <w:bidi w:val="0"/>
        <w:adjustRightInd w:val="0"/>
        <w:snapToGrid w:val="0"/>
        <w:spacing w:line="288" w:lineRule="auto"/>
        <w:ind w:left="0" w:lef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bookmarkEnd w:id="1"/>
    </w:p>
    <w:p w14:paraId="6B95747B">
      <w:pPr>
        <w:snapToGrid w:val="0"/>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br w:type="page"/>
      </w:r>
      <w:bookmarkEnd w:id="2"/>
      <w:r>
        <w:rPr>
          <w:rFonts w:hint="eastAsia" w:ascii="宋体" w:hAnsi="宋体" w:eastAsia="宋体" w:cs="宋体"/>
          <w:b/>
          <w:color w:val="auto"/>
          <w:sz w:val="44"/>
          <w:szCs w:val="44"/>
          <w:highlight w:val="none"/>
        </w:rPr>
        <w:t>第二章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投标须知</w:t>
      </w:r>
    </w:p>
    <w:p w14:paraId="2C4E011B">
      <w:pPr>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前  附  表</w:t>
      </w:r>
    </w:p>
    <w:tbl>
      <w:tblPr>
        <w:tblStyle w:val="16"/>
        <w:tblW w:w="105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59"/>
        <w:gridCol w:w="8091"/>
      </w:tblGrid>
      <w:tr w14:paraId="6817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41C36E1">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8F29F43">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内容</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65E4A3E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说明与要求</w:t>
            </w:r>
          </w:p>
        </w:tc>
      </w:tr>
      <w:tr w14:paraId="4D330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8FFAD0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4FF16A4">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项目名称</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F189C9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cs="宋体"/>
                <w:color w:val="auto"/>
                <w:sz w:val="24"/>
                <w:highlight w:val="none"/>
                <w:lang w:eastAsia="zh-CN"/>
              </w:rPr>
              <w:t>浙江省诸暨市学勉中学2025年度疗休养服务采购</w:t>
            </w:r>
            <w:r>
              <w:rPr>
                <w:rFonts w:hint="eastAsia" w:ascii="宋体" w:hAnsi="宋体" w:eastAsia="宋体" w:cs="宋体"/>
                <w:color w:val="auto"/>
                <w:sz w:val="24"/>
                <w:highlight w:val="none"/>
                <w:lang w:eastAsia="zh-CN"/>
              </w:rPr>
              <w:t>项目</w:t>
            </w:r>
          </w:p>
        </w:tc>
      </w:tr>
      <w:tr w14:paraId="5CE86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40FBFA1">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7F2CE94">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采购方式</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8E78284">
            <w:pPr>
              <w:pStyle w:val="10"/>
              <w:keepNext w:val="0"/>
              <w:keepLines w:val="0"/>
              <w:pageBreakBefore w:val="0"/>
              <w:widowControl w:val="0"/>
              <w:kinsoku/>
              <w:wordWrap/>
              <w:overflowPunct/>
              <w:topLinePunct w:val="0"/>
              <w:bidi w:val="0"/>
              <w:adjustRightInd w:val="0"/>
              <w:snapToGrid w:val="0"/>
              <w:spacing w:line="240" w:lineRule="auto"/>
              <w:ind w:right="-107" w:rightChars="-51"/>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公开招标</w:t>
            </w:r>
          </w:p>
        </w:tc>
      </w:tr>
      <w:tr w14:paraId="459E7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65BD0A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9226C7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评标办法</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6122ACA2">
            <w:pPr>
              <w:pStyle w:val="10"/>
              <w:keepNext w:val="0"/>
              <w:keepLines w:val="0"/>
              <w:pageBreakBefore w:val="0"/>
              <w:widowControl w:val="0"/>
              <w:kinsoku/>
              <w:wordWrap/>
              <w:overflowPunct/>
              <w:topLinePunct w:val="0"/>
              <w:bidi w:val="0"/>
              <w:adjustRightInd w:val="0"/>
              <w:snapToGrid/>
              <w:spacing w:line="240" w:lineRule="auto"/>
              <w:ind w:right="-107" w:rightChars="-51"/>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综合评分法</w:t>
            </w:r>
          </w:p>
        </w:tc>
      </w:tr>
      <w:tr w14:paraId="32BED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A332D20">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rPr>
              <w:t>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011AE5F">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最</w:t>
            </w:r>
            <w:r>
              <w:rPr>
                <w:rFonts w:hint="eastAsia" w:ascii="宋体" w:hAnsi="宋体" w:cs="宋体"/>
                <w:color w:val="auto"/>
                <w:szCs w:val="24"/>
                <w:highlight w:val="none"/>
                <w:lang w:val="en-US" w:eastAsia="zh-CN"/>
              </w:rPr>
              <w:t>高</w:t>
            </w:r>
            <w:r>
              <w:rPr>
                <w:rFonts w:hint="eastAsia" w:ascii="宋体" w:hAnsi="宋体" w:eastAsia="宋体" w:cs="宋体"/>
                <w:color w:val="auto"/>
                <w:szCs w:val="24"/>
                <w:highlight w:val="none"/>
                <w:lang w:val="en-US" w:eastAsia="zh-CN"/>
              </w:rPr>
              <w:t>限价</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03F018F">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宋体" w:hAnsi="宋体" w:eastAsia="宋体" w:cs="Times New Roman"/>
                <w:b/>
                <w:bCs/>
                <w:color w:val="auto"/>
                <w:sz w:val="24"/>
                <w:szCs w:val="24"/>
              </w:rPr>
            </w:pPr>
            <w:r>
              <w:rPr>
                <w:rFonts w:hint="eastAsia" w:ascii="宋体" w:hAnsi="宋体" w:eastAsia="宋体"/>
                <w:b/>
                <w:bCs/>
                <w:color w:val="auto"/>
                <w:sz w:val="24"/>
                <w:szCs w:val="24"/>
              </w:rPr>
              <w:t>本次采购</w:t>
            </w:r>
            <w:r>
              <w:rPr>
                <w:rFonts w:hint="eastAsia" w:ascii="宋体" w:hAnsi="宋体" w:eastAsia="宋体" w:cs="Times New Roman"/>
                <w:b/>
                <w:bCs/>
                <w:color w:val="auto"/>
                <w:sz w:val="24"/>
                <w:szCs w:val="24"/>
                <w:highlight w:val="none"/>
                <w:lang w:val="en-US" w:eastAsia="zh-CN"/>
              </w:rPr>
              <w:t>疗休养标准费用</w:t>
            </w:r>
            <w:r>
              <w:rPr>
                <w:rFonts w:hint="eastAsia" w:ascii="宋体" w:hAnsi="宋体" w:eastAsia="宋体" w:cs="Times New Roman"/>
                <w:b/>
                <w:bCs/>
                <w:color w:val="auto"/>
                <w:sz w:val="24"/>
                <w:szCs w:val="24"/>
                <w:highlight w:val="none"/>
              </w:rPr>
              <w:t>为</w:t>
            </w:r>
            <w:r>
              <w:rPr>
                <w:rFonts w:hint="eastAsia" w:ascii="宋体" w:hAnsi="宋体" w:eastAsia="宋体" w:cs="Times New Roman"/>
                <w:b/>
                <w:bCs/>
                <w:color w:val="auto"/>
                <w:sz w:val="24"/>
                <w:szCs w:val="24"/>
                <w:highlight w:val="none"/>
                <w:lang w:val="en-US" w:eastAsia="zh-CN"/>
              </w:rPr>
              <w:t>叁仟元</w:t>
            </w:r>
            <w:r>
              <w:rPr>
                <w:rFonts w:hint="eastAsia" w:ascii="宋体" w:hAnsi="宋体" w:eastAsia="宋体" w:cs="Times New Roman"/>
                <w:b/>
                <w:bCs/>
                <w:color w:val="auto"/>
                <w:sz w:val="24"/>
                <w:szCs w:val="24"/>
                <w:highlight w:val="none"/>
              </w:rPr>
              <w:t>每人（小写：</w:t>
            </w:r>
            <w:r>
              <w:rPr>
                <w:rFonts w:hint="eastAsia" w:ascii="宋体" w:hAnsi="宋体" w:eastAsia="宋体" w:cs="Times New Roman"/>
                <w:b/>
                <w:bCs/>
                <w:color w:val="auto"/>
                <w:sz w:val="24"/>
                <w:szCs w:val="24"/>
                <w:highlight w:val="none"/>
                <w:lang w:val="en-US" w:eastAsia="zh-CN"/>
              </w:rPr>
              <w:t>3000</w:t>
            </w:r>
            <w:r>
              <w:rPr>
                <w:rFonts w:hint="eastAsia" w:ascii="宋体" w:hAnsi="宋体" w:eastAsia="宋体" w:cs="Times New Roman"/>
                <w:b/>
                <w:bCs/>
                <w:color w:val="auto"/>
                <w:sz w:val="24"/>
                <w:szCs w:val="24"/>
                <w:highlight w:val="none"/>
              </w:rPr>
              <w:t>.00元/人）</w:t>
            </w:r>
            <w:r>
              <w:rPr>
                <w:rFonts w:ascii="宋体" w:hAnsi="宋体" w:eastAsia="宋体"/>
                <w:b/>
                <w:bCs/>
                <w:color w:val="auto"/>
                <w:sz w:val="24"/>
                <w:szCs w:val="24"/>
              </w:rPr>
              <w:t>，任何超过最高单价限价的报价将被认定为无效报价（报价包括交通、住宿、餐饮、景点门票、导游、保险、税费</w:t>
            </w:r>
            <w:r>
              <w:rPr>
                <w:rFonts w:hint="eastAsia" w:ascii="宋体" w:hAnsi="宋体" w:eastAsia="宋体"/>
                <w:b/>
                <w:bCs/>
                <w:color w:val="auto"/>
                <w:sz w:val="24"/>
                <w:szCs w:val="24"/>
              </w:rPr>
              <w:t>、代理服务费</w:t>
            </w:r>
            <w:r>
              <w:rPr>
                <w:rFonts w:ascii="宋体" w:hAnsi="宋体" w:eastAsia="宋体"/>
                <w:b/>
                <w:bCs/>
                <w:color w:val="auto"/>
                <w:sz w:val="24"/>
                <w:szCs w:val="24"/>
              </w:rPr>
              <w:t>等项目实施的一</w:t>
            </w:r>
            <w:r>
              <w:rPr>
                <w:rFonts w:hint="eastAsia" w:ascii="宋体" w:hAnsi="宋体" w:eastAsia="宋体" w:cs="Times New Roman"/>
                <w:b/>
                <w:bCs/>
                <w:color w:val="auto"/>
                <w:sz w:val="24"/>
                <w:szCs w:val="24"/>
              </w:rPr>
              <w:t>切费用）。</w:t>
            </w:r>
          </w:p>
          <w:p w14:paraId="721C56DD">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宋体" w:hAnsi="宋体" w:eastAsia="宋体" w:cs="宋体"/>
                <w:color w:val="auto"/>
                <w:szCs w:val="24"/>
                <w:highlight w:val="none"/>
              </w:rPr>
            </w:pPr>
            <w:r>
              <w:rPr>
                <w:rFonts w:hint="eastAsia" w:ascii="宋体" w:hAnsi="宋体" w:eastAsia="宋体" w:cs="Times New Roman"/>
                <w:b/>
                <w:bCs/>
                <w:color w:val="auto"/>
                <w:sz w:val="24"/>
                <w:szCs w:val="24"/>
              </w:rPr>
              <w:t>本项目</w:t>
            </w:r>
            <w:r>
              <w:rPr>
                <w:rFonts w:hint="eastAsia" w:ascii="宋体" w:hAnsi="宋体" w:eastAsia="宋体" w:cs="Times New Roman"/>
                <w:b/>
                <w:bCs/>
                <w:color w:val="auto"/>
                <w:sz w:val="24"/>
                <w:szCs w:val="24"/>
                <w:lang w:val="en-US" w:eastAsia="zh-CN"/>
              </w:rPr>
              <w:t>最高结算金额为人民币壹拾陆万伍仟元整（小写：¥165000.00）。</w:t>
            </w:r>
          </w:p>
        </w:tc>
      </w:tr>
      <w:tr w14:paraId="74753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1F852B0">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3B5405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投标人（供应商）资格要求</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5DE17C39">
            <w:pPr>
              <w:pStyle w:val="20"/>
              <w:keepNext w:val="0"/>
              <w:keepLines w:val="0"/>
              <w:pageBreakBefore w:val="0"/>
              <w:widowControl w:val="0"/>
              <w:kinsoku/>
              <w:wordWrap/>
              <w:overflowPunct/>
              <w:topLinePunct w:val="0"/>
              <w:bidi w:val="0"/>
              <w:spacing w:afterLines="0" w:line="240" w:lineRule="auto"/>
              <w:ind w:left="0" w:leftChars="0" w:firstLine="0" w:firstLineChars="0"/>
              <w:jc w:val="left"/>
              <w:textAlignment w:val="auto"/>
              <w:rPr>
                <w:rFonts w:hint="eastAsia" w:ascii="宋体" w:hAnsi="宋体" w:eastAsia="宋体" w:cs="宋体"/>
                <w:color w:val="auto"/>
                <w:kern w:val="1"/>
                <w:sz w:val="24"/>
                <w:highlight w:val="none"/>
                <w:lang w:eastAsia="zh-CN"/>
              </w:rPr>
            </w:pPr>
            <w:r>
              <w:rPr>
                <w:rFonts w:hint="eastAsia" w:ascii="宋体" w:hAnsi="宋体" w:eastAsia="宋体" w:cs="宋体"/>
                <w:bCs/>
                <w:color w:val="auto"/>
                <w:szCs w:val="24"/>
                <w:highlight w:val="none"/>
              </w:rPr>
              <w:t>详见招标公告</w:t>
            </w:r>
            <w:r>
              <w:rPr>
                <w:rFonts w:hint="eastAsia" w:ascii="宋体" w:hAnsi="宋体" w:eastAsia="宋体" w:cs="宋体"/>
                <w:bCs/>
                <w:color w:val="auto"/>
                <w:szCs w:val="24"/>
                <w:highlight w:val="none"/>
                <w:lang w:eastAsia="zh-CN"/>
              </w:rPr>
              <w:t>。</w:t>
            </w:r>
          </w:p>
        </w:tc>
      </w:tr>
      <w:tr w14:paraId="19420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DCE148">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26A210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是否接受联合体投标</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E3D7C91">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不</w:t>
            </w:r>
            <w:r>
              <w:rPr>
                <w:rFonts w:hint="eastAsia" w:ascii="宋体" w:hAnsi="宋体" w:eastAsia="宋体" w:cs="宋体"/>
                <w:color w:val="auto"/>
                <w:szCs w:val="24"/>
                <w:highlight w:val="none"/>
              </w:rPr>
              <w:t>接受。</w:t>
            </w:r>
          </w:p>
        </w:tc>
      </w:tr>
      <w:tr w14:paraId="79FE9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7FC16C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C3AB392">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标的划分</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03550FAC">
            <w:pPr>
              <w:snapToGrid w:val="0"/>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本次招标采购共分</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个标的，招标人将整体择定中标人。</w:t>
            </w:r>
          </w:p>
        </w:tc>
      </w:tr>
      <w:tr w14:paraId="09EFC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09EB0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F9B35EE">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资格审查</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7F0BE45A">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资格后审</w:t>
            </w:r>
          </w:p>
        </w:tc>
      </w:tr>
      <w:tr w14:paraId="609E5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7371A91">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7D96AC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招标文件的</w:t>
            </w:r>
          </w:p>
          <w:p w14:paraId="0E8B099E">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获取</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23F0546D">
            <w:pPr>
              <w:pStyle w:val="20"/>
              <w:keepNext w:val="0"/>
              <w:keepLines w:val="0"/>
              <w:pageBreakBefore w:val="0"/>
              <w:widowControl w:val="0"/>
              <w:kinsoku/>
              <w:wordWrap/>
              <w:overflowPunct/>
              <w:topLinePunct w:val="0"/>
              <w:bidi w:val="0"/>
              <w:adjustRightInd w:val="0"/>
              <w:snapToGrid w:val="0"/>
              <w:spacing w:afterLines="0" w:line="240" w:lineRule="auto"/>
              <w:ind w:left="0" w:leftChars="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详见公告</w:t>
            </w:r>
          </w:p>
        </w:tc>
      </w:tr>
      <w:tr w14:paraId="66D92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right w:val="single" w:color="auto" w:sz="4" w:space="0"/>
            </w:tcBorders>
            <w:noWrap w:val="0"/>
            <w:vAlign w:val="center"/>
          </w:tcPr>
          <w:p w14:paraId="508EC5E2">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10</w:t>
            </w:r>
          </w:p>
        </w:tc>
        <w:tc>
          <w:tcPr>
            <w:tcW w:w="1759" w:type="dxa"/>
            <w:tcBorders>
              <w:top w:val="single" w:color="auto" w:sz="4" w:space="0"/>
              <w:left w:val="single" w:color="auto" w:sz="4" w:space="0"/>
              <w:right w:val="single" w:color="auto" w:sz="4" w:space="0"/>
            </w:tcBorders>
            <w:noWrap w:val="0"/>
            <w:vAlign w:val="center"/>
          </w:tcPr>
          <w:p w14:paraId="0F4C2B8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投标时应提供资料</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0CF37230">
            <w:pPr>
              <w:pStyle w:val="20"/>
              <w:keepNext w:val="0"/>
              <w:keepLines w:val="0"/>
              <w:pageBreakBefore w:val="0"/>
              <w:widowControl w:val="0"/>
              <w:kinsoku/>
              <w:wordWrap/>
              <w:overflowPunct/>
              <w:topLinePunct w:val="0"/>
              <w:bidi w:val="0"/>
              <w:adjustRightInd w:val="0"/>
              <w:snapToGrid w:val="0"/>
              <w:spacing w:afterLines="0" w:line="240" w:lineRule="auto"/>
              <w:ind w:firstLine="0" w:firstLineChars="0"/>
              <w:textAlignment w:val="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本项目无须提供原件资料。相关资料均以复印件形式在投标文件中体现。</w:t>
            </w:r>
          </w:p>
          <w:p w14:paraId="59CC3883">
            <w:pPr>
              <w:pStyle w:val="23"/>
              <w:keepNext w:val="0"/>
              <w:keepLines w:val="0"/>
              <w:pageBreakBefore w:val="0"/>
              <w:widowControl w:val="0"/>
              <w:kinsoku/>
              <w:wordWrap/>
              <w:overflowPunct/>
              <w:topLinePunct w:val="0"/>
              <w:bidi w:val="0"/>
              <w:adjustRightInd w:val="0"/>
              <w:snapToGrid w:val="0"/>
              <w:spacing w:after="0" w:line="240" w:lineRule="auto"/>
              <w:ind w:left="0" w:leftChars="0" w:firstLine="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u w:val="single"/>
              </w:rPr>
              <w:t>供应商必须保证复印件内容清晰可辨，否则评标委员会可以视为投标人未提供相关资料。</w:t>
            </w:r>
          </w:p>
        </w:tc>
      </w:tr>
      <w:tr w14:paraId="031B6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EBBEB3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8E2BE1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499BFF1">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 w:val="24"/>
                <w:highlight w:val="none"/>
              </w:rPr>
              <w:t>本项目免收投标保证金。</w:t>
            </w:r>
          </w:p>
        </w:tc>
      </w:tr>
      <w:tr w14:paraId="42A8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55A040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00F664D">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技术文件</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29FA155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（1）法定代表人授权委托书（除法定代表人亲自参加外，格式见附件)；</w:t>
            </w:r>
          </w:p>
          <w:p w14:paraId="12EE703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（2）企业法人营业执照</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rPr>
              <w:t>（加盖单位公章）；</w:t>
            </w:r>
          </w:p>
          <w:p w14:paraId="2364F9D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（3）投标人情况介绍；</w:t>
            </w:r>
          </w:p>
          <w:p w14:paraId="08C8C6CC">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lang w:val="en-US" w:eastAsia="zh-CN"/>
              </w:rPr>
              <w:t>《旅行社业务经营许可证》</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rPr>
              <w:t>（加盖单位公章）；</w:t>
            </w:r>
          </w:p>
          <w:p w14:paraId="56C574B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（5）成功案例和业绩证明（如有）；</w:t>
            </w:r>
          </w:p>
          <w:p w14:paraId="230B9F13">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（6）对本项目系统总体要求的理解，包括：功能说明、性能指标及设备选型说明（如需要）；</w:t>
            </w:r>
          </w:p>
          <w:p w14:paraId="52C093BB">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（7）投标设备详细配置清单和技术偏离表；</w:t>
            </w:r>
          </w:p>
          <w:p w14:paraId="79C21961">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（8）招标文件标明的影响投标人资格的其他证明文件（如主要设备材料的原厂商对本项目的售后服务承诺，服务能力证明）；</w:t>
            </w:r>
          </w:p>
          <w:p w14:paraId="13DDFCB8">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（9）保证工程质量的技术力量及技术措施（如需要）；</w:t>
            </w:r>
          </w:p>
          <w:p w14:paraId="35441E99">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（10）投标人建议的安装、调试、验收方法或方案（如需要）；</w:t>
            </w:r>
          </w:p>
          <w:p w14:paraId="765FCA13">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（11）技术服务、技术培训、售后服务的内容和措施（如需要）；</w:t>
            </w:r>
          </w:p>
          <w:p w14:paraId="040664AA">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（12）投标人需要说明的其他文件和说明。</w:t>
            </w:r>
          </w:p>
          <w:p w14:paraId="5A9FFE75">
            <w:pPr>
              <w:pStyle w:val="10"/>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投标人在“技术文件资料”中应对招标文件作实质性响应，该项内容将作为评标重要指标。</w:t>
            </w:r>
          </w:p>
        </w:tc>
      </w:tr>
      <w:tr w14:paraId="024FC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05170DA">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6E6082A">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商务文件</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25AE81EA">
            <w:pPr>
              <w:keepNext w:val="0"/>
              <w:keepLines w:val="0"/>
              <w:pageBreakBefore w:val="0"/>
              <w:widowControl w:val="0"/>
              <w:tabs>
                <w:tab w:val="left" w:pos="3870"/>
                <w:tab w:val="left" w:pos="408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（1）投标函（格式见附件）； </w:t>
            </w:r>
          </w:p>
          <w:p w14:paraId="5D9143DE">
            <w:pPr>
              <w:keepNext w:val="0"/>
              <w:keepLines w:val="0"/>
              <w:pageBreakBefore w:val="0"/>
              <w:widowControl w:val="0"/>
              <w:tabs>
                <w:tab w:val="left" w:pos="3870"/>
                <w:tab w:val="left" w:pos="408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（2）开标一览表（格式见附件）；</w:t>
            </w:r>
          </w:p>
          <w:p w14:paraId="0BB4AA9B">
            <w:pPr>
              <w:keepNext w:val="0"/>
              <w:keepLines w:val="0"/>
              <w:pageBreakBefore w:val="0"/>
              <w:widowControl w:val="0"/>
              <w:tabs>
                <w:tab w:val="left" w:pos="3870"/>
                <w:tab w:val="left" w:pos="408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（3）投标承诺书（格式见附件）；</w:t>
            </w:r>
          </w:p>
          <w:p w14:paraId="08E914AF">
            <w:pPr>
              <w:keepNext w:val="0"/>
              <w:keepLines w:val="0"/>
              <w:pageBreakBefore w:val="0"/>
              <w:widowControl w:val="0"/>
              <w:tabs>
                <w:tab w:val="left" w:pos="3870"/>
                <w:tab w:val="left" w:pos="4085"/>
              </w:tabs>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（4）投标人需要说明的其他文件和说明（格式自拟）。</w:t>
            </w:r>
          </w:p>
          <w:p w14:paraId="53C53426">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注：投标函、开标一览表必须由法定代表人或委托代理人签名（或盖章）并加盖单位公章。</w:t>
            </w:r>
          </w:p>
        </w:tc>
      </w:tr>
      <w:tr w14:paraId="43CF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2C17728">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5F97EB9">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现场演示</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E84892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按招标文件要求执行。</w:t>
            </w:r>
          </w:p>
        </w:tc>
      </w:tr>
      <w:tr w14:paraId="6F747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001FAFB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7FC2AF2">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投标样品</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B93674B">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按招标文件要求执行。</w:t>
            </w:r>
          </w:p>
        </w:tc>
      </w:tr>
      <w:tr w14:paraId="06A4C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86D058">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4002C1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投标文件份数</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65C716C3">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技术文件正本一份，副本五份</w:t>
            </w:r>
          </w:p>
          <w:p w14:paraId="62A7A54B">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商务文件正本一份，副本五份</w:t>
            </w:r>
          </w:p>
        </w:tc>
      </w:tr>
      <w:tr w14:paraId="5AE06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C50D3B6">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17</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7FCEFA0">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01F0176">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自投标截止日起90天。如采购代理机构认为必要，可延长投标有效期。</w:t>
            </w:r>
          </w:p>
        </w:tc>
      </w:tr>
      <w:tr w14:paraId="13947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5C418CE">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18</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9147BFB">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签订合同时间</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174C2B39">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中标通知书发出后30日内</w:t>
            </w:r>
          </w:p>
        </w:tc>
      </w:tr>
      <w:tr w14:paraId="52FCA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4931DB0">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19</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3F71448">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转包与分包</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201CFD6">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本项目不允许转包和违法分包。</w:t>
            </w:r>
          </w:p>
        </w:tc>
      </w:tr>
      <w:tr w14:paraId="3FF4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73D86663">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20</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066CE0E">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履约保证金</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24CBCD0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本项目免收履约保证金。</w:t>
            </w:r>
          </w:p>
        </w:tc>
      </w:tr>
      <w:tr w14:paraId="00700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51BF65F0">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776A29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投标文件递交截止时间</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57EE7058">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按招标公告要求执行。</w:t>
            </w:r>
          </w:p>
        </w:tc>
      </w:tr>
      <w:tr w14:paraId="5DDA3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DC3F5FA">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DCF844F">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投标文件递交地点</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4838B8F2">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按招标公告要求执行。</w:t>
            </w:r>
          </w:p>
          <w:p w14:paraId="16923C8C">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1</w:t>
            </w:r>
            <w:r>
              <w:rPr>
                <w:rFonts w:hint="eastAsia" w:ascii="宋体" w:hAnsi="宋体" w:eastAsia="宋体" w:cs="宋体"/>
                <w:b/>
                <w:bCs/>
                <w:color w:val="auto"/>
                <w:kern w:val="2"/>
                <w:sz w:val="24"/>
                <w:highlight w:val="none"/>
                <w:lang w:val="en-US" w:eastAsia="zh-CN"/>
              </w:rPr>
              <w:t>.</w:t>
            </w:r>
            <w:r>
              <w:rPr>
                <w:rFonts w:hint="eastAsia" w:ascii="宋体" w:hAnsi="宋体" w:eastAsia="宋体" w:cs="宋体"/>
                <w:b/>
                <w:bCs/>
                <w:color w:val="auto"/>
                <w:kern w:val="2"/>
                <w:sz w:val="24"/>
                <w:highlight w:val="none"/>
              </w:rPr>
              <w:t>采用现场递交的，要做到即交即走。</w:t>
            </w:r>
          </w:p>
          <w:p w14:paraId="6C782487">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4"/>
                <w:highlight w:val="none"/>
              </w:rPr>
              <w:t>2</w:t>
            </w:r>
            <w:r>
              <w:rPr>
                <w:rFonts w:hint="eastAsia" w:ascii="宋体" w:hAnsi="宋体" w:eastAsia="宋体" w:cs="宋体"/>
                <w:b/>
                <w:bCs/>
                <w:color w:val="auto"/>
                <w:kern w:val="2"/>
                <w:sz w:val="24"/>
                <w:highlight w:val="none"/>
                <w:lang w:val="en-US" w:eastAsia="zh-CN"/>
              </w:rPr>
              <w:t>.</w:t>
            </w:r>
            <w:r>
              <w:rPr>
                <w:rFonts w:hint="eastAsia" w:ascii="宋体" w:hAnsi="宋体" w:eastAsia="宋体" w:cs="宋体"/>
                <w:b/>
                <w:bCs/>
                <w:color w:val="auto"/>
                <w:kern w:val="2"/>
                <w:sz w:val="24"/>
                <w:highlight w:val="none"/>
              </w:rPr>
              <w:t>采用邮寄投标文件模式的，邮寄原则上统一采用EMS或顺丰，否则造成的一切后果由投标人自行承担。</w:t>
            </w:r>
          </w:p>
        </w:tc>
      </w:tr>
      <w:tr w14:paraId="5ADF2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D16DC83">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23</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C3880D5">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3808942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rPr>
              <w:t>按招标文件要求执行</w:t>
            </w:r>
          </w:p>
        </w:tc>
      </w:tr>
      <w:tr w14:paraId="14CC7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16A07DD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24</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9BC122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开标地点</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77218B08">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2"/>
                <w:sz w:val="24"/>
                <w:szCs w:val="20"/>
                <w:highlight w:val="none"/>
              </w:rPr>
            </w:pPr>
            <w:r>
              <w:rPr>
                <w:rFonts w:hint="eastAsia" w:ascii="宋体" w:hAnsi="宋体" w:eastAsia="宋体" w:cs="宋体"/>
                <w:color w:val="auto"/>
                <w:kern w:val="2"/>
                <w:sz w:val="24"/>
                <w:szCs w:val="24"/>
                <w:highlight w:val="none"/>
              </w:rPr>
              <w:t>按招标文件要求执行</w:t>
            </w:r>
          </w:p>
        </w:tc>
      </w:tr>
      <w:tr w14:paraId="76887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AEB097">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Cs w:val="24"/>
                <w:highlight w:val="none"/>
              </w:rPr>
              <w:t>25</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68E998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答疑时间</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54CC6ABF">
            <w:pPr>
              <w:pStyle w:val="10"/>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14:paraId="5BBDC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1C572E2">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26</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1495A7C">
            <w:pPr>
              <w:pStyle w:val="10"/>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w:t>
            </w:r>
          </w:p>
        </w:tc>
        <w:tc>
          <w:tcPr>
            <w:tcW w:w="8091" w:type="dxa"/>
            <w:tcBorders>
              <w:top w:val="single" w:color="auto" w:sz="4" w:space="0"/>
              <w:left w:val="single" w:color="auto" w:sz="4" w:space="0"/>
              <w:bottom w:val="single" w:color="auto" w:sz="4" w:space="0"/>
              <w:right w:val="single" w:color="auto" w:sz="4" w:space="0"/>
            </w:tcBorders>
            <w:noWrap w:val="0"/>
            <w:vAlign w:val="center"/>
          </w:tcPr>
          <w:p w14:paraId="790D14C1">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招标代理服务费</w:t>
            </w:r>
            <w:r>
              <w:rPr>
                <w:rFonts w:hint="eastAsia" w:ascii="宋体" w:hAnsi="宋体" w:cs="宋体"/>
                <w:b w:val="0"/>
                <w:bCs w:val="0"/>
                <w:color w:val="auto"/>
                <w:sz w:val="24"/>
                <w:szCs w:val="24"/>
                <w:highlight w:val="none"/>
                <w:lang w:val="en-US" w:eastAsia="zh-CN"/>
              </w:rPr>
              <w:t>2183元</w:t>
            </w:r>
            <w:r>
              <w:rPr>
                <w:rFonts w:hint="eastAsia" w:ascii="宋体" w:hAnsi="宋体" w:eastAsia="宋体" w:cs="宋体"/>
                <w:b w:val="0"/>
                <w:bCs w:val="0"/>
                <w:color w:val="auto"/>
                <w:sz w:val="24"/>
                <w:szCs w:val="24"/>
                <w:highlight w:val="none"/>
                <w:lang w:val="en-US" w:eastAsia="zh-CN"/>
              </w:rPr>
              <w:t>由中标人支付</w:t>
            </w:r>
            <w:r>
              <w:rPr>
                <w:rFonts w:hint="eastAsia" w:ascii="宋体" w:hAnsi="宋体" w:eastAsia="宋体" w:cs="宋体"/>
                <w:b w:val="0"/>
                <w:bCs w:val="0"/>
                <w:color w:val="auto"/>
                <w:sz w:val="24"/>
                <w:szCs w:val="24"/>
                <w:highlight w:val="none"/>
              </w:rPr>
              <w:t>，在领取中标通知书</w:t>
            </w:r>
            <w:r>
              <w:rPr>
                <w:rFonts w:hint="eastAsia" w:ascii="宋体" w:hAnsi="宋体" w:eastAsia="宋体" w:cs="宋体"/>
                <w:b w:val="0"/>
                <w:bCs w:val="0"/>
                <w:color w:val="auto"/>
                <w:sz w:val="24"/>
                <w:szCs w:val="24"/>
                <w:highlight w:val="none"/>
                <w:lang w:val="en-US" w:eastAsia="zh-CN"/>
              </w:rPr>
              <w:t>时</w:t>
            </w:r>
            <w:r>
              <w:rPr>
                <w:rFonts w:hint="eastAsia" w:ascii="宋体" w:hAnsi="宋体" w:eastAsia="宋体" w:cs="宋体"/>
                <w:b w:val="0"/>
                <w:bCs w:val="0"/>
                <w:color w:val="auto"/>
                <w:sz w:val="24"/>
                <w:szCs w:val="24"/>
                <w:highlight w:val="none"/>
              </w:rPr>
              <w:t>付清。</w:t>
            </w:r>
          </w:p>
          <w:p w14:paraId="070C3064">
            <w:pPr>
              <w:keepNext w:val="0"/>
              <w:keepLines w:val="0"/>
              <w:pageBreakBefore w:val="0"/>
              <w:widowControl w:val="0"/>
              <w:numPr>
                <w:ilvl w:val="0"/>
                <w:numId w:val="0"/>
              </w:numPr>
              <w:kinsoku/>
              <w:wordWrap/>
              <w:overflowPunct/>
              <w:topLinePunct w:val="0"/>
              <w:bidi w:val="0"/>
              <w:adjustRightInd w:val="0"/>
              <w:snapToGrid w:val="0"/>
              <w:spacing w:line="24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2.代理费缴纳账户：浙江明业项目管理有限公司诸暨分公司，开户行：浙江诸暨农村商业银行股份有限公司暨阳支行，账号：201000338095496</w:t>
            </w:r>
            <w:r>
              <w:rPr>
                <w:rFonts w:hint="eastAsia" w:ascii="宋体" w:hAnsi="宋体" w:cs="宋体"/>
                <w:b w:val="0"/>
                <w:bCs w:val="0"/>
                <w:color w:val="auto"/>
                <w:sz w:val="24"/>
                <w:szCs w:val="24"/>
                <w:highlight w:val="none"/>
                <w:lang w:val="en-US" w:eastAsia="zh-CN"/>
              </w:rPr>
              <w:t>。</w:t>
            </w:r>
          </w:p>
        </w:tc>
      </w:tr>
    </w:tbl>
    <w:p w14:paraId="0CA13022">
      <w:pPr>
        <w:keepNext w:val="0"/>
        <w:keepLines w:val="0"/>
        <w:pageBreakBefore w:val="0"/>
        <w:widowControl w:val="0"/>
        <w:kinsoku/>
        <w:wordWrap/>
        <w:overflowPunct/>
        <w:topLinePunct w:val="0"/>
        <w:bidi w:val="0"/>
        <w:spacing w:line="30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一、总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则</w:t>
      </w:r>
    </w:p>
    <w:p w14:paraId="61931EE6">
      <w:pPr>
        <w:keepNext w:val="0"/>
        <w:keepLines w:val="0"/>
        <w:pageBreakBefore w:val="0"/>
        <w:widowControl w:val="0"/>
        <w:kinsoku/>
        <w:wordWrap/>
        <w:overflowPunct/>
        <w:topLinePunct w:val="0"/>
        <w:bidi w:val="0"/>
        <w:spacing w:line="300" w:lineRule="auto"/>
        <w:ind w:left="0" w:leftChars="0"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适用范围</w:t>
      </w:r>
    </w:p>
    <w:p w14:paraId="1F08AF04">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本招标文件适用于本次所述项目的招标。</w:t>
      </w:r>
    </w:p>
    <w:p w14:paraId="3D70C3E5">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DF20879">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2.1“招标人”系指组织本次招标的采购单位。</w:t>
      </w:r>
    </w:p>
    <w:p w14:paraId="24B8A5EF">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2.2“投标人”系指向招标人提交投标文件的供应商。</w:t>
      </w:r>
    </w:p>
    <w:p w14:paraId="5650527C">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2.3“产品”系指供方按招标文件规定，须向采购单位提供的一切设备、保险、税 金、备品备件、工具、手册</w:t>
      </w:r>
      <w:r>
        <w:rPr>
          <w:rFonts w:hint="eastAsia" w:ascii="宋体" w:hAnsi="宋体" w:eastAsia="宋体" w:cs="宋体"/>
          <w:color w:val="auto"/>
          <w:sz w:val="24"/>
          <w:highlight w:val="none"/>
          <w:lang w:eastAsia="zh-CN"/>
        </w:rPr>
        <w:t>及其他有关</w:t>
      </w:r>
      <w:r>
        <w:rPr>
          <w:rFonts w:hint="eastAsia" w:ascii="宋体" w:hAnsi="宋体" w:eastAsia="宋体" w:cs="宋体"/>
          <w:color w:val="auto"/>
          <w:sz w:val="24"/>
          <w:highlight w:val="none"/>
        </w:rPr>
        <w:t>技术资料和材料。</w:t>
      </w:r>
    </w:p>
    <w:p w14:paraId="16432C1F">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2.4“服务”系指招标文件规定投标人须承担的安装、调试、技术协助、校准、培训、技术指导以及其他类似的义务。</w:t>
      </w:r>
    </w:p>
    <w:p w14:paraId="101E32EB">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2.5“项目”系指投标人按招标文件规定向采购单位提供的产品和服务。</w:t>
      </w:r>
    </w:p>
    <w:p w14:paraId="4C79DD6A">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2.6“书面形式”包括信函、传真、电报等。</w:t>
      </w:r>
    </w:p>
    <w:p w14:paraId="3FB28937">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本招标文件所述设备品牌、型号是结合实际现有情况的推荐性参考方案，投标方也可根据招标文件的要求参考性能相当或高于、服务条款相等或高于、符合招标方实际业务需求其他同档次优质品牌的产品，进行方案优化。所投产品不在参考品牌范围内的，是否符合招标文件要求由评标小组在投标文件评审时集体讨论决定。</w:t>
      </w:r>
    </w:p>
    <w:p w14:paraId="49D6677B">
      <w:pPr>
        <w:keepNext w:val="0"/>
        <w:keepLines w:val="0"/>
        <w:pageBreakBefore w:val="0"/>
        <w:widowControl w:val="0"/>
        <w:kinsoku/>
        <w:wordWrap/>
        <w:overflowPunct/>
        <w:topLinePunct w:val="0"/>
        <w:bidi w:val="0"/>
        <w:snapToGrid w:val="0"/>
        <w:spacing w:line="300" w:lineRule="auto"/>
        <w:ind w:left="0" w:leftChars="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3.采购方式</w:t>
      </w:r>
    </w:p>
    <w:p w14:paraId="6106D6DB">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本次采购采用公开招标方式进行。</w:t>
      </w:r>
    </w:p>
    <w:p w14:paraId="398A68A9">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4.投标委托</w:t>
      </w:r>
    </w:p>
    <w:p w14:paraId="5CD9DEAA">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投标人代表须携带居民身份证。如投标人代表不是法定代表人，须有法定代表人出具的授权委托书。</w:t>
      </w:r>
    </w:p>
    <w:p w14:paraId="30CE7FE7">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5.投标费用</w:t>
      </w:r>
    </w:p>
    <w:p w14:paraId="184956CA">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投标人应自行承担获得招标文件和编制、提交投标文件所涉及的一切费用。不论投标结果如何，投标人均应自行承担所有与投标有关的全部费用。对中标人收取代理服务费。</w:t>
      </w:r>
    </w:p>
    <w:p w14:paraId="064E5D78">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6.特别说明：</w:t>
      </w:r>
    </w:p>
    <w:p w14:paraId="5EA879EB">
      <w:pPr>
        <w:pStyle w:val="10"/>
        <w:keepNext w:val="0"/>
        <w:keepLines w:val="0"/>
        <w:pageBreakBefore w:val="0"/>
        <w:widowControl w:val="0"/>
        <w:kinsoku/>
        <w:wordWrap/>
        <w:overflowPunct/>
        <w:topLinePunct w:val="0"/>
        <w:bidi w:val="0"/>
        <w:snapToGrid w:val="0"/>
        <w:spacing w:line="300" w:lineRule="auto"/>
        <w:ind w:left="0" w:leftChars="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6.1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5B84C0">
      <w:pPr>
        <w:pStyle w:val="10"/>
        <w:keepNext w:val="0"/>
        <w:keepLines w:val="0"/>
        <w:pageBreakBefore w:val="0"/>
        <w:widowControl w:val="0"/>
        <w:kinsoku/>
        <w:wordWrap/>
        <w:overflowPunct/>
        <w:topLinePunct w:val="0"/>
        <w:bidi w:val="0"/>
        <w:snapToGrid w:val="0"/>
        <w:spacing w:line="300" w:lineRule="auto"/>
        <w:ind w:left="0" w:leftChars="0"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非单一产品采购项目，采购人应当根据采购项目技术构成、产品价格比重等合理确定核心产品，并在招标文件中载明。多家投标人提供的核心产品品牌相同的，按前款规定处理。</w:t>
      </w:r>
    </w:p>
    <w:p w14:paraId="16AD4171">
      <w:pPr>
        <w:pStyle w:val="10"/>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6.2投标人投标所使用的资格、信誉、荣誉、业绩与企业认证必须为本法人所拥有。</w:t>
      </w:r>
    </w:p>
    <w:p w14:paraId="45FD3AA3">
      <w:pPr>
        <w:pStyle w:val="10"/>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6.3投标人应仔细阅读招标文件的所有内容，按照招标文件的要求提交投标文件，并对所提供的全部资料的真实性承担法律责任。</w:t>
      </w:r>
    </w:p>
    <w:p w14:paraId="574C7A93">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6.4投标人在投标活动中提供任何虚假材料,其投标无效，并报监管部门查处；中标后发现的,中标人须依照</w:t>
      </w:r>
      <w:r>
        <w:rPr>
          <w:rFonts w:hint="eastAsia" w:ascii="宋体" w:hAnsi="宋体" w:eastAsia="宋体" w:cs="宋体"/>
          <w:color w:val="auto"/>
          <w:highlight w:val="none"/>
          <w:lang w:val="en-US" w:eastAsia="zh-CN"/>
        </w:rPr>
        <w:t>相关法律法规等</w:t>
      </w:r>
      <w:r>
        <w:rPr>
          <w:rFonts w:hint="eastAsia" w:ascii="宋体" w:hAnsi="宋体" w:eastAsia="宋体" w:cs="宋体"/>
          <w:color w:val="auto"/>
          <w:highlight w:val="none"/>
        </w:rPr>
        <w:t>赔偿采购单位，且民事赔偿并不免除违法投标人的行政与刑事责任。</w:t>
      </w:r>
    </w:p>
    <w:p w14:paraId="230DFBA8">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6.5除评标办法采用最低评标价法的项目外，直接或者间接受采购单位控制的当事人，或者与采购单位受共同上级控制的当事人，为本次采购进行设计或编制规范和其他文件的当事人，或者直接或间接地与为本次采购进行设计或编制规范、其他文件的个人、企业、招标人或其附属机构有关联关系的当事人，不得参加本项目投标。</w:t>
      </w:r>
    </w:p>
    <w:p w14:paraId="52E5B5DC">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6.6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01A3B068">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7.质疑和投诉</w:t>
      </w:r>
    </w:p>
    <w:p w14:paraId="7D85FB44">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7.1投标人认为招标文件、招标过程和中标结果使自己的合法权益受到损害的，应当在知道或者应知其权益受到损害之日起七个工作日内，以书面形式向采购单位、采购代理机构提出质疑。</w:t>
      </w:r>
      <w:r>
        <w:rPr>
          <w:rFonts w:hint="eastAsia" w:ascii="宋体" w:hAnsi="宋体" w:eastAsia="宋体" w:cs="宋体"/>
          <w:color w:val="auto"/>
          <w:highlight w:val="none"/>
        </w:rPr>
        <w:t>投标人对招标人的质疑答复不满意或者招标人未在规定时间内作出答复的，可以在答复期满后十五个工作日内向同级采购监管部门投诉。</w:t>
      </w:r>
      <w:r>
        <w:rPr>
          <w:rFonts w:hint="eastAsia" w:ascii="宋体" w:hAnsi="宋体" w:eastAsia="宋体" w:cs="宋体"/>
          <w:color w:val="auto"/>
          <w:szCs w:val="24"/>
          <w:highlight w:val="none"/>
        </w:rPr>
        <w:t>逾期提出的，采购代理机构不予受理、答复。</w:t>
      </w:r>
    </w:p>
    <w:p w14:paraId="01F70DA3">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highlight w:val="none"/>
        </w:rPr>
        <w:t>其来源或线索，便于有关单位调查、答复和处理。</w:t>
      </w:r>
    </w:p>
    <w:p w14:paraId="782A13B0">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Cs w:val="24"/>
          <w:highlight w:val="none"/>
        </w:rPr>
      </w:pPr>
      <w:bookmarkStart w:id="6" w:name="_Toc125344504"/>
      <w:r>
        <w:rPr>
          <w:rFonts w:hint="eastAsia" w:ascii="宋体" w:hAnsi="宋体" w:eastAsia="宋体" w:cs="宋体"/>
          <w:color w:val="auto"/>
          <w:highlight w:val="none"/>
        </w:rPr>
        <w:t>7.3</w:t>
      </w:r>
      <w:r>
        <w:rPr>
          <w:rFonts w:hint="eastAsia" w:ascii="宋体" w:hAnsi="宋体" w:eastAsia="宋体" w:cs="宋体"/>
          <w:color w:val="auto"/>
          <w:szCs w:val="24"/>
          <w:highlight w:val="none"/>
        </w:rPr>
        <w:t>采购代理机构与采购人研究后，对认为有必要回答的问题，招标人将答疑内容以网上发布公告的形式通知所有投标人，答疑内容是招标文件的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w:t>
      </w:r>
    </w:p>
    <w:p w14:paraId="722D814B">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7.4投标人一旦参与本次招标活动，即被视为接受了本招标文件的所有内容，如有任何异议，均须在答疑截止时间前提出。</w:t>
      </w:r>
    </w:p>
    <w:p w14:paraId="01D0CC4D">
      <w:pPr>
        <w:keepNext w:val="0"/>
        <w:keepLines w:val="0"/>
        <w:pageBreakBefore w:val="0"/>
        <w:widowControl w:val="0"/>
        <w:kinsoku/>
        <w:wordWrap/>
        <w:overflowPunct/>
        <w:topLinePunct w:val="0"/>
        <w:bidi w:val="0"/>
        <w:spacing w:line="30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bookmarkEnd w:id="6"/>
    </w:p>
    <w:p w14:paraId="080887D1">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8.招标文件的构成。</w:t>
      </w:r>
    </w:p>
    <w:p w14:paraId="15AB40CA">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本招标文件由以下</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组成：</w:t>
      </w:r>
    </w:p>
    <w:p w14:paraId="05F35C1F">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8.1招标公告；</w:t>
      </w:r>
    </w:p>
    <w:p w14:paraId="662B2D58">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8.2投标须知；</w:t>
      </w:r>
    </w:p>
    <w:p w14:paraId="4EC87A0C">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8.3评标办法及评分标准；</w:t>
      </w:r>
    </w:p>
    <w:p w14:paraId="6659FEB8">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8.4采购需求；</w:t>
      </w:r>
    </w:p>
    <w:p w14:paraId="754C74A4">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8.5应提交的有关格式范例；</w:t>
      </w:r>
    </w:p>
    <w:p w14:paraId="455FE629">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8.6本项目招标文件的澄清、答复、修改、补充的内容。</w:t>
      </w:r>
    </w:p>
    <w:p w14:paraId="5EBD9DEE">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9.投标人的风险</w:t>
      </w:r>
    </w:p>
    <w:p w14:paraId="396B954D">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0B5FB11B">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10.招标文件的澄清与修改 </w:t>
      </w:r>
    </w:p>
    <w:p w14:paraId="2F3FC318">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10.1</w:t>
      </w:r>
      <w:r>
        <w:rPr>
          <w:rFonts w:hint="eastAsia" w:ascii="宋体" w:hAnsi="宋体" w:eastAsia="宋体" w:cs="宋体"/>
          <w:bCs/>
          <w:color w:val="auto"/>
          <w:highlight w:val="none"/>
        </w:rPr>
        <w:t>投标人应认真阅读本招标文件，发现其中有误或有不合理要求的，投标人必须按前附表规定的时间前以书面形式</w:t>
      </w:r>
      <w:r>
        <w:rPr>
          <w:rFonts w:hint="eastAsia" w:ascii="宋体" w:hAnsi="宋体" w:eastAsia="宋体" w:cs="宋体"/>
          <w:color w:val="auto"/>
          <w:highlight w:val="none"/>
        </w:rPr>
        <w:t>(包括书面文字、传真等)</w:t>
      </w:r>
      <w:r>
        <w:rPr>
          <w:rFonts w:hint="eastAsia" w:ascii="宋体" w:hAnsi="宋体" w:eastAsia="宋体" w:cs="宋体"/>
          <w:bCs/>
          <w:color w:val="auto"/>
          <w:highlight w:val="none"/>
        </w:rPr>
        <w:t>要求招标人澄清</w:t>
      </w:r>
      <w:r>
        <w:rPr>
          <w:rFonts w:hint="eastAsia" w:ascii="宋体" w:hAnsi="宋体" w:eastAsia="宋体" w:cs="宋体"/>
          <w:color w:val="auto"/>
          <w:highlight w:val="none"/>
        </w:rPr>
        <w:t>。逾期提出的，招标人将不予受理。</w:t>
      </w:r>
      <w:r>
        <w:rPr>
          <w:rFonts w:hint="eastAsia" w:ascii="宋体" w:hAnsi="宋体" w:eastAsia="宋体" w:cs="宋体"/>
          <w:color w:val="auto"/>
          <w:szCs w:val="24"/>
          <w:highlight w:val="none"/>
        </w:rPr>
        <w:t>采购代理机构与采购人研究后，对认为有必要回答的问题，招标人将答疑内容以网上发布公告的形式通知所有投标人，答疑内容是招标文件的</w:t>
      </w:r>
      <w:r>
        <w:rPr>
          <w:rFonts w:hint="eastAsia" w:ascii="宋体" w:hAnsi="宋体" w:eastAsia="宋体" w:cs="宋体"/>
          <w:color w:val="auto"/>
          <w:szCs w:val="24"/>
          <w:highlight w:val="none"/>
          <w:lang w:eastAsia="zh-CN"/>
        </w:rPr>
        <w:t>组成部分</w:t>
      </w:r>
      <w:r>
        <w:rPr>
          <w:rFonts w:hint="eastAsia" w:ascii="宋体" w:hAnsi="宋体" w:eastAsia="宋体" w:cs="宋体"/>
          <w:color w:val="auto"/>
          <w:szCs w:val="24"/>
          <w:highlight w:val="none"/>
        </w:rPr>
        <w:t>。投标人可以通过诸暨市公共资源交易网自行下载，以确认已阅知该澄清或修改内容，否则，由此导致的风险由投标人自行承担，招标人不承担任何责任。</w:t>
      </w:r>
    </w:p>
    <w:p w14:paraId="20778A54">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10.2招标文件澄清、答复、修改、补充的内容为招标文件的组成部分。当招标文件与招标文件的答复、澄清、修改、补充公告就同一内容的表述不一致时，以最后发出的文件或公告或通知为准。</w:t>
      </w:r>
    </w:p>
    <w:p w14:paraId="1B35D412">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在投标截止时间前，招标人有权修改招标文件，并以网站发布补充公告的形式通知所有投标人，通知中没有注明更改投标截止时间的视为截止时间不变。修改的文件作为招标文件的补充和组成部分，对所有投标人均有约束力。</w:t>
      </w:r>
    </w:p>
    <w:p w14:paraId="7B1D2800">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10.4为使投标人在编制投标文件时把补充公告内容考虑进去，招标人可以酌情推迟递交投标文件的截止时间。</w:t>
      </w:r>
    </w:p>
    <w:p w14:paraId="222A0785">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10.5补充公告须向</w:t>
      </w:r>
      <w:r>
        <w:rPr>
          <w:rFonts w:hint="eastAsia" w:ascii="宋体" w:hAnsi="宋体" w:cs="宋体"/>
          <w:color w:val="auto"/>
          <w:highlight w:val="none"/>
          <w:lang w:eastAsia="zh-CN"/>
        </w:rPr>
        <w:t>诸暨市教育体育局交易办</w:t>
      </w:r>
      <w:r>
        <w:rPr>
          <w:rFonts w:hint="eastAsia" w:ascii="宋体" w:hAnsi="宋体" w:eastAsia="宋体" w:cs="宋体"/>
          <w:color w:val="auto"/>
          <w:highlight w:val="none"/>
        </w:rPr>
        <w:t>审核备案。</w:t>
      </w:r>
    </w:p>
    <w:p w14:paraId="11B4951B">
      <w:pPr>
        <w:keepNext w:val="0"/>
        <w:keepLines w:val="0"/>
        <w:pageBreakBefore w:val="0"/>
        <w:widowControl w:val="0"/>
        <w:kinsoku/>
        <w:wordWrap/>
        <w:overflowPunct/>
        <w:topLinePunct w:val="0"/>
        <w:bidi w:val="0"/>
        <w:spacing w:line="300" w:lineRule="auto"/>
        <w:ind w:left="0" w:leftChars="0"/>
        <w:jc w:val="center"/>
        <w:textAlignment w:val="auto"/>
        <w:rPr>
          <w:rFonts w:hint="eastAsia" w:ascii="宋体" w:hAnsi="宋体" w:eastAsia="宋体" w:cs="宋体"/>
          <w:b/>
          <w:color w:val="auto"/>
          <w:sz w:val="28"/>
          <w:szCs w:val="28"/>
          <w:highlight w:val="none"/>
        </w:rPr>
      </w:pPr>
      <w:bookmarkStart w:id="7" w:name="_Toc125344505"/>
      <w:r>
        <w:rPr>
          <w:rFonts w:hint="eastAsia" w:ascii="宋体" w:hAnsi="宋体" w:eastAsia="宋体" w:cs="宋体"/>
          <w:b/>
          <w:color w:val="auto"/>
          <w:sz w:val="28"/>
          <w:szCs w:val="28"/>
          <w:highlight w:val="none"/>
        </w:rPr>
        <w:t>三、投标文件编制</w:t>
      </w:r>
      <w:bookmarkEnd w:id="7"/>
      <w:r>
        <w:rPr>
          <w:rFonts w:hint="eastAsia" w:ascii="宋体" w:hAnsi="宋体" w:eastAsia="宋体" w:cs="宋体"/>
          <w:b/>
          <w:color w:val="auto"/>
          <w:sz w:val="28"/>
          <w:szCs w:val="28"/>
          <w:highlight w:val="none"/>
        </w:rPr>
        <w:t>和提交</w:t>
      </w:r>
    </w:p>
    <w:p w14:paraId="46BCDD35">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11.投标文件的组成</w:t>
      </w:r>
    </w:p>
    <w:p w14:paraId="4564C32D">
      <w:pPr>
        <w:keepNext w:val="0"/>
        <w:keepLines w:val="0"/>
        <w:pageBreakBefore w:val="0"/>
        <w:widowControl w:val="0"/>
        <w:kinsoku/>
        <w:wordWrap/>
        <w:overflowPunct/>
        <w:topLinePunct w:val="0"/>
        <w:bidi w:val="0"/>
        <w:snapToGrid w:val="0"/>
        <w:spacing w:line="300" w:lineRule="auto"/>
        <w:ind w:left="0" w:leftChars="0"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投标文件由技术文件、商务文件</w:t>
      </w:r>
      <w:r>
        <w:rPr>
          <w:rFonts w:hint="eastAsia" w:ascii="宋体" w:hAnsi="宋体" w:eastAsia="宋体" w:cs="宋体"/>
          <w:color w:val="auto"/>
          <w:sz w:val="24"/>
          <w:highlight w:val="none"/>
          <w:lang w:eastAsia="zh-CN"/>
        </w:rPr>
        <w:t>两</w:t>
      </w:r>
      <w:r>
        <w:rPr>
          <w:rFonts w:hint="eastAsia" w:ascii="宋体" w:hAnsi="宋体" w:eastAsia="宋体" w:cs="宋体"/>
          <w:color w:val="auto"/>
          <w:sz w:val="24"/>
          <w:highlight w:val="none"/>
        </w:rPr>
        <w:t>部分组成。详见前附表。</w:t>
      </w:r>
    </w:p>
    <w:p w14:paraId="2A96CACE">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12.投标文件的语言及计量</w:t>
      </w:r>
    </w:p>
    <w:p w14:paraId="00716CF5">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12.1投标文件以及投标人与招标人就有关投标事宜的所有来往函电，均应以中文汉语书写。除签名、盖章、专用名称等特殊情形外，以中文汉语以外的文字表述的投标文件视同未提供。</w:t>
      </w:r>
    </w:p>
    <w:p w14:paraId="1267EE0B">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12.2投标计量单位，招标文件已有明确规定的，使用招标文件规定的计量单位；招标文件没有规定的，应采用中华人民共和国法定计量单位（货币单位：人民币元），否则视同未响应。</w:t>
      </w:r>
    </w:p>
    <w:p w14:paraId="5AFA750E">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26F57CE9">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13.1投标报价应按招标文件中相关附表格式填写。</w:t>
      </w:r>
    </w:p>
    <w:p w14:paraId="16DE7C23">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13.2投标报价应包括货款、标准附件、备品备件、专用工具、包装、运输、装卸、保险、税金、货到就位以及安装、调试、培训、保修等一切税金和费用。</w:t>
      </w:r>
    </w:p>
    <w:p w14:paraId="4640ADD0">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13.3投标文件只允许有一个报价，有选择的或有条件的报价将不予接受。</w:t>
      </w:r>
    </w:p>
    <w:p w14:paraId="7B797434">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13.4招标文件未列明，而投标人认为必需的费用也需列入报价。</w:t>
      </w:r>
    </w:p>
    <w:p w14:paraId="71C10EE7">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13.5</w:t>
      </w:r>
      <w:r>
        <w:rPr>
          <w:rFonts w:hint="eastAsia" w:ascii="宋体" w:hAnsi="宋体" w:eastAsia="宋体" w:cs="宋体"/>
          <w:b/>
          <w:color w:val="auto"/>
          <w:highlight w:val="none"/>
        </w:rPr>
        <w:t>投标人若有方案和报价未被唱标，应在开标时及时声明或提请采购代理机构宣读，否则是投标人自己的风险，采购代理机构对此不承担任何责任。</w:t>
      </w:r>
    </w:p>
    <w:p w14:paraId="6D224789">
      <w:pPr>
        <w:pStyle w:val="6"/>
        <w:keepNext w:val="0"/>
        <w:keepLines w:val="0"/>
        <w:pageBreakBefore w:val="0"/>
        <w:widowControl w:val="0"/>
        <w:numPr>
          <w:ilvl w:val="0"/>
          <w:numId w:val="0"/>
        </w:numPr>
        <w:tabs>
          <w:tab w:val="left" w:pos="720"/>
        </w:tabs>
        <w:kinsoku/>
        <w:wordWrap/>
        <w:overflowPunct/>
        <w:topLinePunct w:val="0"/>
        <w:bidi w:val="0"/>
        <w:snapToGrid w:val="0"/>
        <w:spacing w:afterLines="0" w:line="300" w:lineRule="auto"/>
        <w:ind w:left="0" w:leftChars="0" w:firstLine="354" w:firstLineChars="147"/>
        <w:textAlignment w:val="auto"/>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14.投标文件的有效期</w:t>
      </w:r>
    </w:p>
    <w:p w14:paraId="49A45654">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14.1自投标截止日起90天投标书应保持有效。如采购人认为必要，可延长投标有效期。有效期短于这个规定期限的投标将被拒绝。</w:t>
      </w:r>
    </w:p>
    <w:p w14:paraId="1BFB2E72">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14.2在特殊情况下，招标人可与投标人协商延长投标书的有效期，这种要求和答复均以书面形式进行。</w:t>
      </w:r>
    </w:p>
    <w:p w14:paraId="5984CDC0">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14.3投标人可拒绝接受延期要求而不会导致投标保证金被没收。同意延长有效期的投标人需要相应延长投标保证金的有效期，但不能修改投标文件。 </w:t>
      </w:r>
    </w:p>
    <w:p w14:paraId="1BF7A416">
      <w:pPr>
        <w:pStyle w:val="10"/>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14.4中标人的投标文件自开标之日起至合同履行完毕止均应保持有效。</w:t>
      </w:r>
    </w:p>
    <w:p w14:paraId="04B06033">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15.投标保证金</w:t>
      </w:r>
    </w:p>
    <w:p w14:paraId="43620433">
      <w:pPr>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15.1本项目免收投标保证金。</w:t>
      </w:r>
    </w:p>
    <w:p w14:paraId="0846ADAA">
      <w:pPr>
        <w:keepNext w:val="0"/>
        <w:keepLines w:val="0"/>
        <w:pageBreakBefore w:val="0"/>
        <w:widowControl w:val="0"/>
        <w:kinsoku/>
        <w:wordWrap/>
        <w:overflowPunct/>
        <w:topLinePunct w:val="0"/>
        <w:bidi w:val="0"/>
        <w:snapToGrid w:val="0"/>
        <w:spacing w:line="300" w:lineRule="auto"/>
        <w:ind w:left="0" w:leftChars="0" w:firstLine="472" w:firstLineChars="196"/>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16.投标文件的签署和份数</w:t>
      </w:r>
    </w:p>
    <w:p w14:paraId="64C51034">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16.1投标人应按招标文件前附表规定的内容和份数编制投标文件。并在封面上标明“正本”和“副本”。投标文件“正本”和“副本”如有不一致之处，以“正本”为准。</w:t>
      </w:r>
      <w:r>
        <w:rPr>
          <w:rFonts w:hint="eastAsia" w:ascii="宋体" w:hAnsi="宋体" w:eastAsia="宋体" w:cs="宋体"/>
          <w:b/>
          <w:color w:val="auto"/>
          <w:sz w:val="24"/>
          <w:szCs w:val="24"/>
          <w:highlight w:val="none"/>
        </w:rPr>
        <w:t>当投标文件未注明“正本”和“副本”且出现不一致时，评标委员会可以认定投标人出现选择性投标而认定其为无效投标。</w:t>
      </w:r>
    </w:p>
    <w:p w14:paraId="4413C655">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16.2投标人应按本招标文件规定的格式和顺序编制、装订投标文件并标注页码，投标文件内容不完整、编排混乱导致投标文件被误读、漏读或者查找不到相关内容的，是投标人的责任。</w:t>
      </w:r>
    </w:p>
    <w:p w14:paraId="0870D938">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16.3投标文件须由投标人在规定位置盖章并由法定代表人或法定代表授权人签署，投标人应写全称。</w:t>
      </w:r>
      <w:r>
        <w:rPr>
          <w:rFonts w:hint="eastAsia" w:ascii="宋体" w:hAnsi="宋体" w:eastAsia="宋体" w:cs="宋体"/>
          <w:b/>
          <w:color w:val="auto"/>
          <w:sz w:val="24"/>
          <w:szCs w:val="24"/>
          <w:highlight w:val="none"/>
        </w:rPr>
        <w:t>投标文件中所涉及的公章必须是投标人全称的公章，不得使用投标专用章、合同章等类似图章代替。</w:t>
      </w:r>
    </w:p>
    <w:p w14:paraId="003B19E6">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16.4投标文件不得涂改，若有修改错漏处，须加盖单位公章或者法定代表人或授权委托人签字或盖章。投标文件因表达不清所引起的后果由投标人负责。</w:t>
      </w:r>
    </w:p>
    <w:p w14:paraId="25B16699">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16.5投标人应使用招标文件中提供的文本格式，如表格不够用，可以按同样格式扩展。</w:t>
      </w:r>
    </w:p>
    <w:p w14:paraId="3EF3B5B6">
      <w:pPr>
        <w:keepNext w:val="0"/>
        <w:keepLines w:val="0"/>
        <w:pageBreakBefore w:val="0"/>
        <w:widowControl w:val="0"/>
        <w:kinsoku/>
        <w:wordWrap/>
        <w:overflowPunct/>
        <w:topLinePunct w:val="0"/>
        <w:bidi w:val="0"/>
        <w:snapToGrid w:val="0"/>
        <w:spacing w:line="30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16.6投标文件必须统一用A4纸(除特殊项目外)，文件内容均要求打印（除注明要求签字或提供复印件外）。</w:t>
      </w:r>
    </w:p>
    <w:p w14:paraId="093A5C41">
      <w:pPr>
        <w:keepNext w:val="0"/>
        <w:keepLines w:val="0"/>
        <w:pageBreakBefore w:val="0"/>
        <w:widowControl w:val="0"/>
        <w:kinsoku/>
        <w:wordWrap/>
        <w:overflowPunct/>
        <w:topLinePunct w:val="0"/>
        <w:bidi w:val="0"/>
        <w:snapToGrid w:val="0"/>
        <w:spacing w:line="300" w:lineRule="auto"/>
        <w:ind w:left="0" w:lef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16.7投标人应认真阅读招标文件中所有的内容。如果投标人编制的投标文件实质上不响应招标文件的要求或开标一览表中报价进行手写的，其投标文件将作无效标处理。</w:t>
      </w:r>
    </w:p>
    <w:p w14:paraId="2BA8F98A">
      <w:pPr>
        <w:keepNext w:val="0"/>
        <w:keepLines w:val="0"/>
        <w:pageBreakBefore w:val="0"/>
        <w:widowControl w:val="0"/>
        <w:kinsoku/>
        <w:wordWrap/>
        <w:overflowPunct/>
        <w:topLinePunct w:val="0"/>
        <w:bidi w:val="0"/>
        <w:snapToGrid w:val="0"/>
        <w:spacing w:line="300" w:lineRule="auto"/>
        <w:ind w:left="0" w:leftChars="0" w:firstLine="354" w:firstLineChars="147"/>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17.投标文件的包装、递交、修改和撤回</w:t>
      </w:r>
    </w:p>
    <w:p w14:paraId="0C7A5D87">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17.1投标人应将投标文件的技术文件、商务文件分开包装密封。</w:t>
      </w:r>
      <w:r>
        <w:rPr>
          <w:rFonts w:hint="eastAsia" w:ascii="宋体" w:hAnsi="宋体" w:eastAsia="宋体" w:cs="宋体"/>
          <w:b/>
          <w:color w:val="auto"/>
          <w:sz w:val="24"/>
          <w:szCs w:val="24"/>
          <w:highlight w:val="none"/>
        </w:rPr>
        <w:t>如投标文件的技术文件与商务文件未分开制作与包装或未密封或技术标内容含有商务报价的内容，将被视作无效标处理。</w:t>
      </w:r>
      <w:r>
        <w:rPr>
          <w:rFonts w:hint="eastAsia" w:ascii="宋体" w:hAnsi="宋体" w:eastAsia="宋体" w:cs="宋体"/>
          <w:color w:val="auto"/>
          <w:sz w:val="24"/>
          <w:szCs w:val="24"/>
          <w:highlight w:val="none"/>
        </w:rPr>
        <w:t>同时在外包装封面上注明投标项目名称、编号、投标人名称（写全称）、技术文件或商务文件，并由投标人盖章及其法定代表人（或委托代理人）签字或盖章。</w:t>
      </w:r>
    </w:p>
    <w:p w14:paraId="7BE75338">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17.2未按规定密封或标记的投标文件将被拒绝，由此造成投标文件被误投或提前拆封的风险由投标人承担。</w:t>
      </w:r>
    </w:p>
    <w:p w14:paraId="51000501">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投标人应按前附表规定的时间、地点将投标文件递交给采购代理机构，采购代理机构将拒绝接受逾期送达的投标文件。采购代理机构可以按本须知“招标文件的澄清与修改”规定，酌情推迟递交投标文件的截止时间。在上述情况下，采购代理机构与投标人以前在投标截止期方面的全部权利、责任和义务，将适用于延长至新的投标截止期。</w:t>
      </w:r>
    </w:p>
    <w:p w14:paraId="3CFF379A">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17.4投标人在投标截止时间之前，可以对已提交的投标文件进行修改或撤回，并书面通知招标人；修改后重新递交的投标文件应当按本招标文件的要求签署、盖章和密封。</w:t>
      </w:r>
    </w:p>
    <w:p w14:paraId="0ECFFEF2">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17.5投标截止时间后，投标人不得撤回、修改投标文件，否则其投标保证金将不予退还。</w:t>
      </w:r>
    </w:p>
    <w:p w14:paraId="3D919A9D">
      <w:pPr>
        <w:pStyle w:val="7"/>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17.6不论投标人中标与否，投标文件均不退回。</w:t>
      </w:r>
    </w:p>
    <w:p w14:paraId="05EE4063">
      <w:pPr>
        <w:keepNext w:val="0"/>
        <w:keepLines w:val="0"/>
        <w:pageBreakBefore w:val="0"/>
        <w:widowControl w:val="0"/>
        <w:kinsoku/>
        <w:wordWrap/>
        <w:overflowPunct/>
        <w:topLinePunct w:val="0"/>
        <w:bidi w:val="0"/>
        <w:snapToGrid w:val="0"/>
        <w:spacing w:line="300" w:lineRule="auto"/>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18.投标无效的情形</w:t>
      </w:r>
    </w:p>
    <w:p w14:paraId="2ECE88F1">
      <w:pPr>
        <w:keepNext w:val="0"/>
        <w:keepLines w:val="0"/>
        <w:pageBreakBefore w:val="0"/>
        <w:widowControl w:val="0"/>
        <w:kinsoku/>
        <w:wordWrap/>
        <w:overflowPunct/>
        <w:topLinePunct w:val="0"/>
        <w:bidi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实质上没有响应招标文件要求的投标将被视为无效投标。投标人不得通过修正或</w:t>
      </w:r>
      <w:r>
        <w:rPr>
          <w:rFonts w:hint="eastAsia" w:ascii="宋体" w:hAnsi="宋体" w:eastAsia="宋体" w:cs="宋体"/>
          <w:color w:val="auto"/>
          <w:sz w:val="24"/>
          <w:szCs w:val="24"/>
          <w:highlight w:val="none"/>
          <w:lang w:eastAsia="zh-CN"/>
        </w:rPr>
        <w:t>撤销</w:t>
      </w:r>
      <w:r>
        <w:rPr>
          <w:rFonts w:hint="eastAsia" w:ascii="宋体" w:hAnsi="宋体" w:eastAsia="宋体" w:cs="宋体"/>
          <w:color w:val="auto"/>
          <w:sz w:val="24"/>
          <w:szCs w:val="24"/>
          <w:highlight w:val="none"/>
        </w:rPr>
        <w:t>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B5A1715">
      <w:pPr>
        <w:pStyle w:val="9"/>
        <w:keepNext w:val="0"/>
        <w:keepLines w:val="0"/>
        <w:pageBreakBefore w:val="0"/>
        <w:widowControl w:val="0"/>
        <w:kinsoku/>
        <w:wordWrap/>
        <w:overflowPunct/>
        <w:topLinePunct w:val="0"/>
        <w:bidi w:val="0"/>
        <w:snapToGrid w:val="0"/>
        <w:spacing w:after="0" w:line="300" w:lineRule="auto"/>
        <w:ind w:left="0" w:leftChars="0"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18.1在符合性审查和资格性审查时，如发现下列情形之一的，投标文件将被视为无效投标：</w:t>
      </w:r>
    </w:p>
    <w:p w14:paraId="188E77E0">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18.1.1资格证明文件不全的，或者不符合招标文件标明的资格要求的；</w:t>
      </w:r>
    </w:p>
    <w:p w14:paraId="47A2BE2E">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18.1.2投标文件项目不齐全或者内容虚假的；</w:t>
      </w:r>
    </w:p>
    <w:p w14:paraId="70A63DC3">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18.1.3投标文件的实质性内容未使用中文表述、意思表述不明确、前后矛盾或者使用计量单位不符合招标文件要求的（经评标委员会认定并允许其当场更正的笔误除外）；</w:t>
      </w:r>
    </w:p>
    <w:p w14:paraId="1720F859">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18.1.4投标有效期、交货时间、质保期、售后服务承诺等条款不能满足招标文件要求的；</w:t>
      </w:r>
    </w:p>
    <w:p w14:paraId="7BBA4774">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18.1.5未按照招标文件规定要求密封、装订、签署、盖章或投标文件正、副本份数不足的；</w:t>
      </w:r>
    </w:p>
    <w:p w14:paraId="20A50379">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18.1.6应交未交投标保证金的；</w:t>
      </w:r>
    </w:p>
    <w:p w14:paraId="693B80AB">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18.1.7商务条款存在偏离情况的；</w:t>
      </w:r>
    </w:p>
    <w:p w14:paraId="61EF0DEC">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18.1.8不符合法律、法规或未实质性响应招标文件要求或者投标文件有招标方不能接受的附加条件的。</w:t>
      </w:r>
    </w:p>
    <w:p w14:paraId="407D6A3C">
      <w:pPr>
        <w:pStyle w:val="9"/>
        <w:keepNext w:val="0"/>
        <w:keepLines w:val="0"/>
        <w:pageBreakBefore w:val="0"/>
        <w:widowControl w:val="0"/>
        <w:kinsoku/>
        <w:wordWrap/>
        <w:overflowPunct/>
        <w:topLinePunct w:val="0"/>
        <w:bidi w:val="0"/>
        <w:snapToGrid w:val="0"/>
        <w:spacing w:after="0" w:line="300" w:lineRule="auto"/>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18.2在技术评审时，如发现下列情形之一的，投标文件将被视为无效：</w:t>
      </w:r>
    </w:p>
    <w:p w14:paraId="45305BDE">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18.2.1未提供或未如实提供投标货物的技术参数，或者投标文件标明的响应或偏离与事实不符或虚假投标的；</w:t>
      </w:r>
    </w:p>
    <w:p w14:paraId="20A46FDA">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18.2.2明显不符合招标文件要求的规格型号、质量标准，或者与招标文件中标“★”的技术指标、主要功能项目发生实质性偏离的；</w:t>
      </w:r>
    </w:p>
    <w:p w14:paraId="5FAADA7A">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18.2.3允许偏离的技术、性能指标或者辅助功能项目发生负偏离达20项（含）以上的；</w:t>
      </w:r>
    </w:p>
    <w:p w14:paraId="18A1E110">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18.2.4投标技术方案不明确，存在一个或一个以上备选（替代）投标方案的；</w:t>
      </w:r>
    </w:p>
    <w:p w14:paraId="21AE36E9">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18.2.5</w:t>
      </w:r>
      <w:r>
        <w:rPr>
          <w:rFonts w:hint="eastAsia" w:ascii="宋体" w:hAnsi="宋体" w:eastAsia="宋体" w:cs="宋体"/>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54C0E80F">
      <w:pPr>
        <w:pStyle w:val="9"/>
        <w:keepNext w:val="0"/>
        <w:keepLines w:val="0"/>
        <w:pageBreakBefore w:val="0"/>
        <w:widowControl w:val="0"/>
        <w:kinsoku/>
        <w:wordWrap/>
        <w:overflowPunct/>
        <w:topLinePunct w:val="0"/>
        <w:bidi w:val="0"/>
        <w:snapToGrid w:val="0"/>
        <w:spacing w:after="0" w:line="30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18.3在报价评审时，如发现下列情形之一的，投标文件将被视为无效：</w:t>
      </w:r>
    </w:p>
    <w:p w14:paraId="6EBE8E7B">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（1）未采用人民币报价或者未按照招标文件标明的币种报价的；</w:t>
      </w:r>
    </w:p>
    <w:p w14:paraId="627324C4">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（2）投标报价超出最高限价；</w:t>
      </w:r>
    </w:p>
    <w:p w14:paraId="4512F067">
      <w:pPr>
        <w:keepNext w:val="0"/>
        <w:keepLines w:val="0"/>
        <w:pageBreakBefore w:val="0"/>
        <w:widowControl w:val="0"/>
        <w:kinsoku/>
        <w:wordWrap/>
        <w:overflowPunct/>
        <w:topLinePunct w:val="0"/>
        <w:bidi w:val="0"/>
        <w:snapToGrid w:val="0"/>
        <w:spacing w:line="300" w:lineRule="auto"/>
        <w:ind w:left="0" w:lef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（3）投标报价具有选择性。</w:t>
      </w:r>
    </w:p>
    <w:p w14:paraId="6DC469BB">
      <w:pPr>
        <w:pStyle w:val="9"/>
        <w:keepNext w:val="0"/>
        <w:keepLines w:val="0"/>
        <w:pageBreakBefore w:val="0"/>
        <w:widowControl w:val="0"/>
        <w:kinsoku/>
        <w:wordWrap/>
        <w:overflowPunct/>
        <w:topLinePunct w:val="0"/>
        <w:bidi w:val="0"/>
        <w:snapToGrid w:val="0"/>
        <w:spacing w:after="0" w:line="30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18.4符合招标文件明确规定的其他无效投标条款的。</w:t>
      </w:r>
    </w:p>
    <w:p w14:paraId="537C942A">
      <w:pPr>
        <w:keepNext w:val="0"/>
        <w:keepLines w:val="0"/>
        <w:pageBreakBefore w:val="0"/>
        <w:widowControl w:val="0"/>
        <w:kinsoku/>
        <w:wordWrap/>
        <w:overflowPunct/>
        <w:topLinePunct w:val="0"/>
        <w:bidi w:val="0"/>
        <w:adjustRightInd w:val="0"/>
        <w:snapToGrid w:val="0"/>
        <w:spacing w:line="300" w:lineRule="auto"/>
        <w:ind w:left="0" w:leftChars="0"/>
        <w:jc w:val="center"/>
        <w:textAlignment w:val="auto"/>
        <w:rPr>
          <w:rFonts w:hint="eastAsia" w:ascii="宋体" w:hAnsi="宋体" w:eastAsia="宋体" w:cs="宋体"/>
          <w:b/>
          <w:color w:val="auto"/>
          <w:sz w:val="28"/>
          <w:szCs w:val="28"/>
          <w:highlight w:val="none"/>
        </w:rPr>
      </w:pPr>
      <w:bookmarkStart w:id="8" w:name="_Toc125344507"/>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、开</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标</w:t>
      </w:r>
      <w:bookmarkEnd w:id="8"/>
    </w:p>
    <w:p w14:paraId="3DB39B11">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19.</w:t>
      </w:r>
      <w:r>
        <w:rPr>
          <w:rFonts w:hint="eastAsia" w:ascii="宋体" w:hAnsi="宋体" w:eastAsia="宋体" w:cs="宋体"/>
          <w:b/>
          <w:color w:val="auto"/>
          <w:sz w:val="24"/>
          <w:highlight w:val="none"/>
        </w:rPr>
        <w:t>开标</w:t>
      </w:r>
    </w:p>
    <w:p w14:paraId="076EB128">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19.1采购代理机构将在前附表规定的时间、地点进行开标。</w:t>
      </w:r>
    </w:p>
    <w:p w14:paraId="03C16C37">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19.2供应商逾期提交（邮寄）投标文件的，事后不得对采购相关人员、开标过程和开标结果提出异议。</w:t>
      </w:r>
    </w:p>
    <w:p w14:paraId="1EC8237E">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19.3开标会在采购单位现场监督下由浙江明业项目管理有限公司工作人员进行主持。</w:t>
      </w:r>
    </w:p>
    <w:p w14:paraId="73C6E2F2">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20.开标程序</w:t>
      </w:r>
    </w:p>
    <w:p w14:paraId="17F208F3">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20.1主持人宣布开标大会开始，清点投标文件。</w:t>
      </w:r>
    </w:p>
    <w:p w14:paraId="5AAFC014">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20.2工作人员将投标文件等资料送达评标室，交评标委员会评审。</w:t>
      </w:r>
    </w:p>
    <w:p w14:paraId="382A7F5D">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20.3技术标评审结束后，由主持人宣读技术评审结果和投标报价。</w:t>
      </w:r>
    </w:p>
    <w:p w14:paraId="45153A90">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20.4评标委员会对入围单位进行投标报价评审。</w:t>
      </w:r>
    </w:p>
    <w:p w14:paraId="22824183">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20.5评标委员会审核商务报价，汇总技术分、商务分，根据得分排序确定中标候选人。参加开标会的法定代表人或授权代理人应对唱读的内容和记录结果进行校核。投标人代表未到场签字确认或者拒绝签字确认的，不影响评标过程。</w:t>
      </w:r>
    </w:p>
    <w:p w14:paraId="39D0C1D4">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20.6主持人公布评标结果。</w:t>
      </w:r>
    </w:p>
    <w:p w14:paraId="5FE652C3">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20.7开标会议结束。</w:t>
      </w:r>
    </w:p>
    <w:p w14:paraId="7B9FD3D1">
      <w:pPr>
        <w:keepNext w:val="0"/>
        <w:keepLines w:val="0"/>
        <w:pageBreakBefore w:val="0"/>
        <w:widowControl w:val="0"/>
        <w:kinsoku/>
        <w:wordWrap/>
        <w:overflowPunct/>
        <w:topLinePunct w:val="0"/>
        <w:bidi w:val="0"/>
        <w:adjustRightInd w:val="0"/>
        <w:snapToGrid w:val="0"/>
        <w:spacing w:line="300" w:lineRule="auto"/>
        <w:ind w:left="0" w:leftChars="0"/>
        <w:jc w:val="center"/>
        <w:textAlignment w:val="auto"/>
        <w:rPr>
          <w:rFonts w:hint="eastAsia" w:ascii="宋体" w:hAnsi="宋体" w:eastAsia="宋体" w:cs="宋体"/>
          <w:b/>
          <w:color w:val="auto"/>
          <w:sz w:val="28"/>
          <w:szCs w:val="28"/>
          <w:highlight w:val="none"/>
        </w:rPr>
      </w:pPr>
      <w:bookmarkStart w:id="9" w:name="_Toc125344508"/>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标</w:t>
      </w:r>
      <w:bookmarkEnd w:id="9"/>
    </w:p>
    <w:p w14:paraId="07D0EAEA">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 组建评标委员会</w:t>
      </w:r>
    </w:p>
    <w:p w14:paraId="69C80A52">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评标委员会按照有关规定组建。</w:t>
      </w:r>
    </w:p>
    <w:p w14:paraId="02846803">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22.评标原则</w:t>
      </w:r>
    </w:p>
    <w:p w14:paraId="035E73B2">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337C2B47">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14:paraId="036074E5">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23.1形式审查</w:t>
      </w:r>
    </w:p>
    <w:p w14:paraId="26828B12">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评标委员会对投标人的资格和投标文件的完整性、合法性等进行审查。</w:t>
      </w:r>
    </w:p>
    <w:p w14:paraId="52171156">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23.2实质审查与比较</w:t>
      </w:r>
    </w:p>
    <w:p w14:paraId="48590CD5">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平的影响。</w:t>
      </w:r>
    </w:p>
    <w:p w14:paraId="14D4B668">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063570AD">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23.2.3如果投标文件实质不响应招标文件的各项要求，评标委员会将予以拒绝，并且不允许投标人通过修改或撤销其不符合要求的差异或保留，使之成为具有响应性的投标。</w:t>
      </w:r>
    </w:p>
    <w:p w14:paraId="442193A8">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23.2.4各投标人的技术得分为所有评委的有效评分的算术平均数。</w:t>
      </w:r>
    </w:p>
    <w:p w14:paraId="5E858A2F">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23.2.5评标委员会完成评标后,评委对各部分得分汇总,计算出本项目最终得分。评标委员会按评标原则推荐中标候选人同时起草评标报告。</w:t>
      </w:r>
    </w:p>
    <w:p w14:paraId="5E5DF50F">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24.投标文件的澄清</w:t>
      </w:r>
    </w:p>
    <w:p w14:paraId="3E20D629">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投标文件中含义不明确、同类问题表述不一致或者有明显文字错误的内容，评标委员会可以要求投标人作出必要的澄清、说明或者纠正。投标人的澄清、说明或者补正应当采用书面形式，由其授权代表签字或盖章确认，（澄清说明采用扫描件）通过指定的电子邮箱</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"mailto:630517312@qq.com" </w:instrText>
      </w:r>
      <w:r>
        <w:rPr>
          <w:rFonts w:hint="eastAsia" w:ascii="宋体" w:hAnsi="宋体" w:eastAsia="宋体" w:cs="宋体"/>
          <w:color w:val="auto"/>
          <w:kern w:val="0"/>
          <w:sz w:val="24"/>
          <w:highlight w:val="none"/>
        </w:rPr>
        <w:fldChar w:fldCharType="separate"/>
      </w:r>
      <w:r>
        <w:rPr>
          <w:rStyle w:val="19"/>
          <w:rFonts w:hint="eastAsia" w:ascii="宋体" w:hAnsi="宋体" w:eastAsia="宋体" w:cs="宋体"/>
          <w:color w:val="auto"/>
          <w:kern w:val="0"/>
          <w:sz w:val="24"/>
          <w:highlight w:val="none"/>
        </w:rPr>
        <w:t>3210427674@qq.com</w:t>
      </w:r>
      <w:r>
        <w:rPr>
          <w:rFonts w:hint="eastAsia" w:ascii="宋体" w:hAnsi="宋体" w:eastAsia="宋体" w:cs="宋体"/>
          <w:color w:val="auto"/>
          <w:kern w:val="0"/>
          <w:sz w:val="24"/>
          <w:highlight w:val="none"/>
        </w:rPr>
        <w:fldChar w:fldCharType="end"/>
      </w:r>
      <w:r>
        <w:rPr>
          <w:rFonts w:hint="eastAsia" w:ascii="宋体" w:hAnsi="宋体" w:eastAsia="宋体" w:cs="宋体"/>
          <w:color w:val="auto"/>
          <w:sz w:val="24"/>
          <w:highlight w:val="none"/>
        </w:rPr>
        <w:t>作出澄清、说明或者补正并应在中标结果公告之前查核原件，并不得超出投标文件的范围或者改变投标文件的实质性内容。但属于评标委员会在评标中发现的计算错误并进行核实的修改不在此列。投标人的澄清文件是其投标文件的组成部分。</w:t>
      </w:r>
    </w:p>
    <w:p w14:paraId="2B5CDB3F">
      <w:pPr>
        <w:pStyle w:val="10"/>
        <w:keepNext w:val="0"/>
        <w:keepLines w:val="0"/>
        <w:pageBreakBefore w:val="0"/>
        <w:widowControl w:val="0"/>
        <w:kinsoku/>
        <w:wordWrap/>
        <w:overflowPunct/>
        <w:topLinePunct w:val="0"/>
        <w:bidi w:val="0"/>
        <w:adjustRightInd w:val="0"/>
        <w:snapToGrid w:val="0"/>
        <w:spacing w:line="300" w:lineRule="auto"/>
        <w:ind w:left="241" w:leftChars="0" w:hanging="24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25.错误修正</w:t>
      </w:r>
    </w:p>
    <w:p w14:paraId="1819AE0E">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69E7EC05">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25.1投标文件中开标一览表（报价表）内容与投标文件中相应内容不一致的，以开标一览表（报价表）为准。</w:t>
      </w:r>
    </w:p>
    <w:p w14:paraId="48FB03D0">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25.2大写金额和小写金额不一致的，以大写金额为准。</w:t>
      </w:r>
    </w:p>
    <w:p w14:paraId="48F144B6">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25.3单价金额小数点或者百分比有明显错位的，以开标一览表的总价为准，并修改单价 。</w:t>
      </w:r>
    </w:p>
    <w:p w14:paraId="5B41EF75">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25.4总价金额与按单价汇总金额不一致的，以单价金额计算结果为准。</w:t>
      </w:r>
    </w:p>
    <w:p w14:paraId="2B9C0118">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w:t>
      </w:r>
    </w:p>
    <w:p w14:paraId="73363F62">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0CEBE621">
      <w:pPr>
        <w:pStyle w:val="15"/>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26.评标办法。</w:t>
      </w:r>
    </w:p>
    <w:p w14:paraId="1E09DDE5">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本项目评标办法是综合评分法，具体评标内容及评分标准等详见《第三章：评标办法及评分标准》。</w:t>
      </w:r>
    </w:p>
    <w:p w14:paraId="53D8ABB7">
      <w:pPr>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w:t>
      </w:r>
      <w:r>
        <w:rPr>
          <w:rFonts w:hint="eastAsia" w:ascii="宋体" w:hAnsi="宋体" w:eastAsia="宋体" w:cs="宋体"/>
          <w:b/>
          <w:bCs/>
          <w:color w:val="auto"/>
          <w:sz w:val="24"/>
          <w:highlight w:val="none"/>
        </w:rPr>
        <w:t>评标过程的保密</w:t>
      </w:r>
    </w:p>
    <w:p w14:paraId="6067D09F">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27.1开标后，直到宣布授予中标人合同为止，凡属于审查、澄清、评价和比较投标文件的有关资料和授予合同的信息，招标人都不应向投标人或与该过程无关的其他人员泄露。</w:t>
      </w:r>
    </w:p>
    <w:p w14:paraId="0D87F2E4">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27.2任何单位和个人都不得干扰、影响评标活动的正常进行。投标人在评标过程中所进行的试图影响评标结果的一切不符合法律或招标规定的活动，都可能导致其被取消投标资格，并由其承担相应的法律责任。</w:t>
      </w:r>
    </w:p>
    <w:p w14:paraId="1433F9D0">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27.3中标人确定后，招标人不对未中标人就评标过程以及未能中标原因作出任何解释。未中标人不得向评标委员会或其他有关人员索问评标过程的情况和材料。</w:t>
      </w:r>
    </w:p>
    <w:p w14:paraId="2E849F3A">
      <w:pPr>
        <w:keepNext w:val="0"/>
        <w:keepLines w:val="0"/>
        <w:pageBreakBefore w:val="0"/>
        <w:widowControl w:val="0"/>
        <w:kinsoku/>
        <w:wordWrap/>
        <w:overflowPunct/>
        <w:topLinePunct w:val="0"/>
        <w:bidi w:val="0"/>
        <w:adjustRightInd w:val="0"/>
        <w:snapToGrid w:val="0"/>
        <w:spacing w:line="300" w:lineRule="auto"/>
        <w:ind w:left="0" w:leftChars="0"/>
        <w:jc w:val="center"/>
        <w:textAlignment w:val="auto"/>
        <w:rPr>
          <w:rFonts w:hint="eastAsia" w:ascii="宋体" w:hAnsi="宋体" w:eastAsia="宋体" w:cs="宋体"/>
          <w:b/>
          <w:color w:val="auto"/>
          <w:sz w:val="28"/>
          <w:szCs w:val="28"/>
          <w:highlight w:val="none"/>
        </w:rPr>
      </w:pPr>
      <w:bookmarkStart w:id="10" w:name="_Toc125344509"/>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bookmarkEnd w:id="10"/>
      <w:r>
        <w:rPr>
          <w:rFonts w:hint="eastAsia" w:ascii="宋体" w:hAnsi="宋体" w:eastAsia="宋体" w:cs="宋体"/>
          <w:b/>
          <w:color w:val="auto"/>
          <w:sz w:val="28"/>
          <w:szCs w:val="28"/>
          <w:highlight w:val="none"/>
        </w:rPr>
        <w:t>定</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标</w:t>
      </w:r>
    </w:p>
    <w:p w14:paraId="1A8D8610">
      <w:pPr>
        <w:pStyle w:val="15"/>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28.确定中标人。本项目由采购人确定中标人。</w:t>
      </w:r>
    </w:p>
    <w:p w14:paraId="06E4CFE5">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.1采购人应当自收到评标报告之日起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w:t>
      </w:r>
      <w:r>
        <w:rPr>
          <w:rFonts w:hint="eastAsia" w:ascii="宋体" w:hAnsi="宋体" w:eastAsia="宋体" w:cs="宋体"/>
          <w:color w:val="auto"/>
          <w:sz w:val="24"/>
          <w:highlight w:val="none"/>
          <w:lang w:val="en-US" w:eastAsia="zh-CN"/>
        </w:rPr>
        <w:t>第一</w:t>
      </w:r>
      <w:r>
        <w:rPr>
          <w:rFonts w:hint="eastAsia" w:ascii="宋体" w:hAnsi="宋体" w:eastAsia="宋体" w:cs="宋体"/>
          <w:color w:val="auto"/>
          <w:sz w:val="24"/>
          <w:highlight w:val="none"/>
        </w:rPr>
        <w:t>的中标候选人为中标人。</w:t>
      </w:r>
    </w:p>
    <w:p w14:paraId="7603B301">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28.2排名</w:t>
      </w:r>
      <w:r>
        <w:rPr>
          <w:rFonts w:hint="eastAsia" w:ascii="宋体" w:hAnsi="宋体" w:eastAsia="宋体" w:cs="宋体"/>
          <w:color w:val="auto"/>
          <w:sz w:val="24"/>
          <w:highlight w:val="none"/>
          <w:lang w:val="en-US" w:eastAsia="zh-CN"/>
        </w:rPr>
        <w:t>第一</w:t>
      </w:r>
      <w:r>
        <w:rPr>
          <w:rFonts w:hint="eastAsia" w:ascii="宋体" w:hAnsi="宋体" w:eastAsia="宋体" w:cs="宋体"/>
          <w:color w:val="auto"/>
          <w:sz w:val="24"/>
          <w:highlight w:val="none"/>
        </w:rPr>
        <w:t>的中标候选人无正当理由放弃中标成交或被取消中标资格的，除其投标保证金不予退还外，同时上报</w:t>
      </w:r>
      <w:r>
        <w:rPr>
          <w:rFonts w:hint="eastAsia" w:ascii="宋体" w:hAnsi="宋体" w:cs="宋体"/>
          <w:color w:val="auto"/>
          <w:sz w:val="24"/>
          <w:highlight w:val="none"/>
          <w:lang w:eastAsia="zh-CN"/>
        </w:rPr>
        <w:t>诸暨市教育体育局交易办</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诸暨市教育体育局交易办</w:t>
      </w:r>
      <w:r>
        <w:rPr>
          <w:rFonts w:hint="eastAsia" w:ascii="宋体" w:hAnsi="宋体" w:eastAsia="宋体" w:cs="宋体"/>
          <w:color w:val="auto"/>
          <w:sz w:val="24"/>
          <w:highlight w:val="none"/>
        </w:rPr>
        <w:t>将按</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法律、法规、制度进行处理。</w:t>
      </w:r>
      <w:r>
        <w:rPr>
          <w:rFonts w:hint="eastAsia" w:ascii="宋体" w:hAnsi="宋体" w:eastAsia="宋体" w:cs="宋体"/>
          <w:b/>
          <w:color w:val="auto"/>
          <w:sz w:val="24"/>
          <w:highlight w:val="none"/>
        </w:rPr>
        <w:t>此标的将另行组织采购</w:t>
      </w:r>
      <w:r>
        <w:rPr>
          <w:rFonts w:hint="eastAsia" w:ascii="宋体" w:hAnsi="宋体" w:eastAsia="宋体" w:cs="宋体"/>
          <w:color w:val="auto"/>
          <w:sz w:val="24"/>
          <w:highlight w:val="none"/>
        </w:rPr>
        <w:t>。</w:t>
      </w:r>
    </w:p>
    <w:p w14:paraId="0A8AB5AA">
      <w:pPr>
        <w:pStyle w:val="15"/>
        <w:keepNext w:val="0"/>
        <w:keepLines w:val="0"/>
        <w:pageBreakBefore w:val="0"/>
        <w:widowControl w:val="0"/>
        <w:kinsoku/>
        <w:wordWrap/>
        <w:overflowPunct/>
        <w:topLinePunct w:val="0"/>
        <w:bidi w:val="0"/>
        <w:adjustRightInd w:val="0"/>
        <w:snapToGrid w:val="0"/>
        <w:spacing w:line="300" w:lineRule="auto"/>
        <w:ind w:left="0" w:leftChars="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29.中标通知</w:t>
      </w:r>
    </w:p>
    <w:p w14:paraId="3FCA2A04">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29.1采购人确认中标结果</w:t>
      </w:r>
      <w:r>
        <w:rPr>
          <w:rFonts w:hint="eastAsia" w:ascii="宋体" w:hAnsi="宋体" w:eastAsia="宋体" w:cs="宋体"/>
          <w:color w:val="auto"/>
          <w:sz w:val="24"/>
          <w:highlight w:val="none"/>
          <w:lang w:val="en-US" w:eastAsia="zh-CN"/>
        </w:rPr>
        <w:t>后</w:t>
      </w:r>
      <w:r>
        <w:rPr>
          <w:rFonts w:hint="eastAsia" w:ascii="宋体" w:hAnsi="宋体" w:eastAsia="宋体" w:cs="宋体"/>
          <w:color w:val="auto"/>
          <w:sz w:val="24"/>
          <w:highlight w:val="none"/>
        </w:rPr>
        <w:t>，浙江明业项目管理有限公司核发《中标通知书》。《中标通知书》一经发出即发生法律效力。</w:t>
      </w:r>
    </w:p>
    <w:p w14:paraId="1D3EABAD">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29.2中标结果将在相关网站以中标公告形式发布，中标人须在中标公告发布后到浙江明业项目管理有限公司领取书面通知。</w:t>
      </w:r>
    </w:p>
    <w:p w14:paraId="31C1780F">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29.3招标人对中标结果不作任何说明和解释，也不回答任何提问。</w:t>
      </w:r>
    </w:p>
    <w:p w14:paraId="33DCA581">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 中标无效情形</w:t>
      </w:r>
    </w:p>
    <w:p w14:paraId="20B9CDD1">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中标人存在下列情形之一的，中标无效：</w:t>
      </w:r>
    </w:p>
    <w:p w14:paraId="7253ED58">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30.1提供虚假材料谋取中标的；</w:t>
      </w:r>
    </w:p>
    <w:p w14:paraId="6C14FCE3">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30.2采取不正当手段诋毁、排挤其他投标人的；</w:t>
      </w:r>
    </w:p>
    <w:p w14:paraId="43F12061">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30.3与采购单位、其他投标人恶意串通的；</w:t>
      </w:r>
    </w:p>
    <w:p w14:paraId="3E40866F">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30.4向采购单位行贿或者提供其他不正当利益的；</w:t>
      </w:r>
    </w:p>
    <w:p w14:paraId="6CFED8BB">
      <w:pPr>
        <w:pStyle w:val="15"/>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30.5在招标过程中与采购单位进行协商谈判、不按照招标文件和中标供应商的投标文件订立合同，或者与采购人另行背离合同实质性内容的协议的；</w:t>
      </w:r>
    </w:p>
    <w:p w14:paraId="2C422254">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30.6存在法律、法规规定的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损害招标人或用户单位利益或社会公共利益的情形的；</w:t>
      </w:r>
    </w:p>
    <w:p w14:paraId="1785E905">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31.重新招标</w:t>
      </w:r>
    </w:p>
    <w:p w14:paraId="54584F32">
      <w:pPr>
        <w:keepNext w:val="0"/>
        <w:keepLines w:val="0"/>
        <w:pageBreakBefore w:val="0"/>
        <w:widowControl w:val="0"/>
        <w:kinsoku/>
        <w:wordWrap/>
        <w:overflowPunct/>
        <w:topLinePunct w:val="0"/>
        <w:bidi w:val="0"/>
        <w:adjustRightInd w:val="0"/>
        <w:snapToGrid w:val="0"/>
        <w:spacing w:line="300" w:lineRule="auto"/>
        <w:ind w:left="0" w:lef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31.1投标截止时间及评审期间，出现有效供应商不足3家的，重新组织采购活动。</w:t>
      </w:r>
    </w:p>
    <w:p w14:paraId="654667BB">
      <w:pPr>
        <w:keepNext w:val="0"/>
        <w:keepLines w:val="0"/>
        <w:pageBreakBefore w:val="0"/>
        <w:widowControl w:val="0"/>
        <w:kinsoku/>
        <w:wordWrap/>
        <w:overflowPunct/>
        <w:topLinePunct w:val="0"/>
        <w:bidi w:val="0"/>
        <w:adjustRightInd w:val="0"/>
        <w:snapToGrid w:val="0"/>
        <w:spacing w:line="300" w:lineRule="auto"/>
        <w:ind w:left="0" w:leftChars="0" w:firstLine="470" w:firstLineChars="196"/>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31.2若投标方案都不能满足招标文件要求的，将被废标。</w:t>
      </w:r>
    </w:p>
    <w:p w14:paraId="53206F2D">
      <w:pPr>
        <w:keepNext w:val="0"/>
        <w:keepLines w:val="0"/>
        <w:pageBreakBefore w:val="0"/>
        <w:widowControl w:val="0"/>
        <w:kinsoku/>
        <w:wordWrap/>
        <w:overflowPunct/>
        <w:topLinePunct w:val="0"/>
        <w:bidi w:val="0"/>
        <w:adjustRightInd w:val="0"/>
        <w:snapToGrid w:val="0"/>
        <w:spacing w:line="30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、授予合同</w:t>
      </w:r>
    </w:p>
    <w:p w14:paraId="5200C96C">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32.签订合同</w:t>
      </w:r>
    </w:p>
    <w:p w14:paraId="4E543322">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32.1中标人须在领取《中标通知书》后30天内，根据《中华人民共和国</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》等有关规定，依据招标文件和投标文件的有关条款上门与相关用户单位（即采购单位）签订合同。</w:t>
      </w:r>
    </w:p>
    <w:p w14:paraId="5C3FEA82">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32.2招标文件、投标文件和《中标通知书》作为合同签订的依据和主要附件。</w:t>
      </w:r>
    </w:p>
    <w:p w14:paraId="787147B9">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32.3合同一式四份，用户单位和中标人各执一份，招标办、代理公司备案一份。</w:t>
      </w:r>
    </w:p>
    <w:p w14:paraId="26590793">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32.4中标人和用户单位不得擅自变更、中止或者终止合同，不得另外订立背离合同实质性内容的</w:t>
      </w:r>
      <w:r>
        <w:rPr>
          <w:rFonts w:hint="eastAsia" w:ascii="宋体" w:hAnsi="宋体" w:eastAsia="宋体" w:cs="宋体"/>
          <w:color w:val="auto"/>
          <w:sz w:val="24"/>
          <w:highlight w:val="none"/>
          <w:lang w:eastAsia="zh-CN"/>
        </w:rPr>
        <w:t>其他协议</w:t>
      </w:r>
      <w:r>
        <w:rPr>
          <w:rFonts w:hint="eastAsia" w:ascii="宋体" w:hAnsi="宋体" w:eastAsia="宋体" w:cs="宋体"/>
          <w:color w:val="auto"/>
          <w:sz w:val="24"/>
          <w:highlight w:val="none"/>
        </w:rPr>
        <w:t>。</w:t>
      </w:r>
    </w:p>
    <w:p w14:paraId="6560670D">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33.履约保证金</w:t>
      </w:r>
    </w:p>
    <w:p w14:paraId="6564656D">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33.1中标人应按招标文件要求向采购人提交履约保证金，履约保证金不计息。履约保证金作为中标人履行合同服务承诺的保证。</w:t>
      </w:r>
    </w:p>
    <w:p w14:paraId="3C58D6F6">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33.2履约保证金须单独提交，中标人的投标保证金不能转为履约保证金。</w:t>
      </w:r>
    </w:p>
    <w:p w14:paraId="42355CFE">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33.3签订合同后，如中标人不按双方合同约定履约，则没收其全部履约保证金，履约保证金不足以赔偿损失的，按实际损失赔偿。</w:t>
      </w:r>
    </w:p>
    <w:p w14:paraId="63447318">
      <w:pPr>
        <w:keepNext w:val="0"/>
        <w:keepLines w:val="0"/>
        <w:pageBreakBefore w:val="0"/>
        <w:widowControl w:val="0"/>
        <w:kinsoku/>
        <w:wordWrap/>
        <w:overflowPunct/>
        <w:topLinePunct w:val="0"/>
        <w:bidi w:val="0"/>
        <w:adjustRightInd w:val="0"/>
        <w:snapToGrid w:val="0"/>
        <w:spacing w:line="300" w:lineRule="auto"/>
        <w:ind w:left="0" w:leftChars="0" w:firstLine="472" w:firstLineChars="196"/>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34.合同备案</w:t>
      </w:r>
    </w:p>
    <w:p w14:paraId="5F796F0B">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采购单位应当自采购合同签订之日起七个工作日内，按照有关规定将采购合同送至浙江明业项目管理有限公司备案。</w:t>
      </w:r>
    </w:p>
    <w:p w14:paraId="41326E87">
      <w:pPr>
        <w:keepNext w:val="0"/>
        <w:keepLines w:val="0"/>
        <w:pageBreakBefore w:val="0"/>
        <w:widowControl w:val="0"/>
        <w:kinsoku/>
        <w:wordWrap/>
        <w:overflowPunct/>
        <w:topLinePunct w:val="0"/>
        <w:bidi w:val="0"/>
        <w:adjustRightInd w:val="0"/>
        <w:snapToGrid w:val="0"/>
        <w:spacing w:line="300" w:lineRule="auto"/>
        <w:ind w:left="0" w:leftChars="0"/>
        <w:jc w:val="center"/>
        <w:textAlignment w:val="auto"/>
        <w:rPr>
          <w:rFonts w:hint="eastAsia" w:ascii="宋体" w:hAnsi="宋体" w:eastAsia="宋体" w:cs="宋体"/>
          <w:b/>
          <w:color w:val="auto"/>
          <w:sz w:val="28"/>
          <w:szCs w:val="28"/>
          <w:highlight w:val="none"/>
        </w:rPr>
      </w:pPr>
      <w:bookmarkStart w:id="11" w:name="_Toc339459646"/>
      <w:bookmarkStart w:id="12" w:name="_Toc352165696"/>
      <w:bookmarkStart w:id="13" w:name="_Toc125344511"/>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、不良行为记录</w:t>
      </w:r>
      <w:bookmarkEnd w:id="11"/>
      <w:bookmarkEnd w:id="12"/>
    </w:p>
    <w:p w14:paraId="787871DB">
      <w:pPr>
        <w:keepNext w:val="0"/>
        <w:keepLines w:val="0"/>
        <w:pageBreakBefore w:val="0"/>
        <w:widowControl w:val="0"/>
        <w:kinsoku/>
        <w:wordWrap/>
        <w:overflowPunct/>
        <w:topLinePunct w:val="0"/>
        <w:bidi w:val="0"/>
        <w:adjustRightInd w:val="0"/>
        <w:snapToGrid w:val="0"/>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投标人在采购活动中出现下列违规行为的将记入</w:t>
      </w:r>
      <w:r>
        <w:rPr>
          <w:rFonts w:hint="eastAsia" w:ascii="宋体" w:hAnsi="宋体" w:cs="宋体"/>
          <w:color w:val="auto"/>
          <w:sz w:val="24"/>
          <w:highlight w:val="none"/>
          <w:lang w:eastAsia="zh-CN"/>
        </w:rPr>
        <w:t>浙江省诸暨市学勉中学</w:t>
      </w:r>
      <w:r>
        <w:rPr>
          <w:rFonts w:hint="eastAsia" w:ascii="宋体" w:hAnsi="宋体" w:eastAsia="宋体" w:cs="宋体"/>
          <w:color w:val="auto"/>
          <w:sz w:val="24"/>
          <w:highlight w:val="none"/>
        </w:rPr>
        <w:t>采购不良行为记录，并在记录时限内暂停其</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eastAsia="zh-CN"/>
        </w:rPr>
        <w:t>浙江省诸暨市学勉中学</w:t>
      </w:r>
      <w:r>
        <w:rPr>
          <w:rFonts w:hint="eastAsia" w:ascii="宋体" w:hAnsi="宋体" w:eastAsia="宋体" w:cs="宋体"/>
          <w:color w:val="auto"/>
          <w:sz w:val="24"/>
          <w:highlight w:val="none"/>
        </w:rPr>
        <w:t>范围内采购交易资格，同时不良行为在诸暨市公共资源交易中心网站公示。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3A40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noWrap w:val="0"/>
            <w:vAlign w:val="center"/>
          </w:tcPr>
          <w:p w14:paraId="1479282B">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6433" w:type="dxa"/>
            <w:noWrap w:val="0"/>
            <w:vAlign w:val="center"/>
          </w:tcPr>
          <w:p w14:paraId="00F47F78">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不良行为</w:t>
            </w:r>
          </w:p>
        </w:tc>
        <w:tc>
          <w:tcPr>
            <w:tcW w:w="1326" w:type="dxa"/>
            <w:noWrap w:val="0"/>
            <w:vAlign w:val="center"/>
          </w:tcPr>
          <w:p w14:paraId="6C3CB3BF">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记录时限</w:t>
            </w:r>
          </w:p>
        </w:tc>
      </w:tr>
      <w:tr w14:paraId="2878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0BEC85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33" w:type="dxa"/>
            <w:noWrap w:val="0"/>
            <w:vAlign w:val="center"/>
          </w:tcPr>
          <w:p w14:paraId="54AA4DC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在采购过程中，与采购人进行协商询价的</w:t>
            </w:r>
          </w:p>
        </w:tc>
        <w:tc>
          <w:tcPr>
            <w:tcW w:w="1326" w:type="dxa"/>
            <w:noWrap w:val="0"/>
            <w:vAlign w:val="center"/>
          </w:tcPr>
          <w:p w14:paraId="6659EF49">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6568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7B2068B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33" w:type="dxa"/>
            <w:noWrap w:val="0"/>
            <w:vAlign w:val="center"/>
          </w:tcPr>
          <w:p w14:paraId="0664111E">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询价有效期内撤回其采购响应文件的</w:t>
            </w:r>
          </w:p>
        </w:tc>
        <w:tc>
          <w:tcPr>
            <w:tcW w:w="1326" w:type="dxa"/>
            <w:noWrap w:val="0"/>
            <w:vAlign w:val="center"/>
          </w:tcPr>
          <w:p w14:paraId="449F3E87">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5F8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E76AF0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433" w:type="dxa"/>
            <w:noWrap w:val="0"/>
            <w:vAlign w:val="center"/>
          </w:tcPr>
          <w:p w14:paraId="5688BC08">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tc>
        <w:tc>
          <w:tcPr>
            <w:tcW w:w="1326" w:type="dxa"/>
            <w:noWrap w:val="0"/>
            <w:vAlign w:val="center"/>
          </w:tcPr>
          <w:p w14:paraId="2AE15677">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498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D306477">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433" w:type="dxa"/>
            <w:noWrap w:val="0"/>
            <w:vAlign w:val="center"/>
          </w:tcPr>
          <w:p w14:paraId="43E5E2FE">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不积极配合采购单位做好标的验收工作的</w:t>
            </w:r>
          </w:p>
        </w:tc>
        <w:tc>
          <w:tcPr>
            <w:tcW w:w="1326" w:type="dxa"/>
            <w:noWrap w:val="0"/>
            <w:vAlign w:val="center"/>
          </w:tcPr>
          <w:p w14:paraId="5DBED0B0">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4697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29B8773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433" w:type="dxa"/>
            <w:noWrap w:val="0"/>
            <w:vAlign w:val="center"/>
          </w:tcPr>
          <w:p w14:paraId="65744F7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在有关部门的监督检查或考核中被通报批评或处以警告及以上处罚的</w:t>
            </w:r>
          </w:p>
        </w:tc>
        <w:tc>
          <w:tcPr>
            <w:tcW w:w="1326" w:type="dxa"/>
            <w:noWrap w:val="0"/>
            <w:vAlign w:val="center"/>
          </w:tcPr>
          <w:p w14:paraId="566B2B2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6个月</w:t>
            </w:r>
          </w:p>
        </w:tc>
      </w:tr>
      <w:tr w14:paraId="2443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0775FB76">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433" w:type="dxa"/>
            <w:noWrap w:val="0"/>
            <w:vAlign w:val="center"/>
          </w:tcPr>
          <w:p w14:paraId="1ED39A87">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不遵守投标会场纪律，无理取闹，扰乱交易秩序的</w:t>
            </w:r>
          </w:p>
        </w:tc>
        <w:tc>
          <w:tcPr>
            <w:tcW w:w="1326" w:type="dxa"/>
            <w:noWrap w:val="0"/>
            <w:vAlign w:val="center"/>
          </w:tcPr>
          <w:p w14:paraId="7880FA1B">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38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3C20520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433" w:type="dxa"/>
            <w:noWrap w:val="0"/>
            <w:vAlign w:val="center"/>
          </w:tcPr>
          <w:p w14:paraId="1AD3D761">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中标后无正当理由放弃中标，或在规定时间内不与采购人签订政府采购合同，或在签订合同时提出附加条件或更改合同实质性内容，或拒不提交所要求的履约保证金的</w:t>
            </w:r>
          </w:p>
        </w:tc>
        <w:tc>
          <w:tcPr>
            <w:tcW w:w="1326" w:type="dxa"/>
            <w:noWrap w:val="0"/>
            <w:vAlign w:val="center"/>
          </w:tcPr>
          <w:p w14:paraId="610C947F">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2281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2E5880B">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433" w:type="dxa"/>
            <w:noWrap w:val="0"/>
            <w:vAlign w:val="center"/>
          </w:tcPr>
          <w:p w14:paraId="4255BCDA">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不按照与采购人订立的合同履行义务（包括提供标的、售后服务、技术支持等），严重违反合同规定和廉政合同要求的</w:t>
            </w:r>
          </w:p>
        </w:tc>
        <w:tc>
          <w:tcPr>
            <w:tcW w:w="1326" w:type="dxa"/>
            <w:noWrap w:val="0"/>
            <w:vAlign w:val="center"/>
          </w:tcPr>
          <w:p w14:paraId="42A3AA3C">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68C1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702862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433" w:type="dxa"/>
            <w:noWrap w:val="0"/>
            <w:vAlign w:val="center"/>
          </w:tcPr>
          <w:p w14:paraId="36816105">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项目负责人不到位，或擅自变换项目负责人，或不认真履行职责造成采购人损失的</w:t>
            </w:r>
          </w:p>
        </w:tc>
        <w:tc>
          <w:tcPr>
            <w:tcW w:w="1326" w:type="dxa"/>
            <w:noWrap w:val="0"/>
            <w:vAlign w:val="center"/>
          </w:tcPr>
          <w:p w14:paraId="0D264165">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4E78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338D50C4">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433" w:type="dxa"/>
            <w:noWrap w:val="0"/>
            <w:vAlign w:val="center"/>
          </w:tcPr>
          <w:p w14:paraId="6AA12D0B">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0"/>
            <w:vAlign w:val="center"/>
          </w:tcPr>
          <w:p w14:paraId="24BB440F">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r>
      <w:tr w14:paraId="1794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90DB3D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433" w:type="dxa"/>
            <w:noWrap w:val="0"/>
            <w:vAlign w:val="center"/>
          </w:tcPr>
          <w:p w14:paraId="4C2AB91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与采购人、其他供应商或者采购代理机构相互串通的</w:t>
            </w:r>
          </w:p>
        </w:tc>
        <w:tc>
          <w:tcPr>
            <w:tcW w:w="1326" w:type="dxa"/>
            <w:noWrap w:val="0"/>
            <w:vAlign w:val="center"/>
          </w:tcPr>
          <w:p w14:paraId="66B3A47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5F45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71E4B29">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433" w:type="dxa"/>
            <w:noWrap w:val="0"/>
            <w:vAlign w:val="center"/>
          </w:tcPr>
          <w:p w14:paraId="216B4791">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采取不正当手段排挤其他供应商，进行不公平竞争的</w:t>
            </w:r>
          </w:p>
        </w:tc>
        <w:tc>
          <w:tcPr>
            <w:tcW w:w="1326" w:type="dxa"/>
            <w:noWrap w:val="0"/>
            <w:vAlign w:val="center"/>
          </w:tcPr>
          <w:p w14:paraId="3D3FF3C2">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648D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7CDAED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433" w:type="dxa"/>
            <w:noWrap w:val="0"/>
            <w:vAlign w:val="center"/>
          </w:tcPr>
          <w:p w14:paraId="55A94131">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中标后与采购人另行订立背离合同实质内容的协议的</w:t>
            </w:r>
          </w:p>
        </w:tc>
        <w:tc>
          <w:tcPr>
            <w:tcW w:w="1326" w:type="dxa"/>
            <w:noWrap w:val="0"/>
            <w:vAlign w:val="center"/>
          </w:tcPr>
          <w:p w14:paraId="28B4FA5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3BD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02970868">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433" w:type="dxa"/>
            <w:noWrap w:val="0"/>
            <w:vAlign w:val="center"/>
          </w:tcPr>
          <w:p w14:paraId="664AAB0D">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事先有承诺，而事后违反承诺内容的</w:t>
            </w:r>
          </w:p>
        </w:tc>
        <w:tc>
          <w:tcPr>
            <w:tcW w:w="1326" w:type="dxa"/>
            <w:noWrap w:val="0"/>
            <w:vAlign w:val="center"/>
          </w:tcPr>
          <w:p w14:paraId="7708A70C">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2A7E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1CD9D59">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433" w:type="dxa"/>
            <w:noWrap w:val="0"/>
            <w:vAlign w:val="center"/>
          </w:tcPr>
          <w:p w14:paraId="61BE7142">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将中标项目转包或违反规定进行分包的</w:t>
            </w:r>
          </w:p>
        </w:tc>
        <w:tc>
          <w:tcPr>
            <w:tcW w:w="1326" w:type="dxa"/>
            <w:noWrap w:val="0"/>
            <w:vAlign w:val="center"/>
          </w:tcPr>
          <w:p w14:paraId="758C4DD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w:t>
            </w:r>
          </w:p>
        </w:tc>
      </w:tr>
      <w:tr w14:paraId="00E6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275FCDC1">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433" w:type="dxa"/>
            <w:noWrap w:val="0"/>
            <w:vAlign w:val="center"/>
          </w:tcPr>
          <w:p w14:paraId="22D8F088">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以他人名义投标或允许他人以自己名义投标，或者以其他方式弄虚作假的</w:t>
            </w:r>
          </w:p>
        </w:tc>
        <w:tc>
          <w:tcPr>
            <w:tcW w:w="1326" w:type="dxa"/>
            <w:noWrap w:val="0"/>
            <w:vAlign w:val="center"/>
          </w:tcPr>
          <w:p w14:paraId="4CECED8F">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6DB3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30EC5499">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433" w:type="dxa"/>
            <w:noWrap w:val="0"/>
            <w:vAlign w:val="center"/>
          </w:tcPr>
          <w:p w14:paraId="5B85E58D">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未按照采购合同约定及时提供全部货物的，或无故拖延工期的</w:t>
            </w:r>
          </w:p>
        </w:tc>
        <w:tc>
          <w:tcPr>
            <w:tcW w:w="1326" w:type="dxa"/>
            <w:noWrap w:val="0"/>
            <w:vAlign w:val="center"/>
          </w:tcPr>
          <w:p w14:paraId="4E9EF93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03DB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607BE9B0">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433" w:type="dxa"/>
            <w:noWrap w:val="0"/>
            <w:vAlign w:val="center"/>
          </w:tcPr>
          <w:p w14:paraId="2ED51B6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无故不提供中标要求的型号、配置等产品的，或有拆换、调换、截留产品零部件和备品备件的行为的</w:t>
            </w:r>
          </w:p>
        </w:tc>
        <w:tc>
          <w:tcPr>
            <w:tcW w:w="1326" w:type="dxa"/>
            <w:noWrap w:val="0"/>
            <w:vAlign w:val="center"/>
          </w:tcPr>
          <w:p w14:paraId="7C303ED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FF3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3D80F8DA">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433" w:type="dxa"/>
            <w:noWrap w:val="0"/>
            <w:vAlign w:val="center"/>
          </w:tcPr>
          <w:p w14:paraId="5B8D68A6">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为获取自身利益，向采购人及其他有利害关系的单位或个人提供不正当利益的</w:t>
            </w:r>
          </w:p>
        </w:tc>
        <w:tc>
          <w:tcPr>
            <w:tcW w:w="1326" w:type="dxa"/>
            <w:noWrap w:val="0"/>
            <w:vAlign w:val="center"/>
          </w:tcPr>
          <w:p w14:paraId="0CE30ABF">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4473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47" w:type="dxa"/>
            <w:noWrap w:val="0"/>
            <w:vAlign w:val="center"/>
          </w:tcPr>
          <w:p w14:paraId="73FBF9C4">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433" w:type="dxa"/>
            <w:noWrap w:val="0"/>
            <w:vAlign w:val="center"/>
          </w:tcPr>
          <w:p w14:paraId="29B08BB2">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投标人、采购相关利益人、自然人</w:t>
            </w:r>
            <w:r>
              <w:rPr>
                <w:rFonts w:hint="eastAsia" w:ascii="宋体" w:hAnsi="宋体" w:eastAsia="宋体" w:cs="宋体"/>
                <w:color w:val="auto"/>
                <w:sz w:val="24"/>
                <w:szCs w:val="24"/>
                <w:highlight w:val="none"/>
              </w:rPr>
              <w:t>不按程序、规定时间进行质疑投诉；</w:t>
            </w:r>
            <w:r>
              <w:rPr>
                <w:rFonts w:hint="eastAsia" w:ascii="宋体" w:hAnsi="宋体" w:eastAsia="宋体" w:cs="宋体"/>
                <w:color w:val="auto"/>
                <w:sz w:val="24"/>
                <w:highlight w:val="none"/>
              </w:rPr>
              <w:t>虚假质疑投诉；非正规渠道质疑投诉（信访、网络炒作等）；并对采购工作造成不利影响的</w:t>
            </w:r>
          </w:p>
        </w:tc>
        <w:tc>
          <w:tcPr>
            <w:tcW w:w="1326" w:type="dxa"/>
            <w:noWrap w:val="0"/>
            <w:vAlign w:val="center"/>
          </w:tcPr>
          <w:p w14:paraId="4FBEA1AE">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3FCB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noWrap w:val="0"/>
            <w:vAlign w:val="center"/>
          </w:tcPr>
          <w:p w14:paraId="0D1A29B2">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6433" w:type="dxa"/>
            <w:noWrap w:val="0"/>
            <w:vAlign w:val="center"/>
          </w:tcPr>
          <w:p w14:paraId="72E649EE">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投标人、采购相关利益人、自然人利用质疑投诉、非正规渠道质疑投诉达到自身目的，并对采购工作造成不利影响的</w:t>
            </w:r>
          </w:p>
        </w:tc>
        <w:tc>
          <w:tcPr>
            <w:tcW w:w="1326" w:type="dxa"/>
            <w:noWrap w:val="0"/>
            <w:vAlign w:val="center"/>
          </w:tcPr>
          <w:p w14:paraId="085698F0">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r>
      <w:tr w14:paraId="18D4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E2F61B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6433" w:type="dxa"/>
            <w:noWrap w:val="0"/>
            <w:vAlign w:val="center"/>
          </w:tcPr>
          <w:p w14:paraId="1B63EEAD">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提供假冒伪劣产品或走私物品的</w:t>
            </w:r>
          </w:p>
        </w:tc>
        <w:tc>
          <w:tcPr>
            <w:tcW w:w="1326" w:type="dxa"/>
            <w:noWrap w:val="0"/>
            <w:vAlign w:val="center"/>
          </w:tcPr>
          <w:p w14:paraId="295A762E">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4070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AABB15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433" w:type="dxa"/>
            <w:noWrap w:val="0"/>
            <w:vAlign w:val="center"/>
          </w:tcPr>
          <w:p w14:paraId="23D8C7B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擅自变更、中止、终止或解除政府采购合同的</w:t>
            </w:r>
          </w:p>
        </w:tc>
        <w:tc>
          <w:tcPr>
            <w:tcW w:w="1326" w:type="dxa"/>
            <w:noWrap w:val="0"/>
            <w:vAlign w:val="center"/>
          </w:tcPr>
          <w:p w14:paraId="13A93420">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40BE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5674AA10">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433" w:type="dxa"/>
            <w:noWrap w:val="0"/>
            <w:vAlign w:val="center"/>
          </w:tcPr>
          <w:p w14:paraId="74DBC6A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向有关人员行贿或者提供不正当利益谋取中标的</w:t>
            </w:r>
          </w:p>
        </w:tc>
        <w:tc>
          <w:tcPr>
            <w:tcW w:w="1326" w:type="dxa"/>
            <w:noWrap w:val="0"/>
            <w:vAlign w:val="center"/>
          </w:tcPr>
          <w:p w14:paraId="5646EB4B">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0BCB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16EFC73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6433" w:type="dxa"/>
            <w:noWrap w:val="0"/>
            <w:vAlign w:val="center"/>
          </w:tcPr>
          <w:p w14:paraId="2D6B1731">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0"/>
            <w:vAlign w:val="center"/>
          </w:tcPr>
          <w:p w14:paraId="292DAE0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5年</w:t>
            </w:r>
          </w:p>
        </w:tc>
      </w:tr>
      <w:tr w14:paraId="4F53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0"/>
            <w:vAlign w:val="center"/>
          </w:tcPr>
          <w:p w14:paraId="4B4149D9">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6433" w:type="dxa"/>
            <w:noWrap w:val="0"/>
            <w:vAlign w:val="center"/>
          </w:tcPr>
          <w:p w14:paraId="17EB3EB6">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诸暨市教育体育局交易办</w:t>
            </w:r>
            <w:r>
              <w:rPr>
                <w:rFonts w:hint="eastAsia" w:ascii="宋体" w:hAnsi="宋体" w:eastAsia="宋体" w:cs="宋体"/>
                <w:color w:val="auto"/>
                <w:sz w:val="24"/>
                <w:szCs w:val="24"/>
                <w:highlight w:val="none"/>
              </w:rPr>
              <w:t>认定的其他违反政府采购管理的行为</w:t>
            </w:r>
          </w:p>
        </w:tc>
        <w:tc>
          <w:tcPr>
            <w:tcW w:w="1326" w:type="dxa"/>
            <w:noWrap w:val="0"/>
            <w:vAlign w:val="center"/>
          </w:tcPr>
          <w:p w14:paraId="54C8C2C3">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酌情处理</w:t>
            </w:r>
          </w:p>
        </w:tc>
      </w:tr>
    </w:tbl>
    <w:p w14:paraId="5C421B82">
      <w:pPr>
        <w:keepNext w:val="0"/>
        <w:keepLines w:val="0"/>
        <w:pageBreakBefore w:val="0"/>
        <w:widowControl w:val="0"/>
        <w:kinsoku/>
        <w:wordWrap/>
        <w:overflowPunct/>
        <w:topLinePunct w:val="0"/>
        <w:autoSpaceDE w:val="0"/>
        <w:autoSpaceDN w:val="0"/>
        <w:bidi w:val="0"/>
        <w:adjustRightInd w:val="0"/>
        <w:snapToGrid w:val="0"/>
        <w:spacing w:line="300" w:lineRule="auto"/>
        <w:ind w:firstLine="0" w:firstLine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、监督和解释</w:t>
      </w:r>
      <w:bookmarkEnd w:id="13"/>
    </w:p>
    <w:p w14:paraId="2E488C16">
      <w:pPr>
        <w:keepNext w:val="0"/>
        <w:keepLines w:val="0"/>
        <w:pageBreakBefore w:val="0"/>
        <w:widowControl w:val="0"/>
        <w:kinsoku/>
        <w:wordWrap/>
        <w:overflowPunct/>
        <w:topLinePunct w:val="0"/>
        <w:autoSpaceDE w:val="0"/>
        <w:autoSpaceDN w:val="0"/>
        <w:bidi w:val="0"/>
        <w:adjustRightInd w:val="0"/>
        <w:snapToGrid w:val="0"/>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35.</w:t>
      </w:r>
      <w:r>
        <w:rPr>
          <w:rFonts w:hint="eastAsia" w:ascii="宋体" w:hAnsi="宋体" w:eastAsia="宋体" w:cs="宋体"/>
          <w:color w:val="auto"/>
          <w:sz w:val="24"/>
          <w:highlight w:val="none"/>
        </w:rPr>
        <w:t>本次招标活动接受</w:t>
      </w:r>
      <w:r>
        <w:rPr>
          <w:rFonts w:hint="eastAsia" w:ascii="宋体" w:hAnsi="宋体" w:cs="宋体"/>
          <w:color w:val="auto"/>
          <w:sz w:val="24"/>
          <w:highlight w:val="none"/>
          <w:lang w:eastAsia="zh-CN"/>
        </w:rPr>
        <w:t>诸暨市教育体育局交易办</w:t>
      </w:r>
      <w:r>
        <w:rPr>
          <w:rFonts w:hint="eastAsia" w:ascii="宋体" w:hAnsi="宋体" w:eastAsia="宋体" w:cs="宋体"/>
          <w:color w:val="auto"/>
          <w:sz w:val="24"/>
          <w:highlight w:val="none"/>
        </w:rPr>
        <w:t>的监督。</w:t>
      </w:r>
    </w:p>
    <w:p w14:paraId="54AE0619">
      <w:pPr>
        <w:keepNext w:val="0"/>
        <w:keepLines w:val="0"/>
        <w:pageBreakBefore w:val="0"/>
        <w:widowControl w:val="0"/>
        <w:kinsoku/>
        <w:wordWrap/>
        <w:overflowPunct/>
        <w:topLinePunct w:val="0"/>
        <w:autoSpaceDE w:val="0"/>
        <w:autoSpaceDN w:val="0"/>
        <w:bidi w:val="0"/>
        <w:adjustRightInd w:val="0"/>
        <w:snapToGrid w:val="0"/>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36.</w:t>
      </w:r>
      <w:r>
        <w:rPr>
          <w:rFonts w:hint="eastAsia" w:ascii="宋体" w:hAnsi="宋体" w:eastAsia="宋体" w:cs="宋体"/>
          <w:color w:val="auto"/>
          <w:sz w:val="24"/>
          <w:highlight w:val="none"/>
        </w:rPr>
        <w:t>本招标文件的解释权属于采购单位和浙江明业项目管理有限公司。</w:t>
      </w:r>
    </w:p>
    <w:p w14:paraId="7013A8ED">
      <w:pPr>
        <w:keepNext w:val="0"/>
        <w:keepLines w:val="0"/>
        <w:pageBreakBefore w:val="0"/>
        <w:widowControl w:val="0"/>
        <w:kinsoku/>
        <w:wordWrap/>
        <w:overflowPunct/>
        <w:topLinePunct w:val="0"/>
        <w:bidi w:val="0"/>
        <w:adjustRightInd w:val="0"/>
        <w:spacing w:line="312"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44"/>
          <w:szCs w:val="44"/>
          <w:highlight w:val="none"/>
        </w:rPr>
        <w:t>第三章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评标办法及评分标准</w:t>
      </w:r>
    </w:p>
    <w:p w14:paraId="097377AC">
      <w:pPr>
        <w:pStyle w:val="23"/>
        <w:keepNext w:val="0"/>
        <w:keepLines w:val="0"/>
        <w:pageBreakBefore w:val="0"/>
        <w:widowControl w:val="0"/>
        <w:kinsoku/>
        <w:wordWrap/>
        <w:overflowPunct/>
        <w:topLinePunct w:val="0"/>
        <w:autoSpaceDE/>
        <w:autoSpaceDN/>
        <w:bidi w:val="0"/>
        <w:adjustRightInd w:val="0"/>
        <w:snapToGrid/>
        <w:spacing w:after="0" w:line="300" w:lineRule="auto"/>
        <w:ind w:left="0" w:leftChars="0" w:firstLine="480" w:firstLineChars="200"/>
        <w:textAlignment w:val="auto"/>
        <w:rPr>
          <w:rFonts w:hint="eastAsia" w:ascii="宋体" w:hAnsi="宋体" w:eastAsia="宋体" w:cs="宋体"/>
          <w:color w:val="auto"/>
          <w:sz w:val="24"/>
          <w:szCs w:val="24"/>
          <w:highlight w:val="none"/>
        </w:rPr>
      </w:pPr>
      <w:bookmarkStart w:id="14" w:name="_Toc12534451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。即在符合招标文件要求的前提下，择定得分排名</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为中标候选人。</w:t>
      </w:r>
    </w:p>
    <w:p w14:paraId="2A80FB44">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到</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顺序排列；得分且投标报价相同的，按技术指标由高到低顺序排列。排名</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rPr>
        <w:t>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2EE1896B">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评分办法</w:t>
      </w:r>
    </w:p>
    <w:p w14:paraId="32725A58">
      <w:pPr>
        <w:keepNext w:val="0"/>
        <w:keepLines w:val="0"/>
        <w:pageBreakBefore w:val="0"/>
        <w:widowControl w:val="0"/>
        <w:kinsoku/>
        <w:wordWrap/>
        <w:overflowPunct/>
        <w:topLinePunct w:val="0"/>
        <w:bidi w:val="0"/>
        <w:adjustRightInd w:val="0"/>
        <w:snapToGrid/>
        <w:spacing w:line="300" w:lineRule="auto"/>
        <w:ind w:left="0" w:right="0" w:firstLine="468" w:firstLineChars="19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满分为100分。总得分=技术得分+商务得分。</w:t>
      </w:r>
    </w:p>
    <w:p w14:paraId="123D1A35">
      <w:pPr>
        <w:keepNext w:val="0"/>
        <w:keepLines w:val="0"/>
        <w:pageBreakBefore w:val="0"/>
        <w:widowControl w:val="0"/>
        <w:kinsoku/>
        <w:wordWrap/>
        <w:overflowPunct/>
        <w:topLinePunct w:val="0"/>
        <w:autoSpaceDE w:val="0"/>
        <w:autoSpaceDN w:val="0"/>
        <w:bidi w:val="0"/>
        <w:adjustRightInd w:val="0"/>
        <w:snapToGrid/>
        <w:spacing w:line="300" w:lineRule="auto"/>
        <w:ind w:left="0" w:right="0" w:firstLine="468" w:firstLineChars="195"/>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技术得分=各评委有效技术打分的平均数。</w:t>
      </w:r>
    </w:p>
    <w:p w14:paraId="0741A26C">
      <w:pPr>
        <w:keepNext w:val="0"/>
        <w:keepLines w:val="0"/>
        <w:pageBreakBefore w:val="0"/>
        <w:widowControl w:val="0"/>
        <w:kinsoku/>
        <w:wordWrap/>
        <w:overflowPunct/>
        <w:topLinePunct w:val="0"/>
        <w:autoSpaceDE w:val="0"/>
        <w:autoSpaceDN w:val="0"/>
        <w:bidi w:val="0"/>
        <w:adjustRightInd w:val="0"/>
        <w:snapToGrid/>
        <w:spacing w:line="300" w:lineRule="auto"/>
        <w:ind w:left="0" w:right="0" w:firstLine="480"/>
        <w:textAlignment w:val="auto"/>
        <w:rPr>
          <w:rFonts w:hint="eastAsia" w:ascii="宋体" w:hAnsi="宋体" w:eastAsia="宋体" w:cs="宋体"/>
          <w:bCs/>
          <w:color w:val="auto"/>
          <w:sz w:val="24"/>
          <w:szCs w:val="24"/>
          <w:highlight w:val="none"/>
          <w:lang w:val="en-US" w:eastAsia="zh-CN"/>
        </w:rPr>
      </w:pP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bCs/>
          <w:color w:val="auto"/>
          <w:sz w:val="24"/>
          <w:szCs w:val="24"/>
          <w:highlight w:val="none"/>
          <w:lang w:val="en-US" w:eastAsia="zh-CN"/>
        </w:rPr>
        <w:t>商务得分（10分）。</w:t>
      </w:r>
    </w:p>
    <w:p w14:paraId="2C4D53AB">
      <w:pPr>
        <w:keepNext w:val="0"/>
        <w:keepLines w:val="0"/>
        <w:pageBreakBefore w:val="0"/>
        <w:widowControl w:val="0"/>
        <w:kinsoku/>
        <w:wordWrap/>
        <w:overflowPunct/>
        <w:topLinePunct w:val="0"/>
        <w:autoSpaceDE w:val="0"/>
        <w:autoSpaceDN w:val="0"/>
        <w:bidi w:val="0"/>
        <w:adjustRightInd w:val="0"/>
        <w:snapToGrid/>
        <w:spacing w:line="300" w:lineRule="auto"/>
        <w:ind w:left="0" w:right="0" w:firstLine="468" w:firstLineChars="195"/>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Cs/>
          <w:color w:val="auto"/>
          <w:sz w:val="24"/>
          <w:szCs w:val="24"/>
          <w:highlight w:val="none"/>
          <w:lang w:val="en-US" w:eastAsia="zh-CN"/>
        </w:rPr>
        <w:t>采用固定单价报价，疗休养费用标准为3000元/人，不得有任何偏离，未按费用标准报价为无效报价，作无效标处理。</w:t>
      </w:r>
    </w:p>
    <w:p w14:paraId="05C0FE30">
      <w:pPr>
        <w:keepNext w:val="0"/>
        <w:keepLines w:val="0"/>
        <w:pageBreakBefore w:val="0"/>
        <w:widowControl w:val="0"/>
        <w:numPr>
          <w:ilvl w:val="0"/>
          <w:numId w:val="2"/>
        </w:numPr>
        <w:kinsoku/>
        <w:wordWrap/>
        <w:overflowPunct/>
        <w:topLinePunct w:val="0"/>
        <w:autoSpaceDE w:val="0"/>
        <w:autoSpaceDN w:val="0"/>
        <w:bidi w:val="0"/>
        <w:adjustRightInd w:val="0"/>
        <w:snapToGrid/>
        <w:spacing w:line="300" w:lineRule="auto"/>
        <w:ind w:firstLine="468" w:firstLineChars="195"/>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技术分评分细则（</w:t>
      </w:r>
      <w:r>
        <w:rPr>
          <w:rFonts w:hint="eastAsia" w:ascii="宋体" w:hAnsi="宋体" w:cs="宋体"/>
          <w:snapToGrid w:val="0"/>
          <w:color w:val="auto"/>
          <w:kern w:val="0"/>
          <w:sz w:val="24"/>
          <w:szCs w:val="24"/>
          <w:highlight w:val="none"/>
          <w:lang w:val="en-US" w:eastAsia="zh-CN"/>
        </w:rPr>
        <w:t>90</w:t>
      </w:r>
      <w:r>
        <w:rPr>
          <w:rFonts w:hint="eastAsia" w:ascii="宋体" w:hAnsi="宋体" w:eastAsia="宋体" w:cs="宋体"/>
          <w:snapToGrid w:val="0"/>
          <w:color w:val="auto"/>
          <w:kern w:val="0"/>
          <w:sz w:val="24"/>
          <w:szCs w:val="24"/>
          <w:highlight w:val="none"/>
        </w:rPr>
        <w:t>分）</w:t>
      </w:r>
    </w:p>
    <w:tbl>
      <w:tblPr>
        <w:tblStyle w:val="16"/>
        <w:tblW w:w="10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65"/>
        <w:gridCol w:w="7723"/>
        <w:gridCol w:w="962"/>
      </w:tblGrid>
      <w:tr w14:paraId="0EBE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22FF34A4">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序号</w:t>
            </w:r>
          </w:p>
        </w:tc>
        <w:tc>
          <w:tcPr>
            <w:tcW w:w="1265" w:type="dxa"/>
            <w:vAlign w:val="center"/>
          </w:tcPr>
          <w:p w14:paraId="6FB34EA8">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项 目</w:t>
            </w:r>
          </w:p>
        </w:tc>
        <w:tc>
          <w:tcPr>
            <w:tcW w:w="7723" w:type="dxa"/>
            <w:vAlign w:val="center"/>
          </w:tcPr>
          <w:p w14:paraId="5E380C4E">
            <w:pPr>
              <w:keepNext w:val="0"/>
              <w:keepLines w:val="0"/>
              <w:pageBreakBefore w:val="0"/>
              <w:widowControl w:val="0"/>
              <w:kinsoku/>
              <w:wordWrap/>
              <w:overflowPunct/>
              <w:topLinePunct w:val="0"/>
              <w:bidi w:val="0"/>
              <w:snapToGrid/>
              <w:spacing w:line="240"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评分标准</w:t>
            </w:r>
          </w:p>
        </w:tc>
        <w:tc>
          <w:tcPr>
            <w:tcW w:w="962" w:type="dxa"/>
            <w:vAlign w:val="center"/>
          </w:tcPr>
          <w:p w14:paraId="239DB70F">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分值</w:t>
            </w:r>
          </w:p>
        </w:tc>
      </w:tr>
      <w:tr w14:paraId="6620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vAlign w:val="center"/>
          </w:tcPr>
          <w:p w14:paraId="34D6139A">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ascii="宋体" w:hAnsi="宋体" w:eastAsia="宋体"/>
                <w:b/>
                <w:bCs/>
                <w:color w:val="auto"/>
                <w:sz w:val="24"/>
                <w:szCs w:val="24"/>
              </w:rPr>
              <w:t>1</w:t>
            </w:r>
          </w:p>
        </w:tc>
        <w:tc>
          <w:tcPr>
            <w:tcW w:w="1265" w:type="dxa"/>
            <w:vMerge w:val="restart"/>
            <w:vAlign w:val="center"/>
          </w:tcPr>
          <w:p w14:paraId="3CEDAC4E">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企业资信</w:t>
            </w:r>
          </w:p>
        </w:tc>
        <w:tc>
          <w:tcPr>
            <w:tcW w:w="7723" w:type="dxa"/>
            <w:vAlign w:val="center"/>
          </w:tcPr>
          <w:p w14:paraId="7F3B40FC">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color w:val="auto"/>
                <w:sz w:val="24"/>
                <w:szCs w:val="24"/>
                <w:lang w:val="en-US" w:eastAsia="zh-CN"/>
              </w:rPr>
              <w:t>投标人近三年（2022年1月1日以来），</w:t>
            </w:r>
            <w:r>
              <w:rPr>
                <w:rFonts w:hint="eastAsia" w:ascii="宋体" w:hAnsi="宋体" w:eastAsia="宋体" w:cs="宋体"/>
                <w:i w:val="0"/>
                <w:iCs w:val="0"/>
                <w:color w:val="auto"/>
                <w:kern w:val="0"/>
                <w:sz w:val="24"/>
                <w:szCs w:val="24"/>
                <w:u w:val="none"/>
                <w:lang w:val="en-US" w:eastAsia="zh-CN" w:bidi="ar"/>
              </w:rPr>
              <w:t>近三年获得</w:t>
            </w:r>
            <w:r>
              <w:rPr>
                <w:rFonts w:hint="eastAsia" w:ascii="宋体" w:hAnsi="宋体" w:cs="宋体"/>
                <w:i w:val="0"/>
                <w:iCs w:val="0"/>
                <w:color w:val="auto"/>
                <w:kern w:val="0"/>
                <w:sz w:val="24"/>
                <w:szCs w:val="24"/>
                <w:u w:val="none"/>
                <w:lang w:val="en-US" w:eastAsia="zh-CN" w:bidi="ar"/>
              </w:rPr>
              <w:t>县市区级</w:t>
            </w:r>
            <w:r>
              <w:rPr>
                <w:rFonts w:hint="eastAsia" w:ascii="宋体" w:hAnsi="宋体" w:eastAsia="宋体" w:cs="宋体"/>
                <w:i w:val="0"/>
                <w:iCs w:val="0"/>
                <w:color w:val="auto"/>
                <w:kern w:val="0"/>
                <w:sz w:val="24"/>
                <w:szCs w:val="24"/>
                <w:u w:val="none"/>
                <w:lang w:val="en-US" w:eastAsia="zh-CN" w:bidi="ar"/>
              </w:rPr>
              <w:t>荣誉的每项得1分，获得</w:t>
            </w:r>
            <w:r>
              <w:rPr>
                <w:rFonts w:hint="eastAsia" w:ascii="宋体" w:hAnsi="宋体" w:cs="宋体"/>
                <w:i w:val="0"/>
                <w:iCs w:val="0"/>
                <w:color w:val="auto"/>
                <w:kern w:val="0"/>
                <w:sz w:val="24"/>
                <w:szCs w:val="24"/>
                <w:u w:val="none"/>
                <w:lang w:val="en-US" w:eastAsia="zh-CN" w:bidi="ar"/>
              </w:rPr>
              <w:t>地市级</w:t>
            </w:r>
            <w:r>
              <w:rPr>
                <w:rFonts w:hint="eastAsia" w:ascii="宋体" w:hAnsi="宋体" w:eastAsia="宋体" w:cs="宋体"/>
                <w:i w:val="0"/>
                <w:iCs w:val="0"/>
                <w:color w:val="auto"/>
                <w:kern w:val="0"/>
                <w:sz w:val="24"/>
                <w:szCs w:val="24"/>
                <w:u w:val="none"/>
                <w:lang w:val="en-US" w:eastAsia="zh-CN" w:bidi="ar"/>
              </w:rPr>
              <w:t>荣誉的每项得2分，获得省级及以上荣誉的每项得3分。最高得5分。</w:t>
            </w:r>
          </w:p>
          <w:p w14:paraId="32453738">
            <w:pPr>
              <w:keepNext w:val="0"/>
              <w:keepLines w:val="0"/>
              <w:pageBreakBefore w:val="0"/>
              <w:widowControl w:val="0"/>
              <w:kinsoku/>
              <w:wordWrap/>
              <w:overflowPunct/>
              <w:topLinePunct w:val="0"/>
              <w:bidi w:val="0"/>
              <w:snapToGrid/>
              <w:spacing w:line="240" w:lineRule="auto"/>
              <w:textAlignment w:val="auto"/>
              <w:rPr>
                <w:rFonts w:ascii="宋体" w:hAnsi="宋体" w:eastAsia="宋体"/>
                <w:b/>
                <w:bCs/>
                <w:color w:val="auto"/>
                <w:sz w:val="24"/>
                <w:szCs w:val="24"/>
              </w:rPr>
            </w:pPr>
            <w:r>
              <w:rPr>
                <w:rFonts w:hint="eastAsia" w:ascii="宋体" w:hAnsi="宋体" w:eastAsia="宋体" w:cs="宋体"/>
                <w:b/>
                <w:bCs/>
                <w:snapToGrid w:val="0"/>
                <w:color w:val="auto"/>
                <w:kern w:val="0"/>
                <w:sz w:val="24"/>
                <w:szCs w:val="24"/>
                <w:highlight w:val="none"/>
                <w:lang w:val="en-US" w:eastAsia="zh-CN"/>
              </w:rPr>
              <w:t>注：技术文件中</w:t>
            </w:r>
            <w:r>
              <w:rPr>
                <w:rFonts w:hint="eastAsia" w:ascii="宋体" w:hAnsi="宋体" w:eastAsia="宋体" w:cs="宋体"/>
                <w:b/>
                <w:bCs/>
                <w:snapToGrid w:val="0"/>
                <w:color w:val="auto"/>
                <w:kern w:val="0"/>
                <w:sz w:val="24"/>
                <w:szCs w:val="24"/>
                <w:highlight w:val="none"/>
              </w:rPr>
              <w:t>提供相关荣誉奖项</w:t>
            </w:r>
            <w:r>
              <w:rPr>
                <w:rFonts w:hint="eastAsia" w:ascii="宋体" w:hAnsi="宋体" w:eastAsia="宋体" w:cs="宋体"/>
                <w:b/>
                <w:bCs/>
                <w:snapToGrid w:val="0"/>
                <w:color w:val="auto"/>
                <w:kern w:val="0"/>
                <w:sz w:val="24"/>
                <w:szCs w:val="24"/>
                <w:highlight w:val="none"/>
                <w:lang w:val="en-US" w:eastAsia="zh-CN"/>
              </w:rPr>
              <w:t>证书</w:t>
            </w:r>
            <w:r>
              <w:rPr>
                <w:rFonts w:hint="eastAsia" w:ascii="宋体" w:hAnsi="宋体" w:eastAsia="宋体" w:cs="宋体"/>
                <w:b/>
                <w:bCs/>
                <w:snapToGrid w:val="0"/>
                <w:color w:val="auto"/>
                <w:kern w:val="0"/>
                <w:sz w:val="24"/>
                <w:szCs w:val="24"/>
                <w:highlight w:val="none"/>
              </w:rPr>
              <w:t>复印件</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或有效证明材料</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并加盖投标人公章，不提供不得分</w:t>
            </w:r>
            <w:r>
              <w:rPr>
                <w:rFonts w:hint="eastAsia" w:ascii="宋体" w:hAnsi="宋体" w:eastAsia="宋体" w:cs="宋体"/>
                <w:b/>
                <w:bCs/>
                <w:snapToGrid w:val="0"/>
                <w:color w:val="auto"/>
                <w:kern w:val="0"/>
                <w:sz w:val="24"/>
                <w:szCs w:val="24"/>
                <w:highlight w:val="none"/>
                <w:lang w:eastAsia="zh-CN"/>
              </w:rPr>
              <w:t>。</w:t>
            </w:r>
          </w:p>
        </w:tc>
        <w:tc>
          <w:tcPr>
            <w:tcW w:w="962" w:type="dxa"/>
            <w:vAlign w:val="center"/>
          </w:tcPr>
          <w:p w14:paraId="6A9CD067">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w:t>
            </w:r>
            <w:r>
              <w:rPr>
                <w:rFonts w:hint="eastAsia" w:ascii="宋体" w:hAnsi="宋体"/>
                <w:color w:val="auto"/>
                <w:sz w:val="24"/>
                <w:szCs w:val="24"/>
                <w:lang w:val="en-US" w:eastAsia="zh-CN"/>
              </w:rPr>
              <w:t>分</w:t>
            </w:r>
          </w:p>
        </w:tc>
      </w:tr>
      <w:tr w14:paraId="29EF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67CD9F7A">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57BA6C62">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4FD0164F">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color w:val="auto"/>
                <w:sz w:val="24"/>
              </w:rPr>
              <w:t>投标人具有质量管理体系认证证书、环境管理体系认证证书</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职业健康管理体系认证</w:t>
            </w:r>
            <w:r>
              <w:rPr>
                <w:rFonts w:hint="eastAsia" w:ascii="宋体" w:hAnsi="宋体" w:eastAsia="宋体" w:cs="宋体"/>
                <w:color w:val="auto"/>
                <w:sz w:val="24"/>
              </w:rPr>
              <w:t>证书</w:t>
            </w:r>
            <w:r>
              <w:rPr>
                <w:rFonts w:hint="eastAsia" w:ascii="宋体" w:hAnsi="宋体" w:eastAsia="宋体" w:cs="宋体"/>
                <w:color w:val="auto"/>
                <w:sz w:val="24"/>
                <w:lang w:val="en-US" w:eastAsia="zh-CN"/>
              </w:rPr>
              <w:t>的</w:t>
            </w:r>
            <w:r>
              <w:rPr>
                <w:rFonts w:hint="eastAsia" w:ascii="宋体" w:hAnsi="宋体" w:cs="宋体"/>
                <w:color w:val="auto"/>
                <w:sz w:val="24"/>
                <w:lang w:eastAsia="zh-CN"/>
              </w:rPr>
              <w:t>，</w:t>
            </w:r>
            <w:r>
              <w:rPr>
                <w:rFonts w:hint="eastAsia" w:ascii="宋体" w:hAnsi="宋体" w:eastAsia="宋体" w:cs="宋体"/>
                <w:color w:val="auto"/>
                <w:sz w:val="24"/>
              </w:rPr>
              <w:t>每提供一个得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分，最高得</w:t>
            </w:r>
            <w:r>
              <w:rPr>
                <w:rFonts w:hint="eastAsia" w:ascii="宋体" w:hAnsi="宋体" w:eastAsia="宋体" w:cs="宋体"/>
                <w:color w:val="auto"/>
                <w:sz w:val="24"/>
                <w:lang w:val="en-US" w:eastAsia="zh-CN"/>
              </w:rPr>
              <w:t>6</w:t>
            </w:r>
            <w:r>
              <w:rPr>
                <w:rFonts w:hint="eastAsia" w:ascii="宋体" w:hAnsi="宋体" w:eastAsia="宋体" w:cs="宋体"/>
                <w:color w:val="auto"/>
                <w:sz w:val="24"/>
              </w:rPr>
              <w:t>分。</w:t>
            </w:r>
          </w:p>
          <w:p w14:paraId="34FF536A">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s="宋体"/>
                <w:b/>
                <w:bCs/>
                <w:snapToGrid w:val="0"/>
                <w:color w:val="auto"/>
                <w:kern w:val="0"/>
                <w:sz w:val="24"/>
                <w:szCs w:val="24"/>
                <w:highlight w:val="none"/>
                <w:lang w:val="en-US" w:eastAsia="zh-CN"/>
              </w:rPr>
              <w:t>注：技术文件中提供有效期内相关证书复印件及国家认证认可监督管理委员会官网截图证明并加盖</w:t>
            </w:r>
            <w:r>
              <w:rPr>
                <w:rFonts w:hint="eastAsia" w:ascii="宋体" w:hAnsi="宋体" w:eastAsia="宋体" w:cs="宋体"/>
                <w:b/>
                <w:bCs/>
                <w:snapToGrid w:val="0"/>
                <w:color w:val="auto"/>
                <w:kern w:val="0"/>
                <w:sz w:val="24"/>
                <w:szCs w:val="24"/>
                <w:highlight w:val="none"/>
              </w:rPr>
              <w:t>投标人</w:t>
            </w:r>
            <w:r>
              <w:rPr>
                <w:rFonts w:hint="eastAsia" w:ascii="宋体" w:hAnsi="宋体" w:eastAsia="宋体" w:cs="宋体"/>
                <w:b/>
                <w:bCs/>
                <w:snapToGrid w:val="0"/>
                <w:color w:val="auto"/>
                <w:kern w:val="0"/>
                <w:sz w:val="24"/>
                <w:szCs w:val="24"/>
                <w:highlight w:val="none"/>
                <w:lang w:val="en-US" w:eastAsia="zh-CN"/>
              </w:rPr>
              <w:t>公章，不提供或提供不全不得分</w:t>
            </w:r>
            <w:r>
              <w:rPr>
                <w:rFonts w:hint="eastAsia" w:ascii="宋体" w:hAnsi="宋体" w:cs="宋体"/>
                <w:b/>
                <w:bCs/>
                <w:snapToGrid w:val="0"/>
                <w:color w:val="auto"/>
                <w:kern w:val="0"/>
                <w:sz w:val="24"/>
                <w:szCs w:val="24"/>
                <w:highlight w:val="none"/>
                <w:lang w:val="en-US" w:eastAsia="zh-CN"/>
              </w:rPr>
              <w:t>。</w:t>
            </w:r>
          </w:p>
        </w:tc>
        <w:tc>
          <w:tcPr>
            <w:tcW w:w="962" w:type="dxa"/>
            <w:vAlign w:val="center"/>
          </w:tcPr>
          <w:p w14:paraId="2100F1DD">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w:t>
            </w:r>
            <w:r>
              <w:rPr>
                <w:rFonts w:hint="eastAsia" w:ascii="宋体" w:hAnsi="宋体"/>
                <w:color w:val="auto"/>
                <w:sz w:val="24"/>
                <w:szCs w:val="24"/>
                <w:lang w:val="en-US" w:eastAsia="zh-CN"/>
              </w:rPr>
              <w:t>分</w:t>
            </w:r>
          </w:p>
        </w:tc>
      </w:tr>
      <w:tr w14:paraId="2821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601AF96D">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7B01F5E1">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7D875E6A">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olor w:val="auto"/>
                <w:sz w:val="24"/>
                <w:szCs w:val="24"/>
              </w:rPr>
              <w:t>投标人</w:t>
            </w:r>
            <w:r>
              <w:rPr>
                <w:rFonts w:hint="eastAsia" w:ascii="宋体" w:hAnsi="宋体"/>
                <w:color w:val="auto"/>
                <w:sz w:val="24"/>
                <w:szCs w:val="24"/>
                <w:lang w:val="en-US" w:eastAsia="zh-CN"/>
              </w:rPr>
              <w:t>被政府</w:t>
            </w:r>
            <w:r>
              <w:rPr>
                <w:rFonts w:hint="eastAsia" w:ascii="宋体" w:hAnsi="宋体" w:eastAsia="宋体"/>
                <w:color w:val="auto"/>
                <w:sz w:val="24"/>
                <w:szCs w:val="24"/>
              </w:rPr>
              <w:t>部门评定为四星级及以上旅行社的得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分，三星级旅行社得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r>
              <w:rPr>
                <w:rFonts w:hint="eastAsia" w:ascii="宋体" w:hAnsi="宋体" w:eastAsia="宋体"/>
                <w:color w:val="auto"/>
                <w:sz w:val="24"/>
                <w:szCs w:val="24"/>
                <w:lang w:val="en-US" w:eastAsia="zh-CN"/>
              </w:rPr>
              <w:t>二星旅行社得1分，</w:t>
            </w:r>
            <w:r>
              <w:rPr>
                <w:rFonts w:hint="eastAsia" w:ascii="宋体" w:hAnsi="宋体" w:eastAsia="宋体"/>
                <w:color w:val="auto"/>
                <w:sz w:val="24"/>
                <w:szCs w:val="24"/>
              </w:rPr>
              <w:t>低于</w:t>
            </w:r>
            <w:r>
              <w:rPr>
                <w:rFonts w:hint="eastAsia" w:ascii="宋体" w:hAnsi="宋体" w:eastAsia="宋体"/>
                <w:color w:val="auto"/>
                <w:sz w:val="24"/>
                <w:szCs w:val="24"/>
                <w:lang w:val="en-US" w:eastAsia="zh-CN"/>
              </w:rPr>
              <w:t>二</w:t>
            </w:r>
            <w:r>
              <w:rPr>
                <w:rFonts w:hint="eastAsia" w:ascii="宋体" w:hAnsi="宋体" w:eastAsia="宋体"/>
                <w:color w:val="auto"/>
                <w:sz w:val="24"/>
                <w:szCs w:val="24"/>
              </w:rPr>
              <w:t>星级的不得分。</w:t>
            </w:r>
          </w:p>
          <w:p w14:paraId="22C1B21F">
            <w:pPr>
              <w:keepNext w:val="0"/>
              <w:keepLines w:val="0"/>
              <w:pageBreakBefore w:val="0"/>
              <w:widowControl w:val="0"/>
              <w:kinsoku/>
              <w:wordWrap/>
              <w:overflowPunct/>
              <w:topLinePunct w:val="0"/>
              <w:bidi w:val="0"/>
              <w:snapToGrid/>
              <w:spacing w:line="240" w:lineRule="auto"/>
              <w:textAlignment w:val="auto"/>
              <w:rPr>
                <w:rFonts w:ascii="宋体" w:hAnsi="宋体" w:eastAsia="宋体"/>
                <w:b/>
                <w:bCs/>
                <w:color w:val="auto"/>
                <w:sz w:val="24"/>
                <w:szCs w:val="24"/>
              </w:rPr>
            </w:pPr>
            <w:r>
              <w:rPr>
                <w:rFonts w:hint="eastAsia" w:ascii="宋体" w:hAnsi="宋体" w:eastAsia="宋体" w:cs="宋体"/>
                <w:b/>
                <w:bCs/>
                <w:snapToGrid w:val="0"/>
                <w:color w:val="auto"/>
                <w:kern w:val="0"/>
                <w:sz w:val="24"/>
                <w:szCs w:val="24"/>
                <w:highlight w:val="none"/>
                <w:lang w:val="en-US" w:eastAsia="zh-CN"/>
              </w:rPr>
              <w:t>注：技术文件中</w:t>
            </w:r>
            <w:r>
              <w:rPr>
                <w:rFonts w:hint="eastAsia" w:ascii="宋体" w:hAnsi="宋体" w:eastAsia="宋体"/>
                <w:b/>
                <w:bCs/>
                <w:color w:val="auto"/>
                <w:sz w:val="24"/>
                <w:szCs w:val="24"/>
              </w:rPr>
              <w:t>提供旅游主管部门颁发的星级证书或相关证明材料复印件并加盖投标人公章，否则不得分。</w:t>
            </w:r>
          </w:p>
        </w:tc>
        <w:tc>
          <w:tcPr>
            <w:tcW w:w="962" w:type="dxa"/>
            <w:vAlign w:val="center"/>
          </w:tcPr>
          <w:p w14:paraId="0B3407F0">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w:t>
            </w:r>
            <w:r>
              <w:rPr>
                <w:rFonts w:hint="eastAsia" w:ascii="宋体" w:hAnsi="宋体"/>
                <w:color w:val="auto"/>
                <w:sz w:val="24"/>
                <w:szCs w:val="24"/>
                <w:lang w:val="en-US" w:eastAsia="zh-CN"/>
              </w:rPr>
              <w:t>分</w:t>
            </w:r>
          </w:p>
        </w:tc>
      </w:tr>
      <w:tr w14:paraId="15C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061EDC05">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2</w:t>
            </w:r>
          </w:p>
        </w:tc>
        <w:tc>
          <w:tcPr>
            <w:tcW w:w="1265" w:type="dxa"/>
            <w:vAlign w:val="center"/>
          </w:tcPr>
          <w:p w14:paraId="6C23CD47">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项目业绩</w:t>
            </w:r>
          </w:p>
        </w:tc>
        <w:tc>
          <w:tcPr>
            <w:tcW w:w="7723" w:type="dxa"/>
            <w:vAlign w:val="center"/>
          </w:tcPr>
          <w:p w14:paraId="1BF028D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eastAsia="宋体"/>
                <w:color w:val="auto"/>
                <w:sz w:val="24"/>
                <w:szCs w:val="24"/>
              </w:rPr>
              <w:t>投标人自2023年1月1日以来（以合同签订时间为准）</w:t>
            </w:r>
            <w:r>
              <w:rPr>
                <w:rFonts w:hint="eastAsia" w:ascii="宋体" w:hAnsi="宋体"/>
                <w:color w:val="auto"/>
                <w:sz w:val="24"/>
                <w:szCs w:val="24"/>
                <w:lang w:eastAsia="zh-CN"/>
              </w:rPr>
              <w:t>，</w:t>
            </w:r>
            <w:r>
              <w:rPr>
                <w:rFonts w:hint="eastAsia" w:ascii="宋体" w:hAnsi="宋体" w:eastAsia="宋体"/>
                <w:color w:val="auto"/>
                <w:sz w:val="24"/>
                <w:szCs w:val="24"/>
              </w:rPr>
              <w:t>具有类似旅游服务项目合同业绩的每个得0.5分，最高得1分。</w:t>
            </w:r>
          </w:p>
          <w:p w14:paraId="54C8F076">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s="宋体"/>
                <w:b/>
                <w:bCs/>
                <w:snapToGrid w:val="0"/>
                <w:color w:val="auto"/>
                <w:kern w:val="0"/>
                <w:sz w:val="24"/>
                <w:szCs w:val="24"/>
                <w:highlight w:val="none"/>
                <w:lang w:val="en-US" w:eastAsia="zh-CN"/>
              </w:rPr>
              <w:t>注：技术文件中</w:t>
            </w:r>
            <w:r>
              <w:rPr>
                <w:rFonts w:hint="eastAsia" w:ascii="宋体" w:hAnsi="宋体" w:eastAsia="宋体"/>
                <w:b/>
                <w:bCs/>
                <w:color w:val="auto"/>
                <w:sz w:val="24"/>
                <w:szCs w:val="24"/>
              </w:rPr>
              <w:t>提供合同复印件并加盖投标人公章，否则不得分。</w:t>
            </w:r>
          </w:p>
        </w:tc>
        <w:tc>
          <w:tcPr>
            <w:tcW w:w="962" w:type="dxa"/>
            <w:vAlign w:val="center"/>
          </w:tcPr>
          <w:p w14:paraId="412568E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color w:val="auto"/>
                <w:sz w:val="24"/>
                <w:szCs w:val="24"/>
                <w:lang w:val="en-US" w:eastAsia="zh-CN"/>
              </w:rPr>
              <w:t>分</w:t>
            </w:r>
          </w:p>
        </w:tc>
      </w:tr>
      <w:tr w14:paraId="6BB8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473879C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3</w:t>
            </w:r>
          </w:p>
        </w:tc>
        <w:tc>
          <w:tcPr>
            <w:tcW w:w="1265" w:type="dxa"/>
            <w:vAlign w:val="center"/>
          </w:tcPr>
          <w:p w14:paraId="12D96CB2">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人员配备</w:t>
            </w:r>
          </w:p>
        </w:tc>
        <w:tc>
          <w:tcPr>
            <w:tcW w:w="7723" w:type="dxa"/>
            <w:vAlign w:val="center"/>
          </w:tcPr>
          <w:p w14:paraId="0ADD36A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拟投入导游具</w:t>
            </w:r>
            <w:r>
              <w:rPr>
                <w:rFonts w:hint="eastAsia" w:ascii="宋体" w:hAnsi="宋体" w:eastAsia="宋体" w:cs="宋体"/>
                <w:i w:val="0"/>
                <w:iCs w:val="0"/>
                <w:color w:val="auto"/>
                <w:kern w:val="0"/>
                <w:sz w:val="24"/>
                <w:szCs w:val="24"/>
                <w:u w:val="none"/>
                <w:lang w:val="en-US" w:eastAsia="zh-CN" w:bidi="ar"/>
              </w:rPr>
              <w:t>有高级导游证的每个得3分，中级导游证每个得2分，初级导游证的每个得1分。最高得6分。</w:t>
            </w:r>
          </w:p>
          <w:p w14:paraId="1C437D2A">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s="宋体"/>
                <w:b/>
                <w:bCs/>
                <w:snapToGrid w:val="0"/>
                <w:color w:val="auto"/>
                <w:kern w:val="0"/>
                <w:sz w:val="24"/>
                <w:szCs w:val="24"/>
                <w:highlight w:val="none"/>
                <w:lang w:val="en-US" w:eastAsia="zh-CN"/>
              </w:rPr>
              <w:t>注：</w:t>
            </w:r>
            <w:r>
              <w:rPr>
                <w:rFonts w:hint="eastAsia" w:ascii="宋体" w:hAnsi="宋体" w:eastAsia="宋体"/>
                <w:b/>
                <w:bCs/>
                <w:color w:val="auto"/>
                <w:sz w:val="24"/>
                <w:szCs w:val="24"/>
              </w:rPr>
              <w:t>技术文件中需提供人员相关证书复印件以及投标人为其缴纳的近三个月内任意一个月社保证明</w:t>
            </w:r>
            <w:r>
              <w:rPr>
                <w:rFonts w:ascii="宋体" w:hAnsi="宋体" w:eastAsia="宋体"/>
                <w:b/>
                <w:bCs/>
                <w:color w:val="auto"/>
                <w:sz w:val="24"/>
                <w:szCs w:val="24"/>
              </w:rPr>
              <w:t>（社保缴纳证明以社保机构出具的社保证明为准）</w:t>
            </w:r>
            <w:r>
              <w:rPr>
                <w:rFonts w:hint="eastAsia" w:ascii="宋体" w:hAnsi="宋体" w:eastAsia="宋体"/>
                <w:b/>
                <w:bCs/>
                <w:color w:val="auto"/>
                <w:sz w:val="24"/>
                <w:szCs w:val="24"/>
              </w:rPr>
              <w:t>并加盖投标人公章，不提供或提供不全的不得分。</w:t>
            </w:r>
            <w:r>
              <w:rPr>
                <w:rFonts w:hint="eastAsia" w:ascii="宋体" w:hAnsi="宋体" w:eastAsia="宋体" w:cs="宋体"/>
                <w:b/>
                <w:bCs/>
                <w:color w:val="auto"/>
                <w:sz w:val="24"/>
                <w:szCs w:val="24"/>
                <w:lang w:val="en-US" w:eastAsia="zh-CN"/>
              </w:rPr>
              <w:t>如是已退休的法人</w:t>
            </w:r>
            <w:r>
              <w:rPr>
                <w:rFonts w:hint="eastAsia" w:ascii="宋体" w:hAnsi="宋体" w:eastAsia="宋体" w:cs="宋体"/>
                <w:b/>
                <w:bCs/>
                <w:i w:val="0"/>
                <w:iCs w:val="0"/>
                <w:color w:val="auto"/>
                <w:kern w:val="0"/>
                <w:sz w:val="24"/>
                <w:szCs w:val="24"/>
                <w:u w:val="none"/>
                <w:lang w:val="en-US" w:eastAsia="zh-CN" w:bidi="ar"/>
              </w:rPr>
              <w:t>，需要提供法人证明及有效导游证复印件，并加盖投标人公章。</w:t>
            </w:r>
          </w:p>
        </w:tc>
        <w:tc>
          <w:tcPr>
            <w:tcW w:w="962" w:type="dxa"/>
            <w:vAlign w:val="center"/>
          </w:tcPr>
          <w:p w14:paraId="4D93D1D0">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6</w:t>
            </w:r>
            <w:r>
              <w:rPr>
                <w:rFonts w:hint="eastAsia" w:ascii="宋体" w:hAnsi="宋体"/>
                <w:color w:val="auto"/>
                <w:sz w:val="24"/>
                <w:szCs w:val="24"/>
                <w:lang w:val="en-US" w:eastAsia="zh-CN"/>
              </w:rPr>
              <w:t>分</w:t>
            </w:r>
          </w:p>
          <w:p w14:paraId="65137999">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p>
        </w:tc>
      </w:tr>
      <w:tr w14:paraId="7655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restart"/>
            <w:vAlign w:val="center"/>
          </w:tcPr>
          <w:p w14:paraId="0A8F5FA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4</w:t>
            </w:r>
          </w:p>
        </w:tc>
        <w:tc>
          <w:tcPr>
            <w:tcW w:w="1265" w:type="dxa"/>
            <w:vMerge w:val="restart"/>
            <w:vAlign w:val="center"/>
          </w:tcPr>
          <w:p w14:paraId="69248C1F">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线路安排</w:t>
            </w:r>
          </w:p>
        </w:tc>
        <w:tc>
          <w:tcPr>
            <w:tcW w:w="7723" w:type="dxa"/>
            <w:vAlign w:val="center"/>
          </w:tcPr>
          <w:p w14:paraId="7E522641">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线路的具体设计安排、服务内容、创意设计情况（包括疗休养内容安排、路线的合理性，景观的价值等内容）</w:t>
            </w:r>
            <w:r>
              <w:rPr>
                <w:rFonts w:hint="eastAsia" w:ascii="宋体" w:hAnsi="宋体" w:cs="宋体"/>
                <w:color w:val="auto"/>
                <w:sz w:val="24"/>
                <w:szCs w:val="24"/>
                <w:lang w:val="en-US" w:eastAsia="zh-CN"/>
              </w:rPr>
              <w:t>进行打分：</w:t>
            </w:r>
          </w:p>
          <w:p w14:paraId="23CB6685">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①</w:t>
            </w:r>
            <w:r>
              <w:rPr>
                <w:rFonts w:hint="eastAsia" w:ascii="宋体" w:hAnsi="宋体" w:eastAsia="宋体" w:cs="宋体"/>
                <w:color w:val="auto"/>
                <w:sz w:val="24"/>
                <w:szCs w:val="24"/>
              </w:rPr>
              <w:t>设计安排合理、服务内容全面、创意设计优的得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p w14:paraId="004B54E3">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②</w:t>
            </w:r>
            <w:r>
              <w:rPr>
                <w:rFonts w:hint="eastAsia" w:ascii="宋体" w:hAnsi="宋体" w:eastAsia="宋体" w:cs="宋体"/>
                <w:color w:val="auto"/>
                <w:sz w:val="24"/>
                <w:szCs w:val="24"/>
              </w:rPr>
              <w:t>设计安排较合理、服务内容较全面、创意设计较优的得</w:t>
            </w:r>
            <w:r>
              <w:rPr>
                <w:rFonts w:hint="eastAsia" w:ascii="宋体" w:hAnsi="宋体" w:eastAsia="宋体" w:cs="宋体"/>
                <w:color w:val="auto"/>
                <w:sz w:val="24"/>
                <w:szCs w:val="24"/>
                <w:lang w:val="en-US" w:eastAsia="zh-CN"/>
              </w:rPr>
              <w:t>4分；</w:t>
            </w:r>
          </w:p>
          <w:p w14:paraId="28D9001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③</w:t>
            </w:r>
            <w:r>
              <w:rPr>
                <w:rFonts w:hint="eastAsia" w:ascii="宋体" w:hAnsi="宋体" w:eastAsia="宋体" w:cs="宋体"/>
                <w:color w:val="auto"/>
                <w:sz w:val="24"/>
                <w:szCs w:val="24"/>
              </w:rPr>
              <w:t>设计安排不合理、服务内容不全面、创意设计差的得</w:t>
            </w:r>
            <w:r>
              <w:rPr>
                <w:rFonts w:hint="eastAsia" w:ascii="宋体" w:hAnsi="宋体" w:eastAsia="宋体" w:cs="宋体"/>
                <w:color w:val="auto"/>
                <w:sz w:val="24"/>
                <w:szCs w:val="24"/>
                <w:lang w:val="en-US" w:eastAsia="zh-CN"/>
              </w:rPr>
              <w:t>2分；</w:t>
            </w:r>
          </w:p>
          <w:p w14:paraId="7A16FD30">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s="宋体"/>
                <w:color w:val="auto"/>
                <w:sz w:val="24"/>
                <w:szCs w:val="24"/>
                <w:lang w:val="en-US" w:eastAsia="zh-CN"/>
              </w:rPr>
              <w:t>④</w:t>
            </w:r>
            <w:r>
              <w:rPr>
                <w:rFonts w:hint="eastAsia" w:ascii="宋体" w:hAnsi="宋体" w:eastAsia="宋体"/>
                <w:color w:val="auto"/>
                <w:sz w:val="24"/>
                <w:szCs w:val="24"/>
              </w:rPr>
              <w:t>不符合项目需求</w:t>
            </w:r>
            <w:r>
              <w:rPr>
                <w:rFonts w:hint="eastAsia" w:ascii="宋体" w:hAnsi="宋体"/>
                <w:color w:val="auto"/>
                <w:sz w:val="24"/>
                <w:szCs w:val="24"/>
                <w:lang w:val="en-US" w:eastAsia="zh-CN"/>
              </w:rPr>
              <w:t>或不提供不得分</w:t>
            </w:r>
            <w:r>
              <w:rPr>
                <w:rFonts w:hint="eastAsia" w:ascii="宋体" w:hAnsi="宋体" w:eastAsia="宋体"/>
                <w:color w:val="auto"/>
                <w:sz w:val="24"/>
                <w:szCs w:val="24"/>
              </w:rPr>
              <w:t>。</w:t>
            </w:r>
          </w:p>
        </w:tc>
        <w:tc>
          <w:tcPr>
            <w:tcW w:w="962" w:type="dxa"/>
            <w:vAlign w:val="center"/>
          </w:tcPr>
          <w:p w14:paraId="50A9CCF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6</w:t>
            </w:r>
            <w:r>
              <w:rPr>
                <w:rFonts w:hint="eastAsia" w:ascii="宋体" w:hAnsi="宋体"/>
                <w:color w:val="auto"/>
                <w:sz w:val="24"/>
                <w:szCs w:val="24"/>
                <w:lang w:val="en-US" w:eastAsia="zh-CN"/>
              </w:rPr>
              <w:t>分</w:t>
            </w:r>
          </w:p>
        </w:tc>
      </w:tr>
      <w:tr w14:paraId="504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16D5CE99">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583200FC">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684F082E">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根据投标人所列酒店（包括备选酒店）档次、酒店环境舒适度、品牌、</w:t>
            </w:r>
            <w:r>
              <w:rPr>
                <w:rFonts w:hint="eastAsia" w:ascii="宋体" w:hAnsi="宋体" w:eastAsia="宋体" w:cs="宋体"/>
                <w:color w:val="auto"/>
                <w:sz w:val="24"/>
                <w:szCs w:val="24"/>
                <w:highlight w:val="none"/>
                <w:lang w:val="zh-CN"/>
              </w:rPr>
              <w:t>口碑</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lang w:val="zh-CN"/>
              </w:rPr>
              <w:t>提供酒店相关介绍或说明</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147DA0F5">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①</w:t>
            </w:r>
            <w:r>
              <w:rPr>
                <w:rFonts w:hint="eastAsia" w:ascii="宋体" w:hAnsi="宋体" w:eastAsia="宋体" w:cs="宋体"/>
                <w:color w:val="auto"/>
                <w:sz w:val="24"/>
                <w:szCs w:val="24"/>
                <w:lang w:val="zh-CN"/>
              </w:rPr>
              <w:t>酒店环境非常舒适、品牌口碑</w:t>
            </w:r>
            <w:r>
              <w:rPr>
                <w:rFonts w:hint="eastAsia" w:ascii="宋体" w:hAnsi="宋体" w:eastAsia="宋体" w:cs="宋体"/>
                <w:color w:val="auto"/>
                <w:sz w:val="24"/>
                <w:szCs w:val="24"/>
              </w:rPr>
              <w:t>好的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分；</w:t>
            </w:r>
          </w:p>
          <w:p w14:paraId="1A09DAF2">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②</w:t>
            </w:r>
            <w:r>
              <w:rPr>
                <w:rFonts w:hint="eastAsia" w:ascii="宋体" w:hAnsi="宋体" w:eastAsia="宋体" w:cs="宋体"/>
                <w:color w:val="auto"/>
                <w:sz w:val="24"/>
                <w:szCs w:val="24"/>
                <w:lang w:val="zh-CN"/>
              </w:rPr>
              <w:t>酒店环境较舒适、品牌口碑</w:t>
            </w:r>
            <w:r>
              <w:rPr>
                <w:rFonts w:hint="eastAsia" w:ascii="宋体" w:hAnsi="宋体" w:eastAsia="宋体" w:cs="宋体"/>
                <w:color w:val="auto"/>
                <w:sz w:val="24"/>
                <w:szCs w:val="24"/>
              </w:rPr>
              <w:t>较好的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4分</w:t>
            </w:r>
            <w:r>
              <w:rPr>
                <w:rFonts w:hint="eastAsia" w:ascii="宋体" w:hAnsi="宋体" w:eastAsia="宋体" w:cs="宋体"/>
                <w:color w:val="auto"/>
                <w:sz w:val="24"/>
                <w:szCs w:val="24"/>
                <w:lang w:val="zh-CN" w:eastAsia="zh-CN"/>
              </w:rPr>
              <w:t>；</w:t>
            </w:r>
          </w:p>
          <w:p w14:paraId="5C6D82B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③</w:t>
            </w:r>
            <w:r>
              <w:rPr>
                <w:rFonts w:hint="eastAsia" w:ascii="宋体" w:hAnsi="宋体" w:eastAsia="宋体" w:cs="宋体"/>
                <w:color w:val="auto"/>
                <w:sz w:val="24"/>
                <w:szCs w:val="24"/>
                <w:lang w:val="zh-CN"/>
              </w:rPr>
              <w:t>酒店环境舒适度</w:t>
            </w:r>
            <w:r>
              <w:rPr>
                <w:rFonts w:hint="eastAsia" w:ascii="宋体" w:hAnsi="宋体" w:eastAsia="宋体" w:cs="宋体"/>
                <w:color w:val="auto"/>
                <w:sz w:val="24"/>
                <w:szCs w:val="24"/>
              </w:rPr>
              <w:t>低</w:t>
            </w:r>
            <w:r>
              <w:rPr>
                <w:rFonts w:hint="eastAsia" w:ascii="宋体" w:hAnsi="宋体" w:eastAsia="宋体" w:cs="宋体"/>
                <w:color w:val="auto"/>
                <w:sz w:val="24"/>
                <w:szCs w:val="24"/>
                <w:lang w:val="zh-CN"/>
              </w:rPr>
              <w:t>、品牌口碑</w:t>
            </w:r>
            <w:r>
              <w:rPr>
                <w:rFonts w:hint="eastAsia" w:ascii="宋体" w:hAnsi="宋体" w:eastAsia="宋体" w:cs="宋体"/>
                <w:color w:val="auto"/>
                <w:sz w:val="24"/>
                <w:szCs w:val="24"/>
              </w:rPr>
              <w:t>差的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w:t>
            </w:r>
            <w:r>
              <w:rPr>
                <w:rFonts w:hint="eastAsia" w:ascii="宋体" w:hAnsi="宋体" w:eastAsia="宋体" w:cs="宋体"/>
                <w:color w:val="auto"/>
                <w:sz w:val="24"/>
                <w:szCs w:val="24"/>
                <w:lang w:val="zh-CN"/>
              </w:rPr>
              <w:t>；</w:t>
            </w:r>
          </w:p>
          <w:p w14:paraId="5DAC8A56">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s="宋体"/>
                <w:color w:val="auto"/>
                <w:sz w:val="24"/>
                <w:szCs w:val="24"/>
                <w:lang w:val="en-US" w:eastAsia="zh-CN"/>
              </w:rPr>
              <w:t>④</w:t>
            </w:r>
            <w:r>
              <w:rPr>
                <w:rFonts w:hint="eastAsia" w:ascii="宋体" w:hAnsi="宋体" w:eastAsia="宋体"/>
                <w:color w:val="auto"/>
                <w:sz w:val="24"/>
                <w:szCs w:val="24"/>
              </w:rPr>
              <w:t>不符合项目需求</w:t>
            </w:r>
            <w:r>
              <w:rPr>
                <w:rFonts w:hint="eastAsia" w:ascii="宋体" w:hAnsi="宋体"/>
                <w:color w:val="auto"/>
                <w:sz w:val="24"/>
                <w:szCs w:val="24"/>
                <w:lang w:val="en-US" w:eastAsia="zh-CN"/>
              </w:rPr>
              <w:t>或不提供不得分</w:t>
            </w:r>
            <w:r>
              <w:rPr>
                <w:rFonts w:hint="eastAsia" w:ascii="宋体" w:hAnsi="宋体" w:eastAsia="宋体"/>
                <w:color w:val="auto"/>
                <w:sz w:val="24"/>
                <w:szCs w:val="24"/>
              </w:rPr>
              <w:t>。</w:t>
            </w:r>
          </w:p>
        </w:tc>
        <w:tc>
          <w:tcPr>
            <w:tcW w:w="962" w:type="dxa"/>
            <w:vAlign w:val="center"/>
          </w:tcPr>
          <w:p w14:paraId="65723485">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6</w:t>
            </w:r>
            <w:r>
              <w:rPr>
                <w:rFonts w:hint="eastAsia" w:ascii="宋体" w:hAnsi="宋体"/>
                <w:color w:val="auto"/>
                <w:sz w:val="24"/>
                <w:szCs w:val="24"/>
                <w:lang w:val="en-US" w:eastAsia="zh-CN"/>
              </w:rPr>
              <w:t>分</w:t>
            </w:r>
          </w:p>
        </w:tc>
      </w:tr>
      <w:tr w14:paraId="6749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7030A24C">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4DC9C1E0">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714393E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根据投标人提供的餐饮服务计划、服务环境、</w:t>
            </w:r>
            <w:r>
              <w:rPr>
                <w:rFonts w:hint="eastAsia" w:ascii="宋体" w:hAnsi="宋体" w:eastAsia="宋体" w:cs="宋体"/>
                <w:color w:val="auto"/>
                <w:sz w:val="24"/>
                <w:szCs w:val="24"/>
                <w:lang w:val="zh-CN"/>
              </w:rPr>
              <w:t>餐饮荤素搭配情况</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46281FBF">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rPr>
              <w:t>餐饮服务计划完善、服务环境优美、</w:t>
            </w:r>
            <w:r>
              <w:rPr>
                <w:rFonts w:hint="eastAsia" w:ascii="宋体" w:hAnsi="宋体" w:eastAsia="宋体" w:cs="宋体"/>
                <w:color w:val="auto"/>
                <w:sz w:val="24"/>
                <w:szCs w:val="24"/>
                <w:lang w:val="zh-CN"/>
              </w:rPr>
              <w:t>餐饮荤素搭配</w:t>
            </w:r>
            <w:r>
              <w:rPr>
                <w:rFonts w:hint="eastAsia" w:ascii="宋体" w:hAnsi="宋体" w:eastAsia="宋体" w:cs="宋体"/>
                <w:color w:val="auto"/>
                <w:sz w:val="24"/>
                <w:szCs w:val="24"/>
              </w:rPr>
              <w:t>合理的</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分；</w:t>
            </w:r>
          </w:p>
          <w:p w14:paraId="36478E7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rPr>
              <w:t>餐饮服务计划较完善、服务环境较优美、</w:t>
            </w:r>
            <w:r>
              <w:rPr>
                <w:rFonts w:hint="eastAsia" w:ascii="宋体" w:hAnsi="宋体" w:eastAsia="宋体" w:cs="宋体"/>
                <w:color w:val="auto"/>
                <w:sz w:val="24"/>
                <w:szCs w:val="24"/>
                <w:lang w:val="zh-CN"/>
              </w:rPr>
              <w:t>餐饮荤素搭配</w:t>
            </w:r>
            <w:r>
              <w:rPr>
                <w:rFonts w:hint="eastAsia" w:ascii="宋体" w:hAnsi="宋体" w:eastAsia="宋体" w:cs="宋体"/>
                <w:color w:val="auto"/>
                <w:sz w:val="24"/>
                <w:szCs w:val="24"/>
              </w:rPr>
              <w:t>较合理的得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p w14:paraId="468A496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rPr>
              <w:t>餐饮服务计划不完善、服务环境差、</w:t>
            </w:r>
            <w:r>
              <w:rPr>
                <w:rFonts w:hint="eastAsia" w:ascii="宋体" w:hAnsi="宋体" w:eastAsia="宋体" w:cs="宋体"/>
                <w:color w:val="auto"/>
                <w:sz w:val="24"/>
                <w:szCs w:val="24"/>
                <w:lang w:val="zh-CN"/>
              </w:rPr>
              <w:t>餐饮荤素搭配</w:t>
            </w:r>
            <w:r>
              <w:rPr>
                <w:rFonts w:hint="eastAsia" w:ascii="宋体" w:hAnsi="宋体" w:eastAsia="宋体" w:cs="宋体"/>
                <w:color w:val="auto"/>
                <w:sz w:val="24"/>
                <w:szCs w:val="24"/>
              </w:rPr>
              <w:t>不合理的得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w:t>
            </w:r>
          </w:p>
          <w:p w14:paraId="118CD53D">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s="宋体"/>
                <w:color w:val="auto"/>
                <w:sz w:val="24"/>
                <w:szCs w:val="24"/>
                <w:lang w:val="en-US" w:eastAsia="zh-CN"/>
              </w:rPr>
              <w:t>④</w:t>
            </w:r>
            <w:r>
              <w:rPr>
                <w:rFonts w:hint="eastAsia" w:ascii="宋体" w:hAnsi="宋体" w:eastAsia="宋体"/>
                <w:color w:val="auto"/>
                <w:sz w:val="24"/>
                <w:szCs w:val="24"/>
              </w:rPr>
              <w:t>不符合项目需求</w:t>
            </w:r>
            <w:r>
              <w:rPr>
                <w:rFonts w:hint="eastAsia" w:ascii="宋体" w:hAnsi="宋体"/>
                <w:color w:val="auto"/>
                <w:sz w:val="24"/>
                <w:szCs w:val="24"/>
                <w:lang w:val="en-US" w:eastAsia="zh-CN"/>
              </w:rPr>
              <w:t>或不提供不得分</w:t>
            </w:r>
            <w:r>
              <w:rPr>
                <w:rFonts w:hint="eastAsia" w:ascii="宋体" w:hAnsi="宋体" w:eastAsia="宋体"/>
                <w:color w:val="auto"/>
                <w:sz w:val="24"/>
                <w:szCs w:val="24"/>
              </w:rPr>
              <w:t>。</w:t>
            </w:r>
          </w:p>
        </w:tc>
        <w:tc>
          <w:tcPr>
            <w:tcW w:w="962" w:type="dxa"/>
            <w:vAlign w:val="center"/>
          </w:tcPr>
          <w:p w14:paraId="17CFBA7C">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6</w:t>
            </w:r>
            <w:r>
              <w:rPr>
                <w:rFonts w:hint="eastAsia" w:ascii="宋体" w:hAnsi="宋体"/>
                <w:color w:val="auto"/>
                <w:sz w:val="24"/>
                <w:szCs w:val="24"/>
                <w:lang w:val="en-US" w:eastAsia="zh-CN"/>
              </w:rPr>
              <w:t>分</w:t>
            </w:r>
          </w:p>
        </w:tc>
      </w:tr>
      <w:tr w14:paraId="62B5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713F1E77">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587CE9A4">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39B5DE7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zh-CN"/>
              </w:rPr>
              <w:t>旅游车或其他交通工具安排（提供车队合作协议及车队资质，可提供车辆清单、外观和内设照片、驾照、行驶证</w:t>
            </w:r>
            <w:r>
              <w:rPr>
                <w:rFonts w:hint="eastAsia" w:ascii="宋体" w:hAnsi="宋体" w:eastAsia="宋体" w:cs="宋体"/>
                <w:color w:val="auto"/>
                <w:sz w:val="24"/>
                <w:szCs w:val="24"/>
              </w:rPr>
              <w:t>扫描件</w:t>
            </w:r>
            <w:r>
              <w:rPr>
                <w:rFonts w:hint="eastAsia" w:ascii="宋体" w:hAnsi="宋体" w:eastAsia="宋体" w:cs="宋体"/>
                <w:color w:val="auto"/>
                <w:sz w:val="24"/>
                <w:szCs w:val="24"/>
                <w:lang w:val="zh-CN"/>
              </w:rPr>
              <w:t>等作为辅助评审资料）</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0C2C4CF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①</w:t>
            </w:r>
            <w:r>
              <w:rPr>
                <w:rFonts w:hint="eastAsia" w:ascii="宋体" w:hAnsi="宋体" w:eastAsia="宋体" w:cs="宋体"/>
                <w:color w:val="auto"/>
                <w:sz w:val="24"/>
                <w:szCs w:val="24"/>
                <w:lang w:val="zh-CN"/>
              </w:rPr>
              <w:t>旅游车或其他交通工具安排</w:t>
            </w:r>
            <w:r>
              <w:rPr>
                <w:rFonts w:hint="eastAsia" w:ascii="宋体" w:hAnsi="宋体" w:eastAsia="宋体" w:cs="宋体"/>
                <w:color w:val="auto"/>
                <w:sz w:val="24"/>
                <w:szCs w:val="24"/>
              </w:rPr>
              <w:t>充足、配备舒适合理得</w:t>
            </w:r>
            <w:r>
              <w:rPr>
                <w:rFonts w:hint="eastAsia" w:ascii="宋体" w:hAnsi="宋体" w:eastAsia="宋体" w:cs="宋体"/>
                <w:color w:val="auto"/>
                <w:sz w:val="24"/>
                <w:szCs w:val="24"/>
                <w:lang w:val="en-US" w:eastAsia="zh-CN"/>
              </w:rPr>
              <w:t>6</w:t>
            </w:r>
            <w:r>
              <w:rPr>
                <w:rFonts w:hint="eastAsia" w:ascii="宋体" w:hAnsi="宋体" w:eastAsia="宋体" w:cs="宋体"/>
                <w:bCs/>
                <w:color w:val="auto"/>
                <w:sz w:val="24"/>
                <w:szCs w:val="24"/>
              </w:rPr>
              <w:t>分；</w:t>
            </w:r>
          </w:p>
          <w:p w14:paraId="4FD69478">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②</w:t>
            </w:r>
            <w:r>
              <w:rPr>
                <w:rFonts w:hint="eastAsia" w:ascii="宋体" w:hAnsi="宋体" w:eastAsia="宋体" w:cs="宋体"/>
                <w:color w:val="auto"/>
                <w:sz w:val="24"/>
                <w:szCs w:val="24"/>
                <w:lang w:val="zh-CN"/>
              </w:rPr>
              <w:t>旅游车或其他交通工具安排</w:t>
            </w:r>
            <w:r>
              <w:rPr>
                <w:rFonts w:hint="eastAsia" w:ascii="宋体" w:hAnsi="宋体" w:eastAsia="宋体" w:cs="宋体"/>
                <w:color w:val="auto"/>
                <w:sz w:val="24"/>
                <w:szCs w:val="24"/>
              </w:rPr>
              <w:t>基本充足、配备基本合理得4</w:t>
            </w:r>
            <w:r>
              <w:rPr>
                <w:rFonts w:hint="eastAsia" w:ascii="宋体" w:hAnsi="宋体" w:eastAsia="宋体" w:cs="宋体"/>
                <w:bCs/>
                <w:color w:val="auto"/>
                <w:sz w:val="24"/>
                <w:szCs w:val="24"/>
              </w:rPr>
              <w:t>分；</w:t>
            </w:r>
          </w:p>
          <w:p w14:paraId="2DDF928E">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Cs/>
                <w:color w:val="auto"/>
                <w:sz w:val="24"/>
                <w:szCs w:val="24"/>
              </w:rPr>
            </w:pPr>
            <w:r>
              <w:rPr>
                <w:rFonts w:hint="eastAsia" w:ascii="宋体" w:hAnsi="宋体" w:cs="宋体"/>
                <w:color w:val="auto"/>
                <w:sz w:val="24"/>
                <w:szCs w:val="24"/>
                <w:lang w:val="en-US" w:eastAsia="zh-CN"/>
              </w:rPr>
              <w:t>③</w:t>
            </w:r>
            <w:r>
              <w:rPr>
                <w:rFonts w:hint="eastAsia" w:ascii="宋体" w:hAnsi="宋体" w:eastAsia="宋体" w:cs="宋体"/>
                <w:color w:val="auto"/>
                <w:sz w:val="24"/>
                <w:szCs w:val="24"/>
                <w:lang w:val="zh-CN"/>
              </w:rPr>
              <w:t>旅游车或其他交通工具安排</w:t>
            </w:r>
            <w:r>
              <w:rPr>
                <w:rFonts w:hint="eastAsia" w:ascii="宋体" w:hAnsi="宋体" w:eastAsia="宋体" w:cs="宋体"/>
                <w:color w:val="auto"/>
                <w:sz w:val="24"/>
                <w:szCs w:val="24"/>
              </w:rPr>
              <w:t>不足、配备不太合理</w:t>
            </w:r>
            <w:r>
              <w:rPr>
                <w:rFonts w:hint="eastAsia" w:ascii="宋体" w:hAnsi="宋体" w:eastAsia="宋体" w:cs="宋体"/>
                <w:bCs/>
                <w:color w:val="auto"/>
                <w:sz w:val="24"/>
                <w:szCs w:val="24"/>
              </w:rPr>
              <w:t>得2分。</w:t>
            </w:r>
          </w:p>
          <w:p w14:paraId="24BF0E9F">
            <w:pPr>
              <w:keepNext w:val="0"/>
              <w:keepLines w:val="0"/>
              <w:pageBreakBefore w:val="0"/>
              <w:widowControl w:val="0"/>
              <w:kinsoku/>
              <w:wordWrap/>
              <w:overflowPunct/>
              <w:topLinePunct w:val="0"/>
              <w:bidi w:val="0"/>
              <w:snapToGrid/>
              <w:spacing w:line="240" w:lineRule="auto"/>
              <w:textAlignment w:val="auto"/>
              <w:rPr>
                <w:color w:val="auto"/>
              </w:rPr>
            </w:pPr>
            <w:r>
              <w:rPr>
                <w:rFonts w:hint="eastAsia" w:ascii="宋体" w:hAnsi="宋体" w:cs="宋体"/>
                <w:color w:val="auto"/>
                <w:sz w:val="24"/>
                <w:szCs w:val="24"/>
                <w:lang w:val="en-US" w:eastAsia="zh-CN"/>
              </w:rPr>
              <w:t>④</w:t>
            </w:r>
            <w:r>
              <w:rPr>
                <w:rFonts w:hint="eastAsia" w:ascii="宋体" w:hAnsi="宋体" w:eastAsia="宋体"/>
                <w:color w:val="auto"/>
                <w:sz w:val="24"/>
                <w:szCs w:val="24"/>
              </w:rPr>
              <w:t>不符合项目需求</w:t>
            </w:r>
            <w:r>
              <w:rPr>
                <w:rFonts w:hint="eastAsia" w:ascii="宋体" w:hAnsi="宋体"/>
                <w:color w:val="auto"/>
                <w:sz w:val="24"/>
                <w:szCs w:val="24"/>
                <w:lang w:val="en-US" w:eastAsia="zh-CN"/>
              </w:rPr>
              <w:t>或不提供不得分</w:t>
            </w:r>
            <w:r>
              <w:rPr>
                <w:rFonts w:hint="eastAsia" w:ascii="宋体" w:hAnsi="宋体" w:eastAsia="宋体"/>
                <w:color w:val="auto"/>
                <w:sz w:val="24"/>
                <w:szCs w:val="24"/>
              </w:rPr>
              <w:t>。</w:t>
            </w:r>
          </w:p>
        </w:tc>
        <w:tc>
          <w:tcPr>
            <w:tcW w:w="962" w:type="dxa"/>
            <w:vAlign w:val="center"/>
          </w:tcPr>
          <w:p w14:paraId="2CB1A52E">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6</w:t>
            </w:r>
            <w:r>
              <w:rPr>
                <w:rFonts w:hint="eastAsia" w:ascii="宋体" w:hAnsi="宋体"/>
                <w:color w:val="auto"/>
                <w:sz w:val="24"/>
                <w:szCs w:val="24"/>
                <w:lang w:val="en-US" w:eastAsia="zh-CN"/>
              </w:rPr>
              <w:t>分</w:t>
            </w:r>
          </w:p>
        </w:tc>
      </w:tr>
      <w:tr w14:paraId="419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23F08CF3">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37D5B5F0">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shd w:val="clear" w:color="auto" w:fill="auto"/>
            <w:vAlign w:val="center"/>
          </w:tcPr>
          <w:p w14:paraId="25740F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根据投标人提供的</w:t>
            </w:r>
            <w:r>
              <w:rPr>
                <w:rFonts w:hint="eastAsia" w:ascii="宋体" w:hAnsi="宋体" w:eastAsia="宋体" w:cs="宋体"/>
                <w:snapToGrid w:val="0"/>
                <w:color w:val="auto"/>
                <w:sz w:val="24"/>
                <w:szCs w:val="24"/>
                <w:lang w:val="zh-CN" w:eastAsia="zh-CN"/>
              </w:rPr>
              <w:t>航空交通方案（包括航班时间、直飞、经停、机型（大航空公司还是廉价航空）等）进行</w:t>
            </w:r>
            <w:r>
              <w:rPr>
                <w:rFonts w:hint="eastAsia" w:ascii="宋体" w:hAnsi="宋体" w:eastAsia="宋体" w:cs="宋体"/>
                <w:snapToGrid w:val="0"/>
                <w:color w:val="auto"/>
                <w:sz w:val="24"/>
                <w:szCs w:val="24"/>
                <w:lang w:val="en-US" w:eastAsia="zh-CN"/>
              </w:rPr>
              <w:t>打分</w:t>
            </w:r>
            <w:r>
              <w:rPr>
                <w:rFonts w:hint="eastAsia" w:ascii="宋体" w:hAnsi="宋体" w:eastAsia="宋体" w:cs="宋体"/>
                <w:snapToGrid w:val="0"/>
                <w:color w:val="auto"/>
                <w:sz w:val="24"/>
                <w:szCs w:val="24"/>
                <w:lang w:val="zh-CN" w:eastAsia="zh-CN"/>
              </w:rPr>
              <w:t>：</w:t>
            </w:r>
          </w:p>
          <w:p w14:paraId="571AC198">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①方案完整，时间安排合理，知名大航空公司的得3分；</w:t>
            </w:r>
          </w:p>
          <w:p w14:paraId="170AEBA1">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②方案基本完整、时间安排略有不合理，标准基本满足采购需求的得2分；</w:t>
            </w:r>
          </w:p>
          <w:p w14:paraId="7C8612E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③方案不完整、时间安排不合理、或者为廉价航空、红眼航班之类的得1分。</w:t>
            </w:r>
          </w:p>
          <w:p w14:paraId="07AF551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color w:val="auto"/>
                <w:lang w:val="en-US" w:eastAsia="zh-CN"/>
              </w:rPr>
            </w:pPr>
            <w:r>
              <w:rPr>
                <w:rFonts w:hint="eastAsia" w:ascii="宋体" w:hAnsi="宋体" w:eastAsia="宋体" w:cs="宋体"/>
                <w:snapToGrid w:val="0"/>
                <w:color w:val="auto"/>
                <w:sz w:val="24"/>
                <w:szCs w:val="24"/>
                <w:lang w:val="en-US" w:eastAsia="zh-CN"/>
              </w:rPr>
              <w:t>④不符合项目需求或不提供不得分。</w:t>
            </w:r>
          </w:p>
        </w:tc>
        <w:tc>
          <w:tcPr>
            <w:tcW w:w="962" w:type="dxa"/>
            <w:shd w:val="clear" w:color="auto" w:fill="auto"/>
            <w:vAlign w:val="center"/>
          </w:tcPr>
          <w:p w14:paraId="501ABAFA">
            <w:pPr>
              <w:keepNext w:val="0"/>
              <w:keepLines w:val="0"/>
              <w:pageBreakBefore w:val="0"/>
              <w:widowControl w:val="0"/>
              <w:kinsoku/>
              <w:wordWrap/>
              <w:overflowPunct/>
              <w:topLinePunct w:val="0"/>
              <w:bidi w:val="0"/>
              <w:snapToGrid/>
              <w:spacing w:line="288" w:lineRule="auto"/>
              <w:jc w:val="center"/>
              <w:textAlignment w:val="auto"/>
              <w:rPr>
                <w:rFonts w:hint="eastAsia" w:ascii="Times New Roman" w:hAnsi="Times New Roman" w:eastAsia="宋体" w:cs="宋体"/>
                <w:bCs/>
                <w:color w:val="auto"/>
                <w:sz w:val="21"/>
                <w:szCs w:val="21"/>
                <w:highlight w:val="none"/>
                <w:lang w:val="en-US" w:eastAsia="zh-CN" w:bidi="ar-SA"/>
              </w:rPr>
            </w:pPr>
            <w:r>
              <w:rPr>
                <w:rFonts w:hint="eastAsia" w:ascii="宋体" w:hAnsi="宋体" w:eastAsia="宋体" w:cs="宋体"/>
                <w:bCs/>
                <w:color w:val="auto"/>
                <w:sz w:val="24"/>
                <w:highlight w:val="none"/>
                <w:lang w:val="en-US" w:eastAsia="zh-CN"/>
              </w:rPr>
              <w:t>3分</w:t>
            </w:r>
          </w:p>
        </w:tc>
      </w:tr>
      <w:tr w14:paraId="24B4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Merge w:val="continue"/>
            <w:vAlign w:val="center"/>
          </w:tcPr>
          <w:p w14:paraId="58543FAF">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1265" w:type="dxa"/>
            <w:vMerge w:val="continue"/>
            <w:vAlign w:val="center"/>
          </w:tcPr>
          <w:p w14:paraId="13C4814B">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p>
        </w:tc>
        <w:tc>
          <w:tcPr>
            <w:tcW w:w="7723" w:type="dxa"/>
            <w:vAlign w:val="center"/>
          </w:tcPr>
          <w:p w14:paraId="2E31AE7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Cs/>
                <w:color w:val="auto"/>
                <w:sz w:val="24"/>
                <w:highlight w:val="none"/>
              </w:rPr>
            </w:pPr>
            <w:r>
              <w:rPr>
                <w:rFonts w:hint="eastAsia" w:ascii="宋体" w:hAnsi="宋体" w:eastAsia="宋体"/>
                <w:color w:val="auto"/>
                <w:sz w:val="24"/>
                <w:szCs w:val="24"/>
              </w:rPr>
              <w:t>根据额外提供的增值服务</w:t>
            </w:r>
            <w:r>
              <w:rPr>
                <w:rFonts w:hint="eastAsia" w:ascii="宋体" w:hAnsi="宋体"/>
                <w:color w:val="auto"/>
                <w:sz w:val="24"/>
                <w:szCs w:val="24"/>
                <w:lang w:val="en-US" w:eastAsia="zh-CN"/>
              </w:rPr>
              <w:t>包括</w:t>
            </w:r>
            <w:r>
              <w:rPr>
                <w:rFonts w:hint="eastAsia" w:ascii="宋体" w:hAnsi="宋体" w:eastAsia="宋体" w:cs="宋体"/>
                <w:bCs/>
                <w:color w:val="auto"/>
                <w:sz w:val="24"/>
                <w:highlight w:val="none"/>
                <w:lang w:val="en-US" w:eastAsia="zh-CN"/>
              </w:rPr>
              <w:t>服务内容、服务方式、服务保障承诺等</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579C990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①内容完整全面、科学合理、可行性强的得6分；</w:t>
            </w:r>
          </w:p>
          <w:p w14:paraId="6ED680B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②内容存在欠缺，但相对完整、基本合理的得4分；</w:t>
            </w:r>
          </w:p>
          <w:p w14:paraId="0A0D907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③内容简陋、层次模糊、操作性较差的得2分；</w:t>
            </w:r>
          </w:p>
          <w:p w14:paraId="783D9BD6">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s="宋体"/>
                <w:color w:val="auto"/>
                <w:sz w:val="24"/>
                <w:szCs w:val="24"/>
                <w:lang w:val="en-US" w:eastAsia="zh-CN"/>
              </w:rPr>
              <w:t>④</w:t>
            </w:r>
            <w:r>
              <w:rPr>
                <w:rFonts w:hint="eastAsia" w:ascii="宋体" w:hAnsi="宋体" w:eastAsia="宋体"/>
                <w:color w:val="auto"/>
                <w:sz w:val="24"/>
                <w:szCs w:val="24"/>
              </w:rPr>
              <w:t>不符合项目需求</w:t>
            </w:r>
            <w:r>
              <w:rPr>
                <w:rFonts w:hint="eastAsia" w:ascii="宋体" w:hAnsi="宋体"/>
                <w:color w:val="auto"/>
                <w:sz w:val="24"/>
                <w:szCs w:val="24"/>
                <w:lang w:val="en-US" w:eastAsia="zh-CN"/>
              </w:rPr>
              <w:t>或不提供不得分</w:t>
            </w:r>
            <w:r>
              <w:rPr>
                <w:rFonts w:hint="eastAsia" w:ascii="宋体" w:hAnsi="宋体" w:eastAsia="宋体"/>
                <w:color w:val="auto"/>
                <w:sz w:val="24"/>
                <w:szCs w:val="24"/>
              </w:rPr>
              <w:t>。</w:t>
            </w:r>
          </w:p>
        </w:tc>
        <w:tc>
          <w:tcPr>
            <w:tcW w:w="962" w:type="dxa"/>
            <w:vAlign w:val="center"/>
          </w:tcPr>
          <w:p w14:paraId="474C6CB5">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6</w:t>
            </w:r>
            <w:r>
              <w:rPr>
                <w:rFonts w:hint="eastAsia" w:ascii="宋体" w:hAnsi="宋体"/>
                <w:color w:val="auto"/>
                <w:sz w:val="24"/>
                <w:szCs w:val="24"/>
                <w:lang w:val="en-US" w:eastAsia="zh-CN"/>
              </w:rPr>
              <w:t>分</w:t>
            </w:r>
          </w:p>
        </w:tc>
      </w:tr>
      <w:tr w14:paraId="103A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72BC4F7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5</w:t>
            </w:r>
          </w:p>
        </w:tc>
        <w:tc>
          <w:tcPr>
            <w:tcW w:w="1265" w:type="dxa"/>
            <w:vAlign w:val="center"/>
          </w:tcPr>
          <w:p w14:paraId="1FB72BE9">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管理制度</w:t>
            </w:r>
          </w:p>
        </w:tc>
        <w:tc>
          <w:tcPr>
            <w:tcW w:w="7723" w:type="dxa"/>
            <w:vAlign w:val="center"/>
          </w:tcPr>
          <w:p w14:paraId="2B3414FC">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olor w:val="auto"/>
                <w:sz w:val="24"/>
                <w:szCs w:val="24"/>
              </w:rPr>
              <w:t>根据投标人提供的管理制度</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4FD543D0">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宋体"/>
                <w:snapToGrid w:val="0"/>
                <w:color w:val="auto"/>
                <w:sz w:val="24"/>
                <w:szCs w:val="24"/>
                <w:lang w:val="en-US" w:eastAsia="zh-CN"/>
              </w:rPr>
              <w:t>①</w:t>
            </w:r>
            <w:r>
              <w:rPr>
                <w:rFonts w:hint="eastAsia" w:ascii="宋体" w:hAnsi="宋体" w:eastAsia="宋体" w:cs="Times New Roman"/>
                <w:color w:val="auto"/>
                <w:sz w:val="24"/>
                <w:szCs w:val="24"/>
              </w:rPr>
              <w:t>管理制度健全，能有效保障本次服务，对服务人员有效管控的得8分</w:t>
            </w:r>
            <w:r>
              <w:rPr>
                <w:rFonts w:hint="eastAsia" w:ascii="宋体" w:hAnsi="宋体" w:eastAsia="宋体" w:cs="Times New Roman"/>
                <w:color w:val="auto"/>
                <w:sz w:val="24"/>
                <w:szCs w:val="24"/>
                <w:lang w:val="en-US" w:eastAsia="zh-CN"/>
              </w:rPr>
              <w:t>；</w:t>
            </w:r>
          </w:p>
          <w:p w14:paraId="61F0C84B">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②</w:t>
            </w:r>
            <w:r>
              <w:rPr>
                <w:rFonts w:hint="eastAsia" w:ascii="宋体" w:hAnsi="宋体" w:eastAsia="宋体" w:cs="Times New Roman"/>
                <w:color w:val="auto"/>
                <w:sz w:val="24"/>
                <w:szCs w:val="24"/>
              </w:rPr>
              <w:t>管理制度较为健全，对服务人员管控较为有效的得6分</w:t>
            </w:r>
            <w:r>
              <w:rPr>
                <w:rFonts w:hint="eastAsia" w:ascii="宋体" w:hAnsi="宋体" w:eastAsia="宋体" w:cs="Times New Roman"/>
                <w:color w:val="auto"/>
                <w:sz w:val="24"/>
                <w:szCs w:val="24"/>
                <w:lang w:val="en-US" w:eastAsia="zh-CN"/>
              </w:rPr>
              <w:t>；</w:t>
            </w:r>
          </w:p>
          <w:p w14:paraId="0EC098EA">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③</w:t>
            </w:r>
            <w:r>
              <w:rPr>
                <w:rFonts w:hint="eastAsia" w:ascii="宋体" w:hAnsi="宋体" w:eastAsia="宋体" w:cs="Times New Roman"/>
                <w:color w:val="auto"/>
                <w:sz w:val="24"/>
                <w:szCs w:val="24"/>
              </w:rPr>
              <w:t>管理制度及对服务人员管控一般、不够健全，需进一步完善的得3分</w:t>
            </w:r>
            <w:r>
              <w:rPr>
                <w:rFonts w:hint="eastAsia" w:ascii="宋体" w:hAnsi="宋体" w:eastAsia="宋体" w:cs="Times New Roman"/>
                <w:color w:val="auto"/>
                <w:sz w:val="24"/>
                <w:szCs w:val="24"/>
                <w:lang w:val="en-US" w:eastAsia="zh-CN"/>
              </w:rPr>
              <w:t>；</w:t>
            </w:r>
          </w:p>
          <w:p w14:paraId="6606D677">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s="Times New Roman"/>
                <w:color w:val="auto"/>
                <w:sz w:val="24"/>
                <w:szCs w:val="24"/>
                <w:lang w:val="en-US" w:eastAsia="zh-CN"/>
              </w:rPr>
              <w:t>④</w:t>
            </w:r>
            <w:r>
              <w:rPr>
                <w:rFonts w:hint="eastAsia" w:ascii="宋体" w:hAnsi="宋体" w:eastAsia="宋体" w:cs="Times New Roman"/>
                <w:color w:val="auto"/>
                <w:sz w:val="24"/>
                <w:szCs w:val="24"/>
              </w:rPr>
              <w:t>不符合项目需求</w:t>
            </w:r>
            <w:r>
              <w:rPr>
                <w:rFonts w:hint="eastAsia" w:ascii="宋体" w:hAnsi="宋体" w:eastAsia="宋体" w:cs="Times New Roman"/>
                <w:color w:val="auto"/>
                <w:sz w:val="24"/>
                <w:szCs w:val="24"/>
                <w:lang w:val="en-US" w:eastAsia="zh-CN"/>
              </w:rPr>
              <w:t>或不提供不得分</w:t>
            </w:r>
            <w:r>
              <w:rPr>
                <w:rFonts w:hint="eastAsia" w:ascii="宋体" w:hAnsi="宋体" w:eastAsia="宋体" w:cs="Times New Roman"/>
                <w:color w:val="auto"/>
                <w:sz w:val="24"/>
                <w:szCs w:val="24"/>
              </w:rPr>
              <w:t>。</w:t>
            </w:r>
          </w:p>
        </w:tc>
        <w:tc>
          <w:tcPr>
            <w:tcW w:w="962" w:type="dxa"/>
            <w:vAlign w:val="center"/>
          </w:tcPr>
          <w:p w14:paraId="44D6A2A7">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8</w:t>
            </w:r>
            <w:r>
              <w:rPr>
                <w:rFonts w:hint="eastAsia" w:ascii="宋体" w:hAnsi="宋体"/>
                <w:color w:val="auto"/>
                <w:sz w:val="24"/>
                <w:szCs w:val="24"/>
                <w:lang w:val="en-US" w:eastAsia="zh-CN"/>
              </w:rPr>
              <w:t>分</w:t>
            </w:r>
          </w:p>
        </w:tc>
      </w:tr>
      <w:tr w14:paraId="400C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774181D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6</w:t>
            </w:r>
          </w:p>
        </w:tc>
        <w:tc>
          <w:tcPr>
            <w:tcW w:w="1265" w:type="dxa"/>
            <w:vAlign w:val="center"/>
          </w:tcPr>
          <w:p w14:paraId="7D391977">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售后服务方案</w:t>
            </w:r>
          </w:p>
        </w:tc>
        <w:tc>
          <w:tcPr>
            <w:tcW w:w="7723" w:type="dxa"/>
            <w:vAlign w:val="center"/>
          </w:tcPr>
          <w:p w14:paraId="409CEB91">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eastAsia="宋体"/>
                <w:color w:val="auto"/>
                <w:sz w:val="24"/>
                <w:szCs w:val="24"/>
              </w:rPr>
              <w:t>根据投标人提供的</w:t>
            </w:r>
            <w:bookmarkStart w:id="15" w:name="_Hlk82960089"/>
            <w:r>
              <w:rPr>
                <w:rFonts w:hint="eastAsia" w:ascii="宋体" w:hAnsi="宋体" w:eastAsia="宋体"/>
                <w:color w:val="auto"/>
                <w:sz w:val="24"/>
                <w:szCs w:val="24"/>
              </w:rPr>
              <w:t>售后服务方案</w:t>
            </w:r>
            <w:bookmarkEnd w:id="15"/>
            <w:r>
              <w:rPr>
                <w:rFonts w:hint="eastAsia" w:ascii="宋体" w:hAnsi="宋体" w:eastAsia="宋体"/>
                <w:color w:val="auto"/>
                <w:sz w:val="24"/>
                <w:szCs w:val="24"/>
              </w:rPr>
              <w:t>、服务响应时间、配套服务等情况</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1DD3A6B5">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①</w:t>
            </w:r>
            <w:r>
              <w:rPr>
                <w:rFonts w:hint="eastAsia" w:ascii="宋体" w:hAnsi="宋体" w:eastAsia="宋体"/>
                <w:color w:val="auto"/>
                <w:sz w:val="24"/>
                <w:szCs w:val="24"/>
              </w:rPr>
              <w:t>服务体系完善、响应迅速，</w:t>
            </w:r>
            <w:r>
              <w:rPr>
                <w:rFonts w:hint="eastAsia" w:ascii="宋体" w:hAnsi="宋体" w:eastAsia="宋体"/>
                <w:color w:val="auto"/>
                <w:sz w:val="24"/>
                <w:szCs w:val="24"/>
                <w:lang w:val="en-US" w:eastAsia="zh-CN"/>
              </w:rPr>
              <w:t>必须现场处理的，能立即响应，</w:t>
            </w:r>
            <w:r>
              <w:rPr>
                <w:rFonts w:hint="eastAsia" w:ascii="宋体" w:hAnsi="宋体" w:eastAsia="宋体"/>
                <w:color w:val="auto"/>
                <w:sz w:val="24"/>
                <w:szCs w:val="24"/>
              </w:rPr>
              <w:t>问题处理方式科学合理，配套服务优越的得</w:t>
            </w:r>
            <w:r>
              <w:rPr>
                <w:rFonts w:hint="eastAsia" w:ascii="宋体" w:hAnsi="宋体" w:eastAsia="宋体"/>
                <w:color w:val="auto"/>
                <w:sz w:val="24"/>
                <w:szCs w:val="24"/>
                <w:lang w:val="en-US" w:eastAsia="zh-CN"/>
              </w:rPr>
              <w:t>8</w:t>
            </w:r>
            <w:r>
              <w:rPr>
                <w:rFonts w:hint="eastAsia" w:ascii="宋体" w:hAnsi="宋体" w:eastAsia="宋体"/>
                <w:color w:val="auto"/>
                <w:sz w:val="24"/>
                <w:szCs w:val="24"/>
              </w:rPr>
              <w:t>分；</w:t>
            </w:r>
          </w:p>
          <w:p w14:paraId="02D3F5FE">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②</w:t>
            </w:r>
            <w:r>
              <w:rPr>
                <w:rFonts w:hint="eastAsia" w:ascii="宋体" w:hAnsi="宋体" w:eastAsia="宋体"/>
                <w:color w:val="auto"/>
                <w:sz w:val="24"/>
                <w:szCs w:val="24"/>
              </w:rPr>
              <w:t>服务体系较好、响应较快、，</w:t>
            </w:r>
            <w:r>
              <w:rPr>
                <w:rFonts w:hint="eastAsia" w:ascii="宋体" w:hAnsi="宋体" w:eastAsia="宋体"/>
                <w:color w:val="auto"/>
                <w:sz w:val="24"/>
                <w:szCs w:val="24"/>
                <w:lang w:val="en-US" w:eastAsia="zh-CN"/>
              </w:rPr>
              <w:t>必须现场处理的，响应一般，</w:t>
            </w:r>
            <w:r>
              <w:rPr>
                <w:rFonts w:hint="eastAsia" w:ascii="宋体" w:hAnsi="宋体" w:eastAsia="宋体"/>
                <w:color w:val="auto"/>
                <w:sz w:val="24"/>
                <w:szCs w:val="24"/>
              </w:rPr>
              <w:t>问题处理方式基本合理，配套服务较优越的得</w:t>
            </w:r>
            <w:r>
              <w:rPr>
                <w:rFonts w:ascii="宋体" w:hAnsi="宋体" w:eastAsia="宋体"/>
                <w:color w:val="auto"/>
                <w:sz w:val="24"/>
                <w:szCs w:val="24"/>
              </w:rPr>
              <w:t>6</w:t>
            </w:r>
            <w:r>
              <w:rPr>
                <w:rFonts w:hint="eastAsia" w:ascii="宋体" w:hAnsi="宋体" w:eastAsia="宋体"/>
                <w:color w:val="auto"/>
                <w:sz w:val="24"/>
                <w:szCs w:val="24"/>
              </w:rPr>
              <w:t>分；</w:t>
            </w:r>
          </w:p>
          <w:p w14:paraId="134FB3C1">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③</w:t>
            </w:r>
            <w:r>
              <w:rPr>
                <w:rFonts w:hint="eastAsia" w:ascii="宋体" w:hAnsi="宋体" w:eastAsia="宋体"/>
                <w:color w:val="auto"/>
                <w:sz w:val="24"/>
                <w:szCs w:val="24"/>
              </w:rPr>
              <w:t>服务体系、响应速度、</w:t>
            </w:r>
            <w:r>
              <w:rPr>
                <w:rFonts w:hint="eastAsia" w:ascii="宋体" w:hAnsi="宋体" w:eastAsia="宋体"/>
                <w:color w:val="auto"/>
                <w:sz w:val="24"/>
                <w:szCs w:val="24"/>
                <w:lang w:val="en-US" w:eastAsia="zh-CN"/>
              </w:rPr>
              <w:t>必须现场处理的，</w:t>
            </w:r>
            <w:r>
              <w:rPr>
                <w:rFonts w:hint="eastAsia" w:ascii="宋体" w:hAnsi="宋体" w:eastAsia="宋体"/>
                <w:color w:val="auto"/>
                <w:sz w:val="24"/>
                <w:szCs w:val="24"/>
              </w:rPr>
              <w:t>问题处理方式、配套服务不能很好符合项目实际开展的得3分；</w:t>
            </w:r>
          </w:p>
          <w:p w14:paraId="454859DD">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olor w:val="auto"/>
                <w:sz w:val="24"/>
                <w:szCs w:val="24"/>
                <w:lang w:val="en-US" w:eastAsia="zh-CN"/>
              </w:rPr>
              <w:t>④</w:t>
            </w:r>
            <w:r>
              <w:rPr>
                <w:rFonts w:hint="eastAsia" w:ascii="宋体" w:hAnsi="宋体" w:eastAsia="宋体" w:cs="Times New Roman"/>
                <w:color w:val="auto"/>
                <w:sz w:val="24"/>
                <w:szCs w:val="24"/>
              </w:rPr>
              <w:t>不符合项目需求</w:t>
            </w:r>
            <w:r>
              <w:rPr>
                <w:rFonts w:hint="eastAsia" w:ascii="宋体" w:hAnsi="宋体" w:eastAsia="宋体" w:cs="Times New Roman"/>
                <w:color w:val="auto"/>
                <w:sz w:val="24"/>
                <w:szCs w:val="24"/>
                <w:lang w:val="en-US" w:eastAsia="zh-CN"/>
              </w:rPr>
              <w:t>或不提供不得分</w:t>
            </w:r>
            <w:r>
              <w:rPr>
                <w:rFonts w:hint="eastAsia" w:ascii="宋体" w:hAnsi="宋体" w:eastAsia="宋体" w:cs="Times New Roman"/>
                <w:color w:val="auto"/>
                <w:sz w:val="24"/>
                <w:szCs w:val="24"/>
              </w:rPr>
              <w:t>。</w:t>
            </w:r>
          </w:p>
        </w:tc>
        <w:tc>
          <w:tcPr>
            <w:tcW w:w="962" w:type="dxa"/>
            <w:vAlign w:val="center"/>
          </w:tcPr>
          <w:p w14:paraId="2B12BC2D">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8</w:t>
            </w:r>
            <w:r>
              <w:rPr>
                <w:rFonts w:hint="eastAsia" w:ascii="宋体" w:hAnsi="宋体"/>
                <w:color w:val="auto"/>
                <w:sz w:val="24"/>
                <w:szCs w:val="24"/>
                <w:lang w:val="en-US" w:eastAsia="zh-CN"/>
              </w:rPr>
              <w:t>分</w:t>
            </w:r>
          </w:p>
        </w:tc>
      </w:tr>
      <w:tr w14:paraId="553E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78348085">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7</w:t>
            </w:r>
          </w:p>
        </w:tc>
        <w:tc>
          <w:tcPr>
            <w:tcW w:w="1265" w:type="dxa"/>
            <w:vAlign w:val="center"/>
          </w:tcPr>
          <w:p w14:paraId="6BD6AC9B">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应急保障预案</w:t>
            </w:r>
          </w:p>
        </w:tc>
        <w:tc>
          <w:tcPr>
            <w:tcW w:w="7723" w:type="dxa"/>
            <w:vAlign w:val="center"/>
          </w:tcPr>
          <w:p w14:paraId="22C5447F">
            <w:pPr>
              <w:keepNext w:val="0"/>
              <w:keepLines w:val="0"/>
              <w:pageBreakBefore w:val="0"/>
              <w:widowControl w:val="0"/>
              <w:kinsoku/>
              <w:wordWrap/>
              <w:overflowPunct/>
              <w:topLinePunct w:val="0"/>
              <w:bidi w:val="0"/>
              <w:snapToGrid/>
              <w:spacing w:line="240" w:lineRule="auto"/>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根据投标人提供的突发事件（自然灾害、疾病、交通状况）的应急保障预案情况</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7776F3B2">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①</w:t>
            </w:r>
            <w:r>
              <w:rPr>
                <w:rFonts w:hint="eastAsia" w:ascii="宋体" w:hAnsi="宋体" w:eastAsia="宋体"/>
                <w:color w:val="auto"/>
                <w:sz w:val="24"/>
                <w:szCs w:val="24"/>
              </w:rPr>
              <w:t>预案内容完善、措施得力、可行性高的得</w:t>
            </w:r>
            <w:r>
              <w:rPr>
                <w:rFonts w:hint="eastAsia" w:ascii="宋体" w:hAnsi="宋体" w:eastAsia="宋体"/>
                <w:color w:val="auto"/>
                <w:sz w:val="24"/>
                <w:szCs w:val="24"/>
                <w:lang w:val="en-US" w:eastAsia="zh-CN"/>
              </w:rPr>
              <w:t>8</w:t>
            </w:r>
            <w:r>
              <w:rPr>
                <w:rFonts w:hint="eastAsia" w:ascii="宋体" w:hAnsi="宋体" w:eastAsia="宋体"/>
                <w:color w:val="auto"/>
                <w:sz w:val="24"/>
                <w:szCs w:val="24"/>
              </w:rPr>
              <w:t>分；</w:t>
            </w:r>
          </w:p>
          <w:p w14:paraId="3113D67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②</w:t>
            </w:r>
            <w:r>
              <w:rPr>
                <w:rFonts w:hint="eastAsia" w:ascii="宋体" w:hAnsi="宋体" w:eastAsia="宋体"/>
                <w:color w:val="auto"/>
                <w:sz w:val="24"/>
                <w:szCs w:val="24"/>
              </w:rPr>
              <w:t>预案内容较完善、措施适当的得</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分；</w:t>
            </w:r>
          </w:p>
          <w:p w14:paraId="53BB07D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③</w:t>
            </w:r>
            <w:r>
              <w:rPr>
                <w:rFonts w:hint="eastAsia" w:ascii="宋体" w:hAnsi="宋体" w:eastAsia="宋体"/>
                <w:color w:val="auto"/>
                <w:sz w:val="24"/>
                <w:szCs w:val="24"/>
              </w:rPr>
              <w:t>预案内容不完善、措施可行性弱的得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p w14:paraId="2A68C50A">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olor w:val="auto"/>
                <w:sz w:val="24"/>
                <w:szCs w:val="24"/>
                <w:lang w:val="en-US" w:eastAsia="zh-CN"/>
              </w:rPr>
              <w:t>④</w:t>
            </w:r>
            <w:r>
              <w:rPr>
                <w:rFonts w:hint="eastAsia" w:ascii="宋体" w:hAnsi="宋体" w:eastAsia="宋体" w:cs="Times New Roman"/>
                <w:color w:val="auto"/>
                <w:sz w:val="24"/>
                <w:szCs w:val="24"/>
              </w:rPr>
              <w:t>不符合项目需求</w:t>
            </w:r>
            <w:r>
              <w:rPr>
                <w:rFonts w:hint="eastAsia" w:ascii="宋体" w:hAnsi="宋体" w:eastAsia="宋体" w:cs="Times New Roman"/>
                <w:color w:val="auto"/>
                <w:sz w:val="24"/>
                <w:szCs w:val="24"/>
                <w:lang w:val="en-US" w:eastAsia="zh-CN"/>
              </w:rPr>
              <w:t>或不提供不得分</w:t>
            </w:r>
            <w:r>
              <w:rPr>
                <w:rFonts w:hint="eastAsia" w:ascii="宋体" w:hAnsi="宋体" w:eastAsia="宋体" w:cs="Times New Roman"/>
                <w:color w:val="auto"/>
                <w:sz w:val="24"/>
                <w:szCs w:val="24"/>
              </w:rPr>
              <w:t>。</w:t>
            </w:r>
          </w:p>
        </w:tc>
        <w:tc>
          <w:tcPr>
            <w:tcW w:w="962" w:type="dxa"/>
            <w:vAlign w:val="center"/>
          </w:tcPr>
          <w:p w14:paraId="64820DAE">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color w:val="auto"/>
                <w:sz w:val="24"/>
                <w:szCs w:val="24"/>
              </w:rPr>
            </w:pPr>
            <w:r>
              <w:rPr>
                <w:rFonts w:hint="eastAsia" w:ascii="宋体" w:hAnsi="宋体" w:eastAsia="宋体"/>
                <w:color w:val="auto"/>
                <w:sz w:val="24"/>
                <w:szCs w:val="24"/>
              </w:rPr>
              <w:t>8</w:t>
            </w:r>
            <w:r>
              <w:rPr>
                <w:rFonts w:hint="eastAsia" w:ascii="宋体" w:hAnsi="宋体"/>
                <w:color w:val="auto"/>
                <w:sz w:val="24"/>
                <w:szCs w:val="24"/>
                <w:lang w:val="en-US" w:eastAsia="zh-CN"/>
              </w:rPr>
              <w:t>分</w:t>
            </w:r>
          </w:p>
        </w:tc>
      </w:tr>
      <w:tr w14:paraId="6067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46F79ECE">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8</w:t>
            </w:r>
          </w:p>
        </w:tc>
        <w:tc>
          <w:tcPr>
            <w:tcW w:w="1265" w:type="dxa"/>
            <w:vAlign w:val="center"/>
          </w:tcPr>
          <w:p w14:paraId="179D70A5">
            <w:pPr>
              <w:keepNext w:val="0"/>
              <w:keepLines w:val="0"/>
              <w:pageBreakBefore w:val="0"/>
              <w:widowControl w:val="0"/>
              <w:kinsoku/>
              <w:wordWrap/>
              <w:overflowPunct/>
              <w:topLinePunct w:val="0"/>
              <w:bidi w:val="0"/>
              <w:snapToGrid/>
              <w:spacing w:line="288" w:lineRule="auto"/>
              <w:jc w:val="center"/>
              <w:textAlignment w:val="auto"/>
              <w:rPr>
                <w:rFonts w:ascii="宋体" w:hAnsi="宋体" w:eastAsia="宋体"/>
                <w:b/>
                <w:bCs/>
                <w:color w:val="auto"/>
                <w:sz w:val="24"/>
                <w:szCs w:val="24"/>
              </w:rPr>
            </w:pPr>
            <w:r>
              <w:rPr>
                <w:rFonts w:hint="eastAsia" w:ascii="宋体" w:hAnsi="宋体" w:eastAsia="宋体"/>
                <w:b/>
                <w:bCs/>
                <w:color w:val="auto"/>
                <w:sz w:val="24"/>
                <w:szCs w:val="24"/>
              </w:rPr>
              <w:t>安全及服务质量保障措施</w:t>
            </w:r>
          </w:p>
        </w:tc>
        <w:tc>
          <w:tcPr>
            <w:tcW w:w="7723" w:type="dxa"/>
            <w:vAlign w:val="center"/>
          </w:tcPr>
          <w:p w14:paraId="5BF708AE">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eastAsia="宋体"/>
                <w:color w:val="auto"/>
                <w:sz w:val="24"/>
                <w:szCs w:val="24"/>
              </w:rPr>
              <w:t>投标人针对疗休养安全及服务质量保证措施</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rPr>
              <w:t>打分</w:t>
            </w:r>
            <w:r>
              <w:rPr>
                <w:rFonts w:hint="eastAsia" w:ascii="宋体" w:hAnsi="宋体" w:cs="宋体"/>
                <w:color w:val="auto"/>
                <w:sz w:val="24"/>
                <w:szCs w:val="24"/>
                <w:highlight w:val="none"/>
                <w:lang w:val="zh-CN"/>
              </w:rPr>
              <w:t>：</w:t>
            </w:r>
          </w:p>
          <w:p w14:paraId="15AEB9B4">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①</w:t>
            </w:r>
            <w:r>
              <w:rPr>
                <w:rFonts w:hint="eastAsia" w:ascii="宋体" w:hAnsi="宋体" w:eastAsia="宋体"/>
                <w:color w:val="auto"/>
                <w:sz w:val="24"/>
                <w:szCs w:val="24"/>
              </w:rPr>
              <w:t>措施内容完整合理且满足项目需求的，得</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分；</w:t>
            </w:r>
          </w:p>
          <w:p w14:paraId="27FA9B76">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②</w:t>
            </w:r>
            <w:r>
              <w:rPr>
                <w:rFonts w:hint="eastAsia" w:ascii="宋体" w:hAnsi="宋体" w:eastAsia="宋体"/>
                <w:color w:val="auto"/>
                <w:sz w:val="24"/>
                <w:szCs w:val="24"/>
              </w:rPr>
              <w:t>措施内容符合项目需求但存在不足之处，总体较完整合理的，得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w:t>
            </w:r>
          </w:p>
          <w:p w14:paraId="5DC6C54C">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rPr>
            </w:pPr>
            <w:r>
              <w:rPr>
                <w:rFonts w:hint="eastAsia" w:ascii="宋体" w:hAnsi="宋体"/>
                <w:color w:val="auto"/>
                <w:sz w:val="24"/>
                <w:szCs w:val="24"/>
                <w:lang w:val="en-US" w:eastAsia="zh-CN"/>
              </w:rPr>
              <w:t>③</w:t>
            </w:r>
            <w:r>
              <w:rPr>
                <w:rFonts w:hint="eastAsia" w:ascii="宋体" w:hAnsi="宋体" w:eastAsia="宋体"/>
                <w:color w:val="auto"/>
                <w:sz w:val="24"/>
                <w:szCs w:val="24"/>
              </w:rPr>
              <w:t>措施内容不全、欠缺合理性，总体与项目需求切合度较差的，得</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w:t>
            </w:r>
          </w:p>
          <w:p w14:paraId="54BECC4B">
            <w:pPr>
              <w:keepNext w:val="0"/>
              <w:keepLines w:val="0"/>
              <w:pageBreakBefore w:val="0"/>
              <w:widowControl w:val="0"/>
              <w:kinsoku/>
              <w:wordWrap/>
              <w:overflowPunct/>
              <w:topLinePunct w:val="0"/>
              <w:bidi w:val="0"/>
              <w:snapToGrid/>
              <w:spacing w:line="240" w:lineRule="auto"/>
              <w:textAlignment w:val="auto"/>
              <w:rPr>
                <w:rFonts w:ascii="宋体" w:hAnsi="宋体" w:eastAsia="宋体"/>
                <w:color w:val="auto"/>
                <w:sz w:val="24"/>
                <w:szCs w:val="24"/>
              </w:rPr>
            </w:pPr>
            <w:r>
              <w:rPr>
                <w:rFonts w:hint="eastAsia" w:ascii="宋体" w:hAnsi="宋体"/>
                <w:color w:val="auto"/>
                <w:sz w:val="24"/>
                <w:szCs w:val="24"/>
                <w:lang w:val="en-US" w:eastAsia="zh-CN"/>
              </w:rPr>
              <w:t>④</w:t>
            </w:r>
            <w:r>
              <w:rPr>
                <w:rFonts w:hint="eastAsia" w:ascii="宋体" w:hAnsi="宋体" w:eastAsia="宋体" w:cs="Times New Roman"/>
                <w:color w:val="auto"/>
                <w:sz w:val="24"/>
                <w:szCs w:val="24"/>
              </w:rPr>
              <w:t>不符合项目需求</w:t>
            </w:r>
            <w:r>
              <w:rPr>
                <w:rFonts w:hint="eastAsia" w:ascii="宋体" w:hAnsi="宋体" w:eastAsia="宋体" w:cs="Times New Roman"/>
                <w:color w:val="auto"/>
                <w:sz w:val="24"/>
                <w:szCs w:val="24"/>
                <w:lang w:val="en-US" w:eastAsia="zh-CN"/>
              </w:rPr>
              <w:t>或不提供不得分</w:t>
            </w:r>
            <w:r>
              <w:rPr>
                <w:rFonts w:hint="eastAsia" w:ascii="宋体" w:hAnsi="宋体" w:eastAsia="宋体" w:cs="Times New Roman"/>
                <w:color w:val="auto"/>
                <w:sz w:val="24"/>
                <w:szCs w:val="24"/>
              </w:rPr>
              <w:t>。</w:t>
            </w:r>
          </w:p>
        </w:tc>
        <w:tc>
          <w:tcPr>
            <w:tcW w:w="962" w:type="dxa"/>
            <w:vAlign w:val="center"/>
          </w:tcPr>
          <w:p w14:paraId="3DE8EA34">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6</w:t>
            </w:r>
            <w:r>
              <w:rPr>
                <w:rFonts w:hint="eastAsia" w:ascii="宋体" w:hAnsi="宋体"/>
                <w:color w:val="auto"/>
                <w:sz w:val="24"/>
                <w:szCs w:val="24"/>
                <w:lang w:val="en-US" w:eastAsia="zh-CN"/>
              </w:rPr>
              <w:t>分</w:t>
            </w:r>
          </w:p>
        </w:tc>
      </w:tr>
      <w:tr w14:paraId="72C8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dxa"/>
            <w:vAlign w:val="center"/>
          </w:tcPr>
          <w:p w14:paraId="6F56982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9</w:t>
            </w:r>
          </w:p>
        </w:tc>
        <w:tc>
          <w:tcPr>
            <w:tcW w:w="1265" w:type="dxa"/>
            <w:vAlign w:val="center"/>
          </w:tcPr>
          <w:p w14:paraId="6A8E2A97">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b/>
                <w:bCs/>
                <w:color w:val="auto"/>
                <w:sz w:val="24"/>
                <w:szCs w:val="24"/>
                <w:lang w:val="en-US" w:eastAsia="zh-CN"/>
              </w:rPr>
            </w:pPr>
            <w:r>
              <w:rPr>
                <w:rFonts w:hint="eastAsia" w:ascii="宋体" w:hAnsi="宋体" w:eastAsia="宋体" w:cs="宋体"/>
                <w:b/>
                <w:bCs/>
                <w:snapToGrid w:val="0"/>
                <w:color w:val="auto"/>
                <w:kern w:val="0"/>
                <w:sz w:val="24"/>
                <w:szCs w:val="24"/>
                <w:highlight w:val="none"/>
              </w:rPr>
              <w:t>保险理赔</w:t>
            </w:r>
          </w:p>
        </w:tc>
        <w:tc>
          <w:tcPr>
            <w:tcW w:w="7723" w:type="dxa"/>
            <w:vAlign w:val="center"/>
          </w:tcPr>
          <w:p w14:paraId="1E00B811">
            <w:pPr>
              <w:keepNext w:val="0"/>
              <w:keepLines w:val="0"/>
              <w:pageBreakBefore w:val="0"/>
              <w:widowControl w:val="0"/>
              <w:kinsoku/>
              <w:wordWrap/>
              <w:overflowPunct/>
              <w:topLinePunct w:val="0"/>
              <w:bidi w:val="0"/>
              <w:snapToGrid/>
              <w:spacing w:line="240" w:lineRule="auto"/>
              <w:jc w:val="both"/>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根据投标人提供的旅行社责任险的额度</w:t>
            </w:r>
            <w:r>
              <w:rPr>
                <w:rFonts w:hint="eastAsia" w:ascii="宋体" w:hAnsi="宋体" w:eastAsia="宋体" w:cs="宋体"/>
                <w:color w:val="auto"/>
                <w:kern w:val="21"/>
                <w:sz w:val="24"/>
                <w:szCs w:val="24"/>
                <w:highlight w:val="none"/>
                <w:lang w:val="en-US" w:eastAsia="zh-CN"/>
              </w:rPr>
              <w:t>进行打分</w:t>
            </w:r>
            <w:r>
              <w:rPr>
                <w:rFonts w:hint="eastAsia" w:ascii="宋体" w:hAnsi="宋体" w:eastAsia="宋体" w:cs="宋体"/>
                <w:color w:val="auto"/>
                <w:kern w:val="21"/>
                <w:sz w:val="24"/>
                <w:szCs w:val="24"/>
                <w:highlight w:val="none"/>
              </w:rPr>
              <w:t>，旅行社责任险</w:t>
            </w:r>
            <w:r>
              <w:rPr>
                <w:rFonts w:hint="eastAsia" w:ascii="宋体" w:hAnsi="宋体" w:eastAsia="宋体" w:cs="宋体"/>
                <w:color w:val="auto"/>
                <w:kern w:val="21"/>
                <w:sz w:val="24"/>
                <w:szCs w:val="24"/>
                <w:highlight w:val="none"/>
                <w:lang w:val="en-US" w:eastAsia="zh-CN"/>
              </w:rPr>
              <w:t>基础额度为人民币</w:t>
            </w:r>
            <w:r>
              <w:rPr>
                <w:rFonts w:hint="eastAsia" w:ascii="宋体" w:hAnsi="宋体" w:eastAsia="宋体" w:cs="宋体"/>
                <w:color w:val="auto"/>
                <w:kern w:val="21"/>
                <w:sz w:val="24"/>
                <w:szCs w:val="24"/>
                <w:highlight w:val="none"/>
              </w:rPr>
              <w:t>100万</w:t>
            </w:r>
            <w:r>
              <w:rPr>
                <w:rFonts w:hint="eastAsia" w:ascii="宋体" w:hAnsi="宋体" w:eastAsia="宋体" w:cs="宋体"/>
                <w:color w:val="auto"/>
                <w:kern w:val="21"/>
                <w:sz w:val="24"/>
                <w:szCs w:val="24"/>
                <w:highlight w:val="none"/>
                <w:lang w:val="en-US" w:eastAsia="zh-CN"/>
              </w:rPr>
              <w:t>元</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在此基础上</w:t>
            </w:r>
            <w:r>
              <w:rPr>
                <w:rFonts w:hint="eastAsia" w:ascii="宋体" w:hAnsi="宋体" w:eastAsia="宋体" w:cs="宋体"/>
                <w:color w:val="auto"/>
                <w:kern w:val="21"/>
                <w:sz w:val="24"/>
                <w:szCs w:val="24"/>
                <w:highlight w:val="none"/>
              </w:rPr>
              <w:t>每</w:t>
            </w:r>
            <w:r>
              <w:rPr>
                <w:rFonts w:hint="eastAsia" w:ascii="宋体" w:hAnsi="宋体" w:eastAsia="宋体" w:cs="宋体"/>
                <w:color w:val="auto"/>
                <w:kern w:val="21"/>
                <w:sz w:val="24"/>
                <w:szCs w:val="24"/>
                <w:highlight w:val="none"/>
                <w:lang w:val="en-US" w:eastAsia="zh-CN"/>
              </w:rPr>
              <w:t>增加</w:t>
            </w:r>
            <w:r>
              <w:rPr>
                <w:rFonts w:hint="eastAsia" w:ascii="宋体" w:hAnsi="宋体" w:eastAsia="宋体" w:cs="宋体"/>
                <w:color w:val="auto"/>
                <w:kern w:val="21"/>
                <w:sz w:val="24"/>
                <w:szCs w:val="24"/>
                <w:highlight w:val="none"/>
              </w:rPr>
              <w:t>10万</w:t>
            </w:r>
            <w:r>
              <w:rPr>
                <w:rFonts w:hint="eastAsia" w:ascii="宋体" w:hAnsi="宋体" w:eastAsia="宋体" w:cs="宋体"/>
                <w:color w:val="auto"/>
                <w:kern w:val="21"/>
                <w:sz w:val="24"/>
                <w:szCs w:val="24"/>
                <w:highlight w:val="none"/>
                <w:lang w:val="en-US" w:eastAsia="zh-CN"/>
              </w:rPr>
              <w:t>元加1</w:t>
            </w:r>
            <w:r>
              <w:rPr>
                <w:rFonts w:hint="eastAsia" w:ascii="宋体" w:hAnsi="宋体" w:eastAsia="宋体" w:cs="宋体"/>
                <w:color w:val="auto"/>
                <w:kern w:val="21"/>
                <w:sz w:val="24"/>
                <w:szCs w:val="24"/>
                <w:highlight w:val="none"/>
              </w:rPr>
              <w:t>分，最高得</w:t>
            </w: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分。</w:t>
            </w:r>
          </w:p>
          <w:p w14:paraId="0DB9B057">
            <w:pPr>
              <w:keepNext w:val="0"/>
              <w:keepLines w:val="0"/>
              <w:pageBreakBefore w:val="0"/>
              <w:widowControl w:val="0"/>
              <w:kinsoku/>
              <w:wordWrap/>
              <w:overflowPunct/>
              <w:topLinePunct w:val="0"/>
              <w:bidi w:val="0"/>
              <w:snapToGrid/>
              <w:spacing w:line="240" w:lineRule="auto"/>
              <w:jc w:val="left"/>
              <w:textAlignment w:val="auto"/>
              <w:rPr>
                <w:color w:val="auto"/>
              </w:rPr>
            </w:pPr>
            <w:r>
              <w:rPr>
                <w:rFonts w:hint="eastAsia" w:ascii="宋体" w:hAnsi="宋体" w:eastAsia="宋体" w:cs="宋体"/>
                <w:b/>
                <w:bCs/>
                <w:snapToGrid w:val="0"/>
                <w:color w:val="auto"/>
                <w:kern w:val="0"/>
                <w:sz w:val="24"/>
                <w:szCs w:val="24"/>
                <w:highlight w:val="none"/>
                <w:lang w:val="en-US" w:eastAsia="zh-CN"/>
              </w:rPr>
              <w:t>注：技术文件中</w:t>
            </w:r>
            <w:r>
              <w:rPr>
                <w:rFonts w:hint="eastAsia" w:ascii="宋体" w:hAnsi="宋体" w:eastAsia="宋体" w:cs="宋体"/>
                <w:b/>
                <w:bCs/>
                <w:snapToGrid w:val="0"/>
                <w:color w:val="auto"/>
                <w:kern w:val="0"/>
                <w:sz w:val="24"/>
                <w:szCs w:val="24"/>
                <w:highlight w:val="none"/>
              </w:rPr>
              <w:t>提供保单等相关证明材料并加盖投标人公章，不提供不得分</w:t>
            </w:r>
            <w:r>
              <w:rPr>
                <w:rFonts w:hint="eastAsia" w:ascii="宋体" w:hAnsi="宋体" w:eastAsia="宋体" w:cs="宋体"/>
                <w:b/>
                <w:bCs/>
                <w:snapToGrid w:val="0"/>
                <w:color w:val="auto"/>
                <w:kern w:val="0"/>
                <w:sz w:val="24"/>
                <w:szCs w:val="24"/>
                <w:highlight w:val="none"/>
                <w:lang w:eastAsia="zh-CN"/>
              </w:rPr>
              <w:t>。</w:t>
            </w:r>
          </w:p>
        </w:tc>
        <w:tc>
          <w:tcPr>
            <w:tcW w:w="962" w:type="dxa"/>
            <w:vAlign w:val="center"/>
          </w:tcPr>
          <w:p w14:paraId="2FCE32E4">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olor w:val="auto"/>
                <w:sz w:val="24"/>
                <w:szCs w:val="24"/>
                <w:lang w:val="en-US" w:eastAsia="zh-CN"/>
              </w:rPr>
            </w:pPr>
            <w:r>
              <w:rPr>
                <w:rFonts w:hint="eastAsia" w:ascii="宋体" w:hAnsi="宋体" w:eastAsia="宋体"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rPr>
              <w:t>分</w:t>
            </w:r>
          </w:p>
        </w:tc>
      </w:tr>
    </w:tbl>
    <w:p w14:paraId="59183069">
      <w:pPr>
        <w:spacing w:line="36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本次评审通过资格审查和符合性评审的单位全部入围进行商务评审。</w:t>
      </w:r>
    </w:p>
    <w:p w14:paraId="381E9110">
      <w:pPr>
        <w:spacing w:line="360" w:lineRule="exact"/>
        <w:ind w:firstLine="482" w:firstLineChars="200"/>
        <w:jc w:val="left"/>
        <w:rPr>
          <w:rFonts w:hint="eastAsia" w:ascii="宋体" w:hAnsi="宋体" w:eastAsia="宋体" w:cs="宋体"/>
          <w:b/>
          <w:color w:val="auto"/>
          <w:sz w:val="24"/>
          <w:szCs w:val="24"/>
          <w:highlight w:val="none"/>
        </w:rPr>
      </w:pPr>
    </w:p>
    <w:p w14:paraId="1BEFB49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44"/>
          <w:szCs w:val="44"/>
          <w:highlight w:val="none"/>
          <w:u w:val="none"/>
        </w:rPr>
      </w:pPr>
      <w:r>
        <w:rPr>
          <w:rFonts w:hint="eastAsia" w:ascii="宋体" w:hAnsi="宋体" w:eastAsia="宋体" w:cs="宋体"/>
          <w:b/>
          <w:color w:val="auto"/>
          <w:sz w:val="36"/>
          <w:szCs w:val="36"/>
          <w:highlight w:val="none"/>
        </w:rPr>
        <w:br w:type="page"/>
      </w:r>
      <w:r>
        <w:rPr>
          <w:rFonts w:hint="eastAsia" w:ascii="宋体" w:hAnsi="宋体" w:eastAsia="宋体" w:cs="宋体"/>
          <w:b/>
          <w:bCs/>
          <w:color w:val="auto"/>
          <w:sz w:val="44"/>
          <w:szCs w:val="44"/>
          <w:highlight w:val="none"/>
          <w:u w:val="none"/>
          <w:lang w:eastAsia="zh-CN"/>
        </w:rPr>
        <w:t>第四章</w:t>
      </w:r>
      <w:r>
        <w:rPr>
          <w:rFonts w:hint="eastAsia" w:ascii="宋体" w:hAnsi="宋体" w:eastAsia="宋体" w:cs="宋体"/>
          <w:b/>
          <w:bCs/>
          <w:color w:val="auto"/>
          <w:sz w:val="44"/>
          <w:szCs w:val="44"/>
          <w:highlight w:val="none"/>
          <w:u w:val="none"/>
          <w:lang w:val="en-US" w:eastAsia="zh-CN"/>
        </w:rPr>
        <w:t xml:space="preserve">  </w:t>
      </w:r>
      <w:r>
        <w:rPr>
          <w:rFonts w:hint="eastAsia" w:ascii="宋体" w:hAnsi="宋体" w:eastAsia="宋体" w:cs="宋体"/>
          <w:b/>
          <w:bCs/>
          <w:color w:val="auto"/>
          <w:sz w:val="44"/>
          <w:szCs w:val="44"/>
          <w:highlight w:val="none"/>
          <w:u w:val="none"/>
        </w:rPr>
        <w:t>采购需求</w:t>
      </w:r>
      <w:bookmarkEnd w:id="14"/>
    </w:p>
    <w:p w14:paraId="7C2C5567">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一、项目概况</w:t>
      </w:r>
    </w:p>
    <w:p w14:paraId="2931F7B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Times New Roman"/>
          <w:color w:val="auto"/>
          <w:sz w:val="24"/>
          <w:szCs w:val="24"/>
        </w:rPr>
      </w:pPr>
      <w:r>
        <w:rPr>
          <w:rFonts w:hint="eastAsia" w:ascii="宋体" w:hAnsi="宋体" w:eastAsia="宋体"/>
          <w:color w:val="auto"/>
          <w:sz w:val="24"/>
          <w:szCs w:val="24"/>
        </w:rPr>
        <w:t>为进一步推动职工疗休养活动的开展，发挥职工疗休养活动助推经济发展的积极作用，根据省总工会、绍兴市总工会和市委市政府关于疗休养工作的新要求，现</w:t>
      </w:r>
      <w:r>
        <w:rPr>
          <w:rFonts w:hint="eastAsia" w:ascii="宋体" w:hAnsi="宋体" w:eastAsia="宋体" w:cs="Times New Roman"/>
          <w:color w:val="auto"/>
          <w:sz w:val="24"/>
          <w:szCs w:val="24"/>
        </w:rPr>
        <w:t>就</w:t>
      </w:r>
      <w:r>
        <w:rPr>
          <w:rFonts w:hint="eastAsia" w:ascii="宋体" w:hAnsi="宋体" w:cs="Times New Roman"/>
          <w:color w:val="auto"/>
          <w:sz w:val="24"/>
          <w:szCs w:val="24"/>
          <w:lang w:val="en-US" w:eastAsia="zh-CN"/>
        </w:rPr>
        <w:t>浙江省诸暨市学勉中学2025年度疗休养服务采购</w:t>
      </w:r>
      <w:r>
        <w:rPr>
          <w:rFonts w:hint="eastAsia" w:ascii="宋体" w:hAnsi="宋体" w:eastAsia="宋体" w:cs="Times New Roman"/>
          <w:color w:val="auto"/>
          <w:sz w:val="24"/>
          <w:szCs w:val="24"/>
          <w:lang w:val="en-US" w:eastAsia="zh-CN"/>
        </w:rPr>
        <w:t>服务项目</w:t>
      </w:r>
      <w:r>
        <w:rPr>
          <w:rFonts w:hint="eastAsia" w:ascii="宋体" w:hAnsi="宋体" w:eastAsia="宋体" w:cs="Times New Roman"/>
          <w:color w:val="auto"/>
          <w:sz w:val="24"/>
          <w:szCs w:val="24"/>
        </w:rPr>
        <w:t>开展公开招标。</w:t>
      </w:r>
    </w:p>
    <w:p w14:paraId="07E13CCF">
      <w:pPr>
        <w:pageBreakBefore w:val="0"/>
        <w:widowControl w:val="0"/>
        <w:numPr>
          <w:ilvl w:val="0"/>
          <w:numId w:val="0"/>
        </w:numPr>
        <w:kinsoku/>
        <w:wordWrap/>
        <w:overflowPunct/>
        <w:topLinePunct w:val="0"/>
        <w:autoSpaceDE w:val="0"/>
        <w:autoSpaceDN w:val="0"/>
        <w:bidi w:val="0"/>
        <w:adjustRightInd w:val="0"/>
        <w:snapToGrid/>
        <w:spacing w:line="288" w:lineRule="auto"/>
        <w:ind w:firstLine="482" w:firstLineChars="200"/>
        <w:textAlignment w:val="auto"/>
        <w:rPr>
          <w:rFonts w:hint="eastAsia" w:ascii="宋体" w:hAnsi="宋体" w:eastAsia="宋体" w:cs="Times New Roman"/>
          <w:color w:val="auto"/>
          <w:sz w:val="24"/>
          <w:szCs w:val="24"/>
        </w:rPr>
      </w:pPr>
      <w:r>
        <w:rPr>
          <w:rFonts w:hint="eastAsia" w:ascii="宋体" w:hAnsi="宋体"/>
          <w:b/>
          <w:color w:val="auto"/>
          <w:sz w:val="24"/>
          <w:szCs w:val="24"/>
          <w:lang w:val="en-US" w:eastAsia="zh-CN"/>
        </w:rPr>
        <w:t>1.</w:t>
      </w:r>
      <w:r>
        <w:rPr>
          <w:rFonts w:hint="eastAsia" w:ascii="宋体" w:hAnsi="宋体" w:eastAsia="宋体"/>
          <w:b/>
          <w:color w:val="auto"/>
          <w:sz w:val="24"/>
          <w:szCs w:val="24"/>
        </w:rPr>
        <w:t>项目名称</w:t>
      </w:r>
      <w:r>
        <w:rPr>
          <w:rFonts w:hint="eastAsia" w:ascii="宋体" w:hAnsi="宋体" w:eastAsia="宋体"/>
          <w:b/>
          <w:color w:val="auto"/>
          <w:sz w:val="24"/>
          <w:szCs w:val="24"/>
          <w:lang w:eastAsia="zh-CN"/>
        </w:rPr>
        <w:t>：</w:t>
      </w:r>
      <w:r>
        <w:rPr>
          <w:rFonts w:hint="eastAsia" w:ascii="宋体" w:hAnsi="宋体" w:cs="Times New Roman"/>
          <w:color w:val="auto"/>
          <w:sz w:val="24"/>
          <w:szCs w:val="24"/>
          <w:lang w:eastAsia="zh-CN"/>
        </w:rPr>
        <w:t>浙江省诸暨市学勉中学2025年度疗休养服务采购</w:t>
      </w:r>
      <w:r>
        <w:rPr>
          <w:rFonts w:hint="eastAsia" w:ascii="宋体" w:hAnsi="宋体" w:eastAsia="宋体" w:cs="Times New Roman"/>
          <w:color w:val="auto"/>
          <w:sz w:val="24"/>
          <w:szCs w:val="24"/>
          <w:lang w:val="en-US" w:eastAsia="zh-CN"/>
        </w:rPr>
        <w:t>项目</w:t>
      </w:r>
    </w:p>
    <w:p w14:paraId="2C76AB79">
      <w:pPr>
        <w:pageBreakBefore w:val="0"/>
        <w:widowControl w:val="0"/>
        <w:numPr>
          <w:ilvl w:val="0"/>
          <w:numId w:val="0"/>
        </w:numPr>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2</w:t>
      </w:r>
      <w:r>
        <w:rPr>
          <w:rFonts w:ascii="宋体" w:hAnsi="宋体" w:eastAsia="宋体"/>
          <w:b/>
          <w:bCs/>
          <w:color w:val="auto"/>
          <w:sz w:val="24"/>
          <w:szCs w:val="24"/>
        </w:rPr>
        <w:t>.</w:t>
      </w:r>
      <w:r>
        <w:rPr>
          <w:rFonts w:hint="eastAsia" w:ascii="宋体" w:hAnsi="宋体" w:eastAsia="宋体"/>
          <w:b/>
          <w:bCs/>
          <w:color w:val="auto"/>
          <w:sz w:val="24"/>
          <w:szCs w:val="24"/>
        </w:rPr>
        <w:t>服务人数</w:t>
      </w:r>
      <w:r>
        <w:rPr>
          <w:rFonts w:hint="eastAsia" w:ascii="宋体" w:hAnsi="宋体" w:eastAsia="宋体"/>
          <w:b/>
          <w:bCs/>
          <w:color w:val="auto"/>
          <w:sz w:val="24"/>
          <w:szCs w:val="24"/>
          <w:lang w:eastAsia="zh-CN"/>
        </w:rPr>
        <w:t>：</w:t>
      </w:r>
      <w:r>
        <w:rPr>
          <w:rFonts w:hint="eastAsia" w:ascii="宋体" w:hAnsi="宋体" w:eastAsia="宋体" w:cs="宋体"/>
          <w:color w:val="auto"/>
          <w:sz w:val="24"/>
          <w:szCs w:val="24"/>
          <w:highlight w:val="none"/>
        </w:rPr>
        <w:t>人数约</w:t>
      </w:r>
      <w:r>
        <w:rPr>
          <w:rFonts w:hint="eastAsia" w:ascii="宋体" w:hAnsi="宋体"/>
          <w:color w:val="auto"/>
          <w:sz w:val="24"/>
          <w:szCs w:val="24"/>
          <w:lang w:val="en-US" w:eastAsia="zh-CN"/>
        </w:rPr>
        <w:t>55</w:t>
      </w:r>
      <w:r>
        <w:rPr>
          <w:rFonts w:hint="eastAsia" w:ascii="宋体" w:hAnsi="宋体" w:eastAsia="宋体"/>
          <w:color w:val="auto"/>
          <w:sz w:val="24"/>
          <w:szCs w:val="24"/>
        </w:rPr>
        <w:t>人</w:t>
      </w:r>
      <w:r>
        <w:rPr>
          <w:rFonts w:hint="eastAsia" w:ascii="宋体" w:hAnsi="宋体" w:eastAsia="宋体" w:cs="宋体"/>
          <w:color w:val="auto"/>
          <w:sz w:val="24"/>
          <w:szCs w:val="24"/>
          <w:highlight w:val="none"/>
        </w:rPr>
        <w:t>（</w:t>
      </w:r>
      <w:r>
        <w:rPr>
          <w:rFonts w:hint="eastAsia" w:ascii="宋体" w:hAnsi="宋体" w:eastAsia="宋体" w:cs="Times New Roman"/>
          <w:b/>
          <w:bCs/>
          <w:color w:val="auto"/>
          <w:sz w:val="24"/>
          <w:szCs w:val="24"/>
          <w:highlight w:val="none"/>
        </w:rPr>
        <w:t>最终参与疗休养人数以实际成行总人数为准</w:t>
      </w:r>
      <w:r>
        <w:rPr>
          <w:rFonts w:hint="eastAsia" w:ascii="宋体" w:hAnsi="宋体" w:eastAsia="宋体" w:cs="宋体"/>
          <w:color w:val="auto"/>
          <w:sz w:val="24"/>
          <w:szCs w:val="24"/>
          <w:highlight w:val="none"/>
        </w:rPr>
        <w:t>）</w:t>
      </w:r>
      <w:r>
        <w:rPr>
          <w:rFonts w:hint="eastAsia" w:ascii="宋体" w:hAnsi="宋体" w:eastAsia="宋体"/>
          <w:color w:val="auto"/>
          <w:sz w:val="24"/>
          <w:szCs w:val="24"/>
        </w:rPr>
        <w:t>。</w:t>
      </w:r>
    </w:p>
    <w:p w14:paraId="54B73DB5">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color w:val="auto"/>
          <w:sz w:val="24"/>
          <w:szCs w:val="24"/>
        </w:rPr>
      </w:pPr>
      <w:r>
        <w:rPr>
          <w:rFonts w:hint="eastAsia" w:ascii="宋体" w:hAnsi="宋体" w:eastAsia="宋体"/>
          <w:b/>
          <w:bCs/>
          <w:color w:val="auto"/>
          <w:sz w:val="24"/>
          <w:szCs w:val="24"/>
        </w:rPr>
        <w:t>3</w:t>
      </w:r>
      <w:r>
        <w:rPr>
          <w:rFonts w:ascii="宋体" w:hAnsi="宋体" w:eastAsia="宋体"/>
          <w:b/>
          <w:bCs/>
          <w:color w:val="auto"/>
          <w:sz w:val="24"/>
          <w:szCs w:val="24"/>
        </w:rPr>
        <w:t>.</w:t>
      </w:r>
      <w:r>
        <w:rPr>
          <w:rFonts w:hint="eastAsia" w:ascii="宋体" w:hAnsi="宋体" w:eastAsia="宋体"/>
          <w:b/>
          <w:bCs/>
          <w:color w:val="auto"/>
          <w:sz w:val="24"/>
          <w:szCs w:val="24"/>
        </w:rPr>
        <w:t>项目服务要求</w:t>
      </w:r>
      <w:r>
        <w:rPr>
          <w:rFonts w:hint="eastAsia" w:ascii="宋体" w:hAnsi="宋体" w:eastAsia="宋体"/>
          <w:color w:val="auto"/>
          <w:sz w:val="24"/>
          <w:szCs w:val="24"/>
        </w:rPr>
        <w:t>：组织采购人所安排人员的疗休养活动，包括食、宿、行等活动的具体安排（具体根据采购人需要具体安排）。如疗休养政策变化，最终实际路线的调整须根据政策要求情况，由中标人与采购人协商后确定。</w:t>
      </w:r>
    </w:p>
    <w:p w14:paraId="13B3DD38">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color w:val="auto"/>
          <w:sz w:val="24"/>
          <w:szCs w:val="24"/>
        </w:rPr>
      </w:pPr>
      <w:r>
        <w:rPr>
          <w:rFonts w:hint="eastAsia" w:ascii="宋体" w:hAnsi="宋体" w:eastAsia="宋体"/>
          <w:b/>
          <w:color w:val="auto"/>
          <w:sz w:val="24"/>
          <w:szCs w:val="24"/>
        </w:rPr>
        <w:t>4</w:t>
      </w:r>
      <w:r>
        <w:rPr>
          <w:rFonts w:ascii="宋体" w:hAnsi="宋体" w:eastAsia="宋体"/>
          <w:b/>
          <w:color w:val="auto"/>
          <w:sz w:val="24"/>
          <w:szCs w:val="24"/>
        </w:rPr>
        <w:t>.</w:t>
      </w:r>
      <w:r>
        <w:rPr>
          <w:rFonts w:hint="eastAsia" w:ascii="宋体" w:hAnsi="宋体" w:eastAsia="宋体"/>
          <w:b/>
          <w:color w:val="auto"/>
          <w:sz w:val="24"/>
          <w:szCs w:val="24"/>
        </w:rPr>
        <w:t>服务时间：</w:t>
      </w:r>
      <w:r>
        <w:rPr>
          <w:rFonts w:hint="eastAsia" w:ascii="宋体" w:hAnsi="宋体" w:eastAsia="宋体"/>
          <w:color w:val="auto"/>
          <w:sz w:val="24"/>
          <w:szCs w:val="24"/>
        </w:rPr>
        <w:t>服务期限为合同生效之日起至202</w:t>
      </w:r>
      <w:r>
        <w:rPr>
          <w:rFonts w:ascii="宋体" w:hAnsi="宋体" w:eastAsia="宋体"/>
          <w:color w:val="auto"/>
          <w:sz w:val="24"/>
          <w:szCs w:val="24"/>
        </w:rPr>
        <w:t>5</w:t>
      </w:r>
      <w:r>
        <w:rPr>
          <w:rFonts w:hint="eastAsia" w:ascii="宋体" w:hAnsi="宋体" w:eastAsia="宋体"/>
          <w:color w:val="auto"/>
          <w:sz w:val="24"/>
          <w:szCs w:val="24"/>
        </w:rPr>
        <w:t>年1</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月31日，具体以合同签订为准。</w:t>
      </w:r>
    </w:p>
    <w:p w14:paraId="046F894D">
      <w:pPr>
        <w:pageBreakBefore w:val="0"/>
        <w:kinsoku/>
        <w:wordWrap/>
        <w:topLinePunct w:val="0"/>
        <w:bidi w:val="0"/>
        <w:snapToGrid/>
        <w:spacing w:line="288" w:lineRule="auto"/>
        <w:ind w:firstLine="482" w:firstLineChars="200"/>
        <w:textAlignment w:val="auto"/>
        <w:rPr>
          <w:rFonts w:hint="eastAsia" w:ascii="宋体" w:hAnsi="宋体" w:eastAsia="宋体"/>
          <w:color w:val="auto"/>
          <w:sz w:val="24"/>
          <w:szCs w:val="24"/>
          <w:highlight w:val="none"/>
          <w:lang w:eastAsia="zh-CN"/>
        </w:rPr>
      </w:pPr>
      <w:r>
        <w:rPr>
          <w:rFonts w:hint="eastAsia" w:ascii="宋体" w:hAnsi="宋体" w:eastAsia="宋体"/>
          <w:b/>
          <w:color w:val="auto"/>
          <w:sz w:val="24"/>
          <w:szCs w:val="24"/>
          <w:highlight w:val="none"/>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疗休养费用标准</w:t>
      </w:r>
      <w:r>
        <w:rPr>
          <w:rFonts w:hint="eastAsia" w:ascii="宋体" w:hAnsi="宋体" w:eastAsia="宋体" w:cs="Times New Roman"/>
          <w:b/>
          <w:bCs w:val="0"/>
          <w:color w:val="auto"/>
          <w:sz w:val="24"/>
          <w:szCs w:val="24"/>
          <w:highlight w:val="none"/>
          <w:lang w:val="en-US" w:eastAsia="zh-CN"/>
        </w:rPr>
        <w:t>为3000</w:t>
      </w:r>
      <w:r>
        <w:rPr>
          <w:rFonts w:hint="eastAsia" w:ascii="宋体" w:hAnsi="宋体" w:eastAsia="宋体" w:cs="Times New Roman"/>
          <w:b/>
          <w:bCs w:val="0"/>
          <w:color w:val="auto"/>
          <w:sz w:val="24"/>
          <w:szCs w:val="24"/>
          <w:highlight w:val="none"/>
        </w:rPr>
        <w:t>元/人</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包含保险</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rPr>
        <w:t>，以上费用</w:t>
      </w:r>
      <w:r>
        <w:rPr>
          <w:rFonts w:ascii="宋体" w:hAnsi="宋体" w:eastAsia="宋体"/>
          <w:b/>
          <w:bCs w:val="0"/>
          <w:color w:val="auto"/>
          <w:sz w:val="24"/>
          <w:szCs w:val="24"/>
          <w:highlight w:val="none"/>
        </w:rPr>
        <w:t>为职工享受的标准费用</w:t>
      </w:r>
      <w:r>
        <w:rPr>
          <w:rFonts w:hint="eastAsia" w:ascii="宋体" w:hAnsi="宋体" w:eastAsia="宋体"/>
          <w:b/>
          <w:bCs w:val="0"/>
          <w:color w:val="auto"/>
          <w:sz w:val="24"/>
          <w:szCs w:val="24"/>
          <w:highlight w:val="none"/>
          <w:lang w:eastAsia="zh-CN"/>
        </w:rPr>
        <w:t>。</w:t>
      </w:r>
    </w:p>
    <w:p w14:paraId="18A338A9">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二、</w:t>
      </w:r>
      <w:r>
        <w:rPr>
          <w:rFonts w:ascii="宋体" w:hAnsi="宋体" w:eastAsia="宋体"/>
          <w:b/>
          <w:color w:val="auto"/>
          <w:sz w:val="24"/>
          <w:szCs w:val="24"/>
        </w:rPr>
        <w:t>招标一览表</w:t>
      </w:r>
    </w:p>
    <w:tbl>
      <w:tblPr>
        <w:tblStyle w:val="16"/>
        <w:tblW w:w="9598" w:type="dxa"/>
        <w:jc w:val="center"/>
        <w:tblLayout w:type="fixed"/>
        <w:tblCellMar>
          <w:top w:w="0" w:type="dxa"/>
          <w:left w:w="0" w:type="dxa"/>
          <w:bottom w:w="0" w:type="dxa"/>
          <w:right w:w="0" w:type="dxa"/>
        </w:tblCellMar>
      </w:tblPr>
      <w:tblGrid>
        <w:gridCol w:w="592"/>
        <w:gridCol w:w="1307"/>
        <w:gridCol w:w="1132"/>
        <w:gridCol w:w="1875"/>
        <w:gridCol w:w="1210"/>
        <w:gridCol w:w="1656"/>
        <w:gridCol w:w="1826"/>
      </w:tblGrid>
      <w:tr w14:paraId="3314E58E">
        <w:tblPrEx>
          <w:tblCellMar>
            <w:top w:w="0" w:type="dxa"/>
            <w:left w:w="0" w:type="dxa"/>
            <w:bottom w:w="0" w:type="dxa"/>
            <w:right w:w="0" w:type="dxa"/>
          </w:tblCellMar>
        </w:tblPrEx>
        <w:trPr>
          <w:cantSplit/>
          <w:trHeight w:val="644"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FC3689">
            <w:pPr>
              <w:jc w:val="center"/>
              <w:rPr>
                <w:rFonts w:ascii="宋体" w:hAnsi="宋体" w:eastAsia="宋体" w:cs="仿宋"/>
                <w:color w:val="auto"/>
                <w:sz w:val="24"/>
                <w:highlight w:val="none"/>
              </w:rPr>
            </w:pPr>
            <w:r>
              <w:rPr>
                <w:rFonts w:hint="eastAsia" w:ascii="宋体" w:hAnsi="宋体" w:eastAsia="宋体" w:cs="仿宋"/>
                <w:b/>
                <w:color w:val="auto"/>
                <w:sz w:val="24"/>
                <w:highlight w:val="none"/>
              </w:rPr>
              <w:t>标项</w:t>
            </w:r>
          </w:p>
        </w:tc>
        <w:tc>
          <w:tcPr>
            <w:tcW w:w="130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656F4B">
            <w:pPr>
              <w:jc w:val="center"/>
              <w:rPr>
                <w:rFonts w:ascii="宋体" w:hAnsi="宋体" w:eastAsia="宋体" w:cs="仿宋"/>
                <w:b/>
                <w:color w:val="auto"/>
                <w:sz w:val="24"/>
                <w:highlight w:val="none"/>
              </w:rPr>
            </w:pPr>
            <w:r>
              <w:rPr>
                <w:rFonts w:hint="eastAsia" w:ascii="宋体" w:hAnsi="宋体" w:eastAsia="宋体" w:cs="仿宋"/>
                <w:b/>
                <w:color w:val="auto"/>
                <w:sz w:val="24"/>
                <w:highlight w:val="none"/>
                <w:lang w:val="en-US" w:eastAsia="zh-CN"/>
              </w:rPr>
              <w:t>标项</w:t>
            </w:r>
            <w:r>
              <w:rPr>
                <w:rFonts w:hint="eastAsia" w:ascii="宋体" w:hAnsi="宋体" w:eastAsia="宋体" w:cs="仿宋"/>
                <w:b/>
                <w:color w:val="auto"/>
                <w:sz w:val="24"/>
                <w:highlight w:val="none"/>
              </w:rPr>
              <w:t>名称</w:t>
            </w:r>
          </w:p>
        </w:tc>
        <w:tc>
          <w:tcPr>
            <w:tcW w:w="11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35BE14">
            <w:pPr>
              <w:jc w:val="center"/>
              <w:rPr>
                <w:rFonts w:hint="eastAsia" w:ascii="宋体" w:hAnsi="宋体" w:eastAsia="宋体" w:cs="仿宋"/>
                <w:b/>
                <w:color w:val="auto"/>
                <w:sz w:val="24"/>
                <w:highlight w:val="none"/>
                <w:lang w:val="en-US" w:eastAsia="zh-CN"/>
              </w:rPr>
            </w:pPr>
            <w:r>
              <w:rPr>
                <w:rFonts w:hint="eastAsia" w:ascii="宋体" w:hAnsi="宋体" w:eastAsia="宋体" w:cs="仿宋"/>
                <w:b/>
                <w:color w:val="auto"/>
                <w:sz w:val="24"/>
                <w:highlight w:val="none"/>
                <w:lang w:val="en-US" w:eastAsia="zh-CN"/>
              </w:rPr>
              <w:t>行程</w:t>
            </w:r>
            <w:r>
              <w:rPr>
                <w:rFonts w:hint="eastAsia" w:ascii="宋体" w:hAnsi="宋体" w:eastAsia="宋体" w:cs="仿宋"/>
                <w:b/>
                <w:color w:val="auto"/>
                <w:sz w:val="24"/>
                <w:highlight w:val="none"/>
              </w:rPr>
              <w:t>天数</w:t>
            </w:r>
          </w:p>
        </w:tc>
        <w:tc>
          <w:tcPr>
            <w:tcW w:w="18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269B6C">
            <w:pPr>
              <w:keepNext w:val="0"/>
              <w:keepLines w:val="0"/>
              <w:pageBreakBefore w:val="0"/>
              <w:kinsoku/>
              <w:wordWrap/>
              <w:topLinePunct w:val="0"/>
              <w:bidi w:val="0"/>
              <w:snapToGrid/>
              <w:spacing w:line="288"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疗休养费用标准</w:t>
            </w:r>
          </w:p>
          <w:p w14:paraId="0B9353C9">
            <w:pPr>
              <w:jc w:val="center"/>
              <w:rPr>
                <w:rFonts w:ascii="宋体" w:hAnsi="宋体" w:eastAsia="宋体" w:cs="仿宋"/>
                <w:b/>
                <w:color w:val="auto"/>
                <w:sz w:val="24"/>
                <w:highlight w:val="none"/>
              </w:rPr>
            </w:pPr>
            <w:r>
              <w:rPr>
                <w:rFonts w:hint="eastAsia" w:ascii="宋体" w:hAnsi="宋体" w:eastAsia="宋体" w:cs="宋体"/>
                <w:b/>
                <w:color w:val="auto"/>
                <w:sz w:val="24"/>
                <w:szCs w:val="24"/>
                <w:highlight w:val="none"/>
              </w:rPr>
              <w:t>（元/人）</w:t>
            </w:r>
          </w:p>
        </w:tc>
        <w:tc>
          <w:tcPr>
            <w:tcW w:w="12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F74111">
            <w:pPr>
              <w:jc w:val="center"/>
              <w:rPr>
                <w:rFonts w:hint="eastAsia" w:ascii="宋体" w:hAnsi="宋体" w:eastAsia="宋体" w:cs="仿宋"/>
                <w:b/>
                <w:color w:val="auto"/>
                <w:sz w:val="24"/>
                <w:highlight w:val="none"/>
                <w:lang w:eastAsia="zh-CN"/>
              </w:rPr>
            </w:pPr>
            <w:r>
              <w:rPr>
                <w:rFonts w:hint="eastAsia" w:ascii="宋体" w:hAnsi="宋体" w:eastAsia="宋体" w:cs="仿宋"/>
                <w:b/>
                <w:color w:val="auto"/>
                <w:sz w:val="24"/>
                <w:highlight w:val="none"/>
              </w:rPr>
              <w:t>人数</w:t>
            </w:r>
            <w:r>
              <w:rPr>
                <w:rFonts w:hint="eastAsia" w:ascii="宋体" w:hAnsi="宋体" w:eastAsia="宋体" w:cs="仿宋"/>
                <w:b/>
                <w:color w:val="auto"/>
                <w:sz w:val="24"/>
                <w:highlight w:val="none"/>
                <w:lang w:eastAsia="zh-CN"/>
              </w:rPr>
              <w:t>（</w:t>
            </w:r>
            <w:r>
              <w:rPr>
                <w:rFonts w:hint="eastAsia" w:ascii="宋体" w:hAnsi="宋体" w:eastAsia="宋体" w:cs="仿宋"/>
                <w:bCs/>
                <w:color w:val="auto"/>
                <w:sz w:val="24"/>
                <w:highlight w:val="none"/>
                <w:lang w:val="en-US" w:eastAsia="zh-CN"/>
              </w:rPr>
              <w:t>人</w:t>
            </w:r>
            <w:r>
              <w:rPr>
                <w:rFonts w:hint="eastAsia" w:ascii="宋体" w:hAnsi="宋体" w:eastAsia="宋体" w:cs="仿宋"/>
                <w:b/>
                <w:color w:val="auto"/>
                <w:sz w:val="24"/>
                <w:highlight w:val="none"/>
                <w:lang w:eastAsia="zh-CN"/>
              </w:rPr>
              <w:t>）</w:t>
            </w:r>
          </w:p>
        </w:tc>
        <w:tc>
          <w:tcPr>
            <w:tcW w:w="1656"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FDDF6D3">
            <w:pPr>
              <w:jc w:val="center"/>
              <w:rPr>
                <w:rFonts w:hint="eastAsia" w:ascii="宋体" w:hAnsi="宋体" w:eastAsia="宋体" w:cs="仿宋"/>
                <w:b/>
                <w:color w:val="auto"/>
                <w:sz w:val="24"/>
                <w:highlight w:val="none"/>
              </w:rPr>
            </w:pPr>
            <w:r>
              <w:rPr>
                <w:rFonts w:hint="eastAsia" w:ascii="宋体" w:hAnsi="宋体" w:eastAsia="宋体" w:cs="仿宋"/>
                <w:b/>
                <w:color w:val="auto"/>
                <w:sz w:val="24"/>
                <w:highlight w:val="none"/>
              </w:rPr>
              <w:t>预算金额</w:t>
            </w:r>
            <w:r>
              <w:rPr>
                <w:rFonts w:hint="eastAsia" w:ascii="宋体" w:hAnsi="宋体" w:eastAsia="宋体" w:cs="仿宋"/>
                <w:b/>
                <w:color w:val="auto"/>
                <w:sz w:val="24"/>
                <w:highlight w:val="none"/>
                <w:lang w:eastAsia="zh-CN"/>
              </w:rPr>
              <w:t>（</w:t>
            </w:r>
            <w:r>
              <w:rPr>
                <w:rFonts w:hint="eastAsia" w:ascii="宋体" w:hAnsi="宋体" w:eastAsia="宋体" w:cs="仿宋"/>
                <w:b/>
                <w:color w:val="auto"/>
                <w:sz w:val="24"/>
                <w:highlight w:val="none"/>
                <w:lang w:val="en-US" w:eastAsia="zh-CN"/>
              </w:rPr>
              <w:t>元</w:t>
            </w:r>
            <w:r>
              <w:rPr>
                <w:rFonts w:hint="eastAsia" w:ascii="宋体" w:hAnsi="宋体" w:eastAsia="宋体" w:cs="仿宋"/>
                <w:b/>
                <w:color w:val="auto"/>
                <w:sz w:val="24"/>
                <w:highlight w:val="none"/>
                <w:lang w:eastAsia="zh-CN"/>
              </w:rPr>
              <w:t>）</w:t>
            </w:r>
          </w:p>
        </w:tc>
        <w:tc>
          <w:tcPr>
            <w:tcW w:w="1826" w:type="dxa"/>
            <w:tcBorders>
              <w:top w:val="single" w:color="auto" w:sz="4" w:space="0"/>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5880DD3">
            <w:pPr>
              <w:jc w:val="center"/>
              <w:rPr>
                <w:rFonts w:hint="eastAsia" w:ascii="宋体" w:hAnsi="宋体" w:eastAsia="宋体" w:cs="仿宋"/>
                <w:b/>
                <w:color w:val="auto"/>
                <w:sz w:val="24"/>
                <w:szCs w:val="21"/>
                <w:highlight w:val="none"/>
                <w:lang w:val="en-US" w:eastAsia="zh-CN" w:bidi="ar-SA"/>
              </w:rPr>
            </w:pPr>
            <w:r>
              <w:rPr>
                <w:rFonts w:hint="eastAsia" w:ascii="宋体" w:hAnsi="宋体" w:eastAsia="宋体" w:cs="仿宋"/>
                <w:b/>
                <w:color w:val="auto"/>
                <w:sz w:val="24"/>
                <w:highlight w:val="none"/>
              </w:rPr>
              <w:t>备注</w:t>
            </w:r>
          </w:p>
        </w:tc>
      </w:tr>
      <w:tr w14:paraId="10747A28">
        <w:tblPrEx>
          <w:tblCellMar>
            <w:top w:w="0" w:type="dxa"/>
            <w:left w:w="0" w:type="dxa"/>
            <w:bottom w:w="0" w:type="dxa"/>
            <w:right w:w="0" w:type="dxa"/>
          </w:tblCellMar>
        </w:tblPrEx>
        <w:trPr>
          <w:cantSplit/>
          <w:trHeight w:val="701" w:hRule="atLeast"/>
          <w:jc w:val="center"/>
        </w:trPr>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18687">
            <w:pPr>
              <w:spacing w:line="240" w:lineRule="auto"/>
              <w:jc w:val="center"/>
              <w:rPr>
                <w:rFonts w:hint="eastAsia"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1</w:t>
            </w:r>
          </w:p>
        </w:tc>
        <w:tc>
          <w:tcPr>
            <w:tcW w:w="130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758A57">
            <w:pPr>
              <w:spacing w:line="240" w:lineRule="auto"/>
              <w:jc w:val="center"/>
              <w:rPr>
                <w:rFonts w:hint="eastAsia" w:ascii="宋体" w:hAnsi="宋体" w:eastAsia="宋体" w:cs="仿宋"/>
                <w:bCs/>
                <w:color w:val="auto"/>
                <w:sz w:val="24"/>
                <w:highlight w:val="none"/>
                <w:lang w:val="en-US" w:eastAsia="zh-CN"/>
              </w:rPr>
            </w:pPr>
            <w:r>
              <w:rPr>
                <w:rFonts w:hint="eastAsia" w:ascii="宋体" w:hAnsi="宋体" w:eastAsia="宋体" w:cs="仿宋"/>
                <w:bCs/>
                <w:color w:val="auto"/>
                <w:sz w:val="24"/>
                <w:lang w:val="en-US" w:eastAsia="zh-CN"/>
              </w:rPr>
              <w:t>潮汕</w:t>
            </w:r>
            <w:r>
              <w:rPr>
                <w:rFonts w:hint="eastAsia" w:ascii="宋体" w:hAnsi="宋体" w:eastAsia="宋体" w:cs="仿宋"/>
                <w:bCs/>
                <w:color w:val="auto"/>
                <w:sz w:val="24"/>
              </w:rPr>
              <w:t>疗休养</w:t>
            </w:r>
          </w:p>
        </w:tc>
        <w:tc>
          <w:tcPr>
            <w:tcW w:w="11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97784E">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5日</w:t>
            </w:r>
          </w:p>
        </w:tc>
        <w:tc>
          <w:tcPr>
            <w:tcW w:w="18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C960DA">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宋体"/>
                <w:color w:val="auto"/>
                <w:sz w:val="24"/>
                <w:szCs w:val="24"/>
                <w:vertAlign w:val="baseline"/>
                <w:lang w:val="en-US" w:eastAsia="zh-CN"/>
              </w:rPr>
              <w:t>3000</w:t>
            </w:r>
          </w:p>
        </w:tc>
        <w:tc>
          <w:tcPr>
            <w:tcW w:w="121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1D8D02">
            <w:pPr>
              <w:spacing w:line="240" w:lineRule="auto"/>
              <w:jc w:val="center"/>
              <w:rPr>
                <w:rFonts w:hint="default" w:ascii="宋体" w:hAnsi="宋体" w:eastAsia="宋体" w:cs="仿宋"/>
                <w:bCs/>
                <w:color w:val="auto"/>
                <w:sz w:val="24"/>
                <w:highlight w:val="none"/>
                <w:lang w:val="en-US" w:eastAsia="zh-CN"/>
              </w:rPr>
            </w:pPr>
            <w:r>
              <w:rPr>
                <w:rFonts w:hint="eastAsia" w:ascii="宋体" w:hAnsi="宋体" w:eastAsia="宋体" w:cs="仿宋"/>
                <w:bCs/>
                <w:color w:val="auto"/>
                <w:sz w:val="24"/>
                <w:highlight w:val="none"/>
                <w:lang w:val="en-US" w:eastAsia="zh-CN"/>
              </w:rPr>
              <w:t>55</w:t>
            </w:r>
          </w:p>
        </w:tc>
        <w:tc>
          <w:tcPr>
            <w:tcW w:w="165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D885148">
            <w:pPr>
              <w:jc w:val="center"/>
              <w:rPr>
                <w:rFonts w:hint="default" w:ascii="宋体" w:hAnsi="宋体" w:eastAsia="宋体" w:cs="仿宋"/>
                <w:color w:val="auto"/>
                <w:kern w:val="0"/>
                <w:sz w:val="24"/>
                <w:highlight w:val="none"/>
                <w:lang w:val="en-US" w:eastAsia="zh-CN"/>
              </w:rPr>
            </w:pPr>
            <w:r>
              <w:rPr>
                <w:rFonts w:hint="eastAsia" w:ascii="宋体" w:hAnsi="宋体" w:eastAsia="宋体" w:cs="仿宋"/>
                <w:color w:val="auto"/>
                <w:kern w:val="0"/>
                <w:sz w:val="24"/>
                <w:highlight w:val="none"/>
                <w:lang w:val="en-US" w:eastAsia="zh-CN"/>
              </w:rPr>
              <w:t>165000</w:t>
            </w:r>
          </w:p>
        </w:tc>
        <w:tc>
          <w:tcPr>
            <w:tcW w:w="182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734C11F">
            <w:pPr>
              <w:jc w:val="center"/>
              <w:rPr>
                <w:rFonts w:hint="eastAsia" w:ascii="宋体" w:hAnsi="宋体" w:eastAsia="宋体" w:cs="仿宋"/>
                <w:b/>
                <w:color w:val="auto"/>
                <w:sz w:val="24"/>
                <w:szCs w:val="21"/>
                <w:highlight w:val="none"/>
                <w:shd w:val="clear" w:color="auto" w:fill="FFFF00"/>
                <w:lang w:val="en-US" w:eastAsia="zh-CN" w:bidi="ar-SA"/>
              </w:rPr>
            </w:pPr>
            <w:r>
              <w:rPr>
                <w:rFonts w:hint="eastAsia" w:ascii="宋体" w:hAnsi="宋体" w:eastAsia="宋体" w:cs="仿宋"/>
                <w:color w:val="auto"/>
                <w:kern w:val="0"/>
                <w:sz w:val="24"/>
                <w:highlight w:val="none"/>
              </w:rPr>
              <w:t>批数及每批人数以实际成团人数为准</w:t>
            </w:r>
          </w:p>
        </w:tc>
      </w:tr>
    </w:tbl>
    <w:p w14:paraId="2BFD97FB">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备注：</w:t>
      </w:r>
    </w:p>
    <w:p w14:paraId="74725BB3">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1．以上人数为采购人初步统计数量，实际人数可能出现一定差异，各投标人须综合衡量、充分考虑、综合考虑投标风险。</w:t>
      </w:r>
    </w:p>
    <w:p w14:paraId="235C543C">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val="0"/>
          <w:color w:val="auto"/>
          <w:sz w:val="24"/>
          <w:szCs w:val="24"/>
        </w:rPr>
      </w:pPr>
      <w:r>
        <w:rPr>
          <w:rFonts w:hint="eastAsia" w:ascii="宋体" w:hAnsi="宋体" w:eastAsia="宋体" w:cs="宋体"/>
          <w:b/>
          <w:bCs w:val="0"/>
          <w:color w:val="auto"/>
          <w:sz w:val="24"/>
          <w:szCs w:val="24"/>
        </w:rPr>
        <w:t>★</w:t>
      </w:r>
      <w:r>
        <w:rPr>
          <w:rFonts w:ascii="宋体" w:hAnsi="宋体" w:eastAsia="宋体"/>
          <w:b/>
          <w:bCs w:val="0"/>
          <w:color w:val="auto"/>
          <w:sz w:val="24"/>
          <w:szCs w:val="24"/>
        </w:rPr>
        <w:t>2.如果上述线路</w:t>
      </w:r>
      <w:r>
        <w:rPr>
          <w:rFonts w:hint="eastAsia" w:ascii="宋体" w:hAnsi="宋体" w:eastAsia="宋体"/>
          <w:b/>
          <w:bCs w:val="0"/>
          <w:color w:val="auto"/>
          <w:sz w:val="24"/>
          <w:szCs w:val="24"/>
        </w:rPr>
        <w:t>最终因</w:t>
      </w:r>
      <w:r>
        <w:rPr>
          <w:rFonts w:ascii="宋体" w:hAnsi="宋体" w:eastAsia="宋体"/>
          <w:b/>
          <w:bCs w:val="0"/>
          <w:color w:val="auto"/>
          <w:sz w:val="24"/>
          <w:szCs w:val="24"/>
        </w:rPr>
        <w:t>报名人数少，该线路不成团，投标人应根据采购人要求推荐制定更优化的疗休养线路。</w:t>
      </w:r>
      <w:r>
        <w:rPr>
          <w:rFonts w:ascii="宋体" w:hAnsi="宋体" w:eastAsia="宋体" w:cs="Times New Roman"/>
          <w:b/>
          <w:bCs w:val="0"/>
          <w:color w:val="auto"/>
          <w:sz w:val="24"/>
          <w:szCs w:val="24"/>
        </w:rPr>
        <w:t>（</w:t>
      </w:r>
      <w:r>
        <w:rPr>
          <w:rFonts w:hint="eastAsia" w:ascii="宋体" w:hAnsi="宋体" w:eastAsia="宋体" w:cs="Times New Roman"/>
          <w:b/>
          <w:bCs w:val="0"/>
          <w:color w:val="auto"/>
          <w:sz w:val="24"/>
          <w:szCs w:val="24"/>
          <w:lang w:val="en-US" w:eastAsia="zh-CN"/>
        </w:rPr>
        <w:t>注：</w:t>
      </w:r>
      <w:r>
        <w:rPr>
          <w:rFonts w:ascii="宋体" w:hAnsi="宋体" w:eastAsia="宋体" w:cs="Times New Roman"/>
          <w:b/>
          <w:bCs w:val="0"/>
          <w:color w:val="auto"/>
          <w:sz w:val="24"/>
          <w:szCs w:val="24"/>
        </w:rPr>
        <w:t>技术文件中提供相关承诺函，格式自拟，不提供或未实质响应则作无效投标处理</w:t>
      </w:r>
      <w:r>
        <w:rPr>
          <w:rFonts w:hint="eastAsia" w:ascii="宋体" w:hAnsi="宋体" w:eastAsia="宋体" w:cs="Times New Roman"/>
          <w:b/>
          <w:bCs w:val="0"/>
          <w:color w:val="auto"/>
          <w:sz w:val="24"/>
          <w:szCs w:val="24"/>
          <w:lang w:eastAsia="zh-CN"/>
        </w:rPr>
        <w:t>。</w:t>
      </w:r>
      <w:r>
        <w:rPr>
          <w:rFonts w:ascii="宋体" w:hAnsi="宋体" w:eastAsia="宋体" w:cs="Times New Roman"/>
          <w:b/>
          <w:bCs w:val="0"/>
          <w:color w:val="auto"/>
          <w:sz w:val="24"/>
          <w:szCs w:val="24"/>
        </w:rPr>
        <w:t>）</w:t>
      </w:r>
    </w:p>
    <w:p w14:paraId="5277FA05">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val="0"/>
          <w:color w:val="auto"/>
          <w:sz w:val="24"/>
          <w:szCs w:val="24"/>
        </w:rPr>
      </w:pPr>
      <w:r>
        <w:rPr>
          <w:rFonts w:hint="eastAsia" w:ascii="宋体" w:hAnsi="宋体" w:eastAsia="宋体" w:cs="宋体"/>
          <w:b/>
          <w:bCs w:val="0"/>
          <w:color w:val="auto"/>
          <w:sz w:val="24"/>
          <w:szCs w:val="24"/>
        </w:rPr>
        <w:t>★</w:t>
      </w:r>
      <w:r>
        <w:rPr>
          <w:rFonts w:ascii="宋体" w:hAnsi="宋体" w:eastAsia="宋体"/>
          <w:b/>
          <w:bCs w:val="0"/>
          <w:color w:val="auto"/>
          <w:sz w:val="24"/>
          <w:szCs w:val="24"/>
        </w:rPr>
        <w:t>3.省外疗养线路超出诸暨市疗休养规定标准费用的，由参团人员自行支付。允许职工直系亲属（父母、配偶、子女）同行，职工直系亲属符合职工疗休养条件的，疗休养费用由其所在单位按规定标准给予报销；不符合职工疗休养条件的，须与中标人另行订立合同，费用自理。（</w:t>
      </w:r>
      <w:r>
        <w:rPr>
          <w:rFonts w:hint="eastAsia" w:ascii="宋体" w:hAnsi="宋体" w:eastAsia="宋体" w:cs="Times New Roman"/>
          <w:b/>
          <w:bCs w:val="0"/>
          <w:color w:val="auto"/>
          <w:sz w:val="24"/>
          <w:szCs w:val="24"/>
          <w:lang w:val="en-US" w:eastAsia="zh-CN"/>
        </w:rPr>
        <w:t>注：</w:t>
      </w:r>
      <w:r>
        <w:rPr>
          <w:rFonts w:ascii="宋体" w:hAnsi="宋体" w:eastAsia="宋体"/>
          <w:b/>
          <w:bCs w:val="0"/>
          <w:color w:val="auto"/>
          <w:sz w:val="24"/>
          <w:szCs w:val="24"/>
        </w:rPr>
        <w:t>技术文件中提供相关承诺函，格式自拟，不提供或未实质响应则作无效投标处理</w:t>
      </w:r>
      <w:r>
        <w:rPr>
          <w:rFonts w:hint="eastAsia" w:ascii="宋体" w:hAnsi="宋体"/>
          <w:b/>
          <w:bCs w:val="0"/>
          <w:color w:val="auto"/>
          <w:sz w:val="24"/>
          <w:szCs w:val="24"/>
          <w:lang w:eastAsia="zh-CN"/>
        </w:rPr>
        <w:t>。</w:t>
      </w:r>
      <w:r>
        <w:rPr>
          <w:rFonts w:ascii="宋体" w:hAnsi="宋体" w:eastAsia="宋体"/>
          <w:b/>
          <w:bCs w:val="0"/>
          <w:color w:val="auto"/>
          <w:sz w:val="24"/>
          <w:szCs w:val="24"/>
        </w:rPr>
        <w:t>）</w:t>
      </w:r>
    </w:p>
    <w:p w14:paraId="7E9D69B6">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val="0"/>
          <w:color w:val="auto"/>
          <w:sz w:val="24"/>
          <w:szCs w:val="24"/>
        </w:rPr>
      </w:pPr>
      <w:r>
        <w:rPr>
          <w:rFonts w:hint="eastAsia" w:ascii="宋体" w:hAnsi="宋体" w:eastAsia="宋体" w:cs="宋体"/>
          <w:b/>
          <w:bCs w:val="0"/>
          <w:color w:val="auto"/>
          <w:sz w:val="24"/>
          <w:szCs w:val="24"/>
        </w:rPr>
        <w:t>★</w:t>
      </w:r>
      <w:r>
        <w:rPr>
          <w:rFonts w:ascii="宋体" w:hAnsi="宋体" w:eastAsia="宋体"/>
          <w:b/>
          <w:bCs w:val="0"/>
          <w:color w:val="auto"/>
          <w:sz w:val="24"/>
          <w:szCs w:val="24"/>
        </w:rPr>
        <w:t>4.若发现同等线路比其他单位价格高的情况的，中标人须向采购人退回差价。（</w:t>
      </w:r>
      <w:r>
        <w:rPr>
          <w:rFonts w:hint="eastAsia" w:ascii="宋体" w:hAnsi="宋体" w:eastAsia="宋体" w:cs="Times New Roman"/>
          <w:b/>
          <w:bCs w:val="0"/>
          <w:color w:val="auto"/>
          <w:sz w:val="24"/>
          <w:szCs w:val="24"/>
          <w:lang w:val="en-US" w:eastAsia="zh-CN"/>
        </w:rPr>
        <w:t>注：</w:t>
      </w:r>
      <w:r>
        <w:rPr>
          <w:rFonts w:ascii="宋体" w:hAnsi="宋体" w:eastAsia="宋体"/>
          <w:b/>
          <w:bCs w:val="0"/>
          <w:color w:val="auto"/>
          <w:sz w:val="24"/>
          <w:szCs w:val="24"/>
        </w:rPr>
        <w:t>技术文件中提供相关承诺函，格式自拟，不提供或未实质响应则作无效投标处理</w:t>
      </w:r>
      <w:r>
        <w:rPr>
          <w:rFonts w:hint="eastAsia" w:ascii="宋体" w:hAnsi="宋体"/>
          <w:b/>
          <w:bCs w:val="0"/>
          <w:color w:val="auto"/>
          <w:sz w:val="24"/>
          <w:szCs w:val="24"/>
          <w:lang w:eastAsia="zh-CN"/>
        </w:rPr>
        <w:t>。</w:t>
      </w:r>
      <w:r>
        <w:rPr>
          <w:rFonts w:ascii="宋体" w:hAnsi="宋体" w:eastAsia="宋体"/>
          <w:b/>
          <w:bCs w:val="0"/>
          <w:color w:val="auto"/>
          <w:sz w:val="24"/>
          <w:szCs w:val="24"/>
        </w:rPr>
        <w:t>）</w:t>
      </w:r>
    </w:p>
    <w:p w14:paraId="37FCDEB9">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 xml:space="preserve">三、线路安排基本要求 </w:t>
      </w:r>
    </w:p>
    <w:p w14:paraId="1BC3F769">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线路安排（具体出行线路招标后由采购人确定，以下线路供本次招标报价参考，若遇本次招标参考线路之外的线路方案，由采购人与中标人根据实际出行天数、市场价自行协商确定）：</w:t>
      </w:r>
    </w:p>
    <w:p w14:paraId="080A0088">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线路安排：</w:t>
      </w:r>
    </w:p>
    <w:p w14:paraId="7BCBCA3E">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线路：</w:t>
      </w:r>
      <w:r>
        <w:rPr>
          <w:rFonts w:hint="eastAsia" w:ascii="宋体" w:hAnsi="宋体" w:eastAsia="宋体" w:cs="宋体"/>
          <w:bCs/>
          <w:color w:val="auto"/>
          <w:sz w:val="24"/>
          <w:lang w:val="en-US" w:eastAsia="zh-CN"/>
        </w:rPr>
        <w:t>潮汕</w:t>
      </w:r>
      <w:r>
        <w:rPr>
          <w:rFonts w:hint="eastAsia" w:ascii="宋体" w:hAnsi="宋体" w:eastAsia="宋体" w:cs="宋体"/>
          <w:color w:val="auto"/>
          <w:sz w:val="24"/>
          <w:szCs w:val="24"/>
        </w:rPr>
        <w:t>五日疗休养行程，</w:t>
      </w:r>
      <w:r>
        <w:rPr>
          <w:rFonts w:hint="eastAsia" w:ascii="宋体" w:hAnsi="宋体" w:eastAsia="宋体" w:cs="宋体"/>
          <w:b/>
          <w:color w:val="auto"/>
          <w:sz w:val="24"/>
          <w:szCs w:val="24"/>
        </w:rPr>
        <w:t>行程时间：</w:t>
      </w:r>
      <w:r>
        <w:rPr>
          <w:rFonts w:hint="eastAsia" w:ascii="宋体" w:hAnsi="宋体" w:eastAsia="宋体" w:cs="宋体"/>
          <w:color w:val="auto"/>
          <w:sz w:val="24"/>
          <w:szCs w:val="24"/>
        </w:rPr>
        <w:t>具体以实际出行日期为准。</w:t>
      </w:r>
    </w:p>
    <w:p w14:paraId="7CAC202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景点</w:t>
      </w:r>
      <w:r>
        <w:rPr>
          <w:rFonts w:hint="eastAsia" w:ascii="宋体" w:hAnsi="宋体" w:eastAsia="宋体" w:cs="宋体"/>
          <w:b w:val="0"/>
          <w:bCs w:val="0"/>
          <w:color w:val="auto"/>
          <w:sz w:val="24"/>
          <w:szCs w:val="24"/>
        </w:rPr>
        <w:t>：</w:t>
      </w:r>
      <w:r>
        <w:rPr>
          <w:rFonts w:hint="eastAsia" w:ascii="宋体" w:hAnsi="宋体" w:eastAsia="宋体" w:cs="宋体"/>
          <w:color w:val="auto"/>
          <w:kern w:val="0"/>
          <w:sz w:val="24"/>
          <w:szCs w:val="24"/>
          <w:lang w:val="en-US" w:eastAsia="zh-CN" w:bidi="ar"/>
        </w:rPr>
        <w:t>南澳岛、长山尾灯塔、青澳湾、泰佛殿、韩文公祠、广济桥、开元寺等</w:t>
      </w:r>
      <w:r>
        <w:rPr>
          <w:rFonts w:hint="eastAsia" w:ascii="宋体" w:hAnsi="宋体" w:eastAsia="宋体" w:cs="宋体"/>
          <w:b w:val="0"/>
          <w:bCs w:val="0"/>
          <w:color w:val="auto"/>
          <w:sz w:val="24"/>
          <w:szCs w:val="24"/>
        </w:rPr>
        <w:t>。</w:t>
      </w:r>
    </w:p>
    <w:p w14:paraId="6D14FB51">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sz w:val="24"/>
          <w:szCs w:val="24"/>
        </w:rPr>
        <w:t>要求行程安排轻松合理，休闲休养相结合。最终服务过程中包括但不仅限于以上线路，各投标人自行承担报价风险。</w:t>
      </w:r>
    </w:p>
    <w:p w14:paraId="2BDB214D">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四、服务要求</w:t>
      </w:r>
    </w:p>
    <w:p w14:paraId="6A7F2EB5">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1.保险：投标人报价包含必须为疗休养职工购买具有一定抵抗风险的保险，包括旅行社责任险和个人旅游人身意外险，</w:t>
      </w:r>
      <w:r>
        <w:rPr>
          <w:rFonts w:ascii="宋体" w:hAnsi="宋体" w:eastAsia="宋体"/>
          <w:b/>
          <w:color w:val="auto"/>
          <w:sz w:val="24"/>
          <w:szCs w:val="24"/>
        </w:rPr>
        <w:t>个人旅游人身意外险保额不得低于100万元</w:t>
      </w:r>
      <w:r>
        <w:rPr>
          <w:rFonts w:ascii="宋体" w:hAnsi="宋体" w:eastAsia="宋体"/>
          <w:color w:val="auto"/>
          <w:sz w:val="24"/>
          <w:szCs w:val="24"/>
        </w:rPr>
        <w:t>。</w:t>
      </w:r>
    </w:p>
    <w:p w14:paraId="5F05E178">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疗休养时间：一般不超过5天（含在途时间），赴对口支援(帮扶、合作)地区疗休养，可合理延长疗休养时间，最长不超过9天(含在途时间)（具体以采购人确定的出行方案为准），组团按采购人计划实施，具体出团及返回时间由中标人提供并获得采购人认可的方案为准。</w:t>
      </w:r>
    </w:p>
    <w:p w14:paraId="4F3FCBC4">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3.住宿：住宿酒</w:t>
      </w:r>
      <w:r>
        <w:rPr>
          <w:rFonts w:ascii="宋体" w:hAnsi="宋体" w:eastAsia="宋体" w:cs="Times New Roman"/>
          <w:color w:val="auto"/>
          <w:sz w:val="24"/>
          <w:szCs w:val="24"/>
        </w:rPr>
        <w:t>店为四星</w:t>
      </w:r>
      <w:r>
        <w:rPr>
          <w:rFonts w:hint="eastAsia" w:ascii="宋体" w:hAnsi="宋体" w:eastAsia="宋体" w:cs="Times New Roman"/>
          <w:color w:val="auto"/>
          <w:sz w:val="24"/>
          <w:szCs w:val="24"/>
        </w:rPr>
        <w:t>/四钻</w:t>
      </w:r>
      <w:r>
        <w:rPr>
          <w:rFonts w:ascii="宋体" w:hAnsi="宋体" w:eastAsia="宋体" w:cs="Times New Roman"/>
          <w:color w:val="auto"/>
          <w:sz w:val="24"/>
          <w:szCs w:val="24"/>
        </w:rPr>
        <w:t>及</w:t>
      </w:r>
      <w:r>
        <w:rPr>
          <w:rFonts w:ascii="宋体" w:hAnsi="宋体" w:eastAsia="宋体"/>
          <w:color w:val="auto"/>
          <w:sz w:val="24"/>
          <w:szCs w:val="24"/>
        </w:rPr>
        <w:t>以上商务标间，住宿要求不安排一楼，尽可能在同一楼层，不安排窗户朝路边喧闹的房间，含早餐。</w:t>
      </w:r>
      <w:r>
        <w:rPr>
          <w:rFonts w:hint="eastAsia" w:ascii="宋体" w:hAnsi="宋体" w:eastAsia="宋体"/>
          <w:color w:val="auto"/>
          <w:sz w:val="24"/>
          <w:szCs w:val="24"/>
          <w:lang w:val="en-US" w:eastAsia="zh-CN"/>
        </w:rPr>
        <w:t xml:space="preserve"> 为精品名宿。</w:t>
      </w:r>
      <w:r>
        <w:rPr>
          <w:rFonts w:ascii="宋体" w:hAnsi="宋体" w:eastAsia="宋体"/>
          <w:color w:val="auto"/>
          <w:sz w:val="24"/>
          <w:szCs w:val="24"/>
        </w:rPr>
        <w:t>要求房间干净整洁，各个设施齐全且能正常使用（淋浴房沐浴喷头有手持可以活动的喷头），24小时供应热水。具体成团的酒店以获得采购人认可的方案为准，另外若团队中出现单男单女，个人不补住房差价，由中标人安排并承担；个人要求单住房，需要补交个人房差价。</w:t>
      </w:r>
    </w:p>
    <w:p w14:paraId="0AD96524">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4.就餐安排：在正规饭店或农家乐就餐，采用桌餐或自助餐的形式。采用桌餐的以10人一桌为标准，正菜不少于12个（不含冷菜），荤菜不少于6个。入住酒店必须包含早餐</w:t>
      </w:r>
      <w:r>
        <w:rPr>
          <w:rFonts w:hint="eastAsia" w:ascii="宋体" w:hAnsi="宋体" w:eastAsia="宋体"/>
          <w:color w:val="auto"/>
          <w:sz w:val="24"/>
          <w:szCs w:val="24"/>
        </w:rPr>
        <w:t>。</w:t>
      </w:r>
      <w:r>
        <w:rPr>
          <w:rFonts w:hint="eastAsia" w:ascii="宋体" w:hAnsi="宋体" w:eastAsia="宋体" w:cs="Times New Roman"/>
          <w:b/>
          <w:bCs/>
          <w:color w:val="auto"/>
          <w:sz w:val="24"/>
          <w:szCs w:val="24"/>
        </w:rPr>
        <w:t>省外疗休养不低于中餐50元/人标准、晚餐50元/人标准，以及宾馆提供的标准早餐。</w:t>
      </w:r>
      <w:r>
        <w:rPr>
          <w:rFonts w:hint="eastAsia" w:ascii="宋体" w:hAnsi="宋体" w:eastAsia="宋体" w:cs="Times New Roman"/>
          <w:color w:val="auto"/>
          <w:sz w:val="24"/>
          <w:szCs w:val="24"/>
        </w:rPr>
        <w:t>用餐数按旅游天数计</w:t>
      </w:r>
      <w:r>
        <w:rPr>
          <w:rFonts w:ascii="宋体" w:hAnsi="宋体" w:eastAsia="宋体" w:cs="Times New Roman"/>
          <w:color w:val="auto"/>
          <w:sz w:val="24"/>
          <w:szCs w:val="24"/>
        </w:rPr>
        <w:t>。具体供应正餐次数以获得采购人认可的方案为准。</w:t>
      </w:r>
    </w:p>
    <w:p w14:paraId="769C593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5.交通：</w:t>
      </w:r>
      <w:r>
        <w:rPr>
          <w:rFonts w:hint="eastAsia" w:ascii="宋体" w:hAnsi="宋体" w:eastAsia="宋体"/>
          <w:b/>
          <w:color w:val="auto"/>
          <w:sz w:val="24"/>
          <w:szCs w:val="24"/>
        </w:rPr>
        <w:t>往返</w:t>
      </w:r>
      <w:r>
        <w:rPr>
          <w:rFonts w:hint="eastAsia" w:ascii="宋体" w:hAnsi="宋体"/>
          <w:b/>
          <w:color w:val="auto"/>
          <w:sz w:val="24"/>
          <w:szCs w:val="24"/>
          <w:lang w:val="en-US" w:eastAsia="zh-CN"/>
        </w:rPr>
        <w:t>为双高</w:t>
      </w:r>
      <w:r>
        <w:rPr>
          <w:rFonts w:hint="eastAsia" w:ascii="宋体" w:hAnsi="宋体" w:eastAsia="宋体"/>
          <w:b/>
          <w:color w:val="auto"/>
          <w:sz w:val="24"/>
          <w:szCs w:val="24"/>
        </w:rPr>
        <w:t>，</w:t>
      </w:r>
      <w:r>
        <w:rPr>
          <w:rFonts w:hint="eastAsia" w:ascii="宋体" w:hAnsi="宋体" w:eastAsia="宋体"/>
          <w:b/>
          <w:color w:val="auto"/>
          <w:sz w:val="24"/>
          <w:szCs w:val="24"/>
        </w:rPr>
        <w:t>除此外所有行程</w:t>
      </w:r>
      <w:r>
        <w:rPr>
          <w:rFonts w:ascii="宋体" w:hAnsi="宋体" w:eastAsia="宋体"/>
          <w:b/>
          <w:color w:val="auto"/>
          <w:sz w:val="24"/>
          <w:szCs w:val="24"/>
        </w:rPr>
        <w:t>统一由中标人负责安排空调旅游车接送</w:t>
      </w:r>
      <w:r>
        <w:rPr>
          <w:rFonts w:ascii="宋体" w:hAnsi="宋体" w:eastAsia="宋体"/>
          <w:color w:val="auto"/>
          <w:sz w:val="24"/>
          <w:szCs w:val="24"/>
        </w:rPr>
        <w:t>，在采购人指定地点出发，根据成团人数预备不同人数团队的适配车型，并应获得采购人认可；</w:t>
      </w:r>
      <w:r>
        <w:rPr>
          <w:rFonts w:hint="eastAsia" w:ascii="宋体" w:hAnsi="宋体" w:eastAsia="宋体"/>
          <w:color w:val="auto"/>
          <w:sz w:val="24"/>
          <w:szCs w:val="24"/>
        </w:rPr>
        <w:t>全程空调车接送，确保一人一座。要求车况好，登记注册时间为五年内车辆，内饰干净，下部有行李箱，车位充足，空调效果好。</w:t>
      </w:r>
      <w:r>
        <w:rPr>
          <w:rFonts w:ascii="宋体" w:hAnsi="宋体" w:eastAsia="宋体"/>
          <w:color w:val="auto"/>
          <w:sz w:val="24"/>
          <w:szCs w:val="24"/>
        </w:rPr>
        <w:t>团队出发前需提供旅游车辆及驾驶员信息。</w:t>
      </w:r>
      <w:r>
        <w:rPr>
          <w:rFonts w:hint="eastAsia" w:ascii="宋体" w:hAnsi="宋体" w:eastAsia="宋体"/>
          <w:color w:val="auto"/>
          <w:sz w:val="24"/>
          <w:szCs w:val="24"/>
        </w:rPr>
        <w:t>司机五年内无不良记录，服务态度好、技术好，所涉及的司机</w:t>
      </w:r>
      <w:r>
        <w:rPr>
          <w:rFonts w:hint="eastAsia" w:ascii="宋体" w:hAnsi="宋体" w:eastAsia="宋体"/>
          <w:color w:val="auto"/>
          <w:sz w:val="24"/>
          <w:szCs w:val="24"/>
          <w:lang w:eastAsia="zh-CN"/>
        </w:rPr>
        <w:t>、</w:t>
      </w:r>
      <w:r>
        <w:rPr>
          <w:rFonts w:hint="eastAsia" w:ascii="宋体" w:hAnsi="宋体" w:eastAsia="宋体"/>
          <w:color w:val="auto"/>
          <w:sz w:val="24"/>
          <w:szCs w:val="24"/>
        </w:rPr>
        <w:t>车辆费用均包含在报价中，不另行支付。</w:t>
      </w:r>
    </w:p>
    <w:p w14:paraId="7FE846D4">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确保行程安全</w:t>
      </w:r>
      <w:r>
        <w:rPr>
          <w:rFonts w:hint="eastAsia" w:ascii="宋体" w:hAnsi="宋体" w:eastAsia="宋体"/>
          <w:color w:val="auto"/>
          <w:sz w:val="24"/>
          <w:szCs w:val="24"/>
          <w:lang w:eastAsia="zh-CN"/>
        </w:rPr>
        <w:t>，</w:t>
      </w:r>
      <w:r>
        <w:rPr>
          <w:rFonts w:ascii="宋体" w:hAnsi="宋体" w:eastAsia="宋体"/>
          <w:color w:val="auto"/>
          <w:sz w:val="24"/>
          <w:szCs w:val="24"/>
        </w:rPr>
        <w:t>具体出行</w:t>
      </w:r>
      <w:r>
        <w:rPr>
          <w:rFonts w:hint="eastAsia" w:ascii="宋体" w:hAnsi="宋体" w:eastAsia="宋体"/>
          <w:color w:val="auto"/>
          <w:sz w:val="24"/>
          <w:szCs w:val="24"/>
          <w:lang w:val="en-US" w:eastAsia="zh-CN"/>
        </w:rPr>
        <w:t>交通</w:t>
      </w:r>
      <w:r>
        <w:rPr>
          <w:rFonts w:ascii="宋体" w:hAnsi="宋体" w:eastAsia="宋体"/>
          <w:color w:val="auto"/>
          <w:sz w:val="24"/>
          <w:szCs w:val="24"/>
        </w:rPr>
        <w:t>以中标人与采购人协商，以获得采购人认可的</w:t>
      </w:r>
      <w:r>
        <w:rPr>
          <w:rFonts w:hint="eastAsia" w:ascii="宋体" w:hAnsi="宋体" w:eastAsia="宋体"/>
          <w:color w:val="auto"/>
          <w:sz w:val="24"/>
          <w:szCs w:val="24"/>
          <w:lang w:val="en-US" w:eastAsia="zh-CN"/>
        </w:rPr>
        <w:t>交通</w:t>
      </w:r>
      <w:r>
        <w:rPr>
          <w:rFonts w:ascii="宋体" w:hAnsi="宋体" w:eastAsia="宋体"/>
          <w:color w:val="auto"/>
          <w:sz w:val="24"/>
          <w:szCs w:val="24"/>
        </w:rPr>
        <w:t>方案为准。</w:t>
      </w:r>
    </w:p>
    <w:p w14:paraId="466B2358">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6.景点及门票：根据具体线路安排投标人应在投标文件中提供详细的所涉及的主要景区、景点的具体安排及旅游设计方案。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14:paraId="2A179AEC">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7.</w:t>
      </w:r>
      <w:r>
        <w:rPr>
          <w:rFonts w:hint="eastAsia" w:ascii="宋体" w:hAnsi="宋体" w:eastAsia="宋体"/>
          <w:color w:val="auto"/>
          <w:sz w:val="24"/>
          <w:szCs w:val="24"/>
        </w:rPr>
        <w:t>导游</w:t>
      </w:r>
      <w:r>
        <w:rPr>
          <w:rFonts w:hint="eastAsia" w:ascii="宋体" w:hAnsi="宋体" w:eastAsia="宋体"/>
          <w:color w:val="auto"/>
          <w:sz w:val="24"/>
          <w:szCs w:val="24"/>
          <w:lang w:val="en-US" w:eastAsia="zh-CN"/>
        </w:rPr>
        <w:t>情</w:t>
      </w:r>
      <w:r>
        <w:rPr>
          <w:rFonts w:hint="eastAsia" w:ascii="宋体" w:hAnsi="宋体" w:eastAsia="宋体"/>
          <w:color w:val="auto"/>
          <w:sz w:val="24"/>
          <w:szCs w:val="24"/>
        </w:rPr>
        <w:t>况：供应商需安排有丰富经验的导游全程陪同，每</w:t>
      </w:r>
      <w:r>
        <w:rPr>
          <w:rFonts w:hint="eastAsia" w:ascii="宋体" w:hAnsi="宋体" w:eastAsia="宋体"/>
          <w:color w:val="auto"/>
          <w:sz w:val="24"/>
          <w:szCs w:val="24"/>
          <w:lang w:val="en-US" w:eastAsia="zh-CN"/>
        </w:rPr>
        <w:t>条线路</w:t>
      </w:r>
      <w:r>
        <w:rPr>
          <w:rFonts w:hint="eastAsia" w:ascii="宋体" w:hAnsi="宋体" w:eastAsia="宋体"/>
          <w:color w:val="auto"/>
          <w:sz w:val="24"/>
          <w:szCs w:val="24"/>
        </w:rPr>
        <w:t>至少安排一名</w:t>
      </w:r>
      <w:r>
        <w:rPr>
          <w:rFonts w:hint="eastAsia" w:ascii="宋体" w:hAnsi="宋体" w:eastAsia="宋体"/>
          <w:color w:val="auto"/>
          <w:sz w:val="24"/>
          <w:szCs w:val="24"/>
          <w:lang w:val="en-US" w:eastAsia="zh-CN"/>
        </w:rPr>
        <w:t>全程陪同</w:t>
      </w:r>
      <w:r>
        <w:rPr>
          <w:rFonts w:hint="eastAsia" w:ascii="宋体" w:hAnsi="宋体" w:eastAsia="宋体"/>
          <w:color w:val="auto"/>
          <w:sz w:val="24"/>
          <w:szCs w:val="24"/>
        </w:rPr>
        <w:t>导游</w:t>
      </w:r>
      <w:r>
        <w:rPr>
          <w:rFonts w:hint="eastAsia" w:ascii="宋体" w:hAnsi="宋体" w:eastAsia="宋体"/>
          <w:color w:val="auto"/>
          <w:sz w:val="24"/>
          <w:szCs w:val="24"/>
          <w:lang w:val="en-US" w:eastAsia="zh-CN"/>
        </w:rPr>
        <w:t>和</w:t>
      </w:r>
      <w:r>
        <w:rPr>
          <w:rFonts w:hint="eastAsia" w:ascii="宋体" w:hAnsi="宋体" w:eastAsia="宋体" w:cs="宋体"/>
          <w:color w:val="auto"/>
          <w:sz w:val="24"/>
          <w:szCs w:val="24"/>
        </w:rPr>
        <w:t>地陪导游服务</w:t>
      </w:r>
      <w:r>
        <w:rPr>
          <w:rFonts w:hint="eastAsia" w:ascii="宋体" w:hAnsi="宋体" w:eastAsia="宋体"/>
          <w:color w:val="auto"/>
          <w:sz w:val="24"/>
          <w:szCs w:val="24"/>
        </w:rPr>
        <w:t>（具备导游证）</w:t>
      </w:r>
      <w:r>
        <w:rPr>
          <w:rFonts w:hint="eastAsia" w:ascii="宋体" w:hAnsi="宋体" w:eastAsia="宋体"/>
          <w:color w:val="auto"/>
          <w:sz w:val="24"/>
          <w:szCs w:val="24"/>
          <w:lang w:eastAsia="zh-CN"/>
        </w:rPr>
        <w:t>，</w:t>
      </w:r>
      <w:r>
        <w:rPr>
          <w:rFonts w:hint="eastAsia" w:ascii="宋体" w:hAnsi="宋体" w:eastAsia="宋体"/>
          <w:color w:val="auto"/>
          <w:sz w:val="24"/>
          <w:szCs w:val="24"/>
        </w:rPr>
        <w:t>所涉及的导游费用均包含在报价中，不另行支付。</w:t>
      </w:r>
    </w:p>
    <w:p w14:paraId="15DC8E7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8.购物：全程不进购物点；如参团人员确有购物需求的，随团导游需提供便利条件。</w:t>
      </w:r>
    </w:p>
    <w:p w14:paraId="75F3D668">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9.安全保密：中标人须与采购人签订安全保密协议，严禁中标人私自复制、传播疗休养人员信息，所有参加疗休养人员名单和个人信息不得外泄。</w:t>
      </w:r>
    </w:p>
    <w:p w14:paraId="10A9C8D5">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10.中标人需安排一名项目负责人，在服务期内与采购人进行对接，负责每批次的人员安排和具体事宜联系，成交后不得随意更换。</w:t>
      </w:r>
    </w:p>
    <w:p w14:paraId="28755377">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11.制定应急预案，发放《行程安排表》和《注意事项》。如遇意外突发事件中标人要在第一时间内进行妥善处理，处理结果要及时与采购人汇报和沟通，并积极配合有关单位做好善后处理工作。</w:t>
      </w:r>
    </w:p>
    <w:p w14:paraId="04288422">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12.合同期间，必须做到有问必答。对健康休养人员反映的情况或投诉，不回避矛盾、不推卸责任，对发生的问题予以及时处理，将问题解决在旅途中。</w:t>
      </w:r>
    </w:p>
    <w:p w14:paraId="13DD50BA">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13.如有会议或培训负责联系落实会议室事宜，会议室提供茶水。</w:t>
      </w:r>
    </w:p>
    <w:p w14:paraId="0BAF7FD8">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olor w:val="auto"/>
          <w:sz w:val="24"/>
          <w:szCs w:val="24"/>
        </w:rPr>
      </w:pPr>
      <w:r>
        <w:rPr>
          <w:rFonts w:ascii="宋体" w:hAnsi="宋体" w:eastAsia="宋体"/>
          <w:color w:val="auto"/>
          <w:sz w:val="24"/>
          <w:szCs w:val="24"/>
        </w:rPr>
        <w:t>14.提供测评表样表，每批结束前进行职工疗休养满意度调查反馈，调查表统一交给随行的采购人领队或者中标人随行导游。</w:t>
      </w:r>
    </w:p>
    <w:p w14:paraId="73AC9D58">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五、其他要求</w:t>
      </w:r>
    </w:p>
    <w:p w14:paraId="5BC41D6B">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1.因天气及路况出现问题而要改变出行时间、行程的，要双方协商解决。</w:t>
      </w:r>
    </w:p>
    <w:p w14:paraId="65133C27">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2.中标人必须直接管理服务，不得转包、非法分包。</w:t>
      </w:r>
    </w:p>
    <w:p w14:paraId="2A882004">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3.中标人向疗休养者提供约定的疗休养服务。对可能危及疗休养者人身、财产安全的情况，应当事前向疗休养者作出说明和警示，并采取合理措施防止危害发生。</w:t>
      </w:r>
    </w:p>
    <w:p w14:paraId="21E93CC9">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4.中标人向疗休养者告知具体行程安排，各项服务内容及标准，疗休养目的地风俗习惯，安全避险措施，应急联络方式。</w:t>
      </w:r>
    </w:p>
    <w:p w14:paraId="73E4966B">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5.中标人不得强迫或变相强迫疗休养者购物及参加自费项目。</w:t>
      </w:r>
    </w:p>
    <w:p w14:paraId="043D2EB0">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6.中标人必须遵守劳动法相关规定，与每位员工签订劳动合同，出现劳动纠纷事件一律与采购人无关，并加强对员工的培训、教育，爱护公共财物，确保安全工作，杜绝各类事故。</w:t>
      </w:r>
    </w:p>
    <w:p w14:paraId="1A5DDC42">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7.中标人工作人员的日常管理及人身安全和发生的安全事故等均由中标人管理和承担，出现安全事故一律与采购人无关。</w:t>
      </w:r>
    </w:p>
    <w:p w14:paraId="64275D28">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六、采购人义务</w:t>
      </w:r>
    </w:p>
    <w:p w14:paraId="2348C92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采购人应当履行下列义务：</w:t>
      </w:r>
    </w:p>
    <w:p w14:paraId="0F78768C">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1.采购人所提供的证件及相关资料必须真实有效。</w:t>
      </w:r>
    </w:p>
    <w:p w14:paraId="2174C751">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2.采购人应确保自身身体条件适合参加旅游团旅游，并有义务在签订本合同时将自身健康状况告知中标人。</w:t>
      </w:r>
    </w:p>
    <w:p w14:paraId="15F1702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3.采购人应妥善保管随身携带的行李物品，未委托中标人代管而损坏或丢失的，责任自负。</w:t>
      </w:r>
    </w:p>
    <w:p w14:paraId="155A99BB">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4.采购人在旅游活动中应遵守团队纪律，配合导游完成本次旅游行程。</w:t>
      </w:r>
    </w:p>
    <w:p w14:paraId="4D8CDCA4">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5.采购人应尊重目的地的宗教信仰、民族习惯和风土人情。 　　</w:t>
      </w:r>
    </w:p>
    <w:p w14:paraId="60A7D05F">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七、中标人义务</w:t>
      </w:r>
      <w:r>
        <w:rPr>
          <w:rFonts w:ascii="宋体" w:hAnsi="宋体" w:eastAsia="宋体"/>
          <w:b/>
          <w:color w:val="auto"/>
          <w:sz w:val="24"/>
          <w:szCs w:val="24"/>
        </w:rPr>
        <w:t xml:space="preserve"> 　</w:t>
      </w:r>
    </w:p>
    <w:p w14:paraId="7393E16A">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中标人应履行下列义务：</w:t>
      </w:r>
    </w:p>
    <w:p w14:paraId="4F0DFF30">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1.中标人应当按照有关规定购买保险。</w:t>
      </w:r>
    </w:p>
    <w:p w14:paraId="68DFBD4E">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2.中标人代理采购人办理旅游所需的手续，应妥善保管采购人的各项证件，如有遗失或毁损，应立即主动补办，并承担补办手续费，因此导致采购人的直接损失，中标人应当承担赔偿责任。</w:t>
      </w:r>
    </w:p>
    <w:p w14:paraId="5CB18CF0">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3.采购人在旅游中发生人身伤害或财产损失事故时，中标人应做出必要的协作和处理。如因中标人原因导致采购人人身伤害或财产损失，中标人应承担赔偿责任。</w:t>
      </w:r>
    </w:p>
    <w:p w14:paraId="5E230B96">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4.非因中标人原因，导致采购人在旅游期间搭乘汽车、地铁、索道、缆车等交通工具时受到人身伤害和财产损失的，中标人应协助采购人向提供上列服务的经营者索赔。</w:t>
      </w:r>
    </w:p>
    <w:p w14:paraId="7C22B647">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八、考核</w:t>
      </w:r>
    </w:p>
    <w:p w14:paraId="61FAC70F">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考核方式：每次完成疗养服务回程时，导游发放《职工疗休养满意度调查表》（见附件1），出行职工对本次出行计划、酒店、就餐等情况进行服务评分并填写《职工疗休养满意度调查表》（职工疗休养满意度调查表选项填写不全或赋分不在设定范围的无效），满意度调查结果由导游（或中标人代表）和职工代表签字留存并当场宣布，采购人根据满意度平均分确认当次疗休养费用。</w:t>
      </w:r>
    </w:p>
    <w:p w14:paraId="2C7A8D72">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考核标准：当次满意度平均分高于85分（含），支付当期疗休养费用的100%；当次满意度平均分高于75分（含）低于85分，扣减当期疗休养费用5%；当次满意度平均分低75分，扣减当期疗休养费用10%。出现2次（含）以上满意度平均分低于60分（含）的，采购人有权终止合同。</w:t>
      </w:r>
    </w:p>
    <w:p w14:paraId="40956AB7">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九、履约保证金及付款方式</w:t>
      </w:r>
    </w:p>
    <w:p w14:paraId="55A2B23A">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1.履约保证金</w:t>
      </w:r>
      <w:r>
        <w:rPr>
          <w:rFonts w:hint="eastAsia" w:ascii="宋体" w:hAnsi="宋体"/>
          <w:color w:val="auto"/>
          <w:sz w:val="24"/>
          <w:szCs w:val="24"/>
          <w:lang w:eastAsia="zh-CN"/>
        </w:rPr>
        <w:t>：</w:t>
      </w:r>
      <w:r>
        <w:rPr>
          <w:rFonts w:hint="eastAsia" w:ascii="宋体" w:hAnsi="宋体" w:eastAsia="宋体"/>
          <w:color w:val="auto"/>
          <w:sz w:val="24"/>
          <w:szCs w:val="24"/>
        </w:rPr>
        <w:t>本项目不收取履约保证金。</w:t>
      </w:r>
    </w:p>
    <w:p w14:paraId="0B85CA45">
      <w:pPr>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2.付款方式</w:t>
      </w:r>
      <w:r>
        <w:rPr>
          <w:rFonts w:hint="eastAsia" w:ascii="宋体" w:hAnsi="宋体"/>
          <w:color w:val="auto"/>
          <w:sz w:val="24"/>
          <w:szCs w:val="24"/>
          <w:lang w:eastAsia="zh-CN"/>
        </w:rPr>
        <w:t>：</w:t>
      </w:r>
      <w:r>
        <w:rPr>
          <w:rFonts w:hint="eastAsia" w:ascii="宋体" w:hAnsi="宋体" w:eastAsia="宋体"/>
          <w:color w:val="auto"/>
          <w:sz w:val="24"/>
          <w:szCs w:val="24"/>
        </w:rPr>
        <w:t>实际费用按中标金额与实际成行人数结合满意度考核办法结算。每批次疗休养结束后，采购人在收到中标人提供的发票后，按诸暨市疗休养相关政策规定，及时</w:t>
      </w:r>
      <w:r>
        <w:rPr>
          <w:rFonts w:ascii="宋体" w:hAnsi="宋体" w:eastAsia="宋体"/>
          <w:color w:val="auto"/>
          <w:sz w:val="24"/>
          <w:szCs w:val="24"/>
        </w:rPr>
        <w:t>支付该批次疗休养费用。</w:t>
      </w:r>
    </w:p>
    <w:p w14:paraId="16C68719">
      <w:pPr>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ascii="宋体" w:hAnsi="宋体" w:eastAsia="宋体"/>
          <w:b/>
          <w:color w:val="auto"/>
          <w:sz w:val="24"/>
          <w:szCs w:val="24"/>
        </w:rPr>
      </w:pPr>
      <w:r>
        <w:rPr>
          <w:rFonts w:hint="eastAsia" w:ascii="宋体" w:hAnsi="宋体" w:eastAsia="宋体"/>
          <w:b/>
          <w:color w:val="auto"/>
          <w:sz w:val="24"/>
          <w:szCs w:val="24"/>
        </w:rPr>
        <w:t>十、最高限价</w:t>
      </w:r>
    </w:p>
    <w:p w14:paraId="7486B961">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宋体" w:hAnsi="宋体" w:eastAsia="宋体" w:cs="Times New Roman"/>
          <w:b/>
          <w:bCs/>
          <w:color w:val="auto"/>
          <w:sz w:val="24"/>
          <w:szCs w:val="24"/>
        </w:rPr>
      </w:pPr>
      <w:r>
        <w:rPr>
          <w:rFonts w:hint="eastAsia" w:ascii="宋体" w:hAnsi="宋体" w:eastAsia="宋体"/>
          <w:b/>
          <w:bCs/>
          <w:color w:val="auto"/>
          <w:sz w:val="24"/>
          <w:szCs w:val="24"/>
        </w:rPr>
        <w:t>本次采购</w:t>
      </w:r>
      <w:r>
        <w:rPr>
          <w:rFonts w:hint="eastAsia" w:ascii="宋体" w:hAnsi="宋体" w:eastAsia="宋体" w:cs="Times New Roman"/>
          <w:b/>
          <w:bCs/>
          <w:color w:val="auto"/>
          <w:sz w:val="24"/>
          <w:szCs w:val="24"/>
          <w:highlight w:val="none"/>
          <w:lang w:val="en-US" w:eastAsia="zh-CN"/>
        </w:rPr>
        <w:t>疗休养标准费用</w:t>
      </w:r>
      <w:r>
        <w:rPr>
          <w:rFonts w:hint="eastAsia" w:ascii="宋体" w:hAnsi="宋体" w:eastAsia="宋体" w:cs="Times New Roman"/>
          <w:b/>
          <w:bCs/>
          <w:color w:val="auto"/>
          <w:sz w:val="24"/>
          <w:szCs w:val="24"/>
          <w:highlight w:val="none"/>
        </w:rPr>
        <w:t>为</w:t>
      </w:r>
      <w:r>
        <w:rPr>
          <w:rFonts w:hint="eastAsia" w:ascii="宋体" w:hAnsi="宋体" w:eastAsia="宋体" w:cs="Times New Roman"/>
          <w:b/>
          <w:bCs/>
          <w:color w:val="auto"/>
          <w:sz w:val="24"/>
          <w:szCs w:val="24"/>
          <w:highlight w:val="none"/>
          <w:lang w:val="en-US" w:eastAsia="zh-CN"/>
        </w:rPr>
        <w:t>叁仟元</w:t>
      </w:r>
      <w:r>
        <w:rPr>
          <w:rFonts w:hint="eastAsia" w:ascii="宋体" w:hAnsi="宋体" w:eastAsia="宋体" w:cs="Times New Roman"/>
          <w:b/>
          <w:bCs/>
          <w:color w:val="auto"/>
          <w:sz w:val="24"/>
          <w:szCs w:val="24"/>
          <w:highlight w:val="none"/>
        </w:rPr>
        <w:t>每人（小写：</w:t>
      </w:r>
      <w:r>
        <w:rPr>
          <w:rFonts w:hint="eastAsia" w:ascii="宋体" w:hAnsi="宋体" w:eastAsia="宋体" w:cs="Times New Roman"/>
          <w:b/>
          <w:bCs/>
          <w:color w:val="auto"/>
          <w:sz w:val="24"/>
          <w:szCs w:val="24"/>
          <w:highlight w:val="none"/>
          <w:lang w:val="en-US" w:eastAsia="zh-CN"/>
        </w:rPr>
        <w:t>3000</w:t>
      </w:r>
      <w:r>
        <w:rPr>
          <w:rFonts w:hint="eastAsia" w:ascii="宋体" w:hAnsi="宋体" w:eastAsia="宋体" w:cs="Times New Roman"/>
          <w:b/>
          <w:bCs/>
          <w:color w:val="auto"/>
          <w:sz w:val="24"/>
          <w:szCs w:val="24"/>
          <w:highlight w:val="none"/>
        </w:rPr>
        <w:t>.00元/人）</w:t>
      </w:r>
      <w:r>
        <w:rPr>
          <w:rFonts w:ascii="宋体" w:hAnsi="宋体" w:eastAsia="宋体"/>
          <w:b/>
          <w:bCs/>
          <w:color w:val="auto"/>
          <w:sz w:val="24"/>
          <w:szCs w:val="24"/>
        </w:rPr>
        <w:t>，任何超过最高单价限价的报价将被认定为无效报价（报价包括交通、住宿、餐饮、景点门票、导游、保险、税费</w:t>
      </w:r>
      <w:r>
        <w:rPr>
          <w:rFonts w:hint="eastAsia" w:ascii="宋体" w:hAnsi="宋体" w:eastAsia="宋体"/>
          <w:b/>
          <w:bCs/>
          <w:color w:val="auto"/>
          <w:sz w:val="24"/>
          <w:szCs w:val="24"/>
        </w:rPr>
        <w:t>、代理服务费</w:t>
      </w:r>
      <w:r>
        <w:rPr>
          <w:rFonts w:ascii="宋体" w:hAnsi="宋体" w:eastAsia="宋体"/>
          <w:b/>
          <w:bCs/>
          <w:color w:val="auto"/>
          <w:sz w:val="24"/>
          <w:szCs w:val="24"/>
        </w:rPr>
        <w:t>等项目实施的一</w:t>
      </w:r>
      <w:r>
        <w:rPr>
          <w:rFonts w:hint="eastAsia" w:ascii="宋体" w:hAnsi="宋体" w:eastAsia="宋体" w:cs="Times New Roman"/>
          <w:b/>
          <w:bCs/>
          <w:color w:val="auto"/>
          <w:sz w:val="24"/>
          <w:szCs w:val="24"/>
        </w:rPr>
        <w:t>切费用）。</w:t>
      </w:r>
    </w:p>
    <w:p w14:paraId="180751A4">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rPr>
        <w:t>本项目</w:t>
      </w:r>
      <w:r>
        <w:rPr>
          <w:rFonts w:hint="eastAsia" w:ascii="宋体" w:hAnsi="宋体" w:eastAsia="宋体" w:cs="Times New Roman"/>
          <w:b/>
          <w:bCs/>
          <w:color w:val="auto"/>
          <w:sz w:val="24"/>
          <w:szCs w:val="24"/>
          <w:lang w:val="en-US" w:eastAsia="zh-CN"/>
        </w:rPr>
        <w:t>最高结算金额为人民币壹拾陆万伍仟元整（小写：¥165000.00）。</w:t>
      </w:r>
    </w:p>
    <w:p w14:paraId="612CF454">
      <w:pPr>
        <w:pStyle w:val="4"/>
        <w:keepNext/>
        <w:keepLines/>
        <w:pageBreakBefore w:val="0"/>
        <w:widowControl w:val="0"/>
        <w:kinsoku/>
        <w:wordWrap/>
        <w:overflowPunct/>
        <w:topLinePunct w:val="0"/>
        <w:autoSpaceDE w:val="0"/>
        <w:autoSpaceDN w:val="0"/>
        <w:bidi w:val="0"/>
        <w:adjustRightInd w:val="0"/>
        <w:snapToGrid/>
        <w:spacing w:before="0" w:after="0" w:line="288" w:lineRule="auto"/>
        <w:ind w:firstLine="480" w:firstLineChars="200"/>
        <w:textAlignment w:val="auto"/>
        <w:rPr>
          <w:rFonts w:hint="eastAsia" w:ascii="宋体" w:hAnsi="宋体" w:eastAsia="宋体" w:cs="Times New Roman"/>
          <w:b w:val="0"/>
          <w:color w:val="auto"/>
          <w:kern w:val="0"/>
          <w:sz w:val="24"/>
          <w:szCs w:val="24"/>
          <w:lang w:val="en-US" w:eastAsia="zh-CN" w:bidi="ar-SA"/>
        </w:rPr>
      </w:pPr>
    </w:p>
    <w:p w14:paraId="6CB5F4A9">
      <w:pPr>
        <w:pageBreakBefore w:val="0"/>
        <w:kinsoku/>
        <w:wordWrap/>
        <w:overflowPunct/>
        <w:topLinePunct w:val="0"/>
        <w:bidi w:val="0"/>
        <w:snapToGrid/>
        <w:spacing w:line="288" w:lineRule="auto"/>
        <w:textAlignment w:val="auto"/>
        <w:rPr>
          <w:rFonts w:hint="eastAsia" w:ascii="宋体" w:hAnsi="宋体" w:eastAsia="宋体" w:cs="宋体"/>
          <w:color w:val="auto"/>
          <w:sz w:val="24"/>
          <w:szCs w:val="24"/>
        </w:rPr>
      </w:pPr>
    </w:p>
    <w:p w14:paraId="28B5AFD8">
      <w:pPr>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szCs w:val="24"/>
        </w:rPr>
        <w:sectPr>
          <w:headerReference r:id="rId9" w:type="first"/>
          <w:headerReference r:id="rId8" w:type="default"/>
          <w:footerReference r:id="rId10" w:type="default"/>
          <w:pgSz w:w="11906" w:h="16838"/>
          <w:pgMar w:top="1236" w:right="1236" w:bottom="1236" w:left="1236" w:header="851" w:footer="90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auto"/>
          <w:sz w:val="24"/>
          <w:szCs w:val="24"/>
          <w:highlight w:val="none"/>
        </w:rPr>
        <w:t>注：以上“★”项为实质性响应条款，未实质性响应或不满足则作无效投标处理。</w:t>
      </w:r>
    </w:p>
    <w:p w14:paraId="302453AB">
      <w:pPr>
        <w:pageBreakBefore w:val="0"/>
        <w:kinsoku/>
        <w:wordWrap/>
        <w:overflowPunct/>
        <w:topLinePunct w:val="0"/>
        <w:bidi w:val="0"/>
        <w:snapToGrid/>
        <w:spacing w:line="288" w:lineRule="auto"/>
        <w:textAlignment w:val="auto"/>
        <w:rPr>
          <w:rFonts w:ascii="宋体" w:hAnsi="宋体" w:cs="宋体"/>
          <w:color w:val="auto"/>
        </w:rPr>
      </w:pPr>
      <w:r>
        <w:rPr>
          <w:rFonts w:hint="eastAsia" w:ascii="宋体" w:hAnsi="宋体" w:eastAsia="宋体" w:cs="宋体"/>
          <w:color w:val="auto"/>
          <w:sz w:val="24"/>
          <w:szCs w:val="24"/>
        </w:rPr>
        <w:t>附件：</w:t>
      </w:r>
    </w:p>
    <w:tbl>
      <w:tblPr>
        <w:tblStyle w:val="16"/>
        <w:tblW w:w="9009" w:type="dxa"/>
        <w:jc w:val="center"/>
        <w:tblLayout w:type="fixed"/>
        <w:tblCellMar>
          <w:top w:w="0" w:type="dxa"/>
          <w:left w:w="108" w:type="dxa"/>
          <w:bottom w:w="0" w:type="dxa"/>
          <w:right w:w="108" w:type="dxa"/>
        </w:tblCellMar>
      </w:tblPr>
      <w:tblGrid>
        <w:gridCol w:w="521"/>
        <w:gridCol w:w="5150"/>
        <w:gridCol w:w="931"/>
        <w:gridCol w:w="757"/>
        <w:gridCol w:w="750"/>
        <w:gridCol w:w="900"/>
      </w:tblGrid>
      <w:tr w14:paraId="588F8A0D">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655266B8">
            <w:pPr>
              <w:pageBreakBefore w:val="0"/>
              <w:widowControl/>
              <w:kinsoku/>
              <w:wordWrap/>
              <w:overflowPunct/>
              <w:topLinePunct w:val="0"/>
              <w:bidi w:val="0"/>
              <w:snapToGrid/>
              <w:spacing w:line="288" w:lineRule="auto"/>
              <w:jc w:val="center"/>
              <w:textAlignment w:val="auto"/>
              <w:rPr>
                <w:rFonts w:ascii="宋体" w:hAnsi="宋体" w:cs="宋体"/>
                <w:b/>
                <w:bCs/>
                <w:color w:val="auto"/>
                <w:sz w:val="24"/>
              </w:rPr>
            </w:pPr>
            <w:r>
              <w:rPr>
                <w:rFonts w:hint="eastAsia" w:ascii="宋体" w:hAnsi="宋体" w:eastAsia="宋体" w:cs="宋体"/>
                <w:b/>
                <w:bCs/>
                <w:color w:val="auto"/>
                <w:sz w:val="24"/>
                <w:szCs w:val="24"/>
              </w:rPr>
              <w:t>职工疗休养满意度调查表</w:t>
            </w:r>
          </w:p>
        </w:tc>
      </w:tr>
      <w:tr w14:paraId="33D0BB91">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vAlign w:val="center"/>
          </w:tcPr>
          <w:p w14:paraId="18F75B5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xml:space="preserve">    感谢您对旅行社的服务情况进行评分反馈。希望您能认真、详实地填写。同时为耽误您的宝贵时间表示歉意。</w:t>
            </w:r>
          </w:p>
        </w:tc>
      </w:tr>
      <w:tr w14:paraId="2304A9BB">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41B563D2">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xml:space="preserve">    为您服务的旅行社名称：                           疗休养线路：</w:t>
            </w:r>
          </w:p>
        </w:tc>
      </w:tr>
      <w:tr w14:paraId="3440DCA0">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19D59EE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xml:space="preserve">    请根据您的实际感受对以下各项进行评分：</w:t>
            </w:r>
          </w:p>
        </w:tc>
      </w:tr>
      <w:tr w14:paraId="58DF1C58">
        <w:tblPrEx>
          <w:tblCellMar>
            <w:top w:w="0" w:type="dxa"/>
            <w:left w:w="108" w:type="dxa"/>
            <w:bottom w:w="0" w:type="dxa"/>
            <w:right w:w="108" w:type="dxa"/>
          </w:tblCellMar>
        </w:tblPrEx>
        <w:trPr>
          <w:trHeight w:val="340" w:hRule="atLeast"/>
          <w:jc w:val="center"/>
        </w:trPr>
        <w:tc>
          <w:tcPr>
            <w:tcW w:w="567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D347CEE">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评价内容</w:t>
            </w:r>
          </w:p>
        </w:tc>
        <w:tc>
          <w:tcPr>
            <w:tcW w:w="3338" w:type="dxa"/>
            <w:gridSpan w:val="4"/>
            <w:tcBorders>
              <w:top w:val="single" w:color="auto" w:sz="4" w:space="0"/>
              <w:left w:val="nil"/>
              <w:bottom w:val="single" w:color="auto" w:sz="4" w:space="0"/>
              <w:right w:val="single" w:color="auto" w:sz="4" w:space="0"/>
            </w:tcBorders>
            <w:noWrap/>
            <w:vAlign w:val="center"/>
          </w:tcPr>
          <w:p w14:paraId="5AC26B0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满意度评分（0-100分）</w:t>
            </w:r>
          </w:p>
        </w:tc>
      </w:tr>
      <w:tr w14:paraId="13FD2001">
        <w:tblPrEx>
          <w:tblCellMar>
            <w:top w:w="0" w:type="dxa"/>
            <w:left w:w="108" w:type="dxa"/>
            <w:bottom w:w="0" w:type="dxa"/>
            <w:right w:w="108" w:type="dxa"/>
          </w:tblCellMar>
        </w:tblPrEx>
        <w:trPr>
          <w:trHeight w:val="340" w:hRule="atLeast"/>
          <w:jc w:val="center"/>
        </w:trPr>
        <w:tc>
          <w:tcPr>
            <w:tcW w:w="5671" w:type="dxa"/>
            <w:gridSpan w:val="2"/>
            <w:vMerge w:val="continue"/>
            <w:tcBorders>
              <w:top w:val="single" w:color="auto" w:sz="4" w:space="0"/>
              <w:left w:val="single" w:color="auto" w:sz="4" w:space="0"/>
              <w:bottom w:val="single" w:color="auto" w:sz="4" w:space="0"/>
              <w:right w:val="single" w:color="auto" w:sz="4" w:space="0"/>
            </w:tcBorders>
            <w:vAlign w:val="center"/>
          </w:tcPr>
          <w:p w14:paraId="0E15ABD3">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931" w:type="dxa"/>
            <w:tcBorders>
              <w:top w:val="nil"/>
              <w:left w:val="nil"/>
              <w:bottom w:val="single" w:color="auto" w:sz="4" w:space="0"/>
              <w:right w:val="single" w:color="auto" w:sz="4" w:space="0"/>
            </w:tcBorders>
            <w:noWrap/>
            <w:vAlign w:val="center"/>
          </w:tcPr>
          <w:p w14:paraId="73DCA2B9">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非常满意</w:t>
            </w:r>
          </w:p>
        </w:tc>
        <w:tc>
          <w:tcPr>
            <w:tcW w:w="757" w:type="dxa"/>
            <w:tcBorders>
              <w:top w:val="nil"/>
              <w:left w:val="nil"/>
              <w:bottom w:val="single" w:color="auto" w:sz="4" w:space="0"/>
              <w:right w:val="single" w:color="auto" w:sz="4" w:space="0"/>
            </w:tcBorders>
            <w:noWrap/>
            <w:vAlign w:val="center"/>
          </w:tcPr>
          <w:p w14:paraId="35089A20">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满意</w:t>
            </w:r>
          </w:p>
        </w:tc>
        <w:tc>
          <w:tcPr>
            <w:tcW w:w="750" w:type="dxa"/>
            <w:tcBorders>
              <w:top w:val="nil"/>
              <w:left w:val="nil"/>
              <w:bottom w:val="single" w:color="auto" w:sz="4" w:space="0"/>
              <w:right w:val="single" w:color="auto" w:sz="4" w:space="0"/>
            </w:tcBorders>
            <w:noWrap/>
            <w:vAlign w:val="center"/>
          </w:tcPr>
          <w:p w14:paraId="6E44DCF1">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一般</w:t>
            </w:r>
          </w:p>
        </w:tc>
        <w:tc>
          <w:tcPr>
            <w:tcW w:w="900" w:type="dxa"/>
            <w:tcBorders>
              <w:top w:val="nil"/>
              <w:left w:val="nil"/>
              <w:bottom w:val="single" w:color="auto" w:sz="4" w:space="0"/>
              <w:right w:val="single" w:color="auto" w:sz="4" w:space="0"/>
            </w:tcBorders>
            <w:noWrap/>
            <w:vAlign w:val="center"/>
          </w:tcPr>
          <w:p w14:paraId="081EC9FC">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不满意</w:t>
            </w:r>
          </w:p>
        </w:tc>
      </w:tr>
      <w:tr w14:paraId="446AEA19">
        <w:tblPrEx>
          <w:tblCellMar>
            <w:top w:w="0" w:type="dxa"/>
            <w:left w:w="108" w:type="dxa"/>
            <w:bottom w:w="0" w:type="dxa"/>
            <w:right w:w="108" w:type="dxa"/>
          </w:tblCellMar>
        </w:tblPrEx>
        <w:trPr>
          <w:trHeight w:val="340" w:hRule="atLeast"/>
          <w:jc w:val="center"/>
        </w:trPr>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28AF856B">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分值</w:t>
            </w:r>
          </w:p>
        </w:tc>
        <w:tc>
          <w:tcPr>
            <w:tcW w:w="931" w:type="dxa"/>
            <w:tcBorders>
              <w:top w:val="nil"/>
              <w:left w:val="nil"/>
              <w:bottom w:val="single" w:color="auto" w:sz="4" w:space="0"/>
              <w:right w:val="single" w:color="auto" w:sz="4" w:space="0"/>
            </w:tcBorders>
            <w:noWrap/>
            <w:vAlign w:val="center"/>
          </w:tcPr>
          <w:p w14:paraId="0F1438D6">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5</w:t>
            </w:r>
          </w:p>
        </w:tc>
        <w:tc>
          <w:tcPr>
            <w:tcW w:w="757" w:type="dxa"/>
            <w:tcBorders>
              <w:top w:val="nil"/>
              <w:left w:val="nil"/>
              <w:bottom w:val="single" w:color="auto" w:sz="4" w:space="0"/>
              <w:right w:val="single" w:color="auto" w:sz="4" w:space="0"/>
            </w:tcBorders>
            <w:noWrap/>
            <w:vAlign w:val="center"/>
          </w:tcPr>
          <w:p w14:paraId="24D359E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4</w:t>
            </w:r>
          </w:p>
        </w:tc>
        <w:tc>
          <w:tcPr>
            <w:tcW w:w="750" w:type="dxa"/>
            <w:tcBorders>
              <w:top w:val="nil"/>
              <w:left w:val="nil"/>
              <w:bottom w:val="single" w:color="auto" w:sz="4" w:space="0"/>
              <w:right w:val="single" w:color="auto" w:sz="4" w:space="0"/>
            </w:tcBorders>
            <w:noWrap/>
            <w:vAlign w:val="center"/>
          </w:tcPr>
          <w:p w14:paraId="0AACC96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3</w:t>
            </w:r>
          </w:p>
        </w:tc>
        <w:tc>
          <w:tcPr>
            <w:tcW w:w="900" w:type="dxa"/>
            <w:tcBorders>
              <w:top w:val="nil"/>
              <w:left w:val="nil"/>
              <w:bottom w:val="single" w:color="auto" w:sz="4" w:space="0"/>
              <w:right w:val="single" w:color="auto" w:sz="4" w:space="0"/>
            </w:tcBorders>
            <w:noWrap/>
            <w:vAlign w:val="center"/>
          </w:tcPr>
          <w:p w14:paraId="5D7A13F3">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0</w:t>
            </w:r>
          </w:p>
        </w:tc>
      </w:tr>
      <w:tr w14:paraId="56452F97">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DF2CBC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交</w:t>
            </w:r>
          </w:p>
          <w:p w14:paraId="631851E3">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通</w:t>
            </w:r>
          </w:p>
          <w:p w14:paraId="2B282061">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安</w:t>
            </w:r>
          </w:p>
          <w:p w14:paraId="697122B5">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排</w:t>
            </w:r>
          </w:p>
        </w:tc>
        <w:tc>
          <w:tcPr>
            <w:tcW w:w="5150" w:type="dxa"/>
            <w:tcBorders>
              <w:top w:val="nil"/>
              <w:left w:val="nil"/>
              <w:bottom w:val="single" w:color="auto" w:sz="4" w:space="0"/>
              <w:right w:val="single" w:color="auto" w:sz="4" w:space="0"/>
            </w:tcBorders>
            <w:noWrap/>
            <w:vAlign w:val="center"/>
          </w:tcPr>
          <w:p w14:paraId="15B1A58A">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车况及性能</w:t>
            </w:r>
          </w:p>
        </w:tc>
        <w:tc>
          <w:tcPr>
            <w:tcW w:w="931" w:type="dxa"/>
            <w:tcBorders>
              <w:top w:val="nil"/>
              <w:left w:val="nil"/>
              <w:bottom w:val="single" w:color="auto" w:sz="4" w:space="0"/>
              <w:right w:val="single" w:color="auto" w:sz="4" w:space="0"/>
            </w:tcBorders>
            <w:noWrap/>
            <w:vAlign w:val="center"/>
          </w:tcPr>
          <w:p w14:paraId="6B863EA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458EC78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1D99AE0A">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34C8DC6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626BFF5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8924198">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0298F88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到点准时</w:t>
            </w:r>
          </w:p>
        </w:tc>
        <w:tc>
          <w:tcPr>
            <w:tcW w:w="931" w:type="dxa"/>
            <w:tcBorders>
              <w:top w:val="nil"/>
              <w:left w:val="nil"/>
              <w:bottom w:val="single" w:color="auto" w:sz="4" w:space="0"/>
              <w:right w:val="single" w:color="auto" w:sz="4" w:space="0"/>
            </w:tcBorders>
            <w:noWrap/>
            <w:vAlign w:val="center"/>
          </w:tcPr>
          <w:p w14:paraId="6C84A9E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2D423B26">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1F8D7B2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5D8F1AA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1138C8D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E3E84CB">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6AB0E71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司机态度及技术</w:t>
            </w:r>
          </w:p>
        </w:tc>
        <w:tc>
          <w:tcPr>
            <w:tcW w:w="931" w:type="dxa"/>
            <w:tcBorders>
              <w:top w:val="nil"/>
              <w:left w:val="nil"/>
              <w:bottom w:val="single" w:color="auto" w:sz="4" w:space="0"/>
              <w:right w:val="single" w:color="auto" w:sz="4" w:space="0"/>
            </w:tcBorders>
            <w:noWrap/>
            <w:vAlign w:val="center"/>
          </w:tcPr>
          <w:p w14:paraId="0681945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578DFCB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20A44C92">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07575F4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64CFC6D8">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4815D0F">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036037E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全程交通衔接及总体满意程度</w:t>
            </w:r>
          </w:p>
        </w:tc>
        <w:tc>
          <w:tcPr>
            <w:tcW w:w="931" w:type="dxa"/>
            <w:tcBorders>
              <w:top w:val="nil"/>
              <w:left w:val="nil"/>
              <w:bottom w:val="single" w:color="auto" w:sz="4" w:space="0"/>
              <w:right w:val="single" w:color="auto" w:sz="4" w:space="0"/>
            </w:tcBorders>
            <w:noWrap/>
            <w:vAlign w:val="center"/>
          </w:tcPr>
          <w:p w14:paraId="6368803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7CCC4C8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639447F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1ACD247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4D335F38">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A349F9C">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住</w:t>
            </w:r>
          </w:p>
          <w:p w14:paraId="54B49FC3">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宿</w:t>
            </w:r>
          </w:p>
          <w:p w14:paraId="2B631A91">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安</w:t>
            </w:r>
          </w:p>
          <w:p w14:paraId="6405DA3F">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排</w:t>
            </w:r>
          </w:p>
        </w:tc>
        <w:tc>
          <w:tcPr>
            <w:tcW w:w="5150" w:type="dxa"/>
            <w:tcBorders>
              <w:top w:val="nil"/>
              <w:left w:val="nil"/>
              <w:bottom w:val="single" w:color="auto" w:sz="4" w:space="0"/>
              <w:right w:val="single" w:color="auto" w:sz="4" w:space="0"/>
            </w:tcBorders>
            <w:noWrap/>
            <w:vAlign w:val="center"/>
          </w:tcPr>
          <w:p w14:paraId="107780A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周边环境安全，客房卫生整洁</w:t>
            </w:r>
          </w:p>
        </w:tc>
        <w:tc>
          <w:tcPr>
            <w:tcW w:w="931" w:type="dxa"/>
            <w:tcBorders>
              <w:top w:val="nil"/>
              <w:left w:val="nil"/>
              <w:bottom w:val="single" w:color="auto" w:sz="4" w:space="0"/>
              <w:right w:val="single" w:color="auto" w:sz="4" w:space="0"/>
            </w:tcBorders>
            <w:noWrap/>
            <w:vAlign w:val="center"/>
          </w:tcPr>
          <w:p w14:paraId="6B2BE6C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28319AB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47B991F3">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3943472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6614D80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3D844EC">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0FEC2C82">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住宿地点交通便捷</w:t>
            </w:r>
          </w:p>
        </w:tc>
        <w:tc>
          <w:tcPr>
            <w:tcW w:w="931" w:type="dxa"/>
            <w:tcBorders>
              <w:top w:val="nil"/>
              <w:left w:val="nil"/>
              <w:bottom w:val="single" w:color="auto" w:sz="4" w:space="0"/>
              <w:right w:val="single" w:color="auto" w:sz="4" w:space="0"/>
            </w:tcBorders>
            <w:noWrap/>
            <w:vAlign w:val="center"/>
          </w:tcPr>
          <w:p w14:paraId="62416BB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2A1074FA">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517AFA9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0A41525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3000CFC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C5A9A9E">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5140285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宾馆设施及使用性能</w:t>
            </w:r>
          </w:p>
        </w:tc>
        <w:tc>
          <w:tcPr>
            <w:tcW w:w="931" w:type="dxa"/>
            <w:tcBorders>
              <w:top w:val="nil"/>
              <w:left w:val="nil"/>
              <w:bottom w:val="single" w:color="auto" w:sz="4" w:space="0"/>
              <w:right w:val="single" w:color="auto" w:sz="4" w:space="0"/>
            </w:tcBorders>
            <w:noWrap/>
            <w:vAlign w:val="center"/>
          </w:tcPr>
          <w:p w14:paraId="3B73C3F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3BCFAF4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62417CD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7822534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227397D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ED47DFA">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74725EA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服务水平及态度</w:t>
            </w:r>
          </w:p>
        </w:tc>
        <w:tc>
          <w:tcPr>
            <w:tcW w:w="931" w:type="dxa"/>
            <w:tcBorders>
              <w:top w:val="nil"/>
              <w:left w:val="nil"/>
              <w:bottom w:val="single" w:color="auto" w:sz="4" w:space="0"/>
              <w:right w:val="single" w:color="auto" w:sz="4" w:space="0"/>
            </w:tcBorders>
            <w:noWrap/>
            <w:vAlign w:val="center"/>
          </w:tcPr>
          <w:p w14:paraId="69C075C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37F9E4B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7743060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7A30E95A">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5B528D65">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4C24F25">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3A2ABB6B">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住宿安排总体满意程度</w:t>
            </w:r>
          </w:p>
        </w:tc>
        <w:tc>
          <w:tcPr>
            <w:tcW w:w="931" w:type="dxa"/>
            <w:tcBorders>
              <w:top w:val="nil"/>
              <w:left w:val="nil"/>
              <w:bottom w:val="single" w:color="auto" w:sz="4" w:space="0"/>
              <w:right w:val="single" w:color="auto" w:sz="4" w:space="0"/>
            </w:tcBorders>
            <w:noWrap/>
            <w:vAlign w:val="center"/>
          </w:tcPr>
          <w:p w14:paraId="0C7368D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2A046A9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389B9876">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03B2777B">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2BD626B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513E257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餐</w:t>
            </w:r>
          </w:p>
          <w:p w14:paraId="4078671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饮</w:t>
            </w:r>
          </w:p>
          <w:p w14:paraId="27C2F783">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安</w:t>
            </w:r>
          </w:p>
          <w:p w14:paraId="729B7EA3">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排</w:t>
            </w:r>
          </w:p>
        </w:tc>
        <w:tc>
          <w:tcPr>
            <w:tcW w:w="5150" w:type="dxa"/>
            <w:tcBorders>
              <w:top w:val="nil"/>
              <w:left w:val="nil"/>
              <w:bottom w:val="single" w:color="auto" w:sz="4" w:space="0"/>
              <w:right w:val="single" w:color="auto" w:sz="4" w:space="0"/>
            </w:tcBorders>
            <w:noWrap/>
            <w:vAlign w:val="center"/>
          </w:tcPr>
          <w:p w14:paraId="54F57EC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就餐环境</w:t>
            </w:r>
          </w:p>
        </w:tc>
        <w:tc>
          <w:tcPr>
            <w:tcW w:w="931" w:type="dxa"/>
            <w:tcBorders>
              <w:top w:val="nil"/>
              <w:left w:val="nil"/>
              <w:bottom w:val="single" w:color="auto" w:sz="4" w:space="0"/>
              <w:right w:val="single" w:color="auto" w:sz="4" w:space="0"/>
            </w:tcBorders>
            <w:noWrap/>
            <w:vAlign w:val="center"/>
          </w:tcPr>
          <w:p w14:paraId="42D09F33">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41F127A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69B4558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5646326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4B9B04F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1FC29EA">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7BD4BEF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菜肴卫生</w:t>
            </w:r>
          </w:p>
        </w:tc>
        <w:tc>
          <w:tcPr>
            <w:tcW w:w="931" w:type="dxa"/>
            <w:tcBorders>
              <w:top w:val="nil"/>
              <w:left w:val="nil"/>
              <w:bottom w:val="single" w:color="auto" w:sz="4" w:space="0"/>
              <w:right w:val="single" w:color="auto" w:sz="4" w:space="0"/>
            </w:tcBorders>
            <w:noWrap/>
            <w:vAlign w:val="center"/>
          </w:tcPr>
          <w:p w14:paraId="3BE8C0D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0B7A681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40FE51B3">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380B36C2">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275196E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0EA0615">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6D1FCD8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餐饮安排总体满意程度</w:t>
            </w:r>
          </w:p>
        </w:tc>
        <w:tc>
          <w:tcPr>
            <w:tcW w:w="931" w:type="dxa"/>
            <w:tcBorders>
              <w:top w:val="nil"/>
              <w:left w:val="nil"/>
              <w:bottom w:val="single" w:color="auto" w:sz="4" w:space="0"/>
              <w:right w:val="single" w:color="auto" w:sz="4" w:space="0"/>
            </w:tcBorders>
            <w:noWrap/>
            <w:vAlign w:val="center"/>
          </w:tcPr>
          <w:p w14:paraId="12257BE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74921A00">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2830D2D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175D446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409EA0CF">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000F5602">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景</w:t>
            </w:r>
          </w:p>
          <w:p w14:paraId="4748D61E">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点</w:t>
            </w:r>
          </w:p>
          <w:p w14:paraId="0F40D889">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安</w:t>
            </w:r>
          </w:p>
          <w:p w14:paraId="2EECF40F">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排</w:t>
            </w:r>
          </w:p>
        </w:tc>
        <w:tc>
          <w:tcPr>
            <w:tcW w:w="5150" w:type="dxa"/>
            <w:tcBorders>
              <w:top w:val="nil"/>
              <w:left w:val="nil"/>
              <w:bottom w:val="single" w:color="auto" w:sz="4" w:space="0"/>
              <w:right w:val="single" w:color="auto" w:sz="4" w:space="0"/>
            </w:tcBorders>
            <w:noWrap/>
            <w:vAlign w:val="center"/>
          </w:tcPr>
          <w:p w14:paraId="7D41C5D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景点地方特色</w:t>
            </w:r>
          </w:p>
        </w:tc>
        <w:tc>
          <w:tcPr>
            <w:tcW w:w="931" w:type="dxa"/>
            <w:tcBorders>
              <w:top w:val="nil"/>
              <w:left w:val="nil"/>
              <w:bottom w:val="single" w:color="auto" w:sz="4" w:space="0"/>
              <w:right w:val="single" w:color="auto" w:sz="4" w:space="0"/>
            </w:tcBorders>
            <w:noWrap/>
            <w:vAlign w:val="center"/>
          </w:tcPr>
          <w:p w14:paraId="38F451AD">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4F8B988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5E464042">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09D0EE9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798AEE68">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E732260">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3D1345E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讲解内容完整</w:t>
            </w:r>
          </w:p>
        </w:tc>
        <w:tc>
          <w:tcPr>
            <w:tcW w:w="931" w:type="dxa"/>
            <w:tcBorders>
              <w:top w:val="nil"/>
              <w:left w:val="nil"/>
              <w:bottom w:val="single" w:color="auto" w:sz="4" w:space="0"/>
              <w:right w:val="single" w:color="auto" w:sz="4" w:space="0"/>
            </w:tcBorders>
            <w:noWrap/>
            <w:vAlign w:val="center"/>
          </w:tcPr>
          <w:p w14:paraId="74E04637">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6C904DB6">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354CB606">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1C35EAC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298A44A2">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9941A86">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586B87EA">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讲解语言美感</w:t>
            </w:r>
          </w:p>
        </w:tc>
        <w:tc>
          <w:tcPr>
            <w:tcW w:w="931" w:type="dxa"/>
            <w:tcBorders>
              <w:top w:val="nil"/>
              <w:left w:val="nil"/>
              <w:bottom w:val="single" w:color="auto" w:sz="4" w:space="0"/>
              <w:right w:val="single" w:color="auto" w:sz="4" w:space="0"/>
            </w:tcBorders>
            <w:noWrap/>
            <w:vAlign w:val="center"/>
          </w:tcPr>
          <w:p w14:paraId="4EB2D8F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5CF2988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76E4594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6ECCDF60">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629C3BD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42CF941">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nil"/>
              <w:right w:val="single" w:color="auto" w:sz="4" w:space="0"/>
            </w:tcBorders>
            <w:noWrap/>
            <w:vAlign w:val="center"/>
          </w:tcPr>
          <w:p w14:paraId="6698ABC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景点内时间安排合理</w:t>
            </w:r>
          </w:p>
        </w:tc>
        <w:tc>
          <w:tcPr>
            <w:tcW w:w="931" w:type="dxa"/>
            <w:tcBorders>
              <w:top w:val="nil"/>
              <w:left w:val="nil"/>
              <w:bottom w:val="nil"/>
              <w:right w:val="single" w:color="auto" w:sz="4" w:space="0"/>
            </w:tcBorders>
            <w:noWrap/>
            <w:vAlign w:val="center"/>
          </w:tcPr>
          <w:p w14:paraId="5974B29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nil"/>
              <w:right w:val="single" w:color="auto" w:sz="4" w:space="0"/>
            </w:tcBorders>
            <w:noWrap/>
            <w:vAlign w:val="center"/>
          </w:tcPr>
          <w:p w14:paraId="1173B3D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nil"/>
              <w:right w:val="single" w:color="auto" w:sz="4" w:space="0"/>
            </w:tcBorders>
            <w:noWrap/>
            <w:vAlign w:val="center"/>
          </w:tcPr>
          <w:p w14:paraId="60C453A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nil"/>
              <w:right w:val="single" w:color="auto" w:sz="4" w:space="0"/>
            </w:tcBorders>
            <w:noWrap/>
            <w:vAlign w:val="center"/>
          </w:tcPr>
          <w:p w14:paraId="21AE8DF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54E86305">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54823AEA">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导</w:t>
            </w:r>
          </w:p>
          <w:p w14:paraId="288BAB91">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游</w:t>
            </w:r>
          </w:p>
          <w:p w14:paraId="0C58B0A5">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服</w:t>
            </w:r>
          </w:p>
          <w:p w14:paraId="3A957404">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务</w:t>
            </w:r>
          </w:p>
        </w:tc>
        <w:tc>
          <w:tcPr>
            <w:tcW w:w="5150" w:type="dxa"/>
            <w:tcBorders>
              <w:top w:val="single" w:color="auto" w:sz="4" w:space="0"/>
              <w:left w:val="nil"/>
              <w:bottom w:val="single" w:color="auto" w:sz="4" w:space="0"/>
              <w:right w:val="single" w:color="auto" w:sz="4" w:space="0"/>
            </w:tcBorders>
            <w:noWrap/>
            <w:vAlign w:val="center"/>
          </w:tcPr>
          <w:p w14:paraId="616B0D9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佩戴有效证件上岗，全程服务不迟到早退</w:t>
            </w:r>
          </w:p>
        </w:tc>
        <w:tc>
          <w:tcPr>
            <w:tcW w:w="931" w:type="dxa"/>
            <w:tcBorders>
              <w:top w:val="single" w:color="auto" w:sz="4" w:space="0"/>
              <w:left w:val="nil"/>
              <w:bottom w:val="single" w:color="auto" w:sz="4" w:space="0"/>
              <w:right w:val="single" w:color="auto" w:sz="4" w:space="0"/>
            </w:tcBorders>
            <w:noWrap/>
            <w:vAlign w:val="center"/>
          </w:tcPr>
          <w:p w14:paraId="4BDD30A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single" w:color="auto" w:sz="4" w:space="0"/>
              <w:left w:val="nil"/>
              <w:bottom w:val="single" w:color="auto" w:sz="4" w:space="0"/>
              <w:right w:val="single" w:color="auto" w:sz="4" w:space="0"/>
            </w:tcBorders>
            <w:noWrap/>
            <w:vAlign w:val="center"/>
          </w:tcPr>
          <w:p w14:paraId="53FBE62F">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single" w:color="auto" w:sz="4" w:space="0"/>
              <w:left w:val="nil"/>
              <w:bottom w:val="single" w:color="auto" w:sz="4" w:space="0"/>
              <w:right w:val="single" w:color="auto" w:sz="4" w:space="0"/>
            </w:tcBorders>
            <w:noWrap/>
            <w:vAlign w:val="center"/>
          </w:tcPr>
          <w:p w14:paraId="01DBF8E9">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single" w:color="auto" w:sz="4" w:space="0"/>
              <w:left w:val="nil"/>
              <w:bottom w:val="single" w:color="auto" w:sz="4" w:space="0"/>
              <w:right w:val="single" w:color="auto" w:sz="4" w:space="0"/>
            </w:tcBorders>
            <w:noWrap/>
            <w:vAlign w:val="center"/>
          </w:tcPr>
          <w:p w14:paraId="41F8798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0C0EB1D8">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4ABC270">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0D1610CB">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无擅自增减旅游项目或擅自终止导游活动或无过度推销产品</w:t>
            </w:r>
          </w:p>
        </w:tc>
        <w:tc>
          <w:tcPr>
            <w:tcW w:w="931" w:type="dxa"/>
            <w:tcBorders>
              <w:top w:val="nil"/>
              <w:left w:val="nil"/>
              <w:bottom w:val="single" w:color="auto" w:sz="4" w:space="0"/>
              <w:right w:val="single" w:color="auto" w:sz="4" w:space="0"/>
            </w:tcBorders>
            <w:noWrap/>
            <w:vAlign w:val="center"/>
          </w:tcPr>
          <w:p w14:paraId="43C890E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52E13778">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0D7A7B2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6A8F5FA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0A6857C7">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41C7C0A">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6A79C9E4">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对可预见的情况有警示说明及防范措施</w:t>
            </w:r>
          </w:p>
        </w:tc>
        <w:tc>
          <w:tcPr>
            <w:tcW w:w="931" w:type="dxa"/>
            <w:tcBorders>
              <w:top w:val="nil"/>
              <w:left w:val="nil"/>
              <w:bottom w:val="single" w:color="auto" w:sz="4" w:space="0"/>
              <w:right w:val="single" w:color="auto" w:sz="4" w:space="0"/>
            </w:tcBorders>
            <w:noWrap/>
            <w:vAlign w:val="center"/>
          </w:tcPr>
          <w:p w14:paraId="30B7E9A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64E45C3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2E274EB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33566031">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44E6147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121B420">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5150" w:type="dxa"/>
            <w:tcBorders>
              <w:top w:val="nil"/>
              <w:left w:val="nil"/>
              <w:bottom w:val="single" w:color="auto" w:sz="4" w:space="0"/>
              <w:right w:val="single" w:color="auto" w:sz="4" w:space="0"/>
            </w:tcBorders>
            <w:noWrap/>
            <w:vAlign w:val="center"/>
          </w:tcPr>
          <w:p w14:paraId="7F2471F3">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语言表达能力、沟通能力及专业知识掌握</w:t>
            </w:r>
          </w:p>
        </w:tc>
        <w:tc>
          <w:tcPr>
            <w:tcW w:w="931" w:type="dxa"/>
            <w:tcBorders>
              <w:top w:val="nil"/>
              <w:left w:val="nil"/>
              <w:bottom w:val="single" w:color="auto" w:sz="4" w:space="0"/>
              <w:right w:val="single" w:color="auto" w:sz="4" w:space="0"/>
            </w:tcBorders>
            <w:noWrap/>
            <w:vAlign w:val="center"/>
          </w:tcPr>
          <w:p w14:paraId="2C302545">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7" w:type="dxa"/>
            <w:tcBorders>
              <w:top w:val="nil"/>
              <w:left w:val="nil"/>
              <w:bottom w:val="single" w:color="auto" w:sz="4" w:space="0"/>
              <w:right w:val="single" w:color="auto" w:sz="4" w:space="0"/>
            </w:tcBorders>
            <w:noWrap/>
            <w:vAlign w:val="center"/>
          </w:tcPr>
          <w:p w14:paraId="399B30E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750" w:type="dxa"/>
            <w:tcBorders>
              <w:top w:val="nil"/>
              <w:left w:val="nil"/>
              <w:bottom w:val="single" w:color="auto" w:sz="4" w:space="0"/>
              <w:right w:val="single" w:color="auto" w:sz="4" w:space="0"/>
            </w:tcBorders>
            <w:noWrap/>
            <w:vAlign w:val="center"/>
          </w:tcPr>
          <w:p w14:paraId="04333F4E">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c>
          <w:tcPr>
            <w:tcW w:w="900" w:type="dxa"/>
            <w:tcBorders>
              <w:top w:val="nil"/>
              <w:left w:val="nil"/>
              <w:bottom w:val="single" w:color="auto" w:sz="4" w:space="0"/>
              <w:right w:val="single" w:color="auto" w:sz="4" w:space="0"/>
            </w:tcBorders>
            <w:noWrap/>
            <w:vAlign w:val="center"/>
          </w:tcPr>
          <w:p w14:paraId="15296C4C">
            <w:pPr>
              <w:pageBreakBefore w:val="0"/>
              <w:widowControl/>
              <w:kinsoku/>
              <w:wordWrap/>
              <w:overflowPunct/>
              <w:topLinePunct w:val="0"/>
              <w:bidi w:val="0"/>
              <w:snapToGrid/>
              <w:spacing w:line="288" w:lineRule="auto"/>
              <w:jc w:val="left"/>
              <w:textAlignment w:val="auto"/>
              <w:rPr>
                <w:rFonts w:ascii="宋体" w:hAnsi="宋体" w:cs="宋体"/>
                <w:color w:val="auto"/>
                <w:sz w:val="24"/>
              </w:rPr>
            </w:pPr>
            <w:r>
              <w:rPr>
                <w:rFonts w:hint="eastAsia" w:ascii="宋体" w:hAnsi="宋体" w:eastAsia="宋体" w:cs="宋体"/>
                <w:color w:val="auto"/>
                <w:sz w:val="24"/>
                <w:szCs w:val="24"/>
              </w:rPr>
              <w:t>　</w:t>
            </w:r>
          </w:p>
        </w:tc>
      </w:tr>
      <w:tr w14:paraId="6450F178">
        <w:tblPrEx>
          <w:tblCellMar>
            <w:top w:w="0" w:type="dxa"/>
            <w:left w:w="108" w:type="dxa"/>
            <w:bottom w:w="0" w:type="dxa"/>
            <w:right w:w="108" w:type="dxa"/>
          </w:tblCellMar>
        </w:tblPrEx>
        <w:trPr>
          <w:trHeight w:val="340" w:hRule="atLeast"/>
          <w:jc w:val="center"/>
        </w:trPr>
        <w:tc>
          <w:tcPr>
            <w:tcW w:w="5671" w:type="dxa"/>
            <w:gridSpan w:val="2"/>
            <w:tcBorders>
              <w:top w:val="nil"/>
              <w:left w:val="single" w:color="auto" w:sz="4" w:space="0"/>
              <w:bottom w:val="single" w:color="auto" w:sz="4" w:space="0"/>
              <w:right w:val="single" w:color="auto" w:sz="4" w:space="0"/>
            </w:tcBorders>
            <w:vAlign w:val="center"/>
          </w:tcPr>
          <w:p w14:paraId="0CEB8604">
            <w:pPr>
              <w:pageBreakBefore w:val="0"/>
              <w:widowControl/>
              <w:kinsoku/>
              <w:wordWrap/>
              <w:overflowPunct/>
              <w:topLinePunct w:val="0"/>
              <w:bidi w:val="0"/>
              <w:snapToGrid/>
              <w:spacing w:line="288" w:lineRule="auto"/>
              <w:jc w:val="center"/>
              <w:textAlignment w:val="auto"/>
              <w:rPr>
                <w:rFonts w:ascii="宋体" w:hAnsi="宋体" w:cs="宋体"/>
                <w:color w:val="auto"/>
                <w:sz w:val="24"/>
              </w:rPr>
            </w:pPr>
            <w:r>
              <w:rPr>
                <w:rFonts w:hint="eastAsia" w:ascii="宋体" w:hAnsi="宋体" w:eastAsia="宋体" w:cs="宋体"/>
                <w:color w:val="auto"/>
                <w:sz w:val="24"/>
                <w:szCs w:val="24"/>
              </w:rPr>
              <w:t>合计</w:t>
            </w:r>
          </w:p>
        </w:tc>
        <w:tc>
          <w:tcPr>
            <w:tcW w:w="931" w:type="dxa"/>
            <w:tcBorders>
              <w:top w:val="nil"/>
              <w:left w:val="nil"/>
              <w:bottom w:val="single" w:color="auto" w:sz="4" w:space="0"/>
              <w:right w:val="single" w:color="auto" w:sz="4" w:space="0"/>
            </w:tcBorders>
            <w:noWrap/>
            <w:vAlign w:val="center"/>
          </w:tcPr>
          <w:p w14:paraId="15315DC6">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757" w:type="dxa"/>
            <w:tcBorders>
              <w:top w:val="nil"/>
              <w:left w:val="nil"/>
              <w:bottom w:val="single" w:color="auto" w:sz="4" w:space="0"/>
              <w:right w:val="single" w:color="auto" w:sz="4" w:space="0"/>
            </w:tcBorders>
            <w:noWrap/>
            <w:vAlign w:val="center"/>
          </w:tcPr>
          <w:p w14:paraId="1AA6765E">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750" w:type="dxa"/>
            <w:tcBorders>
              <w:top w:val="nil"/>
              <w:left w:val="nil"/>
              <w:bottom w:val="single" w:color="auto" w:sz="4" w:space="0"/>
              <w:right w:val="single" w:color="auto" w:sz="4" w:space="0"/>
            </w:tcBorders>
            <w:noWrap/>
            <w:vAlign w:val="center"/>
          </w:tcPr>
          <w:p w14:paraId="435C5CEF">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c>
          <w:tcPr>
            <w:tcW w:w="900" w:type="dxa"/>
            <w:tcBorders>
              <w:top w:val="nil"/>
              <w:left w:val="nil"/>
              <w:bottom w:val="single" w:color="auto" w:sz="4" w:space="0"/>
              <w:right w:val="single" w:color="auto" w:sz="4" w:space="0"/>
            </w:tcBorders>
            <w:noWrap/>
            <w:vAlign w:val="center"/>
          </w:tcPr>
          <w:p w14:paraId="78F1C15E">
            <w:pPr>
              <w:pageBreakBefore w:val="0"/>
              <w:widowControl/>
              <w:kinsoku/>
              <w:wordWrap/>
              <w:overflowPunct/>
              <w:topLinePunct w:val="0"/>
              <w:bidi w:val="0"/>
              <w:snapToGrid/>
              <w:spacing w:line="288" w:lineRule="auto"/>
              <w:jc w:val="left"/>
              <w:textAlignment w:val="auto"/>
              <w:rPr>
                <w:rFonts w:ascii="宋体" w:hAnsi="宋体" w:cs="宋体"/>
                <w:color w:val="auto"/>
                <w:sz w:val="24"/>
              </w:rPr>
            </w:pPr>
          </w:p>
        </w:tc>
      </w:tr>
    </w:tbl>
    <w:p w14:paraId="6551DB33">
      <w:pPr>
        <w:shd w:val="clear" w:color="auto" w:fill="auto"/>
        <w:rPr>
          <w:rFonts w:hint="eastAsia" w:ascii="宋体" w:hAnsi="宋体" w:eastAsia="宋体" w:cs="宋体"/>
          <w:b/>
          <w:bCs/>
          <w:color w:val="auto"/>
          <w:kern w:val="2"/>
          <w:sz w:val="24"/>
          <w:szCs w:val="24"/>
          <w:highlight w:val="none"/>
          <w:lang w:val="en-US" w:eastAsia="zh-CN" w:bidi="ar-SA"/>
        </w:rPr>
      </w:pPr>
    </w:p>
    <w:p w14:paraId="6CABB0DA">
      <w:pPr>
        <w:shd w:val="clear" w:color="auto" w:fill="auto"/>
        <w:rPr>
          <w:rFonts w:hint="eastAsia" w:ascii="宋体" w:hAnsi="宋体" w:eastAsia="宋体" w:cs="宋体"/>
          <w:b/>
          <w:bCs/>
          <w:color w:val="auto"/>
          <w:kern w:val="2"/>
          <w:sz w:val="24"/>
          <w:szCs w:val="24"/>
          <w:highlight w:val="none"/>
          <w:lang w:val="en-US" w:eastAsia="zh-CN" w:bidi="ar-SA"/>
        </w:rPr>
      </w:pPr>
    </w:p>
    <w:p w14:paraId="2626CA34">
      <w:pPr>
        <w:shd w:val="clear" w:color="auto" w:fill="auto"/>
        <w:rPr>
          <w:rFonts w:hint="eastAsia" w:ascii="宋体" w:hAnsi="宋体" w:eastAsia="宋体" w:cs="宋体"/>
          <w:b/>
          <w:bCs/>
          <w:color w:val="auto"/>
          <w:kern w:val="2"/>
          <w:sz w:val="24"/>
          <w:szCs w:val="24"/>
          <w:highlight w:val="none"/>
          <w:lang w:val="en-US" w:eastAsia="zh-CN" w:bidi="ar-SA"/>
        </w:rPr>
      </w:pPr>
    </w:p>
    <w:p w14:paraId="1A72B143">
      <w:pPr>
        <w:shd w:val="clear" w:color="auto" w:fill="auto"/>
        <w:rPr>
          <w:rFonts w:hint="eastAsia" w:ascii="宋体" w:hAnsi="宋体" w:eastAsia="宋体" w:cs="宋体"/>
          <w:b/>
          <w:bCs/>
          <w:color w:val="auto"/>
          <w:kern w:val="2"/>
          <w:sz w:val="24"/>
          <w:szCs w:val="24"/>
          <w:highlight w:val="none"/>
          <w:lang w:val="en-US" w:eastAsia="zh-CN" w:bidi="ar-SA"/>
        </w:rPr>
      </w:pPr>
    </w:p>
    <w:p w14:paraId="7167CC93">
      <w:pPr>
        <w:shd w:val="clear" w:color="auto" w:fill="auto"/>
        <w:rPr>
          <w:rFonts w:hint="eastAsia" w:ascii="宋体" w:hAnsi="宋体" w:eastAsia="宋体" w:cs="宋体"/>
          <w:b/>
          <w:bCs/>
          <w:color w:val="auto"/>
          <w:kern w:val="2"/>
          <w:sz w:val="24"/>
          <w:szCs w:val="24"/>
          <w:highlight w:val="none"/>
          <w:lang w:val="en-US" w:eastAsia="zh-CN" w:bidi="ar-SA"/>
        </w:rPr>
      </w:pPr>
    </w:p>
    <w:p w14:paraId="355F1DC1">
      <w:pPr>
        <w:pageBreakBefore w:val="0"/>
        <w:kinsoku/>
        <w:wordWrap/>
        <w:overflowPunct/>
        <w:topLinePunct w:val="0"/>
        <w:bidi w:val="0"/>
        <w:adjustRightInd w:val="0"/>
        <w:snapToGrid w:val="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第五章</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采购合同（</w:t>
      </w:r>
      <w:r>
        <w:rPr>
          <w:rFonts w:hint="eastAsia" w:ascii="宋体" w:hAnsi="宋体" w:eastAsia="宋体" w:cs="宋体"/>
          <w:b/>
          <w:bCs/>
          <w:color w:val="auto"/>
          <w:sz w:val="44"/>
          <w:szCs w:val="44"/>
          <w:highlight w:val="none"/>
          <w:lang w:val="en-US" w:eastAsia="zh-CN"/>
        </w:rPr>
        <w:t>模板</w:t>
      </w:r>
      <w:r>
        <w:rPr>
          <w:rFonts w:hint="eastAsia" w:ascii="宋体" w:hAnsi="宋体" w:eastAsia="宋体" w:cs="宋体"/>
          <w:b/>
          <w:bCs/>
          <w:color w:val="auto"/>
          <w:sz w:val="44"/>
          <w:szCs w:val="44"/>
          <w:highlight w:val="none"/>
        </w:rPr>
        <w:t>）</w:t>
      </w:r>
    </w:p>
    <w:p w14:paraId="4F717702">
      <w:pPr>
        <w:jc w:val="center"/>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0961EFCC">
      <w:pPr>
        <w:rPr>
          <w:rFonts w:hint="eastAsia" w:ascii="宋体" w:hAnsi="宋体" w:eastAsia="宋体" w:cs="宋体"/>
          <w:color w:val="auto"/>
          <w:highlight w:val="none"/>
          <w:u w:val="single"/>
        </w:rPr>
      </w:pPr>
      <w:r>
        <w:rPr>
          <w:rFonts w:hint="eastAsia" w:ascii="宋体" w:hAnsi="宋体" w:eastAsia="宋体" w:cs="宋体"/>
          <w:color w:val="auto"/>
          <w:highlight w:val="none"/>
        </w:rPr>
        <w:t>甲方（采购单位）：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1840805">
      <w:pPr>
        <w:rPr>
          <w:rFonts w:hint="eastAsia" w:ascii="宋体" w:hAnsi="宋体" w:eastAsia="宋体" w:cs="宋体"/>
          <w:color w:val="auto"/>
          <w:highlight w:val="none"/>
        </w:rPr>
      </w:pPr>
      <w:r>
        <w:rPr>
          <w:rFonts w:hint="eastAsia" w:ascii="宋体" w:hAnsi="宋体" w:eastAsia="宋体" w:cs="宋体"/>
          <w:color w:val="auto"/>
          <w:highlight w:val="none"/>
        </w:rPr>
        <w:t>乙方（供货单位）：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A633B7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根据《中华人民共和国民法典》等有关规定，以及浙江明业项目管理有限公司（编号：浙江明业20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号）招标文件相关要求，经法定程序采购，双方同意签订以下合同条款，以便双方共同遵守、履行合同。</w:t>
      </w:r>
    </w:p>
    <w:p w14:paraId="6C4E9F27">
      <w:pPr>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一、采购产品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97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14:paraId="7619E50D">
            <w:pPr>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3960" w:type="dxa"/>
            <w:noWrap w:val="0"/>
            <w:vAlign w:val="center"/>
          </w:tcPr>
          <w:p w14:paraId="34174CB9">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080" w:type="dxa"/>
            <w:noWrap w:val="0"/>
            <w:vAlign w:val="center"/>
          </w:tcPr>
          <w:p w14:paraId="4F585D42">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noWrap w:val="0"/>
            <w:vAlign w:val="center"/>
          </w:tcPr>
          <w:p w14:paraId="56F2791E">
            <w:pPr>
              <w:jc w:val="center"/>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440" w:type="dxa"/>
            <w:noWrap w:val="0"/>
            <w:vAlign w:val="center"/>
          </w:tcPr>
          <w:p w14:paraId="3176A0DF">
            <w:pPr>
              <w:jc w:val="center"/>
              <w:rPr>
                <w:rFonts w:hint="eastAsia" w:ascii="宋体" w:hAnsi="宋体" w:eastAsia="宋体" w:cs="宋体"/>
                <w:color w:val="auto"/>
                <w:highlight w:val="none"/>
              </w:rPr>
            </w:pPr>
            <w:r>
              <w:rPr>
                <w:rFonts w:hint="eastAsia" w:ascii="宋体" w:hAnsi="宋体" w:eastAsia="宋体" w:cs="宋体"/>
                <w:color w:val="auto"/>
                <w:highlight w:val="none"/>
              </w:rPr>
              <w:t>合价（元）</w:t>
            </w:r>
          </w:p>
        </w:tc>
      </w:tr>
      <w:tr w14:paraId="13F6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47FEBEA6">
            <w:pPr>
              <w:rPr>
                <w:rFonts w:hint="eastAsia" w:ascii="宋体" w:hAnsi="宋体" w:eastAsia="宋体" w:cs="宋体"/>
                <w:color w:val="auto"/>
                <w:highlight w:val="none"/>
              </w:rPr>
            </w:pPr>
          </w:p>
        </w:tc>
        <w:tc>
          <w:tcPr>
            <w:tcW w:w="3960" w:type="dxa"/>
            <w:noWrap w:val="0"/>
            <w:vAlign w:val="top"/>
          </w:tcPr>
          <w:p w14:paraId="6EF0F99B">
            <w:pPr>
              <w:rPr>
                <w:rFonts w:hint="eastAsia" w:ascii="宋体" w:hAnsi="宋体" w:eastAsia="宋体" w:cs="宋体"/>
                <w:color w:val="auto"/>
                <w:highlight w:val="none"/>
              </w:rPr>
            </w:pPr>
          </w:p>
        </w:tc>
        <w:tc>
          <w:tcPr>
            <w:tcW w:w="1080" w:type="dxa"/>
            <w:noWrap w:val="0"/>
            <w:vAlign w:val="top"/>
          </w:tcPr>
          <w:p w14:paraId="1BBE12A0">
            <w:pPr>
              <w:rPr>
                <w:rFonts w:hint="eastAsia" w:ascii="宋体" w:hAnsi="宋体" w:eastAsia="宋体" w:cs="宋体"/>
                <w:color w:val="auto"/>
                <w:highlight w:val="none"/>
              </w:rPr>
            </w:pPr>
          </w:p>
        </w:tc>
        <w:tc>
          <w:tcPr>
            <w:tcW w:w="1260" w:type="dxa"/>
            <w:noWrap w:val="0"/>
            <w:vAlign w:val="top"/>
          </w:tcPr>
          <w:p w14:paraId="1DB45DA0">
            <w:pPr>
              <w:rPr>
                <w:rFonts w:hint="eastAsia" w:ascii="宋体" w:hAnsi="宋体" w:eastAsia="宋体" w:cs="宋体"/>
                <w:color w:val="auto"/>
                <w:highlight w:val="none"/>
              </w:rPr>
            </w:pPr>
          </w:p>
        </w:tc>
        <w:tc>
          <w:tcPr>
            <w:tcW w:w="1440" w:type="dxa"/>
            <w:noWrap w:val="0"/>
            <w:vAlign w:val="top"/>
          </w:tcPr>
          <w:p w14:paraId="0740E54D">
            <w:pPr>
              <w:rPr>
                <w:rFonts w:hint="eastAsia" w:ascii="宋体" w:hAnsi="宋体" w:eastAsia="宋体" w:cs="宋体"/>
                <w:color w:val="auto"/>
                <w:highlight w:val="none"/>
              </w:rPr>
            </w:pPr>
          </w:p>
        </w:tc>
      </w:tr>
      <w:tr w14:paraId="2784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6CF93581">
            <w:pPr>
              <w:rPr>
                <w:rFonts w:hint="eastAsia" w:ascii="宋体" w:hAnsi="宋体" w:eastAsia="宋体" w:cs="宋体"/>
                <w:color w:val="auto"/>
                <w:highlight w:val="none"/>
              </w:rPr>
            </w:pPr>
          </w:p>
        </w:tc>
        <w:tc>
          <w:tcPr>
            <w:tcW w:w="3960" w:type="dxa"/>
            <w:noWrap w:val="0"/>
            <w:vAlign w:val="top"/>
          </w:tcPr>
          <w:p w14:paraId="0BCCAE0A">
            <w:pPr>
              <w:rPr>
                <w:rFonts w:hint="eastAsia" w:ascii="宋体" w:hAnsi="宋体" w:eastAsia="宋体" w:cs="宋体"/>
                <w:color w:val="auto"/>
                <w:highlight w:val="none"/>
              </w:rPr>
            </w:pPr>
          </w:p>
        </w:tc>
        <w:tc>
          <w:tcPr>
            <w:tcW w:w="1080" w:type="dxa"/>
            <w:noWrap w:val="0"/>
            <w:vAlign w:val="top"/>
          </w:tcPr>
          <w:p w14:paraId="75E2FA36">
            <w:pPr>
              <w:rPr>
                <w:rFonts w:hint="eastAsia" w:ascii="宋体" w:hAnsi="宋体" w:eastAsia="宋体" w:cs="宋体"/>
                <w:color w:val="auto"/>
                <w:highlight w:val="none"/>
              </w:rPr>
            </w:pPr>
          </w:p>
        </w:tc>
        <w:tc>
          <w:tcPr>
            <w:tcW w:w="1260" w:type="dxa"/>
            <w:noWrap w:val="0"/>
            <w:vAlign w:val="top"/>
          </w:tcPr>
          <w:p w14:paraId="3BCDC135">
            <w:pPr>
              <w:rPr>
                <w:rFonts w:hint="eastAsia" w:ascii="宋体" w:hAnsi="宋体" w:eastAsia="宋体" w:cs="宋体"/>
                <w:color w:val="auto"/>
                <w:highlight w:val="none"/>
              </w:rPr>
            </w:pPr>
          </w:p>
        </w:tc>
        <w:tc>
          <w:tcPr>
            <w:tcW w:w="1440" w:type="dxa"/>
            <w:noWrap w:val="0"/>
            <w:vAlign w:val="top"/>
          </w:tcPr>
          <w:p w14:paraId="18B8CB14">
            <w:pPr>
              <w:rPr>
                <w:rFonts w:hint="eastAsia" w:ascii="宋体" w:hAnsi="宋体" w:eastAsia="宋体" w:cs="宋体"/>
                <w:color w:val="auto"/>
                <w:highlight w:val="none"/>
              </w:rPr>
            </w:pPr>
          </w:p>
        </w:tc>
      </w:tr>
      <w:tr w14:paraId="312B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14:paraId="76D5F11C">
            <w:pPr>
              <w:rPr>
                <w:rFonts w:hint="eastAsia" w:ascii="宋体" w:hAnsi="宋体" w:eastAsia="宋体" w:cs="宋体"/>
                <w:color w:val="auto"/>
                <w:highlight w:val="none"/>
              </w:rPr>
            </w:pPr>
          </w:p>
        </w:tc>
        <w:tc>
          <w:tcPr>
            <w:tcW w:w="3960" w:type="dxa"/>
            <w:noWrap w:val="0"/>
            <w:vAlign w:val="top"/>
          </w:tcPr>
          <w:p w14:paraId="6B9A4AB3">
            <w:pPr>
              <w:rPr>
                <w:rFonts w:hint="eastAsia" w:ascii="宋体" w:hAnsi="宋体" w:eastAsia="宋体" w:cs="宋体"/>
                <w:color w:val="auto"/>
                <w:highlight w:val="none"/>
              </w:rPr>
            </w:pPr>
          </w:p>
        </w:tc>
        <w:tc>
          <w:tcPr>
            <w:tcW w:w="1080" w:type="dxa"/>
            <w:noWrap w:val="0"/>
            <w:vAlign w:val="top"/>
          </w:tcPr>
          <w:p w14:paraId="780BC7B8">
            <w:pPr>
              <w:rPr>
                <w:rFonts w:hint="eastAsia" w:ascii="宋体" w:hAnsi="宋体" w:eastAsia="宋体" w:cs="宋体"/>
                <w:color w:val="auto"/>
                <w:highlight w:val="none"/>
              </w:rPr>
            </w:pPr>
          </w:p>
        </w:tc>
        <w:tc>
          <w:tcPr>
            <w:tcW w:w="1260" w:type="dxa"/>
            <w:noWrap w:val="0"/>
            <w:vAlign w:val="top"/>
          </w:tcPr>
          <w:p w14:paraId="650D28D2">
            <w:pPr>
              <w:rPr>
                <w:rFonts w:hint="eastAsia" w:ascii="宋体" w:hAnsi="宋体" w:eastAsia="宋体" w:cs="宋体"/>
                <w:color w:val="auto"/>
                <w:highlight w:val="none"/>
              </w:rPr>
            </w:pPr>
          </w:p>
        </w:tc>
        <w:tc>
          <w:tcPr>
            <w:tcW w:w="1440" w:type="dxa"/>
            <w:noWrap w:val="0"/>
            <w:vAlign w:val="top"/>
          </w:tcPr>
          <w:p w14:paraId="7BF064D9">
            <w:pPr>
              <w:rPr>
                <w:rFonts w:hint="eastAsia" w:ascii="宋体" w:hAnsi="宋体" w:eastAsia="宋体" w:cs="宋体"/>
                <w:color w:val="auto"/>
                <w:highlight w:val="none"/>
              </w:rPr>
            </w:pPr>
          </w:p>
        </w:tc>
      </w:tr>
      <w:tr w14:paraId="4E09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76" w:type="dxa"/>
            <w:gridSpan w:val="5"/>
            <w:noWrap w:val="0"/>
            <w:vAlign w:val="center"/>
          </w:tcPr>
          <w:p w14:paraId="5DA97A54">
            <w:pPr>
              <w:rPr>
                <w:rFonts w:hint="eastAsia" w:ascii="宋体" w:hAnsi="宋体" w:eastAsia="宋体" w:cs="宋体"/>
                <w:color w:val="auto"/>
                <w:highlight w:val="none"/>
              </w:rPr>
            </w:pPr>
            <w:r>
              <w:rPr>
                <w:rFonts w:hint="eastAsia" w:ascii="宋体" w:hAnsi="宋体" w:eastAsia="宋体" w:cs="宋体"/>
                <w:color w:val="auto"/>
                <w:highlight w:val="none"/>
              </w:rPr>
              <w:t>合计人民币（大写）：  佰   拾   万   仟   佰   拾   元    角    分  ￥：</w:t>
            </w:r>
          </w:p>
        </w:tc>
      </w:tr>
    </w:tbl>
    <w:p w14:paraId="2381BD46">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二、供货要求</w:t>
      </w:r>
    </w:p>
    <w:p w14:paraId="34E4375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乙方应在合同签订后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14:paraId="0E6D6BD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提供的产品必须是招标文件和合同规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注：所有采购的计算机办公设备必须预装正版操作系统软件）</w:t>
      </w:r>
    </w:p>
    <w:p w14:paraId="1DD54C4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乙方不得将采购产品转包给其他供应商，否则视为违约，并将追究其违约责任，甲方有权解除采购合同，所造成的损失由乙方承担。</w:t>
      </w:r>
    </w:p>
    <w:p w14:paraId="3180D54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如本合同采购产品在合同履约过程中出现产品更新或厂家停产等情况，须由乙方书</w:t>
      </w:r>
      <w:r>
        <w:rPr>
          <w:rFonts w:hint="eastAsia" w:ascii="宋体" w:hAnsi="宋体" w:eastAsia="宋体" w:cs="宋体"/>
          <w:color w:val="auto"/>
          <w:highlight w:val="none"/>
          <w:lang w:eastAsia="zh-CN"/>
        </w:rPr>
        <w:t>面</w:t>
      </w:r>
      <w:r>
        <w:rPr>
          <w:rFonts w:hint="eastAsia" w:ascii="宋体" w:hAnsi="宋体" w:eastAsia="宋体" w:cs="宋体"/>
          <w:color w:val="auto"/>
          <w:highlight w:val="none"/>
        </w:rPr>
        <w:t>提出更换要求，并提供充分理由或依据，经甲方和浙江明业项目管理有限公司核实或认可，并报</w:t>
      </w:r>
      <w:r>
        <w:rPr>
          <w:rFonts w:hint="eastAsia" w:ascii="宋体" w:hAnsi="宋体" w:cs="宋体"/>
          <w:color w:val="auto"/>
          <w:highlight w:val="none"/>
          <w:lang w:eastAsia="zh-CN"/>
        </w:rPr>
        <w:t>诸暨市教育体育局交易办</w:t>
      </w:r>
      <w:r>
        <w:rPr>
          <w:rFonts w:hint="eastAsia" w:ascii="宋体" w:hAnsi="宋体" w:eastAsia="宋体" w:cs="宋体"/>
          <w:color w:val="auto"/>
          <w:highlight w:val="none"/>
        </w:rPr>
        <w:t>审批同意后，方可更换替代性能参数指标比原采购产品高的其他产品，但产品价格不变。</w:t>
      </w:r>
    </w:p>
    <w:p w14:paraId="1E9FD0C1">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三、质量要求</w:t>
      </w:r>
    </w:p>
    <w:p w14:paraId="7BF815C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14:paraId="63E879D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乙方应保证设备经正确安装、正常运转和保养，</w:t>
      </w:r>
      <w:r>
        <w:rPr>
          <w:rFonts w:hint="eastAsia" w:ascii="宋体" w:hAnsi="宋体" w:eastAsia="宋体" w:cs="宋体"/>
          <w:color w:val="auto"/>
          <w:highlight w:val="none"/>
          <w:lang w:eastAsia="zh-CN"/>
        </w:rPr>
        <w:t>保证在</w:t>
      </w:r>
      <w:r>
        <w:rPr>
          <w:rFonts w:hint="eastAsia" w:ascii="宋体" w:hAnsi="宋体" w:eastAsia="宋体" w:cs="宋体"/>
          <w:color w:val="auto"/>
          <w:highlight w:val="none"/>
        </w:rPr>
        <w:t>其使用寿命内应具有满意的性能。</w:t>
      </w:r>
    </w:p>
    <w:p w14:paraId="2BEE051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如发生质量异议，甲方有权要求更换产品；若乙方拒绝，按《中华人民共和国产品质量法》等有关规定处理。</w:t>
      </w:r>
    </w:p>
    <w:p w14:paraId="16E94263">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四、产品验收</w:t>
      </w:r>
    </w:p>
    <w:p w14:paraId="57BDBDE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产品由甲方单位组织验收，在货到后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天内验收完毕，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天内提出质量异议。</w:t>
      </w:r>
    </w:p>
    <w:p w14:paraId="1C14C5F3">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五、付款方式</w:t>
      </w:r>
    </w:p>
    <w:p w14:paraId="5B84251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中标产品经验收合格后，按照招标文件规定，甲方首次支付给乙方合同款的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w:t>
      </w:r>
    </w:p>
    <w:p w14:paraId="5567BFB9">
      <w:pP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元；在正常运行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个月后的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天内再支付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元；剩余的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（可作为产品质保金），在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日前若无质量问题全部付清（无息）。</w:t>
      </w:r>
    </w:p>
    <w:p w14:paraId="609BDCA3">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六、履约保证金</w:t>
      </w:r>
    </w:p>
    <w:p w14:paraId="4D76098C">
      <w:pPr>
        <w:ind w:firstLine="42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本项目免收履约保证金</w:t>
      </w:r>
      <w:r>
        <w:rPr>
          <w:rFonts w:hint="eastAsia" w:ascii="宋体" w:hAnsi="宋体" w:eastAsia="宋体" w:cs="宋体"/>
          <w:color w:val="auto"/>
          <w:highlight w:val="none"/>
        </w:rPr>
        <w:t>。</w:t>
      </w:r>
    </w:p>
    <w:p w14:paraId="046FC695">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七、产品数量变更</w:t>
      </w:r>
    </w:p>
    <w:p w14:paraId="301ED5C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w:t>
      </w:r>
      <w:r>
        <w:rPr>
          <w:rFonts w:hint="eastAsia" w:ascii="宋体" w:hAnsi="宋体" w:cs="宋体"/>
          <w:color w:val="auto"/>
          <w:highlight w:val="none"/>
          <w:lang w:eastAsia="zh-CN"/>
        </w:rPr>
        <w:t>诸暨市教育体育局交易办</w:t>
      </w:r>
      <w:r>
        <w:rPr>
          <w:rFonts w:hint="eastAsia" w:ascii="宋体" w:hAnsi="宋体" w:eastAsia="宋体" w:cs="宋体"/>
          <w:color w:val="auto"/>
          <w:highlight w:val="none"/>
        </w:rPr>
        <w:t>审核备案。</w:t>
      </w:r>
    </w:p>
    <w:p w14:paraId="393E748D">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八、售后服务</w:t>
      </w:r>
    </w:p>
    <w:p w14:paraId="1A8E5D4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具体售后服务条款参照招标文件及乙方投标文件中的售后服务承诺。</w:t>
      </w:r>
    </w:p>
    <w:p w14:paraId="36EB5760">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九、违约责任</w:t>
      </w:r>
    </w:p>
    <w:p w14:paraId="5CCF7AC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甲方无正当理由拒收货物，由甲方向乙方偿付合同总价的5%违约金。</w:t>
      </w:r>
    </w:p>
    <w:p w14:paraId="5695DDC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甲方未能在合同规定期限内验收完毕的，每超过一天，付合同价的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%的违约金给乙方。</w:t>
      </w:r>
    </w:p>
    <w:p w14:paraId="09DE884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乙方不能交付货物，甲方有权扣留全部履约保证金；同时乙方向甲方支付合同款总价5%的违约金。</w:t>
      </w:r>
    </w:p>
    <w:p w14:paraId="50E5927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乙方逾期交付货物的，每逾期1天，乙方向甲方偿付逾期交货部分货物货款的0.5%的滞纳金，如乙方逾期交货15天，甲方有权解除合同，解除合同的通知自到达乙方时生效。</w:t>
      </w:r>
    </w:p>
    <w:p w14:paraId="41BF37EC">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十、其他约定事项</w:t>
      </w:r>
    </w:p>
    <w:p w14:paraId="46C07830">
      <w:pPr>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E84CA5A">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十一、解决合同纠纷方式</w:t>
      </w:r>
    </w:p>
    <w:p w14:paraId="05CC574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未尽事宜或履行时发生争议，由双方本着诚实信用的原则协商解决，协商不成功可选择：1）向绍兴市仲裁委员会申请仲裁；2）向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6D496C56">
      <w:pPr>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十二、</w:t>
      </w:r>
      <w:r>
        <w:rPr>
          <w:rFonts w:hint="eastAsia" w:ascii="宋体" w:hAnsi="宋体" w:eastAsia="宋体" w:cs="宋体"/>
          <w:b/>
          <w:color w:val="auto"/>
          <w:highlight w:val="none"/>
          <w:lang w:eastAsia="zh-CN"/>
        </w:rPr>
        <w:t>其他</w:t>
      </w:r>
    </w:p>
    <w:p w14:paraId="7C21A125">
      <w:pPr>
        <w:ind w:left="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本项目的招标文件、投标文件、中标通知书作为合同的附件，具有同等法律效力。</w:t>
      </w:r>
    </w:p>
    <w:p w14:paraId="7981A026">
      <w:pPr>
        <w:ind w:left="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本合同自签订之日起生效。</w:t>
      </w:r>
    </w:p>
    <w:p w14:paraId="514FF0D2">
      <w:pPr>
        <w:ind w:left="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本合同一式四份，甲乙双方各执一份，代理公司、招标办备案一份。</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7"/>
        <w:gridCol w:w="3600"/>
      </w:tblGrid>
      <w:tr w14:paraId="00BB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937" w:type="dxa"/>
            <w:noWrap w:val="0"/>
            <w:vAlign w:val="center"/>
          </w:tcPr>
          <w:p w14:paraId="4A221E15">
            <w:pPr>
              <w:jc w:val="left"/>
              <w:rPr>
                <w:rFonts w:hint="eastAsia" w:ascii="宋体" w:hAnsi="宋体" w:eastAsia="宋体" w:cs="宋体"/>
                <w:color w:val="auto"/>
                <w:highlight w:val="none"/>
              </w:rPr>
            </w:pPr>
            <w:r>
              <w:rPr>
                <w:rFonts w:hint="eastAsia" w:ascii="宋体" w:hAnsi="宋体" w:eastAsia="宋体" w:cs="宋体"/>
                <w:color w:val="auto"/>
                <w:highlight w:val="none"/>
              </w:rPr>
              <w:t>采购单位</w:t>
            </w:r>
          </w:p>
        </w:tc>
        <w:tc>
          <w:tcPr>
            <w:tcW w:w="3600" w:type="dxa"/>
            <w:noWrap w:val="0"/>
            <w:vAlign w:val="center"/>
          </w:tcPr>
          <w:p w14:paraId="5625F4B9">
            <w:pPr>
              <w:jc w:val="left"/>
              <w:rPr>
                <w:rFonts w:hint="eastAsia" w:ascii="宋体" w:hAnsi="宋体" w:eastAsia="宋体" w:cs="宋体"/>
                <w:color w:val="auto"/>
                <w:highlight w:val="none"/>
              </w:rPr>
            </w:pPr>
            <w:r>
              <w:rPr>
                <w:rFonts w:hint="eastAsia" w:ascii="宋体" w:hAnsi="宋体" w:eastAsia="宋体" w:cs="宋体"/>
                <w:color w:val="auto"/>
                <w:highlight w:val="none"/>
              </w:rPr>
              <w:t>供货单位</w:t>
            </w:r>
          </w:p>
        </w:tc>
      </w:tr>
      <w:tr w14:paraId="1775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937" w:type="dxa"/>
            <w:noWrap w:val="0"/>
            <w:vAlign w:val="top"/>
          </w:tcPr>
          <w:p w14:paraId="055669B4">
            <w:pPr>
              <w:jc w:val="left"/>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20BCE123">
            <w:pPr>
              <w:jc w:val="left"/>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06312E08">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08247ED9">
            <w:pPr>
              <w:jc w:val="left"/>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274143A6">
            <w:pPr>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24D56A02">
            <w:pPr>
              <w:jc w:val="left"/>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3157EA3B">
            <w:pPr>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3600" w:type="dxa"/>
            <w:noWrap w:val="0"/>
            <w:vAlign w:val="top"/>
          </w:tcPr>
          <w:p w14:paraId="6AD0FC4F">
            <w:pPr>
              <w:jc w:val="left"/>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18408249">
            <w:pPr>
              <w:jc w:val="left"/>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0CD1F58D">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26B3DFAA">
            <w:pPr>
              <w:jc w:val="left"/>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1AA4A81A">
            <w:pPr>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3BFB46B6">
            <w:pPr>
              <w:jc w:val="left"/>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36E270C0">
            <w:pPr>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19056433">
            <w:pPr>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6E66BBFD">
            <w:pPr>
              <w:jc w:val="left"/>
              <w:rPr>
                <w:rFonts w:hint="eastAsia" w:ascii="宋体" w:hAnsi="宋体" w:eastAsia="宋体" w:cs="宋体"/>
                <w:color w:val="auto"/>
                <w:highlight w:val="none"/>
              </w:rPr>
            </w:pPr>
            <w:r>
              <w:rPr>
                <w:rFonts w:hint="eastAsia" w:ascii="宋体" w:hAnsi="宋体" w:eastAsia="宋体" w:cs="宋体"/>
                <w:color w:val="auto"/>
                <w:highlight w:val="none"/>
              </w:rPr>
              <w:t>账    号：</w:t>
            </w:r>
          </w:p>
        </w:tc>
      </w:tr>
    </w:tbl>
    <w:p w14:paraId="1474CF60">
      <w:pPr>
        <w:rPr>
          <w:rFonts w:hint="eastAsia" w:ascii="宋体" w:hAnsi="宋体" w:eastAsia="宋体" w:cs="宋体"/>
          <w:color w:val="auto"/>
          <w:highlight w:val="none"/>
        </w:rPr>
      </w:pPr>
    </w:p>
    <w:p w14:paraId="3EC3834D">
      <w:pPr>
        <w:rPr>
          <w:rFonts w:hint="eastAsia" w:ascii="宋体" w:hAnsi="宋体" w:eastAsia="宋体" w:cs="宋体"/>
          <w:color w:val="auto"/>
          <w:sz w:val="44"/>
          <w:szCs w:val="44"/>
          <w:highlight w:val="none"/>
        </w:rPr>
      </w:pPr>
      <w:r>
        <w:rPr>
          <w:rFonts w:hint="eastAsia" w:ascii="宋体" w:hAnsi="宋体" w:eastAsia="宋体" w:cs="宋体"/>
          <w:color w:val="auto"/>
          <w:highlight w:val="none"/>
        </w:rPr>
        <w:t>注：该合同模板与招标文件中实质性内容不相符部分，以招标文件规定为准，在签订前相应调整。</w:t>
      </w:r>
    </w:p>
    <w:p w14:paraId="28FAD84D">
      <w:pPr>
        <w:rPr>
          <w:rFonts w:hint="eastAsia" w:ascii="宋体" w:hAnsi="宋体" w:eastAsia="宋体" w:cs="宋体"/>
          <w:color w:val="auto"/>
          <w:sz w:val="44"/>
          <w:szCs w:val="44"/>
          <w:highlight w:val="none"/>
        </w:rPr>
      </w:pPr>
    </w:p>
    <w:p w14:paraId="32499C55">
      <w:pPr>
        <w:jc w:val="center"/>
        <w:rPr>
          <w:rFonts w:hint="eastAsia" w:ascii="宋体" w:hAnsi="宋体" w:eastAsia="宋体" w:cs="宋体"/>
          <w:color w:val="auto"/>
          <w:sz w:val="44"/>
          <w:szCs w:val="44"/>
          <w:highlight w:val="none"/>
        </w:rPr>
        <w:sectPr>
          <w:pgSz w:w="11906" w:h="16838"/>
          <w:pgMar w:top="1236" w:right="1236" w:bottom="1236" w:left="1236" w:header="851" w:footer="907" w:gutter="0"/>
          <w:pgBorders>
            <w:top w:val="none" w:sz="0" w:space="0"/>
            <w:left w:val="none" w:sz="0" w:space="0"/>
            <w:bottom w:val="none" w:sz="0" w:space="0"/>
            <w:right w:val="none" w:sz="0" w:space="0"/>
          </w:pgBorders>
          <w:pgNumType w:fmt="decimal"/>
          <w:cols w:space="720" w:num="1"/>
          <w:docGrid w:type="lines" w:linePitch="312" w:charSpace="0"/>
        </w:sectPr>
      </w:pPr>
    </w:p>
    <w:p w14:paraId="7C0972A4">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第六章  应提交的有关格式范例</w:t>
      </w:r>
    </w:p>
    <w:p w14:paraId="7D1036FD">
      <w:pPr>
        <w:widowControl/>
        <w:tabs>
          <w:tab w:val="left" w:pos="450"/>
          <w:tab w:val="left" w:pos="8280"/>
        </w:tabs>
        <w:spacing w:line="360" w:lineRule="auto"/>
        <w:ind w:firstLine="480"/>
        <w:jc w:val="center"/>
        <w:rPr>
          <w:rFonts w:hint="eastAsia" w:ascii="宋体" w:hAnsi="宋体" w:eastAsia="宋体" w:cs="宋体"/>
          <w:b/>
          <w:bCs/>
          <w:color w:val="auto"/>
          <w:sz w:val="32"/>
          <w:szCs w:val="32"/>
          <w:highlight w:val="none"/>
        </w:rPr>
      </w:pPr>
    </w:p>
    <w:p w14:paraId="166C8708">
      <w:pPr>
        <w:widowControl/>
        <w:tabs>
          <w:tab w:val="left" w:pos="450"/>
          <w:tab w:val="left" w:pos="2520"/>
          <w:tab w:val="left" w:pos="8280"/>
        </w:tabs>
        <w:spacing w:line="360" w:lineRule="auto"/>
        <w:ind w:firstLine="48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一、外包装封面格式</w:t>
      </w:r>
    </w:p>
    <w:p w14:paraId="5A1C6972">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p>
    <w:p w14:paraId="34AB5947">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技术文件或商务文件</w:t>
      </w:r>
    </w:p>
    <w:p w14:paraId="33E34F5E">
      <w:pPr>
        <w:widowControl/>
        <w:tabs>
          <w:tab w:val="left" w:pos="275"/>
          <w:tab w:val="left" w:pos="8280"/>
        </w:tabs>
        <w:spacing w:line="360" w:lineRule="auto"/>
        <w:ind w:firstLine="480"/>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ab/>
      </w:r>
    </w:p>
    <w:p w14:paraId="79FF9A12">
      <w:pPr>
        <w:widowControl/>
        <w:tabs>
          <w:tab w:val="left" w:pos="275"/>
          <w:tab w:val="left" w:pos="8280"/>
        </w:tabs>
        <w:spacing w:line="360" w:lineRule="auto"/>
        <w:jc w:val="left"/>
        <w:rPr>
          <w:rFonts w:hint="eastAsia" w:ascii="宋体" w:hAnsi="宋体" w:eastAsia="宋体" w:cs="宋体"/>
          <w:b w:val="0"/>
          <w:bCs w:val="0"/>
          <w:color w:val="auto"/>
          <w:sz w:val="32"/>
          <w:szCs w:val="32"/>
          <w:highlight w:val="none"/>
          <w:u w:val="single"/>
        </w:rPr>
      </w:pPr>
      <w:r>
        <w:rPr>
          <w:rFonts w:hint="eastAsia" w:ascii="宋体" w:hAnsi="宋体" w:eastAsia="宋体" w:cs="宋体"/>
          <w:b w:val="0"/>
          <w:bCs w:val="0"/>
          <w:color w:val="auto"/>
          <w:sz w:val="32"/>
          <w:szCs w:val="32"/>
          <w:highlight w:val="none"/>
        </w:rPr>
        <w:t>项目名称：</w:t>
      </w:r>
      <w:r>
        <w:rPr>
          <w:rFonts w:hint="eastAsia" w:ascii="宋体" w:hAnsi="宋体" w:eastAsia="宋体" w:cs="宋体"/>
          <w:b w:val="0"/>
          <w:bCs w:val="0"/>
          <w:color w:val="auto"/>
          <w:sz w:val="32"/>
          <w:szCs w:val="32"/>
          <w:highlight w:val="none"/>
          <w:u w:val="single"/>
        </w:rPr>
        <w:t xml:space="preserve">                                      </w:t>
      </w:r>
    </w:p>
    <w:p w14:paraId="171812A4">
      <w:pPr>
        <w:widowControl/>
        <w:tabs>
          <w:tab w:val="left" w:pos="275"/>
          <w:tab w:val="left" w:pos="8280"/>
        </w:tabs>
        <w:spacing w:line="360" w:lineRule="auto"/>
        <w:ind w:firstLine="470" w:firstLineChars="147"/>
        <w:jc w:val="left"/>
        <w:rPr>
          <w:rFonts w:hint="eastAsia" w:ascii="宋体" w:hAnsi="宋体" w:eastAsia="宋体" w:cs="宋体"/>
          <w:b w:val="0"/>
          <w:bCs w:val="0"/>
          <w:color w:val="auto"/>
          <w:sz w:val="32"/>
          <w:szCs w:val="32"/>
          <w:highlight w:val="none"/>
        </w:rPr>
      </w:pPr>
    </w:p>
    <w:p w14:paraId="05F5A0FB">
      <w:pPr>
        <w:widowControl/>
        <w:tabs>
          <w:tab w:val="left" w:pos="275"/>
          <w:tab w:val="left" w:pos="8280"/>
        </w:tabs>
        <w:spacing w:line="360" w:lineRule="auto"/>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2"/>
          <w:szCs w:val="32"/>
          <w:highlight w:val="none"/>
        </w:rPr>
        <w:t>项目编号：</w:t>
      </w:r>
      <w:r>
        <w:rPr>
          <w:rFonts w:hint="eastAsia" w:ascii="宋体" w:hAnsi="宋体" w:eastAsia="宋体" w:cs="宋体"/>
          <w:b w:val="0"/>
          <w:bCs w:val="0"/>
          <w:color w:val="auto"/>
          <w:sz w:val="32"/>
          <w:szCs w:val="32"/>
          <w:highlight w:val="none"/>
          <w:u w:val="single"/>
        </w:rPr>
        <w:t xml:space="preserve">                                      </w:t>
      </w:r>
      <w:r>
        <w:rPr>
          <w:rFonts w:hint="eastAsia" w:ascii="宋体" w:hAnsi="宋体" w:eastAsia="宋体" w:cs="宋体"/>
          <w:b w:val="0"/>
          <w:bCs w:val="0"/>
          <w:color w:val="auto"/>
          <w:sz w:val="32"/>
          <w:szCs w:val="32"/>
          <w:highlight w:val="none"/>
        </w:rPr>
        <w:t xml:space="preserve">   </w:t>
      </w:r>
    </w:p>
    <w:p w14:paraId="6F7B7205">
      <w:pPr>
        <w:widowControl/>
        <w:tabs>
          <w:tab w:val="left" w:pos="765"/>
          <w:tab w:val="left" w:pos="8280"/>
        </w:tabs>
        <w:spacing w:line="360" w:lineRule="auto"/>
        <w:ind w:firstLine="480"/>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ab/>
      </w:r>
    </w:p>
    <w:p w14:paraId="606A4BDC">
      <w:pPr>
        <w:widowControl/>
        <w:tabs>
          <w:tab w:val="left" w:pos="765"/>
          <w:tab w:val="left" w:pos="8280"/>
        </w:tabs>
        <w:spacing w:line="360" w:lineRule="auto"/>
        <w:jc w:val="left"/>
        <w:rPr>
          <w:rFonts w:hint="eastAsia" w:ascii="宋体" w:hAnsi="宋体" w:eastAsia="宋体" w:cs="宋体"/>
          <w:b w:val="0"/>
          <w:bCs w:val="0"/>
          <w:color w:val="auto"/>
          <w:sz w:val="36"/>
          <w:szCs w:val="36"/>
          <w:highlight w:val="none"/>
          <w:u w:val="single"/>
        </w:rPr>
      </w:pPr>
      <w:r>
        <w:rPr>
          <w:rFonts w:hint="eastAsia" w:ascii="宋体" w:hAnsi="宋体" w:eastAsia="宋体" w:cs="宋体"/>
          <w:b w:val="0"/>
          <w:bCs w:val="0"/>
          <w:color w:val="auto"/>
          <w:sz w:val="32"/>
          <w:szCs w:val="32"/>
          <w:highlight w:val="none"/>
        </w:rPr>
        <w:t>投标人：</w:t>
      </w:r>
      <w:r>
        <w:rPr>
          <w:rFonts w:hint="eastAsia" w:ascii="宋体" w:hAnsi="宋体" w:eastAsia="宋体" w:cs="宋体"/>
          <w:b w:val="0"/>
          <w:bCs w:val="0"/>
          <w:color w:val="auto"/>
          <w:sz w:val="32"/>
          <w:szCs w:val="32"/>
          <w:highlight w:val="none"/>
          <w:u w:val="single"/>
        </w:rPr>
        <w:t xml:space="preserve">           （盖公章）              </w:t>
      </w:r>
    </w:p>
    <w:p w14:paraId="5AE4D4F0">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p>
    <w:p w14:paraId="6D34471D">
      <w:pPr>
        <w:widowControl/>
        <w:tabs>
          <w:tab w:val="left" w:pos="350"/>
          <w:tab w:val="left" w:pos="8280"/>
        </w:tabs>
        <w:spacing w:line="360" w:lineRule="auto"/>
        <w:jc w:val="left"/>
        <w:rPr>
          <w:rFonts w:hint="eastAsia" w:ascii="宋体" w:hAnsi="宋体" w:eastAsia="宋体" w:cs="宋体"/>
          <w:b w:val="0"/>
          <w:bCs w:val="0"/>
          <w:color w:val="auto"/>
          <w:sz w:val="36"/>
          <w:szCs w:val="36"/>
          <w:highlight w:val="none"/>
          <w:u w:val="single"/>
        </w:rPr>
      </w:pPr>
      <w:r>
        <w:rPr>
          <w:rFonts w:hint="eastAsia" w:ascii="宋体" w:hAnsi="宋体" w:eastAsia="宋体" w:cs="宋体"/>
          <w:b w:val="0"/>
          <w:bCs w:val="0"/>
          <w:color w:val="auto"/>
          <w:sz w:val="32"/>
          <w:szCs w:val="32"/>
          <w:highlight w:val="none"/>
        </w:rPr>
        <w:t>法定代表人或委托代理人：</w:t>
      </w:r>
      <w:r>
        <w:rPr>
          <w:rFonts w:hint="eastAsia" w:ascii="宋体" w:hAnsi="宋体" w:eastAsia="宋体" w:cs="宋体"/>
          <w:b w:val="0"/>
          <w:bCs w:val="0"/>
          <w:color w:val="auto"/>
          <w:sz w:val="32"/>
          <w:szCs w:val="32"/>
          <w:highlight w:val="none"/>
          <w:u w:val="single"/>
        </w:rPr>
        <w:t xml:space="preserve">   （签字或盖章）  </w:t>
      </w:r>
      <w:r>
        <w:rPr>
          <w:rFonts w:hint="eastAsia" w:ascii="宋体" w:hAnsi="宋体" w:eastAsia="宋体" w:cs="宋体"/>
          <w:b w:val="0"/>
          <w:bCs w:val="0"/>
          <w:color w:val="auto"/>
          <w:sz w:val="32"/>
          <w:szCs w:val="32"/>
          <w:highlight w:val="none"/>
        </w:rPr>
        <w:t xml:space="preserve">   </w:t>
      </w:r>
    </w:p>
    <w:p w14:paraId="7530D5D2">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p>
    <w:p w14:paraId="6F2692BA">
      <w:pPr>
        <w:widowControl/>
        <w:tabs>
          <w:tab w:val="left" w:pos="350"/>
          <w:tab w:val="left" w:pos="8280"/>
        </w:tabs>
        <w:spacing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 xml:space="preserve">日期：      </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月</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日</w:t>
      </w:r>
    </w:p>
    <w:p w14:paraId="0F8CC129">
      <w:pPr>
        <w:widowControl/>
        <w:tabs>
          <w:tab w:val="left" w:pos="350"/>
          <w:tab w:val="left" w:pos="8280"/>
        </w:tabs>
        <w:spacing w:line="360" w:lineRule="auto"/>
        <w:ind w:firstLine="480"/>
        <w:jc w:val="left"/>
        <w:rPr>
          <w:rFonts w:hint="eastAsia" w:ascii="宋体" w:hAnsi="宋体" w:eastAsia="宋体" w:cs="宋体"/>
          <w:b/>
          <w:color w:val="auto"/>
          <w:sz w:val="32"/>
          <w:szCs w:val="32"/>
          <w:highlight w:val="none"/>
        </w:rPr>
      </w:pPr>
    </w:p>
    <w:p w14:paraId="4A5BC147">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33418AED">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60C9AAD9">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46C68A80">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222357F8">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43A935A0">
      <w:pPr>
        <w:widowControl/>
        <w:tabs>
          <w:tab w:val="left" w:pos="450"/>
          <w:tab w:val="left" w:pos="2520"/>
          <w:tab w:val="left" w:pos="8280"/>
        </w:tabs>
        <w:spacing w:line="360" w:lineRule="auto"/>
        <w:rPr>
          <w:rFonts w:hint="eastAsia" w:ascii="宋体" w:hAnsi="宋体" w:eastAsia="宋体" w:cs="宋体"/>
          <w:color w:val="auto"/>
          <w:sz w:val="32"/>
          <w:szCs w:val="32"/>
          <w:highlight w:val="none"/>
        </w:rPr>
      </w:pPr>
    </w:p>
    <w:p w14:paraId="3D2FE873">
      <w:pPr>
        <w:widowControl/>
        <w:tabs>
          <w:tab w:val="left" w:pos="450"/>
          <w:tab w:val="left" w:pos="2520"/>
          <w:tab w:val="left" w:pos="8280"/>
        </w:tabs>
        <w:spacing w:line="360" w:lineRule="auto"/>
        <w:jc w:val="center"/>
        <w:rPr>
          <w:rFonts w:hint="eastAsia" w:ascii="宋体" w:hAnsi="宋体" w:eastAsia="宋体" w:cs="宋体"/>
          <w:b/>
          <w:bCs/>
          <w:color w:val="auto"/>
          <w:sz w:val="32"/>
          <w:szCs w:val="32"/>
          <w:highlight w:val="none"/>
        </w:rPr>
      </w:pPr>
    </w:p>
    <w:p w14:paraId="34C1E8C1">
      <w:pPr>
        <w:widowControl/>
        <w:tabs>
          <w:tab w:val="left" w:pos="450"/>
          <w:tab w:val="left" w:pos="2520"/>
          <w:tab w:val="left" w:pos="8280"/>
        </w:tabs>
        <w:spacing w:line="360" w:lineRule="auto"/>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二、内包装封面格式</w:t>
      </w:r>
    </w:p>
    <w:p w14:paraId="56854232">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 xml:space="preserve">                                          正本/副本</w:t>
      </w:r>
    </w:p>
    <w:p w14:paraId="6D799214">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技术文件或商务文件</w:t>
      </w:r>
    </w:p>
    <w:p w14:paraId="68E90941">
      <w:pPr>
        <w:widowControl/>
        <w:tabs>
          <w:tab w:val="left" w:pos="275"/>
          <w:tab w:val="left" w:pos="8280"/>
        </w:tabs>
        <w:spacing w:line="360" w:lineRule="auto"/>
        <w:ind w:firstLine="480"/>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ab/>
      </w:r>
    </w:p>
    <w:p w14:paraId="359AEBF1">
      <w:pPr>
        <w:widowControl/>
        <w:tabs>
          <w:tab w:val="left" w:pos="275"/>
          <w:tab w:val="left" w:pos="8280"/>
        </w:tabs>
        <w:spacing w:line="360" w:lineRule="auto"/>
        <w:jc w:val="left"/>
        <w:rPr>
          <w:rFonts w:hint="eastAsia" w:ascii="宋体" w:hAnsi="宋体" w:eastAsia="宋体" w:cs="宋体"/>
          <w:b w:val="0"/>
          <w:bCs w:val="0"/>
          <w:color w:val="auto"/>
          <w:sz w:val="32"/>
          <w:szCs w:val="32"/>
          <w:highlight w:val="none"/>
          <w:u w:val="single"/>
        </w:rPr>
      </w:pPr>
      <w:r>
        <w:rPr>
          <w:rFonts w:hint="eastAsia" w:ascii="宋体" w:hAnsi="宋体" w:eastAsia="宋体" w:cs="宋体"/>
          <w:b w:val="0"/>
          <w:bCs w:val="0"/>
          <w:color w:val="auto"/>
          <w:sz w:val="32"/>
          <w:szCs w:val="32"/>
          <w:highlight w:val="none"/>
        </w:rPr>
        <w:t>项目名称：</w:t>
      </w:r>
      <w:r>
        <w:rPr>
          <w:rFonts w:hint="eastAsia" w:ascii="宋体" w:hAnsi="宋体" w:eastAsia="宋体" w:cs="宋体"/>
          <w:b w:val="0"/>
          <w:bCs w:val="0"/>
          <w:color w:val="auto"/>
          <w:sz w:val="32"/>
          <w:szCs w:val="32"/>
          <w:highlight w:val="none"/>
          <w:u w:val="single"/>
        </w:rPr>
        <w:t xml:space="preserve">                                      </w:t>
      </w:r>
    </w:p>
    <w:p w14:paraId="1CFBCB14">
      <w:pPr>
        <w:widowControl/>
        <w:tabs>
          <w:tab w:val="left" w:pos="275"/>
          <w:tab w:val="left" w:pos="8280"/>
        </w:tabs>
        <w:spacing w:line="360" w:lineRule="auto"/>
        <w:ind w:firstLine="470" w:firstLineChars="147"/>
        <w:jc w:val="left"/>
        <w:rPr>
          <w:rFonts w:hint="eastAsia" w:ascii="宋体" w:hAnsi="宋体" w:eastAsia="宋体" w:cs="宋体"/>
          <w:b w:val="0"/>
          <w:bCs w:val="0"/>
          <w:color w:val="auto"/>
          <w:sz w:val="32"/>
          <w:szCs w:val="32"/>
          <w:highlight w:val="none"/>
        </w:rPr>
      </w:pPr>
    </w:p>
    <w:p w14:paraId="56B795D2">
      <w:pPr>
        <w:widowControl/>
        <w:tabs>
          <w:tab w:val="left" w:pos="275"/>
          <w:tab w:val="left" w:pos="8280"/>
        </w:tabs>
        <w:spacing w:line="360" w:lineRule="auto"/>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2"/>
          <w:szCs w:val="32"/>
          <w:highlight w:val="none"/>
        </w:rPr>
        <w:t>项目编号：</w:t>
      </w:r>
      <w:r>
        <w:rPr>
          <w:rFonts w:hint="eastAsia" w:ascii="宋体" w:hAnsi="宋体" w:eastAsia="宋体" w:cs="宋体"/>
          <w:b w:val="0"/>
          <w:bCs w:val="0"/>
          <w:color w:val="auto"/>
          <w:sz w:val="32"/>
          <w:szCs w:val="32"/>
          <w:highlight w:val="none"/>
          <w:u w:val="single"/>
        </w:rPr>
        <w:t xml:space="preserve">                                      </w:t>
      </w:r>
      <w:r>
        <w:rPr>
          <w:rFonts w:hint="eastAsia" w:ascii="宋体" w:hAnsi="宋体" w:eastAsia="宋体" w:cs="宋体"/>
          <w:b w:val="0"/>
          <w:bCs w:val="0"/>
          <w:color w:val="auto"/>
          <w:sz w:val="32"/>
          <w:szCs w:val="32"/>
          <w:highlight w:val="none"/>
        </w:rPr>
        <w:t xml:space="preserve">   </w:t>
      </w:r>
    </w:p>
    <w:p w14:paraId="60AD23E4">
      <w:pPr>
        <w:widowControl/>
        <w:tabs>
          <w:tab w:val="left" w:pos="765"/>
          <w:tab w:val="left" w:pos="8280"/>
        </w:tabs>
        <w:spacing w:line="360" w:lineRule="auto"/>
        <w:ind w:firstLine="480"/>
        <w:jc w:val="left"/>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ab/>
      </w:r>
    </w:p>
    <w:p w14:paraId="2ABE5961">
      <w:pPr>
        <w:widowControl/>
        <w:tabs>
          <w:tab w:val="left" w:pos="765"/>
          <w:tab w:val="left" w:pos="8280"/>
        </w:tabs>
        <w:spacing w:line="360" w:lineRule="auto"/>
        <w:jc w:val="left"/>
        <w:rPr>
          <w:rFonts w:hint="eastAsia" w:ascii="宋体" w:hAnsi="宋体" w:eastAsia="宋体" w:cs="宋体"/>
          <w:b w:val="0"/>
          <w:bCs w:val="0"/>
          <w:color w:val="auto"/>
          <w:sz w:val="36"/>
          <w:szCs w:val="36"/>
          <w:highlight w:val="none"/>
          <w:u w:val="single"/>
        </w:rPr>
      </w:pPr>
      <w:r>
        <w:rPr>
          <w:rFonts w:hint="eastAsia" w:ascii="宋体" w:hAnsi="宋体" w:eastAsia="宋体" w:cs="宋体"/>
          <w:b w:val="0"/>
          <w:bCs w:val="0"/>
          <w:color w:val="auto"/>
          <w:sz w:val="32"/>
          <w:szCs w:val="32"/>
          <w:highlight w:val="none"/>
        </w:rPr>
        <w:t>投标人：</w:t>
      </w:r>
      <w:r>
        <w:rPr>
          <w:rFonts w:hint="eastAsia" w:ascii="宋体" w:hAnsi="宋体" w:eastAsia="宋体" w:cs="宋体"/>
          <w:b w:val="0"/>
          <w:bCs w:val="0"/>
          <w:color w:val="auto"/>
          <w:sz w:val="32"/>
          <w:szCs w:val="32"/>
          <w:highlight w:val="none"/>
          <w:u w:val="single"/>
        </w:rPr>
        <w:t xml:space="preserve">           （盖公章）              </w:t>
      </w:r>
    </w:p>
    <w:p w14:paraId="1D75A7C5">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p>
    <w:p w14:paraId="257F29B5">
      <w:pPr>
        <w:widowControl/>
        <w:tabs>
          <w:tab w:val="left" w:pos="350"/>
          <w:tab w:val="left" w:pos="8280"/>
        </w:tabs>
        <w:spacing w:line="360" w:lineRule="auto"/>
        <w:jc w:val="left"/>
        <w:rPr>
          <w:rFonts w:hint="eastAsia" w:ascii="宋体" w:hAnsi="宋体" w:eastAsia="宋体" w:cs="宋体"/>
          <w:b w:val="0"/>
          <w:bCs w:val="0"/>
          <w:color w:val="auto"/>
          <w:sz w:val="36"/>
          <w:szCs w:val="36"/>
          <w:highlight w:val="none"/>
          <w:u w:val="single"/>
        </w:rPr>
      </w:pPr>
      <w:r>
        <w:rPr>
          <w:rFonts w:hint="eastAsia" w:ascii="宋体" w:hAnsi="宋体" w:eastAsia="宋体" w:cs="宋体"/>
          <w:b w:val="0"/>
          <w:bCs w:val="0"/>
          <w:color w:val="auto"/>
          <w:sz w:val="32"/>
          <w:szCs w:val="32"/>
          <w:highlight w:val="none"/>
        </w:rPr>
        <w:t>法定代表人或委托代理人：</w:t>
      </w:r>
      <w:r>
        <w:rPr>
          <w:rFonts w:hint="eastAsia" w:ascii="宋体" w:hAnsi="宋体" w:eastAsia="宋体" w:cs="宋体"/>
          <w:b w:val="0"/>
          <w:bCs w:val="0"/>
          <w:color w:val="auto"/>
          <w:sz w:val="32"/>
          <w:szCs w:val="32"/>
          <w:highlight w:val="none"/>
          <w:u w:val="single"/>
        </w:rPr>
        <w:t xml:space="preserve">   （签字或盖章）  </w:t>
      </w:r>
      <w:r>
        <w:rPr>
          <w:rFonts w:hint="eastAsia" w:ascii="宋体" w:hAnsi="宋体" w:eastAsia="宋体" w:cs="宋体"/>
          <w:b w:val="0"/>
          <w:bCs w:val="0"/>
          <w:color w:val="auto"/>
          <w:sz w:val="32"/>
          <w:szCs w:val="32"/>
          <w:highlight w:val="none"/>
        </w:rPr>
        <w:t xml:space="preserve">   </w:t>
      </w:r>
    </w:p>
    <w:p w14:paraId="6760502E">
      <w:pPr>
        <w:widowControl/>
        <w:tabs>
          <w:tab w:val="left" w:pos="8280"/>
        </w:tabs>
        <w:spacing w:line="360" w:lineRule="auto"/>
        <w:ind w:firstLine="480"/>
        <w:jc w:val="center"/>
        <w:rPr>
          <w:rFonts w:hint="eastAsia" w:ascii="宋体" w:hAnsi="宋体" w:eastAsia="宋体" w:cs="宋体"/>
          <w:b w:val="0"/>
          <w:bCs w:val="0"/>
          <w:color w:val="auto"/>
          <w:sz w:val="32"/>
          <w:szCs w:val="32"/>
          <w:highlight w:val="none"/>
        </w:rPr>
      </w:pPr>
    </w:p>
    <w:p w14:paraId="52D7C629">
      <w:pPr>
        <w:widowControl/>
        <w:tabs>
          <w:tab w:val="left" w:pos="350"/>
          <w:tab w:val="left" w:pos="8280"/>
        </w:tabs>
        <w:spacing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 xml:space="preserve">日期：      </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月</w:t>
      </w:r>
      <w:r>
        <w:rPr>
          <w:rFonts w:hint="eastAsia" w:ascii="宋体" w:hAnsi="宋体" w:eastAsia="宋体" w:cs="宋体"/>
          <w:b w:val="0"/>
          <w:bCs w:val="0"/>
          <w:color w:val="auto"/>
          <w:sz w:val="36"/>
          <w:szCs w:val="36"/>
          <w:highlight w:val="none"/>
        </w:rPr>
        <w:t xml:space="preserve">     </w:t>
      </w:r>
      <w:r>
        <w:rPr>
          <w:rFonts w:hint="eastAsia" w:ascii="宋体" w:hAnsi="宋体" w:eastAsia="宋体" w:cs="宋体"/>
          <w:b w:val="0"/>
          <w:bCs w:val="0"/>
          <w:color w:val="auto"/>
          <w:sz w:val="32"/>
          <w:szCs w:val="32"/>
          <w:highlight w:val="none"/>
        </w:rPr>
        <w:t>日</w:t>
      </w:r>
    </w:p>
    <w:p w14:paraId="50D705E1">
      <w:pPr>
        <w:autoSpaceDE/>
        <w:autoSpaceDN/>
        <w:snapToGrid w:val="0"/>
        <w:spacing w:line="300" w:lineRule="auto"/>
        <w:ind w:right="480"/>
        <w:jc w:val="center"/>
        <w:rPr>
          <w:rFonts w:hint="eastAsia" w:ascii="宋体" w:hAnsi="宋体" w:eastAsia="宋体" w:cs="宋体"/>
          <w:b/>
          <w:color w:val="auto"/>
          <w:sz w:val="32"/>
          <w:szCs w:val="32"/>
          <w:highlight w:val="none"/>
        </w:rPr>
      </w:pPr>
      <w:r>
        <w:rPr>
          <w:rFonts w:hint="eastAsia" w:ascii="宋体" w:hAnsi="宋体" w:eastAsia="宋体" w:cs="宋体"/>
          <w:b w:val="0"/>
          <w:bCs w:val="0"/>
          <w:color w:val="auto"/>
          <w:sz w:val="32"/>
          <w:highlight w:val="none"/>
        </w:rPr>
        <w:br w:type="page"/>
      </w:r>
      <w:r>
        <w:rPr>
          <w:rFonts w:hint="eastAsia" w:ascii="宋体" w:hAnsi="宋体" w:eastAsia="宋体" w:cs="宋体"/>
          <w:b/>
          <w:bCs w:val="0"/>
          <w:color w:val="auto"/>
          <w:sz w:val="32"/>
          <w:szCs w:val="32"/>
          <w:highlight w:val="none"/>
        </w:rPr>
        <w:t>三、符合参加项目采购活动应当具备的一般条件的承诺函</w:t>
      </w:r>
    </w:p>
    <w:p w14:paraId="656D308C">
      <w:pPr>
        <w:autoSpaceDE/>
        <w:autoSpaceDN/>
        <w:snapToGrid w:val="0"/>
        <w:spacing w:line="300" w:lineRule="auto"/>
        <w:rPr>
          <w:rFonts w:hint="eastAsia" w:ascii="宋体" w:hAnsi="宋体" w:eastAsia="宋体" w:cs="宋体"/>
          <w:color w:val="auto"/>
          <w:sz w:val="24"/>
          <w:highlight w:val="none"/>
        </w:rPr>
      </w:pPr>
    </w:p>
    <w:p w14:paraId="49D62906">
      <w:pPr>
        <w:autoSpaceDE/>
        <w:autoSpaceDN/>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C293B28">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我方参与（项目名称）【招标编号：（采购编号）】项目采购活动，郑重承诺：</w:t>
      </w:r>
    </w:p>
    <w:p w14:paraId="59F55F74">
      <w:pPr>
        <w:autoSpaceDE/>
        <w:autoSpaceDN/>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14:paraId="7F63B089">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EE09F4E">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78660B8">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7DA53F3">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15967DD">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5、参加本项目前三年内，在经营活动中没有重大违法记录；</w:t>
      </w:r>
    </w:p>
    <w:p w14:paraId="1DE67C9B">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51D1967">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B17610A">
      <w:pPr>
        <w:autoSpaceDE/>
        <w:autoSpaceDN/>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21AB7C">
      <w:pPr>
        <w:autoSpaceDE/>
        <w:autoSpaceDN/>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单位负责人为同一人或者存在直接控股、管理关系的不同供应商参加同一合同项下的项目采购活动的</w:t>
      </w:r>
      <w:r>
        <w:rPr>
          <w:rFonts w:hint="eastAsia" w:ascii="宋体" w:hAnsi="宋体" w:eastAsia="宋体" w:cs="宋体"/>
          <w:color w:val="auto"/>
          <w:sz w:val="24"/>
          <w:highlight w:val="none"/>
          <w:lang w:eastAsia="zh-CN"/>
        </w:rPr>
        <w:t>。</w:t>
      </w:r>
    </w:p>
    <w:p w14:paraId="5F19F9AE">
      <w:pPr>
        <w:pStyle w:val="5"/>
        <w:tabs>
          <w:tab w:val="left" w:pos="432"/>
        </w:tabs>
        <w:spacing w:line="300" w:lineRule="auto"/>
        <w:rPr>
          <w:rFonts w:hint="eastAsia" w:ascii="宋体" w:hAnsi="宋体" w:eastAsia="宋体" w:cs="宋体"/>
          <w:color w:val="auto"/>
          <w:highlight w:val="none"/>
          <w:lang w:val="en-US"/>
        </w:rPr>
      </w:pPr>
    </w:p>
    <w:p w14:paraId="68FA1092">
      <w:pPr>
        <w:autoSpaceDE/>
        <w:autoSpaceDN/>
        <w:spacing w:line="300" w:lineRule="auto"/>
        <w:rPr>
          <w:rFonts w:hint="eastAsia" w:ascii="宋体" w:hAnsi="宋体" w:eastAsia="宋体" w:cs="宋体"/>
          <w:color w:val="auto"/>
          <w:highlight w:val="none"/>
        </w:rPr>
      </w:pPr>
    </w:p>
    <w:p w14:paraId="6947D4A6">
      <w:pPr>
        <w:pStyle w:val="5"/>
        <w:tabs>
          <w:tab w:val="left" w:pos="432"/>
        </w:tabs>
        <w:spacing w:line="300" w:lineRule="auto"/>
        <w:rPr>
          <w:rFonts w:hint="eastAsia" w:ascii="宋体" w:hAnsi="宋体" w:eastAsia="宋体" w:cs="宋体"/>
          <w:color w:val="auto"/>
          <w:highlight w:val="none"/>
          <w:lang w:val="en-US"/>
        </w:rPr>
      </w:pPr>
    </w:p>
    <w:p w14:paraId="1513316A">
      <w:pPr>
        <w:autoSpaceDE/>
        <w:autoSpaceDN/>
        <w:spacing w:line="300" w:lineRule="auto"/>
        <w:rPr>
          <w:rFonts w:hint="eastAsia" w:ascii="宋体" w:hAnsi="宋体" w:eastAsia="宋体" w:cs="宋体"/>
          <w:color w:val="auto"/>
          <w:highlight w:val="none"/>
        </w:rPr>
      </w:pPr>
    </w:p>
    <w:p w14:paraId="5FB0A8F4">
      <w:pPr>
        <w:autoSpaceDE/>
        <w:autoSpaceDN/>
        <w:spacing w:line="300" w:lineRule="auto"/>
        <w:rPr>
          <w:rFonts w:hint="eastAsia" w:ascii="宋体" w:hAnsi="宋体" w:eastAsia="宋体" w:cs="宋体"/>
          <w:color w:val="auto"/>
          <w:highlight w:val="none"/>
        </w:rPr>
      </w:pPr>
    </w:p>
    <w:p w14:paraId="64AA6C44">
      <w:pPr>
        <w:autoSpaceDE/>
        <w:autoSpaceDN/>
        <w:snapToGrid w:val="0"/>
        <w:spacing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投标人名称(</w:t>
      </w:r>
      <w:r>
        <w:rPr>
          <w:rFonts w:hint="eastAsia" w:ascii="宋体" w:hAnsi="宋体" w:eastAsia="宋体" w:cs="宋体"/>
          <w:color w:val="auto"/>
          <w:sz w:val="24"/>
          <w:highlight w:val="none"/>
          <w:lang w:val="en-US" w:eastAsia="zh-CN"/>
        </w:rPr>
        <w:t>公章</w:t>
      </w:r>
      <w:r>
        <w:rPr>
          <w:rFonts w:hint="eastAsia" w:ascii="宋体" w:hAnsi="宋体" w:eastAsia="宋体" w:cs="宋体"/>
          <w:color w:val="auto"/>
          <w:sz w:val="24"/>
          <w:highlight w:val="none"/>
          <w:lang w:val="zh-CN"/>
        </w:rPr>
        <w:t>)：</w:t>
      </w:r>
    </w:p>
    <w:p w14:paraId="799F716C">
      <w:pPr>
        <w:autoSpaceDE/>
        <w:autoSpaceDN/>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14:paraId="07E073C5">
      <w:pPr>
        <w:jc w:val="center"/>
        <w:rPr>
          <w:rFonts w:hint="eastAsia" w:ascii="宋体" w:hAnsi="宋体" w:eastAsia="宋体" w:cs="宋体"/>
          <w:b/>
          <w:bCs/>
          <w:color w:val="auto"/>
          <w:sz w:val="32"/>
          <w:highlight w:val="none"/>
        </w:rPr>
      </w:pPr>
    </w:p>
    <w:p w14:paraId="64BF6EEF">
      <w:pPr>
        <w:jc w:val="center"/>
        <w:rPr>
          <w:rFonts w:hint="eastAsia" w:ascii="宋体" w:hAnsi="宋体" w:eastAsia="宋体" w:cs="宋体"/>
          <w:b/>
          <w:bCs/>
          <w:color w:val="auto"/>
          <w:sz w:val="32"/>
          <w:highlight w:val="none"/>
        </w:rPr>
      </w:pPr>
    </w:p>
    <w:p w14:paraId="44FE77D6">
      <w:pPr>
        <w:jc w:val="center"/>
        <w:rPr>
          <w:rFonts w:hint="eastAsia" w:ascii="宋体" w:hAnsi="宋体" w:eastAsia="宋体" w:cs="宋体"/>
          <w:b/>
          <w:bCs/>
          <w:color w:val="auto"/>
          <w:sz w:val="32"/>
          <w:highlight w:val="none"/>
        </w:rPr>
      </w:pPr>
    </w:p>
    <w:p w14:paraId="3851305B">
      <w:pPr>
        <w:jc w:val="center"/>
        <w:rPr>
          <w:rFonts w:hint="eastAsia" w:ascii="宋体" w:hAnsi="宋体" w:eastAsia="宋体" w:cs="宋体"/>
          <w:b/>
          <w:bCs/>
          <w:color w:val="auto"/>
          <w:sz w:val="32"/>
          <w:highlight w:val="none"/>
        </w:rPr>
      </w:pPr>
    </w:p>
    <w:p w14:paraId="41679D2A">
      <w:pPr>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四</w:t>
      </w:r>
      <w:r>
        <w:rPr>
          <w:rFonts w:hint="eastAsia" w:ascii="宋体" w:hAnsi="宋体" w:eastAsia="宋体" w:cs="宋体"/>
          <w:b/>
          <w:bCs/>
          <w:color w:val="auto"/>
          <w:sz w:val="32"/>
          <w:highlight w:val="none"/>
        </w:rPr>
        <w:t>、投标函（格式）</w:t>
      </w:r>
    </w:p>
    <w:p w14:paraId="376851F5">
      <w:pPr>
        <w:spacing w:line="66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致：浙江明业项目管理有限公司</w:t>
      </w:r>
    </w:p>
    <w:p w14:paraId="67CCA8A6">
      <w:pPr>
        <w:spacing w:line="360" w:lineRule="auto"/>
        <w:ind w:firstLine="384" w:firstLineChars="15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根据贵方</w:t>
      </w:r>
      <w:r>
        <w:rPr>
          <w:rFonts w:hint="eastAsia" w:ascii="宋体" w:hAnsi="宋体" w:eastAsia="宋体" w:cs="宋体"/>
          <w:color w:val="auto"/>
          <w:spacing w:val="8"/>
          <w:sz w:val="24"/>
          <w:szCs w:val="24"/>
          <w:highlight w:val="none"/>
          <w:u w:val="single"/>
        </w:rPr>
        <w:t xml:space="preserve">                           项目的</w:t>
      </w:r>
      <w:r>
        <w:rPr>
          <w:rFonts w:hint="eastAsia" w:ascii="宋体" w:hAnsi="宋体" w:eastAsia="宋体" w:cs="宋体"/>
          <w:color w:val="auto"/>
          <w:spacing w:val="8"/>
          <w:sz w:val="24"/>
          <w:szCs w:val="24"/>
          <w:highlight w:val="none"/>
        </w:rPr>
        <w:t>招标文件（编号：</w:t>
      </w:r>
      <w:r>
        <w:rPr>
          <w:rFonts w:hint="eastAsia" w:ascii="宋体" w:hAnsi="宋体" w:eastAsia="宋体" w:cs="宋体"/>
          <w:color w:val="auto"/>
          <w:spacing w:val="8"/>
          <w:sz w:val="24"/>
          <w:szCs w:val="24"/>
          <w:highlight w:val="none"/>
          <w:lang w:eastAsia="zh-CN"/>
        </w:rPr>
        <w:t>浙江明业2025</w:t>
      </w:r>
      <w:r>
        <w:rPr>
          <w:rFonts w:hint="eastAsia" w:ascii="宋体" w:hAnsi="宋体" w:eastAsia="宋体" w:cs="宋体"/>
          <w:color w:val="auto"/>
          <w:spacing w:val="8"/>
          <w:sz w:val="24"/>
          <w:szCs w:val="24"/>
          <w:highlight w:val="none"/>
        </w:rPr>
        <w:t xml:space="preserve">-**-**）有关要求， </w:t>
      </w:r>
      <w:r>
        <w:rPr>
          <w:rFonts w:hint="eastAsia" w:ascii="宋体" w:hAnsi="宋体" w:eastAsia="宋体" w:cs="宋体"/>
          <w:color w:val="auto"/>
          <w:spacing w:val="8"/>
          <w:sz w:val="24"/>
          <w:szCs w:val="24"/>
          <w:highlight w:val="none"/>
          <w:u w:val="single"/>
        </w:rPr>
        <w:t xml:space="preserve">   　　（投标人全称）       </w:t>
      </w:r>
      <w:r>
        <w:rPr>
          <w:rFonts w:hint="eastAsia" w:ascii="宋体" w:hAnsi="宋体" w:eastAsia="宋体" w:cs="宋体"/>
          <w:color w:val="auto"/>
          <w:spacing w:val="8"/>
          <w:sz w:val="24"/>
          <w:szCs w:val="24"/>
          <w:highlight w:val="none"/>
        </w:rPr>
        <w:t>授权</w:t>
      </w:r>
      <w:r>
        <w:rPr>
          <w:rFonts w:hint="eastAsia" w:ascii="宋体" w:hAnsi="宋体" w:eastAsia="宋体" w:cs="宋体"/>
          <w:color w:val="auto"/>
          <w:spacing w:val="8"/>
          <w:sz w:val="24"/>
          <w:szCs w:val="24"/>
          <w:highlight w:val="none"/>
          <w:u w:val="single"/>
        </w:rPr>
        <w:t xml:space="preserve">     （委托代理人姓名）   </w:t>
      </w:r>
      <w:r>
        <w:rPr>
          <w:rFonts w:hint="eastAsia" w:ascii="宋体" w:hAnsi="宋体" w:eastAsia="宋体" w:cs="宋体"/>
          <w:color w:val="auto"/>
          <w:sz w:val="24"/>
          <w:szCs w:val="24"/>
          <w:highlight w:val="none"/>
        </w:rPr>
        <w:t>为全权代表，参加贵方组织的招标采购活动，并进行投标。为此：</w:t>
      </w:r>
    </w:p>
    <w:p w14:paraId="016F22C1">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我方已详细研读了全部招标文件，包括修改文件（如有的话）以及全部参考资料和有关附件等，</w:t>
      </w:r>
      <w:r>
        <w:rPr>
          <w:rFonts w:hint="eastAsia" w:ascii="宋体" w:hAnsi="宋体" w:eastAsia="宋体" w:cs="宋体"/>
          <w:bCs/>
          <w:color w:val="auto"/>
          <w:sz w:val="24"/>
          <w:szCs w:val="24"/>
          <w:highlight w:val="none"/>
        </w:rPr>
        <w:t>完全理解并接受招标文件的各项规定和要求，对招标文件的合理性、合法性不再有异议。</w:t>
      </w:r>
    </w:p>
    <w:p w14:paraId="39ACE6B5">
      <w:pPr>
        <w:tabs>
          <w:tab w:val="left" w:pos="9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我方承诺本投标文件在开标之日起至投标有效期满均具有约束力，并严格遵守投标文件中的承诺。</w:t>
      </w:r>
    </w:p>
    <w:p w14:paraId="1D4F8C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我方承诺已经具备招标文件中规定的参加本项目的供应商资格条件。</w:t>
      </w:r>
    </w:p>
    <w:p w14:paraId="450E82D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我方严格按照招标文件的规定报价，并提供招标文件规定的全部投标文件。</w:t>
      </w:r>
    </w:p>
    <w:p w14:paraId="0D329C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如我方中标，投标文件将作为本项目合同的组成部分，直到合同履行完毕均保持有效，我方将按招标文件及政府采购法律、法规的规定履行合同责任和义务。</w:t>
      </w:r>
    </w:p>
    <w:p w14:paraId="3698EE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我方完全理解贵方不一定接受最低价的投标。</w:t>
      </w:r>
    </w:p>
    <w:p w14:paraId="243A7C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我方同意向贵方提供任何与该项投标有关的一切数据或资料。若贵方需要，我方愿意提供我方作出的一切承诺的证明材料。</w:t>
      </w:r>
    </w:p>
    <w:p w14:paraId="38F486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与本次投标有关的一切正式往来通讯，请寄：</w:t>
      </w:r>
    </w:p>
    <w:p w14:paraId="74CD2E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7AB4F43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32B8507C">
      <w:pPr>
        <w:spacing w:line="360" w:lineRule="auto"/>
        <w:rPr>
          <w:rFonts w:hint="eastAsia" w:ascii="宋体" w:hAnsi="宋体" w:eastAsia="宋体" w:cs="宋体"/>
          <w:color w:val="auto"/>
          <w:sz w:val="24"/>
          <w:szCs w:val="24"/>
          <w:highlight w:val="none"/>
        </w:rPr>
      </w:pPr>
    </w:p>
    <w:p w14:paraId="159A29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（盖章）          </w:t>
      </w:r>
    </w:p>
    <w:p w14:paraId="67D3C5A0">
      <w:pPr>
        <w:spacing w:line="360" w:lineRule="auto"/>
        <w:rPr>
          <w:rFonts w:hint="eastAsia" w:ascii="宋体" w:hAnsi="宋体" w:eastAsia="宋体" w:cs="宋体"/>
          <w:color w:val="auto"/>
          <w:sz w:val="24"/>
          <w:szCs w:val="24"/>
          <w:highlight w:val="none"/>
        </w:rPr>
      </w:pPr>
    </w:p>
    <w:p w14:paraId="615FF95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签字或盖章    </w:t>
      </w:r>
    </w:p>
    <w:p w14:paraId="652C1946">
      <w:pPr>
        <w:spacing w:line="360" w:lineRule="auto"/>
        <w:rPr>
          <w:rFonts w:hint="eastAsia" w:ascii="宋体" w:hAnsi="宋体" w:eastAsia="宋体" w:cs="宋体"/>
          <w:color w:val="auto"/>
          <w:sz w:val="24"/>
          <w:szCs w:val="24"/>
          <w:highlight w:val="none"/>
        </w:rPr>
      </w:pPr>
    </w:p>
    <w:p w14:paraId="7AA887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82E528">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、授权委托书（格式）</w:t>
      </w:r>
    </w:p>
    <w:p w14:paraId="68216B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致：浙江明业项目管理有限公司</w:t>
      </w:r>
    </w:p>
    <w:p w14:paraId="22287C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的法定代表人（负责人），现授权委托本单位在职职工</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以我方的名义参加贵中心组织的</w:t>
      </w:r>
      <w:r>
        <w:rPr>
          <w:rFonts w:hint="eastAsia" w:ascii="宋体" w:hAnsi="宋体" w:eastAsia="宋体" w:cs="宋体"/>
          <w:color w:val="auto"/>
          <w:sz w:val="24"/>
          <w:szCs w:val="24"/>
          <w:highlight w:val="none"/>
          <w:u w:val="single"/>
        </w:rPr>
        <w:t>诸暨市    　(招标项目)        项目</w:t>
      </w:r>
      <w:r>
        <w:rPr>
          <w:rFonts w:hint="eastAsia" w:ascii="宋体" w:hAnsi="宋体" w:eastAsia="宋体" w:cs="宋体"/>
          <w:color w:val="auto"/>
          <w:sz w:val="24"/>
          <w:szCs w:val="24"/>
          <w:highlight w:val="none"/>
        </w:rPr>
        <w:t>的投标活动，并代表我方全权办理针对上述项目的投标、开标、评标、签约等具体事务和签署相关文件。</w:t>
      </w:r>
    </w:p>
    <w:p w14:paraId="08B342D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我方对被授权人的签名事项负全部责任。</w:t>
      </w:r>
    </w:p>
    <w:p w14:paraId="4A6FD55C">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5DB8E623">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5D03A01">
      <w:pPr>
        <w:spacing w:line="360" w:lineRule="auto"/>
        <w:rPr>
          <w:rFonts w:hint="eastAsia" w:ascii="宋体" w:hAnsi="宋体" w:eastAsia="宋体" w:cs="宋体"/>
          <w:color w:val="auto"/>
          <w:sz w:val="24"/>
          <w:szCs w:val="24"/>
          <w:highlight w:val="none"/>
        </w:rPr>
      </w:pPr>
    </w:p>
    <w:p w14:paraId="72A780C4">
      <w:pPr>
        <w:spacing w:line="360" w:lineRule="auto"/>
        <w:rPr>
          <w:rFonts w:hint="eastAsia" w:ascii="宋体" w:hAnsi="宋体" w:eastAsia="宋体" w:cs="宋体"/>
          <w:color w:val="auto"/>
          <w:sz w:val="24"/>
          <w:szCs w:val="24"/>
          <w:highlight w:val="none"/>
        </w:rPr>
      </w:pPr>
    </w:p>
    <w:p w14:paraId="72B1F1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(签字或盖章)</w:t>
      </w:r>
      <w:r>
        <w:rPr>
          <w:rFonts w:hint="eastAsia" w:ascii="宋体" w:hAnsi="宋体" w:eastAsia="宋体" w:cs="宋体"/>
          <w:color w:val="auto"/>
          <w:sz w:val="24"/>
          <w:szCs w:val="24"/>
          <w:highlight w:val="none"/>
        </w:rPr>
        <w:t xml:space="preserve">                   被授权人：</w:t>
      </w:r>
      <w:r>
        <w:rPr>
          <w:rFonts w:hint="eastAsia" w:ascii="宋体" w:hAnsi="宋体" w:eastAsia="宋体" w:cs="宋体"/>
          <w:color w:val="auto"/>
          <w:sz w:val="24"/>
          <w:szCs w:val="24"/>
          <w:highlight w:val="none"/>
          <w:u w:val="single"/>
        </w:rPr>
        <w:t xml:space="preserve">(签字或盖章) </w:t>
      </w:r>
      <w:r>
        <w:rPr>
          <w:rFonts w:hint="eastAsia" w:ascii="宋体" w:hAnsi="宋体" w:eastAsia="宋体" w:cs="宋体"/>
          <w:color w:val="auto"/>
          <w:sz w:val="24"/>
          <w:szCs w:val="24"/>
          <w:highlight w:val="none"/>
        </w:rPr>
        <w:t xml:space="preserve">　 </w:t>
      </w:r>
    </w:p>
    <w:p w14:paraId="5C0756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449A688D">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1DFF6940">
      <w:pPr>
        <w:spacing w:line="360" w:lineRule="auto"/>
        <w:rPr>
          <w:rFonts w:hint="eastAsia" w:ascii="宋体" w:hAnsi="宋体" w:eastAsia="宋体" w:cs="宋体"/>
          <w:color w:val="auto"/>
          <w:sz w:val="24"/>
          <w:szCs w:val="24"/>
          <w:highlight w:val="none"/>
        </w:rPr>
      </w:pPr>
    </w:p>
    <w:p w14:paraId="674D0332">
      <w:pPr>
        <w:spacing w:line="360" w:lineRule="auto"/>
        <w:rPr>
          <w:rFonts w:hint="eastAsia" w:ascii="宋体" w:hAnsi="宋体" w:eastAsia="宋体" w:cs="宋体"/>
          <w:color w:val="auto"/>
          <w:sz w:val="24"/>
          <w:szCs w:val="24"/>
          <w:highlight w:val="none"/>
        </w:rPr>
      </w:pPr>
    </w:p>
    <w:p w14:paraId="27A8F07D">
      <w:pPr>
        <w:jc w:val="both"/>
        <w:rPr>
          <w:rFonts w:hint="eastAsia" w:ascii="宋体" w:hAnsi="宋体" w:eastAsia="宋体" w:cs="宋体"/>
          <w:color w:val="auto"/>
          <w:sz w:val="24"/>
          <w:szCs w:val="24"/>
          <w:highlight w:val="none"/>
          <w:lang w:eastAsia="zh-CN"/>
        </w:rPr>
      </w:pPr>
    </w:p>
    <w:p w14:paraId="7B9806BC">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注：附</w:t>
      </w:r>
      <w:r>
        <w:rPr>
          <w:rFonts w:hint="eastAsia" w:ascii="宋体" w:hAnsi="宋体" w:eastAsia="宋体" w:cs="宋体"/>
          <w:b/>
          <w:bCs/>
          <w:color w:val="auto"/>
          <w:sz w:val="24"/>
          <w:szCs w:val="24"/>
          <w:highlight w:val="none"/>
          <w:lang w:eastAsia="zh-CN"/>
        </w:rPr>
        <w:t>双方身份证复印件）</w:t>
      </w:r>
    </w:p>
    <w:p w14:paraId="109C7B42">
      <w:pPr>
        <w:spacing w:line="360" w:lineRule="auto"/>
        <w:rPr>
          <w:rFonts w:hint="eastAsia" w:ascii="宋体" w:hAnsi="宋体" w:eastAsia="宋体" w:cs="宋体"/>
          <w:color w:val="auto"/>
          <w:sz w:val="24"/>
          <w:szCs w:val="24"/>
          <w:highlight w:val="none"/>
        </w:rPr>
      </w:pPr>
    </w:p>
    <w:p w14:paraId="08574F36">
      <w:pPr>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w:t>
      </w:r>
    </w:p>
    <w:p w14:paraId="2ED3186B">
      <w:pPr>
        <w:spacing w:line="360" w:lineRule="auto"/>
        <w:rPr>
          <w:rFonts w:hint="eastAsia" w:ascii="宋体" w:hAnsi="宋体" w:eastAsia="宋体" w:cs="宋体"/>
          <w:color w:val="auto"/>
          <w:sz w:val="24"/>
          <w:szCs w:val="24"/>
          <w:highlight w:val="none"/>
        </w:rPr>
      </w:pPr>
    </w:p>
    <w:p w14:paraId="4685A5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841A36A">
      <w:pPr>
        <w:pStyle w:val="5"/>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val="0"/>
          <w:bCs w:val="0"/>
          <w:color w:val="auto"/>
          <w:kern w:val="0"/>
          <w:sz w:val="32"/>
          <w:szCs w:val="32"/>
          <w:highlight w:val="none"/>
          <w:lang w:val="zh-CN" w:eastAsia="zh-CN" w:bidi="ar-SA"/>
        </w:rPr>
      </w:pPr>
      <w:r>
        <w:rPr>
          <w:rFonts w:hint="eastAsia" w:ascii="宋体" w:hAnsi="宋体" w:eastAsia="宋体" w:cs="宋体"/>
          <w:color w:val="auto"/>
          <w:sz w:val="24"/>
          <w:szCs w:val="24"/>
          <w:highlight w:val="none"/>
        </w:rPr>
        <w:br w:type="page"/>
      </w:r>
      <w:bookmarkStart w:id="16" w:name="_Toc331876394"/>
      <w:bookmarkStart w:id="17" w:name="_Toc48672384"/>
      <w:r>
        <w:rPr>
          <w:rFonts w:hint="eastAsia" w:ascii="宋体" w:hAnsi="宋体" w:eastAsia="宋体" w:cs="宋体"/>
          <w:b/>
          <w:bCs/>
          <w:color w:val="auto"/>
          <w:kern w:val="0"/>
          <w:sz w:val="32"/>
          <w:szCs w:val="32"/>
          <w:highlight w:val="none"/>
          <w:lang w:val="en-US" w:eastAsia="zh-CN" w:bidi="ar-SA"/>
        </w:rPr>
        <w:t>六、</w:t>
      </w:r>
      <w:r>
        <w:rPr>
          <w:rFonts w:hint="eastAsia" w:ascii="宋体" w:hAnsi="宋体" w:eastAsia="宋体" w:cs="宋体"/>
          <w:b/>
          <w:bCs/>
          <w:color w:val="auto"/>
          <w:kern w:val="0"/>
          <w:sz w:val="32"/>
          <w:szCs w:val="32"/>
          <w:highlight w:val="none"/>
          <w:lang w:val="zh-CN" w:eastAsia="zh-CN" w:bidi="ar-SA"/>
        </w:rPr>
        <w:t>供应商情况登记表</w:t>
      </w:r>
    </w:p>
    <w:p w14:paraId="61717D17">
      <w:pPr>
        <w:numPr>
          <w:ilvl w:val="0"/>
          <w:numId w:val="0"/>
        </w:numPr>
        <w:rPr>
          <w:rFonts w:hint="eastAsia" w:ascii="宋体" w:hAnsi="宋体" w:eastAsia="宋体" w:cs="宋体"/>
          <w:color w:val="auto"/>
          <w:highlight w:val="none"/>
        </w:rPr>
      </w:pPr>
    </w:p>
    <w:tbl>
      <w:tblPr>
        <w:tblStyle w:val="16"/>
        <w:tblW w:w="0" w:type="auto"/>
        <w:jc w:val="center"/>
        <w:tblLayout w:type="fixed"/>
        <w:tblCellMar>
          <w:top w:w="0" w:type="dxa"/>
          <w:left w:w="108" w:type="dxa"/>
          <w:bottom w:w="0" w:type="dxa"/>
          <w:right w:w="108" w:type="dxa"/>
        </w:tblCellMar>
      </w:tblPr>
      <w:tblGrid>
        <w:gridCol w:w="2601"/>
        <w:gridCol w:w="2663"/>
        <w:gridCol w:w="1830"/>
        <w:gridCol w:w="2502"/>
      </w:tblGrid>
      <w:tr w14:paraId="7F035471">
        <w:tblPrEx>
          <w:tblCellMar>
            <w:top w:w="0" w:type="dxa"/>
            <w:left w:w="108" w:type="dxa"/>
            <w:bottom w:w="0" w:type="dxa"/>
            <w:right w:w="108" w:type="dxa"/>
          </w:tblCellMar>
        </w:tblPrEx>
        <w:trPr>
          <w:trHeight w:val="615" w:hRule="atLeast"/>
          <w:jc w:val="center"/>
        </w:trPr>
        <w:tc>
          <w:tcPr>
            <w:tcW w:w="2601" w:type="dxa"/>
            <w:tcBorders>
              <w:top w:val="single" w:color="auto" w:sz="4" w:space="0"/>
              <w:left w:val="single" w:color="auto" w:sz="4" w:space="0"/>
              <w:bottom w:val="single" w:color="auto" w:sz="4" w:space="0"/>
              <w:right w:val="single" w:color="auto" w:sz="4" w:space="0"/>
            </w:tcBorders>
            <w:noWrap w:val="0"/>
            <w:vAlign w:val="center"/>
          </w:tcPr>
          <w:p w14:paraId="471F85A2">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公司名称</w:t>
            </w:r>
          </w:p>
        </w:tc>
        <w:tc>
          <w:tcPr>
            <w:tcW w:w="6995" w:type="dxa"/>
            <w:gridSpan w:val="3"/>
            <w:tcBorders>
              <w:top w:val="single" w:color="auto" w:sz="4" w:space="0"/>
              <w:left w:val="nil"/>
              <w:bottom w:val="single" w:color="auto" w:sz="4" w:space="0"/>
              <w:right w:val="single" w:color="auto" w:sz="4" w:space="0"/>
            </w:tcBorders>
            <w:noWrap w:val="0"/>
            <w:vAlign w:val="center"/>
          </w:tcPr>
          <w:p w14:paraId="2B7A2F11">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 </w:t>
            </w:r>
          </w:p>
        </w:tc>
      </w:tr>
      <w:tr w14:paraId="36FAA75D">
        <w:tblPrEx>
          <w:tblCellMar>
            <w:top w:w="0" w:type="dxa"/>
            <w:left w:w="108" w:type="dxa"/>
            <w:bottom w:w="0" w:type="dxa"/>
            <w:right w:w="108" w:type="dxa"/>
          </w:tblCellMar>
        </w:tblPrEx>
        <w:trPr>
          <w:trHeight w:val="455" w:hRule="atLeast"/>
          <w:jc w:val="center"/>
        </w:trPr>
        <w:tc>
          <w:tcPr>
            <w:tcW w:w="2601" w:type="dxa"/>
            <w:tcBorders>
              <w:top w:val="nil"/>
              <w:left w:val="single" w:color="auto" w:sz="4" w:space="0"/>
              <w:bottom w:val="single" w:color="auto" w:sz="4" w:space="0"/>
              <w:right w:val="single" w:color="auto" w:sz="4" w:space="0"/>
            </w:tcBorders>
            <w:noWrap w:val="0"/>
            <w:vAlign w:val="center"/>
          </w:tcPr>
          <w:p w14:paraId="611D6716">
            <w:pPr>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统一社会信用代码</w:t>
            </w:r>
          </w:p>
        </w:tc>
        <w:tc>
          <w:tcPr>
            <w:tcW w:w="6995" w:type="dxa"/>
            <w:gridSpan w:val="3"/>
            <w:tcBorders>
              <w:top w:val="nil"/>
              <w:left w:val="nil"/>
              <w:bottom w:val="single" w:color="auto" w:sz="4" w:space="0"/>
              <w:right w:val="single" w:color="auto" w:sz="4" w:space="0"/>
            </w:tcBorders>
            <w:noWrap w:val="0"/>
            <w:vAlign w:val="center"/>
          </w:tcPr>
          <w:p w14:paraId="385D4244">
            <w:pPr>
              <w:jc w:val="center"/>
              <w:rPr>
                <w:rFonts w:hint="eastAsia" w:ascii="宋体" w:hAnsi="宋体" w:eastAsia="宋体" w:cs="宋体"/>
                <w:color w:val="auto"/>
                <w:sz w:val="28"/>
                <w:highlight w:val="none"/>
              </w:rPr>
            </w:pPr>
          </w:p>
        </w:tc>
      </w:tr>
      <w:tr w14:paraId="267955C9">
        <w:tblPrEx>
          <w:tblCellMar>
            <w:top w:w="0" w:type="dxa"/>
            <w:left w:w="108" w:type="dxa"/>
            <w:bottom w:w="0" w:type="dxa"/>
            <w:right w:w="108" w:type="dxa"/>
          </w:tblCellMar>
        </w:tblPrEx>
        <w:trPr>
          <w:trHeight w:val="499" w:hRule="atLeast"/>
          <w:jc w:val="center"/>
        </w:trPr>
        <w:tc>
          <w:tcPr>
            <w:tcW w:w="2601" w:type="dxa"/>
            <w:tcBorders>
              <w:top w:val="nil"/>
              <w:left w:val="single" w:color="auto" w:sz="4" w:space="0"/>
              <w:bottom w:val="single" w:color="auto" w:sz="4" w:space="0"/>
              <w:right w:val="single" w:color="auto" w:sz="4" w:space="0"/>
            </w:tcBorders>
            <w:noWrap w:val="0"/>
            <w:vAlign w:val="center"/>
          </w:tcPr>
          <w:p w14:paraId="729C51CC">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联系地址</w:t>
            </w:r>
          </w:p>
        </w:tc>
        <w:tc>
          <w:tcPr>
            <w:tcW w:w="6995" w:type="dxa"/>
            <w:gridSpan w:val="3"/>
            <w:tcBorders>
              <w:top w:val="nil"/>
              <w:left w:val="nil"/>
              <w:bottom w:val="single" w:color="auto" w:sz="4" w:space="0"/>
              <w:right w:val="single" w:color="auto" w:sz="4" w:space="0"/>
            </w:tcBorders>
            <w:noWrap w:val="0"/>
            <w:vAlign w:val="center"/>
          </w:tcPr>
          <w:p w14:paraId="4D24D109">
            <w:pPr>
              <w:jc w:val="center"/>
              <w:rPr>
                <w:rFonts w:hint="eastAsia" w:ascii="宋体" w:hAnsi="宋体" w:eastAsia="宋体" w:cs="宋体"/>
                <w:color w:val="auto"/>
                <w:sz w:val="28"/>
                <w:highlight w:val="none"/>
              </w:rPr>
            </w:pPr>
          </w:p>
        </w:tc>
      </w:tr>
      <w:tr w14:paraId="2F2B9CE0">
        <w:tblPrEx>
          <w:tblCellMar>
            <w:top w:w="0" w:type="dxa"/>
            <w:left w:w="108" w:type="dxa"/>
            <w:bottom w:w="0" w:type="dxa"/>
            <w:right w:w="108" w:type="dxa"/>
          </w:tblCellMar>
        </w:tblPrEx>
        <w:trPr>
          <w:trHeight w:val="499" w:hRule="atLeast"/>
          <w:jc w:val="center"/>
        </w:trPr>
        <w:tc>
          <w:tcPr>
            <w:tcW w:w="2601" w:type="dxa"/>
            <w:tcBorders>
              <w:top w:val="nil"/>
              <w:left w:val="single" w:color="auto" w:sz="4" w:space="0"/>
              <w:bottom w:val="single" w:color="auto" w:sz="4" w:space="0"/>
              <w:right w:val="single" w:color="auto" w:sz="4" w:space="0"/>
            </w:tcBorders>
            <w:noWrap w:val="0"/>
            <w:vAlign w:val="center"/>
          </w:tcPr>
          <w:p w14:paraId="7C79399D">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法人代表</w:t>
            </w:r>
          </w:p>
        </w:tc>
        <w:tc>
          <w:tcPr>
            <w:tcW w:w="6995" w:type="dxa"/>
            <w:gridSpan w:val="3"/>
            <w:tcBorders>
              <w:top w:val="nil"/>
              <w:left w:val="nil"/>
              <w:bottom w:val="single" w:color="auto" w:sz="4" w:space="0"/>
              <w:right w:val="single" w:color="auto" w:sz="4" w:space="0"/>
            </w:tcBorders>
            <w:noWrap w:val="0"/>
            <w:vAlign w:val="center"/>
          </w:tcPr>
          <w:p w14:paraId="10E978A9">
            <w:pPr>
              <w:jc w:val="center"/>
              <w:rPr>
                <w:rFonts w:hint="eastAsia" w:ascii="宋体" w:hAnsi="宋体" w:eastAsia="宋体" w:cs="宋体"/>
                <w:color w:val="auto"/>
                <w:sz w:val="28"/>
                <w:highlight w:val="none"/>
              </w:rPr>
            </w:pPr>
          </w:p>
        </w:tc>
      </w:tr>
      <w:tr w14:paraId="1075F1BC">
        <w:tblPrEx>
          <w:tblCellMar>
            <w:top w:w="0" w:type="dxa"/>
            <w:left w:w="108" w:type="dxa"/>
            <w:bottom w:w="0" w:type="dxa"/>
            <w:right w:w="108" w:type="dxa"/>
          </w:tblCellMar>
        </w:tblPrEx>
        <w:trPr>
          <w:trHeight w:val="499" w:hRule="atLeast"/>
          <w:jc w:val="center"/>
        </w:trPr>
        <w:tc>
          <w:tcPr>
            <w:tcW w:w="2601" w:type="dxa"/>
            <w:tcBorders>
              <w:top w:val="nil"/>
              <w:left w:val="single" w:color="auto" w:sz="4" w:space="0"/>
              <w:bottom w:val="single" w:color="auto" w:sz="4" w:space="0"/>
              <w:right w:val="single" w:color="auto" w:sz="4" w:space="0"/>
            </w:tcBorders>
            <w:noWrap w:val="0"/>
            <w:vAlign w:val="center"/>
          </w:tcPr>
          <w:p w14:paraId="449F2ABE">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委托代理人</w:t>
            </w:r>
          </w:p>
        </w:tc>
        <w:tc>
          <w:tcPr>
            <w:tcW w:w="2663" w:type="dxa"/>
            <w:tcBorders>
              <w:top w:val="nil"/>
              <w:left w:val="nil"/>
              <w:bottom w:val="single" w:color="auto" w:sz="4" w:space="0"/>
              <w:right w:val="single" w:color="auto" w:sz="4" w:space="0"/>
            </w:tcBorders>
            <w:noWrap w:val="0"/>
            <w:vAlign w:val="center"/>
          </w:tcPr>
          <w:p w14:paraId="7446C41D">
            <w:pPr>
              <w:jc w:val="center"/>
              <w:rPr>
                <w:rFonts w:hint="eastAsia" w:ascii="宋体" w:hAnsi="宋体" w:eastAsia="宋体" w:cs="宋体"/>
                <w:color w:val="auto"/>
                <w:sz w:val="28"/>
                <w:highlight w:val="none"/>
              </w:rPr>
            </w:pPr>
          </w:p>
        </w:tc>
        <w:tc>
          <w:tcPr>
            <w:tcW w:w="1830" w:type="dxa"/>
            <w:tcBorders>
              <w:top w:val="nil"/>
              <w:left w:val="nil"/>
              <w:bottom w:val="single" w:color="auto" w:sz="4" w:space="0"/>
              <w:right w:val="single" w:color="auto" w:sz="4" w:space="0"/>
            </w:tcBorders>
            <w:noWrap w:val="0"/>
            <w:vAlign w:val="center"/>
          </w:tcPr>
          <w:p w14:paraId="6F4EEC3A">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手机</w:t>
            </w:r>
          </w:p>
        </w:tc>
        <w:tc>
          <w:tcPr>
            <w:tcW w:w="2502" w:type="dxa"/>
            <w:tcBorders>
              <w:top w:val="nil"/>
              <w:left w:val="nil"/>
              <w:bottom w:val="single" w:color="auto" w:sz="4" w:space="0"/>
              <w:right w:val="single" w:color="auto" w:sz="4" w:space="0"/>
            </w:tcBorders>
            <w:noWrap w:val="0"/>
            <w:vAlign w:val="center"/>
          </w:tcPr>
          <w:p w14:paraId="7954BFDF">
            <w:pPr>
              <w:jc w:val="center"/>
              <w:rPr>
                <w:rFonts w:hint="eastAsia" w:ascii="宋体" w:hAnsi="宋体" w:eastAsia="宋体" w:cs="宋体"/>
                <w:color w:val="auto"/>
                <w:sz w:val="28"/>
                <w:highlight w:val="none"/>
              </w:rPr>
            </w:pPr>
          </w:p>
        </w:tc>
      </w:tr>
    </w:tbl>
    <w:p w14:paraId="571D73AE">
      <w:pPr>
        <w:snapToGrid w:val="0"/>
        <w:spacing w:line="360" w:lineRule="auto"/>
        <w:rPr>
          <w:rFonts w:hint="eastAsia" w:ascii="宋体" w:hAnsi="宋体" w:eastAsia="宋体" w:cs="宋体"/>
          <w:color w:val="auto"/>
          <w:sz w:val="28"/>
          <w:highlight w:val="none"/>
        </w:rPr>
      </w:pPr>
    </w:p>
    <w:p w14:paraId="2D515E49">
      <w:pPr>
        <w:pStyle w:val="26"/>
        <w:rPr>
          <w:rFonts w:hint="eastAsia" w:ascii="宋体" w:hAnsi="宋体" w:eastAsia="宋体" w:cs="宋体"/>
          <w:color w:val="auto"/>
          <w:highlight w:val="none"/>
        </w:rPr>
      </w:pPr>
    </w:p>
    <w:p w14:paraId="110C962C">
      <w:p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（盖章）                  </w:t>
      </w:r>
      <w:r>
        <w:rPr>
          <w:rFonts w:hint="eastAsia" w:ascii="宋体" w:hAnsi="宋体" w:eastAsia="宋体" w:cs="宋体"/>
          <w:color w:val="auto"/>
          <w:sz w:val="28"/>
          <w:highlight w:val="none"/>
        </w:rPr>
        <w:t xml:space="preserve">      </w:t>
      </w:r>
    </w:p>
    <w:p w14:paraId="03172402">
      <w:pPr>
        <w:rPr>
          <w:rFonts w:hint="eastAsia" w:ascii="宋体" w:hAnsi="宋体" w:eastAsia="宋体" w:cs="宋体"/>
          <w:color w:val="auto"/>
          <w:sz w:val="28"/>
          <w:highlight w:val="none"/>
        </w:rPr>
      </w:pPr>
    </w:p>
    <w:p w14:paraId="0B738086">
      <w:pP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法定代表人或委托代理人：</w:t>
      </w:r>
      <w:r>
        <w:rPr>
          <w:rFonts w:hint="eastAsia" w:ascii="宋体" w:hAnsi="宋体" w:eastAsia="宋体" w:cs="宋体"/>
          <w:color w:val="auto"/>
          <w:sz w:val="28"/>
          <w:highlight w:val="none"/>
          <w:u w:val="single"/>
        </w:rPr>
        <w:t xml:space="preserve">        签字或盖章          </w:t>
      </w:r>
      <w:r>
        <w:rPr>
          <w:rFonts w:hint="eastAsia" w:ascii="宋体" w:hAnsi="宋体" w:eastAsia="宋体" w:cs="宋体"/>
          <w:color w:val="auto"/>
          <w:sz w:val="28"/>
          <w:highlight w:val="none"/>
        </w:rPr>
        <w:t xml:space="preserve">    </w:t>
      </w:r>
    </w:p>
    <w:p w14:paraId="514EAD7D">
      <w:pPr>
        <w:spacing w:line="340" w:lineRule="exact"/>
        <w:rPr>
          <w:rFonts w:hint="eastAsia" w:ascii="宋体" w:hAnsi="宋体" w:eastAsia="宋体" w:cs="宋体"/>
          <w:color w:val="auto"/>
          <w:sz w:val="28"/>
          <w:highlight w:val="none"/>
        </w:rPr>
      </w:pPr>
    </w:p>
    <w:p w14:paraId="0D2B1819">
      <w:pPr>
        <w:pStyle w:val="27"/>
        <w:rPr>
          <w:rFonts w:hint="eastAsia" w:ascii="宋体" w:hAnsi="宋体" w:eastAsia="宋体" w:cs="宋体"/>
          <w:color w:val="auto"/>
          <w:highlight w:val="none"/>
        </w:rPr>
      </w:pPr>
    </w:p>
    <w:p w14:paraId="11597044">
      <w:pPr>
        <w:spacing w:line="340" w:lineRule="exact"/>
        <w:rPr>
          <w:rFonts w:hint="eastAsia" w:ascii="宋体" w:hAnsi="宋体" w:eastAsia="宋体" w:cs="宋体"/>
          <w:b/>
          <w:color w:val="auto"/>
          <w:sz w:val="32"/>
          <w:szCs w:val="44"/>
          <w:highlight w:val="none"/>
        </w:rPr>
      </w:pPr>
      <w:r>
        <w:rPr>
          <w:rFonts w:hint="eastAsia" w:ascii="宋体" w:hAnsi="宋体" w:eastAsia="宋体" w:cs="宋体"/>
          <w:color w:val="auto"/>
          <w:sz w:val="28"/>
          <w:highlight w:val="none"/>
        </w:rPr>
        <w:t>日      期：     年    月    日</w:t>
      </w:r>
    </w:p>
    <w:p w14:paraId="18B2EF26">
      <w:pPr>
        <w:jc w:val="center"/>
        <w:rPr>
          <w:rFonts w:hint="eastAsia" w:ascii="宋体" w:hAnsi="宋体" w:eastAsia="宋体" w:cs="宋体"/>
          <w:color w:val="auto"/>
          <w:sz w:val="32"/>
          <w:szCs w:val="32"/>
          <w:highlight w:val="none"/>
          <w:lang w:val="en-US" w:eastAsia="zh-CN"/>
        </w:rPr>
        <w:sectPr>
          <w:footerReference r:id="rId11" w:type="default"/>
          <w:pgSz w:w="11906" w:h="16838"/>
          <w:pgMar w:top="1236" w:right="1236" w:bottom="1236" w:left="1236" w:header="851" w:footer="907" w:gutter="0"/>
          <w:pgNumType w:fmt="decimal"/>
          <w:cols w:space="720" w:num="1"/>
          <w:docGrid w:type="lines" w:linePitch="312" w:charSpace="0"/>
        </w:sectPr>
      </w:pPr>
    </w:p>
    <w:p w14:paraId="61AF1383">
      <w:pPr>
        <w:jc w:val="center"/>
        <w:rPr>
          <w:rFonts w:hint="eastAsia" w:ascii="宋体" w:hAnsi="宋体" w:eastAsia="宋体" w:cs="宋体"/>
          <w:color w:val="auto"/>
          <w:sz w:val="28"/>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bookmarkEnd w:id="16"/>
      <w:bookmarkEnd w:id="17"/>
      <w:r>
        <w:rPr>
          <w:rFonts w:hint="eastAsia" w:ascii="宋体" w:hAnsi="宋体" w:eastAsia="宋体" w:cs="宋体"/>
          <w:b/>
          <w:bCs/>
          <w:color w:val="auto"/>
          <w:sz w:val="32"/>
          <w:szCs w:val="32"/>
          <w:highlight w:val="none"/>
        </w:rPr>
        <w:t>开标一览表（格式）</w:t>
      </w:r>
    </w:p>
    <w:p w14:paraId="30FB495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1EB431C6">
      <w:pPr>
        <w:keepNext w:val="0"/>
        <w:keepLines w:val="0"/>
        <w:pageBreakBefore w:val="0"/>
        <w:widowControl w:val="0"/>
        <w:kinsoku/>
        <w:wordWrap/>
        <w:overflowPunct/>
        <w:topLinePunct w:val="0"/>
        <w:autoSpaceDE w:val="0"/>
        <w:autoSpaceDN w:val="0"/>
        <w:bidi w:val="0"/>
        <w:adjustRightInd w:val="0"/>
        <w:snapToGrid/>
        <w:spacing w:after="313" w:afterLines="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浙江明业2025</w:t>
      </w:r>
      <w:r>
        <w:rPr>
          <w:rFonts w:hint="eastAsia" w:ascii="宋体" w:hAnsi="宋体" w:eastAsia="宋体" w:cs="宋体"/>
          <w:color w:val="auto"/>
          <w:sz w:val="28"/>
          <w:szCs w:val="28"/>
          <w:highlight w:val="none"/>
        </w:rPr>
        <w:t>-**-**</w:t>
      </w:r>
    </w:p>
    <w:tbl>
      <w:tblPr>
        <w:tblStyle w:val="1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464"/>
        <w:gridCol w:w="2025"/>
        <w:gridCol w:w="2160"/>
        <w:gridCol w:w="2121"/>
      </w:tblGrid>
      <w:tr w14:paraId="6FB7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6" w:type="dxa"/>
            <w:vMerge w:val="restart"/>
            <w:noWrap w:val="0"/>
            <w:vAlign w:val="center"/>
          </w:tcPr>
          <w:p w14:paraId="27889788">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w:t>
            </w:r>
          </w:p>
        </w:tc>
        <w:tc>
          <w:tcPr>
            <w:tcW w:w="1464" w:type="dxa"/>
            <w:vMerge w:val="restart"/>
            <w:noWrap w:val="0"/>
            <w:vAlign w:val="center"/>
          </w:tcPr>
          <w:p w14:paraId="1D11E3EA">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标的内容</w:t>
            </w:r>
          </w:p>
        </w:tc>
        <w:tc>
          <w:tcPr>
            <w:tcW w:w="2025" w:type="dxa"/>
            <w:vMerge w:val="restart"/>
            <w:noWrap w:val="0"/>
            <w:vAlign w:val="center"/>
          </w:tcPr>
          <w:p w14:paraId="61AF3984">
            <w:pPr>
              <w:jc w:val="center"/>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具体服务</w:t>
            </w:r>
          </w:p>
        </w:tc>
        <w:tc>
          <w:tcPr>
            <w:tcW w:w="4281" w:type="dxa"/>
            <w:gridSpan w:val="2"/>
            <w:noWrap w:val="0"/>
            <w:vAlign w:val="center"/>
          </w:tcPr>
          <w:p w14:paraId="62CA3F91">
            <w:pPr>
              <w:jc w:val="center"/>
              <w:rPr>
                <w:rFonts w:hint="eastAsia" w:ascii="宋体" w:hAnsi="宋体" w:eastAsia="宋体" w:cs="宋体"/>
                <w:b/>
                <w:color w:val="auto"/>
                <w:sz w:val="24"/>
                <w:szCs w:val="24"/>
                <w:highlight w:val="none"/>
                <w:lang w:val="en-US" w:eastAsia="zh-CN"/>
              </w:rPr>
            </w:pPr>
            <w:bookmarkStart w:id="18" w:name="OLE_LINK18"/>
            <w:r>
              <w:rPr>
                <w:rFonts w:hint="eastAsia" w:ascii="宋体" w:hAnsi="宋体" w:eastAsia="宋体" w:cs="宋体"/>
                <w:b/>
                <w:color w:val="auto"/>
                <w:sz w:val="24"/>
                <w:szCs w:val="24"/>
                <w:highlight w:val="none"/>
                <w:lang w:val="en-US" w:eastAsia="zh-CN"/>
              </w:rPr>
              <w:t>投标</w:t>
            </w:r>
            <w:bookmarkEnd w:id="18"/>
            <w:r>
              <w:rPr>
                <w:rFonts w:hint="eastAsia" w:ascii="宋体" w:hAnsi="宋体" w:eastAsia="宋体" w:cs="宋体"/>
                <w:b/>
                <w:color w:val="auto"/>
                <w:sz w:val="24"/>
                <w:szCs w:val="24"/>
                <w:highlight w:val="none"/>
                <w:lang w:val="en-US" w:eastAsia="zh-CN"/>
              </w:rPr>
              <w:t>报价</w:t>
            </w:r>
          </w:p>
        </w:tc>
      </w:tr>
      <w:tr w14:paraId="2133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76" w:type="dxa"/>
            <w:vMerge w:val="continue"/>
            <w:noWrap w:val="0"/>
            <w:vAlign w:val="center"/>
          </w:tcPr>
          <w:p w14:paraId="56428991">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0A9376EC">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1F6048D8">
            <w:pPr>
              <w:jc w:val="center"/>
              <w:rPr>
                <w:rFonts w:hint="eastAsia" w:ascii="宋体" w:hAnsi="宋体" w:eastAsia="宋体" w:cs="宋体"/>
                <w:b/>
                <w:color w:val="auto"/>
                <w:sz w:val="24"/>
                <w:szCs w:val="24"/>
                <w:highlight w:val="none"/>
              </w:rPr>
            </w:pPr>
          </w:p>
        </w:tc>
        <w:tc>
          <w:tcPr>
            <w:tcW w:w="2160" w:type="dxa"/>
            <w:noWrap w:val="0"/>
            <w:vAlign w:val="center"/>
          </w:tcPr>
          <w:p w14:paraId="5E11B0B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17DAB85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2016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076" w:type="dxa"/>
            <w:noWrap w:val="0"/>
            <w:vAlign w:val="center"/>
          </w:tcPr>
          <w:p w14:paraId="38D2FB1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标项一</w:t>
            </w:r>
          </w:p>
        </w:tc>
        <w:tc>
          <w:tcPr>
            <w:tcW w:w="1464" w:type="dxa"/>
            <w:noWrap w:val="0"/>
            <w:vAlign w:val="center"/>
          </w:tcPr>
          <w:p w14:paraId="40C30ABB">
            <w:pPr>
              <w:jc w:val="center"/>
              <w:rPr>
                <w:rFonts w:hint="eastAsia" w:ascii="宋体" w:hAnsi="宋体" w:eastAsia="宋体" w:cs="宋体"/>
                <w:b w:val="0"/>
                <w:bCs/>
                <w:color w:val="auto"/>
                <w:sz w:val="24"/>
                <w:szCs w:val="24"/>
                <w:highlight w:val="none"/>
              </w:rPr>
            </w:pPr>
          </w:p>
        </w:tc>
        <w:tc>
          <w:tcPr>
            <w:tcW w:w="2025" w:type="dxa"/>
            <w:noWrap w:val="0"/>
            <w:vAlign w:val="center"/>
          </w:tcPr>
          <w:p w14:paraId="5D060CC8">
            <w:pPr>
              <w:jc w:val="center"/>
              <w:rPr>
                <w:rFonts w:hint="eastAsia" w:ascii="宋体" w:hAnsi="宋体" w:eastAsia="宋体" w:cs="宋体"/>
                <w:b w:val="0"/>
                <w:bCs/>
                <w:color w:val="auto"/>
                <w:sz w:val="24"/>
                <w:szCs w:val="24"/>
                <w:highlight w:val="none"/>
              </w:rPr>
            </w:pPr>
          </w:p>
        </w:tc>
        <w:tc>
          <w:tcPr>
            <w:tcW w:w="2160" w:type="dxa"/>
            <w:noWrap w:val="0"/>
            <w:vAlign w:val="center"/>
          </w:tcPr>
          <w:p w14:paraId="73F93A11">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元/人</w:t>
            </w:r>
          </w:p>
        </w:tc>
        <w:tc>
          <w:tcPr>
            <w:tcW w:w="2121" w:type="dxa"/>
            <w:noWrap w:val="0"/>
            <w:vAlign w:val="center"/>
          </w:tcPr>
          <w:p w14:paraId="6424DDBD">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元每人</w:t>
            </w:r>
          </w:p>
        </w:tc>
      </w:tr>
    </w:tbl>
    <w:p w14:paraId="52E65679">
      <w:pPr>
        <w:keepNext w:val="0"/>
        <w:keepLines w:val="0"/>
        <w:pageBreakBefore w:val="0"/>
        <w:widowControl w:val="0"/>
        <w:kinsoku/>
        <w:wordWrap/>
        <w:overflowPunct/>
        <w:topLinePunct w:val="0"/>
        <w:autoSpaceDE w:val="0"/>
        <w:autoSpaceDN w:val="0"/>
        <w:bidi w:val="0"/>
        <w:adjustRightInd w:val="0"/>
        <w:snapToGrid/>
        <w:spacing w:after="313" w:afterLines="100" w:line="360" w:lineRule="auto"/>
        <w:textAlignment w:val="auto"/>
        <w:rPr>
          <w:rFonts w:hint="eastAsia" w:ascii="宋体" w:hAnsi="宋体" w:cs="宋体"/>
          <w:b/>
          <w:bCs/>
          <w:color w:val="auto"/>
          <w:sz w:val="24"/>
          <w:szCs w:val="24"/>
          <w:highlight w:val="none"/>
          <w:lang w:val="en-US" w:eastAsia="zh-CN"/>
        </w:rPr>
      </w:pPr>
    </w:p>
    <w:p w14:paraId="077DA4A3">
      <w:pPr>
        <w:keepNext w:val="0"/>
        <w:keepLines w:val="0"/>
        <w:pageBreakBefore w:val="0"/>
        <w:widowControl w:val="0"/>
        <w:kinsoku/>
        <w:wordWrap/>
        <w:overflowPunct/>
        <w:topLinePunct w:val="0"/>
        <w:autoSpaceDE w:val="0"/>
        <w:autoSpaceDN w:val="0"/>
        <w:bidi w:val="0"/>
        <w:adjustRightInd w:val="0"/>
        <w:snapToGrid/>
        <w:spacing w:line="288" w:lineRule="auto"/>
        <w:ind w:left="0" w:right="0" w:firstLine="48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注：采用固定单价报价，疗休养费用标准为3000元/人，不得有任何偏离，未按费用标准报价为无效报价，作无效标处理。</w:t>
      </w:r>
    </w:p>
    <w:p w14:paraId="1D005C3D">
      <w:pPr>
        <w:pStyle w:val="28"/>
        <w:rPr>
          <w:rFonts w:hint="eastAsia" w:ascii="宋体" w:hAnsi="宋体" w:eastAsia="宋体" w:cs="宋体"/>
          <w:color w:val="auto"/>
          <w:sz w:val="24"/>
          <w:szCs w:val="24"/>
          <w:highlight w:val="none"/>
          <w:lang w:val="en-US" w:eastAsia="zh-CN" w:bidi="ar-SA"/>
        </w:rPr>
      </w:pPr>
    </w:p>
    <w:p w14:paraId="06C8E092">
      <w:pPr>
        <w:pStyle w:val="28"/>
        <w:ind w:firstLine="240" w:firstLineChars="100"/>
        <w:rPr>
          <w:rFonts w:hint="eastAsia" w:ascii="宋体" w:hAnsi="宋体" w:eastAsia="宋体" w:cs="宋体"/>
          <w:color w:val="auto"/>
          <w:sz w:val="24"/>
          <w:szCs w:val="24"/>
          <w:highlight w:val="none"/>
          <w:lang w:val="en-US" w:eastAsia="zh-CN" w:bidi="ar-SA"/>
        </w:rPr>
      </w:pPr>
    </w:p>
    <w:p w14:paraId="28FC01F6">
      <w:pPr>
        <w:rPr>
          <w:rFonts w:hint="eastAsia" w:ascii="宋体" w:hAnsi="宋体" w:eastAsia="宋体" w:cs="宋体"/>
          <w:color w:val="auto"/>
          <w:sz w:val="28"/>
          <w:highlight w:val="none"/>
        </w:rPr>
      </w:pPr>
    </w:p>
    <w:p w14:paraId="2535C1D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（盖章）                  </w:t>
      </w:r>
      <w:r>
        <w:rPr>
          <w:rFonts w:hint="eastAsia" w:ascii="宋体" w:hAnsi="宋体" w:eastAsia="宋体" w:cs="宋体"/>
          <w:color w:val="auto"/>
          <w:sz w:val="28"/>
          <w:highlight w:val="none"/>
        </w:rPr>
        <w:t xml:space="preserve">      </w:t>
      </w:r>
    </w:p>
    <w:p w14:paraId="6511088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8"/>
          <w:highlight w:val="none"/>
        </w:rPr>
      </w:pPr>
    </w:p>
    <w:p w14:paraId="34A61EA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法定代表人或委托代理人：</w:t>
      </w:r>
      <w:r>
        <w:rPr>
          <w:rFonts w:hint="eastAsia" w:ascii="宋体" w:hAnsi="宋体" w:eastAsia="宋体" w:cs="宋体"/>
          <w:color w:val="auto"/>
          <w:sz w:val="28"/>
          <w:highlight w:val="none"/>
          <w:u w:val="single"/>
        </w:rPr>
        <w:t xml:space="preserve">        签字或盖章          </w:t>
      </w:r>
      <w:r>
        <w:rPr>
          <w:rFonts w:hint="eastAsia" w:ascii="宋体" w:hAnsi="宋体" w:eastAsia="宋体" w:cs="宋体"/>
          <w:color w:val="auto"/>
          <w:sz w:val="28"/>
          <w:highlight w:val="none"/>
        </w:rPr>
        <w:t xml:space="preserve">    </w:t>
      </w:r>
    </w:p>
    <w:p w14:paraId="19EEEDEC">
      <w:pPr>
        <w:spacing w:line="360" w:lineRule="auto"/>
        <w:rPr>
          <w:rFonts w:hint="eastAsia" w:ascii="宋体" w:hAnsi="宋体" w:eastAsia="宋体" w:cs="宋体"/>
          <w:color w:val="auto"/>
          <w:sz w:val="28"/>
          <w:highlight w:val="none"/>
        </w:rPr>
      </w:pPr>
    </w:p>
    <w:p w14:paraId="4ACC7601">
      <w:pPr>
        <w:spacing w:line="360" w:lineRule="auto"/>
        <w:rPr>
          <w:rFonts w:hint="eastAsia" w:ascii="宋体" w:hAnsi="宋体" w:eastAsia="宋体" w:cs="宋体"/>
          <w:b/>
          <w:color w:val="auto"/>
          <w:sz w:val="32"/>
          <w:szCs w:val="44"/>
          <w:highlight w:val="none"/>
        </w:rPr>
      </w:pPr>
      <w:r>
        <w:rPr>
          <w:rFonts w:hint="eastAsia" w:ascii="宋体" w:hAnsi="宋体" w:eastAsia="宋体" w:cs="宋体"/>
          <w:color w:val="auto"/>
          <w:sz w:val="28"/>
          <w:highlight w:val="none"/>
        </w:rPr>
        <w:t>日      期：     年    月    日</w:t>
      </w:r>
    </w:p>
    <w:p w14:paraId="1BE7B1BE">
      <w:pPr>
        <w:pStyle w:val="21"/>
        <w:spacing w:line="360" w:lineRule="auto"/>
        <w:ind w:left="0" w:leftChars="0" w:firstLine="0"/>
        <w:rPr>
          <w:rFonts w:hint="eastAsia" w:ascii="宋体" w:hAnsi="宋体" w:eastAsia="宋体" w:cs="宋体"/>
          <w:color w:val="auto"/>
          <w:highlight w:val="none"/>
        </w:rPr>
      </w:pPr>
    </w:p>
    <w:p w14:paraId="21613283">
      <w:pPr>
        <w:spacing w:line="440" w:lineRule="exact"/>
        <w:jc w:val="center"/>
        <w:rPr>
          <w:rFonts w:hint="eastAsia" w:ascii="宋体" w:hAnsi="宋体" w:eastAsia="宋体" w:cs="宋体"/>
          <w:color w:val="auto"/>
          <w:sz w:val="32"/>
          <w:szCs w:val="32"/>
          <w:highlight w:val="none"/>
        </w:rPr>
      </w:pPr>
    </w:p>
    <w:p w14:paraId="0FC0D986">
      <w:pPr>
        <w:spacing w:line="440" w:lineRule="exact"/>
        <w:rPr>
          <w:rFonts w:hint="eastAsia" w:ascii="宋体" w:hAnsi="宋体" w:eastAsia="宋体" w:cs="宋体"/>
          <w:color w:val="auto"/>
          <w:sz w:val="32"/>
          <w:szCs w:val="32"/>
          <w:highlight w:val="none"/>
        </w:rPr>
      </w:pPr>
    </w:p>
    <w:p w14:paraId="79BDBBC8">
      <w:pPr>
        <w:spacing w:line="360" w:lineRule="auto"/>
        <w:jc w:val="both"/>
        <w:rPr>
          <w:rFonts w:hint="eastAsia" w:ascii="宋体" w:hAnsi="宋体" w:eastAsia="宋体" w:cs="宋体"/>
          <w:color w:val="auto"/>
          <w:sz w:val="28"/>
          <w:highlight w:val="none"/>
        </w:rPr>
        <w:sectPr>
          <w:headerReference r:id="rId13" w:type="first"/>
          <w:headerReference r:id="rId12" w:type="default"/>
          <w:footerReference r:id="rId14" w:type="default"/>
          <w:pgSz w:w="11906" w:h="16838"/>
          <w:pgMar w:top="1236" w:right="1236" w:bottom="1236" w:left="1236" w:header="851" w:footer="90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32"/>
          <w:szCs w:val="32"/>
          <w:highlight w:val="none"/>
        </w:rPr>
        <w:br w:type="page"/>
      </w:r>
    </w:p>
    <w:p w14:paraId="2D6435D6">
      <w:pPr>
        <w:spacing w:line="440" w:lineRule="exact"/>
        <w:jc w:val="center"/>
        <w:rPr>
          <w:rFonts w:hint="eastAsia" w:ascii="宋体" w:hAnsi="宋体" w:eastAsia="宋体" w:cs="宋体"/>
          <w:b/>
          <w:color w:val="auto"/>
          <w:sz w:val="32"/>
          <w:szCs w:val="44"/>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44"/>
          <w:highlight w:val="none"/>
        </w:rPr>
        <w:t>、投标承诺书（格式）</w:t>
      </w:r>
    </w:p>
    <w:p w14:paraId="4CE3EB00">
      <w:pPr>
        <w:spacing w:line="340" w:lineRule="exact"/>
        <w:ind w:firstLine="420" w:firstLineChars="200"/>
        <w:rPr>
          <w:rFonts w:hint="eastAsia" w:ascii="宋体" w:hAnsi="宋体" w:eastAsia="宋体" w:cs="宋体"/>
          <w:color w:val="auto"/>
          <w:highlight w:val="none"/>
        </w:rPr>
      </w:pPr>
    </w:p>
    <w:p w14:paraId="417EBBC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我公司已详细阅读了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浙江明业         </w:t>
      </w:r>
      <w:r>
        <w:rPr>
          <w:rFonts w:hint="eastAsia" w:ascii="宋体" w:hAnsi="宋体" w:eastAsia="宋体" w:cs="宋体"/>
          <w:color w:val="auto"/>
          <w:highlight w:val="none"/>
        </w:rPr>
        <w:t>）招标文件，现参加该项目投标，并就有关事项作出如下承诺：</w:t>
      </w:r>
    </w:p>
    <w:p w14:paraId="6E416B90">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一、我公司在该项目招投标及合同履约过程中，不会出现以下行为，否则我公司愿意接受该行为被记录为不良行为，并在不良行为记录时限内放弃在</w:t>
      </w:r>
      <w:r>
        <w:rPr>
          <w:rFonts w:hint="eastAsia" w:ascii="宋体" w:hAnsi="宋体" w:cs="宋体"/>
          <w:color w:val="auto"/>
          <w:highlight w:val="none"/>
          <w:lang w:eastAsia="zh-CN"/>
        </w:rPr>
        <w:t>浙江省诸暨市学勉中学</w:t>
      </w:r>
      <w:r>
        <w:rPr>
          <w:rFonts w:hint="eastAsia" w:ascii="宋体" w:hAnsi="宋体" w:eastAsia="宋体" w:cs="宋体"/>
          <w:color w:val="auto"/>
          <w:highlight w:val="none"/>
        </w:rPr>
        <w:t>投标的资格。</w:t>
      </w:r>
    </w:p>
    <w:p w14:paraId="4479C1FC">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（1）已报名但无故放弃投标(开标前已有书面说明并证实的除外)一年内累计3次以上的；</w:t>
      </w:r>
    </w:p>
    <w:p w14:paraId="699CE70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（2）在招标采购过程中，与采购人进行协商谈判的；</w:t>
      </w:r>
    </w:p>
    <w:p w14:paraId="01C87DC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（3）投标有效期内撤回其投标文件的；</w:t>
      </w:r>
    </w:p>
    <w:p w14:paraId="3F344E6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（4）拒绝有关部门监督检查或提供虚假情况的；</w:t>
      </w:r>
    </w:p>
    <w:p w14:paraId="37F64AF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（5）不积极配合采购单位做好标的验收工作的；</w:t>
      </w:r>
    </w:p>
    <w:p w14:paraId="1841838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（6）在有关部门的监督检查或考核中被通报批评或处以警告及以上处罚的；</w:t>
      </w:r>
    </w:p>
    <w:p w14:paraId="0D7C5D5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（7）不遵守投标会场纪律，无理取闹，扰乱交易秩序的；</w:t>
      </w:r>
    </w:p>
    <w:p w14:paraId="092E3F4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（8）中标后无正当理由放弃中标，或不与采购人签订政府采购合同，或在签订合同时提出附加条件或更改合同实质性内容，或拒不提交所要求的履约保证金的；</w:t>
      </w:r>
    </w:p>
    <w:p w14:paraId="1906701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（9）虚假投诉、恶意投诉或未按层级和相关程序逐级质疑、投诉而影响采购工作正常进行或造成不良影响的；</w:t>
      </w:r>
    </w:p>
    <w:p w14:paraId="4D093CCB">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（10）不按照与采购人订立的合同履行义务（包括提供标的、售后服务、技术支持等），严重违反合同规定和廉政合同要求的；</w:t>
      </w:r>
    </w:p>
    <w:p w14:paraId="0D96A3C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（11）项目负责人不到位，或擅自变换项目负责人，或不认真履行职责造成采购人损失的；</w:t>
      </w:r>
    </w:p>
    <w:p w14:paraId="1C388A1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（12）发生经营状况重大变化以及重要担保、重大合同纠纷或诉讼、信用等级和资质变化等可能影响履约能力的重大事项，未及时向市公共资源交易中心提供书面报告，因而造成采购人损失的；</w:t>
      </w:r>
    </w:p>
    <w:p w14:paraId="0DD9651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（13）与采购人、其他供应商或者采购代理机构相互串通的；</w:t>
      </w:r>
    </w:p>
    <w:p w14:paraId="27E6F78C">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（14）采取不正当手段排挤其他供应商，进行不公平竞争的；</w:t>
      </w:r>
    </w:p>
    <w:p w14:paraId="6F34548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（15）中标后与采购人另行订立背离合同实质内容的协议的；</w:t>
      </w:r>
    </w:p>
    <w:p w14:paraId="35185079">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（16）事先有承诺，而事后违反承诺内容的；</w:t>
      </w:r>
    </w:p>
    <w:p w14:paraId="06FE54A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（17）将中标项目转包或违反规定进行分包的；</w:t>
      </w:r>
    </w:p>
    <w:p w14:paraId="0D33998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（18）以他人名义投标或允许他人以自己名义投标，或者以其他方式弄虚作假的；</w:t>
      </w:r>
    </w:p>
    <w:p w14:paraId="60DE6C5A">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（19）未按照采购合同约定及时提供全部货物的，或无故拖延工期的；</w:t>
      </w:r>
    </w:p>
    <w:p w14:paraId="74ADFAB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（20）无故不提供中标要求的型号、配置等产品的，或有拆换、调换、截留产品零部件和备品备件的行为的；</w:t>
      </w:r>
    </w:p>
    <w:p w14:paraId="18C33F2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（21）为获取自身利益，向采购人及其他有利害关系的单位或个人提供不正当利益的；</w:t>
      </w:r>
    </w:p>
    <w:p w14:paraId="6E9285F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（22）提供假冒伪劣产品或走私物品的；</w:t>
      </w:r>
    </w:p>
    <w:p w14:paraId="6D16BB26">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（23）擅自变更、中止、终止或解除政府采购合同的；</w:t>
      </w:r>
    </w:p>
    <w:p w14:paraId="2912CAC8">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（24）向有关人员行贿或者提供不正当利益谋取中标的；</w:t>
      </w:r>
    </w:p>
    <w:p w14:paraId="356D4CA1">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（25）在政府采购活动期间，对管理机构、采购人、其他投标人、评标专家、中介机构等政府采购相关机构和人员，采取诋毁、诽谤、胁迫、暴力等不正当手段的；</w:t>
      </w:r>
    </w:p>
    <w:p w14:paraId="1704F91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cs="宋体"/>
          <w:color w:val="auto"/>
          <w:highlight w:val="none"/>
          <w:lang w:eastAsia="zh-CN"/>
        </w:rPr>
        <w:t>诸暨市教育体育局交易办</w:t>
      </w:r>
      <w:r>
        <w:rPr>
          <w:rFonts w:hint="eastAsia" w:ascii="宋体" w:hAnsi="宋体" w:eastAsia="宋体" w:cs="宋体"/>
          <w:color w:val="auto"/>
          <w:highlight w:val="none"/>
        </w:rPr>
        <w:t>认定的其他违反政府采购管理的行为。</w:t>
      </w:r>
    </w:p>
    <w:p w14:paraId="54AE2F54">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w:t>
      </w:r>
      <w:r>
        <w:rPr>
          <w:rFonts w:hint="eastAsia" w:ascii="宋体" w:hAnsi="宋体" w:eastAsia="宋体" w:cs="宋体"/>
          <w:color w:val="auto"/>
          <w:highlight w:val="none"/>
          <w:lang w:eastAsia="zh-CN"/>
        </w:rPr>
        <w:t>记</w:t>
      </w:r>
      <w:r>
        <w:rPr>
          <w:rFonts w:hint="eastAsia" w:ascii="宋体" w:hAnsi="宋体" w:eastAsia="宋体" w:cs="宋体"/>
          <w:color w:val="auto"/>
          <w:highlight w:val="none"/>
        </w:rPr>
        <w:t>为不良行为的，记录时限应从上次记录时限截止日起算。</w:t>
      </w:r>
    </w:p>
    <w:p w14:paraId="7AEE622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二、我公司及其他利害关系人如对该项目的中标公示有异议，将在招标文件规定的公示期限内提出符合以下条件的有效质疑，否则我公司愿意接受相关部门不予受理的决定。</w:t>
      </w:r>
    </w:p>
    <w:p w14:paraId="34A2303E">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1、质疑人须为投标人和其他利害关系人；</w:t>
      </w:r>
    </w:p>
    <w:p w14:paraId="5B717FC5">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2、投诉时，应当递交质疑书，质疑书应当包括下列内容：</w:t>
      </w:r>
    </w:p>
    <w:p w14:paraId="4CAD6047">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（1）质疑人的名称、地址及有效联系方式；</w:t>
      </w:r>
    </w:p>
    <w:p w14:paraId="093C56C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（2）被质疑人的名称、地址及联系方式；</w:t>
      </w:r>
    </w:p>
    <w:p w14:paraId="4E9100A2">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（3）质疑事项的基本事实；</w:t>
      </w:r>
    </w:p>
    <w:p w14:paraId="2EFE92A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（4）相关请求及主张；</w:t>
      </w:r>
    </w:p>
    <w:p w14:paraId="4DDF6643">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（5）有效线索和相关证明材料；</w:t>
      </w:r>
    </w:p>
    <w:p w14:paraId="32BCC5FF">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（6）质疑人是法人的，质疑书必须由其法定代表人或者授权代表签字并加盖公章；其他组织或者个人质疑的，质疑书必须由其主要负责人或者质疑人本人签字，并附有效身份证明复印件。</w:t>
      </w:r>
    </w:p>
    <w:p w14:paraId="09CCD32F">
      <w:pPr>
        <w:spacing w:line="340" w:lineRule="exact"/>
        <w:ind w:firstLine="723" w:firstLineChars="400"/>
        <w:rPr>
          <w:rFonts w:hint="eastAsia" w:ascii="宋体" w:hAnsi="宋体" w:eastAsia="宋体" w:cs="宋体"/>
          <w:b/>
          <w:color w:val="auto"/>
          <w:sz w:val="18"/>
          <w:szCs w:val="18"/>
          <w:highlight w:val="none"/>
        </w:rPr>
      </w:pPr>
    </w:p>
    <w:p w14:paraId="58750AB4">
      <w:pPr>
        <w:spacing w:line="340" w:lineRule="exact"/>
        <w:ind w:firstLine="840" w:firstLineChars="400"/>
        <w:rPr>
          <w:rFonts w:hint="eastAsia" w:ascii="宋体" w:hAnsi="宋体" w:eastAsia="宋体" w:cs="宋体"/>
          <w:color w:val="auto"/>
          <w:highlight w:val="none"/>
        </w:rPr>
      </w:pPr>
    </w:p>
    <w:p w14:paraId="0E04B9A3">
      <w:pPr>
        <w:spacing w:line="340" w:lineRule="exact"/>
        <w:ind w:firstLine="840" w:firstLineChars="400"/>
        <w:rPr>
          <w:rFonts w:hint="eastAsia" w:ascii="宋体" w:hAnsi="宋体" w:eastAsia="宋体" w:cs="宋体"/>
          <w:color w:val="auto"/>
          <w:highlight w:val="none"/>
        </w:rPr>
      </w:pPr>
    </w:p>
    <w:p w14:paraId="1F02D8E4">
      <w:p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投标人（盖章）：</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      </w:t>
      </w:r>
    </w:p>
    <w:p w14:paraId="15DC98A1">
      <w:pPr>
        <w:rPr>
          <w:rFonts w:hint="eastAsia" w:ascii="宋体" w:hAnsi="宋体" w:eastAsia="宋体" w:cs="宋体"/>
          <w:color w:val="auto"/>
          <w:sz w:val="28"/>
          <w:highlight w:val="none"/>
        </w:rPr>
      </w:pPr>
    </w:p>
    <w:p w14:paraId="2ED8A311">
      <w:pPr>
        <w:spacing w:line="340" w:lineRule="exact"/>
        <w:rPr>
          <w:rFonts w:hint="eastAsia" w:ascii="宋体" w:hAnsi="宋体" w:eastAsia="宋体" w:cs="宋体"/>
          <w:color w:val="auto"/>
          <w:highlight w:val="none"/>
        </w:rPr>
      </w:pPr>
      <w:r>
        <w:rPr>
          <w:rFonts w:hint="eastAsia" w:ascii="宋体" w:hAnsi="宋体" w:eastAsia="宋体" w:cs="宋体"/>
          <w:color w:val="auto"/>
          <w:sz w:val="28"/>
          <w:highlight w:val="none"/>
        </w:rPr>
        <w:t>法定代表人或委托代理人：</w:t>
      </w:r>
      <w:r>
        <w:rPr>
          <w:rFonts w:hint="eastAsia" w:ascii="宋体" w:hAnsi="宋体" w:eastAsia="宋体" w:cs="宋体"/>
          <w:color w:val="auto"/>
          <w:sz w:val="28"/>
          <w:highlight w:val="none"/>
          <w:u w:val="single"/>
        </w:rPr>
        <w:t xml:space="preserve">          签字或盖章          </w:t>
      </w:r>
      <w:r>
        <w:rPr>
          <w:rFonts w:hint="eastAsia" w:ascii="宋体" w:hAnsi="宋体" w:eastAsia="宋体" w:cs="宋体"/>
          <w:color w:val="auto"/>
          <w:sz w:val="28"/>
          <w:highlight w:val="none"/>
        </w:rPr>
        <w:t xml:space="preserve"> </w:t>
      </w:r>
    </w:p>
    <w:p w14:paraId="72915971">
      <w:pPr>
        <w:spacing w:line="340" w:lineRule="exact"/>
        <w:rPr>
          <w:rFonts w:hint="eastAsia" w:ascii="宋体" w:hAnsi="宋体" w:eastAsia="宋体" w:cs="宋体"/>
          <w:color w:val="auto"/>
          <w:sz w:val="28"/>
          <w:highlight w:val="none"/>
        </w:rPr>
      </w:pPr>
    </w:p>
    <w:p w14:paraId="3B63719B">
      <w:pPr>
        <w:rPr>
          <w:rFonts w:hint="eastAsia" w:ascii="宋体" w:hAnsi="宋体" w:eastAsia="宋体" w:cs="宋体"/>
          <w:color w:val="auto"/>
          <w:sz w:val="28"/>
          <w:highlight w:val="none"/>
        </w:rPr>
      </w:pPr>
      <w:r>
        <w:rPr>
          <w:rFonts w:hint="eastAsia" w:ascii="宋体" w:hAnsi="宋体" w:eastAsia="宋体" w:cs="宋体"/>
          <w:color w:val="auto"/>
          <w:sz w:val="28"/>
          <w:highlight w:val="none"/>
        </w:rPr>
        <w:t>日      期：     年    月    日</w:t>
      </w:r>
    </w:p>
    <w:p w14:paraId="14E9648E">
      <w:pPr>
        <w:rPr>
          <w:rFonts w:hint="eastAsia" w:ascii="宋体" w:hAnsi="宋体" w:eastAsia="宋体" w:cs="宋体"/>
          <w:color w:val="auto"/>
          <w:sz w:val="28"/>
          <w:highlight w:val="none"/>
        </w:rPr>
      </w:pPr>
    </w:p>
    <w:p w14:paraId="48114949">
      <w:pPr>
        <w:rPr>
          <w:rFonts w:hint="eastAsia" w:ascii="宋体" w:hAnsi="宋体" w:eastAsia="宋体" w:cs="宋体"/>
          <w:color w:val="auto"/>
          <w:sz w:val="28"/>
          <w:highlight w:val="none"/>
        </w:rPr>
      </w:pPr>
    </w:p>
    <w:p w14:paraId="047AD7D1">
      <w:pPr>
        <w:rPr>
          <w:rFonts w:hint="eastAsia" w:ascii="宋体" w:hAnsi="宋体" w:eastAsia="宋体" w:cs="宋体"/>
          <w:color w:val="auto"/>
          <w:sz w:val="28"/>
          <w:highlight w:val="none"/>
        </w:rPr>
      </w:pPr>
    </w:p>
    <w:p w14:paraId="3602BBA1">
      <w:pPr>
        <w:rPr>
          <w:rFonts w:hint="eastAsia" w:ascii="宋体" w:hAnsi="宋体" w:eastAsia="宋体" w:cs="宋体"/>
          <w:color w:val="auto"/>
          <w:sz w:val="28"/>
          <w:highlight w:val="none"/>
        </w:rPr>
      </w:pPr>
    </w:p>
    <w:p w14:paraId="60DB4F4C">
      <w:pPr>
        <w:rPr>
          <w:rFonts w:hint="eastAsia" w:ascii="宋体" w:hAnsi="宋体" w:eastAsia="宋体" w:cs="宋体"/>
          <w:color w:val="auto"/>
          <w:sz w:val="28"/>
          <w:highlight w:val="none"/>
        </w:rPr>
      </w:pPr>
    </w:p>
    <w:p w14:paraId="06D5A981">
      <w:pPr>
        <w:rPr>
          <w:rFonts w:hint="eastAsia" w:ascii="宋体" w:hAnsi="宋体" w:eastAsia="宋体" w:cs="宋体"/>
          <w:color w:val="auto"/>
          <w:sz w:val="28"/>
          <w:highlight w:val="none"/>
        </w:rPr>
      </w:pPr>
    </w:p>
    <w:p w14:paraId="517629ED">
      <w:pPr>
        <w:rPr>
          <w:rFonts w:hint="eastAsia" w:ascii="宋体" w:hAnsi="宋体" w:eastAsia="宋体" w:cs="宋体"/>
          <w:color w:val="auto"/>
          <w:sz w:val="28"/>
          <w:highlight w:val="none"/>
        </w:rPr>
      </w:pPr>
    </w:p>
    <w:p w14:paraId="21C58DEA">
      <w:pPr>
        <w:rPr>
          <w:rFonts w:hint="eastAsia" w:ascii="宋体" w:hAnsi="宋体" w:eastAsia="宋体" w:cs="宋体"/>
          <w:color w:val="auto"/>
          <w:sz w:val="28"/>
          <w:highlight w:val="none"/>
        </w:rPr>
      </w:pPr>
    </w:p>
    <w:p w14:paraId="0493F9AA">
      <w:pPr>
        <w:rPr>
          <w:rFonts w:hint="eastAsia" w:ascii="宋体" w:hAnsi="宋体" w:eastAsia="宋体" w:cs="宋体"/>
          <w:color w:val="auto"/>
          <w:sz w:val="28"/>
          <w:highlight w:val="none"/>
        </w:rPr>
      </w:pPr>
    </w:p>
    <w:p w14:paraId="74C52BA6">
      <w:pPr>
        <w:rPr>
          <w:rFonts w:hint="eastAsia" w:ascii="宋体" w:hAnsi="宋体" w:eastAsia="宋体" w:cs="宋体"/>
          <w:color w:val="auto"/>
          <w:sz w:val="28"/>
          <w:highlight w:val="none"/>
        </w:rPr>
      </w:pPr>
    </w:p>
    <w:p w14:paraId="419B6B9B">
      <w:pPr>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九</w:t>
      </w:r>
      <w:r>
        <w:rPr>
          <w:rFonts w:hint="eastAsia" w:ascii="宋体" w:hAnsi="宋体" w:eastAsia="宋体" w:cs="宋体"/>
          <w:b/>
          <w:bCs/>
          <w:color w:val="auto"/>
          <w:sz w:val="32"/>
          <w:highlight w:val="none"/>
        </w:rPr>
        <w:t>、技 术 偏 离 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2160"/>
        <w:gridCol w:w="2160"/>
      </w:tblGrid>
      <w:tr w14:paraId="3214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C62DADE">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内容</w:t>
            </w:r>
          </w:p>
        </w:tc>
        <w:tc>
          <w:tcPr>
            <w:tcW w:w="2340" w:type="dxa"/>
            <w:noWrap w:val="0"/>
            <w:vAlign w:val="center"/>
          </w:tcPr>
          <w:p w14:paraId="4C3AF410">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w:t>
            </w:r>
          </w:p>
          <w:p w14:paraId="1EFC7C43">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规范要求</w:t>
            </w:r>
          </w:p>
        </w:tc>
        <w:tc>
          <w:tcPr>
            <w:tcW w:w="2160" w:type="dxa"/>
            <w:noWrap w:val="0"/>
            <w:vAlign w:val="center"/>
          </w:tcPr>
          <w:p w14:paraId="7F193583">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w:t>
            </w:r>
          </w:p>
          <w:p w14:paraId="615E8764">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对应规范</w:t>
            </w:r>
          </w:p>
        </w:tc>
        <w:tc>
          <w:tcPr>
            <w:tcW w:w="2160" w:type="dxa"/>
            <w:noWrap w:val="0"/>
            <w:vAlign w:val="center"/>
          </w:tcPr>
          <w:p w14:paraId="64900C9D">
            <w:pPr>
              <w:pStyle w:val="10"/>
              <w:spacing w:line="400" w:lineRule="atLeas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偏离情况</w:t>
            </w:r>
          </w:p>
        </w:tc>
      </w:tr>
      <w:tr w14:paraId="46A7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8E47701">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2905C106">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09D24D4C">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699F887D">
            <w:pPr>
              <w:pStyle w:val="10"/>
              <w:spacing w:line="400" w:lineRule="atLeast"/>
              <w:jc w:val="center"/>
              <w:rPr>
                <w:rFonts w:hint="eastAsia" w:ascii="宋体" w:hAnsi="宋体" w:eastAsia="宋体" w:cs="宋体"/>
                <w:color w:val="auto"/>
                <w:szCs w:val="24"/>
                <w:highlight w:val="none"/>
              </w:rPr>
            </w:pPr>
          </w:p>
        </w:tc>
      </w:tr>
      <w:tr w14:paraId="1CEC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7EE8C91">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6D08CE74">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02A61AF0">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B32237C">
            <w:pPr>
              <w:pStyle w:val="10"/>
              <w:spacing w:line="400" w:lineRule="atLeast"/>
              <w:jc w:val="center"/>
              <w:rPr>
                <w:rFonts w:hint="eastAsia" w:ascii="宋体" w:hAnsi="宋体" w:eastAsia="宋体" w:cs="宋体"/>
                <w:color w:val="auto"/>
                <w:szCs w:val="24"/>
                <w:highlight w:val="none"/>
              </w:rPr>
            </w:pPr>
          </w:p>
        </w:tc>
      </w:tr>
      <w:tr w14:paraId="3C37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2763BDC">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730C6230">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55B68CDE">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4AEC1B2F">
            <w:pPr>
              <w:pStyle w:val="10"/>
              <w:spacing w:line="400" w:lineRule="atLeast"/>
              <w:jc w:val="center"/>
              <w:rPr>
                <w:rFonts w:hint="eastAsia" w:ascii="宋体" w:hAnsi="宋体" w:eastAsia="宋体" w:cs="宋体"/>
                <w:color w:val="auto"/>
                <w:szCs w:val="24"/>
                <w:highlight w:val="none"/>
              </w:rPr>
            </w:pPr>
          </w:p>
        </w:tc>
      </w:tr>
      <w:tr w14:paraId="55B1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6D56A6B8">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1CD8D2B5">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05147452">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5F8E15CE">
            <w:pPr>
              <w:pStyle w:val="10"/>
              <w:spacing w:line="400" w:lineRule="atLeast"/>
              <w:jc w:val="center"/>
              <w:rPr>
                <w:rFonts w:hint="eastAsia" w:ascii="宋体" w:hAnsi="宋体" w:eastAsia="宋体" w:cs="宋体"/>
                <w:color w:val="auto"/>
                <w:szCs w:val="24"/>
                <w:highlight w:val="none"/>
              </w:rPr>
            </w:pPr>
          </w:p>
        </w:tc>
      </w:tr>
      <w:tr w14:paraId="6D8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01E49507">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13E7928D">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38B01F72">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5E3728F1">
            <w:pPr>
              <w:pStyle w:val="10"/>
              <w:spacing w:line="400" w:lineRule="atLeast"/>
              <w:jc w:val="center"/>
              <w:rPr>
                <w:rFonts w:hint="eastAsia" w:ascii="宋体" w:hAnsi="宋体" w:eastAsia="宋体" w:cs="宋体"/>
                <w:color w:val="auto"/>
                <w:szCs w:val="24"/>
                <w:highlight w:val="none"/>
              </w:rPr>
            </w:pPr>
          </w:p>
        </w:tc>
      </w:tr>
      <w:tr w14:paraId="40C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71860D5">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47222B38">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6661C816">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2D19F9F">
            <w:pPr>
              <w:pStyle w:val="10"/>
              <w:spacing w:line="400" w:lineRule="atLeast"/>
              <w:jc w:val="center"/>
              <w:rPr>
                <w:rFonts w:hint="eastAsia" w:ascii="宋体" w:hAnsi="宋体" w:eastAsia="宋体" w:cs="宋体"/>
                <w:color w:val="auto"/>
                <w:szCs w:val="24"/>
                <w:highlight w:val="none"/>
              </w:rPr>
            </w:pPr>
          </w:p>
        </w:tc>
      </w:tr>
      <w:tr w14:paraId="3DDD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1F02C648">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67FA21F0">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E6BF7A6">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257E94F2">
            <w:pPr>
              <w:pStyle w:val="10"/>
              <w:spacing w:line="400" w:lineRule="atLeast"/>
              <w:jc w:val="center"/>
              <w:rPr>
                <w:rFonts w:hint="eastAsia" w:ascii="宋体" w:hAnsi="宋体" w:eastAsia="宋体" w:cs="宋体"/>
                <w:color w:val="auto"/>
                <w:szCs w:val="24"/>
                <w:highlight w:val="none"/>
              </w:rPr>
            </w:pPr>
          </w:p>
        </w:tc>
      </w:tr>
      <w:tr w14:paraId="2351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E69B254">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557AC305">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4C1FE84">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3D22BD5B">
            <w:pPr>
              <w:pStyle w:val="10"/>
              <w:spacing w:line="400" w:lineRule="atLeast"/>
              <w:jc w:val="center"/>
              <w:rPr>
                <w:rFonts w:hint="eastAsia" w:ascii="宋体" w:hAnsi="宋体" w:eastAsia="宋体" w:cs="宋体"/>
                <w:color w:val="auto"/>
                <w:szCs w:val="24"/>
                <w:highlight w:val="none"/>
              </w:rPr>
            </w:pPr>
          </w:p>
        </w:tc>
      </w:tr>
      <w:tr w14:paraId="558D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5FFDF7A">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297EE77A">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95BEB57">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68582E4E">
            <w:pPr>
              <w:pStyle w:val="10"/>
              <w:spacing w:line="400" w:lineRule="atLeast"/>
              <w:jc w:val="center"/>
              <w:rPr>
                <w:rFonts w:hint="eastAsia" w:ascii="宋体" w:hAnsi="宋体" w:eastAsia="宋体" w:cs="宋体"/>
                <w:color w:val="auto"/>
                <w:szCs w:val="24"/>
                <w:highlight w:val="none"/>
              </w:rPr>
            </w:pPr>
          </w:p>
        </w:tc>
      </w:tr>
      <w:tr w14:paraId="6881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292C6158">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1CF99025">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4E7C01C4">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7227FB2">
            <w:pPr>
              <w:pStyle w:val="10"/>
              <w:spacing w:line="400" w:lineRule="atLeast"/>
              <w:jc w:val="center"/>
              <w:rPr>
                <w:rFonts w:hint="eastAsia" w:ascii="宋体" w:hAnsi="宋体" w:eastAsia="宋体" w:cs="宋体"/>
                <w:color w:val="auto"/>
                <w:szCs w:val="24"/>
                <w:highlight w:val="none"/>
              </w:rPr>
            </w:pPr>
          </w:p>
        </w:tc>
      </w:tr>
      <w:tr w14:paraId="580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717E4480">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6920A649">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5263CCAF">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62C3D768">
            <w:pPr>
              <w:pStyle w:val="10"/>
              <w:spacing w:line="400" w:lineRule="atLeast"/>
              <w:jc w:val="center"/>
              <w:rPr>
                <w:rFonts w:hint="eastAsia" w:ascii="宋体" w:hAnsi="宋体" w:eastAsia="宋体" w:cs="宋体"/>
                <w:color w:val="auto"/>
                <w:szCs w:val="24"/>
                <w:highlight w:val="none"/>
              </w:rPr>
            </w:pPr>
          </w:p>
        </w:tc>
      </w:tr>
      <w:tr w14:paraId="0AE8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noWrap w:val="0"/>
            <w:vAlign w:val="center"/>
          </w:tcPr>
          <w:p w14:paraId="6B20695F">
            <w:pPr>
              <w:pStyle w:val="10"/>
              <w:spacing w:line="400" w:lineRule="atLeast"/>
              <w:jc w:val="center"/>
              <w:rPr>
                <w:rFonts w:hint="eastAsia" w:ascii="宋体" w:hAnsi="宋体" w:eastAsia="宋体" w:cs="宋体"/>
                <w:color w:val="auto"/>
                <w:szCs w:val="24"/>
                <w:highlight w:val="none"/>
              </w:rPr>
            </w:pPr>
          </w:p>
        </w:tc>
        <w:tc>
          <w:tcPr>
            <w:tcW w:w="2340" w:type="dxa"/>
            <w:noWrap w:val="0"/>
            <w:vAlign w:val="center"/>
          </w:tcPr>
          <w:p w14:paraId="72A6DF32">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1446325E">
            <w:pPr>
              <w:pStyle w:val="10"/>
              <w:spacing w:line="400" w:lineRule="atLeast"/>
              <w:jc w:val="center"/>
              <w:rPr>
                <w:rFonts w:hint="eastAsia" w:ascii="宋体" w:hAnsi="宋体" w:eastAsia="宋体" w:cs="宋体"/>
                <w:color w:val="auto"/>
                <w:szCs w:val="24"/>
                <w:highlight w:val="none"/>
              </w:rPr>
            </w:pPr>
          </w:p>
        </w:tc>
        <w:tc>
          <w:tcPr>
            <w:tcW w:w="2160" w:type="dxa"/>
            <w:noWrap w:val="0"/>
            <w:vAlign w:val="center"/>
          </w:tcPr>
          <w:p w14:paraId="4D2EC976">
            <w:pPr>
              <w:pStyle w:val="10"/>
              <w:spacing w:line="400" w:lineRule="atLeast"/>
              <w:jc w:val="center"/>
              <w:rPr>
                <w:rFonts w:hint="eastAsia" w:ascii="宋体" w:hAnsi="宋体" w:eastAsia="宋体" w:cs="宋体"/>
                <w:color w:val="auto"/>
                <w:szCs w:val="24"/>
                <w:highlight w:val="none"/>
              </w:rPr>
            </w:pPr>
          </w:p>
        </w:tc>
      </w:tr>
    </w:tbl>
    <w:p w14:paraId="5CDF841C">
      <w:pPr>
        <w:pStyle w:val="10"/>
        <w:spacing w:line="40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7340DE45">
      <w:pPr>
        <w:pStyle w:val="10"/>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1、投标文件应根据投标设备的性能指标、对照招标文件要求在“偏离情况”栏注明“正偏离”、“负偏离”或“无偏离”。如果本表没有列明的内容视同与招标文件相一致。</w:t>
      </w:r>
    </w:p>
    <w:p w14:paraId="104C4D6E">
      <w:pPr>
        <w:pStyle w:val="10"/>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2、此表在不改变格式的情况下可自行制作。</w:t>
      </w:r>
    </w:p>
    <w:p w14:paraId="0E6BFDB9">
      <w:pPr>
        <w:pStyle w:val="10"/>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3、此表置于技术标书中。</w:t>
      </w:r>
    </w:p>
    <w:p w14:paraId="7020407A">
      <w:pPr>
        <w:pStyle w:val="10"/>
        <w:spacing w:line="400" w:lineRule="atLeast"/>
        <w:rPr>
          <w:rFonts w:hint="eastAsia" w:ascii="宋体" w:hAnsi="宋体" w:eastAsia="宋体" w:cs="宋体"/>
          <w:color w:val="auto"/>
          <w:highlight w:val="none"/>
        </w:rPr>
      </w:pPr>
    </w:p>
    <w:p w14:paraId="67B41023">
      <w:pPr>
        <w:spacing w:line="60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（盖单位公章）                 </w:t>
      </w:r>
      <w:r>
        <w:rPr>
          <w:rFonts w:hint="eastAsia" w:ascii="宋体" w:hAnsi="宋体" w:eastAsia="宋体" w:cs="宋体"/>
          <w:color w:val="auto"/>
          <w:sz w:val="28"/>
          <w:highlight w:val="none"/>
        </w:rPr>
        <w:t xml:space="preserve">      </w:t>
      </w:r>
    </w:p>
    <w:p w14:paraId="337ACE0C">
      <w:pPr>
        <w:spacing w:line="60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法定代表人或委托代理人：</w:t>
      </w:r>
      <w:r>
        <w:rPr>
          <w:rFonts w:hint="eastAsia" w:ascii="宋体" w:hAnsi="宋体" w:eastAsia="宋体" w:cs="宋体"/>
          <w:color w:val="auto"/>
          <w:sz w:val="28"/>
          <w:highlight w:val="none"/>
          <w:u w:val="single"/>
        </w:rPr>
        <w:t xml:space="preserve">      （签字或盖章）          </w:t>
      </w:r>
      <w:r>
        <w:rPr>
          <w:rFonts w:hint="eastAsia" w:ascii="宋体" w:hAnsi="宋体" w:eastAsia="宋体" w:cs="宋体"/>
          <w:color w:val="auto"/>
          <w:sz w:val="28"/>
          <w:highlight w:val="none"/>
        </w:rPr>
        <w:t xml:space="preserve">      </w:t>
      </w:r>
    </w:p>
    <w:p w14:paraId="010AADDF">
      <w:pPr>
        <w:spacing w:line="60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日期：</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年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 月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日</w:t>
      </w:r>
    </w:p>
    <w:p w14:paraId="3A4EB973">
      <w:pPr>
        <w:rPr>
          <w:color w:val="auto"/>
        </w:rPr>
      </w:pPr>
    </w:p>
    <w:sectPr>
      <w:pgSz w:w="11906" w:h="16838"/>
      <w:pgMar w:top="1236" w:right="1236" w:bottom="1236" w:left="1236" w:header="851" w:footer="90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9222">
    <w:pPr>
      <w:pStyle w:val="12"/>
      <w:jc w:val="center"/>
    </w:pPr>
  </w:p>
  <w:p w14:paraId="7B59D87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1A6D">
    <w:pPr>
      <w:pStyle w:val="12"/>
      <w:framePr w:wrap="around" w:vAnchor="text" w:hAnchor="margin" w:xAlign="center" w:y="1"/>
      <w:rPr>
        <w:rStyle w:val="18"/>
      </w:rPr>
    </w:pPr>
    <w:r>
      <w:fldChar w:fldCharType="begin"/>
    </w:r>
    <w:r>
      <w:rPr>
        <w:rStyle w:val="18"/>
      </w:rPr>
      <w:instrText xml:space="preserve">PAGE  </w:instrText>
    </w:r>
    <w:r>
      <w:fldChar w:fldCharType="end"/>
    </w:r>
  </w:p>
  <w:p w14:paraId="637BE3AA">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5929">
    <w:pPr>
      <w:pStyle w:val="12"/>
      <w:jc w:val="center"/>
    </w:pPr>
  </w:p>
  <w:p w14:paraId="792EACD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410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E17464">
                          <w:pPr>
                            <w:pStyle w:val="12"/>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2E17464">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EE08">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BC5B00">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ABC5B00">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0B3D271">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5B84">
    <w:pPr>
      <w:pStyle w:val="12"/>
      <w:tabs>
        <w:tab w:val="center" w:pos="471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A8B38A">
                          <w:pPr>
                            <w:pStyle w:val="12"/>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5A8B38A">
                    <w:pPr>
                      <w:pStyle w:val="12"/>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AD3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BB96">
    <w:pPr>
      <w:pStyle w:val="13"/>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9EC97">
    <w:pPr>
      <w:pStyle w:val="13"/>
      <w:rPr>
        <w:rFonts w:hint="eastAsia"/>
      </w:rPr>
    </w:pPr>
    <w:r>
      <w:rPr>
        <w:rFonts w:hint="eastAsia"/>
      </w:rPr>
      <w:t>浙江明业项目管理有限公司招标文件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5BD7E">
    <w:pPr>
      <w:pStyle w:val="13"/>
      <w:ind w:firstLine="3060" w:firstLineChars="1700"/>
      <w:jc w:val="both"/>
      <w:rPr>
        <w:rFonts w:hint="eastAsia"/>
      </w:rPr>
    </w:pPr>
    <w:r>
      <w:rPr>
        <w:rFonts w:hint="eastAsia"/>
      </w:rPr>
      <w:t>诸暨市公共资源交易中心政府招标文件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D129">
    <w:pPr>
      <w:pStyle w:val="13"/>
      <w:rPr>
        <w:rFonts w:hint="eastAsia"/>
      </w:rPr>
    </w:pPr>
    <w:r>
      <w:rPr>
        <w:rFonts w:hint="eastAsia"/>
      </w:rPr>
      <w:t>浙江明业项目管理有限公司招标文件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4EC9">
    <w:pPr>
      <w:pStyle w:val="13"/>
      <w:ind w:firstLine="3060" w:firstLineChars="1700"/>
      <w:jc w:val="both"/>
      <w:rPr>
        <w:rFonts w:hint="eastAsia"/>
      </w:rPr>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D6F3D"/>
    <w:multiLevelType w:val="singleLevel"/>
    <w:tmpl w:val="C0DD6F3D"/>
    <w:lvl w:ilvl="0" w:tentative="0">
      <w:start w:val="1"/>
      <w:numFmt w:val="decimal"/>
      <w:pStyle w:val="6"/>
      <w:lvlText w:val="%1."/>
      <w:lvlJc w:val="left"/>
      <w:pPr>
        <w:tabs>
          <w:tab w:val="left" w:pos="360"/>
        </w:tabs>
        <w:ind w:left="360" w:hanging="360"/>
      </w:pPr>
    </w:lvl>
  </w:abstractNum>
  <w:abstractNum w:abstractNumId="1">
    <w:nsid w:val="DE14EC4D"/>
    <w:multiLevelType w:val="singleLevel"/>
    <w:tmpl w:val="DE14EC4D"/>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TkzZGIyNThhNWMyNTczNDEwZDdjODM4MjI5M2YifQ=="/>
  </w:docVars>
  <w:rsids>
    <w:rsidRoot w:val="00000000"/>
    <w:rsid w:val="0134171D"/>
    <w:rsid w:val="03C42742"/>
    <w:rsid w:val="04110D19"/>
    <w:rsid w:val="04207C93"/>
    <w:rsid w:val="04DB5CD6"/>
    <w:rsid w:val="0DB53C92"/>
    <w:rsid w:val="0DB64186"/>
    <w:rsid w:val="0EA5727F"/>
    <w:rsid w:val="21F56D15"/>
    <w:rsid w:val="247B18AC"/>
    <w:rsid w:val="28EC6AA5"/>
    <w:rsid w:val="35E814B3"/>
    <w:rsid w:val="402446B4"/>
    <w:rsid w:val="427C0320"/>
    <w:rsid w:val="50EC01B0"/>
    <w:rsid w:val="54926E5D"/>
    <w:rsid w:val="552506A1"/>
    <w:rsid w:val="55537708"/>
    <w:rsid w:val="58B629FE"/>
    <w:rsid w:val="68077472"/>
    <w:rsid w:val="69747710"/>
    <w:rsid w:val="698C0B3E"/>
    <w:rsid w:val="722D16D1"/>
    <w:rsid w:val="7AFD259E"/>
    <w:rsid w:val="7F08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rPr>
  </w:style>
  <w:style w:type="paragraph" w:styleId="5">
    <w:name w:val="heading 2"/>
    <w:basedOn w:val="1"/>
    <w:next w:val="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autoSpaceDN/>
      <w:adjustRightInd/>
      <w:ind w:firstLine="420" w:firstLineChars="100"/>
    </w:pPr>
    <w:rPr>
      <w:color w:val="auto"/>
      <w:kern w:val="2"/>
      <w:szCs w:val="22"/>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autoSpaceDE/>
      <w:autoSpaceDN/>
      <w:adjustRightInd/>
      <w:ind w:firstLine="420"/>
    </w:pPr>
    <w:rPr>
      <w:color w:val="auto"/>
      <w:kern w:val="2"/>
      <w:szCs w:val="20"/>
    </w:rPr>
  </w:style>
  <w:style w:type="paragraph" w:styleId="8">
    <w:name w:val="index 5"/>
    <w:basedOn w:val="1"/>
    <w:next w:val="1"/>
    <w:qFormat/>
    <w:uiPriority w:val="0"/>
    <w:pPr>
      <w:autoSpaceDE w:val="0"/>
      <w:autoSpaceDN w:val="0"/>
      <w:adjustRightInd w:val="0"/>
      <w:ind w:left="1680"/>
    </w:pPr>
    <w:rPr>
      <w:b/>
      <w:bCs/>
      <w:color w:val="000000"/>
      <w:kern w:val="0"/>
      <w:sz w:val="28"/>
      <w:szCs w:val="28"/>
    </w:rPr>
  </w:style>
  <w:style w:type="paragraph" w:styleId="9">
    <w:name w:val="Body Text Indent"/>
    <w:basedOn w:val="1"/>
    <w:next w:val="1"/>
    <w:qFormat/>
    <w:uiPriority w:val="0"/>
    <w:pPr>
      <w:spacing w:after="120"/>
      <w:ind w:left="420" w:leftChars="200"/>
    </w:pPr>
  </w:style>
  <w:style w:type="paragraph" w:styleId="10">
    <w:name w:val="Plain Text"/>
    <w:basedOn w:val="1"/>
    <w:next w:val="11"/>
    <w:qFormat/>
    <w:uiPriority w:val="0"/>
    <w:pPr>
      <w:autoSpaceDE/>
      <w:autoSpaceDN/>
      <w:adjustRightInd/>
    </w:pPr>
    <w:rPr>
      <w:color w:val="auto"/>
      <w:kern w:val="2"/>
      <w:sz w:val="24"/>
      <w:szCs w:val="20"/>
    </w:rPr>
  </w:style>
  <w:style w:type="paragraph" w:styleId="11">
    <w:name w:val="index 7"/>
    <w:basedOn w:val="1"/>
    <w:next w:val="1"/>
    <w:semiHidden/>
    <w:qFormat/>
    <w:uiPriority w:val="0"/>
    <w:pPr>
      <w:ind w:left="1200" w:leftChars="1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unhideWhenUsed/>
    <w:qFormat/>
    <w:uiPriority w:val="39"/>
    <w:pPr>
      <w:ind w:left="2100" w:leftChars="1000"/>
    </w:pPr>
    <w:rPr>
      <w:rFonts w:ascii="Calibri" w:hAnsi="Calibri"/>
      <w:szCs w:val="22"/>
    </w:rPr>
  </w:style>
  <w:style w:type="paragraph" w:styleId="15">
    <w:name w:val="Body Text Indent 3"/>
    <w:basedOn w:val="1"/>
    <w:qFormat/>
    <w:uiPriority w:val="0"/>
    <w:pPr>
      <w:autoSpaceDE/>
      <w:autoSpaceDN/>
      <w:adjustRightInd/>
      <w:ind w:firstLine="435"/>
    </w:pPr>
    <w:rPr>
      <w:color w:val="auto"/>
      <w:kern w:val="2"/>
      <w:szCs w:val="24"/>
    </w:r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正文段"/>
    <w:basedOn w:val="1"/>
    <w:next w:val="8"/>
    <w:qFormat/>
    <w:uiPriority w:val="0"/>
    <w:pPr>
      <w:widowControl/>
      <w:autoSpaceDE/>
      <w:autoSpaceDN/>
      <w:adjustRightInd/>
      <w:snapToGrid w:val="0"/>
      <w:spacing w:afterLines="50"/>
      <w:ind w:firstLine="200" w:firstLineChars="200"/>
    </w:pPr>
    <w:rPr>
      <w:color w:val="auto"/>
      <w:sz w:val="24"/>
      <w:szCs w:val="20"/>
    </w:rPr>
  </w:style>
  <w:style w:type="paragraph" w:customStyle="1" w:styleId="21">
    <w:name w:val="Body Text First Indent 2"/>
    <w:basedOn w:val="2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2">
    <w:name w:val="Body Text Indent"/>
    <w:basedOn w:val="1"/>
    <w:next w:val="1"/>
    <w:qFormat/>
    <w:uiPriority w:val="0"/>
    <w:pPr>
      <w:spacing w:after="120" w:afterLines="0"/>
      <w:ind w:left="420" w:leftChars="200"/>
    </w:pPr>
    <w:rPr>
      <w:color w:val="000000"/>
      <w:sz w:val="21"/>
      <w:szCs w:val="21"/>
    </w:rPr>
  </w:style>
  <w:style w:type="paragraph" w:customStyle="1" w:styleId="23">
    <w:name w:val="Body Text First Indent 21"/>
    <w:basedOn w:val="24"/>
    <w:qFormat/>
    <w:uiPriority w:val="0"/>
    <w:pPr>
      <w:ind w:firstLine="420"/>
    </w:pPr>
    <w:rPr>
      <w:rFonts w:cs="宋体"/>
    </w:rPr>
  </w:style>
  <w:style w:type="paragraph" w:customStyle="1" w:styleId="24">
    <w:name w:val="Body Text Indent1"/>
    <w:basedOn w:val="1"/>
    <w:next w:val="1"/>
    <w:qFormat/>
    <w:uiPriority w:val="0"/>
    <w:pPr>
      <w:spacing w:after="120"/>
      <w:ind w:left="420" w:leftChars="200"/>
    </w:p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列表段落1"/>
    <w:basedOn w:val="1"/>
    <w:qFormat/>
    <w:uiPriority w:val="0"/>
    <w:pPr>
      <w:ind w:firstLine="420" w:firstLineChars="200"/>
    </w:pPr>
  </w:style>
  <w:style w:type="paragraph" w:customStyle="1" w:styleId="27">
    <w:name w:val="Body Text 31"/>
    <w:basedOn w:val="1"/>
    <w:qFormat/>
    <w:uiPriority w:val="0"/>
    <w:pPr>
      <w:spacing w:after="120" w:afterLines="0"/>
    </w:pPr>
    <w:rPr>
      <w:sz w:val="16"/>
      <w:szCs w:val="16"/>
    </w:rPr>
  </w:style>
  <w:style w:type="paragraph" w:customStyle="1" w:styleId="28">
    <w:name w:val="正文文本 31"/>
    <w:basedOn w:val="1"/>
    <w:qFormat/>
    <w:uiPriority w:val="0"/>
    <w:pPr>
      <w:spacing w:after="120"/>
    </w:pPr>
    <w:rPr>
      <w:sz w:val="16"/>
      <w:szCs w:val="16"/>
    </w:rPr>
  </w:style>
  <w:style w:type="character" w:customStyle="1" w:styleId="29">
    <w:name w:val="标题 1 Char Char"/>
    <w:qFormat/>
    <w:uiPriority w:val="0"/>
    <w:rPr>
      <w:rFonts w:eastAsia="宋体"/>
      <w:b/>
      <w:spacing w:val="-2"/>
      <w:sz w:val="24"/>
      <w:lang w:val="en-US" w:eastAsia="zh-CN"/>
    </w:rPr>
  </w:style>
  <w:style w:type="paragraph" w:styleId="30">
    <w:name w:val="List Paragraph"/>
    <w:basedOn w:val="1"/>
    <w:qFormat/>
    <w:uiPriority w:val="0"/>
    <w:pPr>
      <w:spacing w:line="360" w:lineRule="auto"/>
      <w:ind w:firstLine="200" w:firstLineChars="200"/>
    </w:pPr>
    <w:rPr>
      <w:rFonts w:eastAsia="楷体_GB2312" w:cs="Lucida Sans"/>
      <w:sz w:val="24"/>
    </w:rPr>
  </w:style>
  <w:style w:type="paragraph" w:customStyle="1" w:styleId="31">
    <w:name w:val="表格文字"/>
    <w:basedOn w:val="32"/>
    <w:next w:val="2"/>
    <w:qFormat/>
    <w:uiPriority w:val="0"/>
    <w:pPr>
      <w:adjustRightInd w:val="0"/>
      <w:spacing w:line="420" w:lineRule="atLeast"/>
      <w:textAlignment w:val="baseline"/>
    </w:pPr>
  </w:style>
  <w:style w:type="paragraph" w:customStyle="1" w:styleId="32">
    <w:name w:val="表格文字（两侧对齐）"/>
    <w:basedOn w:val="1"/>
    <w:qFormat/>
    <w:uiPriority w:val="0"/>
    <w:pPr>
      <w:autoSpaceDE/>
      <w:autoSpaceDN/>
      <w:adjustRightInd/>
      <w:snapToGrid w:val="0"/>
    </w:pPr>
    <w:rPr>
      <w:color w:val="auto"/>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23536</Words>
  <Characters>24583</Characters>
  <Lines>0</Lines>
  <Paragraphs>0</Paragraphs>
  <TotalTime>10</TotalTime>
  <ScaleCrop>false</ScaleCrop>
  <LinksUpToDate>false</LinksUpToDate>
  <CharactersWithSpaces>26304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2025-04-09T09:13:00Z</dcterms:created>
  <dc:creator>方亚薇</dc:creator>
  <cp:lastModifiedBy>路飞</cp:lastModifiedBy>
  <dcterms:modified xsi:type="dcterms:W3CDTF">2025-07-17T09:33:23Z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7A33F062D52049349F3813AD423FAB65_13</vt:lpwstr>
  </property>
  <property fmtid="{D5CDD505-2E9C-101B-9397-08002B2CF9AE}" pid="4" name="KSOTemplateDocerSaveRecord">
    <vt:lpwstr>eyJoZGlkIjoiZDk2MzAxNzMzNTM2YjJhYjA4OGE4ZWRlOTY0MzI3YmEiLCJ1c2VySWQiOiI3MTQxNzcxODMifQ==</vt:lpwstr>
  </property>
</Properties>
</file>