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5604D">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基本格式：</w:t>
      </w:r>
    </w:p>
    <w:p w14:paraId="42EE838E">
      <w:pPr>
        <w:jc w:val="center"/>
        <w:rPr>
          <w:rFonts w:hint="eastAsia" w:ascii="宋体" w:hAnsi="宋体" w:eastAsia="宋体" w:cs="宋体"/>
          <w:color w:val="auto"/>
          <w:sz w:val="28"/>
          <w:szCs w:val="28"/>
          <w:highlight w:val="none"/>
        </w:rPr>
      </w:pPr>
      <w:r>
        <w:rPr>
          <w:rFonts w:hint="eastAsia" w:ascii="宋体" w:hAnsi="宋体" w:eastAsia="宋体" w:cs="宋体"/>
          <w:b/>
          <w:color w:val="auto"/>
          <w:sz w:val="32"/>
          <w:szCs w:val="32"/>
          <w:highlight w:val="none"/>
        </w:rPr>
        <w:t>关于对★★★★★★★★★★★★★★项目的意见建议</w:t>
      </w:r>
    </w:p>
    <w:p w14:paraId="24A8A926">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致：</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有限公司</w:t>
      </w:r>
    </w:p>
    <w:p w14:paraId="14939AAE">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对于贵公司于</w:t>
      </w:r>
      <w:r>
        <w:rPr>
          <w:rFonts w:hint="eastAsia" w:ascii="宋体" w:hAnsi="宋体" w:eastAsia="宋体" w:cs="宋体"/>
          <w:color w:val="auto"/>
          <w:sz w:val="28"/>
          <w:szCs w:val="28"/>
          <w:highlight w:val="none"/>
          <w:lang w:eastAsia="zh-CN"/>
        </w:rPr>
        <w:t>20</w:t>
      </w:r>
      <w:r>
        <w:rPr>
          <w:rFonts w:hint="eastAsia" w:ascii="宋体" w:hAnsi="宋体" w:eastAsia="宋体" w:cs="宋体"/>
          <w:color w:val="auto"/>
          <w:sz w:val="28"/>
          <w:szCs w:val="28"/>
          <w:highlight w:val="none"/>
          <w:lang w:val="en-US" w:eastAsia="zh-CN"/>
        </w:rPr>
        <w:t>25</w:t>
      </w:r>
      <w:r>
        <w:rPr>
          <w:rFonts w:hint="eastAsia" w:ascii="宋体" w:hAnsi="宋体" w:eastAsia="宋体" w:cs="宋体"/>
          <w:color w:val="auto"/>
          <w:sz w:val="28"/>
          <w:szCs w:val="28"/>
          <w:highlight w:val="none"/>
        </w:rPr>
        <w:t>年★月★日公示的★★★★★★★★★★★★★★★★★★★★★项目采购要素，我公司有如下意见建议：</w:t>
      </w:r>
    </w:p>
    <w:tbl>
      <w:tblPr>
        <w:tblStyle w:val="8"/>
        <w:tblW w:w="0" w:type="auto"/>
        <w:tblInd w:w="0" w:type="dxa"/>
        <w:tblLayout w:type="fixed"/>
        <w:tblCellMar>
          <w:top w:w="0" w:type="dxa"/>
          <w:left w:w="108" w:type="dxa"/>
          <w:bottom w:w="0" w:type="dxa"/>
          <w:right w:w="108" w:type="dxa"/>
        </w:tblCellMar>
      </w:tblPr>
      <w:tblGrid>
        <w:gridCol w:w="4261"/>
        <w:gridCol w:w="4261"/>
      </w:tblGrid>
      <w:tr w14:paraId="64DFCA60">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1AD05314">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原条款</w:t>
            </w:r>
          </w:p>
        </w:tc>
        <w:tc>
          <w:tcPr>
            <w:tcW w:w="4261" w:type="dxa"/>
            <w:tcBorders>
              <w:top w:val="single" w:color="auto" w:sz="4" w:space="0"/>
              <w:left w:val="single" w:color="auto" w:sz="4" w:space="0"/>
              <w:bottom w:val="single" w:color="auto" w:sz="4" w:space="0"/>
              <w:right w:val="single" w:color="auto" w:sz="4" w:space="0"/>
            </w:tcBorders>
            <w:noWrap w:val="0"/>
            <w:vAlign w:val="top"/>
          </w:tcPr>
          <w:p w14:paraId="5077C630">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本公司意见建议</w:t>
            </w:r>
          </w:p>
        </w:tc>
      </w:tr>
      <w:tr w14:paraId="057EEADA">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09CFEE96">
            <w:pPr>
              <w:jc w:val="center"/>
              <w:rPr>
                <w:rFonts w:hint="eastAsia" w:ascii="宋体" w:hAnsi="宋体" w:eastAsia="宋体" w:cs="宋体"/>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7F7B703F">
            <w:pPr>
              <w:jc w:val="center"/>
              <w:rPr>
                <w:rFonts w:hint="eastAsia" w:ascii="宋体" w:hAnsi="宋体" w:eastAsia="宋体" w:cs="宋体"/>
                <w:color w:val="auto"/>
                <w:sz w:val="28"/>
                <w:szCs w:val="28"/>
                <w:highlight w:val="none"/>
              </w:rPr>
            </w:pPr>
          </w:p>
        </w:tc>
      </w:tr>
      <w:tr w14:paraId="64AE7EBE">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47581F25">
            <w:pPr>
              <w:jc w:val="center"/>
              <w:rPr>
                <w:rFonts w:hint="eastAsia" w:ascii="宋体" w:hAnsi="宋体" w:eastAsia="宋体" w:cs="宋体"/>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5D49AA30">
            <w:pPr>
              <w:jc w:val="center"/>
              <w:rPr>
                <w:rFonts w:hint="eastAsia" w:ascii="宋体" w:hAnsi="宋体" w:eastAsia="宋体" w:cs="宋体"/>
                <w:color w:val="auto"/>
                <w:sz w:val="28"/>
                <w:szCs w:val="28"/>
                <w:highlight w:val="none"/>
              </w:rPr>
            </w:pPr>
          </w:p>
        </w:tc>
      </w:tr>
      <w:tr w14:paraId="13F8F905">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68F8A3A4">
            <w:pPr>
              <w:jc w:val="center"/>
              <w:rPr>
                <w:rFonts w:hint="eastAsia" w:ascii="宋体" w:hAnsi="宋体" w:eastAsia="宋体" w:cs="宋体"/>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08AD2B74">
            <w:pPr>
              <w:jc w:val="center"/>
              <w:rPr>
                <w:rFonts w:hint="eastAsia" w:ascii="宋体" w:hAnsi="宋体" w:eastAsia="宋体" w:cs="宋体"/>
                <w:color w:val="auto"/>
                <w:sz w:val="28"/>
                <w:szCs w:val="28"/>
                <w:highlight w:val="none"/>
              </w:rPr>
            </w:pPr>
          </w:p>
        </w:tc>
      </w:tr>
    </w:tbl>
    <w:p w14:paraId="3E876E53">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传    真：★★★★★★★★</w:t>
      </w:r>
    </w:p>
    <w:p w14:paraId="2A66B503">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 系 人：★★★★★★★★</w:t>
      </w:r>
    </w:p>
    <w:p w14:paraId="15ACA308">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
    <w:p w14:paraId="7B22346E">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联系手机：★★★★★★★★</w:t>
      </w:r>
    </w:p>
    <w:p w14:paraId="3DFB8B94">
      <w:pPr>
        <w:ind w:left="4480" w:hanging="4480" w:hangingChars="1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电子邮箱：★★★★★★★★                       </w:t>
      </w:r>
    </w:p>
    <w:p w14:paraId="71B635E5">
      <w:pPr>
        <w:ind w:left="4481" w:leftChars="2134" w:firstLine="140" w:firstLineChars="50"/>
        <w:rPr>
          <w:rFonts w:hint="eastAsia" w:ascii="宋体" w:hAnsi="宋体" w:eastAsia="宋体" w:cs="宋体"/>
          <w:color w:val="auto"/>
          <w:sz w:val="28"/>
          <w:szCs w:val="28"/>
          <w:highlight w:val="none"/>
        </w:rPr>
      </w:pPr>
    </w:p>
    <w:p w14:paraId="10DAAD95">
      <w:pPr>
        <w:ind w:left="4481" w:leftChars="2134" w:firstLine="140" w:firstLineChars="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单位名称：（加盖公章）</w:t>
      </w:r>
    </w:p>
    <w:p w14:paraId="639F2C15">
      <w:pPr>
        <w:ind w:left="4760" w:hanging="4760" w:hangingChars="1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二O</w:t>
      </w:r>
      <w:r>
        <w:rPr>
          <w:rFonts w:hint="eastAsia" w:ascii="宋体" w:hAnsi="宋体" w:eastAsia="宋体" w:cs="宋体"/>
          <w:color w:val="auto"/>
          <w:sz w:val="28"/>
          <w:szCs w:val="28"/>
          <w:highlight w:val="none"/>
          <w:lang w:val="en-US" w:eastAsia="zh-CN"/>
        </w:rPr>
        <w:t>二五</w:t>
      </w:r>
      <w:r>
        <w:rPr>
          <w:rFonts w:hint="eastAsia" w:ascii="宋体" w:hAnsi="宋体" w:eastAsia="宋体" w:cs="宋体"/>
          <w:color w:val="auto"/>
          <w:sz w:val="28"/>
          <w:szCs w:val="28"/>
          <w:highlight w:val="none"/>
        </w:rPr>
        <w:t>年★月★日</w:t>
      </w:r>
    </w:p>
    <w:p w14:paraId="020F5DBF">
      <w:pPr>
        <w:rPr>
          <w:rFonts w:hint="eastAsia" w:ascii="宋体" w:hAnsi="宋体" w:eastAsia="宋体" w:cs="宋体"/>
          <w:color w:val="auto"/>
          <w:highlight w:val="none"/>
        </w:rPr>
      </w:pPr>
    </w:p>
    <w:p w14:paraId="440DB235">
      <w:pPr>
        <w:rPr>
          <w:rFonts w:hint="eastAsia" w:ascii="宋体" w:hAnsi="宋体" w:eastAsia="宋体" w:cs="宋体"/>
          <w:color w:val="auto"/>
          <w:highlight w:val="none"/>
        </w:rPr>
      </w:pPr>
      <w:r>
        <w:rPr>
          <w:rFonts w:hint="eastAsia" w:ascii="宋体" w:hAnsi="宋体" w:eastAsia="宋体" w:cs="宋体"/>
          <w:color w:val="auto"/>
          <w:highlight w:val="none"/>
        </w:rPr>
        <w:t>注：</w:t>
      </w:r>
    </w:p>
    <w:p w14:paraId="58443AA2">
      <w:pPr>
        <w:rPr>
          <w:rFonts w:hint="eastAsia" w:ascii="宋体" w:hAnsi="宋体" w:eastAsia="宋体" w:cs="宋体"/>
          <w:color w:val="auto"/>
          <w:highlight w:val="none"/>
        </w:rPr>
      </w:pPr>
      <w:r>
        <w:rPr>
          <w:rFonts w:hint="eastAsia" w:ascii="宋体" w:hAnsi="宋体" w:eastAsia="宋体" w:cs="宋体"/>
          <w:color w:val="auto"/>
          <w:highlight w:val="none"/>
        </w:rPr>
        <w:t>1、针对本项目的意见建议仅供采购人完善采购需求参考所用！</w:t>
      </w:r>
    </w:p>
    <w:p w14:paraId="00F28D9E">
      <w:pPr>
        <w:rPr>
          <w:rFonts w:hint="eastAsia" w:ascii="宋体" w:hAnsi="宋体" w:eastAsia="宋体" w:cs="宋体"/>
          <w:color w:val="auto"/>
          <w:highlight w:val="none"/>
        </w:rPr>
      </w:pPr>
      <w:r>
        <w:rPr>
          <w:rFonts w:hint="eastAsia" w:ascii="宋体" w:hAnsi="宋体" w:eastAsia="宋体" w:cs="宋体"/>
          <w:color w:val="auto"/>
          <w:highlight w:val="none"/>
        </w:rPr>
        <w:t>2、意见建议以书面（含传真）为准，供应商必须同时提供WORD版电子稿，并电话与公司项目联系人确认接收，否则视为供应商未提交书面意见建议。</w:t>
      </w:r>
    </w:p>
    <w:p w14:paraId="2F41400E">
      <w:pPr>
        <w:adjustRightInd w:val="0"/>
        <w:snapToGrid w:val="0"/>
        <w:spacing w:line="312" w:lineRule="auto"/>
        <w:jc w:val="center"/>
        <w:rPr>
          <w:rFonts w:hint="eastAsia" w:ascii="宋体" w:hAnsi="宋体" w:cs="宋体"/>
          <w:b/>
          <w:color w:val="auto"/>
          <w:sz w:val="36"/>
          <w:szCs w:val="36"/>
        </w:rPr>
        <w:sectPr>
          <w:headerReference r:id="rId3" w:type="default"/>
          <w:footerReference r:id="rId4" w:type="default"/>
          <w:pgSz w:w="11906" w:h="16838"/>
          <w:pgMar w:top="1236" w:right="1179" w:bottom="1236" w:left="1179" w:header="851" w:footer="992" w:gutter="0"/>
          <w:pgNumType w:start="1"/>
          <w:cols w:space="720" w:num="1"/>
          <w:docGrid w:type="lines" w:linePitch="312" w:charSpace="0"/>
        </w:sectPr>
      </w:pPr>
    </w:p>
    <w:p w14:paraId="0913B936">
      <w:pPr>
        <w:adjustRightInd w:val="0"/>
        <w:snapToGrid w:val="0"/>
        <w:spacing w:line="312" w:lineRule="auto"/>
        <w:jc w:val="center"/>
        <w:rPr>
          <w:rFonts w:hint="eastAsia" w:ascii="宋体" w:hAnsi="宋体" w:cs="宋体"/>
          <w:b/>
          <w:color w:val="auto"/>
          <w:sz w:val="36"/>
          <w:szCs w:val="36"/>
        </w:rPr>
      </w:pPr>
      <w:r>
        <w:rPr>
          <w:rFonts w:hint="eastAsia" w:ascii="宋体" w:hAnsi="宋体" w:cs="宋体"/>
          <w:b/>
          <w:color w:val="auto"/>
          <w:sz w:val="36"/>
          <w:szCs w:val="36"/>
        </w:rPr>
        <w:t>浙江农林大学暨阳学院2025年学院普通多媒体教室设备升级改造项目采购要素</w:t>
      </w:r>
    </w:p>
    <w:p w14:paraId="35CE2740">
      <w:pPr>
        <w:autoSpaceDE w:val="0"/>
        <w:autoSpaceDN w:val="0"/>
        <w:adjustRightInd w:val="0"/>
        <w:spacing w:line="312" w:lineRule="auto"/>
        <w:ind w:firstLine="482" w:firstLineChars="200"/>
        <w:rPr>
          <w:rFonts w:hint="eastAsia" w:ascii="宋体" w:hAnsi="宋体" w:cs="宋体"/>
          <w:color w:val="auto"/>
          <w:sz w:val="24"/>
        </w:rPr>
      </w:pPr>
      <w:r>
        <w:rPr>
          <w:rFonts w:hint="eastAsia" w:ascii="宋体" w:hAnsi="宋体" w:cs="宋体"/>
          <w:b/>
          <w:color w:val="auto"/>
          <w:sz w:val="24"/>
        </w:rPr>
        <w:t>一、项目名称：</w:t>
      </w:r>
      <w:r>
        <w:rPr>
          <w:rFonts w:hint="eastAsia" w:ascii="宋体" w:hAnsi="宋体" w:cs="宋体"/>
          <w:color w:val="auto"/>
          <w:sz w:val="24"/>
        </w:rPr>
        <w:t>浙江农林大学暨阳学院2025年学院普通多媒体教室设备升级改造项目</w:t>
      </w:r>
    </w:p>
    <w:p w14:paraId="1C1CDCE1">
      <w:pPr>
        <w:spacing w:line="360" w:lineRule="auto"/>
        <w:ind w:firstLine="482" w:firstLineChars="200"/>
        <w:rPr>
          <w:rFonts w:hint="eastAsia" w:ascii="宋体" w:hAnsi="宋体" w:cs="宋体"/>
          <w:color w:val="auto"/>
          <w:sz w:val="24"/>
        </w:rPr>
      </w:pPr>
      <w:r>
        <w:rPr>
          <w:rFonts w:hint="eastAsia" w:ascii="宋体" w:hAnsi="宋体" w:cs="宋体"/>
          <w:b/>
          <w:color w:val="auto"/>
          <w:sz w:val="24"/>
        </w:rPr>
        <w:t>二、项目内容及规模：</w:t>
      </w:r>
      <w:bookmarkStart w:id="0" w:name="_Hlk44573494"/>
      <w:bookmarkStart w:id="1" w:name="_Hlk44574602"/>
      <w:r>
        <w:rPr>
          <w:rFonts w:hint="eastAsia" w:ascii="宋体" w:hAnsi="宋体" w:cs="宋体"/>
          <w:color w:val="auto"/>
          <w:sz w:val="24"/>
        </w:rPr>
        <w:t>浙江农林大学暨阳学院2025年学院普通多媒体教室设备升级改造项目，</w:t>
      </w:r>
      <w:bookmarkEnd w:id="0"/>
      <w:r>
        <w:rPr>
          <w:rFonts w:hint="eastAsia" w:ascii="宋体" w:hAnsi="宋体" w:cs="宋体"/>
          <w:color w:val="auto"/>
          <w:sz w:val="24"/>
        </w:rPr>
        <w:t>预算金额为140.65万元，详见采购需求。</w:t>
      </w:r>
    </w:p>
    <w:bookmarkEnd w:id="1"/>
    <w:p w14:paraId="5E6222DE">
      <w:pPr>
        <w:adjustRightInd w:val="0"/>
        <w:snapToGrid w:val="0"/>
        <w:spacing w:line="312" w:lineRule="auto"/>
        <w:ind w:firstLine="482" w:firstLineChars="200"/>
        <w:rPr>
          <w:rFonts w:hint="eastAsia" w:ascii="宋体" w:hAnsi="宋体" w:cs="宋体"/>
          <w:b/>
          <w:color w:val="auto"/>
          <w:sz w:val="24"/>
        </w:rPr>
      </w:pPr>
      <w:r>
        <w:rPr>
          <w:rFonts w:hint="eastAsia" w:ascii="宋体" w:hAnsi="宋体" w:cs="宋体"/>
          <w:b/>
          <w:color w:val="auto"/>
          <w:sz w:val="24"/>
        </w:rPr>
        <w:t>三、投标人（供应商）资格要求：</w:t>
      </w:r>
    </w:p>
    <w:p w14:paraId="40B6E989">
      <w:pPr>
        <w:widowControl/>
        <w:wordWrap w:val="0"/>
        <w:adjustRightInd w:val="0"/>
        <w:snapToGrid w:val="0"/>
        <w:spacing w:line="324" w:lineRule="auto"/>
        <w:ind w:firstLine="480" w:firstLineChars="200"/>
        <w:jc w:val="left"/>
        <w:rPr>
          <w:rFonts w:hint="eastAsia" w:ascii="宋体" w:hAnsi="宋体" w:cs="宋体"/>
          <w:snapToGrid w:val="0"/>
          <w:color w:val="auto"/>
          <w:sz w:val="24"/>
        </w:rPr>
      </w:pPr>
      <w:r>
        <w:rPr>
          <w:rFonts w:hint="eastAsia" w:ascii="宋体" w:hAnsi="宋体" w:cs="宋体"/>
          <w:snapToGrid w:val="0"/>
          <w:color w:val="auto"/>
          <w:sz w:val="24"/>
        </w:rPr>
        <w:t>1.符合下列要求：</w:t>
      </w:r>
    </w:p>
    <w:p w14:paraId="1DC6A612">
      <w:pPr>
        <w:widowControl/>
        <w:wordWrap w:val="0"/>
        <w:adjustRightInd w:val="0"/>
        <w:snapToGrid w:val="0"/>
        <w:spacing w:line="324" w:lineRule="auto"/>
        <w:ind w:firstLine="480" w:firstLineChars="200"/>
        <w:jc w:val="left"/>
        <w:rPr>
          <w:rFonts w:hint="eastAsia" w:ascii="宋体" w:hAnsi="宋体" w:cs="宋体"/>
          <w:snapToGrid w:val="0"/>
          <w:color w:val="auto"/>
          <w:sz w:val="24"/>
        </w:rPr>
      </w:pPr>
      <w:r>
        <w:rPr>
          <w:rFonts w:hint="eastAsia" w:ascii="宋体" w:hAnsi="宋体" w:cs="宋体"/>
          <w:snapToGrid w:val="0"/>
          <w:color w:val="auto"/>
          <w:sz w:val="24"/>
        </w:rPr>
        <w:t>（1）具有独立承担民事责任的能力；</w:t>
      </w:r>
    </w:p>
    <w:p w14:paraId="1E3AE60D">
      <w:pPr>
        <w:widowControl/>
        <w:wordWrap w:val="0"/>
        <w:adjustRightInd w:val="0"/>
        <w:snapToGrid w:val="0"/>
        <w:spacing w:line="324" w:lineRule="auto"/>
        <w:ind w:firstLine="480" w:firstLineChars="200"/>
        <w:jc w:val="left"/>
        <w:rPr>
          <w:rFonts w:hint="eastAsia" w:ascii="宋体" w:hAnsi="宋体" w:cs="宋体"/>
          <w:snapToGrid w:val="0"/>
          <w:color w:val="auto"/>
          <w:sz w:val="24"/>
        </w:rPr>
      </w:pPr>
      <w:r>
        <w:rPr>
          <w:rFonts w:hint="eastAsia" w:ascii="宋体" w:hAnsi="宋体" w:cs="宋体"/>
          <w:snapToGrid w:val="0"/>
          <w:color w:val="auto"/>
          <w:sz w:val="24"/>
        </w:rPr>
        <w:t>（2）具有良好的商业信誉和健全的财务会计制度；</w:t>
      </w:r>
    </w:p>
    <w:p w14:paraId="5A0036B8">
      <w:pPr>
        <w:widowControl/>
        <w:wordWrap w:val="0"/>
        <w:adjustRightInd w:val="0"/>
        <w:snapToGrid w:val="0"/>
        <w:spacing w:line="324" w:lineRule="auto"/>
        <w:ind w:firstLine="480" w:firstLineChars="200"/>
        <w:jc w:val="left"/>
        <w:rPr>
          <w:rFonts w:hint="eastAsia" w:ascii="宋体" w:hAnsi="宋体" w:cs="宋体"/>
          <w:snapToGrid w:val="0"/>
          <w:color w:val="auto"/>
          <w:sz w:val="24"/>
        </w:rPr>
      </w:pPr>
      <w:r>
        <w:rPr>
          <w:rFonts w:hint="eastAsia" w:ascii="宋体" w:hAnsi="宋体" w:cs="宋体"/>
          <w:snapToGrid w:val="0"/>
          <w:color w:val="auto"/>
          <w:sz w:val="24"/>
        </w:rPr>
        <w:t>（3）具有履行合同所必需的设备和专业技术能力；</w:t>
      </w:r>
    </w:p>
    <w:p w14:paraId="7E50DA4B">
      <w:pPr>
        <w:widowControl/>
        <w:wordWrap w:val="0"/>
        <w:adjustRightInd w:val="0"/>
        <w:snapToGrid w:val="0"/>
        <w:spacing w:line="324" w:lineRule="auto"/>
        <w:ind w:firstLine="480" w:firstLineChars="200"/>
        <w:jc w:val="left"/>
        <w:rPr>
          <w:rFonts w:hint="eastAsia" w:ascii="宋体" w:hAnsi="宋体" w:cs="宋体"/>
          <w:snapToGrid w:val="0"/>
          <w:color w:val="auto"/>
          <w:sz w:val="24"/>
        </w:rPr>
      </w:pPr>
      <w:r>
        <w:rPr>
          <w:rFonts w:hint="eastAsia" w:ascii="宋体" w:hAnsi="宋体" w:cs="宋体"/>
          <w:snapToGrid w:val="0"/>
          <w:color w:val="auto"/>
          <w:sz w:val="24"/>
        </w:rPr>
        <w:t>（4）有依法缴纳税收和社会保障资金的良好记录；</w:t>
      </w:r>
    </w:p>
    <w:p w14:paraId="2712B5CE">
      <w:pPr>
        <w:widowControl/>
        <w:wordWrap w:val="0"/>
        <w:adjustRightInd w:val="0"/>
        <w:snapToGrid w:val="0"/>
        <w:spacing w:line="324" w:lineRule="auto"/>
        <w:ind w:firstLine="480" w:firstLineChars="200"/>
        <w:jc w:val="left"/>
        <w:rPr>
          <w:rFonts w:hint="eastAsia" w:ascii="宋体" w:hAnsi="宋体" w:cs="宋体"/>
          <w:snapToGrid w:val="0"/>
          <w:color w:val="auto"/>
          <w:sz w:val="24"/>
        </w:rPr>
      </w:pPr>
      <w:r>
        <w:rPr>
          <w:rFonts w:hint="eastAsia" w:ascii="宋体" w:hAnsi="宋体" w:cs="宋体"/>
          <w:snapToGrid w:val="0"/>
          <w:color w:val="auto"/>
          <w:sz w:val="24"/>
        </w:rPr>
        <w:t>（5）参加本次采购活动前三年内，在经营活动中没有重大违法记录；</w:t>
      </w:r>
    </w:p>
    <w:p w14:paraId="07FED038">
      <w:pPr>
        <w:widowControl/>
        <w:wordWrap w:val="0"/>
        <w:adjustRightInd w:val="0"/>
        <w:snapToGrid w:val="0"/>
        <w:spacing w:line="324" w:lineRule="auto"/>
        <w:ind w:firstLine="480" w:firstLineChars="200"/>
        <w:jc w:val="left"/>
        <w:rPr>
          <w:rFonts w:hint="eastAsia" w:ascii="宋体" w:hAnsi="宋体" w:cs="宋体"/>
          <w:snapToGrid w:val="0"/>
          <w:color w:val="auto"/>
          <w:sz w:val="24"/>
        </w:rPr>
      </w:pPr>
      <w:r>
        <w:rPr>
          <w:rFonts w:hint="eastAsia" w:ascii="宋体" w:hAnsi="宋体" w:cs="宋体"/>
          <w:snapToGrid w:val="0"/>
          <w:color w:val="auto"/>
          <w:sz w:val="24"/>
        </w:rPr>
        <w:t>（6）法律、行政法规规定的其他条件。</w:t>
      </w:r>
    </w:p>
    <w:p w14:paraId="29D4E51A">
      <w:pPr>
        <w:widowControl/>
        <w:wordWrap w:val="0"/>
        <w:adjustRightInd w:val="0"/>
        <w:snapToGrid w:val="0"/>
        <w:spacing w:line="324" w:lineRule="auto"/>
        <w:ind w:firstLine="480" w:firstLineChars="200"/>
        <w:jc w:val="left"/>
        <w:rPr>
          <w:rFonts w:hint="eastAsia" w:ascii="宋体" w:hAnsi="宋体" w:cs="宋体"/>
          <w:snapToGrid w:val="0"/>
          <w:color w:val="auto"/>
          <w:sz w:val="24"/>
        </w:rPr>
      </w:pPr>
      <w:r>
        <w:rPr>
          <w:rFonts w:hint="eastAsia" w:ascii="宋体" w:hAnsi="宋体" w:cs="宋体"/>
          <w:snapToGrid w:val="0"/>
          <w:color w:val="auto"/>
          <w:sz w:val="24"/>
        </w:rPr>
        <w:t>2.未被“信用中国”（www.creditchina.gov.cn）、中国政府采购网（www.ccgp.gov.cn）列入失信被执行人、重大税收违法失信主体、政府采购严重违法失信行为记录名单；</w:t>
      </w:r>
    </w:p>
    <w:p w14:paraId="0B50B2B2">
      <w:pPr>
        <w:autoSpaceDE w:val="0"/>
        <w:autoSpaceDN w:val="0"/>
        <w:adjustRightInd w:val="0"/>
        <w:spacing w:line="312" w:lineRule="auto"/>
        <w:ind w:firstLine="480" w:firstLineChars="200"/>
        <w:rPr>
          <w:rFonts w:hint="eastAsia" w:ascii="宋体" w:hAnsi="宋体" w:cs="宋体"/>
          <w:color w:val="auto"/>
          <w:sz w:val="24"/>
        </w:rPr>
      </w:pPr>
      <w:r>
        <w:rPr>
          <w:rFonts w:hint="eastAsia" w:ascii="宋体" w:hAnsi="宋体" w:cs="宋体"/>
          <w:snapToGrid w:val="0"/>
          <w:color w:val="auto"/>
          <w:sz w:val="24"/>
        </w:rPr>
        <w:t>3.本项目不接受联合体投标。</w:t>
      </w:r>
    </w:p>
    <w:p w14:paraId="23CF15CB">
      <w:pPr>
        <w:adjustRightInd w:val="0"/>
        <w:snapToGrid w:val="0"/>
        <w:spacing w:line="312" w:lineRule="auto"/>
        <w:ind w:firstLine="482" w:firstLineChars="200"/>
        <w:jc w:val="left"/>
        <w:rPr>
          <w:rFonts w:hint="eastAsia" w:ascii="宋体" w:hAnsi="宋体" w:cs="宋体"/>
          <w:b/>
          <w:bCs/>
          <w:color w:val="auto"/>
          <w:sz w:val="24"/>
        </w:rPr>
      </w:pPr>
      <w:r>
        <w:rPr>
          <w:rFonts w:hint="eastAsia" w:ascii="宋体" w:hAnsi="宋体" w:cs="宋体"/>
          <w:b/>
          <w:color w:val="auto"/>
          <w:sz w:val="24"/>
        </w:rPr>
        <w:t>四、评标办法：综合评分法</w:t>
      </w:r>
    </w:p>
    <w:p w14:paraId="416A883D">
      <w:pPr>
        <w:autoSpaceDE w:val="0"/>
        <w:autoSpaceDN w:val="0"/>
        <w:adjustRightInd w:val="0"/>
        <w:spacing w:line="312" w:lineRule="auto"/>
        <w:ind w:firstLine="480" w:firstLineChars="200"/>
        <w:rPr>
          <w:rFonts w:hint="eastAsia" w:ascii="宋体" w:hAnsi="宋体" w:cs="宋体"/>
          <w:color w:val="auto"/>
          <w:sz w:val="24"/>
        </w:rPr>
      </w:pPr>
      <w:r>
        <w:rPr>
          <w:rFonts w:hint="eastAsia" w:ascii="宋体" w:hAnsi="宋体" w:cs="宋体"/>
          <w:color w:val="auto"/>
          <w:sz w:val="24"/>
        </w:rPr>
        <w:t>1.满分为100分。总得分=技术得分+商务得分；</w:t>
      </w:r>
    </w:p>
    <w:p w14:paraId="26E2BE2A">
      <w:pPr>
        <w:autoSpaceDE w:val="0"/>
        <w:autoSpaceDN w:val="0"/>
        <w:adjustRightInd w:val="0"/>
        <w:spacing w:line="312" w:lineRule="auto"/>
        <w:ind w:firstLine="480" w:firstLineChars="200"/>
        <w:rPr>
          <w:rFonts w:hint="eastAsia" w:ascii="宋体" w:hAnsi="宋体" w:cs="宋体"/>
          <w:color w:val="auto"/>
          <w:sz w:val="24"/>
        </w:rPr>
      </w:pPr>
      <w:r>
        <w:rPr>
          <w:rFonts w:hint="eastAsia" w:ascii="宋体" w:hAnsi="宋体" w:cs="宋体"/>
          <w:color w:val="auto"/>
          <w:sz w:val="24"/>
        </w:rPr>
        <w:t>2.技术得分=技术评分，技术评分=所有评委的有效评分的算术平均数。</w:t>
      </w:r>
    </w:p>
    <w:p w14:paraId="1C5322FA">
      <w:pPr>
        <w:autoSpaceDE w:val="0"/>
        <w:autoSpaceDN w:val="0"/>
        <w:adjustRightInd w:val="0"/>
        <w:spacing w:line="312" w:lineRule="auto"/>
        <w:ind w:firstLine="480" w:firstLineChars="200"/>
        <w:rPr>
          <w:rFonts w:hint="eastAsia" w:ascii="宋体" w:hAnsi="宋体" w:cs="宋体"/>
          <w:color w:val="auto"/>
          <w:sz w:val="24"/>
        </w:rPr>
      </w:pPr>
      <w:r>
        <w:rPr>
          <w:rFonts w:hint="eastAsia" w:ascii="宋体" w:hAnsi="宋体" w:cs="宋体"/>
          <w:color w:val="auto"/>
          <w:sz w:val="24"/>
        </w:rPr>
        <w:t>3.商务得分=（评标基准价/投标报价）*价格权值*100，评标基准价=有效投标人的最低投标报价，价格权值=30%；</w:t>
      </w:r>
    </w:p>
    <w:p w14:paraId="78EDAA02">
      <w:pPr>
        <w:autoSpaceDE w:val="0"/>
        <w:autoSpaceDN w:val="0"/>
        <w:adjustRightInd w:val="0"/>
        <w:spacing w:line="312" w:lineRule="auto"/>
        <w:ind w:firstLine="480" w:firstLineChars="200"/>
        <w:rPr>
          <w:rFonts w:hint="eastAsia" w:ascii="宋体" w:hAnsi="宋体" w:cs="宋体"/>
          <w:color w:val="auto"/>
          <w:sz w:val="24"/>
        </w:rPr>
      </w:pPr>
      <w:r>
        <w:rPr>
          <w:rFonts w:hint="eastAsia" w:ascii="宋体" w:hAnsi="宋体" w:cs="宋体"/>
          <w:color w:val="auto"/>
          <w:sz w:val="24"/>
        </w:rPr>
        <w:t>4.技术分评分细则（70分）</w:t>
      </w:r>
    </w:p>
    <w:tbl>
      <w:tblPr>
        <w:tblStyle w:val="8"/>
        <w:tblW w:w="99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456"/>
        <w:gridCol w:w="7088"/>
        <w:gridCol w:w="744"/>
      </w:tblGrid>
      <w:tr w14:paraId="2C4907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0E69E41C">
            <w:pPr>
              <w:jc w:val="center"/>
              <w:rPr>
                <w:rFonts w:hint="eastAsia" w:ascii="宋体" w:hAnsi="宋体"/>
                <w:b/>
                <w:color w:val="auto"/>
                <w:sz w:val="24"/>
              </w:rPr>
            </w:pPr>
            <w:r>
              <w:rPr>
                <w:rFonts w:hint="eastAsia" w:ascii="宋体" w:hAnsi="宋体"/>
                <w:b/>
                <w:color w:val="auto"/>
                <w:sz w:val="24"/>
              </w:rPr>
              <w:t>序号</w:t>
            </w:r>
          </w:p>
        </w:tc>
        <w:tc>
          <w:tcPr>
            <w:tcW w:w="1456" w:type="dxa"/>
            <w:shd w:val="clear" w:color="auto" w:fill="auto"/>
            <w:vAlign w:val="center"/>
          </w:tcPr>
          <w:p w14:paraId="533B307B">
            <w:pPr>
              <w:jc w:val="center"/>
              <w:rPr>
                <w:rFonts w:ascii="宋体" w:hAnsi="宋体"/>
                <w:b/>
                <w:color w:val="auto"/>
                <w:sz w:val="24"/>
              </w:rPr>
            </w:pPr>
            <w:r>
              <w:rPr>
                <w:rFonts w:hint="eastAsia" w:ascii="宋体" w:hAnsi="宋体"/>
                <w:b/>
                <w:color w:val="auto"/>
                <w:sz w:val="24"/>
              </w:rPr>
              <w:t>项目</w:t>
            </w:r>
          </w:p>
        </w:tc>
        <w:tc>
          <w:tcPr>
            <w:tcW w:w="7088" w:type="dxa"/>
            <w:shd w:val="clear" w:color="auto" w:fill="FFFFFF"/>
            <w:vAlign w:val="center"/>
          </w:tcPr>
          <w:p w14:paraId="33F33B15">
            <w:pPr>
              <w:ind w:firstLine="241" w:firstLineChars="100"/>
              <w:jc w:val="center"/>
              <w:rPr>
                <w:rFonts w:hint="eastAsia" w:ascii="宋体" w:hAnsi="宋体"/>
                <w:b/>
                <w:bCs/>
                <w:color w:val="auto"/>
                <w:sz w:val="24"/>
              </w:rPr>
            </w:pPr>
            <w:r>
              <w:rPr>
                <w:rFonts w:hint="eastAsia" w:ascii="宋体" w:hAnsi="宋体"/>
                <w:b/>
                <w:color w:val="auto"/>
                <w:sz w:val="24"/>
              </w:rPr>
              <w:t>评分标准</w:t>
            </w:r>
          </w:p>
        </w:tc>
        <w:tc>
          <w:tcPr>
            <w:tcW w:w="744" w:type="dxa"/>
            <w:vAlign w:val="center"/>
          </w:tcPr>
          <w:p w14:paraId="44C32947">
            <w:pPr>
              <w:jc w:val="center"/>
              <w:rPr>
                <w:rFonts w:hint="eastAsia" w:ascii="宋体" w:hAnsi="宋体"/>
                <w:b/>
                <w:color w:val="auto"/>
                <w:sz w:val="24"/>
              </w:rPr>
            </w:pPr>
            <w:r>
              <w:rPr>
                <w:rFonts w:ascii="宋体" w:hAnsi="宋体"/>
                <w:b/>
                <w:color w:val="auto"/>
                <w:sz w:val="24"/>
              </w:rPr>
              <w:t>分值</w:t>
            </w:r>
          </w:p>
        </w:tc>
      </w:tr>
      <w:tr w14:paraId="056D8E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577A3300">
            <w:pPr>
              <w:spacing w:line="300" w:lineRule="auto"/>
              <w:jc w:val="center"/>
              <w:rPr>
                <w:rFonts w:hint="eastAsia" w:ascii="宋体" w:hAnsi="宋体"/>
                <w:b/>
                <w:color w:val="auto"/>
                <w:sz w:val="24"/>
              </w:rPr>
            </w:pPr>
            <w:r>
              <w:rPr>
                <w:rFonts w:hint="eastAsia" w:ascii="宋体" w:hAnsi="宋体"/>
                <w:b/>
                <w:color w:val="auto"/>
                <w:sz w:val="24"/>
              </w:rPr>
              <w:t>1</w:t>
            </w:r>
          </w:p>
        </w:tc>
        <w:tc>
          <w:tcPr>
            <w:tcW w:w="1456" w:type="dxa"/>
            <w:shd w:val="clear" w:color="auto" w:fill="auto"/>
            <w:vAlign w:val="center"/>
          </w:tcPr>
          <w:p w14:paraId="06036F27">
            <w:pPr>
              <w:spacing w:line="300" w:lineRule="auto"/>
              <w:jc w:val="center"/>
              <w:rPr>
                <w:rFonts w:hint="eastAsia" w:ascii="宋体" w:hAnsi="宋体"/>
                <w:b/>
                <w:color w:val="auto"/>
                <w:sz w:val="24"/>
              </w:rPr>
            </w:pPr>
            <w:r>
              <w:rPr>
                <w:rFonts w:ascii="宋体" w:hAnsi="宋体"/>
                <w:b/>
                <w:color w:val="auto"/>
                <w:sz w:val="24"/>
              </w:rPr>
              <w:t>投标人资信</w:t>
            </w:r>
          </w:p>
        </w:tc>
        <w:tc>
          <w:tcPr>
            <w:tcW w:w="7088" w:type="dxa"/>
            <w:shd w:val="clear" w:color="auto" w:fill="FFFFFF"/>
            <w:vAlign w:val="center"/>
          </w:tcPr>
          <w:p w14:paraId="4CCBF113">
            <w:pPr>
              <w:spacing w:line="300" w:lineRule="auto"/>
              <w:rPr>
                <w:rFonts w:hint="eastAsia" w:ascii="宋体" w:hAnsi="宋体"/>
                <w:color w:val="auto"/>
                <w:sz w:val="24"/>
              </w:rPr>
            </w:pPr>
            <w:r>
              <w:rPr>
                <w:rFonts w:hint="eastAsia" w:ascii="宋体" w:hAnsi="宋体"/>
                <w:color w:val="auto"/>
                <w:sz w:val="24"/>
              </w:rPr>
              <w:t>投标人具有有效的质量管理体系认证证书、环境管理体系认证证书、职业健康安全管理体系认证证书、售后服务能力认证证书、信息技术服务管理体系认证证书，每提供一个证书得1分，最多得5分。</w:t>
            </w:r>
          </w:p>
          <w:p w14:paraId="46EC51CD">
            <w:pPr>
              <w:spacing w:line="300" w:lineRule="auto"/>
              <w:rPr>
                <w:rFonts w:hint="eastAsia" w:ascii="宋体" w:hAnsi="宋体"/>
                <w:color w:val="auto"/>
                <w:sz w:val="24"/>
              </w:rPr>
            </w:pPr>
            <w:r>
              <w:rPr>
                <w:rFonts w:hint="eastAsia" w:ascii="宋体" w:hAnsi="宋体"/>
                <w:b/>
                <w:bCs/>
                <w:color w:val="auto"/>
                <w:sz w:val="24"/>
              </w:rPr>
              <w:t>注：技术文件中需提供有效期内证书复印件及国家认证认可监督管理委员会官网（http://www.cnca.gov.cn/）查询截图并加盖投标人公章，不提供或提供不齐全不得分。</w:t>
            </w:r>
          </w:p>
        </w:tc>
        <w:tc>
          <w:tcPr>
            <w:tcW w:w="744" w:type="dxa"/>
            <w:vAlign w:val="center"/>
          </w:tcPr>
          <w:p w14:paraId="730AEE86">
            <w:pPr>
              <w:spacing w:line="300" w:lineRule="auto"/>
              <w:jc w:val="center"/>
              <w:rPr>
                <w:rFonts w:hint="eastAsia" w:ascii="宋体" w:hAnsi="宋体"/>
                <w:b/>
                <w:color w:val="auto"/>
                <w:sz w:val="24"/>
              </w:rPr>
            </w:pPr>
            <w:r>
              <w:rPr>
                <w:rFonts w:hint="eastAsia" w:ascii="宋体" w:hAnsi="宋体"/>
                <w:b/>
                <w:color w:val="auto"/>
                <w:sz w:val="24"/>
              </w:rPr>
              <w:t>5分</w:t>
            </w:r>
          </w:p>
        </w:tc>
      </w:tr>
      <w:tr w14:paraId="77FC6F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57086B54">
            <w:pPr>
              <w:spacing w:line="300" w:lineRule="auto"/>
              <w:jc w:val="center"/>
              <w:rPr>
                <w:rFonts w:hint="eastAsia" w:ascii="宋体" w:hAnsi="宋体"/>
                <w:b/>
                <w:color w:val="auto"/>
                <w:sz w:val="24"/>
              </w:rPr>
            </w:pPr>
            <w:r>
              <w:rPr>
                <w:rFonts w:hint="eastAsia" w:ascii="宋体" w:hAnsi="宋体"/>
                <w:b/>
                <w:color w:val="auto"/>
                <w:sz w:val="24"/>
              </w:rPr>
              <w:t>2</w:t>
            </w:r>
          </w:p>
        </w:tc>
        <w:tc>
          <w:tcPr>
            <w:tcW w:w="1456" w:type="dxa"/>
            <w:shd w:val="clear" w:color="auto" w:fill="auto"/>
            <w:vAlign w:val="center"/>
          </w:tcPr>
          <w:p w14:paraId="790A4A7B">
            <w:pPr>
              <w:spacing w:line="300" w:lineRule="auto"/>
              <w:jc w:val="center"/>
              <w:rPr>
                <w:rFonts w:hint="eastAsia" w:ascii="宋体" w:hAnsi="宋体"/>
                <w:b/>
                <w:color w:val="auto"/>
                <w:sz w:val="24"/>
              </w:rPr>
            </w:pPr>
            <w:r>
              <w:rPr>
                <w:rFonts w:ascii="宋体" w:hAnsi="宋体"/>
                <w:b/>
                <w:color w:val="auto"/>
                <w:sz w:val="24"/>
              </w:rPr>
              <w:t>质保期</w:t>
            </w:r>
          </w:p>
        </w:tc>
        <w:tc>
          <w:tcPr>
            <w:tcW w:w="7088" w:type="dxa"/>
            <w:shd w:val="clear" w:color="auto" w:fill="FFFFFF"/>
            <w:vAlign w:val="center"/>
          </w:tcPr>
          <w:p w14:paraId="1AD85024">
            <w:pPr>
              <w:spacing w:line="300" w:lineRule="auto"/>
              <w:rPr>
                <w:rFonts w:hint="eastAsia" w:ascii="宋体" w:hAnsi="宋体"/>
                <w:color w:val="auto"/>
                <w:sz w:val="24"/>
              </w:rPr>
            </w:pPr>
            <w:r>
              <w:rPr>
                <w:rFonts w:hint="eastAsia" w:ascii="宋体" w:hAnsi="宋体"/>
                <w:color w:val="auto"/>
                <w:sz w:val="24"/>
              </w:rPr>
              <w:t>在招标文件要求的原厂质保3</w:t>
            </w:r>
            <w:r>
              <w:rPr>
                <w:rFonts w:ascii="宋体" w:hAnsi="宋体"/>
                <w:color w:val="auto"/>
                <w:sz w:val="24"/>
              </w:rPr>
              <w:t>年基础上，承诺质保期每延长1年得1分，最高得2分。</w:t>
            </w:r>
          </w:p>
          <w:p w14:paraId="77872780">
            <w:pPr>
              <w:spacing w:line="300" w:lineRule="auto"/>
              <w:rPr>
                <w:rFonts w:hint="eastAsia" w:ascii="宋体" w:hAnsi="宋体" w:cs="宋体"/>
                <w:color w:val="auto"/>
                <w:sz w:val="24"/>
              </w:rPr>
            </w:pPr>
            <w:r>
              <w:rPr>
                <w:rFonts w:hint="eastAsia" w:ascii="宋体" w:hAnsi="宋体"/>
                <w:b/>
                <w:bCs/>
                <w:color w:val="auto"/>
                <w:sz w:val="24"/>
              </w:rPr>
              <w:t>注：技术文件中提供相关承诺函（格式自拟）并加盖投标人及设备生产厂家公章，不提供或提供不齐全不得分。</w:t>
            </w:r>
          </w:p>
        </w:tc>
        <w:tc>
          <w:tcPr>
            <w:tcW w:w="744" w:type="dxa"/>
            <w:vAlign w:val="center"/>
          </w:tcPr>
          <w:p w14:paraId="17036312">
            <w:pPr>
              <w:spacing w:line="300" w:lineRule="auto"/>
              <w:jc w:val="center"/>
              <w:rPr>
                <w:rFonts w:hint="eastAsia" w:ascii="宋体" w:hAnsi="宋体"/>
                <w:b/>
                <w:color w:val="auto"/>
                <w:sz w:val="24"/>
              </w:rPr>
            </w:pPr>
            <w:r>
              <w:rPr>
                <w:rFonts w:hint="eastAsia" w:ascii="宋体" w:hAnsi="宋体"/>
                <w:b/>
                <w:color w:val="auto"/>
                <w:sz w:val="24"/>
              </w:rPr>
              <w:t>2分</w:t>
            </w:r>
          </w:p>
        </w:tc>
      </w:tr>
      <w:tr w14:paraId="27D113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2A5D9389">
            <w:pPr>
              <w:spacing w:line="300" w:lineRule="auto"/>
              <w:jc w:val="center"/>
              <w:rPr>
                <w:rFonts w:hint="eastAsia" w:ascii="宋体" w:hAnsi="宋体"/>
                <w:b/>
                <w:color w:val="auto"/>
                <w:sz w:val="24"/>
              </w:rPr>
            </w:pPr>
            <w:r>
              <w:rPr>
                <w:rFonts w:hint="eastAsia" w:ascii="宋体" w:hAnsi="宋体"/>
                <w:b/>
                <w:color w:val="auto"/>
                <w:sz w:val="24"/>
              </w:rPr>
              <w:t>3</w:t>
            </w:r>
          </w:p>
        </w:tc>
        <w:tc>
          <w:tcPr>
            <w:tcW w:w="1456" w:type="dxa"/>
            <w:shd w:val="clear" w:color="auto" w:fill="auto"/>
            <w:vAlign w:val="center"/>
          </w:tcPr>
          <w:p w14:paraId="62F1C59C">
            <w:pPr>
              <w:spacing w:line="300" w:lineRule="auto"/>
              <w:jc w:val="center"/>
              <w:rPr>
                <w:rFonts w:hint="eastAsia" w:ascii="宋体" w:hAnsi="宋体"/>
                <w:b/>
                <w:color w:val="auto"/>
                <w:sz w:val="24"/>
              </w:rPr>
            </w:pPr>
            <w:r>
              <w:rPr>
                <w:rFonts w:ascii="宋体" w:hAnsi="宋体"/>
                <w:b/>
                <w:color w:val="auto"/>
                <w:sz w:val="24"/>
              </w:rPr>
              <w:t>业绩</w:t>
            </w:r>
          </w:p>
        </w:tc>
        <w:tc>
          <w:tcPr>
            <w:tcW w:w="7088" w:type="dxa"/>
            <w:shd w:val="clear" w:color="auto" w:fill="FFFFFF"/>
            <w:vAlign w:val="center"/>
          </w:tcPr>
          <w:p w14:paraId="7036DF84">
            <w:pPr>
              <w:spacing w:line="300" w:lineRule="auto"/>
              <w:rPr>
                <w:rFonts w:hint="eastAsia" w:ascii="宋体" w:hAnsi="宋体" w:cs="宋体"/>
                <w:bCs/>
                <w:color w:val="auto"/>
                <w:sz w:val="24"/>
              </w:rPr>
            </w:pPr>
            <w:r>
              <w:rPr>
                <w:rFonts w:hint="eastAsia" w:ascii="宋体" w:hAnsi="宋体"/>
                <w:color w:val="auto"/>
                <w:sz w:val="24"/>
              </w:rPr>
              <w:t>投标人自2022年1月1日以来（以合同签订时间为准），具有同类项目业绩（以同时提供的完整合同复印件为准）， 每提供1份项目业绩得1分，最高得3分。</w:t>
            </w:r>
          </w:p>
          <w:p w14:paraId="0429AFBC">
            <w:pPr>
              <w:spacing w:line="300" w:lineRule="auto"/>
              <w:rPr>
                <w:rFonts w:hint="eastAsia" w:ascii="宋体" w:hAnsi="宋体" w:cs="宋体"/>
                <w:bCs/>
                <w:color w:val="auto"/>
                <w:sz w:val="24"/>
              </w:rPr>
            </w:pPr>
            <w:r>
              <w:rPr>
                <w:rFonts w:hint="eastAsia" w:ascii="宋体" w:hAnsi="宋体" w:cs="宋体"/>
                <w:b/>
                <w:color w:val="auto"/>
                <w:sz w:val="24"/>
              </w:rPr>
              <w:t>注：投标文件中需提供合同（包括但不限于合同内容、双方签字盖章、签署时间；若合同内容不能体现相关信息的，还需提供合同业主盖章的证明材料）复印件并加盖投标人公章，否则不得分；时间认定以合同签订时间为准。</w:t>
            </w:r>
          </w:p>
        </w:tc>
        <w:tc>
          <w:tcPr>
            <w:tcW w:w="744" w:type="dxa"/>
            <w:vAlign w:val="center"/>
          </w:tcPr>
          <w:p w14:paraId="4E477E9C">
            <w:pPr>
              <w:spacing w:line="300" w:lineRule="auto"/>
              <w:jc w:val="center"/>
              <w:rPr>
                <w:rFonts w:hint="eastAsia" w:ascii="宋体" w:hAnsi="宋体"/>
                <w:b/>
                <w:color w:val="auto"/>
                <w:sz w:val="24"/>
              </w:rPr>
            </w:pPr>
            <w:r>
              <w:rPr>
                <w:rFonts w:hint="eastAsia" w:ascii="宋体" w:hAnsi="宋体"/>
                <w:b/>
                <w:color w:val="auto"/>
                <w:sz w:val="24"/>
              </w:rPr>
              <w:t>3分</w:t>
            </w:r>
          </w:p>
        </w:tc>
      </w:tr>
      <w:tr w14:paraId="553047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2B243F05">
            <w:pPr>
              <w:spacing w:line="300" w:lineRule="auto"/>
              <w:jc w:val="center"/>
              <w:rPr>
                <w:rFonts w:hint="eastAsia" w:ascii="宋体" w:hAnsi="宋体"/>
                <w:b/>
                <w:color w:val="auto"/>
                <w:sz w:val="24"/>
              </w:rPr>
            </w:pPr>
            <w:r>
              <w:rPr>
                <w:rFonts w:hint="eastAsia" w:ascii="宋体" w:hAnsi="宋体"/>
                <w:b/>
                <w:color w:val="auto"/>
                <w:sz w:val="24"/>
              </w:rPr>
              <w:t>4</w:t>
            </w:r>
          </w:p>
        </w:tc>
        <w:tc>
          <w:tcPr>
            <w:tcW w:w="1456" w:type="dxa"/>
            <w:shd w:val="clear" w:color="auto" w:fill="auto"/>
            <w:vAlign w:val="center"/>
          </w:tcPr>
          <w:p w14:paraId="28926C19">
            <w:pPr>
              <w:spacing w:line="300" w:lineRule="auto"/>
              <w:jc w:val="center"/>
              <w:rPr>
                <w:rFonts w:hint="eastAsia" w:ascii="宋体" w:hAnsi="宋体" w:cs="宋体"/>
                <w:b/>
                <w:bCs/>
                <w:color w:val="auto"/>
                <w:sz w:val="24"/>
              </w:rPr>
            </w:pPr>
            <w:r>
              <w:rPr>
                <w:rFonts w:ascii="宋体" w:hAnsi="宋体" w:cs="宋体"/>
                <w:b/>
                <w:bCs/>
                <w:color w:val="auto"/>
                <w:sz w:val="24"/>
              </w:rPr>
              <w:t>投标产品的响应程度</w:t>
            </w:r>
          </w:p>
        </w:tc>
        <w:tc>
          <w:tcPr>
            <w:tcW w:w="7088" w:type="dxa"/>
            <w:shd w:val="clear" w:color="auto" w:fill="FFFFFF"/>
            <w:vAlign w:val="center"/>
          </w:tcPr>
          <w:p w14:paraId="379AC0B6">
            <w:pPr>
              <w:widowControl/>
              <w:spacing w:line="288" w:lineRule="auto"/>
              <w:jc w:val="left"/>
              <w:rPr>
                <w:rFonts w:hint="eastAsia" w:ascii="宋体" w:hAnsi="宋体" w:cs="宋体"/>
                <w:snapToGrid w:val="0"/>
                <w:color w:val="auto"/>
                <w:kern w:val="0"/>
              </w:rPr>
            </w:pPr>
            <w:r>
              <w:rPr>
                <w:rFonts w:hint="eastAsia" w:ascii="宋体" w:hAnsi="宋体" w:cs="宋体"/>
                <w:snapToGrid w:val="0"/>
                <w:color w:val="auto"/>
                <w:kern w:val="0"/>
                <w:sz w:val="24"/>
              </w:rPr>
              <w:t>根据投标产品的技术要求是否符合招标文件性能参数要求及符合程度进行评价。</w:t>
            </w:r>
          </w:p>
          <w:p w14:paraId="1F5EB4D4">
            <w:pPr>
              <w:spacing w:line="360" w:lineRule="exact"/>
              <w:rPr>
                <w:rFonts w:hint="eastAsia" w:asciiTheme="minorEastAsia" w:hAnsiTheme="minorEastAsia" w:eastAsiaTheme="minorEastAsia" w:cstheme="minorEastAsia"/>
                <w:color w:val="auto"/>
                <w:sz w:val="24"/>
              </w:rPr>
            </w:pPr>
            <w:r>
              <w:rPr>
                <w:rFonts w:hint="eastAsia" w:ascii="宋体" w:hAnsi="宋体"/>
                <w:color w:val="auto"/>
                <w:sz w:val="24"/>
                <w:lang w:val="en-US" w:eastAsia="zh-CN"/>
              </w:rPr>
              <w:t>1</w:t>
            </w:r>
            <w:r>
              <w:rPr>
                <w:rFonts w:hint="eastAsia" w:ascii="宋体" w:hAnsi="宋体"/>
                <w:color w:val="auto"/>
                <w:sz w:val="24"/>
              </w:rPr>
              <w:t>）带</w:t>
            </w:r>
            <w:r>
              <w:rPr>
                <w:rFonts w:hint="eastAsia" w:ascii="宋体" w:hAnsi="宋体" w:cs="宋体"/>
                <w:color w:val="auto"/>
                <w:sz w:val="24"/>
              </w:rPr>
              <w:t>▲</w:t>
            </w:r>
            <w:r>
              <w:rPr>
                <w:rFonts w:hint="eastAsia" w:ascii="宋体" w:hAnsi="宋体"/>
                <w:color w:val="auto"/>
                <w:sz w:val="24"/>
              </w:rPr>
              <w:t>号</w:t>
            </w:r>
            <w:r>
              <w:rPr>
                <w:rFonts w:hint="eastAsia" w:asciiTheme="minorEastAsia" w:hAnsiTheme="minorEastAsia" w:eastAsiaTheme="minorEastAsia" w:cstheme="minorEastAsia"/>
                <w:color w:val="auto"/>
                <w:sz w:val="24"/>
              </w:rPr>
              <w:t>重要指标响应情况（共1</w:t>
            </w:r>
            <w:r>
              <w:rPr>
                <w:rFonts w:hint="eastAsia" w:asciiTheme="minorEastAsia" w:hAnsiTheme="minorEastAsia" w:eastAsiaTheme="minorEastAsia" w:cstheme="minorEastAsia"/>
                <w:color w:val="auto"/>
                <w:sz w:val="24"/>
                <w:lang w:val="en-US" w:eastAsia="zh-CN"/>
              </w:rPr>
              <w:t>7</w:t>
            </w:r>
            <w:r>
              <w:rPr>
                <w:rFonts w:hint="eastAsia" w:asciiTheme="minorEastAsia" w:hAnsiTheme="minorEastAsia" w:eastAsiaTheme="minorEastAsia" w:cstheme="minorEastAsia"/>
                <w:color w:val="auto"/>
                <w:sz w:val="24"/>
              </w:rPr>
              <w:t>项，满分1</w:t>
            </w:r>
            <w:r>
              <w:rPr>
                <w:rFonts w:hint="eastAsia" w:asciiTheme="minorEastAsia" w:hAnsiTheme="minorEastAsia" w:eastAsiaTheme="minorEastAsia" w:cstheme="minorEastAsia"/>
                <w:color w:val="auto"/>
                <w:sz w:val="24"/>
                <w:lang w:val="en-US" w:eastAsia="zh-CN"/>
              </w:rPr>
              <w:t>7</w:t>
            </w:r>
            <w:r>
              <w:rPr>
                <w:rFonts w:hint="eastAsia" w:asciiTheme="minorEastAsia" w:hAnsiTheme="minorEastAsia" w:eastAsiaTheme="minorEastAsia" w:cstheme="minorEastAsia"/>
                <w:color w:val="auto"/>
                <w:sz w:val="24"/>
              </w:rPr>
              <w:t>分）：完全满足招标文件要求的带</w:t>
            </w:r>
            <w:r>
              <w:rPr>
                <w:rFonts w:hint="eastAsia" w:ascii="宋体" w:hAnsi="宋体" w:cs="宋体"/>
                <w:color w:val="auto"/>
                <w:sz w:val="24"/>
              </w:rPr>
              <w:t>▲</w:t>
            </w:r>
            <w:r>
              <w:rPr>
                <w:rFonts w:hint="eastAsia" w:asciiTheme="minorEastAsia" w:hAnsiTheme="minorEastAsia" w:eastAsiaTheme="minorEastAsia" w:cstheme="minorEastAsia"/>
                <w:color w:val="auto"/>
                <w:sz w:val="24"/>
              </w:rPr>
              <w:t>技术指标</w:t>
            </w:r>
            <w:r>
              <w:rPr>
                <w:rFonts w:hint="eastAsia" w:ascii="宋体" w:hAnsi="宋体" w:cs="宋体"/>
                <w:snapToGrid w:val="0"/>
                <w:color w:val="auto"/>
                <w:kern w:val="0"/>
                <w:sz w:val="24"/>
              </w:rPr>
              <w:t>性能参数</w:t>
            </w:r>
            <w:r>
              <w:rPr>
                <w:rFonts w:hint="eastAsia" w:asciiTheme="minorEastAsia" w:hAnsiTheme="minorEastAsia" w:eastAsiaTheme="minorEastAsia" w:cstheme="minorEastAsia"/>
                <w:color w:val="auto"/>
                <w:sz w:val="24"/>
              </w:rPr>
              <w:t>的得1</w:t>
            </w:r>
            <w:r>
              <w:rPr>
                <w:rFonts w:hint="eastAsia" w:asciiTheme="minorEastAsia" w:hAnsiTheme="minorEastAsia" w:eastAsiaTheme="minorEastAsia" w:cstheme="minorEastAsia"/>
                <w:color w:val="auto"/>
                <w:sz w:val="24"/>
                <w:lang w:val="en-US" w:eastAsia="zh-CN"/>
              </w:rPr>
              <w:t>7</w:t>
            </w:r>
            <w:r>
              <w:rPr>
                <w:rFonts w:hint="eastAsia" w:asciiTheme="minorEastAsia" w:hAnsiTheme="minorEastAsia" w:eastAsiaTheme="minorEastAsia" w:cstheme="minorEastAsia"/>
                <w:color w:val="auto"/>
                <w:sz w:val="24"/>
              </w:rPr>
              <w:t>分，有负偏离或不响应的每项扣1分，扣完为止。</w:t>
            </w:r>
          </w:p>
          <w:p w14:paraId="64BE239F">
            <w:pPr>
              <w:spacing w:line="36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）一般指标响应情况（满分4分）：完全满足招标文件一般技术指标参数的得4分；有负偏离或不响应：1-3项的得3分，3-6项的得2分，6-9项的得1分；10项及以上的得0分。</w:t>
            </w:r>
          </w:p>
          <w:p w14:paraId="626FDA15">
            <w:pPr>
              <w:spacing w:line="300" w:lineRule="auto"/>
              <w:rPr>
                <w:rFonts w:hint="eastAsia" w:ascii="宋体" w:hAnsi="宋体"/>
                <w:b/>
                <w:color w:val="auto"/>
                <w:sz w:val="24"/>
              </w:rPr>
            </w:pPr>
            <w:r>
              <w:rPr>
                <w:rFonts w:hint="eastAsia" w:asciiTheme="minorEastAsia" w:hAnsiTheme="minorEastAsia" w:eastAsiaTheme="minorEastAsia" w:cstheme="minorEastAsia"/>
                <w:b/>
                <w:bCs/>
                <w:color w:val="auto"/>
                <w:sz w:val="24"/>
              </w:rPr>
              <w:t>注：</w:t>
            </w:r>
            <w:r>
              <w:rPr>
                <w:rFonts w:hint="eastAsia" w:ascii="宋体" w:hAnsi="宋体" w:cs="宋体"/>
                <w:b/>
                <w:bCs/>
                <w:snapToGrid w:val="0"/>
                <w:color w:val="auto"/>
                <w:kern w:val="0"/>
                <w:sz w:val="24"/>
              </w:rPr>
              <w:t>需提供技术偏离表并加盖投标人签章，否则不得分。</w:t>
            </w:r>
            <w:r>
              <w:rPr>
                <w:rFonts w:hint="eastAsia" w:asciiTheme="minorEastAsia" w:hAnsiTheme="minorEastAsia" w:eastAsiaTheme="minorEastAsia" w:cstheme="minorEastAsia"/>
                <w:b/>
                <w:bCs/>
                <w:color w:val="auto"/>
                <w:sz w:val="24"/>
              </w:rPr>
              <w:t>性能参数中要求提供报告、证书、说明等佐证材料的，如未提供则视作负偏离，</w:t>
            </w:r>
            <w:r>
              <w:rPr>
                <w:rFonts w:hint="eastAsia" w:ascii="宋体" w:hAnsi="宋体"/>
                <w:b/>
                <w:color w:val="auto"/>
                <w:sz w:val="24"/>
              </w:rPr>
              <w:t>技术偏离表技术要求中响应规格与技术支持资料不一致的经评标委员会讨论后可被认定为负偏离。</w:t>
            </w:r>
          </w:p>
        </w:tc>
        <w:tc>
          <w:tcPr>
            <w:tcW w:w="744" w:type="dxa"/>
            <w:vAlign w:val="center"/>
          </w:tcPr>
          <w:p w14:paraId="780E3C68">
            <w:pPr>
              <w:spacing w:line="300" w:lineRule="auto"/>
              <w:jc w:val="center"/>
              <w:rPr>
                <w:rFonts w:hint="eastAsia" w:ascii="宋体" w:hAnsi="宋体" w:cs="宋体"/>
                <w:b/>
                <w:color w:val="auto"/>
                <w:sz w:val="24"/>
              </w:rPr>
            </w:pPr>
            <w:r>
              <w:rPr>
                <w:rFonts w:hint="eastAsia" w:ascii="宋体" w:hAnsi="宋体" w:cs="宋体"/>
                <w:b/>
                <w:color w:val="auto"/>
                <w:sz w:val="24"/>
              </w:rPr>
              <w:t>2</w:t>
            </w:r>
            <w:r>
              <w:rPr>
                <w:rFonts w:hint="eastAsia" w:ascii="宋体" w:hAnsi="宋体" w:cs="宋体"/>
                <w:b/>
                <w:color w:val="auto"/>
                <w:sz w:val="24"/>
                <w:lang w:val="en-US" w:eastAsia="zh-CN"/>
              </w:rPr>
              <w:t>1</w:t>
            </w:r>
            <w:r>
              <w:rPr>
                <w:rFonts w:hint="eastAsia" w:ascii="宋体" w:hAnsi="宋体" w:cs="宋体"/>
                <w:b/>
                <w:color w:val="auto"/>
                <w:sz w:val="24"/>
              </w:rPr>
              <w:t>分</w:t>
            </w:r>
          </w:p>
        </w:tc>
      </w:tr>
      <w:tr w14:paraId="2FD81B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574EE306">
            <w:pPr>
              <w:spacing w:line="300" w:lineRule="auto"/>
              <w:jc w:val="center"/>
              <w:rPr>
                <w:rFonts w:hint="eastAsia" w:ascii="宋体" w:hAnsi="宋体"/>
                <w:b/>
                <w:color w:val="auto"/>
                <w:sz w:val="24"/>
              </w:rPr>
            </w:pPr>
            <w:r>
              <w:rPr>
                <w:rFonts w:hint="eastAsia" w:ascii="宋体" w:hAnsi="宋体"/>
                <w:b/>
                <w:color w:val="auto"/>
                <w:sz w:val="24"/>
              </w:rPr>
              <w:t>5</w:t>
            </w:r>
          </w:p>
        </w:tc>
        <w:tc>
          <w:tcPr>
            <w:tcW w:w="1456" w:type="dxa"/>
            <w:shd w:val="clear" w:color="auto" w:fill="auto"/>
            <w:vAlign w:val="center"/>
          </w:tcPr>
          <w:p w14:paraId="08682F88">
            <w:pPr>
              <w:spacing w:line="300" w:lineRule="auto"/>
              <w:jc w:val="center"/>
              <w:rPr>
                <w:rFonts w:hint="eastAsia" w:ascii="宋体" w:hAnsi="宋体" w:cs="宋体"/>
                <w:b/>
                <w:bCs/>
                <w:color w:val="auto"/>
                <w:sz w:val="24"/>
              </w:rPr>
            </w:pPr>
            <w:r>
              <w:rPr>
                <w:rFonts w:hint="eastAsia" w:ascii="宋体" w:hAnsi="宋体" w:cs="宋体"/>
                <w:b/>
                <w:bCs/>
                <w:color w:val="auto"/>
                <w:sz w:val="24"/>
              </w:rPr>
              <w:t>技术方案</w:t>
            </w:r>
          </w:p>
        </w:tc>
        <w:tc>
          <w:tcPr>
            <w:tcW w:w="7088" w:type="dxa"/>
            <w:shd w:val="clear" w:color="auto" w:fill="FFFFFF"/>
            <w:vAlign w:val="center"/>
          </w:tcPr>
          <w:p w14:paraId="1FF4196C">
            <w:pPr>
              <w:spacing w:line="300" w:lineRule="auto"/>
              <w:rPr>
                <w:rFonts w:hint="eastAsia" w:ascii="宋体" w:hAnsi="宋体"/>
                <w:color w:val="auto"/>
                <w:sz w:val="24"/>
              </w:rPr>
            </w:pPr>
            <w:r>
              <w:rPr>
                <w:rFonts w:hint="eastAsia" w:ascii="宋体" w:hAnsi="宋体" w:cs="宋体"/>
                <w:bCs/>
                <w:color w:val="auto"/>
                <w:sz w:val="24"/>
              </w:rPr>
              <w:t>根据投标人对本项目提供的</w:t>
            </w:r>
            <w:r>
              <w:rPr>
                <w:rFonts w:hint="eastAsia" w:ascii="宋体" w:hAnsi="宋体"/>
                <w:color w:val="auto"/>
                <w:sz w:val="24"/>
              </w:rPr>
              <w:t>总体设计方案进行打分：</w:t>
            </w:r>
          </w:p>
          <w:p w14:paraId="4BF97151">
            <w:pPr>
              <w:spacing w:line="300" w:lineRule="auto"/>
              <w:rPr>
                <w:rFonts w:hint="eastAsia" w:ascii="宋体" w:hAnsi="宋体"/>
                <w:color w:val="auto"/>
                <w:sz w:val="24"/>
              </w:rPr>
            </w:pPr>
            <w:r>
              <w:rPr>
                <w:rFonts w:hint="eastAsia" w:ascii="宋体" w:hAnsi="宋体"/>
                <w:color w:val="auto"/>
                <w:sz w:val="24"/>
              </w:rPr>
              <w:t>方案全面清晰，操作性强，完全满足项目实施要求得5分；</w:t>
            </w:r>
          </w:p>
          <w:p w14:paraId="1A53D2F8">
            <w:pPr>
              <w:spacing w:line="300" w:lineRule="auto"/>
              <w:rPr>
                <w:rFonts w:hint="eastAsia" w:ascii="宋体" w:hAnsi="宋体"/>
                <w:color w:val="auto"/>
                <w:sz w:val="24"/>
              </w:rPr>
            </w:pPr>
            <w:r>
              <w:rPr>
                <w:rFonts w:hint="eastAsia" w:ascii="宋体" w:hAnsi="宋体"/>
                <w:color w:val="auto"/>
                <w:sz w:val="24"/>
              </w:rPr>
              <w:t>方案简单但基本也满足采购需求得3分；</w:t>
            </w:r>
          </w:p>
          <w:p w14:paraId="1FED698A">
            <w:pPr>
              <w:spacing w:line="300" w:lineRule="auto"/>
              <w:rPr>
                <w:rFonts w:hint="eastAsia" w:ascii="宋体" w:hAnsi="宋体"/>
                <w:color w:val="auto"/>
                <w:sz w:val="24"/>
              </w:rPr>
            </w:pPr>
            <w:r>
              <w:rPr>
                <w:rFonts w:hint="eastAsia" w:ascii="宋体" w:hAnsi="宋体"/>
                <w:color w:val="auto"/>
                <w:sz w:val="24"/>
              </w:rPr>
              <w:t>方案略有欠缺得1分；</w:t>
            </w:r>
          </w:p>
          <w:p w14:paraId="728013BB">
            <w:pPr>
              <w:spacing w:line="300" w:lineRule="auto"/>
              <w:rPr>
                <w:rFonts w:hint="eastAsia" w:ascii="宋体" w:hAnsi="宋体"/>
                <w:color w:val="auto"/>
                <w:sz w:val="24"/>
              </w:rPr>
            </w:pPr>
            <w:r>
              <w:rPr>
                <w:rFonts w:hint="eastAsia" w:ascii="宋体" w:hAnsi="宋体"/>
                <w:color w:val="auto"/>
                <w:sz w:val="24"/>
              </w:rPr>
              <w:t>未提供本项内容不得分。</w:t>
            </w:r>
          </w:p>
        </w:tc>
        <w:tc>
          <w:tcPr>
            <w:tcW w:w="744" w:type="dxa"/>
            <w:vAlign w:val="center"/>
          </w:tcPr>
          <w:p w14:paraId="3681E26C">
            <w:pPr>
              <w:spacing w:line="300" w:lineRule="auto"/>
              <w:jc w:val="center"/>
              <w:rPr>
                <w:rFonts w:hint="eastAsia" w:ascii="宋体" w:hAnsi="宋体" w:cs="宋体"/>
                <w:b/>
                <w:color w:val="auto"/>
                <w:sz w:val="24"/>
              </w:rPr>
            </w:pPr>
            <w:r>
              <w:rPr>
                <w:rFonts w:hint="eastAsia" w:ascii="宋体" w:hAnsi="宋体" w:cs="宋体"/>
                <w:b/>
                <w:color w:val="auto"/>
                <w:sz w:val="24"/>
              </w:rPr>
              <w:t>5分</w:t>
            </w:r>
          </w:p>
        </w:tc>
      </w:tr>
      <w:tr w14:paraId="2984D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9" w:type="dxa"/>
            <w:vMerge w:val="restart"/>
            <w:shd w:val="clear" w:color="auto" w:fill="auto"/>
            <w:vAlign w:val="center"/>
          </w:tcPr>
          <w:p w14:paraId="10B26DFE">
            <w:pPr>
              <w:spacing w:line="300" w:lineRule="auto"/>
              <w:jc w:val="center"/>
              <w:rPr>
                <w:rFonts w:hint="eastAsia" w:ascii="宋体" w:hAnsi="宋体"/>
                <w:b/>
                <w:color w:val="auto"/>
                <w:sz w:val="24"/>
              </w:rPr>
            </w:pPr>
            <w:r>
              <w:rPr>
                <w:rFonts w:hint="eastAsia" w:ascii="宋体" w:hAnsi="宋体"/>
                <w:b/>
                <w:color w:val="auto"/>
                <w:sz w:val="24"/>
              </w:rPr>
              <w:t>6</w:t>
            </w:r>
          </w:p>
        </w:tc>
        <w:tc>
          <w:tcPr>
            <w:tcW w:w="1456" w:type="dxa"/>
            <w:vMerge w:val="restart"/>
            <w:shd w:val="clear" w:color="auto" w:fill="auto"/>
            <w:vAlign w:val="center"/>
          </w:tcPr>
          <w:p w14:paraId="2832684A">
            <w:pPr>
              <w:spacing w:line="300" w:lineRule="auto"/>
              <w:jc w:val="center"/>
              <w:rPr>
                <w:rFonts w:hint="eastAsia" w:ascii="宋体" w:hAnsi="宋体" w:cs="宋体"/>
                <w:b/>
                <w:bCs/>
                <w:color w:val="auto"/>
                <w:sz w:val="24"/>
              </w:rPr>
            </w:pPr>
            <w:r>
              <w:rPr>
                <w:rFonts w:ascii="宋体" w:hAnsi="宋体" w:cs="宋体"/>
                <w:b/>
                <w:bCs/>
                <w:color w:val="auto"/>
                <w:sz w:val="24"/>
              </w:rPr>
              <w:t>演示</w:t>
            </w:r>
          </w:p>
        </w:tc>
        <w:tc>
          <w:tcPr>
            <w:tcW w:w="7088" w:type="dxa"/>
            <w:tcBorders>
              <w:bottom w:val="single" w:color="auto" w:sz="4" w:space="0"/>
            </w:tcBorders>
            <w:shd w:val="clear" w:color="auto" w:fill="FFFFFF"/>
            <w:vAlign w:val="center"/>
          </w:tcPr>
          <w:p w14:paraId="5D74D2C9">
            <w:pPr>
              <w:spacing w:line="300" w:lineRule="auto"/>
              <w:rPr>
                <w:rFonts w:hint="eastAsia" w:ascii="宋体" w:hAnsi="宋体"/>
                <w:color w:val="auto"/>
                <w:sz w:val="24"/>
              </w:rPr>
            </w:pPr>
            <w:r>
              <w:rPr>
                <w:rFonts w:hint="eastAsia" w:ascii="宋体" w:hAnsi="宋体"/>
                <w:color w:val="auto"/>
                <w:sz w:val="24"/>
              </w:rPr>
              <w:t>根据投标人提供的功能演示进行打分，具体演示要求、评价方式等内容如下：</w:t>
            </w:r>
          </w:p>
          <w:p w14:paraId="44EF1541">
            <w:pPr>
              <w:wordWrap w:val="0"/>
              <w:autoSpaceDE w:val="0"/>
              <w:autoSpaceDN w:val="0"/>
              <w:adjustRightInd w:val="0"/>
              <w:spacing w:line="312" w:lineRule="auto"/>
              <w:jc w:val="left"/>
              <w:rPr>
                <w:rFonts w:hint="eastAsia" w:ascii="宋体" w:hAnsi="宋体" w:cs="宋体"/>
                <w:b/>
                <w:bCs/>
                <w:snapToGrid w:val="0"/>
                <w:color w:val="auto"/>
                <w:szCs w:val="21"/>
              </w:rPr>
            </w:pPr>
            <w:r>
              <w:rPr>
                <w:rFonts w:hint="eastAsia" w:ascii="宋体" w:hAnsi="宋体" w:cs="宋体"/>
                <w:b/>
                <w:bCs/>
                <w:snapToGrid w:val="0"/>
                <w:color w:val="auto"/>
                <w:szCs w:val="21"/>
              </w:rPr>
              <w:t>1.智慧黑板功能演示：</w:t>
            </w:r>
          </w:p>
          <w:p w14:paraId="230F39F4">
            <w:pPr>
              <w:wordWrap w:val="0"/>
              <w:autoSpaceDE w:val="0"/>
              <w:autoSpaceDN w:val="0"/>
              <w:adjustRightInd w:val="0"/>
              <w:spacing w:line="312" w:lineRule="auto"/>
              <w:jc w:val="left"/>
              <w:rPr>
                <w:rFonts w:hint="eastAsia" w:ascii="宋体" w:hAnsi="宋体" w:cs="宋体"/>
                <w:snapToGrid w:val="0"/>
                <w:color w:val="auto"/>
                <w:szCs w:val="21"/>
              </w:rPr>
            </w:pPr>
            <w:r>
              <w:rPr>
                <w:rFonts w:hint="eastAsia" w:ascii="宋体" w:hAnsi="宋体" w:cs="宋体"/>
                <w:snapToGrid w:val="0"/>
                <w:color w:val="auto"/>
                <w:szCs w:val="21"/>
              </w:rPr>
              <w:t>1)演示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p>
          <w:p w14:paraId="1A2F093B">
            <w:pPr>
              <w:wordWrap w:val="0"/>
              <w:autoSpaceDE w:val="0"/>
              <w:autoSpaceDN w:val="0"/>
              <w:adjustRightInd w:val="0"/>
              <w:spacing w:line="312" w:lineRule="auto"/>
              <w:jc w:val="left"/>
              <w:rPr>
                <w:rFonts w:hint="eastAsia" w:ascii="宋体" w:hAnsi="宋体" w:cs="宋体"/>
                <w:snapToGrid w:val="0"/>
                <w:color w:val="auto"/>
                <w:szCs w:val="21"/>
              </w:rPr>
            </w:pPr>
            <w:r>
              <w:rPr>
                <w:rFonts w:hint="eastAsia" w:ascii="宋体" w:hAnsi="宋体" w:cs="宋体"/>
                <w:snapToGrid w:val="0"/>
                <w:color w:val="auto"/>
                <w:szCs w:val="21"/>
              </w:rPr>
              <w:t>2)演示整机支持智能书写功能，支持将手绘形状、中英文、公式转换为规范几何图形和文字。</w:t>
            </w:r>
          </w:p>
          <w:p w14:paraId="1981C9C5">
            <w:pPr>
              <w:wordWrap w:val="0"/>
              <w:autoSpaceDE w:val="0"/>
              <w:autoSpaceDN w:val="0"/>
              <w:adjustRightInd w:val="0"/>
              <w:spacing w:line="312" w:lineRule="auto"/>
              <w:jc w:val="left"/>
              <w:rPr>
                <w:rFonts w:hint="eastAsia" w:ascii="宋体" w:hAnsi="宋体" w:cs="宋体"/>
                <w:snapToGrid w:val="0"/>
                <w:color w:val="auto"/>
                <w:szCs w:val="21"/>
              </w:rPr>
            </w:pPr>
            <w:r>
              <w:rPr>
                <w:rFonts w:hint="eastAsia" w:ascii="宋体" w:hAnsi="宋体" w:cs="宋体"/>
                <w:snapToGrid w:val="0"/>
                <w:color w:val="auto"/>
                <w:szCs w:val="21"/>
              </w:rPr>
              <w:t>3)演示整机支持通过设备管控后台调用硬件实现远程听评课；后台可同时查看屏幕、摄像头实时画面，可通过画中画形式呈现，并可实现双向对话互动，可对调用设备麦克风及喊话麦克风音量进行调整；可对所听课程关联对应授课老师及评课时间、评课表打分点评，自动生成评课记录，包括课程名称、课程表、授课教师、学科、评课平均得分等信息。</w:t>
            </w:r>
          </w:p>
          <w:p w14:paraId="232639EC">
            <w:pPr>
              <w:wordWrap w:val="0"/>
              <w:autoSpaceDE w:val="0"/>
              <w:autoSpaceDN w:val="0"/>
              <w:adjustRightInd w:val="0"/>
              <w:spacing w:line="312" w:lineRule="auto"/>
              <w:jc w:val="left"/>
              <w:rPr>
                <w:rFonts w:hint="eastAsia" w:ascii="宋体" w:hAnsi="宋体" w:cs="宋体"/>
                <w:b/>
                <w:bCs/>
                <w:snapToGrid w:val="0"/>
                <w:color w:val="auto"/>
                <w:szCs w:val="21"/>
              </w:rPr>
            </w:pPr>
            <w:r>
              <w:rPr>
                <w:rFonts w:hint="eastAsia" w:ascii="宋体" w:hAnsi="宋体" w:cs="宋体"/>
                <w:b/>
                <w:bCs/>
                <w:snapToGrid w:val="0"/>
                <w:color w:val="auto"/>
                <w:szCs w:val="21"/>
              </w:rPr>
              <w:t>（完全满足上述功能要求每项得1分，最高得3分；未提供演示或功能缺失均不得分）</w:t>
            </w:r>
          </w:p>
          <w:p w14:paraId="0C88E4C9">
            <w:pPr>
              <w:wordWrap w:val="0"/>
              <w:autoSpaceDE w:val="0"/>
              <w:autoSpaceDN w:val="0"/>
              <w:adjustRightInd w:val="0"/>
              <w:spacing w:line="312" w:lineRule="auto"/>
              <w:jc w:val="left"/>
              <w:rPr>
                <w:rFonts w:hint="eastAsia" w:ascii="宋体" w:hAnsi="宋体" w:cs="宋体"/>
                <w:b/>
                <w:bCs/>
                <w:snapToGrid w:val="0"/>
                <w:color w:val="auto"/>
                <w:szCs w:val="21"/>
              </w:rPr>
            </w:pPr>
            <w:r>
              <w:rPr>
                <w:rFonts w:hint="eastAsia" w:ascii="宋体" w:hAnsi="宋体" w:cs="宋体"/>
                <w:b/>
                <w:bCs/>
                <w:snapToGrid w:val="0"/>
                <w:color w:val="auto"/>
                <w:szCs w:val="21"/>
              </w:rPr>
              <w:t>2.智慧黑板配套教学管理软件功能演示：</w:t>
            </w:r>
          </w:p>
          <w:p w14:paraId="7ABDA285">
            <w:pPr>
              <w:wordWrap w:val="0"/>
              <w:autoSpaceDE w:val="0"/>
              <w:autoSpaceDN w:val="0"/>
              <w:adjustRightInd w:val="0"/>
              <w:spacing w:line="312" w:lineRule="auto"/>
              <w:jc w:val="left"/>
              <w:rPr>
                <w:rFonts w:hint="eastAsia" w:ascii="宋体" w:hAnsi="宋体" w:cs="宋体"/>
                <w:snapToGrid w:val="0"/>
                <w:color w:val="auto"/>
                <w:szCs w:val="21"/>
              </w:rPr>
            </w:pPr>
            <w:r>
              <w:rPr>
                <w:rFonts w:hint="eastAsia" w:ascii="宋体" w:hAnsi="宋体" w:cs="宋体"/>
                <w:snapToGrid w:val="0"/>
                <w:color w:val="auto"/>
                <w:szCs w:val="21"/>
              </w:rPr>
              <w:t>1)远程监看设备时，可随时切换教室现场画面和教室电脑画面，支持开启或关闭摄像头声音，支持二分屏同时显示教室现场画面和教室电脑桌面画面，实时观摩教室上课情况。</w:t>
            </w:r>
          </w:p>
          <w:p w14:paraId="5810CEA9">
            <w:pPr>
              <w:wordWrap w:val="0"/>
              <w:autoSpaceDE w:val="0"/>
              <w:autoSpaceDN w:val="0"/>
              <w:adjustRightInd w:val="0"/>
              <w:spacing w:line="312" w:lineRule="auto"/>
              <w:jc w:val="left"/>
              <w:rPr>
                <w:rFonts w:hint="eastAsia" w:ascii="宋体" w:hAnsi="宋体" w:cs="宋体"/>
                <w:snapToGrid w:val="0"/>
                <w:color w:val="auto"/>
                <w:szCs w:val="21"/>
              </w:rPr>
            </w:pPr>
            <w:r>
              <w:rPr>
                <w:rFonts w:hint="eastAsia" w:ascii="宋体" w:hAnsi="宋体" w:cs="宋体"/>
                <w:snapToGrid w:val="0"/>
                <w:color w:val="auto"/>
                <w:szCs w:val="21"/>
              </w:rPr>
              <w:t>2)远程配置中支持设置设备系统时间、系统音量大小、修改电脑名、执行DOS命令、远程打开程序、结束程序、打开网站、打开目录、垃圾清理。</w:t>
            </w:r>
          </w:p>
          <w:p w14:paraId="17D51D76">
            <w:pPr>
              <w:wordWrap w:val="0"/>
              <w:autoSpaceDE w:val="0"/>
              <w:autoSpaceDN w:val="0"/>
              <w:adjustRightInd w:val="0"/>
              <w:spacing w:line="312" w:lineRule="auto"/>
              <w:jc w:val="left"/>
              <w:rPr>
                <w:rFonts w:hint="eastAsia" w:ascii="宋体" w:hAnsi="宋体" w:cs="宋体"/>
                <w:snapToGrid w:val="0"/>
                <w:color w:val="auto"/>
                <w:szCs w:val="21"/>
              </w:rPr>
            </w:pPr>
            <w:r>
              <w:rPr>
                <w:rFonts w:hint="eastAsia" w:ascii="宋体" w:hAnsi="宋体" w:cs="宋体"/>
                <w:snapToGrid w:val="0"/>
                <w:color w:val="auto"/>
                <w:szCs w:val="21"/>
              </w:rPr>
              <w:t>3)平台包含课表系统，可设置课表相关信息包括课表节次和时间、课表名称及课表日期、课表周数，支持课表内容导入，显示不同教室、不同周次课表信息。</w:t>
            </w:r>
          </w:p>
          <w:p w14:paraId="65D7F934">
            <w:pPr>
              <w:wordWrap w:val="0"/>
              <w:autoSpaceDE w:val="0"/>
              <w:autoSpaceDN w:val="0"/>
              <w:adjustRightInd w:val="0"/>
              <w:spacing w:line="312" w:lineRule="auto"/>
              <w:jc w:val="left"/>
              <w:rPr>
                <w:rFonts w:hint="eastAsia" w:ascii="宋体" w:hAnsi="宋体" w:cs="宋体"/>
                <w:b/>
                <w:bCs/>
                <w:snapToGrid w:val="0"/>
                <w:color w:val="auto"/>
                <w:szCs w:val="21"/>
              </w:rPr>
            </w:pPr>
            <w:r>
              <w:rPr>
                <w:rFonts w:hint="eastAsia" w:ascii="宋体" w:hAnsi="宋体" w:cs="宋体"/>
                <w:b/>
                <w:bCs/>
                <w:snapToGrid w:val="0"/>
                <w:color w:val="auto"/>
                <w:szCs w:val="21"/>
              </w:rPr>
              <w:t>（完全满足上述功能要求每项得1分，最高得3分；未提供演示或功能缺失均不得分）</w:t>
            </w:r>
          </w:p>
          <w:p w14:paraId="298028B8">
            <w:pPr>
              <w:wordWrap w:val="0"/>
              <w:autoSpaceDE w:val="0"/>
              <w:autoSpaceDN w:val="0"/>
              <w:adjustRightInd w:val="0"/>
              <w:spacing w:line="312" w:lineRule="auto"/>
              <w:jc w:val="left"/>
              <w:rPr>
                <w:rFonts w:hint="eastAsia" w:ascii="宋体" w:hAnsi="宋体" w:cs="宋体"/>
                <w:b/>
                <w:bCs/>
                <w:snapToGrid w:val="0"/>
                <w:color w:val="auto"/>
                <w:szCs w:val="21"/>
              </w:rPr>
            </w:pPr>
            <w:r>
              <w:rPr>
                <w:rFonts w:hint="eastAsia" w:ascii="宋体" w:hAnsi="宋体" w:cs="宋体"/>
                <w:b/>
                <w:bCs/>
                <w:snapToGrid w:val="0"/>
                <w:color w:val="auto"/>
                <w:szCs w:val="21"/>
              </w:rPr>
              <w:t>3.显示屏功能演示：</w:t>
            </w:r>
          </w:p>
          <w:p w14:paraId="7EEF89D4">
            <w:pPr>
              <w:wordWrap w:val="0"/>
              <w:autoSpaceDE w:val="0"/>
              <w:autoSpaceDN w:val="0"/>
              <w:adjustRightInd w:val="0"/>
              <w:spacing w:line="312" w:lineRule="auto"/>
              <w:jc w:val="left"/>
              <w:rPr>
                <w:rFonts w:hint="eastAsia" w:ascii="宋体" w:hAnsi="宋体" w:cs="宋体"/>
                <w:snapToGrid w:val="0"/>
                <w:color w:val="auto"/>
                <w:szCs w:val="21"/>
              </w:rPr>
            </w:pPr>
            <w:r>
              <w:rPr>
                <w:rFonts w:hint="eastAsia" w:ascii="宋体" w:hAnsi="宋体" w:cs="宋体"/>
                <w:snapToGrid w:val="0"/>
                <w:color w:val="auto"/>
                <w:szCs w:val="21"/>
              </w:rPr>
              <w:t>1）PC端可通过软件输入6位传屏码连接75寸商显进行投屏（此功能不可通过外接第三方设备实现）。</w:t>
            </w:r>
          </w:p>
          <w:p w14:paraId="7A653D14">
            <w:pPr>
              <w:wordWrap w:val="0"/>
              <w:autoSpaceDE w:val="0"/>
              <w:autoSpaceDN w:val="0"/>
              <w:adjustRightInd w:val="0"/>
              <w:spacing w:line="312" w:lineRule="auto"/>
              <w:jc w:val="left"/>
              <w:rPr>
                <w:rFonts w:hint="eastAsia" w:ascii="宋体" w:hAnsi="宋体" w:cs="宋体"/>
                <w:snapToGrid w:val="0"/>
                <w:color w:val="auto"/>
                <w:szCs w:val="21"/>
              </w:rPr>
            </w:pPr>
            <w:r>
              <w:rPr>
                <w:rFonts w:hint="eastAsia" w:ascii="宋体" w:hAnsi="宋体" w:cs="宋体"/>
                <w:snapToGrid w:val="0"/>
                <w:color w:val="auto"/>
                <w:szCs w:val="21"/>
              </w:rPr>
              <w:t>2）可以仅对一个应用窗口进行无线投屏，其他窗口内容不做展示，保证数据的隐私。</w:t>
            </w:r>
          </w:p>
          <w:p w14:paraId="46877CCE">
            <w:pPr>
              <w:wordWrap w:val="0"/>
              <w:autoSpaceDE w:val="0"/>
              <w:autoSpaceDN w:val="0"/>
              <w:adjustRightInd w:val="0"/>
              <w:spacing w:line="312" w:lineRule="auto"/>
              <w:jc w:val="left"/>
              <w:rPr>
                <w:rFonts w:hint="eastAsia" w:ascii="宋体" w:hAnsi="宋体" w:cs="宋体"/>
                <w:b/>
                <w:bCs/>
                <w:snapToGrid w:val="0"/>
                <w:color w:val="auto"/>
                <w:szCs w:val="21"/>
              </w:rPr>
            </w:pPr>
            <w:r>
              <w:rPr>
                <w:rFonts w:hint="eastAsia" w:ascii="宋体" w:hAnsi="宋体" w:cs="宋体"/>
                <w:b/>
                <w:bCs/>
                <w:snapToGrid w:val="0"/>
                <w:color w:val="auto"/>
                <w:szCs w:val="21"/>
              </w:rPr>
              <w:t>（完全满足上述功能要求每项得1分，最高得2分；未提供演示或功能缺失均不得分）</w:t>
            </w:r>
          </w:p>
          <w:p w14:paraId="56CBCF2A">
            <w:pPr>
              <w:wordWrap w:val="0"/>
              <w:autoSpaceDE w:val="0"/>
              <w:autoSpaceDN w:val="0"/>
              <w:adjustRightInd w:val="0"/>
              <w:spacing w:line="312" w:lineRule="auto"/>
              <w:jc w:val="left"/>
              <w:rPr>
                <w:rFonts w:hint="eastAsia" w:ascii="宋体" w:hAnsi="宋体" w:cs="宋体"/>
                <w:b/>
                <w:bCs/>
                <w:snapToGrid w:val="0"/>
                <w:color w:val="auto"/>
                <w:szCs w:val="21"/>
              </w:rPr>
            </w:pPr>
            <w:r>
              <w:rPr>
                <w:rFonts w:hint="eastAsia" w:ascii="宋体" w:hAnsi="宋体" w:cs="宋体"/>
                <w:b/>
                <w:bCs/>
                <w:snapToGrid w:val="0"/>
                <w:color w:val="auto"/>
                <w:szCs w:val="21"/>
              </w:rPr>
              <w:t>4.智慧中控系统功能演示：</w:t>
            </w:r>
          </w:p>
          <w:p w14:paraId="63D76069">
            <w:pPr>
              <w:wordWrap w:val="0"/>
              <w:autoSpaceDE w:val="0"/>
              <w:autoSpaceDN w:val="0"/>
              <w:adjustRightInd w:val="0"/>
              <w:spacing w:line="312" w:lineRule="auto"/>
              <w:jc w:val="left"/>
              <w:rPr>
                <w:rFonts w:hint="eastAsia" w:ascii="宋体" w:hAnsi="宋体" w:cs="宋体"/>
                <w:snapToGrid w:val="0"/>
                <w:color w:val="auto"/>
                <w:szCs w:val="21"/>
              </w:rPr>
            </w:pPr>
            <w:r>
              <w:rPr>
                <w:rFonts w:hint="eastAsia" w:ascii="宋体" w:hAnsi="宋体" w:cs="宋体"/>
                <w:snapToGrid w:val="0"/>
                <w:color w:val="auto"/>
                <w:szCs w:val="21"/>
              </w:rPr>
              <w:t>1）中控主机内置（非电话机形式）语音对讲硬件网络模块具有呼叫、SPK、MIC专用接口，实现语音对讲功能：运用数字语音压缩传输技术实现对讲，一键式按钮呼叫：呼叫排队等待及网络故障时有真人语音提示功能，教师可以通过对讲与控制室的管理人员通话，实时解决问题，接通后自动显示该教室的视频画面及计算机桌面，对讲内容可同步录音存储，（教师按讲台上按钮的同时，远端主控室管理员电脑屏幕上自动弹出呼叫请求画面；管理员与教师双向对讲，并可同时处理不同教室的呼叫请求，支持呼叫排队、等待、调度等功能。</w:t>
            </w:r>
          </w:p>
          <w:p w14:paraId="589A9A66">
            <w:pPr>
              <w:wordWrap w:val="0"/>
              <w:autoSpaceDE w:val="0"/>
              <w:autoSpaceDN w:val="0"/>
              <w:adjustRightInd w:val="0"/>
              <w:spacing w:line="312" w:lineRule="auto"/>
              <w:jc w:val="left"/>
              <w:rPr>
                <w:rFonts w:hint="eastAsia" w:ascii="宋体" w:hAnsi="宋体" w:cs="宋体"/>
                <w:snapToGrid w:val="0"/>
                <w:color w:val="auto"/>
                <w:szCs w:val="21"/>
              </w:rPr>
            </w:pPr>
            <w:r>
              <w:rPr>
                <w:rFonts w:hint="eastAsia" w:ascii="宋体" w:hAnsi="宋体" w:cs="宋体"/>
                <w:snapToGrid w:val="0"/>
                <w:color w:val="auto"/>
                <w:szCs w:val="21"/>
              </w:rPr>
              <w:t>2）屏幕尺寸：≥7英寸采用工业级芯片架构、一体化极窄边设计，集成一键式呼入实现与总控室全双工语音对讲功能（含拾音及扬声器）,一键式呼入具有实体按键与屏幕按键两种，当屏幕故障时，也能使用实体按键进行对讲报修。同时支持三种认证方式（插卡，刷卡，二维码扫码）,可自动生成动态二维码，用于钉钉、微信等软件正向扫码开机。上课、下课、呼叫三个按键均具有真人语音提示功能。具有呼叫实体按键，在中控未开机的情况下，也能实现呼叫对讲功能。</w:t>
            </w:r>
          </w:p>
          <w:p w14:paraId="6D1FAC0A">
            <w:pPr>
              <w:pStyle w:val="4"/>
              <w:spacing w:before="0" w:after="0" w:line="240" w:lineRule="auto"/>
              <w:rPr>
                <w:color w:val="auto"/>
              </w:rPr>
            </w:pPr>
            <w:r>
              <w:rPr>
                <w:rFonts w:hint="eastAsia" w:ascii="宋体" w:hAnsi="宋体" w:eastAsia="宋体" w:cs="宋体"/>
                <w:snapToGrid w:val="0"/>
                <w:color w:val="auto"/>
                <w:sz w:val="21"/>
                <w:szCs w:val="21"/>
              </w:rPr>
              <w:t>（完全满足上述功能要求每项得1分，最高得2分；未提供演示或功能缺失均不得分）</w:t>
            </w:r>
          </w:p>
        </w:tc>
        <w:tc>
          <w:tcPr>
            <w:tcW w:w="744" w:type="dxa"/>
            <w:tcBorders>
              <w:bottom w:val="single" w:color="auto" w:sz="4" w:space="0"/>
            </w:tcBorders>
            <w:vAlign w:val="center"/>
          </w:tcPr>
          <w:p w14:paraId="65C74A93">
            <w:pPr>
              <w:spacing w:line="300" w:lineRule="auto"/>
              <w:jc w:val="center"/>
              <w:rPr>
                <w:rFonts w:hint="eastAsia" w:ascii="宋体" w:hAnsi="宋体" w:cs="宋体"/>
                <w:b/>
                <w:color w:val="auto"/>
                <w:sz w:val="24"/>
              </w:rPr>
            </w:pPr>
            <w:r>
              <w:rPr>
                <w:rFonts w:hint="eastAsia" w:ascii="宋体" w:hAnsi="宋体" w:cs="宋体"/>
                <w:b/>
                <w:color w:val="auto"/>
                <w:sz w:val="24"/>
              </w:rPr>
              <w:t>10分</w:t>
            </w:r>
          </w:p>
        </w:tc>
      </w:tr>
      <w:tr w14:paraId="1C7921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9" w:type="dxa"/>
            <w:vMerge w:val="continue"/>
            <w:shd w:val="clear" w:color="auto" w:fill="auto"/>
            <w:vAlign w:val="center"/>
          </w:tcPr>
          <w:p w14:paraId="68EA8F95">
            <w:pPr>
              <w:spacing w:line="300" w:lineRule="auto"/>
              <w:jc w:val="center"/>
              <w:rPr>
                <w:rFonts w:hint="eastAsia" w:ascii="宋体" w:hAnsi="宋体"/>
                <w:b/>
                <w:color w:val="auto"/>
                <w:sz w:val="24"/>
              </w:rPr>
            </w:pPr>
          </w:p>
        </w:tc>
        <w:tc>
          <w:tcPr>
            <w:tcW w:w="1456" w:type="dxa"/>
            <w:vMerge w:val="continue"/>
            <w:shd w:val="clear" w:color="auto" w:fill="auto"/>
            <w:vAlign w:val="center"/>
          </w:tcPr>
          <w:p w14:paraId="70F12BD4">
            <w:pPr>
              <w:spacing w:line="300" w:lineRule="auto"/>
              <w:jc w:val="center"/>
              <w:rPr>
                <w:rFonts w:hint="eastAsia" w:ascii="宋体" w:hAnsi="宋体" w:cs="宋体"/>
                <w:b/>
                <w:bCs/>
                <w:color w:val="auto"/>
                <w:sz w:val="24"/>
              </w:rPr>
            </w:pPr>
          </w:p>
        </w:tc>
        <w:tc>
          <w:tcPr>
            <w:tcW w:w="7832" w:type="dxa"/>
            <w:gridSpan w:val="2"/>
            <w:tcBorders>
              <w:top w:val="single" w:color="auto" w:sz="4" w:space="0"/>
            </w:tcBorders>
            <w:shd w:val="clear" w:color="auto" w:fill="FFFFFF"/>
            <w:vAlign w:val="center"/>
          </w:tcPr>
          <w:p w14:paraId="23C2818E">
            <w:pPr>
              <w:spacing w:line="300" w:lineRule="auto"/>
              <w:rPr>
                <w:rFonts w:hint="eastAsia" w:ascii="宋体" w:hAnsi="宋体" w:cs="宋体"/>
                <w:b/>
                <w:color w:val="auto"/>
                <w:sz w:val="24"/>
              </w:rPr>
            </w:pPr>
            <w:r>
              <w:rPr>
                <w:rFonts w:hint="eastAsia" w:ascii="宋体" w:hAnsi="宋体"/>
                <w:b/>
                <w:color w:val="auto"/>
                <w:sz w:val="24"/>
              </w:rPr>
              <w:t>注：须提供U盘，演示时长控制在20分钟以内，以U盘为媒介单独密封并在开标截止时间前送至或邮寄至浙江明业项目管理有限公司（诸暨市苎萝东路195号祥生新世纪广场商务楼11楼1104室），以签收时间为准，逾期送达不予接收，投标人应当确保U盘能够打开运行并正式使用，未提供或无法打开或采用PPT、文档、图片进行演示的，该项不得分。</w:t>
            </w:r>
          </w:p>
        </w:tc>
      </w:tr>
      <w:tr w14:paraId="0E3C00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681D1258">
            <w:pPr>
              <w:spacing w:line="300" w:lineRule="auto"/>
              <w:jc w:val="center"/>
              <w:rPr>
                <w:rFonts w:hint="eastAsia" w:ascii="宋体" w:hAnsi="宋体"/>
                <w:b/>
                <w:color w:val="auto"/>
                <w:sz w:val="24"/>
              </w:rPr>
            </w:pPr>
            <w:r>
              <w:rPr>
                <w:rFonts w:hint="eastAsia" w:ascii="宋体" w:hAnsi="宋体"/>
                <w:b/>
                <w:color w:val="auto"/>
                <w:sz w:val="24"/>
              </w:rPr>
              <w:t>7</w:t>
            </w:r>
          </w:p>
        </w:tc>
        <w:tc>
          <w:tcPr>
            <w:tcW w:w="1456" w:type="dxa"/>
            <w:shd w:val="clear" w:color="auto" w:fill="auto"/>
            <w:vAlign w:val="center"/>
          </w:tcPr>
          <w:p w14:paraId="3E55AEC8">
            <w:pPr>
              <w:spacing w:line="300" w:lineRule="auto"/>
              <w:jc w:val="center"/>
              <w:rPr>
                <w:rFonts w:hint="eastAsia" w:ascii="宋体" w:hAnsi="宋体" w:cs="宋体"/>
                <w:b/>
                <w:bCs/>
                <w:color w:val="auto"/>
                <w:sz w:val="24"/>
              </w:rPr>
            </w:pPr>
            <w:r>
              <w:rPr>
                <w:rFonts w:ascii="宋体" w:hAnsi="宋体" w:cs="宋体"/>
                <w:b/>
                <w:bCs/>
                <w:color w:val="auto"/>
                <w:sz w:val="24"/>
              </w:rPr>
              <w:t>实施计划</w:t>
            </w:r>
          </w:p>
        </w:tc>
        <w:tc>
          <w:tcPr>
            <w:tcW w:w="7088" w:type="dxa"/>
            <w:shd w:val="clear" w:color="auto" w:fill="FFFFFF"/>
            <w:vAlign w:val="center"/>
          </w:tcPr>
          <w:p w14:paraId="781F0F50">
            <w:pPr>
              <w:spacing w:line="300" w:lineRule="auto"/>
              <w:rPr>
                <w:rFonts w:hint="eastAsia" w:ascii="宋体" w:hAnsi="宋体"/>
                <w:bCs/>
                <w:color w:val="auto"/>
                <w:sz w:val="24"/>
              </w:rPr>
            </w:pPr>
            <w:r>
              <w:rPr>
                <w:rFonts w:hint="eastAsia" w:ascii="宋体" w:hAnsi="宋体"/>
                <w:bCs/>
                <w:color w:val="auto"/>
                <w:sz w:val="24"/>
              </w:rPr>
              <w:t>投标人提供科学、合理、可操作的具体项目整体实施方案，包括详细的供货时间、产品安装标准、安装调试、验收方案、交货验收时所配产品资料清单等进行打分：</w:t>
            </w:r>
          </w:p>
          <w:p w14:paraId="35A5E2F1">
            <w:pPr>
              <w:spacing w:line="300" w:lineRule="auto"/>
              <w:rPr>
                <w:rFonts w:hint="eastAsia" w:ascii="宋体" w:hAnsi="宋体"/>
                <w:bCs/>
                <w:color w:val="auto"/>
                <w:kern w:val="10"/>
                <w:sz w:val="24"/>
              </w:rPr>
            </w:pPr>
            <w:r>
              <w:rPr>
                <w:rFonts w:hint="eastAsia" w:ascii="宋体" w:hAnsi="宋体"/>
                <w:bCs/>
                <w:color w:val="auto"/>
                <w:kern w:val="10"/>
                <w:sz w:val="24"/>
                <w:lang w:val="zh-CN"/>
              </w:rPr>
              <w:t>内容</w:t>
            </w:r>
            <w:r>
              <w:rPr>
                <w:rFonts w:hint="eastAsia" w:ascii="宋体" w:hAnsi="宋体"/>
                <w:bCs/>
                <w:color w:val="auto"/>
                <w:kern w:val="10"/>
                <w:sz w:val="24"/>
              </w:rPr>
              <w:t>阐述详尽、准确且合理可行的得5分；</w:t>
            </w:r>
          </w:p>
          <w:p w14:paraId="2A832575">
            <w:pPr>
              <w:spacing w:line="300" w:lineRule="auto"/>
              <w:rPr>
                <w:rFonts w:hint="eastAsia" w:ascii="宋体" w:hAnsi="宋体"/>
                <w:bCs/>
                <w:color w:val="auto"/>
                <w:kern w:val="10"/>
                <w:sz w:val="24"/>
              </w:rPr>
            </w:pPr>
            <w:r>
              <w:rPr>
                <w:rFonts w:hint="eastAsia" w:ascii="宋体" w:hAnsi="宋体"/>
                <w:bCs/>
                <w:color w:val="auto"/>
                <w:kern w:val="10"/>
                <w:sz w:val="24"/>
              </w:rPr>
              <w:t>内容阐述有欠缺但总体较为详尽、准确且较合理可行的得3分；</w:t>
            </w:r>
          </w:p>
          <w:p w14:paraId="7586E814">
            <w:pPr>
              <w:spacing w:line="300" w:lineRule="auto"/>
              <w:rPr>
                <w:rFonts w:hint="eastAsia" w:ascii="宋体" w:hAnsi="宋体"/>
                <w:bCs/>
                <w:color w:val="auto"/>
                <w:kern w:val="10"/>
                <w:sz w:val="24"/>
              </w:rPr>
            </w:pPr>
            <w:r>
              <w:rPr>
                <w:rFonts w:hint="eastAsia" w:ascii="宋体" w:hAnsi="宋体"/>
                <w:bCs/>
                <w:color w:val="auto"/>
                <w:kern w:val="10"/>
                <w:sz w:val="24"/>
              </w:rPr>
              <w:t>内容阐述粗略、缺陷较多，部分合理可行的得1分；</w:t>
            </w:r>
          </w:p>
          <w:p w14:paraId="5A9B560A">
            <w:pPr>
              <w:spacing w:line="300" w:lineRule="auto"/>
              <w:rPr>
                <w:rFonts w:hint="eastAsia" w:ascii="宋体" w:hAnsi="宋体"/>
                <w:bCs/>
                <w:color w:val="auto"/>
                <w:sz w:val="24"/>
              </w:rPr>
            </w:pPr>
            <w:r>
              <w:rPr>
                <w:rFonts w:hint="eastAsia" w:ascii="宋体" w:hAnsi="宋体"/>
                <w:bCs/>
                <w:color w:val="auto"/>
                <w:kern w:val="10"/>
                <w:sz w:val="24"/>
              </w:rPr>
              <w:t>未提供相关内容阐述或不符合项目的不得分。</w:t>
            </w:r>
          </w:p>
        </w:tc>
        <w:tc>
          <w:tcPr>
            <w:tcW w:w="744" w:type="dxa"/>
            <w:vAlign w:val="center"/>
          </w:tcPr>
          <w:p w14:paraId="14409FB8">
            <w:pPr>
              <w:spacing w:line="300" w:lineRule="auto"/>
              <w:jc w:val="center"/>
              <w:rPr>
                <w:rFonts w:hint="eastAsia" w:ascii="宋体" w:hAnsi="宋体" w:cs="宋体"/>
                <w:b/>
                <w:color w:val="auto"/>
                <w:sz w:val="24"/>
              </w:rPr>
            </w:pPr>
            <w:r>
              <w:rPr>
                <w:rFonts w:hint="eastAsia" w:ascii="宋体" w:hAnsi="宋体" w:cs="宋体"/>
                <w:b/>
                <w:color w:val="auto"/>
                <w:sz w:val="24"/>
              </w:rPr>
              <w:t>5分</w:t>
            </w:r>
          </w:p>
        </w:tc>
      </w:tr>
      <w:tr w14:paraId="21FBB4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2EE84FDA">
            <w:pPr>
              <w:spacing w:line="300" w:lineRule="auto"/>
              <w:jc w:val="center"/>
              <w:rPr>
                <w:rFonts w:hint="eastAsia" w:ascii="宋体" w:hAnsi="宋体"/>
                <w:b/>
                <w:color w:val="auto"/>
                <w:sz w:val="24"/>
              </w:rPr>
            </w:pPr>
            <w:r>
              <w:rPr>
                <w:rFonts w:hint="eastAsia" w:ascii="宋体" w:hAnsi="宋体"/>
                <w:b/>
                <w:color w:val="auto"/>
                <w:sz w:val="24"/>
              </w:rPr>
              <w:t>8</w:t>
            </w:r>
          </w:p>
        </w:tc>
        <w:tc>
          <w:tcPr>
            <w:tcW w:w="1456" w:type="dxa"/>
            <w:shd w:val="clear" w:color="auto" w:fill="auto"/>
            <w:vAlign w:val="center"/>
          </w:tcPr>
          <w:p w14:paraId="214C2F45">
            <w:pPr>
              <w:spacing w:line="300" w:lineRule="auto"/>
              <w:jc w:val="center"/>
              <w:rPr>
                <w:rFonts w:hint="eastAsia" w:ascii="宋体" w:hAnsi="宋体" w:cs="宋体"/>
                <w:b/>
                <w:bCs/>
                <w:color w:val="auto"/>
                <w:sz w:val="24"/>
              </w:rPr>
            </w:pPr>
            <w:r>
              <w:rPr>
                <w:rFonts w:ascii="宋体" w:hAnsi="宋体" w:cs="宋体"/>
                <w:b/>
                <w:bCs/>
                <w:color w:val="auto"/>
                <w:sz w:val="24"/>
              </w:rPr>
              <w:t>施工</w:t>
            </w:r>
            <w:r>
              <w:rPr>
                <w:rFonts w:hint="eastAsia" w:ascii="宋体" w:hAnsi="宋体" w:cs="宋体"/>
                <w:b/>
                <w:bCs/>
                <w:color w:val="auto"/>
                <w:sz w:val="24"/>
              </w:rPr>
              <w:t>保证措施</w:t>
            </w:r>
          </w:p>
        </w:tc>
        <w:tc>
          <w:tcPr>
            <w:tcW w:w="7088" w:type="dxa"/>
            <w:shd w:val="clear" w:color="auto" w:fill="FFFFFF"/>
            <w:vAlign w:val="center"/>
          </w:tcPr>
          <w:p w14:paraId="02BE3214">
            <w:pPr>
              <w:spacing w:line="300" w:lineRule="auto"/>
              <w:rPr>
                <w:rFonts w:hint="eastAsia" w:ascii="宋体" w:hAnsi="宋体"/>
                <w:bCs/>
                <w:color w:val="auto"/>
                <w:sz w:val="24"/>
              </w:rPr>
            </w:pPr>
            <w:r>
              <w:rPr>
                <w:rFonts w:hint="eastAsia" w:ascii="宋体" w:hAnsi="宋体"/>
                <w:bCs/>
                <w:color w:val="auto"/>
                <w:sz w:val="24"/>
              </w:rPr>
              <w:t>投标人根据本项目重难点、本项目的实际情况、安全施工措施等提供保证措施方案：能与各学校具体情况相衔接，保证提前采购，及时安装，调试运行</w:t>
            </w:r>
            <w:r>
              <w:rPr>
                <w:rFonts w:hint="eastAsia" w:ascii="宋体" w:hAnsi="宋体"/>
                <w:color w:val="auto"/>
                <w:sz w:val="24"/>
              </w:rPr>
              <w:t>等进行打分：</w:t>
            </w:r>
          </w:p>
          <w:p w14:paraId="043BE667">
            <w:pPr>
              <w:spacing w:line="300" w:lineRule="auto"/>
              <w:rPr>
                <w:rFonts w:hint="eastAsia" w:ascii="宋体" w:hAnsi="宋体"/>
                <w:bCs/>
                <w:color w:val="auto"/>
                <w:kern w:val="10"/>
                <w:sz w:val="24"/>
              </w:rPr>
            </w:pPr>
            <w:r>
              <w:rPr>
                <w:rFonts w:hint="eastAsia" w:ascii="宋体" w:hAnsi="宋体"/>
                <w:bCs/>
                <w:color w:val="auto"/>
                <w:kern w:val="10"/>
                <w:sz w:val="24"/>
              </w:rPr>
              <w:t>理解与分析全面且合理的，得5分；</w:t>
            </w:r>
          </w:p>
          <w:p w14:paraId="1A024786">
            <w:pPr>
              <w:spacing w:line="300" w:lineRule="auto"/>
              <w:rPr>
                <w:rFonts w:hint="eastAsia" w:ascii="宋体" w:hAnsi="宋体"/>
                <w:bCs/>
                <w:color w:val="auto"/>
                <w:kern w:val="10"/>
                <w:sz w:val="24"/>
              </w:rPr>
            </w:pPr>
            <w:r>
              <w:rPr>
                <w:rFonts w:hint="eastAsia" w:ascii="宋体" w:hAnsi="宋体"/>
                <w:bCs/>
                <w:color w:val="auto"/>
                <w:kern w:val="10"/>
                <w:sz w:val="24"/>
              </w:rPr>
              <w:t>理解与分析存在缺陷但基本符合项目需求的，得3分；</w:t>
            </w:r>
          </w:p>
          <w:p w14:paraId="5ED3D9C4">
            <w:pPr>
              <w:spacing w:line="300" w:lineRule="auto"/>
              <w:rPr>
                <w:rFonts w:hint="eastAsia" w:ascii="宋体" w:hAnsi="宋体"/>
                <w:bCs/>
                <w:color w:val="auto"/>
                <w:kern w:val="10"/>
                <w:sz w:val="24"/>
              </w:rPr>
            </w:pPr>
            <w:r>
              <w:rPr>
                <w:rFonts w:hint="eastAsia" w:ascii="宋体" w:hAnsi="宋体"/>
                <w:bCs/>
                <w:color w:val="auto"/>
                <w:kern w:val="10"/>
                <w:sz w:val="24"/>
              </w:rPr>
              <w:t>理解模糊、分析较差或未提出有实质性理解与分析的，得1分；</w:t>
            </w:r>
          </w:p>
          <w:p w14:paraId="02A1B05B">
            <w:pPr>
              <w:spacing w:line="300" w:lineRule="auto"/>
              <w:rPr>
                <w:color w:val="auto"/>
              </w:rPr>
            </w:pPr>
            <w:r>
              <w:rPr>
                <w:rFonts w:hint="eastAsia" w:ascii="宋体" w:hAnsi="宋体"/>
                <w:bCs/>
                <w:color w:val="auto"/>
                <w:kern w:val="10"/>
                <w:sz w:val="24"/>
              </w:rPr>
              <w:t>未提供理解或分析的不得分。</w:t>
            </w:r>
          </w:p>
        </w:tc>
        <w:tc>
          <w:tcPr>
            <w:tcW w:w="744" w:type="dxa"/>
            <w:vAlign w:val="center"/>
          </w:tcPr>
          <w:p w14:paraId="5593CBBB">
            <w:pPr>
              <w:spacing w:line="300" w:lineRule="auto"/>
              <w:jc w:val="center"/>
              <w:rPr>
                <w:rFonts w:hint="eastAsia" w:ascii="宋体" w:hAnsi="宋体" w:cs="宋体"/>
                <w:b/>
                <w:color w:val="auto"/>
                <w:sz w:val="24"/>
              </w:rPr>
            </w:pPr>
            <w:r>
              <w:rPr>
                <w:rFonts w:hint="eastAsia" w:ascii="宋体" w:hAnsi="宋体" w:cs="宋体"/>
                <w:b/>
                <w:color w:val="auto"/>
                <w:sz w:val="24"/>
              </w:rPr>
              <w:t>5分</w:t>
            </w:r>
          </w:p>
        </w:tc>
      </w:tr>
      <w:tr w14:paraId="4525E3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503755E0">
            <w:pPr>
              <w:spacing w:line="300" w:lineRule="auto"/>
              <w:jc w:val="center"/>
              <w:rPr>
                <w:rFonts w:hint="eastAsia" w:ascii="宋体" w:hAnsi="宋体"/>
                <w:b/>
                <w:color w:val="auto"/>
                <w:sz w:val="24"/>
              </w:rPr>
            </w:pPr>
            <w:r>
              <w:rPr>
                <w:rFonts w:hint="eastAsia" w:ascii="宋体" w:hAnsi="宋体"/>
                <w:b/>
                <w:color w:val="auto"/>
                <w:sz w:val="24"/>
              </w:rPr>
              <w:t>9</w:t>
            </w:r>
          </w:p>
        </w:tc>
        <w:tc>
          <w:tcPr>
            <w:tcW w:w="1456" w:type="dxa"/>
            <w:shd w:val="clear" w:color="auto" w:fill="auto"/>
            <w:vAlign w:val="center"/>
          </w:tcPr>
          <w:p w14:paraId="75E65594">
            <w:pPr>
              <w:spacing w:line="300" w:lineRule="auto"/>
              <w:jc w:val="center"/>
              <w:rPr>
                <w:rFonts w:hint="eastAsia" w:ascii="宋体" w:hAnsi="宋体" w:cs="宋体"/>
                <w:b/>
                <w:bCs/>
                <w:color w:val="auto"/>
                <w:sz w:val="24"/>
              </w:rPr>
            </w:pPr>
            <w:r>
              <w:rPr>
                <w:rFonts w:ascii="宋体" w:hAnsi="宋体" w:cs="宋体"/>
                <w:b/>
                <w:bCs/>
                <w:color w:val="auto"/>
                <w:sz w:val="24"/>
              </w:rPr>
              <w:t>服务团队</w:t>
            </w:r>
          </w:p>
        </w:tc>
        <w:tc>
          <w:tcPr>
            <w:tcW w:w="7088" w:type="dxa"/>
            <w:shd w:val="clear" w:color="auto" w:fill="FFFFFF"/>
            <w:vAlign w:val="center"/>
          </w:tcPr>
          <w:p w14:paraId="09FE6D72">
            <w:pPr>
              <w:spacing w:line="300" w:lineRule="auto"/>
              <w:rPr>
                <w:rFonts w:hint="eastAsia" w:ascii="宋体" w:hAnsi="宋体"/>
                <w:color w:val="auto"/>
                <w:sz w:val="24"/>
              </w:rPr>
            </w:pPr>
            <w:r>
              <w:rPr>
                <w:rFonts w:hint="eastAsia" w:ascii="宋体" w:hAnsi="宋体"/>
                <w:color w:val="auto"/>
                <w:sz w:val="24"/>
              </w:rPr>
              <w:t>根据投标人拟派项目团队人员的结构配置、职责分工、专业技能证书、项目经验情况等内容进行打分：</w:t>
            </w:r>
          </w:p>
          <w:p w14:paraId="00B95681">
            <w:pPr>
              <w:spacing w:line="300" w:lineRule="auto"/>
              <w:rPr>
                <w:rFonts w:hint="eastAsia" w:ascii="宋体" w:hAnsi="宋体"/>
                <w:color w:val="auto"/>
                <w:sz w:val="24"/>
              </w:rPr>
            </w:pPr>
            <w:r>
              <w:rPr>
                <w:rFonts w:ascii="宋体" w:hAnsi="宋体"/>
                <w:color w:val="auto"/>
                <w:sz w:val="24"/>
              </w:rPr>
              <w:t>人员配置全面、分工明确、专业技能及项目经验丰富的得</w:t>
            </w:r>
            <w:r>
              <w:rPr>
                <w:rFonts w:hint="eastAsia" w:ascii="宋体" w:hAnsi="宋体"/>
                <w:color w:val="auto"/>
                <w:sz w:val="24"/>
                <w:lang w:val="en-US" w:eastAsia="zh-CN"/>
              </w:rPr>
              <w:t>5</w:t>
            </w:r>
            <w:r>
              <w:rPr>
                <w:rFonts w:ascii="宋体" w:hAnsi="宋体"/>
                <w:color w:val="auto"/>
                <w:sz w:val="24"/>
              </w:rPr>
              <w:t>分；</w:t>
            </w:r>
          </w:p>
          <w:p w14:paraId="61384D28">
            <w:pPr>
              <w:spacing w:line="300" w:lineRule="auto"/>
              <w:rPr>
                <w:rFonts w:hint="eastAsia" w:ascii="宋体" w:hAnsi="宋体"/>
                <w:color w:val="auto"/>
                <w:sz w:val="24"/>
              </w:rPr>
            </w:pPr>
            <w:r>
              <w:rPr>
                <w:rFonts w:ascii="宋体" w:hAnsi="宋体"/>
                <w:color w:val="auto"/>
                <w:sz w:val="24"/>
              </w:rPr>
              <w:t>人员配置相对全面、分工略有交杂、专业技能及项目经验相对一般的得</w:t>
            </w:r>
            <w:r>
              <w:rPr>
                <w:rFonts w:hint="eastAsia" w:ascii="宋体" w:hAnsi="宋体"/>
                <w:color w:val="auto"/>
                <w:sz w:val="24"/>
                <w:lang w:val="en-US" w:eastAsia="zh-CN"/>
              </w:rPr>
              <w:t>3</w:t>
            </w:r>
            <w:r>
              <w:rPr>
                <w:rFonts w:ascii="宋体" w:hAnsi="宋体"/>
                <w:color w:val="auto"/>
                <w:sz w:val="24"/>
              </w:rPr>
              <w:t>分；</w:t>
            </w:r>
          </w:p>
          <w:p w14:paraId="47F4DD82">
            <w:pPr>
              <w:spacing w:line="300" w:lineRule="auto"/>
              <w:rPr>
                <w:rFonts w:hint="eastAsia" w:ascii="宋体" w:hAnsi="宋体"/>
                <w:color w:val="auto"/>
                <w:sz w:val="24"/>
              </w:rPr>
            </w:pPr>
            <w:r>
              <w:rPr>
                <w:rFonts w:ascii="宋体" w:hAnsi="宋体"/>
                <w:color w:val="auto"/>
                <w:sz w:val="24"/>
              </w:rPr>
              <w:t>人员配置单一、分工杂乱、专业技能及项目经验欠缺的得</w:t>
            </w:r>
            <w:r>
              <w:rPr>
                <w:rFonts w:hint="eastAsia" w:ascii="宋体" w:hAnsi="宋体"/>
                <w:color w:val="auto"/>
                <w:sz w:val="24"/>
              </w:rPr>
              <w:t>1</w:t>
            </w:r>
            <w:r>
              <w:rPr>
                <w:rFonts w:ascii="宋体" w:hAnsi="宋体"/>
                <w:color w:val="auto"/>
                <w:sz w:val="24"/>
              </w:rPr>
              <w:t>分；</w:t>
            </w:r>
          </w:p>
          <w:p w14:paraId="17E2B1B3">
            <w:pPr>
              <w:spacing w:line="300" w:lineRule="auto"/>
              <w:rPr>
                <w:rFonts w:hint="eastAsia" w:ascii="宋体" w:hAnsi="宋体"/>
                <w:color w:val="auto"/>
                <w:sz w:val="24"/>
              </w:rPr>
            </w:pPr>
            <w:r>
              <w:rPr>
                <w:rFonts w:hint="eastAsia" w:ascii="宋体" w:hAnsi="宋体" w:cs="Arial"/>
                <w:color w:val="auto"/>
                <w:sz w:val="24"/>
              </w:rPr>
              <w:t>未提供相关方案阐述或与项目不符的不得分</w:t>
            </w:r>
            <w:r>
              <w:rPr>
                <w:rFonts w:ascii="宋体" w:hAnsi="宋体"/>
                <w:color w:val="auto"/>
                <w:sz w:val="24"/>
              </w:rPr>
              <w:t>。</w:t>
            </w:r>
          </w:p>
          <w:p w14:paraId="10D2B9E5">
            <w:pPr>
              <w:spacing w:line="300" w:lineRule="auto"/>
              <w:rPr>
                <w:rFonts w:hint="eastAsia" w:ascii="宋体" w:hAnsi="宋体"/>
                <w:color w:val="auto"/>
                <w:sz w:val="24"/>
              </w:rPr>
            </w:pPr>
            <w:r>
              <w:rPr>
                <w:rFonts w:hint="eastAsia" w:ascii="宋体" w:hAnsi="宋体"/>
                <w:b/>
                <w:bCs/>
                <w:color w:val="auto"/>
                <w:sz w:val="24"/>
              </w:rPr>
              <w:t>注：技术文件中提供相关人员证书、项目经验等证明材料及投标人为其缴纳的近1</w:t>
            </w:r>
            <w:r>
              <w:rPr>
                <w:rFonts w:ascii="宋体" w:hAnsi="宋体"/>
                <w:b/>
                <w:bCs/>
                <w:color w:val="auto"/>
                <w:sz w:val="24"/>
              </w:rPr>
              <w:t>个月社保证明并加盖投标人公章，不提供或提供不全不得分。</w:t>
            </w:r>
          </w:p>
        </w:tc>
        <w:tc>
          <w:tcPr>
            <w:tcW w:w="744" w:type="dxa"/>
            <w:vAlign w:val="center"/>
          </w:tcPr>
          <w:p w14:paraId="7F323B9D">
            <w:pPr>
              <w:spacing w:line="300" w:lineRule="auto"/>
              <w:jc w:val="center"/>
              <w:rPr>
                <w:rFonts w:hint="eastAsia" w:ascii="宋体" w:hAnsi="宋体" w:cs="宋体"/>
                <w:b/>
                <w:color w:val="auto"/>
                <w:sz w:val="24"/>
              </w:rPr>
            </w:pPr>
            <w:r>
              <w:rPr>
                <w:rFonts w:hint="eastAsia" w:ascii="宋体" w:hAnsi="宋体" w:cs="宋体"/>
                <w:b/>
                <w:color w:val="auto"/>
                <w:sz w:val="24"/>
                <w:lang w:val="en-US" w:eastAsia="zh-CN"/>
              </w:rPr>
              <w:t>5</w:t>
            </w:r>
            <w:r>
              <w:rPr>
                <w:rFonts w:hint="eastAsia" w:ascii="宋体" w:hAnsi="宋体" w:cs="宋体"/>
                <w:b/>
                <w:color w:val="auto"/>
                <w:sz w:val="24"/>
              </w:rPr>
              <w:t>分</w:t>
            </w:r>
          </w:p>
        </w:tc>
      </w:tr>
      <w:tr w14:paraId="319EBF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63D7C08E">
            <w:pPr>
              <w:spacing w:line="300" w:lineRule="auto"/>
              <w:jc w:val="center"/>
              <w:rPr>
                <w:rFonts w:hint="eastAsia" w:ascii="宋体" w:hAnsi="宋体"/>
                <w:b/>
                <w:color w:val="auto"/>
                <w:sz w:val="24"/>
              </w:rPr>
            </w:pPr>
            <w:r>
              <w:rPr>
                <w:rFonts w:hint="eastAsia" w:ascii="宋体" w:hAnsi="宋体"/>
                <w:b/>
                <w:color w:val="auto"/>
                <w:sz w:val="24"/>
              </w:rPr>
              <w:t>10</w:t>
            </w:r>
          </w:p>
        </w:tc>
        <w:tc>
          <w:tcPr>
            <w:tcW w:w="1456" w:type="dxa"/>
            <w:shd w:val="clear" w:color="auto" w:fill="auto"/>
            <w:vAlign w:val="center"/>
          </w:tcPr>
          <w:p w14:paraId="6702FA99">
            <w:pPr>
              <w:spacing w:line="300" w:lineRule="auto"/>
              <w:jc w:val="center"/>
              <w:rPr>
                <w:rFonts w:hint="eastAsia" w:ascii="宋体" w:hAnsi="宋体" w:cs="宋体"/>
                <w:b/>
                <w:bCs/>
                <w:color w:val="auto"/>
                <w:sz w:val="24"/>
              </w:rPr>
            </w:pPr>
            <w:r>
              <w:rPr>
                <w:rFonts w:ascii="宋体" w:hAnsi="宋体" w:cs="宋体"/>
                <w:b/>
                <w:bCs/>
                <w:color w:val="auto"/>
                <w:sz w:val="24"/>
              </w:rPr>
              <w:t>售后服务</w:t>
            </w:r>
          </w:p>
        </w:tc>
        <w:tc>
          <w:tcPr>
            <w:tcW w:w="7088" w:type="dxa"/>
            <w:shd w:val="clear" w:color="auto" w:fill="FFFFFF"/>
            <w:vAlign w:val="center"/>
          </w:tcPr>
          <w:p w14:paraId="7854B8D0">
            <w:pPr>
              <w:spacing w:line="300" w:lineRule="auto"/>
              <w:rPr>
                <w:rFonts w:hint="eastAsia" w:ascii="宋体" w:hAnsi="宋体"/>
                <w:color w:val="auto"/>
                <w:sz w:val="24"/>
              </w:rPr>
            </w:pPr>
            <w:r>
              <w:rPr>
                <w:rFonts w:hint="eastAsia" w:ascii="宋体" w:hAnsi="宋体"/>
                <w:color w:val="auto"/>
                <w:sz w:val="24"/>
              </w:rPr>
              <w:t>在满足招标文件要求的基础上，投标人提供科学、合理、可操作的具体售后服务方案，包括技术支持、售后服务响应时间，出现质量问题的处理，日常检测及保养，故障处理效率，应急维修承诺等进行打分：</w:t>
            </w:r>
          </w:p>
          <w:p w14:paraId="66347A36">
            <w:pPr>
              <w:spacing w:line="300" w:lineRule="auto"/>
              <w:rPr>
                <w:rFonts w:hint="eastAsia" w:ascii="宋体" w:hAnsi="宋体" w:cs="宋体"/>
                <w:bCs/>
                <w:color w:val="auto"/>
                <w:sz w:val="24"/>
              </w:rPr>
            </w:pPr>
            <w:r>
              <w:rPr>
                <w:rFonts w:hint="eastAsia" w:ascii="宋体" w:hAnsi="宋体" w:cs="宋体"/>
                <w:bCs/>
                <w:color w:val="auto"/>
                <w:sz w:val="24"/>
              </w:rPr>
              <w:t>方案全面且合理的，得6分；</w:t>
            </w:r>
          </w:p>
          <w:p w14:paraId="371B24A8">
            <w:pPr>
              <w:spacing w:line="300" w:lineRule="auto"/>
              <w:rPr>
                <w:rFonts w:hint="eastAsia" w:ascii="宋体" w:hAnsi="宋体" w:cs="宋体"/>
                <w:bCs/>
                <w:color w:val="auto"/>
                <w:sz w:val="24"/>
              </w:rPr>
            </w:pPr>
            <w:r>
              <w:rPr>
                <w:rFonts w:hint="eastAsia" w:ascii="宋体" w:hAnsi="宋体" w:cs="宋体"/>
                <w:bCs/>
                <w:color w:val="auto"/>
                <w:sz w:val="24"/>
              </w:rPr>
              <w:t>方案存在缺陷但基本合理的，得4分；</w:t>
            </w:r>
          </w:p>
          <w:p w14:paraId="766E9CB1">
            <w:pPr>
              <w:spacing w:line="300" w:lineRule="auto"/>
              <w:rPr>
                <w:rFonts w:hint="eastAsia" w:ascii="宋体" w:hAnsi="宋体" w:cs="宋体"/>
                <w:bCs/>
                <w:color w:val="auto"/>
                <w:sz w:val="24"/>
              </w:rPr>
            </w:pPr>
            <w:r>
              <w:rPr>
                <w:rFonts w:hint="eastAsia" w:ascii="宋体" w:hAnsi="宋体" w:cs="宋体"/>
                <w:bCs/>
                <w:color w:val="auto"/>
                <w:sz w:val="24"/>
              </w:rPr>
              <w:t>方案较差或未实质性提出方案的，得2分；</w:t>
            </w:r>
          </w:p>
          <w:p w14:paraId="6542FFB7">
            <w:pPr>
              <w:spacing w:line="300" w:lineRule="auto"/>
              <w:rPr>
                <w:rFonts w:hint="eastAsia" w:ascii="宋体" w:hAnsi="宋体"/>
                <w:color w:val="auto"/>
                <w:sz w:val="24"/>
              </w:rPr>
            </w:pPr>
            <w:r>
              <w:rPr>
                <w:rFonts w:hint="eastAsia" w:ascii="宋体" w:hAnsi="宋体" w:cs="Arial"/>
                <w:color w:val="auto"/>
                <w:sz w:val="24"/>
              </w:rPr>
              <w:t>未提供相关方案阐述或与项目不符的不得分。</w:t>
            </w:r>
          </w:p>
        </w:tc>
        <w:tc>
          <w:tcPr>
            <w:tcW w:w="744" w:type="dxa"/>
            <w:vAlign w:val="center"/>
          </w:tcPr>
          <w:p w14:paraId="56590EEF">
            <w:pPr>
              <w:spacing w:line="300" w:lineRule="auto"/>
              <w:jc w:val="center"/>
              <w:rPr>
                <w:rFonts w:hint="eastAsia" w:ascii="宋体" w:hAnsi="宋体" w:cs="宋体"/>
                <w:b/>
                <w:color w:val="auto"/>
                <w:sz w:val="24"/>
              </w:rPr>
            </w:pPr>
            <w:r>
              <w:rPr>
                <w:rFonts w:hint="eastAsia" w:ascii="宋体" w:hAnsi="宋体" w:cs="宋体"/>
                <w:b/>
                <w:color w:val="auto"/>
                <w:sz w:val="24"/>
              </w:rPr>
              <w:t>6分</w:t>
            </w:r>
          </w:p>
        </w:tc>
      </w:tr>
      <w:tr w14:paraId="5AF8B6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3226ED5F">
            <w:pPr>
              <w:spacing w:line="300" w:lineRule="auto"/>
              <w:jc w:val="center"/>
              <w:rPr>
                <w:rFonts w:hint="eastAsia" w:ascii="宋体" w:hAnsi="宋体"/>
                <w:b/>
                <w:color w:val="auto"/>
                <w:sz w:val="24"/>
              </w:rPr>
            </w:pPr>
            <w:r>
              <w:rPr>
                <w:rFonts w:hint="eastAsia" w:ascii="宋体" w:hAnsi="宋体"/>
                <w:b/>
                <w:color w:val="auto"/>
                <w:sz w:val="24"/>
              </w:rPr>
              <w:t>11</w:t>
            </w:r>
          </w:p>
        </w:tc>
        <w:tc>
          <w:tcPr>
            <w:tcW w:w="1456" w:type="dxa"/>
            <w:shd w:val="clear" w:color="auto" w:fill="auto"/>
            <w:vAlign w:val="center"/>
          </w:tcPr>
          <w:p w14:paraId="1A6D1FFE">
            <w:pPr>
              <w:spacing w:line="300" w:lineRule="auto"/>
              <w:jc w:val="center"/>
              <w:rPr>
                <w:rFonts w:hint="eastAsia" w:ascii="宋体" w:hAnsi="宋体" w:cs="宋体"/>
                <w:b/>
                <w:bCs/>
                <w:color w:val="auto"/>
                <w:sz w:val="24"/>
              </w:rPr>
            </w:pPr>
            <w:r>
              <w:rPr>
                <w:rFonts w:ascii="宋体" w:hAnsi="宋体" w:cs="宋体"/>
                <w:b/>
                <w:bCs/>
                <w:color w:val="auto"/>
                <w:sz w:val="24"/>
              </w:rPr>
              <w:t>技术培训</w:t>
            </w:r>
          </w:p>
        </w:tc>
        <w:tc>
          <w:tcPr>
            <w:tcW w:w="7088" w:type="dxa"/>
            <w:shd w:val="clear" w:color="auto" w:fill="FFFFFF"/>
            <w:vAlign w:val="center"/>
          </w:tcPr>
          <w:p w14:paraId="67711BE0">
            <w:pPr>
              <w:spacing w:line="300" w:lineRule="auto"/>
              <w:rPr>
                <w:rFonts w:hint="eastAsia" w:ascii="宋体" w:hAnsi="宋体"/>
                <w:color w:val="auto"/>
                <w:sz w:val="24"/>
              </w:rPr>
            </w:pPr>
            <w:r>
              <w:rPr>
                <w:rFonts w:hint="eastAsia" w:ascii="宋体" w:hAnsi="宋体"/>
                <w:color w:val="auto"/>
                <w:sz w:val="24"/>
              </w:rPr>
              <w:t>根据培训方案（包括培训计划、培训内容、培训范围、培训形式等）阐述情况等进行打分：</w:t>
            </w:r>
          </w:p>
          <w:p w14:paraId="6C3EC549">
            <w:pPr>
              <w:spacing w:line="300" w:lineRule="auto"/>
              <w:rPr>
                <w:rFonts w:hint="eastAsia" w:ascii="宋体" w:hAnsi="宋体" w:cs="Arial"/>
                <w:color w:val="auto"/>
                <w:sz w:val="24"/>
              </w:rPr>
            </w:pPr>
            <w:r>
              <w:rPr>
                <w:rFonts w:hint="eastAsia" w:ascii="宋体" w:hAnsi="宋体" w:cs="Arial"/>
                <w:color w:val="auto"/>
                <w:sz w:val="24"/>
              </w:rPr>
              <w:t>方案合理、全面、可行的得3分；</w:t>
            </w:r>
          </w:p>
          <w:p w14:paraId="0FB67971">
            <w:pPr>
              <w:spacing w:line="300" w:lineRule="auto"/>
              <w:rPr>
                <w:rFonts w:hint="eastAsia" w:ascii="宋体" w:hAnsi="宋体" w:cs="Arial"/>
                <w:color w:val="auto"/>
                <w:sz w:val="24"/>
              </w:rPr>
            </w:pPr>
            <w:r>
              <w:rPr>
                <w:rFonts w:hint="eastAsia" w:ascii="宋体" w:hAnsi="宋体" w:cs="Arial"/>
                <w:color w:val="auto"/>
                <w:sz w:val="24"/>
              </w:rPr>
              <w:t>方案存在欠缺，但相对完善、基本合理可行的得2分；</w:t>
            </w:r>
          </w:p>
          <w:p w14:paraId="10D26627">
            <w:pPr>
              <w:spacing w:line="300" w:lineRule="auto"/>
              <w:rPr>
                <w:rFonts w:hint="eastAsia" w:ascii="宋体" w:hAnsi="宋体" w:cs="Arial"/>
                <w:color w:val="auto"/>
                <w:sz w:val="24"/>
              </w:rPr>
            </w:pPr>
            <w:r>
              <w:rPr>
                <w:rFonts w:hint="eastAsia" w:ascii="宋体" w:hAnsi="宋体" w:cs="Arial"/>
                <w:color w:val="auto"/>
                <w:sz w:val="24"/>
              </w:rPr>
              <w:t>有提出方案，</w:t>
            </w:r>
            <w:r>
              <w:rPr>
                <w:rFonts w:hint="eastAsia" w:ascii="宋体" w:hAnsi="宋体"/>
                <w:color w:val="auto"/>
                <w:sz w:val="24"/>
              </w:rPr>
              <w:t>但内容较为粗略，层次不够清晰，可执行性较弱的</w:t>
            </w:r>
            <w:r>
              <w:rPr>
                <w:rFonts w:hint="eastAsia" w:ascii="宋体" w:hAnsi="宋体" w:cs="Arial"/>
                <w:color w:val="auto"/>
                <w:sz w:val="24"/>
              </w:rPr>
              <w:t>得1分；</w:t>
            </w:r>
          </w:p>
          <w:p w14:paraId="794760F3">
            <w:pPr>
              <w:spacing w:line="300" w:lineRule="auto"/>
              <w:rPr>
                <w:rFonts w:hint="eastAsia" w:ascii="宋体" w:hAnsi="宋体"/>
                <w:color w:val="auto"/>
                <w:sz w:val="24"/>
              </w:rPr>
            </w:pPr>
            <w:r>
              <w:rPr>
                <w:rFonts w:hint="eastAsia" w:ascii="宋体" w:hAnsi="宋体" w:cs="Arial"/>
                <w:color w:val="auto"/>
                <w:sz w:val="24"/>
              </w:rPr>
              <w:t>未提供相关方案阐述或与项目不符的不得分。</w:t>
            </w:r>
          </w:p>
        </w:tc>
        <w:tc>
          <w:tcPr>
            <w:tcW w:w="744" w:type="dxa"/>
            <w:vAlign w:val="center"/>
          </w:tcPr>
          <w:p w14:paraId="425F3ECB">
            <w:pPr>
              <w:spacing w:line="300" w:lineRule="auto"/>
              <w:jc w:val="center"/>
              <w:rPr>
                <w:rFonts w:hint="eastAsia" w:ascii="宋体" w:hAnsi="宋体" w:cs="宋体"/>
                <w:b/>
                <w:color w:val="auto"/>
                <w:sz w:val="24"/>
              </w:rPr>
            </w:pPr>
            <w:r>
              <w:rPr>
                <w:rFonts w:hint="eastAsia" w:ascii="宋体" w:hAnsi="宋体" w:cs="宋体"/>
                <w:b/>
                <w:color w:val="auto"/>
                <w:sz w:val="24"/>
              </w:rPr>
              <w:t>3分</w:t>
            </w:r>
          </w:p>
        </w:tc>
      </w:tr>
    </w:tbl>
    <w:p w14:paraId="2C147C4C">
      <w:pPr>
        <w:spacing w:line="312" w:lineRule="auto"/>
        <w:rPr>
          <w:rFonts w:hint="eastAsia" w:ascii="宋体" w:hAnsi="宋体" w:cs="宋体"/>
          <w:color w:val="auto"/>
          <w:sz w:val="24"/>
        </w:rPr>
      </w:pPr>
      <w:r>
        <w:rPr>
          <w:rFonts w:hint="eastAsia" w:ascii="宋体" w:hAnsi="宋体" w:cs="宋体"/>
          <w:b/>
          <w:bCs/>
          <w:color w:val="auto"/>
          <w:sz w:val="24"/>
        </w:rPr>
        <w:t>5.本次评审通过资格审查和符合性评审的单位全部入围进行报价评审。</w:t>
      </w:r>
    </w:p>
    <w:p w14:paraId="3A738C6C">
      <w:pPr>
        <w:adjustRightInd w:val="0"/>
        <w:snapToGrid w:val="0"/>
        <w:spacing w:line="312" w:lineRule="auto"/>
        <w:ind w:firstLine="482" w:firstLineChars="200"/>
        <w:rPr>
          <w:rFonts w:hint="eastAsia" w:ascii="宋体" w:hAnsi="宋体" w:cs="宋体"/>
          <w:b/>
          <w:bCs/>
          <w:color w:val="auto"/>
          <w:sz w:val="24"/>
        </w:rPr>
      </w:pPr>
      <w:r>
        <w:rPr>
          <w:rFonts w:hint="eastAsia" w:ascii="宋体" w:hAnsi="宋体" w:cs="宋体"/>
          <w:b/>
          <w:bCs/>
          <w:color w:val="auto"/>
          <w:sz w:val="24"/>
        </w:rPr>
        <w:t>五、采购需求</w:t>
      </w:r>
    </w:p>
    <w:p w14:paraId="3E41DA90">
      <w:pPr>
        <w:pStyle w:val="10"/>
        <w:spacing w:before="0" w:beforeLines="0" w:after="0" w:afterLines="0"/>
        <w:ind w:left="0" w:leftChars="0" w:firstLine="482" w:firstLineChars="200"/>
        <w:rPr>
          <w:rFonts w:hint="eastAsia"/>
          <w:color w:val="auto"/>
        </w:rPr>
      </w:pPr>
      <w:r>
        <w:rPr>
          <w:rFonts w:hint="eastAsia" w:cs="宋体"/>
          <w:color w:val="auto"/>
        </w:rPr>
        <w:t>采购清单中如有参考品牌、型号的仅作为投标方案参考，除参考品牌、型号以外，欢迎其它能满足本项目技术需求或其性能相当于或高于参考品牌、型号性能的产品参加。</w:t>
      </w:r>
    </w:p>
    <w:p w14:paraId="1AFBCA9C">
      <w:pPr>
        <w:pStyle w:val="10"/>
        <w:spacing w:before="0" w:beforeLines="0" w:after="0" w:afterLines="0"/>
        <w:ind w:left="0" w:leftChars="0" w:firstLine="482" w:firstLineChars="200"/>
        <w:rPr>
          <w:rFonts w:hint="eastAsia"/>
          <w:color w:val="auto"/>
        </w:rPr>
      </w:pPr>
      <w:r>
        <w:rPr>
          <w:rFonts w:hint="eastAsia"/>
          <w:color w:val="auto"/>
        </w:rPr>
        <w:t>一、项目清单</w:t>
      </w:r>
    </w:p>
    <w:tbl>
      <w:tblPr>
        <w:tblStyle w:val="8"/>
        <w:tblW w:w="7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3342"/>
        <w:gridCol w:w="2761"/>
      </w:tblGrid>
      <w:tr w14:paraId="74F6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Align w:val="center"/>
          </w:tcPr>
          <w:p w14:paraId="146198EE">
            <w:pPr>
              <w:snapToGrid w:val="0"/>
              <w:jc w:val="center"/>
              <w:rPr>
                <w:rFonts w:hint="eastAsia" w:ascii="宋体" w:hAnsi="宋体" w:cs="宋体"/>
                <w:b/>
                <w:bCs/>
                <w:color w:val="auto"/>
                <w:sz w:val="24"/>
              </w:rPr>
            </w:pPr>
            <w:r>
              <w:rPr>
                <w:rFonts w:hint="eastAsia" w:ascii="宋体" w:hAnsi="宋体" w:cs="宋体"/>
                <w:b/>
                <w:bCs/>
                <w:color w:val="auto"/>
                <w:sz w:val="24"/>
              </w:rPr>
              <w:t>序号</w:t>
            </w:r>
          </w:p>
        </w:tc>
        <w:tc>
          <w:tcPr>
            <w:tcW w:w="3342" w:type="dxa"/>
            <w:vAlign w:val="center"/>
          </w:tcPr>
          <w:p w14:paraId="7F34A764">
            <w:pPr>
              <w:snapToGrid w:val="0"/>
              <w:jc w:val="center"/>
              <w:rPr>
                <w:rFonts w:hint="eastAsia" w:ascii="宋体" w:hAnsi="宋体" w:cs="宋体"/>
                <w:b/>
                <w:bCs/>
                <w:color w:val="auto"/>
                <w:sz w:val="24"/>
              </w:rPr>
            </w:pPr>
            <w:r>
              <w:rPr>
                <w:rFonts w:hint="eastAsia" w:ascii="宋体" w:hAnsi="宋体" w:cs="宋体"/>
                <w:b/>
                <w:bCs/>
                <w:color w:val="auto"/>
                <w:sz w:val="24"/>
              </w:rPr>
              <w:t>设备名称</w:t>
            </w:r>
          </w:p>
        </w:tc>
        <w:tc>
          <w:tcPr>
            <w:tcW w:w="2761" w:type="dxa"/>
            <w:vAlign w:val="center"/>
          </w:tcPr>
          <w:p w14:paraId="2206ABBB">
            <w:pPr>
              <w:snapToGrid w:val="0"/>
              <w:jc w:val="center"/>
              <w:rPr>
                <w:rFonts w:hint="eastAsia" w:ascii="宋体" w:hAnsi="宋体" w:cs="宋体"/>
                <w:b/>
                <w:bCs/>
                <w:color w:val="auto"/>
                <w:spacing w:val="-6"/>
                <w:sz w:val="24"/>
              </w:rPr>
            </w:pPr>
            <w:r>
              <w:rPr>
                <w:rFonts w:hint="eastAsia" w:ascii="宋体" w:hAnsi="宋体" w:cs="宋体"/>
                <w:b/>
                <w:bCs/>
                <w:color w:val="auto"/>
                <w:spacing w:val="-6"/>
                <w:sz w:val="24"/>
              </w:rPr>
              <w:t>数量</w:t>
            </w:r>
          </w:p>
        </w:tc>
      </w:tr>
      <w:tr w14:paraId="6089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33" w:type="dxa"/>
            <w:vAlign w:val="center"/>
          </w:tcPr>
          <w:p w14:paraId="3C9F8867">
            <w:pPr>
              <w:snapToGrid w:val="0"/>
              <w:jc w:val="center"/>
              <w:rPr>
                <w:rFonts w:hint="eastAsia" w:ascii="宋体" w:hAnsi="宋体" w:cs="宋体"/>
                <w:color w:val="auto"/>
                <w:sz w:val="24"/>
              </w:rPr>
            </w:pPr>
            <w:r>
              <w:rPr>
                <w:rFonts w:hint="eastAsia" w:ascii="宋体" w:hAnsi="宋体" w:cs="宋体"/>
                <w:color w:val="auto"/>
                <w:sz w:val="24"/>
              </w:rPr>
              <w:t>1</w:t>
            </w:r>
          </w:p>
        </w:tc>
        <w:tc>
          <w:tcPr>
            <w:tcW w:w="3342" w:type="dxa"/>
            <w:vAlign w:val="center"/>
          </w:tcPr>
          <w:p w14:paraId="68CD948B">
            <w:pPr>
              <w:snapToGrid w:val="0"/>
              <w:jc w:val="center"/>
              <w:rPr>
                <w:rFonts w:hint="eastAsia" w:ascii="宋体" w:hAnsi="宋体" w:cs="宋体"/>
                <w:color w:val="auto"/>
                <w:sz w:val="24"/>
              </w:rPr>
            </w:pPr>
            <w:r>
              <w:rPr>
                <w:rFonts w:hint="eastAsia" w:ascii="宋体" w:hAnsi="宋体"/>
                <w:b/>
                <w:bCs/>
                <w:color w:val="auto"/>
                <w:szCs w:val="21"/>
              </w:rPr>
              <w:t>●</w:t>
            </w:r>
            <w:r>
              <w:rPr>
                <w:rFonts w:hint="eastAsia" w:ascii="宋体" w:hAnsi="宋体" w:cs="宋体"/>
                <w:color w:val="auto"/>
                <w:sz w:val="24"/>
              </w:rPr>
              <w:t>智慧黑板(98寸)</w:t>
            </w:r>
          </w:p>
          <w:p w14:paraId="4F40B6A7">
            <w:pPr>
              <w:snapToGrid w:val="0"/>
              <w:jc w:val="center"/>
              <w:rPr>
                <w:rFonts w:hint="eastAsia" w:ascii="宋体" w:hAnsi="宋体" w:cs="宋体"/>
                <w:color w:val="auto"/>
                <w:sz w:val="24"/>
              </w:rPr>
            </w:pPr>
            <w:r>
              <w:rPr>
                <w:rFonts w:hint="eastAsia" w:ascii="宋体" w:hAnsi="宋体" w:cs="宋体"/>
                <w:b/>
                <w:bCs/>
                <w:color w:val="auto"/>
                <w:sz w:val="24"/>
                <w:lang w:eastAsia="zh-CN"/>
              </w:rPr>
              <w:t>（核心产品）</w:t>
            </w:r>
          </w:p>
        </w:tc>
        <w:tc>
          <w:tcPr>
            <w:tcW w:w="2761" w:type="dxa"/>
            <w:vAlign w:val="center"/>
          </w:tcPr>
          <w:p w14:paraId="00ABF957">
            <w:pPr>
              <w:snapToGrid w:val="0"/>
              <w:jc w:val="center"/>
              <w:rPr>
                <w:rFonts w:hint="eastAsia" w:ascii="宋体" w:hAnsi="宋体" w:cs="宋体"/>
                <w:color w:val="auto"/>
                <w:spacing w:val="-6"/>
                <w:sz w:val="24"/>
              </w:rPr>
            </w:pPr>
            <w:r>
              <w:rPr>
                <w:rFonts w:hint="eastAsia" w:ascii="宋体" w:hAnsi="宋体" w:cs="宋体"/>
                <w:color w:val="auto"/>
                <w:spacing w:val="-6"/>
                <w:sz w:val="24"/>
              </w:rPr>
              <w:t>23</w:t>
            </w:r>
          </w:p>
        </w:tc>
      </w:tr>
      <w:tr w14:paraId="2E5F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33" w:type="dxa"/>
            <w:vAlign w:val="center"/>
          </w:tcPr>
          <w:p w14:paraId="0BC8D07E">
            <w:pPr>
              <w:snapToGrid w:val="0"/>
              <w:jc w:val="center"/>
              <w:rPr>
                <w:rFonts w:hint="eastAsia" w:ascii="宋体" w:hAnsi="宋体" w:cs="宋体"/>
                <w:color w:val="auto"/>
                <w:sz w:val="24"/>
              </w:rPr>
            </w:pPr>
            <w:r>
              <w:rPr>
                <w:rFonts w:hint="eastAsia" w:ascii="宋体" w:hAnsi="宋体" w:cs="宋体"/>
                <w:color w:val="auto"/>
                <w:sz w:val="24"/>
              </w:rPr>
              <w:t>2</w:t>
            </w:r>
          </w:p>
        </w:tc>
        <w:tc>
          <w:tcPr>
            <w:tcW w:w="3342" w:type="dxa"/>
            <w:vAlign w:val="center"/>
          </w:tcPr>
          <w:p w14:paraId="31F3319D">
            <w:pPr>
              <w:snapToGrid w:val="0"/>
              <w:jc w:val="center"/>
              <w:rPr>
                <w:rFonts w:hint="eastAsia" w:ascii="宋体" w:hAnsi="宋体" w:cs="宋体"/>
                <w:color w:val="auto"/>
                <w:sz w:val="24"/>
              </w:rPr>
            </w:pPr>
            <w:r>
              <w:rPr>
                <w:rFonts w:hint="eastAsia" w:ascii="宋体" w:hAnsi="宋体" w:cs="宋体"/>
                <w:color w:val="auto"/>
                <w:sz w:val="24"/>
              </w:rPr>
              <w:t>智慧黑板(86寸)</w:t>
            </w:r>
          </w:p>
        </w:tc>
        <w:tc>
          <w:tcPr>
            <w:tcW w:w="2761" w:type="dxa"/>
            <w:vAlign w:val="center"/>
          </w:tcPr>
          <w:p w14:paraId="59C32495">
            <w:pPr>
              <w:snapToGrid w:val="0"/>
              <w:jc w:val="center"/>
              <w:rPr>
                <w:rFonts w:hint="eastAsia" w:ascii="宋体" w:hAnsi="宋体" w:cs="宋体"/>
                <w:color w:val="auto"/>
                <w:spacing w:val="-6"/>
                <w:sz w:val="24"/>
              </w:rPr>
            </w:pPr>
            <w:r>
              <w:rPr>
                <w:rFonts w:hint="eastAsia" w:ascii="宋体" w:hAnsi="宋体" w:cs="宋体"/>
                <w:color w:val="auto"/>
                <w:spacing w:val="-6"/>
                <w:sz w:val="24"/>
              </w:rPr>
              <w:t>1</w:t>
            </w:r>
          </w:p>
        </w:tc>
      </w:tr>
      <w:tr w14:paraId="49758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33" w:type="dxa"/>
            <w:vAlign w:val="center"/>
          </w:tcPr>
          <w:p w14:paraId="18F6A74F">
            <w:pPr>
              <w:snapToGrid w:val="0"/>
              <w:jc w:val="center"/>
              <w:rPr>
                <w:rFonts w:hint="eastAsia" w:ascii="宋体" w:hAnsi="宋体" w:cs="宋体"/>
                <w:color w:val="auto"/>
                <w:sz w:val="24"/>
              </w:rPr>
            </w:pPr>
            <w:r>
              <w:rPr>
                <w:rFonts w:hint="eastAsia" w:ascii="宋体" w:hAnsi="宋体" w:cs="宋体"/>
                <w:color w:val="auto"/>
                <w:sz w:val="24"/>
              </w:rPr>
              <w:t>3</w:t>
            </w:r>
          </w:p>
        </w:tc>
        <w:tc>
          <w:tcPr>
            <w:tcW w:w="3342" w:type="dxa"/>
            <w:vAlign w:val="center"/>
          </w:tcPr>
          <w:p w14:paraId="497D47D5">
            <w:pPr>
              <w:snapToGrid w:val="0"/>
              <w:jc w:val="center"/>
              <w:rPr>
                <w:rFonts w:hint="eastAsia" w:ascii="宋体" w:hAnsi="宋体" w:cs="宋体"/>
                <w:color w:val="auto"/>
                <w:sz w:val="24"/>
              </w:rPr>
            </w:pPr>
            <w:r>
              <w:rPr>
                <w:rFonts w:hint="eastAsia" w:ascii="宋体" w:hAnsi="宋体" w:cs="宋体"/>
                <w:color w:val="auto"/>
                <w:sz w:val="24"/>
              </w:rPr>
              <w:t>显示屏</w:t>
            </w:r>
          </w:p>
        </w:tc>
        <w:tc>
          <w:tcPr>
            <w:tcW w:w="2761" w:type="dxa"/>
            <w:vAlign w:val="center"/>
          </w:tcPr>
          <w:p w14:paraId="663990D1">
            <w:pPr>
              <w:snapToGrid w:val="0"/>
              <w:jc w:val="center"/>
              <w:rPr>
                <w:rFonts w:hint="eastAsia" w:ascii="宋体" w:hAnsi="宋体" w:cs="宋体"/>
                <w:color w:val="auto"/>
                <w:spacing w:val="-6"/>
                <w:sz w:val="24"/>
              </w:rPr>
            </w:pPr>
            <w:r>
              <w:rPr>
                <w:rFonts w:hint="eastAsia" w:ascii="宋体" w:hAnsi="宋体" w:cs="宋体"/>
                <w:color w:val="auto"/>
                <w:spacing w:val="-6"/>
                <w:sz w:val="24"/>
              </w:rPr>
              <w:t>46</w:t>
            </w:r>
          </w:p>
        </w:tc>
      </w:tr>
      <w:tr w14:paraId="47D1B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33" w:type="dxa"/>
            <w:vAlign w:val="center"/>
          </w:tcPr>
          <w:p w14:paraId="3C7B6FF8">
            <w:pPr>
              <w:snapToGrid w:val="0"/>
              <w:jc w:val="center"/>
              <w:rPr>
                <w:rFonts w:hint="eastAsia" w:ascii="宋体" w:hAnsi="宋体" w:cs="宋体"/>
                <w:color w:val="auto"/>
                <w:sz w:val="24"/>
              </w:rPr>
            </w:pPr>
            <w:r>
              <w:rPr>
                <w:rFonts w:hint="eastAsia" w:ascii="宋体" w:hAnsi="宋体" w:cs="宋体"/>
                <w:color w:val="auto"/>
                <w:sz w:val="24"/>
              </w:rPr>
              <w:t>4</w:t>
            </w:r>
          </w:p>
        </w:tc>
        <w:tc>
          <w:tcPr>
            <w:tcW w:w="3342" w:type="dxa"/>
            <w:vAlign w:val="center"/>
          </w:tcPr>
          <w:p w14:paraId="66834E50">
            <w:pPr>
              <w:snapToGrid w:val="0"/>
              <w:jc w:val="center"/>
              <w:rPr>
                <w:rFonts w:hint="eastAsia" w:ascii="宋体" w:hAnsi="宋体" w:cs="宋体"/>
                <w:color w:val="auto"/>
                <w:sz w:val="24"/>
              </w:rPr>
            </w:pPr>
            <w:r>
              <w:rPr>
                <w:rFonts w:hint="eastAsia" w:ascii="宋体" w:hAnsi="宋体" w:cs="宋体"/>
                <w:color w:val="auto"/>
                <w:sz w:val="24"/>
              </w:rPr>
              <w:t>智能讲台</w:t>
            </w:r>
          </w:p>
        </w:tc>
        <w:tc>
          <w:tcPr>
            <w:tcW w:w="2761" w:type="dxa"/>
            <w:vAlign w:val="center"/>
          </w:tcPr>
          <w:p w14:paraId="56604F5E">
            <w:pPr>
              <w:snapToGrid w:val="0"/>
              <w:jc w:val="center"/>
              <w:rPr>
                <w:rFonts w:hint="eastAsia" w:ascii="宋体" w:hAnsi="宋体" w:cs="宋体"/>
                <w:color w:val="auto"/>
                <w:spacing w:val="-6"/>
                <w:sz w:val="24"/>
              </w:rPr>
            </w:pPr>
            <w:r>
              <w:rPr>
                <w:rFonts w:hint="eastAsia" w:ascii="宋体" w:hAnsi="宋体" w:cs="宋体"/>
                <w:color w:val="auto"/>
                <w:spacing w:val="-6"/>
                <w:sz w:val="24"/>
              </w:rPr>
              <w:t>24</w:t>
            </w:r>
          </w:p>
        </w:tc>
      </w:tr>
      <w:tr w14:paraId="3921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33" w:type="dxa"/>
            <w:vAlign w:val="center"/>
          </w:tcPr>
          <w:p w14:paraId="525D9EF3">
            <w:pPr>
              <w:snapToGrid w:val="0"/>
              <w:jc w:val="center"/>
              <w:rPr>
                <w:rFonts w:hint="eastAsia" w:ascii="宋体" w:hAnsi="宋体" w:cs="宋体"/>
                <w:color w:val="auto"/>
                <w:sz w:val="24"/>
              </w:rPr>
            </w:pPr>
            <w:r>
              <w:rPr>
                <w:rFonts w:hint="eastAsia" w:ascii="宋体" w:hAnsi="宋体" w:cs="宋体"/>
                <w:color w:val="auto"/>
                <w:sz w:val="24"/>
              </w:rPr>
              <w:t>5</w:t>
            </w:r>
          </w:p>
        </w:tc>
        <w:tc>
          <w:tcPr>
            <w:tcW w:w="3342" w:type="dxa"/>
            <w:vAlign w:val="center"/>
          </w:tcPr>
          <w:p w14:paraId="6CA7B162">
            <w:pPr>
              <w:snapToGrid w:val="0"/>
              <w:jc w:val="center"/>
              <w:rPr>
                <w:rFonts w:hint="eastAsia" w:ascii="宋体" w:hAnsi="宋体" w:cs="宋体"/>
                <w:color w:val="auto"/>
                <w:sz w:val="24"/>
              </w:rPr>
            </w:pPr>
            <w:r>
              <w:rPr>
                <w:rFonts w:hint="eastAsia" w:ascii="宋体" w:hAnsi="宋体" w:cs="宋体"/>
                <w:color w:val="auto"/>
                <w:sz w:val="24"/>
              </w:rPr>
              <w:t>智能中控</w:t>
            </w:r>
          </w:p>
        </w:tc>
        <w:tc>
          <w:tcPr>
            <w:tcW w:w="2761" w:type="dxa"/>
            <w:vAlign w:val="center"/>
          </w:tcPr>
          <w:p w14:paraId="784CE606">
            <w:pPr>
              <w:snapToGrid w:val="0"/>
              <w:jc w:val="center"/>
              <w:rPr>
                <w:rFonts w:hint="eastAsia" w:ascii="宋体" w:hAnsi="宋体" w:cs="宋体"/>
                <w:color w:val="auto"/>
                <w:spacing w:val="-6"/>
                <w:sz w:val="24"/>
              </w:rPr>
            </w:pPr>
            <w:r>
              <w:rPr>
                <w:rFonts w:hint="eastAsia" w:ascii="宋体" w:hAnsi="宋体" w:cs="宋体"/>
                <w:color w:val="auto"/>
                <w:spacing w:val="-6"/>
                <w:sz w:val="24"/>
              </w:rPr>
              <w:t>24</w:t>
            </w:r>
          </w:p>
        </w:tc>
      </w:tr>
      <w:tr w14:paraId="78CA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33" w:type="dxa"/>
            <w:vAlign w:val="center"/>
          </w:tcPr>
          <w:p w14:paraId="510241CD">
            <w:pPr>
              <w:snapToGrid w:val="0"/>
              <w:jc w:val="center"/>
              <w:rPr>
                <w:rFonts w:hint="eastAsia" w:ascii="宋体" w:hAnsi="宋体" w:cs="宋体"/>
                <w:color w:val="auto"/>
                <w:sz w:val="24"/>
              </w:rPr>
            </w:pPr>
            <w:r>
              <w:rPr>
                <w:rFonts w:hint="eastAsia" w:ascii="宋体" w:hAnsi="宋体" w:cs="宋体"/>
                <w:color w:val="auto"/>
                <w:sz w:val="24"/>
              </w:rPr>
              <w:t>6</w:t>
            </w:r>
          </w:p>
        </w:tc>
        <w:tc>
          <w:tcPr>
            <w:tcW w:w="3342" w:type="dxa"/>
            <w:vAlign w:val="center"/>
          </w:tcPr>
          <w:p w14:paraId="5EA327BE">
            <w:pPr>
              <w:snapToGrid w:val="0"/>
              <w:jc w:val="center"/>
              <w:rPr>
                <w:rFonts w:hint="eastAsia" w:ascii="宋体" w:hAnsi="宋体" w:cs="宋体"/>
                <w:color w:val="auto"/>
                <w:sz w:val="24"/>
              </w:rPr>
            </w:pPr>
            <w:r>
              <w:rPr>
                <w:rFonts w:hint="eastAsia" w:ascii="宋体" w:hAnsi="宋体" w:cs="宋体"/>
                <w:color w:val="auto"/>
                <w:sz w:val="24"/>
              </w:rPr>
              <w:t>线材更换</w:t>
            </w:r>
          </w:p>
        </w:tc>
        <w:tc>
          <w:tcPr>
            <w:tcW w:w="2761" w:type="dxa"/>
            <w:vAlign w:val="center"/>
          </w:tcPr>
          <w:p w14:paraId="34388ECC">
            <w:pPr>
              <w:snapToGrid w:val="0"/>
              <w:jc w:val="center"/>
              <w:rPr>
                <w:rFonts w:hint="eastAsia" w:ascii="宋体" w:hAnsi="宋体" w:cs="宋体"/>
                <w:color w:val="auto"/>
                <w:spacing w:val="-6"/>
                <w:sz w:val="24"/>
              </w:rPr>
            </w:pPr>
            <w:r>
              <w:rPr>
                <w:rFonts w:hint="eastAsia" w:ascii="宋体" w:hAnsi="宋体" w:cs="宋体"/>
                <w:color w:val="auto"/>
                <w:spacing w:val="-6"/>
                <w:sz w:val="24"/>
              </w:rPr>
              <w:t>24</w:t>
            </w:r>
          </w:p>
        </w:tc>
      </w:tr>
      <w:tr w14:paraId="33DA4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33" w:type="dxa"/>
            <w:vAlign w:val="center"/>
          </w:tcPr>
          <w:p w14:paraId="1E2803B0">
            <w:pPr>
              <w:snapToGrid w:val="0"/>
              <w:jc w:val="center"/>
              <w:rPr>
                <w:rFonts w:hint="eastAsia" w:ascii="宋体" w:hAnsi="宋体" w:cs="宋体"/>
                <w:color w:val="auto"/>
                <w:sz w:val="24"/>
              </w:rPr>
            </w:pPr>
            <w:r>
              <w:rPr>
                <w:rFonts w:hint="eastAsia" w:ascii="宋体" w:hAnsi="宋体" w:cs="宋体"/>
                <w:color w:val="auto"/>
                <w:sz w:val="24"/>
              </w:rPr>
              <w:t>7</w:t>
            </w:r>
          </w:p>
        </w:tc>
        <w:tc>
          <w:tcPr>
            <w:tcW w:w="3342" w:type="dxa"/>
            <w:vAlign w:val="center"/>
          </w:tcPr>
          <w:p w14:paraId="002226D2">
            <w:pPr>
              <w:snapToGrid w:val="0"/>
              <w:jc w:val="center"/>
              <w:rPr>
                <w:rFonts w:hint="eastAsia" w:ascii="宋体" w:hAnsi="宋体" w:cs="宋体"/>
                <w:color w:val="auto"/>
                <w:sz w:val="24"/>
              </w:rPr>
            </w:pPr>
            <w:r>
              <w:rPr>
                <w:rFonts w:hint="eastAsia" w:ascii="宋体" w:hAnsi="宋体" w:cs="宋体"/>
                <w:color w:val="auto"/>
                <w:sz w:val="24"/>
              </w:rPr>
              <w:t>控制面板</w:t>
            </w:r>
          </w:p>
        </w:tc>
        <w:tc>
          <w:tcPr>
            <w:tcW w:w="2761" w:type="dxa"/>
            <w:vAlign w:val="center"/>
          </w:tcPr>
          <w:p w14:paraId="3937FC63">
            <w:pPr>
              <w:snapToGrid w:val="0"/>
              <w:jc w:val="center"/>
              <w:rPr>
                <w:rFonts w:hint="eastAsia" w:ascii="宋体" w:hAnsi="宋体" w:cs="宋体"/>
                <w:color w:val="auto"/>
                <w:spacing w:val="-6"/>
                <w:sz w:val="24"/>
              </w:rPr>
            </w:pPr>
            <w:r>
              <w:rPr>
                <w:rFonts w:hint="eastAsia" w:ascii="宋体" w:hAnsi="宋体" w:cs="宋体"/>
                <w:color w:val="auto"/>
                <w:spacing w:val="-6"/>
                <w:sz w:val="24"/>
              </w:rPr>
              <w:t>4</w:t>
            </w:r>
          </w:p>
        </w:tc>
      </w:tr>
      <w:tr w14:paraId="5809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33" w:type="dxa"/>
            <w:vAlign w:val="center"/>
          </w:tcPr>
          <w:p w14:paraId="5709E453">
            <w:pPr>
              <w:snapToGrid w:val="0"/>
              <w:jc w:val="center"/>
              <w:rPr>
                <w:rFonts w:hint="eastAsia" w:ascii="宋体" w:hAnsi="宋体" w:cs="宋体"/>
                <w:color w:val="auto"/>
                <w:sz w:val="24"/>
              </w:rPr>
            </w:pPr>
            <w:r>
              <w:rPr>
                <w:rFonts w:hint="eastAsia" w:ascii="宋体" w:hAnsi="宋体" w:cs="宋体"/>
                <w:color w:val="auto"/>
                <w:sz w:val="24"/>
              </w:rPr>
              <w:t>8</w:t>
            </w:r>
          </w:p>
        </w:tc>
        <w:tc>
          <w:tcPr>
            <w:tcW w:w="3342" w:type="dxa"/>
            <w:vAlign w:val="center"/>
          </w:tcPr>
          <w:p w14:paraId="31891AB2">
            <w:pPr>
              <w:snapToGrid w:val="0"/>
              <w:jc w:val="center"/>
              <w:rPr>
                <w:rFonts w:hint="eastAsia" w:ascii="宋体" w:hAnsi="宋体" w:cs="宋体"/>
                <w:color w:val="auto"/>
                <w:sz w:val="24"/>
              </w:rPr>
            </w:pPr>
            <w:r>
              <w:rPr>
                <w:rFonts w:hint="eastAsia" w:ascii="宋体" w:hAnsi="宋体" w:cs="宋体"/>
                <w:color w:val="auto"/>
                <w:sz w:val="24"/>
              </w:rPr>
              <w:t>校园铃声喇叭</w:t>
            </w:r>
          </w:p>
        </w:tc>
        <w:tc>
          <w:tcPr>
            <w:tcW w:w="2761" w:type="dxa"/>
            <w:vAlign w:val="center"/>
          </w:tcPr>
          <w:p w14:paraId="73D1F0A2">
            <w:pPr>
              <w:snapToGrid w:val="0"/>
              <w:jc w:val="center"/>
              <w:rPr>
                <w:rFonts w:hint="eastAsia" w:ascii="宋体" w:hAnsi="宋体" w:cs="宋体"/>
                <w:color w:val="auto"/>
                <w:spacing w:val="-6"/>
                <w:sz w:val="24"/>
              </w:rPr>
            </w:pPr>
            <w:r>
              <w:rPr>
                <w:rFonts w:hint="eastAsia" w:ascii="宋体" w:hAnsi="宋体" w:cs="宋体"/>
                <w:color w:val="auto"/>
                <w:spacing w:val="-6"/>
                <w:sz w:val="24"/>
              </w:rPr>
              <w:t>100</w:t>
            </w:r>
          </w:p>
        </w:tc>
      </w:tr>
    </w:tbl>
    <w:p w14:paraId="073E2F78">
      <w:pPr>
        <w:pStyle w:val="10"/>
        <w:spacing w:before="0" w:beforeLines="0" w:after="0" w:afterLines="0"/>
        <w:ind w:left="0" w:leftChars="0" w:firstLine="482" w:firstLineChars="200"/>
        <w:rPr>
          <w:rFonts w:hint="eastAsia"/>
          <w:color w:val="auto"/>
        </w:rPr>
      </w:pPr>
      <w:r>
        <w:rPr>
          <w:rFonts w:hint="eastAsia"/>
          <w:color w:val="auto"/>
        </w:rPr>
        <w:t>二、技术要求</w:t>
      </w:r>
    </w:p>
    <w:tbl>
      <w:tblPr>
        <w:tblStyle w:val="8"/>
        <w:tblW w:w="53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013"/>
        <w:gridCol w:w="6063"/>
        <w:gridCol w:w="369"/>
        <w:gridCol w:w="349"/>
        <w:gridCol w:w="660"/>
      </w:tblGrid>
      <w:tr w14:paraId="3D68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73" w:type="pct"/>
            <w:vAlign w:val="center"/>
          </w:tcPr>
          <w:p w14:paraId="4EA0FFDB">
            <w:pPr>
              <w:jc w:val="center"/>
              <w:rPr>
                <w:rFonts w:hint="eastAsia" w:ascii="宋体" w:hAnsi="宋体" w:cs="宋体"/>
                <w:b/>
                <w:bCs/>
                <w:color w:val="auto"/>
                <w:szCs w:val="21"/>
              </w:rPr>
            </w:pPr>
            <w:r>
              <w:rPr>
                <w:rFonts w:hint="eastAsia" w:ascii="宋体" w:hAnsi="宋体" w:cs="宋体"/>
                <w:b/>
                <w:bCs/>
                <w:color w:val="auto"/>
                <w:szCs w:val="21"/>
              </w:rPr>
              <w:t>序号</w:t>
            </w:r>
          </w:p>
        </w:tc>
        <w:tc>
          <w:tcPr>
            <w:tcW w:w="554" w:type="pct"/>
            <w:vAlign w:val="center"/>
          </w:tcPr>
          <w:p w14:paraId="118454D8">
            <w:pPr>
              <w:jc w:val="center"/>
              <w:rPr>
                <w:rFonts w:hint="eastAsia" w:ascii="宋体" w:hAnsi="宋体" w:cs="宋体"/>
                <w:b/>
                <w:bCs/>
                <w:color w:val="auto"/>
                <w:szCs w:val="21"/>
              </w:rPr>
            </w:pPr>
            <w:r>
              <w:rPr>
                <w:rFonts w:hint="eastAsia" w:ascii="宋体" w:hAnsi="宋体" w:cs="宋体"/>
                <w:b/>
                <w:bCs/>
                <w:color w:val="auto"/>
                <w:szCs w:val="21"/>
              </w:rPr>
              <w:t>设备名称</w:t>
            </w:r>
          </w:p>
        </w:tc>
        <w:tc>
          <w:tcPr>
            <w:tcW w:w="3317" w:type="pct"/>
            <w:vAlign w:val="center"/>
          </w:tcPr>
          <w:p w14:paraId="1CB7A59B">
            <w:pPr>
              <w:jc w:val="center"/>
              <w:rPr>
                <w:rFonts w:hint="eastAsia" w:ascii="宋体" w:hAnsi="宋体" w:cs="宋体"/>
                <w:b/>
                <w:bCs/>
                <w:color w:val="auto"/>
                <w:szCs w:val="21"/>
              </w:rPr>
            </w:pPr>
            <w:r>
              <w:rPr>
                <w:rFonts w:hint="eastAsia" w:ascii="宋体" w:hAnsi="宋体" w:cs="宋体"/>
                <w:b/>
                <w:bCs/>
                <w:color w:val="auto"/>
                <w:szCs w:val="21"/>
              </w:rPr>
              <w:t>技术要求</w:t>
            </w:r>
          </w:p>
        </w:tc>
        <w:tc>
          <w:tcPr>
            <w:tcW w:w="202" w:type="pct"/>
            <w:vAlign w:val="center"/>
          </w:tcPr>
          <w:p w14:paraId="4C58FB8E">
            <w:pPr>
              <w:jc w:val="center"/>
              <w:rPr>
                <w:rFonts w:hint="eastAsia" w:ascii="宋体" w:hAnsi="宋体" w:cs="宋体"/>
                <w:b/>
                <w:bCs/>
                <w:color w:val="auto"/>
                <w:szCs w:val="21"/>
              </w:rPr>
            </w:pPr>
            <w:r>
              <w:rPr>
                <w:rFonts w:hint="eastAsia" w:ascii="宋体" w:hAnsi="宋体" w:cs="宋体"/>
                <w:b/>
                <w:bCs/>
                <w:color w:val="auto"/>
                <w:szCs w:val="21"/>
              </w:rPr>
              <w:t>数量</w:t>
            </w:r>
          </w:p>
        </w:tc>
        <w:tc>
          <w:tcPr>
            <w:tcW w:w="191" w:type="pct"/>
            <w:vAlign w:val="center"/>
          </w:tcPr>
          <w:p w14:paraId="0CB76509">
            <w:pPr>
              <w:jc w:val="center"/>
              <w:rPr>
                <w:rFonts w:hint="eastAsia" w:ascii="宋体" w:hAnsi="宋体" w:cs="宋体"/>
                <w:b/>
                <w:bCs/>
                <w:color w:val="auto"/>
                <w:szCs w:val="21"/>
              </w:rPr>
            </w:pPr>
            <w:r>
              <w:rPr>
                <w:rFonts w:hint="eastAsia" w:ascii="宋体" w:hAnsi="宋体" w:cs="宋体"/>
                <w:b/>
                <w:bCs/>
                <w:color w:val="auto"/>
                <w:szCs w:val="21"/>
              </w:rPr>
              <w:t>单位</w:t>
            </w:r>
          </w:p>
        </w:tc>
        <w:tc>
          <w:tcPr>
            <w:tcW w:w="361" w:type="pct"/>
            <w:vAlign w:val="center"/>
          </w:tcPr>
          <w:p w14:paraId="72ABB3B4">
            <w:pPr>
              <w:jc w:val="center"/>
              <w:rPr>
                <w:rFonts w:hint="eastAsia" w:ascii="宋体" w:hAnsi="宋体" w:cs="宋体"/>
                <w:b/>
                <w:bCs/>
                <w:color w:val="auto"/>
                <w:szCs w:val="21"/>
              </w:rPr>
            </w:pPr>
            <w:r>
              <w:rPr>
                <w:rFonts w:hint="eastAsia" w:ascii="宋体" w:hAnsi="宋体" w:cs="宋体"/>
                <w:b/>
                <w:bCs/>
                <w:color w:val="auto"/>
                <w:szCs w:val="21"/>
              </w:rPr>
              <w:t>参考</w:t>
            </w:r>
          </w:p>
          <w:p w14:paraId="4019EB63">
            <w:pPr>
              <w:jc w:val="center"/>
              <w:rPr>
                <w:rFonts w:hint="eastAsia" w:ascii="宋体" w:hAnsi="宋体" w:cs="宋体"/>
                <w:b/>
                <w:bCs/>
                <w:color w:val="auto"/>
                <w:szCs w:val="21"/>
              </w:rPr>
            </w:pPr>
            <w:r>
              <w:rPr>
                <w:rFonts w:hint="eastAsia" w:ascii="宋体" w:hAnsi="宋体" w:cs="宋体"/>
                <w:b/>
                <w:bCs/>
                <w:color w:val="auto"/>
                <w:szCs w:val="21"/>
              </w:rPr>
              <w:t>品牌</w:t>
            </w:r>
          </w:p>
        </w:tc>
      </w:tr>
      <w:tr w14:paraId="7BDC8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73" w:type="pct"/>
            <w:vAlign w:val="center"/>
          </w:tcPr>
          <w:p w14:paraId="5E402D29">
            <w:pPr>
              <w:widowControl/>
              <w:jc w:val="center"/>
              <w:textAlignment w:val="center"/>
              <w:rPr>
                <w:rFonts w:hint="eastAsia" w:ascii="宋体" w:hAnsi="宋体" w:cs="宋体"/>
                <w:color w:val="auto"/>
                <w:szCs w:val="21"/>
              </w:rPr>
            </w:pPr>
            <w:r>
              <w:rPr>
                <w:rFonts w:hint="eastAsia" w:ascii="宋体" w:hAnsi="宋体" w:cs="宋体"/>
                <w:color w:val="auto"/>
                <w:szCs w:val="21"/>
              </w:rPr>
              <w:t>1</w:t>
            </w:r>
          </w:p>
        </w:tc>
        <w:tc>
          <w:tcPr>
            <w:tcW w:w="554" w:type="pct"/>
            <w:shd w:val="clear" w:color="auto" w:fill="auto"/>
            <w:vAlign w:val="center"/>
          </w:tcPr>
          <w:p w14:paraId="5F11552F">
            <w:pPr>
              <w:spacing w:line="288" w:lineRule="auto"/>
              <w:jc w:val="center"/>
              <w:rPr>
                <w:rFonts w:hint="eastAsia" w:ascii="宋体" w:hAnsi="宋体" w:cs="宋体"/>
                <w:color w:val="auto"/>
                <w:spacing w:val="-6"/>
                <w:szCs w:val="21"/>
              </w:rPr>
            </w:pPr>
            <w:r>
              <w:rPr>
                <w:rFonts w:hint="eastAsia" w:ascii="宋体" w:hAnsi="宋体" w:cs="宋体"/>
                <w:b/>
                <w:bCs/>
                <w:color w:val="auto"/>
                <w:szCs w:val="21"/>
              </w:rPr>
              <w:t>●</w:t>
            </w:r>
            <w:r>
              <w:rPr>
                <w:rFonts w:hint="eastAsia" w:ascii="宋体" w:hAnsi="宋体" w:cs="宋体"/>
                <w:color w:val="auto"/>
                <w:spacing w:val="-6"/>
                <w:szCs w:val="21"/>
              </w:rPr>
              <w:t>智慧黑板(98寸)</w:t>
            </w:r>
            <w:r>
              <w:rPr>
                <w:rFonts w:hint="eastAsia" w:ascii="宋体" w:hAnsi="宋体" w:cs="宋体"/>
                <w:b/>
                <w:bCs/>
                <w:color w:val="auto"/>
                <w:spacing w:val="-6"/>
                <w:szCs w:val="21"/>
                <w:lang w:eastAsia="zh-CN"/>
              </w:rPr>
              <w:t>（核心产品）</w:t>
            </w:r>
          </w:p>
        </w:tc>
        <w:tc>
          <w:tcPr>
            <w:tcW w:w="3317" w:type="pct"/>
          </w:tcPr>
          <w:p w14:paraId="36FDDD5E">
            <w:pPr>
              <w:rPr>
                <w:rFonts w:hint="eastAsia" w:ascii="宋体" w:hAnsi="宋体" w:cs="宋体"/>
                <w:b/>
                <w:bCs/>
                <w:color w:val="auto"/>
                <w:szCs w:val="21"/>
              </w:rPr>
            </w:pPr>
            <w:r>
              <w:rPr>
                <w:rFonts w:hint="eastAsia" w:ascii="宋体" w:hAnsi="宋体" w:cs="宋体"/>
                <w:b/>
                <w:bCs/>
                <w:color w:val="auto"/>
                <w:szCs w:val="21"/>
              </w:rPr>
              <w:t>一、外观和结构设计</w:t>
            </w:r>
          </w:p>
          <w:p w14:paraId="44222B33">
            <w:pPr>
              <w:rPr>
                <w:rFonts w:hint="eastAsia" w:ascii="宋体" w:hAnsi="宋体" w:cs="宋体"/>
                <w:color w:val="auto"/>
                <w:szCs w:val="21"/>
              </w:rPr>
            </w:pPr>
            <w:r>
              <w:rPr>
                <w:rFonts w:hint="eastAsia" w:ascii="宋体" w:hAnsi="宋体" w:cs="宋体"/>
                <w:color w:val="auto"/>
                <w:szCs w:val="21"/>
              </w:rPr>
              <w:t>1.整机屏幕采用≥98英寸液晶显示器，采用UHD超高清LED液晶屏，显示比例16:9，分辨率3840×2160。</w:t>
            </w:r>
          </w:p>
          <w:p w14:paraId="6DE02B60">
            <w:pPr>
              <w:rPr>
                <w:rFonts w:hint="eastAsia" w:ascii="宋体" w:hAnsi="宋体" w:cs="宋体"/>
                <w:color w:val="auto"/>
                <w:szCs w:val="21"/>
              </w:rPr>
            </w:pPr>
            <w:r>
              <w:rPr>
                <w:rFonts w:hint="eastAsia" w:ascii="宋体" w:hAnsi="宋体" w:cs="宋体"/>
                <w:color w:val="auto"/>
                <w:szCs w:val="21"/>
              </w:rPr>
              <w:t>2.整体外观尺寸：宽≥4500mm，高≥1350mm，厚≤95mm。</w:t>
            </w:r>
          </w:p>
          <w:p w14:paraId="4BECF8A3">
            <w:pPr>
              <w:rPr>
                <w:rFonts w:hint="eastAsia" w:ascii="宋体" w:hAnsi="宋体" w:cs="宋体"/>
                <w:color w:val="auto"/>
                <w:szCs w:val="21"/>
              </w:rPr>
            </w:pPr>
            <w:r>
              <w:rPr>
                <w:rFonts w:hint="eastAsia" w:ascii="宋体" w:hAnsi="宋体" w:cs="宋体"/>
                <w:color w:val="auto"/>
                <w:szCs w:val="21"/>
              </w:rPr>
              <w:t>3.整机采用全金属外壳，三拼接平面一体化设计，主副屏过渡平滑并在同一平面，中间无单独边框阻隔。</w:t>
            </w:r>
          </w:p>
          <w:p w14:paraId="5D0B5B4E">
            <w:pPr>
              <w:rPr>
                <w:rFonts w:hint="eastAsia" w:ascii="宋体" w:hAnsi="宋体" w:cs="宋体"/>
                <w:color w:val="auto"/>
                <w:szCs w:val="21"/>
              </w:rPr>
            </w:pPr>
            <w:r>
              <w:rPr>
                <w:rFonts w:hint="eastAsia" w:ascii="宋体" w:hAnsi="宋体" w:cs="宋体"/>
                <w:color w:val="auto"/>
                <w:szCs w:val="21"/>
              </w:rPr>
              <w:t>▲4.整机显示屏幕采用全贴合方式，显示屏幕采用全物理防眩光钢化玻璃，有效保护屏幕显示画面，支持防眩光功能，钢化玻璃表面硬度≥9H。</w:t>
            </w:r>
            <w:r>
              <w:rPr>
                <w:rFonts w:hint="eastAsia" w:ascii="宋体" w:hAnsi="宋体" w:cs="宋体"/>
                <w:b/>
                <w:bCs/>
                <w:color w:val="auto"/>
                <w:szCs w:val="21"/>
              </w:rPr>
              <w:t>（技术文件中提供具有CMA或CNAS认证的第三方检测机构所出具的关于该功能的检测报告复印件）</w:t>
            </w:r>
          </w:p>
          <w:p w14:paraId="17BAB43A">
            <w:pPr>
              <w:rPr>
                <w:rFonts w:hint="eastAsia" w:ascii="宋体" w:hAnsi="宋体" w:cs="宋体"/>
                <w:b/>
                <w:bCs/>
                <w:color w:val="auto"/>
                <w:szCs w:val="21"/>
              </w:rPr>
            </w:pPr>
            <w:r>
              <w:rPr>
                <w:rFonts w:hint="eastAsia" w:ascii="宋体" w:hAnsi="宋体" w:cs="宋体"/>
                <w:b/>
                <w:bCs/>
                <w:color w:val="auto"/>
                <w:szCs w:val="21"/>
              </w:rPr>
              <w:t>二、触控和显示设计</w:t>
            </w:r>
          </w:p>
          <w:p w14:paraId="70A0D655">
            <w:pPr>
              <w:rPr>
                <w:rFonts w:hint="eastAsia" w:ascii="宋体" w:hAnsi="宋体" w:cs="宋体"/>
                <w:color w:val="auto"/>
                <w:szCs w:val="21"/>
              </w:rPr>
            </w:pPr>
            <w:r>
              <w:rPr>
                <w:rFonts w:hint="eastAsia" w:ascii="宋体" w:hAnsi="宋体" w:cs="宋体"/>
                <w:color w:val="auto"/>
                <w:szCs w:val="21"/>
              </w:rPr>
              <w:t>▲1.采用电容触控技术，支持Windows系统中进行40点或以上触控，支持在Android系统中进行32点或以上触控。</w:t>
            </w:r>
            <w:r>
              <w:rPr>
                <w:rFonts w:hint="eastAsia" w:ascii="宋体" w:hAnsi="宋体" w:cs="宋体"/>
                <w:b/>
                <w:bCs/>
                <w:color w:val="auto"/>
                <w:szCs w:val="21"/>
              </w:rPr>
              <w:t>（技术文件中提供具有CMA或CNAS认证的第三方检测机构所出具的关于该功能的检测报告复印件）</w:t>
            </w:r>
          </w:p>
          <w:p w14:paraId="654B5CBC">
            <w:pPr>
              <w:rPr>
                <w:rFonts w:hint="eastAsia" w:ascii="宋体" w:hAnsi="宋体" w:cs="宋体"/>
                <w:color w:val="auto"/>
                <w:szCs w:val="21"/>
              </w:rPr>
            </w:pPr>
            <w:r>
              <w:rPr>
                <w:rFonts w:hint="eastAsia" w:ascii="宋体" w:hAnsi="宋体" w:cs="宋体"/>
                <w:color w:val="auto"/>
                <w:szCs w:val="21"/>
              </w:rPr>
              <w:t>2.整机显示屏幕采用全贴合方式。</w:t>
            </w:r>
          </w:p>
          <w:p w14:paraId="17317AD5">
            <w:pPr>
              <w:rPr>
                <w:rFonts w:hint="eastAsia" w:ascii="宋体" w:hAnsi="宋体" w:cs="宋体"/>
                <w:color w:val="auto"/>
                <w:szCs w:val="21"/>
              </w:rPr>
            </w:pPr>
            <w:r>
              <w:rPr>
                <w:rFonts w:hint="eastAsia" w:ascii="宋体" w:hAnsi="宋体" w:cs="宋体"/>
                <w:color w:val="auto"/>
                <w:szCs w:val="21"/>
              </w:rPr>
              <w:t>3.整机色域覆盖率（NTSC）≥90%，灰度等级≥256级。4.整机采用硬件低蓝光背光技术，在源头减少有害蓝光波段能量，蓝光占比（有害蓝光415～455nm能量综合）/（整体蓝光400～500能量综合）＜50%，低蓝光保护显示不偏色、不泛黄。</w:t>
            </w:r>
          </w:p>
          <w:p w14:paraId="6041EB62">
            <w:pPr>
              <w:rPr>
                <w:rFonts w:hint="eastAsia" w:ascii="宋体" w:hAnsi="宋体" w:cs="宋体"/>
                <w:color w:val="auto"/>
                <w:szCs w:val="21"/>
              </w:rPr>
            </w:pPr>
            <w:r>
              <w:rPr>
                <w:rFonts w:hint="eastAsia" w:ascii="宋体" w:hAnsi="宋体" w:cs="宋体"/>
                <w:color w:val="auto"/>
                <w:szCs w:val="21"/>
              </w:rPr>
              <w:t>5.整机视网膜蓝光危害（蓝光加权辐射亮度LB）满足IEC TR 62778:2014蓝光危害RG0级别。</w:t>
            </w:r>
          </w:p>
          <w:p w14:paraId="5BEFFCAB">
            <w:pPr>
              <w:rPr>
                <w:rFonts w:hint="eastAsia" w:ascii="宋体" w:hAnsi="宋体" w:cs="宋体"/>
                <w:color w:val="auto"/>
                <w:szCs w:val="21"/>
              </w:rPr>
            </w:pPr>
            <w:r>
              <w:rPr>
                <w:rFonts w:hint="eastAsia" w:ascii="宋体" w:hAnsi="宋体" w:cs="宋体"/>
                <w:color w:val="auto"/>
                <w:szCs w:val="21"/>
              </w:rPr>
              <w:t>▲6.支持纸质护眼模式，在任意通道任意画面任意软件所在显示内容下可实时调整画面纹理。画面纹理的类型有牛皮纸、素描纸、宣纸、水彩纸、水纹纸。同时支持色温调节和透明度调节。</w:t>
            </w:r>
            <w:r>
              <w:rPr>
                <w:rFonts w:hint="eastAsia" w:ascii="宋体" w:hAnsi="宋体" w:cs="宋体"/>
                <w:b/>
                <w:bCs/>
                <w:color w:val="auto"/>
                <w:szCs w:val="21"/>
              </w:rPr>
              <w:t>（技术文件中提供具有CMA或CNAS认证的第三方检测机构所出具的关于该功能的检测报告复印件）</w:t>
            </w:r>
          </w:p>
          <w:p w14:paraId="20BD25CF">
            <w:pPr>
              <w:rPr>
                <w:rFonts w:hint="eastAsia" w:ascii="宋体" w:hAnsi="宋体" w:cs="宋体"/>
                <w:color w:val="auto"/>
                <w:szCs w:val="21"/>
              </w:rPr>
            </w:pPr>
            <w:r>
              <w:rPr>
                <w:rFonts w:hint="eastAsia" w:ascii="宋体" w:hAnsi="宋体" w:cs="宋体"/>
                <w:color w:val="auto"/>
                <w:szCs w:val="21"/>
              </w:rPr>
              <w:t>7.纸质护眼模式下，显示画面各像素点灰度不规则，减少背景干扰。</w:t>
            </w:r>
          </w:p>
          <w:p w14:paraId="13602914">
            <w:pPr>
              <w:rPr>
                <w:rFonts w:hint="eastAsia" w:ascii="宋体" w:hAnsi="宋体" w:cs="宋体"/>
                <w:b/>
                <w:bCs/>
                <w:color w:val="auto"/>
                <w:szCs w:val="21"/>
              </w:rPr>
            </w:pPr>
            <w:r>
              <w:rPr>
                <w:rFonts w:hint="eastAsia" w:ascii="宋体" w:hAnsi="宋体" w:cs="宋体"/>
                <w:b/>
                <w:bCs/>
                <w:color w:val="auto"/>
                <w:szCs w:val="21"/>
              </w:rPr>
              <w:t>三、音视频采集与播放设计</w:t>
            </w:r>
          </w:p>
          <w:p w14:paraId="6B14A48D">
            <w:pPr>
              <w:rPr>
                <w:rFonts w:hint="eastAsia" w:ascii="宋体" w:hAnsi="宋体" w:cs="宋体"/>
                <w:color w:val="auto"/>
                <w:szCs w:val="21"/>
              </w:rPr>
            </w:pPr>
            <w:r>
              <w:rPr>
                <w:rFonts w:hint="eastAsia" w:ascii="宋体" w:hAnsi="宋体" w:cs="宋体"/>
                <w:color w:val="auto"/>
                <w:szCs w:val="21"/>
              </w:rPr>
              <w:t>▲1.整机内置非独立外扩展的4阵列麦克风，可用于对教室环境音频进行采集，麦克风拾音距离≥12m。</w:t>
            </w:r>
            <w:r>
              <w:rPr>
                <w:rFonts w:hint="eastAsia" w:ascii="宋体" w:hAnsi="宋体" w:cs="宋体"/>
                <w:b/>
                <w:bCs/>
                <w:color w:val="auto"/>
                <w:szCs w:val="21"/>
              </w:rPr>
              <w:t>（技术文件中提供具有CMA或CNAS认证的第三方检测机构所出具的关于该功能的检测报告复印件）</w:t>
            </w:r>
          </w:p>
          <w:p w14:paraId="11F9AF95">
            <w:pPr>
              <w:rPr>
                <w:rFonts w:hint="eastAsia" w:ascii="宋体" w:hAnsi="宋体" w:cs="宋体"/>
                <w:color w:val="auto"/>
                <w:szCs w:val="21"/>
              </w:rPr>
            </w:pPr>
            <w:r>
              <w:rPr>
                <w:rFonts w:hint="eastAsia" w:ascii="宋体" w:hAnsi="宋体" w:cs="宋体"/>
                <w:color w:val="auto"/>
                <w:szCs w:val="21"/>
              </w:rPr>
              <w:t>2.整机内置扬声器采用缝隙发声技术，喇叭采用槽式开口设计，不大于5.8mm。整机扬声器在100%音量下，可做到1米处声压级≥88db，10米处声压级≥73dB。</w:t>
            </w:r>
            <w:r>
              <w:rPr>
                <w:rFonts w:hint="eastAsia" w:ascii="宋体" w:hAnsi="宋体" w:cs="宋体"/>
                <w:b/>
                <w:bCs/>
                <w:color w:val="auto"/>
                <w:szCs w:val="21"/>
              </w:rPr>
              <w:t>（技术文件中提供具有CMA或CNAS认证的第三方检测机构所出具的关于该功能的检测报告复印件）</w:t>
            </w:r>
          </w:p>
          <w:p w14:paraId="32D1B26F">
            <w:pPr>
              <w:rPr>
                <w:rFonts w:hint="eastAsia" w:ascii="宋体" w:hAnsi="宋体" w:cs="宋体"/>
                <w:color w:val="auto"/>
                <w:szCs w:val="21"/>
              </w:rPr>
            </w:pPr>
            <w:r>
              <w:rPr>
                <w:rFonts w:hint="eastAsia" w:ascii="宋体" w:hAnsi="宋体" w:cs="宋体"/>
                <w:color w:val="auto"/>
                <w:szCs w:val="21"/>
              </w:rPr>
              <w:t>3.整机支持高级音效设置，可以调节左右声道平衡；在中低频段125Hz～1KHz，高频段2KHz～16KHz分别有-12dB～12dB范围的调节功能。</w:t>
            </w:r>
          </w:p>
          <w:p w14:paraId="31B714DB">
            <w:pPr>
              <w:rPr>
                <w:rFonts w:hint="eastAsia" w:ascii="宋体" w:hAnsi="宋体" w:cs="宋体"/>
                <w:color w:val="auto"/>
                <w:szCs w:val="21"/>
              </w:rPr>
            </w:pPr>
            <w:r>
              <w:rPr>
                <w:rFonts w:hint="eastAsia" w:ascii="宋体" w:hAnsi="宋体" w:cs="宋体"/>
                <w:color w:val="auto"/>
                <w:szCs w:val="21"/>
              </w:rPr>
              <w:t>▲4.整机内置非独立摄像头，可拍摄≥1600万像素数的照片，支持输出4K分辨率视频。</w:t>
            </w:r>
            <w:r>
              <w:rPr>
                <w:rFonts w:hint="eastAsia" w:ascii="宋体" w:hAnsi="宋体" w:cs="宋体"/>
                <w:b/>
                <w:bCs/>
                <w:color w:val="auto"/>
                <w:szCs w:val="21"/>
              </w:rPr>
              <w:t>（技术文件中提供具有CMA或CNAS认证的第三方检测机构所出具的关于该功能的检测报告复印件）</w:t>
            </w:r>
          </w:p>
          <w:p w14:paraId="57A7E8CE">
            <w:pPr>
              <w:rPr>
                <w:rFonts w:hint="eastAsia" w:ascii="宋体" w:hAnsi="宋体" w:cs="宋体"/>
                <w:color w:val="auto"/>
                <w:szCs w:val="21"/>
              </w:rPr>
            </w:pPr>
            <w:r>
              <w:rPr>
                <w:rFonts w:hint="eastAsia" w:ascii="宋体" w:hAnsi="宋体" w:cs="宋体"/>
                <w:color w:val="auto"/>
                <w:szCs w:val="21"/>
              </w:rPr>
              <w:t>5.整机支持输出摄像头视场角≥135度且水平视场角≥120度画面。</w:t>
            </w:r>
          </w:p>
          <w:p w14:paraId="5F9AF91B">
            <w:pPr>
              <w:rPr>
                <w:rFonts w:hint="eastAsia" w:ascii="宋体" w:hAnsi="宋体" w:cs="宋体"/>
                <w:color w:val="auto"/>
                <w:szCs w:val="21"/>
              </w:rPr>
            </w:pPr>
            <w:r>
              <w:rPr>
                <w:rFonts w:hint="eastAsia" w:ascii="宋体" w:hAnsi="宋体" w:cs="宋体"/>
                <w:color w:val="auto"/>
                <w:szCs w:val="21"/>
              </w:rPr>
              <w:t>▲6.整机内置非独立的高清摄像头，可用于远程巡课，可AI识别人像，人像识别距离≥10米。</w:t>
            </w:r>
            <w:r>
              <w:rPr>
                <w:rFonts w:hint="eastAsia" w:ascii="宋体" w:hAnsi="宋体" w:cs="宋体"/>
                <w:b/>
                <w:bCs/>
                <w:color w:val="auto"/>
                <w:szCs w:val="21"/>
              </w:rPr>
              <w:t>（技术文件中提供具有CMA或CNAS认证的第三方检测机构所出具的关于该功能的检测报告复印件）</w:t>
            </w:r>
          </w:p>
          <w:p w14:paraId="57536B95">
            <w:pPr>
              <w:rPr>
                <w:rFonts w:hint="eastAsia" w:ascii="宋体" w:hAnsi="宋体" w:cs="宋体"/>
                <w:color w:val="auto"/>
                <w:szCs w:val="21"/>
              </w:rPr>
            </w:pPr>
            <w:r>
              <w:rPr>
                <w:rFonts w:hint="eastAsia" w:ascii="宋体" w:hAnsi="宋体" w:cs="宋体"/>
                <w:color w:val="auto"/>
                <w:szCs w:val="21"/>
              </w:rPr>
              <w:t>7.整机内置非独立的高清摄像头，可用于远程巡课，拍摄范围可以涵盖整机距离摄像头垂直法线左右水平距离各大于等于4米，左右最边缘深度大于等于2.3米范围内，并且可以AI识别人像。</w:t>
            </w:r>
          </w:p>
          <w:p w14:paraId="365306C0">
            <w:pPr>
              <w:rPr>
                <w:rFonts w:hint="eastAsia" w:ascii="宋体" w:hAnsi="宋体" w:cs="宋体"/>
                <w:b/>
                <w:bCs/>
                <w:color w:val="auto"/>
                <w:szCs w:val="21"/>
              </w:rPr>
            </w:pPr>
            <w:r>
              <w:rPr>
                <w:rFonts w:hint="eastAsia" w:ascii="宋体" w:hAnsi="宋体" w:cs="宋体"/>
                <w:b/>
                <w:bCs/>
                <w:color w:val="auto"/>
                <w:szCs w:val="21"/>
              </w:rPr>
              <w:t>四、按键及接口功能设计</w:t>
            </w:r>
          </w:p>
          <w:p w14:paraId="2A36C280">
            <w:pPr>
              <w:rPr>
                <w:rFonts w:hint="eastAsia" w:ascii="宋体" w:hAnsi="宋体" w:cs="宋体"/>
                <w:color w:val="auto"/>
                <w:szCs w:val="21"/>
              </w:rPr>
            </w:pPr>
            <w:r>
              <w:rPr>
                <w:rFonts w:hint="eastAsia" w:ascii="宋体" w:hAnsi="宋体" w:cs="宋体"/>
                <w:color w:val="auto"/>
                <w:szCs w:val="21"/>
              </w:rPr>
              <w:t>▲1.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p>
          <w:p w14:paraId="11D07EAC">
            <w:pPr>
              <w:rPr>
                <w:rFonts w:hint="eastAsia" w:ascii="宋体" w:hAnsi="宋体" w:cs="宋体"/>
                <w:color w:val="auto"/>
                <w:szCs w:val="21"/>
              </w:rPr>
            </w:pPr>
            <w:r>
              <w:rPr>
                <w:rFonts w:hint="eastAsia" w:ascii="宋体" w:hAnsi="宋体" w:cs="宋体"/>
                <w:color w:val="auto"/>
                <w:szCs w:val="21"/>
              </w:rPr>
              <w:t>2.侧置输入接口具备≥2路HDMI、≥1路RS232、≥1路USB。侧置输出接口具备≥1路音频、≥1路触控USB、≥1路HDMI OUT。前置输入接口≥3路USB（包含1路Type-C、2路USB）。</w:t>
            </w:r>
          </w:p>
          <w:p w14:paraId="06983B9E">
            <w:pPr>
              <w:rPr>
                <w:rFonts w:hint="eastAsia" w:ascii="宋体" w:hAnsi="宋体" w:cs="宋体"/>
                <w:color w:val="auto"/>
                <w:szCs w:val="21"/>
              </w:rPr>
            </w:pPr>
            <w:r>
              <w:rPr>
                <w:rFonts w:hint="eastAsia" w:ascii="宋体" w:hAnsi="宋体" w:cs="宋体"/>
                <w:color w:val="auto"/>
                <w:szCs w:val="21"/>
              </w:rPr>
              <w:t>3.前置Type-C接口，支持通过不带转换转置的外部线缆，实现外接电脑HDMI信号的接入显示。</w:t>
            </w:r>
          </w:p>
          <w:p w14:paraId="1933D98B">
            <w:pPr>
              <w:rPr>
                <w:rFonts w:hint="eastAsia" w:ascii="宋体" w:hAnsi="宋体" w:cs="宋体"/>
                <w:b/>
                <w:bCs/>
                <w:color w:val="auto"/>
                <w:szCs w:val="21"/>
              </w:rPr>
            </w:pPr>
            <w:r>
              <w:rPr>
                <w:rFonts w:hint="eastAsia" w:ascii="宋体" w:hAnsi="宋体" w:cs="宋体"/>
                <w:b/>
                <w:bCs/>
                <w:color w:val="auto"/>
                <w:szCs w:val="21"/>
              </w:rPr>
              <w:t>五、无线系统设计</w:t>
            </w:r>
          </w:p>
          <w:p w14:paraId="752D655C">
            <w:pPr>
              <w:rPr>
                <w:rFonts w:hint="eastAsia" w:ascii="宋体" w:hAnsi="宋体" w:cs="宋体"/>
                <w:b/>
                <w:bCs/>
                <w:color w:val="auto"/>
                <w:szCs w:val="21"/>
              </w:rPr>
            </w:pPr>
            <w:r>
              <w:rPr>
                <w:rFonts w:hint="eastAsia" w:ascii="宋体" w:hAnsi="宋体" w:cs="宋体"/>
                <w:color w:val="auto"/>
                <w:szCs w:val="21"/>
              </w:rPr>
              <w:t>▲1.整机支持搭配具有NFC功能的手机、平板，通过接触整机设备上的NFC标签，即可实现手机、平板与大屏的连接并同步手机、平板的画面到设备上，无需其它操作设置，支持不少于4台手机、平板同时连接并显示。</w:t>
            </w:r>
            <w:r>
              <w:rPr>
                <w:rFonts w:hint="eastAsia" w:ascii="宋体" w:hAnsi="宋体" w:cs="宋体"/>
                <w:b/>
                <w:bCs/>
                <w:color w:val="auto"/>
                <w:szCs w:val="21"/>
              </w:rPr>
              <w:t>（技术文件中提供具有CMA或CNAS认证的第三方检测机构所出具的关于该功能的检测报告复印件）</w:t>
            </w:r>
          </w:p>
          <w:p w14:paraId="69967FA4">
            <w:pPr>
              <w:rPr>
                <w:rFonts w:hint="eastAsia" w:ascii="宋体" w:hAnsi="宋体" w:cs="宋体"/>
                <w:color w:val="auto"/>
                <w:szCs w:val="21"/>
              </w:rPr>
            </w:pPr>
            <w:r>
              <w:rPr>
                <w:rFonts w:hint="eastAsia" w:ascii="宋体" w:hAnsi="宋体" w:cs="宋体"/>
                <w:color w:val="auto"/>
                <w:szCs w:val="21"/>
              </w:rPr>
              <w:t>2.整机支持蓝牙Bluetooth 5.2标准，固件版本号HCI11.20/LMP11.20。</w:t>
            </w:r>
          </w:p>
          <w:p w14:paraId="4DABB548">
            <w:pPr>
              <w:rPr>
                <w:rFonts w:hint="eastAsia" w:ascii="宋体" w:hAnsi="宋体" w:cs="宋体"/>
                <w:color w:val="auto"/>
                <w:szCs w:val="21"/>
              </w:rPr>
            </w:pPr>
            <w:r>
              <w:rPr>
                <w:rFonts w:hint="eastAsia" w:ascii="宋体" w:hAnsi="宋体" w:cs="宋体"/>
                <w:color w:val="auto"/>
                <w:szCs w:val="21"/>
              </w:rPr>
              <w:t>3.Wi-Fi及AP热点支持频段2.4GHz/5GHz 。Wi-Fi制式支持IEEE 802.11 a/b/g/n/ac/ax；支持版本Wi-Fi6。</w:t>
            </w:r>
          </w:p>
          <w:p w14:paraId="4F566AEA">
            <w:pPr>
              <w:rPr>
                <w:rFonts w:hint="eastAsia" w:ascii="宋体" w:hAnsi="宋体" w:cs="宋体"/>
                <w:b/>
                <w:bCs/>
                <w:color w:val="auto"/>
                <w:szCs w:val="21"/>
              </w:rPr>
            </w:pPr>
            <w:r>
              <w:rPr>
                <w:rFonts w:hint="eastAsia" w:ascii="宋体" w:hAnsi="宋体" w:cs="宋体"/>
                <w:b/>
                <w:bCs/>
                <w:color w:val="auto"/>
                <w:szCs w:val="21"/>
              </w:rPr>
              <w:t>六、安卓系统设计</w:t>
            </w:r>
          </w:p>
          <w:p w14:paraId="41507218">
            <w:pPr>
              <w:rPr>
                <w:rFonts w:hint="eastAsia" w:ascii="宋体" w:hAnsi="宋体" w:cs="宋体"/>
                <w:color w:val="auto"/>
                <w:szCs w:val="21"/>
              </w:rPr>
            </w:pPr>
            <w:r>
              <w:rPr>
                <w:rFonts w:hint="eastAsia" w:ascii="宋体" w:hAnsi="宋体" w:cs="宋体"/>
                <w:color w:val="auto"/>
                <w:szCs w:val="21"/>
              </w:rPr>
              <w:t>1.嵌入式系统版本不低于Android 11，内存≥2GB，存储空间≥8GB。</w:t>
            </w:r>
          </w:p>
          <w:p w14:paraId="4635C973">
            <w:pPr>
              <w:rPr>
                <w:rFonts w:hint="eastAsia" w:ascii="宋体" w:hAnsi="宋体" w:cs="宋体"/>
                <w:b/>
                <w:bCs/>
                <w:color w:val="auto"/>
                <w:szCs w:val="21"/>
              </w:rPr>
            </w:pPr>
            <w:r>
              <w:rPr>
                <w:rFonts w:hint="eastAsia" w:ascii="宋体" w:hAnsi="宋体" w:cs="宋体"/>
                <w:b/>
                <w:bCs/>
                <w:color w:val="auto"/>
                <w:szCs w:val="21"/>
              </w:rPr>
              <w:t>七、配套教学管理软件</w:t>
            </w:r>
          </w:p>
          <w:p w14:paraId="187E2C9A">
            <w:pPr>
              <w:rPr>
                <w:rFonts w:hint="eastAsia" w:ascii="宋体" w:hAnsi="宋体" w:cs="宋体"/>
                <w:color w:val="auto"/>
                <w:szCs w:val="21"/>
              </w:rPr>
            </w:pPr>
            <w:r>
              <w:rPr>
                <w:rFonts w:hint="eastAsia" w:ascii="宋体" w:hAnsi="宋体" w:cs="宋体"/>
                <w:color w:val="auto"/>
                <w:szCs w:val="21"/>
              </w:rPr>
              <w:t>1.软件采用C/S、B/S架构，包含服务器端、管理端、客户端，支持跨网段管理。</w:t>
            </w:r>
          </w:p>
          <w:p w14:paraId="3B81D208">
            <w:pPr>
              <w:rPr>
                <w:rFonts w:hint="eastAsia" w:ascii="宋体" w:hAnsi="宋体" w:cs="宋体"/>
                <w:color w:val="auto"/>
                <w:szCs w:val="21"/>
              </w:rPr>
            </w:pPr>
            <w:r>
              <w:rPr>
                <w:rFonts w:hint="eastAsia" w:ascii="宋体" w:hAnsi="宋体" w:cs="宋体"/>
                <w:color w:val="auto"/>
                <w:szCs w:val="21"/>
              </w:rPr>
              <w:t>2.设备管理模块统计设备总数、在线数和离线数，显示所有设备信息包含电脑名、IP地址、网卡地址、登录状态、教室名、对应教室摄像头IP。</w:t>
            </w:r>
          </w:p>
          <w:p w14:paraId="7E635EAF">
            <w:pPr>
              <w:rPr>
                <w:rFonts w:hint="eastAsia" w:ascii="宋体" w:hAnsi="宋体" w:cs="宋体"/>
                <w:color w:val="auto"/>
                <w:szCs w:val="21"/>
              </w:rPr>
            </w:pPr>
            <w:r>
              <w:rPr>
                <w:rFonts w:hint="eastAsia" w:ascii="宋体" w:hAnsi="宋体" w:cs="宋体"/>
                <w:color w:val="auto"/>
                <w:szCs w:val="21"/>
              </w:rPr>
              <w:t>3.可远程查看设备操作系统版本、CPU型号、内存容量、硬盘信息，包括查看设备负载信息包括CPU使用率、内存使用率、带宽使用率、C盘使用率。</w:t>
            </w:r>
          </w:p>
          <w:p w14:paraId="4534615A">
            <w:pPr>
              <w:ind w:left="425" w:hanging="425"/>
              <w:rPr>
                <w:rFonts w:hint="eastAsia" w:ascii="宋体" w:hAnsi="宋体" w:cs="宋体"/>
                <w:color w:val="auto"/>
                <w:szCs w:val="21"/>
              </w:rPr>
            </w:pPr>
            <w:r>
              <w:rPr>
                <w:rFonts w:hint="eastAsia" w:ascii="宋体" w:hAnsi="宋体" w:cs="宋体"/>
                <w:color w:val="auto"/>
                <w:szCs w:val="21"/>
              </w:rPr>
              <w:t>4.平台支持分组管理，可对校园所有设备进行分组。</w:t>
            </w:r>
          </w:p>
          <w:p w14:paraId="05878441">
            <w:pPr>
              <w:ind w:left="425" w:hanging="425"/>
              <w:rPr>
                <w:rFonts w:hint="eastAsia" w:ascii="宋体" w:hAnsi="宋体" w:cs="宋体"/>
                <w:color w:val="auto"/>
                <w:szCs w:val="21"/>
              </w:rPr>
            </w:pPr>
            <w:r>
              <w:rPr>
                <w:rFonts w:hint="eastAsia" w:ascii="宋体" w:hAnsi="宋体" w:cs="宋体"/>
                <w:color w:val="auto"/>
                <w:szCs w:val="21"/>
              </w:rPr>
              <w:t>5.用户管理可添加、修改、删除用户。</w:t>
            </w:r>
          </w:p>
          <w:p w14:paraId="3AE95AD3">
            <w:pPr>
              <w:ind w:left="425" w:hanging="425"/>
              <w:rPr>
                <w:rFonts w:hint="eastAsia" w:ascii="宋体" w:hAnsi="宋体" w:cs="宋体"/>
                <w:color w:val="auto"/>
                <w:szCs w:val="21"/>
              </w:rPr>
            </w:pPr>
            <w:r>
              <w:rPr>
                <w:rFonts w:hint="eastAsia" w:ascii="宋体" w:hAnsi="宋体" w:cs="宋体"/>
                <w:color w:val="auto"/>
                <w:szCs w:val="21"/>
              </w:rPr>
              <w:t>6.管理端可进行远程开启和关闭设备。</w:t>
            </w:r>
          </w:p>
          <w:p w14:paraId="254E26BF">
            <w:pPr>
              <w:ind w:left="425" w:hanging="425"/>
              <w:rPr>
                <w:rFonts w:hint="eastAsia" w:ascii="宋体" w:hAnsi="宋体" w:cs="宋体"/>
                <w:color w:val="auto"/>
                <w:szCs w:val="21"/>
              </w:rPr>
            </w:pPr>
            <w:r>
              <w:rPr>
                <w:rFonts w:hint="eastAsia" w:ascii="宋体" w:hAnsi="宋体" w:cs="宋体"/>
                <w:color w:val="auto"/>
                <w:szCs w:val="21"/>
              </w:rPr>
              <w:t>7.管理端对设备进行公告发布。</w:t>
            </w:r>
          </w:p>
          <w:p w14:paraId="42313BE9">
            <w:pPr>
              <w:ind w:left="425" w:hanging="425"/>
              <w:rPr>
                <w:rFonts w:hint="eastAsia" w:ascii="宋体" w:hAnsi="宋体" w:cs="宋体"/>
                <w:color w:val="auto"/>
                <w:szCs w:val="21"/>
              </w:rPr>
            </w:pPr>
            <w:r>
              <w:rPr>
                <w:rFonts w:hint="eastAsia" w:ascii="宋体" w:hAnsi="宋体" w:cs="宋体"/>
                <w:color w:val="auto"/>
                <w:szCs w:val="21"/>
              </w:rPr>
              <w:t>8.管理界面支持单分屏、四分屏、九分屏、十六分屏，最高支持64分屏。</w:t>
            </w:r>
          </w:p>
          <w:p w14:paraId="75D44144">
            <w:pPr>
              <w:ind w:left="425" w:hanging="425"/>
              <w:rPr>
                <w:rFonts w:hint="eastAsia" w:ascii="宋体" w:hAnsi="宋体" w:cs="宋体"/>
                <w:color w:val="auto"/>
                <w:szCs w:val="21"/>
              </w:rPr>
            </w:pPr>
            <w:r>
              <w:rPr>
                <w:rFonts w:hint="eastAsia" w:ascii="宋体" w:hAnsi="宋体" w:cs="宋体"/>
                <w:color w:val="auto"/>
                <w:szCs w:val="21"/>
              </w:rPr>
              <w:t>9.可远程查看教室网络摄像头画面。</w:t>
            </w:r>
          </w:p>
          <w:p w14:paraId="6AD8D5EC">
            <w:pPr>
              <w:rPr>
                <w:rFonts w:hint="eastAsia" w:ascii="宋体" w:hAnsi="宋体" w:cs="宋体"/>
                <w:color w:val="auto"/>
                <w:szCs w:val="21"/>
              </w:rPr>
            </w:pPr>
            <w:r>
              <w:rPr>
                <w:rFonts w:hint="eastAsia" w:ascii="宋体" w:hAnsi="宋体" w:cs="宋体"/>
                <w:color w:val="auto"/>
                <w:szCs w:val="21"/>
              </w:rPr>
              <w:t>10.程监看设备时，可随时切换教室现场画面和教室电脑画面，支持开启或关闭摄像头声音，支持二分屏同时显示教室现场画面和教室电脑桌面画面，实时观摩教室上课情况。（提供产品功能演示）</w:t>
            </w:r>
          </w:p>
          <w:p w14:paraId="1B93A145">
            <w:pPr>
              <w:rPr>
                <w:rFonts w:hint="eastAsia" w:ascii="宋体" w:hAnsi="宋体" w:cs="宋体"/>
                <w:color w:val="auto"/>
                <w:szCs w:val="21"/>
              </w:rPr>
            </w:pPr>
            <w:r>
              <w:rPr>
                <w:rFonts w:hint="eastAsia" w:ascii="宋体" w:hAnsi="宋体" w:cs="宋体"/>
                <w:color w:val="auto"/>
                <w:szCs w:val="21"/>
              </w:rPr>
              <w:t>11.日志管理记录系统的所有日志信息，包括操作日志、警告日志、报错日志等。</w:t>
            </w:r>
          </w:p>
          <w:p w14:paraId="099E8227">
            <w:pPr>
              <w:rPr>
                <w:rFonts w:hint="eastAsia" w:ascii="宋体" w:hAnsi="宋体" w:cs="宋体"/>
                <w:color w:val="auto"/>
                <w:szCs w:val="21"/>
              </w:rPr>
            </w:pPr>
            <w:r>
              <w:rPr>
                <w:rFonts w:hint="eastAsia" w:ascii="宋体" w:hAnsi="宋体" w:cs="宋体"/>
                <w:color w:val="auto"/>
                <w:szCs w:val="21"/>
              </w:rPr>
              <w:t>12.行为管理中包括所有分组设备的行为状态，可以实时设置各分组设备的外网控制和U盘控制。</w:t>
            </w:r>
          </w:p>
          <w:p w14:paraId="20F3BA7B">
            <w:pPr>
              <w:rPr>
                <w:rFonts w:hint="eastAsia" w:ascii="宋体" w:hAnsi="宋体" w:cs="宋体"/>
                <w:color w:val="auto"/>
                <w:szCs w:val="21"/>
              </w:rPr>
            </w:pPr>
            <w:r>
              <w:rPr>
                <w:rFonts w:hint="eastAsia" w:ascii="宋体" w:hAnsi="宋体" w:cs="宋体"/>
                <w:color w:val="auto"/>
                <w:szCs w:val="21"/>
              </w:rPr>
              <w:t>13.远程配置中支持设置设备系统时间、系统音量大小、修改电脑名、执行DOS命令、远程打开程序、结束程序、打开网站、打开目录、垃圾清理。（提供产品功能演示）</w:t>
            </w:r>
          </w:p>
          <w:p w14:paraId="4145CFE2">
            <w:pPr>
              <w:rPr>
                <w:rFonts w:hint="eastAsia" w:ascii="宋体" w:hAnsi="宋体" w:cs="宋体"/>
                <w:color w:val="auto"/>
                <w:szCs w:val="21"/>
              </w:rPr>
            </w:pPr>
            <w:r>
              <w:rPr>
                <w:rFonts w:hint="eastAsia" w:ascii="宋体" w:hAnsi="宋体" w:cs="宋体"/>
                <w:color w:val="auto"/>
                <w:szCs w:val="21"/>
              </w:rPr>
              <w:t>14.平台包含课表系统，可设置课表相关信息包括课表节次和时间、课表名称及课表日期、课表周数，支持课表内容导入，显示不同教室、不同周次课表信息。（提供产品功能演示）</w:t>
            </w:r>
          </w:p>
          <w:p w14:paraId="2E44EAB8">
            <w:pPr>
              <w:ind w:left="425" w:hanging="425"/>
              <w:rPr>
                <w:rFonts w:hint="eastAsia" w:ascii="宋体" w:hAnsi="宋体" w:cs="宋体"/>
                <w:color w:val="auto"/>
                <w:szCs w:val="21"/>
              </w:rPr>
            </w:pPr>
            <w:r>
              <w:rPr>
                <w:rFonts w:hint="eastAsia" w:ascii="宋体" w:hAnsi="宋体" w:cs="宋体"/>
                <w:color w:val="auto"/>
                <w:szCs w:val="21"/>
              </w:rPr>
              <w:t>15.支持管理端、web端管理集控系统。</w:t>
            </w:r>
          </w:p>
        </w:tc>
        <w:tc>
          <w:tcPr>
            <w:tcW w:w="202" w:type="pct"/>
            <w:shd w:val="clear" w:color="auto" w:fill="auto"/>
            <w:vAlign w:val="center"/>
          </w:tcPr>
          <w:p w14:paraId="24ED519D">
            <w:pPr>
              <w:spacing w:line="288" w:lineRule="auto"/>
              <w:jc w:val="center"/>
              <w:rPr>
                <w:rFonts w:hint="eastAsia" w:ascii="宋体" w:hAnsi="宋体" w:cs="宋体"/>
                <w:color w:val="auto"/>
                <w:spacing w:val="-6"/>
                <w:szCs w:val="21"/>
              </w:rPr>
            </w:pPr>
            <w:r>
              <w:rPr>
                <w:rFonts w:hint="eastAsia" w:ascii="宋体" w:hAnsi="宋体" w:cs="宋体"/>
                <w:color w:val="auto"/>
                <w:spacing w:val="-6"/>
                <w:szCs w:val="21"/>
              </w:rPr>
              <w:t>23</w:t>
            </w:r>
          </w:p>
        </w:tc>
        <w:tc>
          <w:tcPr>
            <w:tcW w:w="191" w:type="pct"/>
            <w:vAlign w:val="center"/>
          </w:tcPr>
          <w:p w14:paraId="3F60B36D">
            <w:pPr>
              <w:widowControl/>
              <w:jc w:val="center"/>
              <w:textAlignment w:val="center"/>
              <w:rPr>
                <w:rFonts w:hint="eastAsia" w:ascii="宋体" w:hAnsi="宋体" w:cs="宋体"/>
                <w:color w:val="auto"/>
                <w:szCs w:val="21"/>
              </w:rPr>
            </w:pPr>
            <w:r>
              <w:rPr>
                <w:rFonts w:hint="eastAsia" w:ascii="宋体" w:hAnsi="宋体" w:cs="宋体"/>
                <w:color w:val="auto"/>
                <w:szCs w:val="21"/>
              </w:rPr>
              <w:t>台</w:t>
            </w:r>
          </w:p>
        </w:tc>
        <w:tc>
          <w:tcPr>
            <w:tcW w:w="361" w:type="pct"/>
            <w:vAlign w:val="center"/>
          </w:tcPr>
          <w:p w14:paraId="7BD029B2">
            <w:pPr>
              <w:jc w:val="center"/>
              <w:rPr>
                <w:rFonts w:hint="eastAsia" w:ascii="宋体" w:hAnsi="宋体" w:cs="宋体"/>
                <w:color w:val="auto"/>
                <w:szCs w:val="21"/>
              </w:rPr>
            </w:pPr>
            <w:r>
              <w:rPr>
                <w:rFonts w:hint="eastAsia" w:ascii="宋体" w:hAnsi="宋体" w:cs="宋体"/>
                <w:color w:val="auto"/>
                <w:szCs w:val="21"/>
              </w:rPr>
              <w:t>MAXHUB、希沃、华为</w:t>
            </w:r>
          </w:p>
        </w:tc>
      </w:tr>
      <w:tr w14:paraId="317B7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73" w:type="pct"/>
            <w:vAlign w:val="center"/>
          </w:tcPr>
          <w:p w14:paraId="574DA966">
            <w:pPr>
              <w:widowControl/>
              <w:jc w:val="center"/>
              <w:textAlignment w:val="center"/>
              <w:rPr>
                <w:rFonts w:hint="eastAsia" w:ascii="宋体" w:hAnsi="宋体" w:cs="宋体"/>
                <w:color w:val="auto"/>
                <w:szCs w:val="21"/>
              </w:rPr>
            </w:pPr>
            <w:r>
              <w:rPr>
                <w:rFonts w:hint="eastAsia" w:ascii="宋体" w:hAnsi="宋体" w:cs="宋体"/>
                <w:color w:val="auto"/>
                <w:szCs w:val="21"/>
              </w:rPr>
              <w:t>2</w:t>
            </w:r>
          </w:p>
        </w:tc>
        <w:tc>
          <w:tcPr>
            <w:tcW w:w="554" w:type="pct"/>
            <w:shd w:val="clear" w:color="auto" w:fill="auto"/>
            <w:vAlign w:val="center"/>
          </w:tcPr>
          <w:p w14:paraId="59688964">
            <w:pPr>
              <w:spacing w:line="288" w:lineRule="auto"/>
              <w:jc w:val="center"/>
              <w:rPr>
                <w:rFonts w:hint="eastAsia" w:ascii="宋体" w:hAnsi="宋体" w:cs="宋体"/>
                <w:color w:val="auto"/>
                <w:spacing w:val="-6"/>
                <w:szCs w:val="21"/>
              </w:rPr>
            </w:pPr>
            <w:r>
              <w:rPr>
                <w:rFonts w:hint="eastAsia" w:ascii="宋体" w:hAnsi="宋体" w:cs="宋体"/>
                <w:color w:val="auto"/>
                <w:spacing w:val="-6"/>
                <w:szCs w:val="21"/>
              </w:rPr>
              <w:t>智慧黑板(86寸)</w:t>
            </w:r>
          </w:p>
        </w:tc>
        <w:tc>
          <w:tcPr>
            <w:tcW w:w="3317" w:type="pct"/>
            <w:shd w:val="clear" w:color="auto" w:fill="auto"/>
          </w:tcPr>
          <w:p w14:paraId="1A6BAB48">
            <w:pPr>
              <w:rPr>
                <w:rFonts w:hint="eastAsia" w:ascii="宋体" w:hAnsi="宋体" w:cs="宋体"/>
                <w:b/>
                <w:bCs/>
                <w:color w:val="auto"/>
                <w:szCs w:val="21"/>
              </w:rPr>
            </w:pPr>
            <w:r>
              <w:rPr>
                <w:rFonts w:hint="eastAsia" w:ascii="宋体" w:hAnsi="宋体" w:cs="宋体"/>
                <w:b/>
                <w:bCs/>
                <w:color w:val="auto"/>
                <w:szCs w:val="21"/>
              </w:rPr>
              <w:t>一、整体设计</w:t>
            </w:r>
          </w:p>
          <w:p w14:paraId="2F96967D">
            <w:pPr>
              <w:numPr>
                <w:ilvl w:val="0"/>
                <w:numId w:val="1"/>
              </w:numPr>
              <w:ind w:left="0" w:firstLine="0"/>
              <w:rPr>
                <w:rFonts w:hint="eastAsia" w:ascii="宋体" w:hAnsi="宋体" w:cs="宋体"/>
                <w:color w:val="auto"/>
                <w:szCs w:val="21"/>
              </w:rPr>
            </w:pPr>
            <w:r>
              <w:rPr>
                <w:rFonts w:hint="eastAsia" w:ascii="宋体" w:hAnsi="宋体" w:cs="宋体"/>
                <w:color w:val="auto"/>
                <w:szCs w:val="21"/>
              </w:rPr>
              <w:t>整机采用一体设计，无推拉式结构，外部无任何可见内部功能模块连接线，主副屏过渡平滑并在同一平面，中间无单独边框阻隔。整机采用86英寸超高清LED液晶屏，显示比例16:9，分辨率3840×2160。</w:t>
            </w:r>
          </w:p>
          <w:p w14:paraId="3F180F21">
            <w:pPr>
              <w:numPr>
                <w:ilvl w:val="0"/>
                <w:numId w:val="1"/>
              </w:numPr>
              <w:ind w:left="0" w:firstLine="0"/>
              <w:rPr>
                <w:rFonts w:hint="eastAsia" w:ascii="宋体" w:hAnsi="宋体" w:cs="宋体"/>
                <w:color w:val="auto"/>
                <w:szCs w:val="21"/>
              </w:rPr>
            </w:pPr>
            <w:r>
              <w:rPr>
                <w:rFonts w:hint="eastAsia" w:ascii="宋体" w:hAnsi="宋体" w:cs="宋体"/>
                <w:color w:val="auto"/>
                <w:szCs w:val="21"/>
              </w:rPr>
              <w:t>▲整机支持双路可插拔模块，一个槽位支持OPS模块插拔，另一个槽位支持AI模块插拔，用于设备能力提升。（</w:t>
            </w:r>
            <w:r>
              <w:rPr>
                <w:rFonts w:hint="eastAsia" w:ascii="宋体" w:hAnsi="宋体" w:cs="宋体"/>
                <w:b/>
                <w:bCs/>
                <w:color w:val="auto"/>
                <w:szCs w:val="21"/>
              </w:rPr>
              <w:t>技术文件中提供具有CMA或CNAS认证的第三方检测机构所出具的关于该功能的检测报告复印件</w:t>
            </w:r>
            <w:r>
              <w:rPr>
                <w:rFonts w:hint="eastAsia" w:ascii="宋体" w:hAnsi="宋体" w:cs="宋体"/>
                <w:color w:val="auto"/>
                <w:szCs w:val="21"/>
              </w:rPr>
              <w:t>）</w:t>
            </w:r>
          </w:p>
          <w:p w14:paraId="1909370A">
            <w:pPr>
              <w:numPr>
                <w:ilvl w:val="0"/>
                <w:numId w:val="1"/>
              </w:numPr>
              <w:ind w:left="0" w:firstLine="0"/>
              <w:rPr>
                <w:rFonts w:hint="eastAsia" w:ascii="宋体" w:hAnsi="宋体" w:cs="宋体"/>
                <w:color w:val="auto"/>
                <w:szCs w:val="21"/>
              </w:rPr>
            </w:pPr>
            <w:r>
              <w:rPr>
                <w:rFonts w:hint="eastAsia" w:ascii="宋体" w:hAnsi="宋体" w:cs="宋体"/>
                <w:color w:val="auto"/>
                <w:szCs w:val="21"/>
              </w:rPr>
              <w:t>全贴合：整机显示屏幕采用全贴合方式，减少显示面板与玻璃间的偏光、散射，画面显示更加清晰通透、可视角度更广。屏幕保护玻璃与显示液晶屏组件，在结构上通过光学胶完全贴合在一起，中间贴合层无空气介质。（</w:t>
            </w:r>
            <w:r>
              <w:rPr>
                <w:rFonts w:hint="eastAsia" w:ascii="宋体" w:hAnsi="宋体" w:cs="宋体"/>
                <w:b/>
                <w:bCs/>
                <w:color w:val="auto"/>
                <w:szCs w:val="21"/>
              </w:rPr>
              <w:t>技术文件中提供具有CMA或CNAS认证的第三方检测机构所出具的关于该功能的检测报告复印件</w:t>
            </w:r>
            <w:r>
              <w:rPr>
                <w:rFonts w:hint="eastAsia" w:ascii="宋体" w:hAnsi="宋体" w:cs="宋体"/>
                <w:color w:val="auto"/>
                <w:szCs w:val="21"/>
              </w:rPr>
              <w:t>）</w:t>
            </w:r>
          </w:p>
          <w:p w14:paraId="11912A24">
            <w:pPr>
              <w:rPr>
                <w:rFonts w:hint="eastAsia" w:ascii="宋体" w:hAnsi="宋体" w:cs="宋体"/>
                <w:b/>
                <w:bCs/>
                <w:color w:val="auto"/>
                <w:szCs w:val="21"/>
              </w:rPr>
            </w:pPr>
            <w:r>
              <w:rPr>
                <w:rFonts w:hint="eastAsia" w:ascii="宋体" w:hAnsi="宋体" w:cs="宋体"/>
                <w:b/>
                <w:bCs/>
                <w:color w:val="auto"/>
                <w:szCs w:val="21"/>
              </w:rPr>
              <w:t>二、护眼显示</w:t>
            </w:r>
          </w:p>
          <w:p w14:paraId="090A60B4">
            <w:pPr>
              <w:numPr>
                <w:ilvl w:val="0"/>
                <w:numId w:val="2"/>
              </w:numPr>
              <w:ind w:left="0" w:firstLine="0"/>
              <w:rPr>
                <w:rFonts w:hint="eastAsia" w:ascii="宋体" w:hAnsi="宋体" w:cs="宋体"/>
                <w:color w:val="auto"/>
                <w:szCs w:val="21"/>
              </w:rPr>
            </w:pPr>
            <w:r>
              <w:rPr>
                <w:rFonts w:hint="eastAsia" w:ascii="宋体" w:hAnsi="宋体" w:cs="宋体"/>
                <w:color w:val="auto"/>
                <w:szCs w:val="21"/>
              </w:rPr>
              <w:t>▲整机背光系统支持DC调光方式，多级亮度调节，支持白颜色背景下最暗亮度≤100nit，用于提升显示对比度。（</w:t>
            </w:r>
            <w:r>
              <w:rPr>
                <w:rFonts w:hint="eastAsia" w:ascii="宋体" w:hAnsi="宋体" w:cs="宋体"/>
                <w:b/>
                <w:bCs/>
                <w:color w:val="auto"/>
                <w:szCs w:val="21"/>
              </w:rPr>
              <w:t>技术文件中提供具有CMA或CNAS认证的第三方检测机构所出具的关于该功能的检测报告复印件</w:t>
            </w:r>
            <w:r>
              <w:rPr>
                <w:rFonts w:hint="eastAsia" w:ascii="宋体" w:hAnsi="宋体" w:cs="宋体"/>
                <w:color w:val="auto"/>
                <w:szCs w:val="21"/>
              </w:rPr>
              <w:t>）</w:t>
            </w:r>
          </w:p>
          <w:p w14:paraId="6E2C80A7">
            <w:pPr>
              <w:numPr>
                <w:ilvl w:val="0"/>
                <w:numId w:val="2"/>
              </w:numPr>
              <w:ind w:left="0" w:firstLine="0"/>
              <w:rPr>
                <w:rFonts w:hint="eastAsia" w:ascii="宋体" w:hAnsi="宋体" w:cs="宋体"/>
                <w:color w:val="auto"/>
                <w:szCs w:val="21"/>
              </w:rPr>
            </w:pPr>
            <w:r>
              <w:rPr>
                <w:rFonts w:hint="eastAsia" w:ascii="宋体" w:hAnsi="宋体" w:cs="宋体"/>
                <w:color w:val="auto"/>
                <w:szCs w:val="21"/>
              </w:rPr>
              <w:t>整机采用硬件低蓝光背光技术，在源头减少有害蓝光波段能量，蓝光占比（有害蓝光415～455nm能量综合）/（整体蓝光400～500能量综合）＜50%，低蓝光保护显示不偏色、不泛黄。</w:t>
            </w:r>
          </w:p>
          <w:p w14:paraId="3C506767">
            <w:pPr>
              <w:rPr>
                <w:rFonts w:hint="eastAsia" w:ascii="宋体" w:hAnsi="宋体" w:cs="宋体"/>
                <w:b/>
                <w:bCs/>
                <w:color w:val="auto"/>
                <w:szCs w:val="21"/>
              </w:rPr>
            </w:pPr>
            <w:r>
              <w:rPr>
                <w:rFonts w:hint="eastAsia" w:ascii="宋体" w:hAnsi="宋体" w:cs="宋体"/>
                <w:b/>
                <w:bCs/>
                <w:color w:val="auto"/>
                <w:szCs w:val="21"/>
              </w:rPr>
              <w:t>三、教学音频</w:t>
            </w:r>
          </w:p>
          <w:p w14:paraId="739BA113">
            <w:pPr>
              <w:numPr>
                <w:ilvl w:val="0"/>
                <w:numId w:val="3"/>
              </w:numPr>
              <w:ind w:left="0" w:firstLine="0"/>
              <w:rPr>
                <w:rFonts w:hint="eastAsia" w:ascii="宋体" w:hAnsi="宋体" w:cs="宋体"/>
                <w:color w:val="auto"/>
                <w:szCs w:val="21"/>
              </w:rPr>
            </w:pPr>
            <w:r>
              <w:rPr>
                <w:rFonts w:hint="eastAsia" w:ascii="宋体" w:hAnsi="宋体" w:cs="宋体"/>
                <w:color w:val="auto"/>
                <w:szCs w:val="21"/>
              </w:rPr>
              <w:t>整机内置2.2声道扬声器，位于设备上边框，顶置朝前发声，前朝向10W高音扬声器2个，上朝向20W中低音扬声器2个，额定总功率60W。（</w:t>
            </w:r>
            <w:r>
              <w:rPr>
                <w:rFonts w:hint="eastAsia" w:ascii="宋体" w:hAnsi="宋体" w:cs="宋体"/>
                <w:b/>
                <w:bCs/>
                <w:color w:val="auto"/>
                <w:szCs w:val="21"/>
              </w:rPr>
              <w:t>技术文件中提供具有CMA或CNAS认证的第三方检测机构所出具的关于该功能的检测报告复印件</w:t>
            </w:r>
            <w:r>
              <w:rPr>
                <w:rFonts w:hint="eastAsia" w:ascii="宋体" w:hAnsi="宋体" w:cs="宋体"/>
                <w:color w:val="auto"/>
                <w:szCs w:val="21"/>
              </w:rPr>
              <w:t>）</w:t>
            </w:r>
          </w:p>
          <w:p w14:paraId="347F3AC2">
            <w:pPr>
              <w:numPr>
                <w:ilvl w:val="0"/>
                <w:numId w:val="3"/>
              </w:numPr>
              <w:ind w:left="0" w:firstLine="0"/>
              <w:rPr>
                <w:rFonts w:hint="eastAsia" w:ascii="宋体" w:hAnsi="宋体" w:cs="宋体"/>
                <w:color w:val="auto"/>
                <w:szCs w:val="21"/>
              </w:rPr>
            </w:pPr>
            <w:r>
              <w:rPr>
                <w:rFonts w:hint="eastAsia" w:ascii="宋体" w:hAnsi="宋体" w:cs="宋体"/>
                <w:color w:val="auto"/>
                <w:szCs w:val="21"/>
              </w:rPr>
              <w:t>整机内置扬声器采用缝隙发声技术，喇叭采用槽式开口设计，不大于5.8mm。</w:t>
            </w:r>
          </w:p>
          <w:p w14:paraId="0FFDEAD6">
            <w:pPr>
              <w:numPr>
                <w:ilvl w:val="0"/>
                <w:numId w:val="3"/>
              </w:numPr>
              <w:ind w:left="0" w:firstLine="0"/>
              <w:rPr>
                <w:rFonts w:hint="eastAsia" w:ascii="宋体" w:hAnsi="宋体" w:cs="宋体"/>
                <w:color w:val="auto"/>
                <w:szCs w:val="21"/>
              </w:rPr>
            </w:pPr>
            <w:r>
              <w:rPr>
                <w:rFonts w:hint="eastAsia" w:ascii="宋体" w:hAnsi="宋体" w:cs="宋体"/>
                <w:color w:val="auto"/>
                <w:szCs w:val="21"/>
              </w:rPr>
              <w:t>整机内置非独立外扩展的8阵列麦克风，拾音角度≥180°，可用于对教室环境音频进行采集，拾音距离≥12m。（</w:t>
            </w:r>
            <w:r>
              <w:rPr>
                <w:rFonts w:hint="eastAsia" w:ascii="宋体" w:hAnsi="宋体" w:cs="宋体"/>
                <w:b/>
                <w:bCs/>
                <w:color w:val="auto"/>
                <w:szCs w:val="21"/>
              </w:rPr>
              <w:t>技术文件中提供具有CMA或CNAS认证的第三方检测机构所出具的关于该功能的检测报告复印件</w:t>
            </w:r>
            <w:r>
              <w:rPr>
                <w:rFonts w:hint="eastAsia" w:ascii="宋体" w:hAnsi="宋体" w:cs="宋体"/>
                <w:color w:val="auto"/>
                <w:szCs w:val="21"/>
              </w:rPr>
              <w:t>）</w:t>
            </w:r>
          </w:p>
          <w:p w14:paraId="1B26DCBA">
            <w:pPr>
              <w:rPr>
                <w:rFonts w:hint="eastAsia" w:ascii="宋体" w:hAnsi="宋体" w:cs="宋体"/>
                <w:b/>
                <w:bCs/>
                <w:color w:val="auto"/>
                <w:szCs w:val="21"/>
              </w:rPr>
            </w:pPr>
            <w:r>
              <w:rPr>
                <w:rFonts w:hint="eastAsia" w:ascii="宋体" w:hAnsi="宋体" w:cs="宋体"/>
                <w:b/>
                <w:bCs/>
                <w:color w:val="auto"/>
                <w:szCs w:val="21"/>
              </w:rPr>
              <w:t>四、画面采集</w:t>
            </w:r>
          </w:p>
          <w:p w14:paraId="3CEE7BE6">
            <w:pPr>
              <w:numPr>
                <w:ilvl w:val="0"/>
                <w:numId w:val="4"/>
              </w:numPr>
              <w:ind w:left="0" w:firstLine="0"/>
              <w:rPr>
                <w:rFonts w:hint="eastAsia" w:ascii="宋体" w:hAnsi="宋体" w:cs="宋体"/>
                <w:color w:val="auto"/>
                <w:szCs w:val="21"/>
              </w:rPr>
            </w:pPr>
            <w:r>
              <w:rPr>
                <w:rFonts w:hint="eastAsia" w:ascii="宋体" w:hAnsi="宋体" w:cs="宋体"/>
                <w:color w:val="auto"/>
                <w:szCs w:val="21"/>
              </w:rPr>
              <w:t>▲整机上边框内置非独立式摄像头，采用一体化集成设计，摄像头数量≥4个。（</w:t>
            </w:r>
            <w:r>
              <w:rPr>
                <w:rFonts w:hint="eastAsia" w:ascii="宋体" w:hAnsi="宋体" w:cs="宋体"/>
                <w:b/>
                <w:bCs/>
                <w:color w:val="auto"/>
                <w:szCs w:val="21"/>
              </w:rPr>
              <w:t>技术文件中提供具有CMA或CNAS认证的第三方检测机构所出具的关于该功能的检测报告复印件</w:t>
            </w:r>
            <w:r>
              <w:rPr>
                <w:rFonts w:hint="eastAsia" w:ascii="宋体" w:hAnsi="宋体" w:cs="宋体"/>
                <w:color w:val="auto"/>
                <w:szCs w:val="21"/>
              </w:rPr>
              <w:t>）</w:t>
            </w:r>
          </w:p>
          <w:p w14:paraId="24140677">
            <w:pPr>
              <w:numPr>
                <w:ilvl w:val="0"/>
                <w:numId w:val="4"/>
              </w:numPr>
              <w:ind w:left="0" w:firstLine="0"/>
              <w:rPr>
                <w:rFonts w:hint="eastAsia" w:ascii="宋体" w:hAnsi="宋体" w:cs="宋体"/>
                <w:color w:val="auto"/>
                <w:szCs w:val="21"/>
              </w:rPr>
            </w:pPr>
            <w:r>
              <w:rPr>
                <w:rFonts w:hint="eastAsia" w:ascii="宋体" w:hAnsi="宋体" w:cs="宋体"/>
                <w:color w:val="auto"/>
                <w:szCs w:val="21"/>
              </w:rPr>
              <w:t>▲智能拼接摄像头部分：整机上边框内置非独立式≥3个智能拼接摄像头，支持清晰度TV lines≥1600 lines。视场角≥141度且水平视场角≥139度，可拍摄≥1600万像素的照片，支持输出8192×2048分辨率的照片和视频，支持画面畸变矫正功能。（</w:t>
            </w:r>
            <w:r>
              <w:rPr>
                <w:rFonts w:hint="eastAsia" w:ascii="宋体" w:hAnsi="宋体" w:cs="宋体"/>
                <w:b/>
                <w:bCs/>
                <w:color w:val="auto"/>
                <w:szCs w:val="21"/>
              </w:rPr>
              <w:t>技术文件中提供具有CMA或CNAS认证的第三方检测机构所出具的关于该功能的检测报告复印件</w:t>
            </w:r>
            <w:r>
              <w:rPr>
                <w:rFonts w:hint="eastAsia" w:ascii="宋体" w:hAnsi="宋体" w:cs="宋体"/>
                <w:color w:val="auto"/>
                <w:szCs w:val="21"/>
              </w:rPr>
              <w:t>）</w:t>
            </w:r>
          </w:p>
          <w:p w14:paraId="2F48C9E4">
            <w:pPr>
              <w:numPr>
                <w:ilvl w:val="0"/>
                <w:numId w:val="4"/>
              </w:numPr>
              <w:ind w:left="0" w:firstLine="0"/>
              <w:rPr>
                <w:rFonts w:hint="eastAsia" w:ascii="宋体" w:hAnsi="宋体" w:cs="宋体"/>
                <w:color w:val="auto"/>
                <w:szCs w:val="21"/>
              </w:rPr>
            </w:pPr>
            <w:r>
              <w:rPr>
                <w:rFonts w:hint="eastAsia" w:ascii="宋体" w:hAnsi="宋体" w:cs="宋体"/>
                <w:color w:val="auto"/>
                <w:szCs w:val="21"/>
              </w:rPr>
              <w:t>摄像头功能：整机上边框内置非独式广角摄像头和智能拼接摄像头， 均支持 3D 降噪算法和数字宽动态范围成像WDR 技术，支持输出 MJPG、 H.264 视频格式。</w:t>
            </w:r>
          </w:p>
          <w:p w14:paraId="1675EE52">
            <w:pPr>
              <w:numPr>
                <w:ilvl w:val="0"/>
                <w:numId w:val="4"/>
              </w:numPr>
              <w:ind w:left="0" w:firstLine="0"/>
              <w:rPr>
                <w:rFonts w:hint="eastAsia" w:ascii="宋体" w:hAnsi="宋体" w:cs="宋体"/>
                <w:color w:val="auto"/>
                <w:szCs w:val="21"/>
              </w:rPr>
            </w:pPr>
            <w:r>
              <w:rPr>
                <w:rFonts w:hint="eastAsia" w:ascii="宋体" w:hAnsi="宋体" w:cs="宋体"/>
                <w:color w:val="auto"/>
                <w:szCs w:val="21"/>
              </w:rPr>
              <w:t>整机支持上边框内置非独立摄像头模组，同时输出至少 3 路视频流，同时支持课堂远程巡课、课堂教学数据采集、本地画面预览（拍照或视频录制）。（</w:t>
            </w:r>
            <w:r>
              <w:rPr>
                <w:rFonts w:hint="eastAsia" w:ascii="宋体" w:hAnsi="宋体" w:cs="宋体"/>
                <w:b/>
                <w:bCs/>
                <w:color w:val="auto"/>
                <w:szCs w:val="21"/>
              </w:rPr>
              <w:t>技术文件中提供具有CMA或CNAS认证的第三方检测机构所出具的关于该功能的检测报告复印件</w:t>
            </w:r>
            <w:r>
              <w:rPr>
                <w:rFonts w:hint="eastAsia" w:ascii="宋体" w:hAnsi="宋体" w:cs="宋体"/>
                <w:color w:val="auto"/>
                <w:szCs w:val="21"/>
              </w:rPr>
              <w:t>）</w:t>
            </w:r>
          </w:p>
          <w:p w14:paraId="454485FF">
            <w:pPr>
              <w:rPr>
                <w:rFonts w:hint="eastAsia" w:ascii="宋体" w:hAnsi="宋体" w:cs="宋体"/>
                <w:b/>
                <w:bCs/>
                <w:color w:val="auto"/>
                <w:szCs w:val="21"/>
              </w:rPr>
            </w:pPr>
            <w:r>
              <w:rPr>
                <w:rFonts w:hint="eastAsia" w:ascii="宋体" w:hAnsi="宋体" w:cs="宋体"/>
                <w:b/>
                <w:bCs/>
                <w:color w:val="auto"/>
                <w:szCs w:val="21"/>
              </w:rPr>
              <w:t>五、无线互联</w:t>
            </w:r>
          </w:p>
          <w:p w14:paraId="70D5690A">
            <w:pPr>
              <w:numPr>
                <w:ilvl w:val="0"/>
                <w:numId w:val="5"/>
              </w:numPr>
              <w:ind w:left="0" w:firstLine="0"/>
              <w:rPr>
                <w:rFonts w:hint="eastAsia" w:ascii="宋体" w:hAnsi="宋体" w:cs="宋体"/>
                <w:color w:val="auto"/>
                <w:szCs w:val="21"/>
              </w:rPr>
            </w:pPr>
            <w:r>
              <w:rPr>
                <w:rFonts w:hint="eastAsia" w:ascii="宋体" w:hAnsi="宋体" w:cs="宋体"/>
                <w:color w:val="auto"/>
                <w:szCs w:val="21"/>
              </w:rPr>
              <w:t>▲整机内置双WiFi6无线网卡（不接受外接），在Android和Windows系统下，可实现Wi-Fi无线上网连接、AP无线热点发射，在Android下支持无线设备同时连接数量≥32个，在Windows系统下支持无线设备同时连接≥8个。（</w:t>
            </w:r>
            <w:r>
              <w:rPr>
                <w:rFonts w:hint="eastAsia" w:ascii="宋体" w:hAnsi="宋体" w:cs="宋体"/>
                <w:b/>
                <w:bCs/>
                <w:color w:val="auto"/>
                <w:szCs w:val="21"/>
              </w:rPr>
              <w:t>技术文件中提供具有CMA或CNAS认证的第三方检测机构所出具的关于该功能的检测报告复印件</w:t>
            </w:r>
            <w:r>
              <w:rPr>
                <w:rFonts w:hint="eastAsia" w:ascii="宋体" w:hAnsi="宋体" w:cs="宋体"/>
                <w:color w:val="auto"/>
                <w:szCs w:val="21"/>
              </w:rPr>
              <w:t>）</w:t>
            </w:r>
          </w:p>
          <w:p w14:paraId="462BA9EE">
            <w:pPr>
              <w:numPr>
                <w:ilvl w:val="0"/>
                <w:numId w:val="5"/>
              </w:numPr>
              <w:ind w:left="0" w:firstLine="0"/>
              <w:rPr>
                <w:rFonts w:hint="eastAsia" w:ascii="宋体" w:hAnsi="宋体" w:cs="宋体"/>
                <w:color w:val="auto"/>
                <w:szCs w:val="21"/>
              </w:rPr>
            </w:pPr>
            <w:r>
              <w:rPr>
                <w:rFonts w:hint="eastAsia" w:ascii="宋体" w:hAnsi="宋体" w:cs="宋体"/>
                <w:color w:val="auto"/>
                <w:szCs w:val="21"/>
              </w:rPr>
              <w:t>Wi-Fi及AP热点支持频段2.4GHz/5GHz；Wi-Fi制式支持IEEE 802.11 a/b/g/n/ac/ax；支持版本Wi-Fi6；Wi-Fi和AP热点工作距离≥12m。</w:t>
            </w:r>
          </w:p>
          <w:p w14:paraId="1422EEB3">
            <w:pPr>
              <w:numPr>
                <w:ilvl w:val="0"/>
                <w:numId w:val="5"/>
              </w:numPr>
              <w:ind w:left="0" w:firstLine="0"/>
              <w:rPr>
                <w:rFonts w:hint="eastAsia" w:ascii="宋体" w:hAnsi="宋体" w:cs="宋体"/>
                <w:color w:val="auto"/>
                <w:szCs w:val="21"/>
              </w:rPr>
            </w:pPr>
            <w:r>
              <w:rPr>
                <w:rFonts w:hint="eastAsia" w:ascii="宋体" w:hAnsi="宋体" w:cs="宋体"/>
                <w:color w:val="auto"/>
                <w:szCs w:val="21"/>
              </w:rPr>
              <w:t>整机支持蓝牙Bluetooth 5.4标准，PC端支持主动发现蓝牙外设从而连接（无需整机进入发现模式），支持连接外部蓝牙音箱播放音频。</w:t>
            </w:r>
          </w:p>
          <w:p w14:paraId="1B2BF756">
            <w:pPr>
              <w:rPr>
                <w:rFonts w:hint="eastAsia" w:ascii="宋体" w:hAnsi="宋体" w:cs="宋体"/>
                <w:b/>
                <w:bCs/>
                <w:color w:val="auto"/>
                <w:szCs w:val="21"/>
              </w:rPr>
            </w:pPr>
            <w:r>
              <w:rPr>
                <w:rFonts w:hint="eastAsia" w:ascii="宋体" w:hAnsi="宋体" w:cs="宋体"/>
                <w:b/>
                <w:bCs/>
                <w:color w:val="auto"/>
                <w:szCs w:val="21"/>
              </w:rPr>
              <w:t>六、物理按键及接口</w:t>
            </w:r>
          </w:p>
          <w:p w14:paraId="00BC5B76">
            <w:pPr>
              <w:numPr>
                <w:ilvl w:val="0"/>
                <w:numId w:val="6"/>
              </w:numPr>
              <w:ind w:left="0" w:firstLine="0"/>
              <w:rPr>
                <w:rFonts w:hint="eastAsia" w:ascii="宋体" w:hAnsi="宋体" w:cs="宋体"/>
                <w:color w:val="auto"/>
                <w:szCs w:val="21"/>
              </w:rPr>
            </w:pPr>
            <w:r>
              <w:rPr>
                <w:rFonts w:hint="eastAsia" w:ascii="宋体" w:hAnsi="宋体" w:cs="宋体"/>
                <w:color w:val="auto"/>
                <w:szCs w:val="21"/>
              </w:rPr>
              <w:t>整机具备至少6个前置按键，可实现开关机、调出中控菜单、音量+/-、护眼、录屏操作。</w:t>
            </w:r>
          </w:p>
          <w:p w14:paraId="550D80B4">
            <w:pPr>
              <w:numPr>
                <w:ilvl w:val="0"/>
                <w:numId w:val="6"/>
              </w:numPr>
              <w:ind w:left="0" w:firstLine="0"/>
              <w:rPr>
                <w:rFonts w:hint="eastAsia" w:ascii="宋体" w:hAnsi="宋体" w:cs="宋体"/>
                <w:color w:val="auto"/>
                <w:szCs w:val="21"/>
              </w:rPr>
            </w:pPr>
            <w:r>
              <w:rPr>
                <w:rFonts w:hint="eastAsia" w:ascii="宋体" w:hAnsi="宋体" w:cs="宋体"/>
                <w:color w:val="auto"/>
                <w:szCs w:val="21"/>
              </w:rPr>
              <w:t>▲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宋体" w:hAnsi="宋体" w:cs="宋体"/>
                <w:b/>
                <w:bCs/>
                <w:color w:val="auto"/>
                <w:szCs w:val="21"/>
              </w:rPr>
              <w:t>技术文件中提供具有CMA或CNAS认证的第三方检测机构所出具的关于该功能的检测报告复印件</w:t>
            </w:r>
            <w:r>
              <w:rPr>
                <w:rFonts w:hint="eastAsia" w:ascii="宋体" w:hAnsi="宋体" w:cs="宋体"/>
                <w:color w:val="auto"/>
                <w:szCs w:val="21"/>
              </w:rPr>
              <w:t>）</w:t>
            </w:r>
          </w:p>
          <w:p w14:paraId="020F5422">
            <w:pPr>
              <w:numPr>
                <w:ilvl w:val="0"/>
                <w:numId w:val="6"/>
              </w:numPr>
              <w:ind w:left="0" w:firstLine="0"/>
              <w:rPr>
                <w:rFonts w:hint="eastAsia" w:ascii="宋体" w:hAnsi="宋体" w:cs="宋体"/>
                <w:color w:val="auto"/>
                <w:szCs w:val="21"/>
              </w:rPr>
            </w:pPr>
            <w:r>
              <w:rPr>
                <w:rFonts w:hint="eastAsia" w:ascii="宋体" w:hAnsi="宋体" w:cs="宋体"/>
                <w:color w:val="auto"/>
                <w:szCs w:val="21"/>
              </w:rPr>
              <w:t>整机接口：侧置输入接口具备≥2路HDMI、≥1路RS232、≥1路USB接口，≥1路3.5mm audio in 音频输入接口  ；侧置输出接口具备≥1路3.5mm audio out音频输出、≥1路触控USB输出；侧置输出接口具备≥1路HDMI out接口；前置输入接口≥3路USB接口（包含1路Type-C、2路USB）。</w:t>
            </w:r>
          </w:p>
          <w:p w14:paraId="211B5A05">
            <w:pPr>
              <w:rPr>
                <w:rFonts w:hint="eastAsia" w:ascii="宋体" w:hAnsi="宋体" w:cs="宋体"/>
                <w:b/>
                <w:bCs/>
                <w:color w:val="auto"/>
                <w:szCs w:val="21"/>
              </w:rPr>
            </w:pPr>
            <w:r>
              <w:rPr>
                <w:rFonts w:hint="eastAsia" w:ascii="宋体" w:hAnsi="宋体" w:cs="宋体"/>
                <w:b/>
                <w:bCs/>
                <w:color w:val="auto"/>
                <w:szCs w:val="21"/>
              </w:rPr>
              <w:t>七、系统功能</w:t>
            </w:r>
          </w:p>
          <w:p w14:paraId="3159381A">
            <w:pPr>
              <w:numPr>
                <w:ilvl w:val="0"/>
                <w:numId w:val="7"/>
              </w:numPr>
              <w:ind w:left="0" w:firstLine="0"/>
              <w:rPr>
                <w:rFonts w:hint="eastAsia" w:ascii="宋体" w:hAnsi="宋体" w:cs="宋体"/>
                <w:color w:val="auto"/>
                <w:szCs w:val="21"/>
              </w:rPr>
            </w:pPr>
            <w:r>
              <w:rPr>
                <w:rFonts w:hint="eastAsia" w:ascii="宋体" w:hAnsi="宋体" w:cs="宋体"/>
                <w:color w:val="auto"/>
                <w:szCs w:val="21"/>
              </w:rPr>
              <w:t>整机支持全通道支持4K UI界面显示，包括安卓通道、PC通道、HDMI通道、Type-C通道。（提供国家认可的具备CMA认证的检测机构所出具的检测报告复印件并加盖公章）</w:t>
            </w:r>
          </w:p>
          <w:p w14:paraId="46CA1676">
            <w:pPr>
              <w:numPr>
                <w:ilvl w:val="0"/>
                <w:numId w:val="7"/>
              </w:numPr>
              <w:ind w:left="0" w:firstLine="0"/>
              <w:rPr>
                <w:rFonts w:hint="eastAsia" w:ascii="宋体" w:hAnsi="宋体" w:cs="宋体"/>
                <w:color w:val="auto"/>
                <w:szCs w:val="21"/>
              </w:rPr>
            </w:pPr>
            <w:bookmarkStart w:id="2" w:name="_Hlk155264861"/>
            <w:r>
              <w:rPr>
                <w:rFonts w:hint="eastAsia" w:ascii="宋体" w:hAnsi="宋体" w:cs="宋体"/>
                <w:color w:val="auto"/>
                <w:szCs w:val="21"/>
              </w:rPr>
              <w:t>整机设备开机启动后，自动进入教学桌面，支持账号登录、退出，自动获取个人云端教学课件列表，并可进入全部课件列表。（提供国家认可的具备CMA认证的检测机构所出具的检测报告复印件并加盖公章）</w:t>
            </w:r>
          </w:p>
          <w:bookmarkEnd w:id="2"/>
          <w:p w14:paraId="51CC7E9D">
            <w:pPr>
              <w:numPr>
                <w:ilvl w:val="0"/>
                <w:numId w:val="7"/>
              </w:numPr>
              <w:ind w:left="0" w:firstLine="0"/>
              <w:rPr>
                <w:rFonts w:hint="eastAsia" w:ascii="宋体" w:hAnsi="宋体" w:cs="宋体"/>
                <w:color w:val="auto"/>
                <w:szCs w:val="21"/>
              </w:rPr>
            </w:pPr>
            <w:r>
              <w:rPr>
                <w:rFonts w:hint="eastAsia" w:ascii="宋体" w:hAnsi="宋体" w:cs="宋体"/>
                <w:color w:val="auto"/>
                <w:szCs w:val="21"/>
              </w:rPr>
              <w:t>▲整机设备自带地震预警软件。支持在地震预警页面中获取位置，可以手动进行位置校准。支持在地震预警页面中选择提醒阈值。支持在地震预警界面中开启和关闭地震预警服务。（</w:t>
            </w:r>
            <w:r>
              <w:rPr>
                <w:rFonts w:hint="eastAsia" w:ascii="宋体" w:hAnsi="宋体" w:cs="宋体"/>
                <w:b/>
                <w:bCs/>
                <w:color w:val="auto"/>
                <w:szCs w:val="21"/>
              </w:rPr>
              <w:t>技术文件中提供具有CMA或CNAS认证的第三方检测机构所出具的关于该功能的检测报告复印件</w:t>
            </w:r>
            <w:r>
              <w:rPr>
                <w:rFonts w:hint="eastAsia" w:ascii="宋体" w:hAnsi="宋体" w:cs="宋体"/>
                <w:color w:val="auto"/>
                <w:szCs w:val="21"/>
              </w:rPr>
              <w:t>）</w:t>
            </w:r>
          </w:p>
          <w:p w14:paraId="2D222D65">
            <w:pPr>
              <w:numPr>
                <w:ilvl w:val="0"/>
                <w:numId w:val="7"/>
              </w:numPr>
              <w:ind w:left="0" w:firstLine="0"/>
              <w:rPr>
                <w:rFonts w:hint="eastAsia" w:ascii="宋体" w:hAnsi="宋体" w:cs="宋体"/>
                <w:color w:val="auto"/>
                <w:szCs w:val="21"/>
              </w:rPr>
            </w:pPr>
            <w:r>
              <w:rPr>
                <w:rFonts w:hint="eastAsia" w:ascii="宋体" w:hAnsi="宋体" w:cs="宋体"/>
                <w:color w:val="auto"/>
                <w:szCs w:val="21"/>
              </w:rPr>
              <w:t>整机具备智能手势识别功能，在整机全信号源通道下均可识别五指上、下、左、右方向手势，五指画 O、画~、左右晃动、缩/放方向手势滑动并调用相应功能。支持将各手势滑动方向自定义设置为无操作、熄屏、批注、桌面、半屏模式。（</w:t>
            </w:r>
            <w:r>
              <w:rPr>
                <w:rFonts w:hint="eastAsia" w:ascii="宋体" w:hAnsi="宋体" w:cs="宋体"/>
                <w:b/>
                <w:bCs/>
                <w:color w:val="auto"/>
                <w:szCs w:val="21"/>
              </w:rPr>
              <w:t>技术文件中提供具有CMA或CNAS认证的第三方检测机构所出具的关于该功能的检测报告复印件</w:t>
            </w:r>
            <w:r>
              <w:rPr>
                <w:rFonts w:hint="eastAsia" w:ascii="宋体" w:hAnsi="宋体" w:cs="宋体"/>
                <w:color w:val="auto"/>
                <w:szCs w:val="21"/>
              </w:rPr>
              <w:t>）</w:t>
            </w:r>
          </w:p>
          <w:p w14:paraId="133445CC">
            <w:pPr>
              <w:rPr>
                <w:rFonts w:hint="eastAsia" w:ascii="宋体" w:hAnsi="宋体" w:cs="宋体"/>
                <w:b/>
                <w:bCs/>
                <w:color w:val="auto"/>
                <w:szCs w:val="21"/>
              </w:rPr>
            </w:pPr>
            <w:r>
              <w:rPr>
                <w:rFonts w:hint="eastAsia" w:ascii="宋体" w:hAnsi="宋体" w:cs="宋体"/>
                <w:b/>
                <w:bCs/>
                <w:color w:val="auto"/>
                <w:szCs w:val="21"/>
              </w:rPr>
              <w:t>八、嵌入式系统</w:t>
            </w:r>
          </w:p>
          <w:p w14:paraId="57666F3C">
            <w:pPr>
              <w:numPr>
                <w:ilvl w:val="0"/>
                <w:numId w:val="8"/>
              </w:numPr>
              <w:ind w:left="0" w:firstLine="0"/>
              <w:rPr>
                <w:rFonts w:hint="eastAsia" w:ascii="宋体" w:hAnsi="宋体" w:cs="宋体"/>
                <w:color w:val="auto"/>
                <w:szCs w:val="21"/>
              </w:rPr>
            </w:pPr>
            <w:r>
              <w:rPr>
                <w:rFonts w:hint="eastAsia" w:ascii="宋体" w:hAnsi="宋体" w:cs="宋体"/>
                <w:color w:val="auto"/>
                <w:szCs w:val="21"/>
              </w:rPr>
              <w:t>嵌入式系统版本不低于Android 13，内存≥4GB，存储空间≥32GB。</w:t>
            </w:r>
          </w:p>
          <w:p w14:paraId="0FC63F9E">
            <w:pPr>
              <w:rPr>
                <w:rFonts w:hint="eastAsia" w:ascii="宋体" w:hAnsi="宋体" w:cs="宋体"/>
                <w:b/>
                <w:bCs/>
                <w:color w:val="auto"/>
                <w:szCs w:val="21"/>
              </w:rPr>
            </w:pPr>
            <w:r>
              <w:rPr>
                <w:rFonts w:hint="eastAsia" w:ascii="宋体" w:hAnsi="宋体" w:cs="宋体"/>
                <w:b/>
                <w:bCs/>
                <w:color w:val="auto"/>
                <w:szCs w:val="21"/>
              </w:rPr>
              <w:t>九、触摸系统</w:t>
            </w:r>
          </w:p>
          <w:p w14:paraId="43835CAD">
            <w:pPr>
              <w:numPr>
                <w:ilvl w:val="0"/>
                <w:numId w:val="9"/>
              </w:numPr>
              <w:ind w:left="0" w:firstLine="0"/>
              <w:rPr>
                <w:rFonts w:hint="eastAsia" w:ascii="宋体" w:hAnsi="宋体" w:cs="宋体"/>
                <w:color w:val="auto"/>
                <w:szCs w:val="21"/>
              </w:rPr>
            </w:pPr>
            <w:r>
              <w:rPr>
                <w:rFonts w:hint="eastAsia" w:ascii="宋体" w:hAnsi="宋体" w:cs="宋体"/>
                <w:color w:val="auto"/>
                <w:szCs w:val="21"/>
              </w:rPr>
              <w:t>采用电容触控方式，支持Windows系统中进行50点或以上触控，支持在Android系统中进行40点或以上触控。</w:t>
            </w:r>
          </w:p>
          <w:p w14:paraId="21872F3E">
            <w:pPr>
              <w:numPr>
                <w:ilvl w:val="0"/>
                <w:numId w:val="9"/>
              </w:numPr>
              <w:ind w:left="0" w:firstLine="0"/>
              <w:rPr>
                <w:rFonts w:hint="eastAsia" w:ascii="宋体" w:hAnsi="宋体" w:cs="宋体"/>
                <w:color w:val="auto"/>
                <w:szCs w:val="21"/>
              </w:rPr>
            </w:pPr>
            <w:r>
              <w:rPr>
                <w:rFonts w:hint="eastAsia" w:ascii="宋体" w:hAnsi="宋体" w:cs="宋体"/>
                <w:color w:val="auto"/>
                <w:szCs w:val="21"/>
              </w:rPr>
              <w:t>触摸分辨率≥32768×32768，触摸响应时间≤4ms，触摸最小识别物≤3mm。</w:t>
            </w:r>
            <w:bookmarkStart w:id="3" w:name="_Hlk155281010"/>
            <w:r>
              <w:rPr>
                <w:rFonts w:hint="eastAsia" w:ascii="宋体" w:hAnsi="宋体" w:cs="宋体"/>
                <w:color w:val="auto"/>
                <w:szCs w:val="21"/>
              </w:rPr>
              <w:t>（提供国家认可的具备CMA认证的检测机构所出具的检测报告复印件并加盖公章）</w:t>
            </w:r>
            <w:bookmarkEnd w:id="3"/>
          </w:p>
          <w:p w14:paraId="5A2C218F">
            <w:pPr>
              <w:numPr>
                <w:ilvl w:val="0"/>
                <w:numId w:val="9"/>
              </w:numPr>
              <w:ind w:left="0" w:firstLine="0"/>
              <w:rPr>
                <w:rFonts w:hint="eastAsia" w:ascii="宋体" w:hAnsi="宋体" w:cs="宋体"/>
                <w:color w:val="auto"/>
                <w:szCs w:val="21"/>
              </w:rPr>
            </w:pPr>
            <w:r>
              <w:rPr>
                <w:rFonts w:hint="eastAsia" w:ascii="宋体" w:hAnsi="宋体" w:cs="宋体"/>
                <w:color w:val="auto"/>
                <w:szCs w:val="21"/>
              </w:rPr>
              <w:t>整机系统支持书写触控延迟≤15ms，触控书写功能集成预测算法，在书写速度≥50cm/s，支持笔迹距离笔的距离小于20mm。</w:t>
            </w:r>
            <w:bookmarkStart w:id="4" w:name="_Hlk155261646"/>
            <w:r>
              <w:rPr>
                <w:rFonts w:hint="eastAsia" w:ascii="宋体" w:hAnsi="宋体" w:cs="宋体"/>
                <w:color w:val="auto"/>
                <w:szCs w:val="21"/>
              </w:rPr>
              <w:t>（</w:t>
            </w:r>
            <w:r>
              <w:rPr>
                <w:rFonts w:hint="eastAsia" w:ascii="宋体" w:hAnsi="宋体" w:cs="宋体"/>
                <w:b/>
                <w:bCs/>
                <w:color w:val="auto"/>
                <w:szCs w:val="21"/>
              </w:rPr>
              <w:t>技术文件中提供具有CMA或CNAS认证的第三方检测机构所出具的关于该功能的检测报告复印件</w:t>
            </w:r>
            <w:r>
              <w:rPr>
                <w:rFonts w:hint="eastAsia" w:ascii="宋体" w:hAnsi="宋体" w:cs="宋体"/>
                <w:color w:val="auto"/>
                <w:szCs w:val="21"/>
              </w:rPr>
              <w:t>）</w:t>
            </w:r>
            <w:bookmarkEnd w:id="4"/>
          </w:p>
          <w:p w14:paraId="6A104217">
            <w:pPr>
              <w:numPr>
                <w:ilvl w:val="0"/>
                <w:numId w:val="9"/>
              </w:numPr>
              <w:ind w:left="0" w:firstLine="0"/>
              <w:rPr>
                <w:rFonts w:hint="eastAsia" w:ascii="宋体" w:hAnsi="宋体" w:cs="宋体"/>
                <w:color w:val="auto"/>
                <w:szCs w:val="21"/>
              </w:rPr>
            </w:pPr>
            <w:r>
              <w:rPr>
                <w:rFonts w:hint="eastAsia" w:ascii="宋体" w:hAnsi="宋体" w:cs="宋体"/>
                <w:color w:val="auto"/>
                <w:szCs w:val="21"/>
              </w:rPr>
              <w:t>整机支持提笔书写，在Windows系统下可实现无需点击任意功能入口，当检测到触控笔笔尖接触屏幕时，自动进入书写模式。（</w:t>
            </w:r>
            <w:r>
              <w:rPr>
                <w:rFonts w:hint="eastAsia" w:ascii="宋体" w:hAnsi="宋体" w:cs="宋体"/>
                <w:b/>
                <w:bCs/>
                <w:color w:val="auto"/>
                <w:szCs w:val="21"/>
              </w:rPr>
              <w:t>技术文件中提供具有CMA或CNAS认证的第三方检测机构所出具的关于该功能的检测报告复印件</w:t>
            </w:r>
            <w:r>
              <w:rPr>
                <w:rFonts w:hint="eastAsia" w:ascii="宋体" w:hAnsi="宋体" w:cs="宋体"/>
                <w:color w:val="auto"/>
                <w:szCs w:val="21"/>
              </w:rPr>
              <w:t>）</w:t>
            </w:r>
          </w:p>
          <w:p w14:paraId="0CC44FB7">
            <w:pPr>
              <w:rPr>
                <w:rFonts w:hint="eastAsia" w:ascii="宋体" w:hAnsi="宋体" w:cs="宋体"/>
                <w:b/>
                <w:bCs/>
                <w:color w:val="auto"/>
                <w:szCs w:val="21"/>
              </w:rPr>
            </w:pPr>
            <w:r>
              <w:rPr>
                <w:rFonts w:hint="eastAsia" w:ascii="宋体" w:hAnsi="宋体" w:cs="宋体"/>
                <w:b/>
                <w:bCs/>
                <w:color w:val="auto"/>
                <w:szCs w:val="21"/>
              </w:rPr>
              <w:t>十、配套教学管理软件</w:t>
            </w:r>
          </w:p>
          <w:p w14:paraId="6232CD69">
            <w:pPr>
              <w:rPr>
                <w:rFonts w:hint="eastAsia" w:ascii="宋体" w:hAnsi="宋体" w:cs="宋体"/>
                <w:color w:val="auto"/>
                <w:szCs w:val="21"/>
              </w:rPr>
            </w:pPr>
            <w:r>
              <w:rPr>
                <w:rFonts w:hint="eastAsia" w:ascii="宋体" w:hAnsi="宋体" w:cs="宋体"/>
                <w:color w:val="auto"/>
                <w:szCs w:val="21"/>
              </w:rPr>
              <w:t>1.软件采用C/S、B/S架构，包含服务器端、管理端、客户端，支持跨网段管理。</w:t>
            </w:r>
          </w:p>
          <w:p w14:paraId="51FF1C3F">
            <w:pPr>
              <w:rPr>
                <w:rFonts w:hint="eastAsia" w:ascii="宋体" w:hAnsi="宋体" w:cs="宋体"/>
                <w:color w:val="auto"/>
                <w:szCs w:val="21"/>
              </w:rPr>
            </w:pPr>
            <w:r>
              <w:rPr>
                <w:rFonts w:hint="eastAsia" w:ascii="宋体" w:hAnsi="宋体" w:cs="宋体"/>
                <w:color w:val="auto"/>
                <w:szCs w:val="21"/>
              </w:rPr>
              <w:t>2.设备管理模块统计设备总数、在线数和离线数，显示所有设备信息包含电脑名、IP地址、网卡地址、登录状态、教室名、对应教室摄像头IP。</w:t>
            </w:r>
          </w:p>
          <w:p w14:paraId="42EB7454">
            <w:pPr>
              <w:rPr>
                <w:rFonts w:hint="eastAsia" w:ascii="宋体" w:hAnsi="宋体" w:cs="宋体"/>
                <w:color w:val="auto"/>
                <w:szCs w:val="21"/>
              </w:rPr>
            </w:pPr>
            <w:r>
              <w:rPr>
                <w:rFonts w:hint="eastAsia" w:ascii="宋体" w:hAnsi="宋体" w:cs="宋体"/>
                <w:color w:val="auto"/>
                <w:szCs w:val="21"/>
              </w:rPr>
              <w:t>3.可远程查看设备操作系统版本、CPU型号、内存容量、硬盘信息，包括查看设备负载信息包括CPU使用率、内存使用率、带宽使用率、C盘使用率。</w:t>
            </w:r>
          </w:p>
          <w:p w14:paraId="5DDA9361">
            <w:pPr>
              <w:rPr>
                <w:rFonts w:hint="eastAsia" w:ascii="宋体" w:hAnsi="宋体" w:cs="宋体"/>
                <w:color w:val="auto"/>
                <w:szCs w:val="21"/>
              </w:rPr>
            </w:pPr>
            <w:r>
              <w:rPr>
                <w:rFonts w:hint="eastAsia" w:ascii="宋体" w:hAnsi="宋体" w:cs="宋体"/>
                <w:color w:val="auto"/>
                <w:szCs w:val="21"/>
              </w:rPr>
              <w:t>4.平台支持分组管理，可对校园所有设备进行分组。</w:t>
            </w:r>
          </w:p>
          <w:p w14:paraId="2554DA6A">
            <w:pPr>
              <w:rPr>
                <w:rFonts w:hint="eastAsia" w:ascii="宋体" w:hAnsi="宋体" w:cs="宋体"/>
                <w:color w:val="auto"/>
                <w:szCs w:val="21"/>
              </w:rPr>
            </w:pPr>
            <w:r>
              <w:rPr>
                <w:rFonts w:hint="eastAsia" w:ascii="宋体" w:hAnsi="宋体" w:cs="宋体"/>
                <w:color w:val="auto"/>
                <w:szCs w:val="21"/>
              </w:rPr>
              <w:t>5.用户管理可添加、修改、删除用户。</w:t>
            </w:r>
          </w:p>
          <w:p w14:paraId="434BD6BF">
            <w:pPr>
              <w:rPr>
                <w:rFonts w:hint="eastAsia" w:ascii="宋体" w:hAnsi="宋体" w:cs="宋体"/>
                <w:color w:val="auto"/>
                <w:szCs w:val="21"/>
              </w:rPr>
            </w:pPr>
            <w:r>
              <w:rPr>
                <w:rFonts w:hint="eastAsia" w:ascii="宋体" w:hAnsi="宋体" w:cs="宋体"/>
                <w:color w:val="auto"/>
                <w:szCs w:val="21"/>
              </w:rPr>
              <w:t>6.管理端可进行远程开启和关闭设备。</w:t>
            </w:r>
          </w:p>
          <w:p w14:paraId="4F7A26BE">
            <w:pPr>
              <w:rPr>
                <w:rFonts w:hint="eastAsia" w:ascii="宋体" w:hAnsi="宋体" w:cs="宋体"/>
                <w:color w:val="auto"/>
                <w:szCs w:val="21"/>
              </w:rPr>
            </w:pPr>
            <w:r>
              <w:rPr>
                <w:rFonts w:hint="eastAsia" w:ascii="宋体" w:hAnsi="宋体" w:cs="宋体"/>
                <w:color w:val="auto"/>
                <w:szCs w:val="21"/>
              </w:rPr>
              <w:t>7.管理端对设备进行公告发布。</w:t>
            </w:r>
          </w:p>
          <w:p w14:paraId="1C2D1A32">
            <w:pPr>
              <w:rPr>
                <w:rFonts w:hint="eastAsia" w:ascii="宋体" w:hAnsi="宋体" w:cs="宋体"/>
                <w:color w:val="auto"/>
                <w:szCs w:val="21"/>
              </w:rPr>
            </w:pPr>
            <w:r>
              <w:rPr>
                <w:rFonts w:hint="eastAsia" w:ascii="宋体" w:hAnsi="宋体" w:cs="宋体"/>
                <w:color w:val="auto"/>
                <w:szCs w:val="21"/>
              </w:rPr>
              <w:t>8.管理界面支持单分屏、四分屏、九分屏、十六分屏，最高支持64分屏。</w:t>
            </w:r>
          </w:p>
          <w:p w14:paraId="0952BB78">
            <w:pPr>
              <w:rPr>
                <w:rFonts w:hint="eastAsia" w:ascii="宋体" w:hAnsi="宋体" w:cs="宋体"/>
                <w:color w:val="auto"/>
                <w:szCs w:val="21"/>
              </w:rPr>
            </w:pPr>
            <w:r>
              <w:rPr>
                <w:rFonts w:hint="eastAsia" w:ascii="宋体" w:hAnsi="宋体" w:cs="宋体"/>
                <w:color w:val="auto"/>
                <w:szCs w:val="21"/>
              </w:rPr>
              <w:t>9.可远程查看教室网络摄像头画面。</w:t>
            </w:r>
          </w:p>
          <w:p w14:paraId="45EEB320">
            <w:pPr>
              <w:rPr>
                <w:rFonts w:hint="eastAsia" w:ascii="宋体" w:hAnsi="宋体" w:cs="宋体"/>
                <w:color w:val="auto"/>
                <w:szCs w:val="21"/>
              </w:rPr>
            </w:pPr>
            <w:r>
              <w:rPr>
                <w:rFonts w:hint="eastAsia" w:ascii="宋体" w:hAnsi="宋体" w:cs="宋体"/>
                <w:color w:val="auto"/>
                <w:szCs w:val="21"/>
              </w:rPr>
              <w:t>10.远程监看设备时，可随时切换教室现场画面和教室电脑画面，支持开启或关闭摄像头声音，支持二分屏同时显示教室现场画面和教室电脑桌面画面，实时观摩教室上课情况。（提供产品功能演示）</w:t>
            </w:r>
          </w:p>
          <w:p w14:paraId="715AA5DE">
            <w:pPr>
              <w:rPr>
                <w:rFonts w:hint="eastAsia" w:ascii="宋体" w:hAnsi="宋体" w:cs="宋体"/>
                <w:color w:val="auto"/>
                <w:szCs w:val="21"/>
              </w:rPr>
            </w:pPr>
            <w:r>
              <w:rPr>
                <w:rFonts w:hint="eastAsia" w:ascii="宋体" w:hAnsi="宋体" w:cs="宋体"/>
                <w:color w:val="auto"/>
                <w:szCs w:val="21"/>
              </w:rPr>
              <w:t>11.日志管理记录系统的所有日志信息，包括操作日志、警告日志、报错日志等。</w:t>
            </w:r>
          </w:p>
          <w:p w14:paraId="3D9A2E49">
            <w:pPr>
              <w:rPr>
                <w:rFonts w:hint="eastAsia" w:ascii="宋体" w:hAnsi="宋体" w:cs="宋体"/>
                <w:color w:val="auto"/>
                <w:szCs w:val="21"/>
              </w:rPr>
            </w:pPr>
            <w:r>
              <w:rPr>
                <w:rFonts w:hint="eastAsia" w:ascii="宋体" w:hAnsi="宋体" w:cs="宋体"/>
                <w:color w:val="auto"/>
                <w:szCs w:val="21"/>
              </w:rPr>
              <w:t>12.行为管理中包括所有分组设备的行为状态，可以实时设置各分组设备的外网控制和U盘控制。</w:t>
            </w:r>
          </w:p>
          <w:p w14:paraId="5EEE6B14">
            <w:pPr>
              <w:rPr>
                <w:rFonts w:hint="eastAsia" w:ascii="宋体" w:hAnsi="宋体" w:cs="宋体"/>
                <w:color w:val="auto"/>
                <w:szCs w:val="21"/>
              </w:rPr>
            </w:pPr>
            <w:r>
              <w:rPr>
                <w:rFonts w:hint="eastAsia" w:ascii="宋体" w:hAnsi="宋体" w:cs="宋体"/>
                <w:color w:val="auto"/>
                <w:szCs w:val="21"/>
              </w:rPr>
              <w:t>13.远程配置中支持设置设备系统时间、系统音量大小、修改电脑名、执行DOS命令、远程打开程序、结束程序、打开网站、打开目录、垃圾清理。（提供产品功能演示）</w:t>
            </w:r>
          </w:p>
          <w:p w14:paraId="7B8EBFD2">
            <w:pPr>
              <w:rPr>
                <w:rFonts w:hint="eastAsia" w:ascii="宋体" w:hAnsi="宋体" w:cs="宋体"/>
                <w:color w:val="auto"/>
                <w:szCs w:val="21"/>
              </w:rPr>
            </w:pPr>
            <w:r>
              <w:rPr>
                <w:rFonts w:hint="eastAsia" w:ascii="宋体" w:hAnsi="宋体" w:cs="宋体"/>
                <w:color w:val="auto"/>
                <w:szCs w:val="21"/>
              </w:rPr>
              <w:t>14.平台包含课表系统，可设置课表相关信息包括课表节次和时间、课表名称及课表日期、课表周数，支持课表内容导入，显示不同教室、不同周次课表信息。（提供产品功能演示）</w:t>
            </w:r>
          </w:p>
          <w:p w14:paraId="2E61C829">
            <w:pPr>
              <w:rPr>
                <w:rFonts w:hint="eastAsia" w:ascii="宋体" w:hAnsi="宋体" w:cs="宋体"/>
                <w:color w:val="auto"/>
                <w:szCs w:val="21"/>
              </w:rPr>
            </w:pPr>
            <w:r>
              <w:rPr>
                <w:rFonts w:hint="eastAsia" w:ascii="宋体" w:hAnsi="宋体" w:cs="宋体"/>
                <w:color w:val="auto"/>
                <w:szCs w:val="21"/>
              </w:rPr>
              <w:t>15.支持管理端、web端管理集控系统。</w:t>
            </w:r>
          </w:p>
        </w:tc>
        <w:tc>
          <w:tcPr>
            <w:tcW w:w="202" w:type="pct"/>
            <w:shd w:val="clear" w:color="auto" w:fill="auto"/>
            <w:vAlign w:val="center"/>
          </w:tcPr>
          <w:p w14:paraId="7848A3E2">
            <w:pPr>
              <w:spacing w:line="288" w:lineRule="auto"/>
              <w:jc w:val="center"/>
              <w:rPr>
                <w:rFonts w:hint="eastAsia" w:ascii="宋体" w:hAnsi="宋体" w:cs="宋体"/>
                <w:color w:val="auto"/>
                <w:spacing w:val="-6"/>
                <w:szCs w:val="21"/>
              </w:rPr>
            </w:pPr>
            <w:r>
              <w:rPr>
                <w:rFonts w:hint="eastAsia" w:ascii="宋体" w:hAnsi="宋体" w:cs="宋体"/>
                <w:color w:val="auto"/>
                <w:spacing w:val="-6"/>
                <w:szCs w:val="21"/>
              </w:rPr>
              <w:t>1</w:t>
            </w:r>
          </w:p>
        </w:tc>
        <w:tc>
          <w:tcPr>
            <w:tcW w:w="191" w:type="pct"/>
            <w:vAlign w:val="center"/>
          </w:tcPr>
          <w:p w14:paraId="15C410E3">
            <w:pPr>
              <w:widowControl/>
              <w:jc w:val="center"/>
              <w:textAlignment w:val="center"/>
              <w:rPr>
                <w:rFonts w:hint="eastAsia" w:ascii="宋体" w:hAnsi="宋体" w:cs="宋体"/>
                <w:color w:val="auto"/>
                <w:szCs w:val="21"/>
              </w:rPr>
            </w:pPr>
            <w:r>
              <w:rPr>
                <w:rFonts w:hint="eastAsia" w:ascii="宋体" w:hAnsi="宋体" w:cs="宋体"/>
                <w:color w:val="auto"/>
                <w:szCs w:val="21"/>
              </w:rPr>
              <w:t>台</w:t>
            </w:r>
          </w:p>
        </w:tc>
        <w:tc>
          <w:tcPr>
            <w:tcW w:w="361" w:type="pct"/>
            <w:vAlign w:val="center"/>
          </w:tcPr>
          <w:p w14:paraId="1DC88AA4">
            <w:pPr>
              <w:jc w:val="center"/>
              <w:rPr>
                <w:rFonts w:hint="eastAsia" w:ascii="宋体" w:hAnsi="宋体" w:cs="宋体"/>
                <w:color w:val="auto"/>
                <w:szCs w:val="21"/>
              </w:rPr>
            </w:pPr>
            <w:r>
              <w:rPr>
                <w:rFonts w:hint="eastAsia" w:ascii="宋体" w:hAnsi="宋体" w:cs="宋体"/>
                <w:color w:val="auto"/>
                <w:szCs w:val="21"/>
              </w:rPr>
              <w:t>MAXHUB、希沃、华为</w:t>
            </w:r>
          </w:p>
        </w:tc>
      </w:tr>
      <w:tr w14:paraId="4BB5E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73" w:type="pct"/>
            <w:vAlign w:val="center"/>
          </w:tcPr>
          <w:p w14:paraId="685A1A29">
            <w:pPr>
              <w:widowControl/>
              <w:jc w:val="center"/>
              <w:textAlignment w:val="center"/>
              <w:rPr>
                <w:rFonts w:hint="eastAsia" w:ascii="宋体" w:hAnsi="宋体" w:cs="宋体"/>
                <w:color w:val="auto"/>
                <w:szCs w:val="21"/>
              </w:rPr>
            </w:pPr>
            <w:r>
              <w:rPr>
                <w:rFonts w:hint="eastAsia" w:ascii="宋体" w:hAnsi="宋体" w:cs="宋体"/>
                <w:color w:val="auto"/>
                <w:szCs w:val="21"/>
              </w:rPr>
              <w:t>3</w:t>
            </w:r>
          </w:p>
        </w:tc>
        <w:tc>
          <w:tcPr>
            <w:tcW w:w="554" w:type="pct"/>
            <w:shd w:val="clear" w:color="auto" w:fill="auto"/>
            <w:vAlign w:val="center"/>
          </w:tcPr>
          <w:p w14:paraId="63AA729B">
            <w:pPr>
              <w:spacing w:line="288" w:lineRule="auto"/>
              <w:jc w:val="center"/>
              <w:rPr>
                <w:rFonts w:hint="eastAsia" w:ascii="宋体" w:hAnsi="宋体" w:cs="宋体"/>
                <w:color w:val="auto"/>
                <w:spacing w:val="-6"/>
                <w:szCs w:val="21"/>
              </w:rPr>
            </w:pPr>
            <w:r>
              <w:rPr>
                <w:rFonts w:hint="eastAsia" w:ascii="宋体" w:hAnsi="宋体" w:cs="宋体"/>
                <w:color w:val="auto"/>
                <w:spacing w:val="-6"/>
                <w:szCs w:val="21"/>
              </w:rPr>
              <w:t>显示屏</w:t>
            </w:r>
          </w:p>
        </w:tc>
        <w:tc>
          <w:tcPr>
            <w:tcW w:w="3317" w:type="pct"/>
          </w:tcPr>
          <w:p w14:paraId="1CFB8ABD">
            <w:pPr>
              <w:ind w:left="425" w:hanging="425"/>
              <w:rPr>
                <w:rFonts w:hint="eastAsia" w:ascii="宋体" w:hAnsi="宋体" w:cs="宋体"/>
                <w:color w:val="auto"/>
                <w:szCs w:val="21"/>
              </w:rPr>
            </w:pPr>
            <w:r>
              <w:rPr>
                <w:rFonts w:hint="eastAsia" w:ascii="宋体" w:hAnsi="宋体" w:cs="宋体"/>
                <w:color w:val="auto"/>
                <w:szCs w:val="21"/>
              </w:rPr>
              <w:t>一、产品特性</w:t>
            </w:r>
          </w:p>
          <w:p w14:paraId="790633BF">
            <w:pPr>
              <w:rPr>
                <w:rFonts w:hint="eastAsia" w:ascii="宋体" w:hAnsi="宋体" w:cs="宋体"/>
                <w:color w:val="auto"/>
                <w:szCs w:val="21"/>
              </w:rPr>
            </w:pPr>
            <w:r>
              <w:rPr>
                <w:rFonts w:hint="eastAsia" w:ascii="宋体" w:hAnsi="宋体" w:cs="宋体"/>
                <w:color w:val="auto"/>
                <w:szCs w:val="21"/>
              </w:rPr>
              <w:t>1.三边无框设计，4K高清显示</w:t>
            </w:r>
            <w:r>
              <w:rPr>
                <w:rFonts w:hint="eastAsia" w:ascii="宋体" w:hAnsi="宋体" w:cs="宋体"/>
                <w:color w:val="auto"/>
                <w:szCs w:val="21"/>
              </w:rPr>
              <w:br w:type="textWrapping"/>
            </w:r>
            <w:r>
              <w:rPr>
                <w:rFonts w:hint="eastAsia" w:ascii="宋体" w:hAnsi="宋体" w:cs="宋体"/>
                <w:color w:val="auto"/>
                <w:szCs w:val="21"/>
              </w:rPr>
              <w:t>2.Android 9.0，4核CPU，2+16G，支持RTC，支持蓝牙，无线双频 Wi-Fi 2.4/5G/AP,有线 LAN</w:t>
            </w:r>
            <w:r>
              <w:rPr>
                <w:rFonts w:hint="eastAsia" w:ascii="宋体" w:hAnsi="宋体" w:cs="宋体"/>
                <w:color w:val="auto"/>
                <w:szCs w:val="21"/>
              </w:rPr>
              <w:br w:type="textWrapping"/>
            </w:r>
            <w:r>
              <w:rPr>
                <w:rFonts w:hint="eastAsia" w:ascii="宋体" w:hAnsi="宋体" w:cs="宋体"/>
                <w:color w:val="auto"/>
                <w:szCs w:val="21"/>
              </w:rPr>
              <w:t>3.纯净商用场景化OS，商业级无线传屏,PC端可通过软件输入6位传屏码连接75寸商显进行投屏。</w:t>
            </w:r>
            <w:r>
              <w:rPr>
                <w:rFonts w:hint="eastAsia" w:ascii="宋体" w:hAnsi="宋体" w:cs="宋体"/>
                <w:b/>
                <w:bCs/>
                <w:color w:val="auto"/>
                <w:szCs w:val="21"/>
              </w:rPr>
              <w:t>(投标时提供演示）</w:t>
            </w:r>
          </w:p>
          <w:p w14:paraId="7DFC2456">
            <w:pPr>
              <w:rPr>
                <w:rFonts w:hint="eastAsia" w:ascii="宋体" w:hAnsi="宋体" w:cs="宋体"/>
                <w:color w:val="auto"/>
                <w:szCs w:val="21"/>
              </w:rPr>
            </w:pPr>
            <w:r>
              <w:rPr>
                <w:rFonts w:hint="eastAsia" w:ascii="宋体" w:hAnsi="宋体" w:cs="宋体"/>
                <w:color w:val="auto"/>
                <w:szCs w:val="21"/>
              </w:rPr>
              <w:t>4.可以仅对一个应用窗口进行无线投屏，其他窗口内容不做展示，保证数据的隐私。</w:t>
            </w:r>
            <w:r>
              <w:rPr>
                <w:rFonts w:hint="eastAsia" w:ascii="宋体" w:hAnsi="宋体" w:cs="宋体"/>
                <w:b/>
                <w:bCs/>
                <w:color w:val="auto"/>
                <w:szCs w:val="21"/>
              </w:rPr>
              <w:t>(投标时提供演示）</w:t>
            </w:r>
          </w:p>
          <w:p w14:paraId="4D0B047B">
            <w:pPr>
              <w:rPr>
                <w:rFonts w:hint="eastAsia" w:ascii="宋体" w:hAnsi="宋体" w:cs="宋体"/>
                <w:color w:val="auto"/>
                <w:szCs w:val="21"/>
              </w:rPr>
            </w:pPr>
            <w:r>
              <w:rPr>
                <w:rFonts w:hint="eastAsia" w:ascii="宋体" w:hAnsi="宋体" w:cs="宋体"/>
                <w:color w:val="auto"/>
                <w:szCs w:val="21"/>
              </w:rPr>
              <w:t>二、显示参数</w:t>
            </w:r>
            <w:r>
              <w:rPr>
                <w:rFonts w:hint="eastAsia" w:ascii="宋体" w:hAnsi="宋体" w:cs="宋体"/>
                <w:color w:val="auto"/>
                <w:szCs w:val="21"/>
              </w:rPr>
              <w:br w:type="textWrapping"/>
            </w:r>
            <w:r>
              <w:rPr>
                <w:rFonts w:hint="eastAsia" w:ascii="宋体" w:hAnsi="宋体" w:cs="宋体"/>
                <w:color w:val="auto"/>
                <w:szCs w:val="21"/>
              </w:rPr>
              <w:t>1.尺寸：75英寸，屏类型：VA，响应时间：8ms，画面比例：16:9，分辨率：3840(H)×2160(V)，色彩度：16.7M(8bit)，色域 NTSC 1931(Typ)：72%，对比度(Typ)：4000:1，可视角度：176 °，屏亮度(Typ)：260cd/m2</w:t>
            </w:r>
            <w:r>
              <w:rPr>
                <w:rFonts w:hint="eastAsia" w:ascii="宋体" w:hAnsi="宋体" w:cs="宋体"/>
                <w:color w:val="auto"/>
                <w:szCs w:val="21"/>
              </w:rPr>
              <w:br w:type="textWrapping"/>
            </w:r>
            <w:r>
              <w:rPr>
                <w:rFonts w:hint="eastAsia" w:ascii="宋体" w:hAnsi="宋体" w:cs="宋体"/>
                <w:color w:val="auto"/>
                <w:szCs w:val="21"/>
              </w:rPr>
              <w:t>三，操作系统</w:t>
            </w:r>
            <w:r>
              <w:rPr>
                <w:rFonts w:hint="eastAsia" w:ascii="宋体" w:hAnsi="宋体" w:cs="宋体"/>
                <w:color w:val="auto"/>
                <w:szCs w:val="21"/>
              </w:rPr>
              <w:br w:type="textWrapping"/>
            </w:r>
            <w:r>
              <w:rPr>
                <w:rFonts w:hint="eastAsia" w:ascii="宋体" w:hAnsi="宋体" w:cs="宋体"/>
                <w:color w:val="auto"/>
                <w:szCs w:val="21"/>
              </w:rPr>
              <w:t>1.系统版本：Android 9.0，RAM:2G,ROM:16G,CPU:四核 A35,GPU:双核-Mali-G31</w:t>
            </w:r>
            <w:r>
              <w:rPr>
                <w:rFonts w:hint="eastAsia" w:ascii="宋体" w:hAnsi="宋体" w:cs="宋体"/>
                <w:color w:val="auto"/>
                <w:szCs w:val="21"/>
              </w:rPr>
              <w:br w:type="textWrapping"/>
            </w:r>
            <w:r>
              <w:rPr>
                <w:rFonts w:hint="eastAsia" w:ascii="宋体" w:hAnsi="宋体" w:cs="宋体"/>
                <w:color w:val="auto"/>
                <w:szCs w:val="21"/>
              </w:rPr>
              <w:t>四、扬声器</w:t>
            </w:r>
            <w:r>
              <w:rPr>
                <w:rFonts w:hint="eastAsia" w:ascii="宋体" w:hAnsi="宋体" w:cs="宋体"/>
                <w:color w:val="auto"/>
                <w:szCs w:val="21"/>
              </w:rPr>
              <w:br w:type="textWrapping"/>
            </w:r>
            <w:r>
              <w:rPr>
                <w:rFonts w:hint="eastAsia" w:ascii="宋体" w:hAnsi="宋体" w:cs="宋体"/>
                <w:color w:val="auto"/>
                <w:szCs w:val="21"/>
              </w:rPr>
              <w:t>1.声道:2.0,功率:2×8W</w:t>
            </w:r>
            <w:r>
              <w:rPr>
                <w:rFonts w:hint="eastAsia" w:ascii="宋体" w:hAnsi="宋体" w:cs="宋体"/>
                <w:color w:val="auto"/>
                <w:szCs w:val="21"/>
              </w:rPr>
              <w:br w:type="textWrapping"/>
            </w:r>
            <w:r>
              <w:rPr>
                <w:rFonts w:hint="eastAsia" w:ascii="宋体" w:hAnsi="宋体" w:cs="宋体"/>
                <w:color w:val="auto"/>
                <w:szCs w:val="21"/>
              </w:rPr>
              <w:t>五、I/O 接口</w:t>
            </w:r>
            <w:r>
              <w:rPr>
                <w:rFonts w:hint="eastAsia" w:ascii="宋体" w:hAnsi="宋体" w:cs="宋体"/>
                <w:color w:val="auto"/>
                <w:szCs w:val="21"/>
              </w:rPr>
              <w:br w:type="textWrapping"/>
            </w:r>
            <w:r>
              <w:rPr>
                <w:rFonts w:hint="eastAsia" w:ascii="宋体" w:hAnsi="宋体" w:cs="宋体"/>
                <w:color w:val="auto"/>
                <w:szCs w:val="21"/>
              </w:rPr>
              <w:t>1.HDMI IN*3,USB2.0*2,RJ45IN*1，Earphone*1，COAX*1，AV*2，RF*1</w:t>
            </w:r>
          </w:p>
        </w:tc>
        <w:tc>
          <w:tcPr>
            <w:tcW w:w="202" w:type="pct"/>
            <w:shd w:val="clear" w:color="auto" w:fill="auto"/>
            <w:vAlign w:val="center"/>
          </w:tcPr>
          <w:p w14:paraId="3AB7CBA9">
            <w:pPr>
              <w:spacing w:line="288" w:lineRule="auto"/>
              <w:jc w:val="center"/>
              <w:rPr>
                <w:rFonts w:hint="eastAsia" w:ascii="宋体" w:hAnsi="宋体" w:cs="宋体"/>
                <w:color w:val="auto"/>
                <w:spacing w:val="-6"/>
                <w:szCs w:val="21"/>
              </w:rPr>
            </w:pPr>
            <w:r>
              <w:rPr>
                <w:rFonts w:hint="eastAsia" w:ascii="宋体" w:hAnsi="宋体" w:cs="宋体"/>
                <w:color w:val="auto"/>
                <w:spacing w:val="-6"/>
                <w:szCs w:val="21"/>
              </w:rPr>
              <w:t>46</w:t>
            </w:r>
          </w:p>
        </w:tc>
        <w:tc>
          <w:tcPr>
            <w:tcW w:w="191" w:type="pct"/>
            <w:vAlign w:val="center"/>
          </w:tcPr>
          <w:p w14:paraId="380CD83A">
            <w:pPr>
              <w:widowControl/>
              <w:jc w:val="center"/>
              <w:textAlignment w:val="center"/>
              <w:rPr>
                <w:rFonts w:hint="eastAsia" w:ascii="宋体" w:hAnsi="宋体" w:cs="宋体"/>
                <w:color w:val="auto"/>
                <w:szCs w:val="21"/>
              </w:rPr>
            </w:pPr>
            <w:r>
              <w:rPr>
                <w:rFonts w:hint="eastAsia" w:ascii="宋体" w:hAnsi="宋体" w:cs="宋体"/>
                <w:color w:val="auto"/>
                <w:szCs w:val="21"/>
              </w:rPr>
              <w:t>台</w:t>
            </w:r>
          </w:p>
        </w:tc>
        <w:tc>
          <w:tcPr>
            <w:tcW w:w="361" w:type="pct"/>
            <w:vAlign w:val="center"/>
          </w:tcPr>
          <w:p w14:paraId="5FD00DFF">
            <w:pPr>
              <w:jc w:val="center"/>
              <w:rPr>
                <w:rFonts w:hint="eastAsia" w:ascii="宋体" w:hAnsi="宋体" w:cs="宋体"/>
                <w:color w:val="auto"/>
                <w:szCs w:val="21"/>
              </w:rPr>
            </w:pPr>
            <w:r>
              <w:rPr>
                <w:rFonts w:hint="eastAsia" w:ascii="宋体" w:hAnsi="宋体" w:cs="宋体"/>
                <w:color w:val="auto"/>
                <w:szCs w:val="21"/>
              </w:rPr>
              <w:t>MAXHUB、希沃、华为</w:t>
            </w:r>
          </w:p>
        </w:tc>
      </w:tr>
      <w:tr w14:paraId="69E02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73" w:type="pct"/>
            <w:vAlign w:val="center"/>
          </w:tcPr>
          <w:p w14:paraId="1BD912A3">
            <w:pPr>
              <w:widowControl/>
              <w:jc w:val="center"/>
              <w:textAlignment w:val="center"/>
              <w:rPr>
                <w:rFonts w:hint="eastAsia" w:ascii="宋体" w:hAnsi="宋体" w:cs="宋体"/>
                <w:color w:val="auto"/>
                <w:szCs w:val="21"/>
              </w:rPr>
            </w:pPr>
            <w:r>
              <w:rPr>
                <w:rFonts w:hint="eastAsia" w:ascii="宋体" w:hAnsi="宋体" w:cs="宋体"/>
                <w:color w:val="auto"/>
                <w:szCs w:val="21"/>
              </w:rPr>
              <w:t>4</w:t>
            </w:r>
          </w:p>
        </w:tc>
        <w:tc>
          <w:tcPr>
            <w:tcW w:w="554" w:type="pct"/>
            <w:shd w:val="clear" w:color="auto" w:fill="auto"/>
            <w:vAlign w:val="center"/>
          </w:tcPr>
          <w:p w14:paraId="71ACB028">
            <w:pPr>
              <w:spacing w:line="288" w:lineRule="auto"/>
              <w:jc w:val="center"/>
              <w:rPr>
                <w:rFonts w:hint="eastAsia" w:ascii="宋体" w:hAnsi="宋体" w:cs="宋体"/>
                <w:color w:val="auto"/>
                <w:spacing w:val="-6"/>
                <w:szCs w:val="21"/>
              </w:rPr>
            </w:pPr>
            <w:r>
              <w:rPr>
                <w:rFonts w:hint="eastAsia" w:ascii="宋体" w:hAnsi="宋体" w:cs="宋体"/>
                <w:color w:val="auto"/>
                <w:spacing w:val="-6"/>
                <w:szCs w:val="21"/>
              </w:rPr>
              <w:t>智能讲台</w:t>
            </w:r>
          </w:p>
        </w:tc>
        <w:tc>
          <w:tcPr>
            <w:tcW w:w="3317" w:type="pct"/>
          </w:tcPr>
          <w:p w14:paraId="08EEF089">
            <w:pPr>
              <w:numPr>
                <w:ilvl w:val="0"/>
                <w:numId w:val="10"/>
              </w:numPr>
              <w:rPr>
                <w:rFonts w:hint="eastAsia" w:ascii="宋体" w:hAnsi="宋体" w:cs="宋体"/>
                <w:color w:val="auto"/>
                <w:szCs w:val="21"/>
              </w:rPr>
            </w:pPr>
            <w:r>
              <w:rPr>
                <w:rFonts w:hint="eastAsia" w:ascii="宋体" w:hAnsi="宋体" w:cs="宋体"/>
                <w:color w:val="auto"/>
                <w:szCs w:val="21"/>
              </w:rPr>
              <w:t>讲桌的桌架型材采用钢材，表面处理选用静电喷涂技术，颜色灰色。</w:t>
            </w:r>
            <w:r>
              <w:rPr>
                <w:rFonts w:hint="eastAsia" w:ascii="宋体" w:hAnsi="宋体" w:cs="宋体"/>
                <w:color w:val="auto"/>
                <w:szCs w:val="21"/>
              </w:rPr>
              <w:br w:type="textWrapping"/>
            </w:r>
            <w:r>
              <w:rPr>
                <w:rFonts w:hint="eastAsia" w:ascii="宋体" w:hAnsi="宋体" w:cs="宋体"/>
                <w:color w:val="auto"/>
                <w:szCs w:val="21"/>
              </w:rPr>
              <w:t>2、讲桌的桌面板材，采用E0级免漆板，厚度≥25mm，颜色为白色，桌板尺寸≥1600mm×750mm。</w:t>
            </w:r>
            <w:r>
              <w:rPr>
                <w:rFonts w:hint="eastAsia" w:ascii="宋体" w:hAnsi="宋体" w:cs="宋体"/>
                <w:color w:val="auto"/>
                <w:szCs w:val="21"/>
              </w:rPr>
              <w:br w:type="textWrapping"/>
            </w:r>
            <w:r>
              <w:rPr>
                <w:rFonts w:hint="eastAsia" w:ascii="宋体" w:hAnsi="宋体" w:cs="宋体"/>
                <w:color w:val="auto"/>
                <w:szCs w:val="21"/>
              </w:rPr>
              <w:t>3、讲桌的桌面围桌板前部具备多层板弯曲而成的高围挡设计，表面喷漆。围挡整体颜色均匀，无明显深浅色差。高度≥80mm，可防止桌面物品滚落；桌面左右两侧前方具有和围挡同色的木凸台，厚度≥20mm，用于放置控制设备和话筒等。</w:t>
            </w:r>
            <w:r>
              <w:rPr>
                <w:rFonts w:hint="eastAsia" w:ascii="宋体" w:hAnsi="宋体" w:cs="宋体"/>
                <w:color w:val="auto"/>
                <w:szCs w:val="21"/>
              </w:rPr>
              <w:br w:type="textWrapping"/>
            </w:r>
            <w:r>
              <w:rPr>
                <w:rFonts w:hint="eastAsia" w:ascii="宋体" w:hAnsi="宋体" w:cs="宋体"/>
                <w:color w:val="auto"/>
                <w:szCs w:val="21"/>
              </w:rPr>
              <w:t>4、讲桌的桌面需具备内嵌式的水杯圆槽，槽内直径≥80mm，可供教师放置水杯。</w:t>
            </w:r>
            <w:r>
              <w:rPr>
                <w:rFonts w:hint="eastAsia" w:ascii="宋体" w:hAnsi="宋体" w:cs="宋体"/>
                <w:color w:val="auto"/>
                <w:szCs w:val="21"/>
              </w:rPr>
              <w:br w:type="textWrapping"/>
            </w:r>
            <w:r>
              <w:rPr>
                <w:rFonts w:hint="eastAsia" w:ascii="宋体" w:hAnsi="宋体" w:cs="宋体"/>
                <w:color w:val="auto"/>
                <w:szCs w:val="21"/>
              </w:rPr>
              <w:t>5、讲桌的桌板下方需具备采用滑轨式安装设计的收纳抽屉，收纳空间≥500*200*50(mm)，抽屉面板采用E0级厚度≥16mm的灰色免漆板材。</w:t>
            </w:r>
            <w:r>
              <w:rPr>
                <w:rFonts w:hint="eastAsia" w:ascii="宋体" w:hAnsi="宋体" w:cs="宋体"/>
                <w:color w:val="auto"/>
                <w:szCs w:val="21"/>
              </w:rPr>
              <w:br w:type="textWrapping"/>
            </w:r>
            <w:r>
              <w:rPr>
                <w:rFonts w:hint="eastAsia" w:ascii="宋体" w:hAnsi="宋体" w:cs="宋体"/>
                <w:color w:val="auto"/>
                <w:szCs w:val="21"/>
              </w:rPr>
              <w:t>6、讲桌的前挡板采用可拆卸设计。围挡表面可自由粘贴学校的校徽LOGO。</w:t>
            </w:r>
            <w:r>
              <w:rPr>
                <w:rFonts w:hint="eastAsia" w:ascii="宋体" w:hAnsi="宋体" w:cs="宋体"/>
                <w:color w:val="auto"/>
                <w:szCs w:val="21"/>
              </w:rPr>
              <w:br w:type="textWrapping"/>
            </w:r>
            <w:r>
              <w:rPr>
                <w:rFonts w:hint="eastAsia" w:ascii="宋体" w:hAnsi="宋体" w:cs="宋体"/>
                <w:color w:val="auto"/>
                <w:szCs w:val="21"/>
              </w:rPr>
              <w:t>讲桌的机柜内置≥11U的19英寸标准机架，前后门都可以打开方便维护。前后门都具有散热孔，前门带锁。</w:t>
            </w:r>
            <w:r>
              <w:rPr>
                <w:rFonts w:hint="eastAsia" w:ascii="宋体" w:hAnsi="宋体" w:cs="宋体"/>
                <w:color w:val="auto"/>
                <w:szCs w:val="21"/>
              </w:rPr>
              <w:br w:type="textWrapping"/>
            </w:r>
            <w:r>
              <w:rPr>
                <w:rFonts w:hint="eastAsia" w:ascii="宋体" w:hAnsi="宋体" w:cs="宋体"/>
                <w:color w:val="auto"/>
                <w:szCs w:val="21"/>
              </w:rPr>
              <w:t>7、讲桌的桌面上需具备≥1个万能5孔220V电源插座、≥2 个USB接口，≥1 个抽线区域且抽线孔位 ≥3。</w:t>
            </w:r>
            <w:r>
              <w:rPr>
                <w:rFonts w:hint="eastAsia" w:ascii="宋体" w:hAnsi="宋体" w:cs="宋体"/>
                <w:color w:val="auto"/>
                <w:szCs w:val="21"/>
              </w:rPr>
              <w:br w:type="textWrapping"/>
            </w:r>
            <w:r>
              <w:rPr>
                <w:rFonts w:hint="eastAsia" w:ascii="宋体" w:hAnsi="宋体" w:cs="宋体"/>
                <w:color w:val="auto"/>
                <w:szCs w:val="21"/>
              </w:rPr>
              <w:t>8、讲桌的桌面需设计有一体化的显示器支架，可调节高度≥90mm，可倾斜≥ -5°~90°的范围，可侧转≥ -30°~30°的范围，同时支架底座需具备键鼠收纳空间，用于存放键鼠设备。</w:t>
            </w:r>
            <w:r>
              <w:rPr>
                <w:rFonts w:hint="eastAsia" w:ascii="宋体" w:hAnsi="宋体" w:cs="宋体"/>
                <w:b/>
                <w:bCs/>
                <w:color w:val="auto"/>
                <w:szCs w:val="21"/>
              </w:rPr>
              <w:t>（技术文件中提供证明材料）</w:t>
            </w:r>
            <w:r>
              <w:rPr>
                <w:rFonts w:hint="eastAsia" w:ascii="宋体" w:hAnsi="宋体" w:cs="宋体"/>
                <w:color w:val="auto"/>
                <w:szCs w:val="21"/>
              </w:rPr>
              <w:br w:type="textWrapping"/>
            </w:r>
            <w:r>
              <w:rPr>
                <w:rFonts w:hint="eastAsia" w:ascii="宋体" w:hAnsi="宋体" w:cs="宋体"/>
                <w:color w:val="auto"/>
                <w:szCs w:val="21"/>
              </w:rPr>
              <w:t>讲桌需具备可控制桌面升降的物理升降按键，并支持在升降过程中实时显示当前的桌面高度。</w:t>
            </w:r>
            <w:r>
              <w:rPr>
                <w:rFonts w:hint="eastAsia" w:ascii="宋体" w:hAnsi="宋体" w:cs="宋体"/>
                <w:color w:val="auto"/>
                <w:szCs w:val="21"/>
              </w:rPr>
              <w:br w:type="textWrapping"/>
            </w:r>
            <w:r>
              <w:rPr>
                <w:rFonts w:hint="eastAsia" w:ascii="宋体" w:hAnsi="宋体" w:cs="宋体"/>
                <w:color w:val="auto"/>
                <w:szCs w:val="21"/>
              </w:rPr>
              <w:t>9、讲桌需具备电动升降结构，桌面的离地总高度升降范围至少需有：725mm~1125mm，高度可调节，满足不同身高的教师使用；讲台采用全封闭式设计，升降过程不会有空间外露。机柜活动空间采用折叠风琴罩设计。</w:t>
            </w:r>
            <w:r>
              <w:rPr>
                <w:rFonts w:hint="eastAsia" w:ascii="宋体" w:hAnsi="宋体" w:cs="宋体"/>
                <w:color w:val="auto"/>
                <w:szCs w:val="21"/>
              </w:rPr>
              <w:br w:type="textWrapping"/>
            </w:r>
            <w:r>
              <w:rPr>
                <w:rFonts w:hint="eastAsia" w:ascii="宋体" w:hAnsi="宋体" w:cs="宋体"/>
                <w:color w:val="auto"/>
                <w:szCs w:val="21"/>
              </w:rPr>
              <w:t>10、讲桌采用双电机两节电动升降立柱。管子尺寸：外管尺寸≥80*50mm，内管尺寸≥75*45mm，桌架最大均布载荷：≥100Kg均布。控制盒带陀螺仪功能：遇阻回退防夹保护，桌面震动和突然倾斜立刻停止升降。</w:t>
            </w:r>
            <w:r>
              <w:rPr>
                <w:rFonts w:hint="eastAsia" w:ascii="宋体" w:hAnsi="宋体" w:cs="宋体"/>
                <w:color w:val="auto"/>
                <w:szCs w:val="21"/>
              </w:rPr>
              <w:br w:type="textWrapping"/>
            </w:r>
            <w:r>
              <w:rPr>
                <w:rFonts w:hint="eastAsia" w:ascii="宋体" w:hAnsi="宋体" w:cs="宋体"/>
                <w:color w:val="auto"/>
                <w:szCs w:val="21"/>
              </w:rPr>
              <w:t>11、讲桌预留第三方中控安装位置以及安装支架，支持第三方中控接入讲桌。安装支架具有与桌面≥15度的倾斜角度，便于中控观看操作。</w:t>
            </w:r>
          </w:p>
          <w:p w14:paraId="518E70F0">
            <w:pPr>
              <w:rPr>
                <w:rFonts w:hint="eastAsia" w:ascii="宋体" w:hAnsi="宋体" w:cs="宋体"/>
                <w:color w:val="auto"/>
                <w:szCs w:val="21"/>
              </w:rPr>
            </w:pPr>
            <w:r>
              <w:rPr>
                <w:rFonts w:hint="eastAsia" w:ascii="宋体" w:hAnsi="宋体" w:cs="宋体"/>
                <w:color w:val="auto"/>
                <w:szCs w:val="21"/>
              </w:rPr>
              <w:t>12、提供产品3C证书。</w:t>
            </w:r>
          </w:p>
        </w:tc>
        <w:tc>
          <w:tcPr>
            <w:tcW w:w="202" w:type="pct"/>
            <w:shd w:val="clear" w:color="auto" w:fill="auto"/>
            <w:vAlign w:val="center"/>
          </w:tcPr>
          <w:p w14:paraId="608F97BA">
            <w:pPr>
              <w:spacing w:line="288" w:lineRule="auto"/>
              <w:jc w:val="center"/>
              <w:rPr>
                <w:rFonts w:hint="eastAsia" w:ascii="宋体" w:hAnsi="宋体" w:cs="宋体"/>
                <w:color w:val="auto"/>
                <w:spacing w:val="-6"/>
                <w:szCs w:val="21"/>
              </w:rPr>
            </w:pPr>
            <w:r>
              <w:rPr>
                <w:rFonts w:hint="eastAsia" w:ascii="宋体" w:hAnsi="宋体" w:cs="宋体"/>
                <w:color w:val="auto"/>
                <w:spacing w:val="-6"/>
                <w:szCs w:val="21"/>
              </w:rPr>
              <w:t>24</w:t>
            </w:r>
          </w:p>
        </w:tc>
        <w:tc>
          <w:tcPr>
            <w:tcW w:w="191" w:type="pct"/>
            <w:vAlign w:val="center"/>
          </w:tcPr>
          <w:p w14:paraId="7FBCB407">
            <w:pPr>
              <w:widowControl/>
              <w:jc w:val="center"/>
              <w:textAlignment w:val="center"/>
              <w:rPr>
                <w:rFonts w:hint="eastAsia" w:ascii="宋体" w:hAnsi="宋体" w:cs="宋体"/>
                <w:color w:val="auto"/>
                <w:szCs w:val="21"/>
              </w:rPr>
            </w:pPr>
            <w:r>
              <w:rPr>
                <w:rFonts w:hint="eastAsia" w:ascii="宋体" w:hAnsi="宋体" w:cs="宋体"/>
                <w:color w:val="auto"/>
                <w:szCs w:val="21"/>
              </w:rPr>
              <w:t>台</w:t>
            </w:r>
          </w:p>
        </w:tc>
        <w:tc>
          <w:tcPr>
            <w:tcW w:w="361" w:type="pct"/>
            <w:vAlign w:val="center"/>
          </w:tcPr>
          <w:p w14:paraId="05535B3F">
            <w:pPr>
              <w:jc w:val="center"/>
              <w:rPr>
                <w:rFonts w:hint="eastAsia" w:ascii="宋体" w:hAnsi="宋体" w:cs="宋体"/>
                <w:color w:val="auto"/>
                <w:szCs w:val="21"/>
              </w:rPr>
            </w:pPr>
            <w:r>
              <w:rPr>
                <w:rFonts w:hint="eastAsia" w:ascii="宋体" w:hAnsi="宋体" w:cs="宋体"/>
                <w:color w:val="auto"/>
                <w:szCs w:val="21"/>
              </w:rPr>
              <w:t>富可视、迈杰、高谦</w:t>
            </w:r>
          </w:p>
        </w:tc>
      </w:tr>
      <w:tr w14:paraId="1992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73" w:type="pct"/>
            <w:vAlign w:val="center"/>
          </w:tcPr>
          <w:p w14:paraId="57255F38">
            <w:pPr>
              <w:widowControl/>
              <w:jc w:val="center"/>
              <w:textAlignment w:val="center"/>
              <w:rPr>
                <w:rFonts w:hint="eastAsia" w:ascii="宋体" w:hAnsi="宋体" w:cs="宋体"/>
                <w:color w:val="auto"/>
                <w:szCs w:val="21"/>
              </w:rPr>
            </w:pPr>
            <w:r>
              <w:rPr>
                <w:rFonts w:hint="eastAsia" w:ascii="宋体" w:hAnsi="宋体" w:cs="宋体"/>
                <w:color w:val="auto"/>
                <w:szCs w:val="21"/>
              </w:rPr>
              <w:t>5</w:t>
            </w:r>
          </w:p>
        </w:tc>
        <w:tc>
          <w:tcPr>
            <w:tcW w:w="554" w:type="pct"/>
            <w:shd w:val="clear" w:color="auto" w:fill="auto"/>
            <w:vAlign w:val="center"/>
          </w:tcPr>
          <w:p w14:paraId="4FC2BD23">
            <w:pPr>
              <w:spacing w:line="288" w:lineRule="auto"/>
              <w:jc w:val="center"/>
              <w:rPr>
                <w:rFonts w:hint="eastAsia" w:ascii="宋体" w:hAnsi="宋体" w:cs="宋体"/>
                <w:color w:val="auto"/>
                <w:spacing w:val="-6"/>
                <w:szCs w:val="21"/>
              </w:rPr>
            </w:pPr>
            <w:r>
              <w:rPr>
                <w:rFonts w:hint="eastAsia" w:ascii="宋体" w:hAnsi="宋体" w:cs="宋体"/>
                <w:color w:val="auto"/>
                <w:spacing w:val="-6"/>
                <w:szCs w:val="21"/>
              </w:rPr>
              <w:t>智能中控</w:t>
            </w:r>
          </w:p>
        </w:tc>
        <w:tc>
          <w:tcPr>
            <w:tcW w:w="3317" w:type="pct"/>
          </w:tcPr>
          <w:p w14:paraId="7CDEC0BA">
            <w:pPr>
              <w:widowControl/>
              <w:jc w:val="left"/>
              <w:textAlignment w:val="center"/>
              <w:rPr>
                <w:rFonts w:hint="eastAsia" w:ascii="宋体" w:hAnsi="宋体" w:cs="宋体"/>
                <w:color w:val="auto"/>
                <w:szCs w:val="21"/>
              </w:rPr>
            </w:pPr>
            <w:r>
              <w:rPr>
                <w:rFonts w:hint="eastAsia" w:ascii="宋体" w:hAnsi="宋体" w:cs="宋体"/>
                <w:color w:val="auto"/>
                <w:szCs w:val="21"/>
              </w:rPr>
              <w:t>一、主机</w:t>
            </w:r>
          </w:p>
          <w:p w14:paraId="089497AF">
            <w:pPr>
              <w:widowControl/>
              <w:jc w:val="left"/>
              <w:textAlignment w:val="center"/>
              <w:rPr>
                <w:rFonts w:hint="eastAsia" w:ascii="宋体" w:hAnsi="宋体" w:cs="宋体"/>
                <w:color w:val="auto"/>
                <w:szCs w:val="21"/>
              </w:rPr>
            </w:pPr>
            <w:r>
              <w:rPr>
                <w:rFonts w:hint="eastAsia" w:ascii="宋体" w:hAnsi="宋体" w:cs="宋体"/>
                <w:color w:val="auto"/>
                <w:szCs w:val="21"/>
              </w:rPr>
              <w:t>▲1、具有≥4进4出HDMI矩阵接口，内置≥7口千兆网络接口，I/O接口≥9路，环境检测通讯接口≥1路，RS232双向通讯接口≥8路，485控制口≥2路,单刀触点开关≥3路，3.5mm高清音频剥离输出接口≥1路，MIC信号输入≥2路，MIC信号输出≥1路，强电控制端口≥4路。</w:t>
            </w:r>
            <w:r>
              <w:rPr>
                <w:rFonts w:hint="eastAsia" w:ascii="宋体" w:hAnsi="宋体" w:cs="宋体"/>
                <w:b/>
                <w:bCs/>
                <w:color w:val="auto"/>
                <w:szCs w:val="21"/>
              </w:rPr>
              <w:t>（技术文件中提供投标产品实物照片并对相关接口进行说明）</w:t>
            </w:r>
          </w:p>
          <w:p w14:paraId="478BCEA5">
            <w:pPr>
              <w:widowControl/>
              <w:jc w:val="left"/>
              <w:textAlignment w:val="center"/>
              <w:rPr>
                <w:rFonts w:hint="eastAsia" w:ascii="宋体" w:hAnsi="宋体" w:cs="宋体"/>
                <w:color w:val="auto"/>
                <w:szCs w:val="21"/>
              </w:rPr>
            </w:pPr>
            <w:r>
              <w:rPr>
                <w:rFonts w:hint="eastAsia" w:ascii="宋体" w:hAnsi="宋体" w:cs="宋体"/>
                <w:color w:val="auto"/>
                <w:szCs w:val="21"/>
              </w:rPr>
              <w:t>2、HDMI矩阵接口具有热插拔自动信号切换功能，具有可编程矩阵功能可同时输出不同信号。</w:t>
            </w:r>
          </w:p>
          <w:p w14:paraId="59836103">
            <w:pPr>
              <w:widowControl/>
              <w:jc w:val="left"/>
              <w:textAlignment w:val="center"/>
              <w:rPr>
                <w:rFonts w:hint="eastAsia" w:ascii="宋体" w:hAnsi="宋体" w:cs="宋体"/>
                <w:color w:val="auto"/>
                <w:szCs w:val="21"/>
              </w:rPr>
            </w:pPr>
            <w:r>
              <w:rPr>
                <w:rFonts w:hint="eastAsia" w:ascii="宋体" w:hAnsi="宋体" w:cs="宋体"/>
                <w:color w:val="auto"/>
                <w:szCs w:val="21"/>
              </w:rPr>
              <w:t>3、系统可实现定教室，定人、定时启用，具有IC卡远程授权功能。“插卡即用，拔卡即走”功能：教师经授权后只需通过插入IC卡，控制系统能自动按照系统开启步骤自动将投影机打开、电脑打开、电动屏幕降下等操作，老师可直接进行教学；拔卡后系统自动关闭，所有设备恢复至保管状态，支持CPU卡、M1卡、手机卡等, 并能与学校使用的校园一卡通数据库兼容且实时共享。</w:t>
            </w:r>
          </w:p>
          <w:p w14:paraId="202D9E76">
            <w:pPr>
              <w:widowControl/>
              <w:jc w:val="left"/>
              <w:textAlignment w:val="center"/>
              <w:rPr>
                <w:rFonts w:hint="eastAsia" w:ascii="宋体" w:hAnsi="宋体" w:cs="宋体"/>
                <w:color w:val="auto"/>
                <w:szCs w:val="21"/>
              </w:rPr>
            </w:pPr>
            <w:r>
              <w:rPr>
                <w:rFonts w:hint="eastAsia" w:ascii="宋体" w:hAnsi="宋体" w:cs="宋体"/>
                <w:color w:val="auto"/>
                <w:szCs w:val="21"/>
              </w:rPr>
              <w:t>4、有网络远程控制功能：网络中控可以进行远程管理，实现智能化。可以远程控制教室端各种设备的动作，可远程检测教室设备的工作状态、参数设置等。当网络出现故障时，所有中控自动开启应急状态，任何一张卡插入即可用。</w:t>
            </w:r>
          </w:p>
          <w:p w14:paraId="1124DDB3">
            <w:pPr>
              <w:widowControl/>
              <w:jc w:val="left"/>
              <w:textAlignment w:val="center"/>
              <w:rPr>
                <w:rFonts w:hint="eastAsia" w:ascii="宋体" w:hAnsi="宋体" w:cs="宋体"/>
                <w:color w:val="auto"/>
                <w:szCs w:val="21"/>
              </w:rPr>
            </w:pPr>
            <w:r>
              <w:rPr>
                <w:rFonts w:hint="eastAsia" w:ascii="宋体" w:hAnsi="宋体" w:cs="宋体"/>
                <w:color w:val="auto"/>
                <w:szCs w:val="21"/>
              </w:rPr>
              <w:t>5、跨网段要求，控制机可放置在任意网段并能完成对中控设备的管理，中控设备所在网段无需再增加额外电脑。</w:t>
            </w:r>
          </w:p>
          <w:p w14:paraId="4E59E4C8">
            <w:pPr>
              <w:widowControl/>
              <w:jc w:val="left"/>
              <w:textAlignment w:val="center"/>
              <w:rPr>
                <w:rFonts w:hint="eastAsia" w:ascii="宋体" w:hAnsi="宋体" w:cs="宋体"/>
                <w:color w:val="auto"/>
                <w:szCs w:val="21"/>
              </w:rPr>
            </w:pPr>
            <w:r>
              <w:rPr>
                <w:rFonts w:hint="eastAsia" w:ascii="宋体" w:hAnsi="宋体" w:cs="宋体"/>
                <w:color w:val="auto"/>
                <w:szCs w:val="21"/>
              </w:rPr>
              <w:t>6、支持脱机和联网两种运行方式：网络畅通时数据上传至中心数据库，网络故障时，可脱离服务器独立工作，实现本地认证和操作记录，实现脱机和联网运行两种方式。                                                                                                 7、中控主机内置（非电话机形式）语音对讲硬件网络模块具有呼叫、SPK、MIC专用接口，实现语音对讲功能：运用数字语音压缩传输技术实现对讲，一键式按钮呼叫：呼叫排队等待及网络故障时有真人语音提示功能，教师可以通过对讲与控制室的管理人员通话，实时解决问题，接通后自动显示该教室的视频画面及计算机桌面，对讲内容可同步录音存储，（教师按讲台上按钮的同时，远端主控室管理员电脑屏幕上自动弹出呼叫请求画面；管理员与教师双向对讲，并可同时处理不同教室的呼叫请求，支持呼叫排队、等待、调度等功能）。</w:t>
            </w:r>
            <w:r>
              <w:rPr>
                <w:rFonts w:hint="eastAsia" w:ascii="宋体" w:hAnsi="宋体" w:cs="宋体"/>
                <w:b/>
                <w:bCs/>
                <w:color w:val="auto"/>
                <w:szCs w:val="21"/>
              </w:rPr>
              <w:t>（投标时提供视频演示）</w:t>
            </w:r>
          </w:p>
          <w:p w14:paraId="69AAB4CE">
            <w:pPr>
              <w:widowControl/>
              <w:jc w:val="left"/>
              <w:textAlignment w:val="center"/>
              <w:rPr>
                <w:rFonts w:hint="eastAsia" w:ascii="宋体" w:hAnsi="宋体" w:cs="宋体"/>
                <w:color w:val="auto"/>
                <w:szCs w:val="21"/>
              </w:rPr>
            </w:pPr>
            <w:r>
              <w:rPr>
                <w:rFonts w:hint="eastAsia" w:ascii="宋体" w:hAnsi="宋体" w:cs="宋体"/>
                <w:color w:val="auto"/>
                <w:szCs w:val="21"/>
              </w:rPr>
              <w:t>▲8、为实现统一平台管理，需与学校现有多媒体总控管理平台无缝对接，实现统一远程集中管控、跨校区管理、语音对讲、远程设置、状态监看、远程维护、远程开关等功能。（</w:t>
            </w:r>
            <w:r>
              <w:rPr>
                <w:rFonts w:hint="eastAsia" w:ascii="宋体" w:hAnsi="宋体" w:cs="宋体"/>
                <w:b/>
                <w:bCs/>
                <w:color w:val="auto"/>
                <w:szCs w:val="21"/>
              </w:rPr>
              <w:t>技术文件中提供对接技术方案</w:t>
            </w:r>
            <w:r>
              <w:rPr>
                <w:rFonts w:hint="eastAsia" w:ascii="宋体" w:hAnsi="宋体" w:cs="宋体"/>
                <w:color w:val="auto"/>
                <w:szCs w:val="21"/>
              </w:rPr>
              <w:t>）。</w:t>
            </w:r>
          </w:p>
          <w:p w14:paraId="54E72F1B">
            <w:pPr>
              <w:widowControl/>
              <w:numPr>
                <w:ilvl w:val="0"/>
                <w:numId w:val="11"/>
              </w:numPr>
              <w:jc w:val="left"/>
              <w:textAlignment w:val="center"/>
              <w:rPr>
                <w:rFonts w:hint="eastAsia" w:ascii="宋体" w:hAnsi="宋体" w:cs="宋体"/>
                <w:color w:val="auto"/>
                <w:szCs w:val="21"/>
              </w:rPr>
            </w:pPr>
            <w:r>
              <w:rPr>
                <w:rFonts w:hint="eastAsia" w:ascii="宋体" w:hAnsi="宋体" w:cs="宋体"/>
                <w:color w:val="auto"/>
                <w:szCs w:val="21"/>
              </w:rPr>
              <w:t>产品具有3C国家强制性认证证书。</w:t>
            </w:r>
          </w:p>
          <w:p w14:paraId="44070AB5">
            <w:pPr>
              <w:widowControl/>
              <w:jc w:val="left"/>
              <w:textAlignment w:val="center"/>
              <w:rPr>
                <w:rFonts w:hint="eastAsia" w:ascii="宋体" w:hAnsi="宋体" w:cs="宋体"/>
                <w:color w:val="auto"/>
                <w:szCs w:val="21"/>
              </w:rPr>
            </w:pPr>
            <w:r>
              <w:rPr>
                <w:rFonts w:hint="eastAsia" w:ascii="宋体" w:hAnsi="宋体" w:cs="宋体"/>
                <w:color w:val="auto"/>
                <w:szCs w:val="21"/>
              </w:rPr>
              <w:t>二、液晶智能控制终端</w:t>
            </w:r>
          </w:p>
          <w:p w14:paraId="5D328ACF">
            <w:pPr>
              <w:widowControl/>
              <w:jc w:val="left"/>
              <w:textAlignment w:val="center"/>
              <w:rPr>
                <w:rFonts w:hint="eastAsia" w:ascii="宋体" w:hAnsi="宋体" w:cs="宋体"/>
                <w:color w:val="auto"/>
                <w:szCs w:val="21"/>
              </w:rPr>
            </w:pPr>
            <w:r>
              <w:rPr>
                <w:rFonts w:hint="eastAsia" w:ascii="宋体" w:hAnsi="宋体" w:cs="宋体"/>
                <w:color w:val="auto"/>
                <w:szCs w:val="21"/>
              </w:rPr>
              <w:t>1、屏幕尺寸：≥7英寸采用工业级芯片架构、一体化极窄边设计，集成一键式呼入实现与总控室全双工语音对讲功能（含拾音及扬声器）,一键式呼入具有实体按键与屏幕按键两种，当屏幕故障时，也能使用实体按键进行对讲报修。同时支持三种认证方式（插卡，刷卡，二维码扫码）,可自动生成动态二维码，用于钉钉、微信等软件正向扫码开机。上课、下课、呼叫三个按键均具有真人语音提示功能。具有呼叫实体按键，在中控未开机的情况下，也能实现呼叫对讲功能。</w:t>
            </w:r>
            <w:r>
              <w:rPr>
                <w:rFonts w:hint="eastAsia" w:ascii="宋体" w:hAnsi="宋体" w:cs="宋体"/>
                <w:b/>
                <w:bCs/>
                <w:color w:val="auto"/>
                <w:szCs w:val="21"/>
              </w:rPr>
              <w:t>（投标时提供视频演示）</w:t>
            </w:r>
          </w:p>
          <w:p w14:paraId="770404DB">
            <w:pPr>
              <w:widowControl/>
              <w:jc w:val="left"/>
              <w:textAlignment w:val="center"/>
              <w:rPr>
                <w:rFonts w:hint="eastAsia" w:ascii="宋体" w:hAnsi="宋体" w:cs="宋体"/>
                <w:color w:val="auto"/>
                <w:szCs w:val="21"/>
              </w:rPr>
            </w:pPr>
            <w:r>
              <w:rPr>
                <w:rFonts w:hint="eastAsia" w:ascii="宋体" w:hAnsi="宋体" w:cs="宋体"/>
                <w:color w:val="auto"/>
                <w:szCs w:val="21"/>
              </w:rPr>
              <w:t xml:space="preserve">2、含设备控制、教学演示控制、环境控制客户端软件，支持互动切换；                            </w:t>
            </w:r>
          </w:p>
          <w:p w14:paraId="703B47B5">
            <w:pPr>
              <w:widowControl/>
              <w:jc w:val="left"/>
              <w:textAlignment w:val="center"/>
              <w:rPr>
                <w:rFonts w:hint="eastAsia" w:ascii="宋体" w:hAnsi="宋体" w:cs="宋体"/>
                <w:color w:val="auto"/>
                <w:szCs w:val="21"/>
              </w:rPr>
            </w:pPr>
            <w:r>
              <w:rPr>
                <w:rFonts w:hint="eastAsia" w:ascii="宋体" w:hAnsi="宋体" w:cs="宋体"/>
                <w:color w:val="auto"/>
                <w:szCs w:val="21"/>
              </w:rPr>
              <w:t>3、在网络故障断网应急情况下，具有无卡操作的四位二级应急密码键开启功能，供管理员应急处理</w:t>
            </w:r>
            <w:r>
              <w:rPr>
                <w:rFonts w:hint="eastAsia" w:ascii="宋体" w:hAnsi="宋体" w:cs="宋体"/>
                <w:b/>
                <w:bCs/>
                <w:color w:val="auto"/>
                <w:szCs w:val="21"/>
              </w:rPr>
              <w:t>（技术文件中提供投标产品实物照片并对相关功能进行说明）</w:t>
            </w:r>
            <w:r>
              <w:rPr>
                <w:rFonts w:hint="eastAsia" w:ascii="宋体" w:hAnsi="宋体" w:cs="宋体"/>
                <w:color w:val="auto"/>
                <w:szCs w:val="21"/>
              </w:rPr>
              <w:t>。</w:t>
            </w:r>
          </w:p>
        </w:tc>
        <w:tc>
          <w:tcPr>
            <w:tcW w:w="202" w:type="pct"/>
            <w:shd w:val="clear" w:color="auto" w:fill="auto"/>
            <w:vAlign w:val="center"/>
          </w:tcPr>
          <w:p w14:paraId="2D3AD83A">
            <w:pPr>
              <w:spacing w:line="288" w:lineRule="auto"/>
              <w:jc w:val="center"/>
              <w:rPr>
                <w:rFonts w:hint="eastAsia" w:ascii="宋体" w:hAnsi="宋体" w:cs="宋体"/>
                <w:color w:val="auto"/>
                <w:spacing w:val="-6"/>
                <w:szCs w:val="21"/>
              </w:rPr>
            </w:pPr>
            <w:r>
              <w:rPr>
                <w:rFonts w:hint="eastAsia" w:ascii="宋体" w:hAnsi="宋体" w:cs="宋体"/>
                <w:color w:val="auto"/>
                <w:spacing w:val="-6"/>
                <w:szCs w:val="21"/>
              </w:rPr>
              <w:t>24</w:t>
            </w:r>
          </w:p>
        </w:tc>
        <w:tc>
          <w:tcPr>
            <w:tcW w:w="191" w:type="pct"/>
            <w:vAlign w:val="center"/>
          </w:tcPr>
          <w:p w14:paraId="4585EB15">
            <w:pPr>
              <w:widowControl/>
              <w:jc w:val="center"/>
              <w:textAlignment w:val="center"/>
              <w:rPr>
                <w:rFonts w:hint="eastAsia" w:ascii="宋体" w:hAnsi="宋体" w:cs="宋体"/>
                <w:color w:val="auto"/>
                <w:szCs w:val="21"/>
              </w:rPr>
            </w:pPr>
            <w:r>
              <w:rPr>
                <w:rFonts w:hint="eastAsia" w:ascii="宋体" w:hAnsi="宋体" w:cs="宋体"/>
                <w:color w:val="auto"/>
                <w:szCs w:val="21"/>
              </w:rPr>
              <w:t>台</w:t>
            </w:r>
          </w:p>
        </w:tc>
        <w:tc>
          <w:tcPr>
            <w:tcW w:w="361" w:type="pct"/>
            <w:vAlign w:val="center"/>
          </w:tcPr>
          <w:p w14:paraId="3D985F71">
            <w:pPr>
              <w:jc w:val="center"/>
              <w:rPr>
                <w:rFonts w:hint="eastAsia" w:ascii="宋体" w:hAnsi="宋体" w:cs="宋体"/>
                <w:color w:val="auto"/>
                <w:szCs w:val="21"/>
              </w:rPr>
            </w:pPr>
            <w:r>
              <w:rPr>
                <w:rFonts w:hint="eastAsia" w:ascii="宋体" w:hAnsi="宋体" w:cs="宋体"/>
                <w:color w:val="auto"/>
                <w:szCs w:val="21"/>
              </w:rPr>
              <w:t>得实、迈杰、首智</w:t>
            </w:r>
          </w:p>
        </w:tc>
      </w:tr>
      <w:tr w14:paraId="5703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73" w:type="pct"/>
            <w:vAlign w:val="center"/>
          </w:tcPr>
          <w:p w14:paraId="1D50B1AC">
            <w:pPr>
              <w:widowControl/>
              <w:jc w:val="center"/>
              <w:textAlignment w:val="center"/>
              <w:rPr>
                <w:rFonts w:hint="eastAsia" w:ascii="宋体" w:hAnsi="宋体" w:cs="宋体"/>
                <w:color w:val="auto"/>
                <w:szCs w:val="21"/>
              </w:rPr>
            </w:pPr>
            <w:r>
              <w:rPr>
                <w:rFonts w:hint="eastAsia" w:ascii="宋体" w:hAnsi="宋体" w:cs="宋体"/>
                <w:color w:val="auto"/>
                <w:szCs w:val="21"/>
              </w:rPr>
              <w:t>6</w:t>
            </w:r>
          </w:p>
        </w:tc>
        <w:tc>
          <w:tcPr>
            <w:tcW w:w="554" w:type="pct"/>
            <w:shd w:val="clear" w:color="auto" w:fill="auto"/>
            <w:vAlign w:val="center"/>
          </w:tcPr>
          <w:p w14:paraId="3BBCE695">
            <w:pPr>
              <w:spacing w:line="288" w:lineRule="auto"/>
              <w:jc w:val="center"/>
              <w:rPr>
                <w:rFonts w:hint="eastAsia" w:ascii="宋体" w:hAnsi="宋体" w:cs="宋体"/>
                <w:color w:val="auto"/>
                <w:spacing w:val="-6"/>
                <w:szCs w:val="21"/>
              </w:rPr>
            </w:pPr>
            <w:r>
              <w:rPr>
                <w:rFonts w:hint="eastAsia" w:ascii="宋体" w:hAnsi="宋体" w:cs="宋体"/>
                <w:color w:val="auto"/>
                <w:spacing w:val="-6"/>
                <w:szCs w:val="21"/>
              </w:rPr>
              <w:t>线材更换</w:t>
            </w:r>
          </w:p>
        </w:tc>
        <w:tc>
          <w:tcPr>
            <w:tcW w:w="3317" w:type="pct"/>
          </w:tcPr>
          <w:p w14:paraId="58E6A676">
            <w:pPr>
              <w:widowControl/>
              <w:textAlignment w:val="center"/>
              <w:rPr>
                <w:rFonts w:hint="eastAsia" w:ascii="宋体" w:hAnsi="宋体" w:cs="宋体"/>
                <w:color w:val="auto"/>
                <w:szCs w:val="21"/>
              </w:rPr>
            </w:pPr>
            <w:r>
              <w:rPr>
                <w:rFonts w:hint="eastAsia" w:ascii="宋体" w:hAnsi="宋体" w:cs="宋体"/>
                <w:color w:val="auto"/>
                <w:szCs w:val="21"/>
              </w:rPr>
              <w:t>强弱电综合布线改造。桌面千兆，强电到桌位2.5平方国标电源线，HDMI高清线，涉及辅料为：国标插座、AMP水晶头、线标、PVC线槽及PVC管等。根据用户的要求对所提供的教室进行线路整改。</w:t>
            </w:r>
          </w:p>
        </w:tc>
        <w:tc>
          <w:tcPr>
            <w:tcW w:w="202" w:type="pct"/>
            <w:shd w:val="clear" w:color="auto" w:fill="auto"/>
            <w:vAlign w:val="center"/>
          </w:tcPr>
          <w:p w14:paraId="238CEFE2">
            <w:pPr>
              <w:spacing w:line="288" w:lineRule="auto"/>
              <w:jc w:val="center"/>
              <w:rPr>
                <w:rFonts w:hint="eastAsia" w:ascii="宋体" w:hAnsi="宋体" w:cs="宋体"/>
                <w:color w:val="auto"/>
                <w:spacing w:val="-6"/>
                <w:szCs w:val="21"/>
              </w:rPr>
            </w:pPr>
            <w:r>
              <w:rPr>
                <w:rFonts w:hint="eastAsia" w:ascii="宋体" w:hAnsi="宋体" w:cs="宋体"/>
                <w:color w:val="auto"/>
                <w:spacing w:val="-6"/>
                <w:szCs w:val="21"/>
              </w:rPr>
              <w:t>24</w:t>
            </w:r>
          </w:p>
        </w:tc>
        <w:tc>
          <w:tcPr>
            <w:tcW w:w="191" w:type="pct"/>
            <w:vAlign w:val="center"/>
          </w:tcPr>
          <w:p w14:paraId="70DB83F8">
            <w:pPr>
              <w:widowControl/>
              <w:jc w:val="center"/>
              <w:textAlignment w:val="center"/>
              <w:rPr>
                <w:rFonts w:hint="eastAsia" w:ascii="宋体" w:hAnsi="宋体" w:cs="宋体"/>
                <w:color w:val="auto"/>
                <w:szCs w:val="21"/>
              </w:rPr>
            </w:pPr>
            <w:r>
              <w:rPr>
                <w:rFonts w:hint="eastAsia" w:ascii="宋体" w:hAnsi="宋体" w:cs="宋体"/>
                <w:color w:val="auto"/>
                <w:szCs w:val="21"/>
              </w:rPr>
              <w:t>套</w:t>
            </w:r>
          </w:p>
        </w:tc>
        <w:tc>
          <w:tcPr>
            <w:tcW w:w="361" w:type="pct"/>
            <w:vAlign w:val="center"/>
          </w:tcPr>
          <w:p w14:paraId="3062BD40">
            <w:pPr>
              <w:jc w:val="center"/>
              <w:rPr>
                <w:rFonts w:hint="eastAsia" w:ascii="宋体" w:hAnsi="宋体" w:cs="宋体"/>
                <w:color w:val="auto"/>
                <w:szCs w:val="21"/>
              </w:rPr>
            </w:pPr>
          </w:p>
        </w:tc>
      </w:tr>
      <w:tr w14:paraId="590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73" w:type="pct"/>
            <w:vAlign w:val="center"/>
          </w:tcPr>
          <w:p w14:paraId="2CEFF752">
            <w:pPr>
              <w:widowControl/>
              <w:jc w:val="center"/>
              <w:textAlignment w:val="center"/>
              <w:rPr>
                <w:rFonts w:hint="eastAsia" w:ascii="宋体" w:hAnsi="宋体" w:cs="宋体"/>
                <w:color w:val="auto"/>
                <w:szCs w:val="21"/>
              </w:rPr>
            </w:pPr>
            <w:r>
              <w:rPr>
                <w:rFonts w:hint="eastAsia" w:ascii="宋体" w:hAnsi="宋体" w:cs="宋体"/>
                <w:color w:val="auto"/>
                <w:szCs w:val="21"/>
              </w:rPr>
              <w:t>7</w:t>
            </w:r>
          </w:p>
        </w:tc>
        <w:tc>
          <w:tcPr>
            <w:tcW w:w="554" w:type="pct"/>
            <w:shd w:val="clear" w:color="auto" w:fill="auto"/>
            <w:vAlign w:val="center"/>
          </w:tcPr>
          <w:p w14:paraId="0CEFE107">
            <w:pPr>
              <w:spacing w:line="288" w:lineRule="auto"/>
              <w:jc w:val="center"/>
              <w:rPr>
                <w:rFonts w:hint="eastAsia" w:ascii="宋体" w:hAnsi="宋体" w:cs="宋体"/>
                <w:color w:val="auto"/>
                <w:spacing w:val="-6"/>
                <w:szCs w:val="21"/>
              </w:rPr>
            </w:pPr>
            <w:r>
              <w:rPr>
                <w:rFonts w:hint="eastAsia" w:ascii="宋体" w:hAnsi="宋体" w:cs="宋体"/>
                <w:color w:val="auto"/>
                <w:spacing w:val="-6"/>
                <w:szCs w:val="21"/>
              </w:rPr>
              <w:t>控制面板</w:t>
            </w:r>
          </w:p>
        </w:tc>
        <w:tc>
          <w:tcPr>
            <w:tcW w:w="3317" w:type="pct"/>
          </w:tcPr>
          <w:p w14:paraId="69989405">
            <w:pPr>
              <w:widowControl/>
              <w:textAlignment w:val="center"/>
              <w:rPr>
                <w:rFonts w:hint="eastAsia" w:ascii="宋体" w:hAnsi="宋体" w:cs="宋体"/>
                <w:color w:val="auto"/>
                <w:szCs w:val="21"/>
              </w:rPr>
            </w:pPr>
            <w:r>
              <w:rPr>
                <w:rFonts w:hint="eastAsia" w:ascii="宋体" w:hAnsi="宋体" w:cs="宋体"/>
                <w:color w:val="auto"/>
                <w:szCs w:val="21"/>
              </w:rPr>
              <w:t>1、屏幕尺寸：≥10英寸采用工业级芯片架构、一体化极窄边设计，集成一键式呼入实现与总控室全双工语音对讲功能（含拾音及扬声器）,一键式呼入具有实体按键与屏幕按键两种，当屏幕故障时，也能使用实体按键进行对讲报修。同时支持三种认证方式（插卡，刷卡，二维码扫码）,可自动生成动态二维码，用于钉钉、微信等软件正向扫码开机。上课、下课、呼叫三个按键均具有真人语音提示功能。具有呼叫实体按键，在中控未开机的情况下，也能实现呼叫对讲功能。</w:t>
            </w:r>
          </w:p>
          <w:p w14:paraId="1D7372CA">
            <w:pPr>
              <w:widowControl/>
              <w:textAlignment w:val="center"/>
              <w:rPr>
                <w:rFonts w:hint="eastAsia" w:ascii="宋体" w:hAnsi="宋体" w:cs="宋体"/>
                <w:color w:val="auto"/>
                <w:szCs w:val="21"/>
              </w:rPr>
            </w:pPr>
            <w:r>
              <w:rPr>
                <w:rFonts w:hint="eastAsia" w:ascii="宋体" w:hAnsi="宋体" w:cs="宋体"/>
                <w:color w:val="auto"/>
                <w:szCs w:val="21"/>
              </w:rPr>
              <w:t xml:space="preserve">2、含设备控制、教学演示控制、环境控制客户端软件，支持互动切换；                            </w:t>
            </w:r>
          </w:p>
          <w:p w14:paraId="7107633B">
            <w:pPr>
              <w:widowControl/>
              <w:textAlignment w:val="center"/>
              <w:rPr>
                <w:rFonts w:hint="eastAsia" w:ascii="宋体" w:hAnsi="宋体" w:cs="宋体"/>
                <w:color w:val="auto"/>
                <w:szCs w:val="21"/>
              </w:rPr>
            </w:pPr>
            <w:r>
              <w:rPr>
                <w:rFonts w:hint="eastAsia" w:ascii="宋体" w:hAnsi="宋体" w:cs="宋体"/>
                <w:color w:val="auto"/>
                <w:szCs w:val="21"/>
              </w:rPr>
              <w:t>3、在网络故障断网应急情况下，具有无卡操作的四位二级应急密码键开启功能，供管理员应急处理。</w:t>
            </w:r>
          </w:p>
        </w:tc>
        <w:tc>
          <w:tcPr>
            <w:tcW w:w="202" w:type="pct"/>
            <w:shd w:val="clear" w:color="auto" w:fill="auto"/>
            <w:vAlign w:val="center"/>
          </w:tcPr>
          <w:p w14:paraId="4376C2F2">
            <w:pPr>
              <w:spacing w:line="288" w:lineRule="auto"/>
              <w:jc w:val="center"/>
              <w:rPr>
                <w:rFonts w:hint="eastAsia" w:ascii="宋体" w:hAnsi="宋体" w:cs="宋体"/>
                <w:color w:val="auto"/>
                <w:spacing w:val="-6"/>
                <w:szCs w:val="21"/>
              </w:rPr>
            </w:pPr>
            <w:r>
              <w:rPr>
                <w:rFonts w:hint="eastAsia" w:ascii="宋体" w:hAnsi="宋体" w:cs="宋体"/>
                <w:color w:val="auto"/>
                <w:spacing w:val="-6"/>
                <w:szCs w:val="21"/>
              </w:rPr>
              <w:t>4</w:t>
            </w:r>
          </w:p>
        </w:tc>
        <w:tc>
          <w:tcPr>
            <w:tcW w:w="191" w:type="pct"/>
            <w:vAlign w:val="center"/>
          </w:tcPr>
          <w:p w14:paraId="3E21A923">
            <w:pPr>
              <w:widowControl/>
              <w:jc w:val="center"/>
              <w:textAlignment w:val="center"/>
              <w:rPr>
                <w:rFonts w:hint="eastAsia" w:ascii="宋体" w:hAnsi="宋体" w:cs="宋体"/>
                <w:color w:val="auto"/>
                <w:szCs w:val="21"/>
              </w:rPr>
            </w:pPr>
            <w:r>
              <w:rPr>
                <w:rFonts w:hint="eastAsia" w:ascii="宋体" w:hAnsi="宋体" w:cs="宋体"/>
                <w:color w:val="auto"/>
                <w:szCs w:val="21"/>
              </w:rPr>
              <w:t>个</w:t>
            </w:r>
          </w:p>
        </w:tc>
        <w:tc>
          <w:tcPr>
            <w:tcW w:w="361" w:type="pct"/>
            <w:shd w:val="clear" w:color="auto" w:fill="auto"/>
            <w:vAlign w:val="center"/>
          </w:tcPr>
          <w:p w14:paraId="2C627AC8">
            <w:pPr>
              <w:jc w:val="center"/>
              <w:rPr>
                <w:rFonts w:hint="eastAsia" w:ascii="宋体" w:hAnsi="宋体" w:cs="宋体"/>
                <w:color w:val="auto"/>
                <w:szCs w:val="21"/>
              </w:rPr>
            </w:pPr>
            <w:r>
              <w:rPr>
                <w:rFonts w:hint="eastAsia" w:ascii="宋体" w:hAnsi="宋体" w:cs="宋体"/>
                <w:color w:val="auto"/>
                <w:szCs w:val="21"/>
              </w:rPr>
              <w:t>得实、迈杰、首智</w:t>
            </w:r>
          </w:p>
        </w:tc>
      </w:tr>
      <w:tr w14:paraId="36D1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73" w:type="pct"/>
            <w:vAlign w:val="center"/>
          </w:tcPr>
          <w:p w14:paraId="689FA969">
            <w:pPr>
              <w:widowControl/>
              <w:jc w:val="center"/>
              <w:textAlignment w:val="center"/>
              <w:rPr>
                <w:rFonts w:hint="eastAsia" w:ascii="宋体" w:hAnsi="宋体" w:cs="宋体"/>
                <w:color w:val="auto"/>
                <w:szCs w:val="21"/>
              </w:rPr>
            </w:pPr>
            <w:r>
              <w:rPr>
                <w:rFonts w:hint="eastAsia" w:ascii="宋体" w:hAnsi="宋体" w:cs="宋体"/>
                <w:color w:val="auto"/>
                <w:szCs w:val="21"/>
              </w:rPr>
              <w:t>8</w:t>
            </w:r>
          </w:p>
        </w:tc>
        <w:tc>
          <w:tcPr>
            <w:tcW w:w="554" w:type="pct"/>
            <w:shd w:val="clear" w:color="auto" w:fill="auto"/>
            <w:vAlign w:val="center"/>
          </w:tcPr>
          <w:p w14:paraId="503307DF">
            <w:pPr>
              <w:spacing w:line="288" w:lineRule="auto"/>
              <w:jc w:val="center"/>
              <w:rPr>
                <w:rFonts w:hint="eastAsia" w:ascii="宋体" w:hAnsi="宋体" w:cs="宋体"/>
                <w:color w:val="auto"/>
                <w:spacing w:val="-6"/>
                <w:szCs w:val="21"/>
              </w:rPr>
            </w:pPr>
            <w:r>
              <w:rPr>
                <w:rFonts w:hint="eastAsia" w:ascii="宋体" w:hAnsi="宋体" w:cs="宋体"/>
                <w:color w:val="auto"/>
                <w:spacing w:val="-6"/>
                <w:szCs w:val="21"/>
              </w:rPr>
              <w:t>校园铃声喇叭</w:t>
            </w:r>
          </w:p>
        </w:tc>
        <w:tc>
          <w:tcPr>
            <w:tcW w:w="3317" w:type="pct"/>
          </w:tcPr>
          <w:p w14:paraId="50C1D0F9">
            <w:pPr>
              <w:widowControl/>
              <w:textAlignment w:val="center"/>
              <w:rPr>
                <w:rFonts w:hint="eastAsia" w:ascii="宋体" w:hAnsi="宋体" w:cs="宋体"/>
                <w:color w:val="auto"/>
                <w:szCs w:val="21"/>
              </w:rPr>
            </w:pPr>
            <w:r>
              <w:rPr>
                <w:rFonts w:hint="eastAsia" w:ascii="宋体" w:hAnsi="宋体" w:cs="宋体"/>
                <w:color w:val="auto"/>
                <w:szCs w:val="21"/>
              </w:rPr>
              <w:t>1.室内壁挂音箱，独特的外观设计，声音辐射面广。</w:t>
            </w:r>
          </w:p>
          <w:p w14:paraId="367ACDEE">
            <w:pPr>
              <w:widowControl/>
              <w:textAlignment w:val="center"/>
              <w:rPr>
                <w:rFonts w:hint="eastAsia" w:ascii="宋体" w:hAnsi="宋体" w:cs="宋体"/>
                <w:color w:val="auto"/>
                <w:szCs w:val="21"/>
              </w:rPr>
            </w:pPr>
            <w:r>
              <w:rPr>
                <w:rFonts w:hint="eastAsia" w:ascii="宋体" w:hAnsi="宋体" w:cs="宋体"/>
                <w:color w:val="auto"/>
                <w:szCs w:val="21"/>
              </w:rPr>
              <w:t xml:space="preserve">2.采用二分频设计，内置丝膜高音单元，高低音衔接顺滑，声音清晰柔和。 </w:t>
            </w:r>
          </w:p>
          <w:p w14:paraId="203AE566">
            <w:pPr>
              <w:widowControl/>
              <w:textAlignment w:val="center"/>
              <w:rPr>
                <w:rFonts w:hint="eastAsia" w:ascii="宋体" w:hAnsi="宋体" w:cs="宋体"/>
                <w:color w:val="auto"/>
                <w:szCs w:val="21"/>
              </w:rPr>
            </w:pPr>
            <w:r>
              <w:rPr>
                <w:rFonts w:hint="eastAsia" w:ascii="宋体" w:hAnsi="宋体" w:cs="宋体"/>
                <w:color w:val="auto"/>
                <w:szCs w:val="21"/>
              </w:rPr>
              <w:t xml:space="preserve">技术参数： </w:t>
            </w:r>
          </w:p>
          <w:p w14:paraId="0E7F4DE7">
            <w:pPr>
              <w:widowControl/>
              <w:textAlignment w:val="center"/>
              <w:rPr>
                <w:rFonts w:hint="eastAsia" w:ascii="宋体" w:hAnsi="宋体" w:cs="宋体"/>
                <w:color w:val="auto"/>
                <w:szCs w:val="21"/>
              </w:rPr>
            </w:pPr>
            <w:r>
              <w:rPr>
                <w:rFonts w:hint="eastAsia" w:ascii="宋体" w:hAnsi="宋体" w:cs="宋体"/>
                <w:color w:val="auto"/>
                <w:szCs w:val="21"/>
              </w:rPr>
              <w:t xml:space="preserve">1.额定功率：10W/15W </w:t>
            </w:r>
          </w:p>
          <w:p w14:paraId="44DC5436">
            <w:pPr>
              <w:widowControl/>
              <w:textAlignment w:val="center"/>
              <w:rPr>
                <w:rFonts w:hint="eastAsia" w:ascii="宋体" w:hAnsi="宋体" w:cs="宋体"/>
                <w:color w:val="auto"/>
                <w:szCs w:val="21"/>
              </w:rPr>
            </w:pPr>
            <w:r>
              <w:rPr>
                <w:rFonts w:hint="eastAsia" w:ascii="宋体" w:hAnsi="宋体" w:cs="宋体"/>
                <w:color w:val="auto"/>
                <w:szCs w:val="21"/>
              </w:rPr>
              <w:t xml:space="preserve">2.输入：70V/100V </w:t>
            </w:r>
          </w:p>
          <w:p w14:paraId="5397656C">
            <w:pPr>
              <w:widowControl/>
              <w:textAlignment w:val="center"/>
              <w:rPr>
                <w:rFonts w:hint="eastAsia" w:ascii="宋体" w:hAnsi="宋体" w:cs="宋体"/>
                <w:color w:val="auto"/>
                <w:szCs w:val="21"/>
              </w:rPr>
            </w:pPr>
            <w:r>
              <w:rPr>
                <w:rFonts w:hint="eastAsia" w:ascii="宋体" w:hAnsi="宋体" w:cs="宋体"/>
                <w:color w:val="auto"/>
                <w:szCs w:val="21"/>
              </w:rPr>
              <w:t xml:space="preserve">3.阻抗：6.7KΩ/3.3KΩ </w:t>
            </w:r>
          </w:p>
          <w:p w14:paraId="721AB6D9">
            <w:pPr>
              <w:widowControl/>
              <w:textAlignment w:val="center"/>
              <w:rPr>
                <w:rFonts w:hint="eastAsia" w:ascii="宋体" w:hAnsi="宋体" w:cs="宋体"/>
                <w:color w:val="auto"/>
                <w:szCs w:val="21"/>
              </w:rPr>
            </w:pPr>
            <w:r>
              <w:rPr>
                <w:rFonts w:hint="eastAsia" w:ascii="宋体" w:hAnsi="宋体" w:cs="宋体"/>
                <w:color w:val="auto"/>
                <w:szCs w:val="21"/>
              </w:rPr>
              <w:t xml:space="preserve">4.灵敏度：92dB </w:t>
            </w:r>
          </w:p>
          <w:p w14:paraId="05E5A224">
            <w:pPr>
              <w:widowControl/>
              <w:textAlignment w:val="center"/>
              <w:rPr>
                <w:rFonts w:hint="eastAsia" w:ascii="宋体" w:hAnsi="宋体" w:cs="宋体"/>
                <w:color w:val="auto"/>
                <w:szCs w:val="21"/>
              </w:rPr>
            </w:pPr>
            <w:r>
              <w:rPr>
                <w:rFonts w:hint="eastAsia" w:ascii="宋体" w:hAnsi="宋体" w:cs="宋体"/>
                <w:color w:val="auto"/>
                <w:szCs w:val="21"/>
              </w:rPr>
              <w:t xml:space="preserve">5.频率响应：110Hz-15KHz </w:t>
            </w:r>
          </w:p>
          <w:p w14:paraId="5589E391">
            <w:pPr>
              <w:widowControl/>
              <w:textAlignment w:val="center"/>
              <w:rPr>
                <w:rFonts w:hint="eastAsia" w:ascii="宋体" w:hAnsi="宋体" w:cs="宋体"/>
                <w:color w:val="auto"/>
                <w:szCs w:val="21"/>
              </w:rPr>
            </w:pPr>
            <w:r>
              <w:rPr>
                <w:rFonts w:hint="eastAsia" w:ascii="宋体" w:hAnsi="宋体" w:cs="宋体"/>
                <w:color w:val="auto"/>
                <w:szCs w:val="21"/>
              </w:rPr>
              <w:t xml:space="preserve">6.喇叭单元：5.5"×1  1.5"×1 </w:t>
            </w:r>
          </w:p>
          <w:p w14:paraId="25EC1D20">
            <w:pPr>
              <w:widowControl/>
              <w:textAlignment w:val="center"/>
              <w:rPr>
                <w:rFonts w:hint="eastAsia" w:ascii="宋体" w:hAnsi="宋体" w:cs="宋体"/>
                <w:color w:val="auto"/>
                <w:szCs w:val="21"/>
              </w:rPr>
            </w:pPr>
            <w:r>
              <w:rPr>
                <w:rFonts w:hint="eastAsia" w:ascii="宋体" w:hAnsi="宋体" w:cs="宋体"/>
                <w:color w:val="auto"/>
                <w:szCs w:val="21"/>
              </w:rPr>
              <w:t xml:space="preserve">7.防护等级：IP×5防尘 </w:t>
            </w:r>
          </w:p>
        </w:tc>
        <w:tc>
          <w:tcPr>
            <w:tcW w:w="202" w:type="pct"/>
            <w:shd w:val="clear" w:color="auto" w:fill="auto"/>
            <w:vAlign w:val="center"/>
          </w:tcPr>
          <w:p w14:paraId="6E261A3B">
            <w:pPr>
              <w:spacing w:line="288" w:lineRule="auto"/>
              <w:jc w:val="center"/>
              <w:rPr>
                <w:rFonts w:hint="eastAsia" w:ascii="宋体" w:hAnsi="宋体" w:cs="宋体"/>
                <w:color w:val="auto"/>
                <w:spacing w:val="-6"/>
                <w:szCs w:val="21"/>
              </w:rPr>
            </w:pPr>
            <w:r>
              <w:rPr>
                <w:rFonts w:hint="eastAsia" w:ascii="宋体" w:hAnsi="宋体" w:cs="宋体"/>
                <w:color w:val="auto"/>
                <w:spacing w:val="-6"/>
                <w:szCs w:val="21"/>
              </w:rPr>
              <w:t>100</w:t>
            </w:r>
          </w:p>
        </w:tc>
        <w:tc>
          <w:tcPr>
            <w:tcW w:w="191" w:type="pct"/>
            <w:vAlign w:val="center"/>
          </w:tcPr>
          <w:p w14:paraId="46C93FD2">
            <w:pPr>
              <w:widowControl/>
              <w:jc w:val="center"/>
              <w:textAlignment w:val="center"/>
              <w:rPr>
                <w:rFonts w:hint="eastAsia" w:ascii="宋体" w:hAnsi="宋体" w:cs="宋体"/>
                <w:color w:val="auto"/>
                <w:szCs w:val="21"/>
              </w:rPr>
            </w:pPr>
            <w:r>
              <w:rPr>
                <w:rFonts w:hint="eastAsia" w:ascii="宋体" w:hAnsi="宋体" w:cs="宋体"/>
                <w:color w:val="auto"/>
                <w:szCs w:val="21"/>
              </w:rPr>
              <w:t>只</w:t>
            </w:r>
          </w:p>
        </w:tc>
        <w:tc>
          <w:tcPr>
            <w:tcW w:w="361" w:type="pct"/>
            <w:vAlign w:val="center"/>
          </w:tcPr>
          <w:p w14:paraId="31A234D4">
            <w:pPr>
              <w:jc w:val="center"/>
              <w:rPr>
                <w:rFonts w:hint="eastAsia" w:ascii="宋体" w:hAnsi="宋体" w:cs="宋体"/>
                <w:color w:val="auto"/>
                <w:szCs w:val="21"/>
              </w:rPr>
            </w:pPr>
            <w:r>
              <w:rPr>
                <w:rFonts w:hint="eastAsia" w:ascii="宋体" w:hAnsi="宋体" w:cs="宋体"/>
                <w:color w:val="auto"/>
                <w:szCs w:val="21"/>
              </w:rPr>
              <w:t>ITC、艾力特、ANE</w:t>
            </w:r>
          </w:p>
        </w:tc>
      </w:tr>
    </w:tbl>
    <w:p w14:paraId="3B86DB72">
      <w:pPr>
        <w:wordWrap w:val="0"/>
        <w:autoSpaceDE w:val="0"/>
        <w:autoSpaceDN w:val="0"/>
        <w:adjustRightInd w:val="0"/>
        <w:spacing w:line="312" w:lineRule="auto"/>
        <w:ind w:firstLine="482" w:firstLineChars="200"/>
        <w:jc w:val="left"/>
        <w:rPr>
          <w:rFonts w:hint="eastAsia" w:ascii="宋体" w:hAnsi="宋体" w:cs="宋体"/>
          <w:b/>
          <w:bCs/>
          <w:snapToGrid w:val="0"/>
          <w:color w:val="auto"/>
          <w:kern w:val="0"/>
          <w:sz w:val="24"/>
        </w:rPr>
      </w:pPr>
      <w:r>
        <w:rPr>
          <w:rFonts w:hint="eastAsia" w:ascii="宋体" w:hAnsi="宋体" w:cs="宋体"/>
          <w:b/>
          <w:bCs/>
          <w:snapToGrid w:val="0"/>
          <w:color w:val="auto"/>
          <w:kern w:val="0"/>
          <w:sz w:val="24"/>
        </w:rPr>
        <w:t>三、</w:t>
      </w:r>
      <w:r>
        <w:rPr>
          <w:rFonts w:hint="eastAsia"/>
          <w:b/>
          <w:bCs/>
          <w:color w:val="auto"/>
          <w:sz w:val="24"/>
        </w:rPr>
        <w:t>项目要求</w:t>
      </w:r>
    </w:p>
    <w:p w14:paraId="0A178730">
      <w:pPr>
        <w:wordWrap w:val="0"/>
        <w:autoSpaceDE w:val="0"/>
        <w:autoSpaceDN w:val="0"/>
        <w:adjustRightInd w:val="0"/>
        <w:spacing w:line="312" w:lineRule="auto"/>
        <w:ind w:firstLine="480" w:firstLineChars="200"/>
        <w:jc w:val="left"/>
        <w:rPr>
          <w:rFonts w:hint="eastAsia" w:ascii="宋体" w:hAnsi="宋体" w:cs="宋体"/>
          <w:snapToGrid w:val="0"/>
          <w:color w:val="auto"/>
          <w:sz w:val="24"/>
        </w:rPr>
      </w:pPr>
      <w:r>
        <w:rPr>
          <w:rFonts w:hint="eastAsia" w:ascii="宋体" w:hAnsi="宋体" w:cs="宋体"/>
          <w:snapToGrid w:val="0"/>
          <w:color w:val="auto"/>
          <w:sz w:val="24"/>
        </w:rPr>
        <w:t>1.所投中控系统及配套软件必须满足浙江农林大学暨阳学院现有及规划中的多媒体教学应用需求，确保稳定运行，无软件冲突、系统崩溃或效率降低等问题。</w:t>
      </w:r>
    </w:p>
    <w:p w14:paraId="3953A7EB">
      <w:pPr>
        <w:wordWrap w:val="0"/>
        <w:autoSpaceDE w:val="0"/>
        <w:autoSpaceDN w:val="0"/>
        <w:adjustRightInd w:val="0"/>
        <w:spacing w:line="312" w:lineRule="auto"/>
        <w:ind w:firstLine="480" w:firstLineChars="200"/>
        <w:jc w:val="left"/>
        <w:rPr>
          <w:rFonts w:hint="eastAsia" w:ascii="宋体" w:hAnsi="宋体" w:cs="宋体"/>
          <w:snapToGrid w:val="0"/>
          <w:color w:val="auto"/>
          <w:sz w:val="24"/>
        </w:rPr>
      </w:pPr>
      <w:r>
        <w:rPr>
          <w:rFonts w:hint="eastAsia" w:ascii="宋体" w:hAnsi="宋体" w:cs="宋体"/>
          <w:snapToGrid w:val="0"/>
          <w:color w:val="auto"/>
          <w:sz w:val="24"/>
        </w:rPr>
        <w:t>2. 中标公司负责安全、完整地拆除指定教室内的原有投影仪（含支架、线缆）及原讲台。拆除过程中必须保护教室墙面、地面、天花板、原有线槽及管线，避免造成损坏或污染。因拆除造成的任何损坏由乙方负责修复。</w:t>
      </w:r>
    </w:p>
    <w:p w14:paraId="247DB70E">
      <w:pPr>
        <w:wordWrap w:val="0"/>
        <w:autoSpaceDE w:val="0"/>
        <w:autoSpaceDN w:val="0"/>
        <w:adjustRightInd w:val="0"/>
        <w:spacing w:line="312" w:lineRule="auto"/>
        <w:ind w:firstLine="480" w:firstLineChars="200"/>
        <w:jc w:val="left"/>
        <w:rPr>
          <w:rFonts w:hint="eastAsia" w:ascii="宋体" w:hAnsi="宋体" w:cs="宋体"/>
          <w:snapToGrid w:val="0"/>
          <w:color w:val="auto"/>
          <w:sz w:val="24"/>
        </w:rPr>
      </w:pPr>
      <w:r>
        <w:rPr>
          <w:rFonts w:hint="eastAsia" w:ascii="宋体" w:hAnsi="宋体" w:cs="宋体"/>
          <w:snapToGrid w:val="0"/>
          <w:color w:val="auto"/>
          <w:sz w:val="24"/>
        </w:rPr>
        <w:t>3.中标公司需负责将拆除的旧投影仪、原讲台及其他指定废弃部件搬运至甲方指定的校内临时存放点。搬运过程需小心谨慎，避免损坏其他物品或环境。</w:t>
      </w:r>
    </w:p>
    <w:p w14:paraId="1D13D0A8">
      <w:pPr>
        <w:wordWrap w:val="0"/>
        <w:autoSpaceDE w:val="0"/>
        <w:autoSpaceDN w:val="0"/>
        <w:adjustRightInd w:val="0"/>
        <w:spacing w:line="312" w:lineRule="auto"/>
        <w:ind w:firstLine="480" w:firstLineChars="200"/>
        <w:jc w:val="left"/>
        <w:rPr>
          <w:rFonts w:hint="eastAsia" w:ascii="宋体" w:hAnsi="宋体" w:cs="宋体"/>
          <w:snapToGrid w:val="0"/>
          <w:color w:val="auto"/>
          <w:sz w:val="24"/>
        </w:rPr>
      </w:pPr>
      <w:r>
        <w:rPr>
          <w:rFonts w:hint="eastAsia" w:ascii="宋体" w:hAnsi="宋体" w:cs="宋体"/>
          <w:snapToGrid w:val="0"/>
          <w:color w:val="auto"/>
          <w:sz w:val="24"/>
        </w:rPr>
        <w:t>4.中标公司负责所有新购设备（智慧黑板、吊装显示器、新讲台、中控主机及配套设备）的专业化安装、固定、上电与调试。</w:t>
      </w:r>
    </w:p>
    <w:p w14:paraId="1FD818A8">
      <w:pPr>
        <w:adjustRightInd w:val="0"/>
        <w:snapToGrid w:val="0"/>
        <w:spacing w:line="300" w:lineRule="auto"/>
        <w:ind w:firstLine="480" w:firstLineChars="200"/>
        <w:rPr>
          <w:rFonts w:hint="eastAsia" w:ascii="宋体" w:hAnsi="宋体" w:cs="宋体"/>
          <w:snapToGrid w:val="0"/>
          <w:color w:val="auto"/>
          <w:kern w:val="0"/>
          <w:sz w:val="24"/>
        </w:rPr>
      </w:pPr>
      <w:r>
        <w:rPr>
          <w:rFonts w:hint="eastAsia" w:ascii="宋体" w:hAnsi="宋体" w:cs="宋体"/>
          <w:snapToGrid w:val="0"/>
          <w:color w:val="auto"/>
          <w:sz w:val="24"/>
        </w:rPr>
        <w:t>5.中标公司负责完成新中控系统与智慧黑板、吊装显示器、新讲台内设备（如PC、展台等，若包含）、音频设备（若涉及）等所有接入设备的集成、联动配置与整体调试。确保各设备间信号传输（如智慧黑板信号输出至吊装显示器、讲台电脑信号切换至智慧黑板/显示器等）稳定、流畅、无延迟、无花屏。</w:t>
      </w:r>
    </w:p>
    <w:p w14:paraId="47E17D52">
      <w:pPr>
        <w:adjustRightInd w:val="0"/>
        <w:snapToGrid w:val="0"/>
        <w:spacing w:line="300" w:lineRule="auto"/>
        <w:ind w:firstLine="482" w:firstLineChars="200"/>
        <w:rPr>
          <w:rFonts w:hint="eastAsia" w:ascii="宋体" w:hAnsi="宋体" w:cs="宋体"/>
          <w:b/>
          <w:bCs/>
          <w:color w:val="auto"/>
          <w:sz w:val="24"/>
        </w:rPr>
      </w:pPr>
      <w:bookmarkStart w:id="5" w:name="OLE_LINK5"/>
      <w:r>
        <w:rPr>
          <w:rFonts w:hint="eastAsia" w:ascii="宋体" w:hAnsi="宋体" w:cs="宋体"/>
          <w:b/>
          <w:bCs/>
          <w:snapToGrid w:val="0"/>
          <w:color w:val="auto"/>
          <w:sz w:val="24"/>
        </w:rPr>
        <w:t>四、商务</w:t>
      </w:r>
      <w:r>
        <w:rPr>
          <w:rFonts w:hint="eastAsia" w:ascii="宋体" w:hAnsi="宋体" w:cs="宋体"/>
          <w:b/>
          <w:bCs/>
          <w:color w:val="auto"/>
          <w:sz w:val="24"/>
        </w:rPr>
        <w:t>服务要求</w:t>
      </w:r>
    </w:p>
    <w:tbl>
      <w:tblPr>
        <w:tblStyle w:val="8"/>
        <w:tblW w:w="99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3"/>
        <w:gridCol w:w="1317"/>
        <w:gridCol w:w="7759"/>
      </w:tblGrid>
      <w:tr w14:paraId="7BDAE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14:paraId="24366BD1">
            <w:pPr>
              <w:spacing w:line="360" w:lineRule="auto"/>
              <w:jc w:val="center"/>
              <w:rPr>
                <w:rFonts w:hint="eastAsia" w:ascii="宋体" w:hAnsi="宋体" w:cs="宋体"/>
                <w:snapToGrid w:val="0"/>
                <w:color w:val="auto"/>
                <w:spacing w:val="-6"/>
                <w:sz w:val="24"/>
              </w:rPr>
            </w:pPr>
            <w:r>
              <w:rPr>
                <w:rFonts w:hint="eastAsia" w:ascii="宋体" w:hAnsi="宋体" w:cs="宋体"/>
                <w:b/>
                <w:bCs/>
                <w:color w:val="auto"/>
                <w:sz w:val="24"/>
              </w:rPr>
              <w:t>序号</w:t>
            </w:r>
          </w:p>
        </w:tc>
        <w:tc>
          <w:tcPr>
            <w:tcW w:w="1317" w:type="dxa"/>
            <w:tcBorders>
              <w:top w:val="single" w:color="auto" w:sz="4" w:space="0"/>
              <w:left w:val="single" w:color="auto" w:sz="4" w:space="0"/>
              <w:bottom w:val="single" w:color="auto" w:sz="4" w:space="0"/>
              <w:right w:val="single" w:color="auto" w:sz="4" w:space="0"/>
            </w:tcBorders>
            <w:vAlign w:val="center"/>
          </w:tcPr>
          <w:p w14:paraId="698DDFA9">
            <w:pPr>
              <w:spacing w:line="360" w:lineRule="auto"/>
              <w:jc w:val="center"/>
              <w:rPr>
                <w:rFonts w:hint="eastAsia" w:ascii="宋体" w:hAnsi="宋体" w:cs="宋体"/>
                <w:snapToGrid w:val="0"/>
                <w:color w:val="auto"/>
                <w:spacing w:val="-6"/>
                <w:sz w:val="24"/>
              </w:rPr>
            </w:pPr>
            <w:r>
              <w:rPr>
                <w:rFonts w:hint="eastAsia" w:ascii="宋体" w:hAnsi="宋体" w:cs="宋体"/>
                <w:b/>
                <w:bCs/>
                <w:color w:val="auto"/>
                <w:sz w:val="24"/>
              </w:rPr>
              <w:t>服务要求</w:t>
            </w:r>
          </w:p>
        </w:tc>
        <w:tc>
          <w:tcPr>
            <w:tcW w:w="7759" w:type="dxa"/>
            <w:tcBorders>
              <w:top w:val="single" w:color="auto" w:sz="4" w:space="0"/>
              <w:left w:val="single" w:color="auto" w:sz="4" w:space="0"/>
              <w:bottom w:val="single" w:color="auto" w:sz="4" w:space="0"/>
              <w:right w:val="single" w:color="auto" w:sz="4" w:space="0"/>
            </w:tcBorders>
            <w:vAlign w:val="center"/>
          </w:tcPr>
          <w:p w14:paraId="54A42845">
            <w:pPr>
              <w:jc w:val="center"/>
              <w:rPr>
                <w:rFonts w:hint="eastAsia" w:ascii="宋体" w:hAnsi="宋体" w:cs="宋体"/>
                <w:snapToGrid w:val="0"/>
                <w:color w:val="auto"/>
                <w:spacing w:val="-6"/>
                <w:sz w:val="24"/>
              </w:rPr>
            </w:pPr>
            <w:r>
              <w:rPr>
                <w:rFonts w:hint="eastAsia" w:ascii="宋体" w:hAnsi="宋体" w:cs="宋体"/>
                <w:b/>
                <w:bCs/>
                <w:color w:val="auto"/>
                <w:sz w:val="24"/>
              </w:rPr>
              <w:t>服务要求标准</w:t>
            </w:r>
          </w:p>
        </w:tc>
      </w:tr>
      <w:tr w14:paraId="12059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14:paraId="7B3571AB">
            <w:pPr>
              <w:spacing w:line="360" w:lineRule="auto"/>
              <w:jc w:val="center"/>
              <w:rPr>
                <w:rFonts w:hint="eastAsia" w:ascii="宋体" w:hAnsi="宋体" w:cs="宋体"/>
                <w:snapToGrid w:val="0"/>
                <w:color w:val="auto"/>
                <w:spacing w:val="-6"/>
                <w:sz w:val="24"/>
              </w:rPr>
            </w:pPr>
            <w:r>
              <w:rPr>
                <w:rFonts w:hint="eastAsia" w:ascii="宋体" w:hAnsi="宋体" w:cs="宋体"/>
                <w:color w:val="auto"/>
                <w:sz w:val="24"/>
              </w:rPr>
              <w:t>1</w:t>
            </w:r>
          </w:p>
        </w:tc>
        <w:tc>
          <w:tcPr>
            <w:tcW w:w="1317" w:type="dxa"/>
            <w:tcBorders>
              <w:top w:val="single" w:color="auto" w:sz="4" w:space="0"/>
              <w:left w:val="single" w:color="auto" w:sz="4" w:space="0"/>
              <w:bottom w:val="single" w:color="auto" w:sz="4" w:space="0"/>
              <w:right w:val="single" w:color="auto" w:sz="4" w:space="0"/>
            </w:tcBorders>
            <w:vAlign w:val="center"/>
          </w:tcPr>
          <w:p w14:paraId="4AFD09BC">
            <w:pPr>
              <w:spacing w:line="360" w:lineRule="auto"/>
              <w:jc w:val="center"/>
              <w:rPr>
                <w:rFonts w:hint="eastAsia" w:ascii="宋体" w:hAnsi="宋体" w:cs="宋体"/>
                <w:snapToGrid w:val="0"/>
                <w:color w:val="auto"/>
                <w:spacing w:val="-6"/>
                <w:sz w:val="24"/>
              </w:rPr>
            </w:pPr>
            <w:r>
              <w:rPr>
                <w:rFonts w:hint="eastAsia" w:ascii="宋体" w:hAnsi="宋体" w:cs="宋体"/>
                <w:snapToGrid w:val="0"/>
                <w:color w:val="auto"/>
                <w:sz w:val="24"/>
              </w:rPr>
              <w:t>质保期</w:t>
            </w:r>
          </w:p>
        </w:tc>
        <w:tc>
          <w:tcPr>
            <w:tcW w:w="7759" w:type="dxa"/>
            <w:tcBorders>
              <w:top w:val="single" w:color="auto" w:sz="4" w:space="0"/>
              <w:left w:val="single" w:color="auto" w:sz="4" w:space="0"/>
              <w:bottom w:val="single" w:color="auto" w:sz="4" w:space="0"/>
              <w:right w:val="single" w:color="auto" w:sz="4" w:space="0"/>
            </w:tcBorders>
            <w:vAlign w:val="center"/>
          </w:tcPr>
          <w:p w14:paraId="3E5C5ADB">
            <w:pPr>
              <w:rPr>
                <w:rFonts w:hint="eastAsia" w:ascii="宋体" w:hAnsi="宋体" w:cs="宋体"/>
                <w:snapToGrid w:val="0"/>
                <w:color w:val="auto"/>
                <w:spacing w:val="-6"/>
                <w:sz w:val="24"/>
              </w:rPr>
            </w:pPr>
            <w:r>
              <w:rPr>
                <w:rFonts w:hint="eastAsia" w:ascii="宋体" w:hAnsi="宋体" w:cs="宋体"/>
                <w:snapToGrid w:val="0"/>
                <w:color w:val="auto"/>
                <w:sz w:val="24"/>
              </w:rPr>
              <w:t>自项目验收合格之日起，中标人提供至少三年的软硬件免费原厂质保服务。（具体以承诺质保期限为准）</w:t>
            </w:r>
          </w:p>
        </w:tc>
      </w:tr>
      <w:tr w14:paraId="27897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14:paraId="6B90F5F6">
            <w:pPr>
              <w:spacing w:line="288" w:lineRule="auto"/>
              <w:jc w:val="center"/>
              <w:rPr>
                <w:rFonts w:hint="eastAsia" w:ascii="宋体" w:hAnsi="宋体" w:cs="宋体"/>
                <w:snapToGrid w:val="0"/>
                <w:color w:val="auto"/>
                <w:sz w:val="24"/>
              </w:rPr>
            </w:pPr>
            <w:r>
              <w:rPr>
                <w:rFonts w:hint="eastAsia" w:ascii="宋体" w:hAnsi="宋体" w:cs="宋体"/>
                <w:snapToGrid w:val="0"/>
                <w:color w:val="auto"/>
                <w:sz w:val="24"/>
              </w:rPr>
              <w:t>2</w:t>
            </w:r>
          </w:p>
        </w:tc>
        <w:tc>
          <w:tcPr>
            <w:tcW w:w="1317" w:type="dxa"/>
            <w:tcBorders>
              <w:top w:val="single" w:color="auto" w:sz="4" w:space="0"/>
              <w:left w:val="single" w:color="auto" w:sz="4" w:space="0"/>
              <w:bottom w:val="single" w:color="auto" w:sz="4" w:space="0"/>
              <w:right w:val="single" w:color="auto" w:sz="4" w:space="0"/>
            </w:tcBorders>
            <w:vAlign w:val="center"/>
          </w:tcPr>
          <w:p w14:paraId="041757AA">
            <w:pPr>
              <w:spacing w:line="288" w:lineRule="auto"/>
              <w:jc w:val="center"/>
              <w:rPr>
                <w:rFonts w:hint="eastAsia" w:ascii="宋体" w:hAnsi="宋体" w:cs="宋体"/>
                <w:snapToGrid w:val="0"/>
                <w:color w:val="auto"/>
                <w:spacing w:val="-6"/>
                <w:sz w:val="24"/>
              </w:rPr>
            </w:pPr>
            <w:r>
              <w:rPr>
                <w:rFonts w:hint="eastAsia" w:ascii="宋体" w:hAnsi="宋体" w:cs="宋体"/>
                <w:snapToGrid w:val="0"/>
                <w:color w:val="auto"/>
                <w:sz w:val="24"/>
              </w:rPr>
              <w:t>服务标准</w:t>
            </w:r>
          </w:p>
        </w:tc>
        <w:tc>
          <w:tcPr>
            <w:tcW w:w="7759" w:type="dxa"/>
            <w:tcBorders>
              <w:top w:val="single" w:color="auto" w:sz="4" w:space="0"/>
              <w:left w:val="single" w:color="auto" w:sz="4" w:space="0"/>
              <w:bottom w:val="single" w:color="auto" w:sz="4" w:space="0"/>
              <w:right w:val="single" w:color="auto" w:sz="4" w:space="0"/>
            </w:tcBorders>
            <w:vAlign w:val="center"/>
          </w:tcPr>
          <w:p w14:paraId="254E2D25">
            <w:pPr>
              <w:spacing w:line="288" w:lineRule="auto"/>
              <w:rPr>
                <w:rFonts w:hint="eastAsia" w:ascii="宋体" w:hAnsi="宋体" w:cs="宋体"/>
                <w:snapToGrid w:val="0"/>
                <w:color w:val="auto"/>
                <w:sz w:val="24"/>
              </w:rPr>
            </w:pPr>
            <w:r>
              <w:rPr>
                <w:rFonts w:hint="eastAsia" w:ascii="宋体" w:hAnsi="宋体" w:cs="宋体"/>
                <w:snapToGrid w:val="0"/>
                <w:color w:val="auto"/>
                <w:sz w:val="24"/>
              </w:rPr>
              <w:t>质保期内因不能排除的故障而影响工作的情况每发生一次，其质保期相应延长60天，质保期内因产品本身缺陷造成各种故障应由中标人免费予以更换。质保期满后，仅收取零配件成本费用，免人工费、差旅费，所涉及软件终身免费升级。</w:t>
            </w:r>
          </w:p>
        </w:tc>
      </w:tr>
      <w:tr w14:paraId="71DB6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14:paraId="324E0CA3">
            <w:pPr>
              <w:spacing w:line="288" w:lineRule="auto"/>
              <w:jc w:val="center"/>
              <w:rPr>
                <w:rFonts w:hint="eastAsia" w:ascii="宋体" w:hAnsi="宋体" w:cs="宋体"/>
                <w:snapToGrid w:val="0"/>
                <w:color w:val="auto"/>
                <w:sz w:val="24"/>
              </w:rPr>
            </w:pPr>
            <w:r>
              <w:rPr>
                <w:rFonts w:hint="eastAsia" w:ascii="宋体" w:hAnsi="宋体" w:cs="宋体"/>
                <w:snapToGrid w:val="0"/>
                <w:color w:val="auto"/>
                <w:sz w:val="24"/>
              </w:rPr>
              <w:t>2</w:t>
            </w:r>
          </w:p>
        </w:tc>
        <w:tc>
          <w:tcPr>
            <w:tcW w:w="1317" w:type="dxa"/>
            <w:tcBorders>
              <w:top w:val="single" w:color="auto" w:sz="4" w:space="0"/>
              <w:left w:val="single" w:color="auto" w:sz="4" w:space="0"/>
              <w:bottom w:val="single" w:color="auto" w:sz="4" w:space="0"/>
              <w:right w:val="single" w:color="auto" w:sz="4" w:space="0"/>
            </w:tcBorders>
            <w:vAlign w:val="center"/>
          </w:tcPr>
          <w:p w14:paraId="69C64FE6">
            <w:pPr>
              <w:spacing w:line="288" w:lineRule="auto"/>
              <w:jc w:val="center"/>
              <w:rPr>
                <w:rFonts w:hint="eastAsia" w:ascii="宋体" w:hAnsi="宋体" w:cs="宋体"/>
                <w:snapToGrid w:val="0"/>
                <w:color w:val="auto"/>
                <w:sz w:val="24"/>
              </w:rPr>
            </w:pPr>
            <w:r>
              <w:rPr>
                <w:rFonts w:hint="eastAsia" w:ascii="宋体" w:hAnsi="宋体" w:cs="宋体"/>
                <w:snapToGrid w:val="0"/>
                <w:color w:val="auto"/>
                <w:sz w:val="24"/>
              </w:rPr>
              <w:t>服务效率</w:t>
            </w:r>
          </w:p>
        </w:tc>
        <w:tc>
          <w:tcPr>
            <w:tcW w:w="7759" w:type="dxa"/>
            <w:tcBorders>
              <w:top w:val="single" w:color="auto" w:sz="4" w:space="0"/>
              <w:left w:val="single" w:color="auto" w:sz="4" w:space="0"/>
              <w:bottom w:val="single" w:color="auto" w:sz="4" w:space="0"/>
              <w:right w:val="single" w:color="auto" w:sz="4" w:space="0"/>
            </w:tcBorders>
            <w:vAlign w:val="center"/>
          </w:tcPr>
          <w:p w14:paraId="24FFD400">
            <w:pPr>
              <w:spacing w:line="288" w:lineRule="auto"/>
              <w:rPr>
                <w:rFonts w:hint="eastAsia" w:ascii="宋体" w:hAnsi="宋体" w:cs="宋体"/>
                <w:snapToGrid w:val="0"/>
                <w:color w:val="auto"/>
                <w:sz w:val="24"/>
              </w:rPr>
            </w:pPr>
            <w:r>
              <w:rPr>
                <w:rFonts w:hint="eastAsia" w:ascii="宋体" w:hAnsi="宋体" w:cs="宋体"/>
                <w:snapToGrid w:val="0"/>
                <w:color w:val="auto"/>
                <w:sz w:val="24"/>
              </w:rPr>
              <w:t>合同产品出现故障后，中标人接到采购人通知应在2小时内做出响应，24小时内到达现场，并解决故障。</w:t>
            </w:r>
          </w:p>
        </w:tc>
      </w:tr>
      <w:tr w14:paraId="067D8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14:paraId="21092D92">
            <w:pPr>
              <w:spacing w:line="288" w:lineRule="auto"/>
              <w:jc w:val="center"/>
              <w:rPr>
                <w:rFonts w:hint="eastAsia" w:ascii="宋体" w:hAnsi="宋体" w:cs="宋体"/>
                <w:snapToGrid w:val="0"/>
                <w:color w:val="auto"/>
                <w:spacing w:val="-6"/>
                <w:sz w:val="24"/>
              </w:rPr>
            </w:pPr>
            <w:r>
              <w:rPr>
                <w:rFonts w:hint="eastAsia" w:ascii="宋体" w:hAnsi="宋体" w:cs="宋体"/>
                <w:snapToGrid w:val="0"/>
                <w:color w:val="auto"/>
                <w:spacing w:val="-6"/>
                <w:sz w:val="24"/>
              </w:rPr>
              <w:t>3</w:t>
            </w:r>
          </w:p>
        </w:tc>
        <w:tc>
          <w:tcPr>
            <w:tcW w:w="1317" w:type="dxa"/>
            <w:tcBorders>
              <w:top w:val="single" w:color="auto" w:sz="4" w:space="0"/>
              <w:left w:val="single" w:color="auto" w:sz="4" w:space="0"/>
              <w:bottom w:val="single" w:color="auto" w:sz="4" w:space="0"/>
              <w:right w:val="single" w:color="auto" w:sz="4" w:space="0"/>
            </w:tcBorders>
            <w:vAlign w:val="center"/>
          </w:tcPr>
          <w:p w14:paraId="4E81BEE0">
            <w:pPr>
              <w:spacing w:line="288" w:lineRule="auto"/>
              <w:jc w:val="center"/>
              <w:rPr>
                <w:rFonts w:hint="eastAsia" w:ascii="宋体" w:hAnsi="宋体" w:cs="宋体"/>
                <w:snapToGrid w:val="0"/>
                <w:color w:val="auto"/>
                <w:sz w:val="24"/>
              </w:rPr>
            </w:pPr>
            <w:r>
              <w:rPr>
                <w:rFonts w:hint="eastAsia" w:ascii="宋体" w:hAnsi="宋体" w:cs="宋体"/>
                <w:snapToGrid w:val="0"/>
                <w:color w:val="auto"/>
                <w:sz w:val="24"/>
              </w:rPr>
              <w:t>交付时间和地点</w:t>
            </w:r>
          </w:p>
        </w:tc>
        <w:tc>
          <w:tcPr>
            <w:tcW w:w="7759" w:type="dxa"/>
            <w:tcBorders>
              <w:top w:val="single" w:color="auto" w:sz="4" w:space="0"/>
              <w:left w:val="single" w:color="auto" w:sz="4" w:space="0"/>
              <w:bottom w:val="single" w:color="auto" w:sz="4" w:space="0"/>
              <w:right w:val="single" w:color="auto" w:sz="4" w:space="0"/>
            </w:tcBorders>
            <w:vAlign w:val="center"/>
          </w:tcPr>
          <w:p w14:paraId="6938D9B7">
            <w:pPr>
              <w:spacing w:line="288" w:lineRule="auto"/>
              <w:rPr>
                <w:rFonts w:hint="eastAsia" w:ascii="宋体" w:hAnsi="宋体" w:cs="宋体"/>
                <w:snapToGrid w:val="0"/>
                <w:color w:val="auto"/>
                <w:sz w:val="24"/>
              </w:rPr>
            </w:pPr>
            <w:r>
              <w:rPr>
                <w:rFonts w:hint="eastAsia" w:ascii="宋体" w:hAnsi="宋体" w:cs="宋体"/>
                <w:snapToGrid w:val="0"/>
                <w:color w:val="auto"/>
                <w:sz w:val="24"/>
              </w:rPr>
              <w:t>交付时间：合同签订后120天内完成并交付使用；</w:t>
            </w:r>
          </w:p>
          <w:p w14:paraId="3A1C1737">
            <w:pPr>
              <w:spacing w:line="288" w:lineRule="auto"/>
              <w:rPr>
                <w:rFonts w:hint="eastAsia" w:ascii="宋体" w:hAnsi="宋体" w:cs="宋体"/>
                <w:snapToGrid w:val="0"/>
                <w:color w:val="auto"/>
                <w:sz w:val="24"/>
              </w:rPr>
            </w:pPr>
            <w:r>
              <w:rPr>
                <w:rFonts w:hint="eastAsia" w:ascii="宋体" w:hAnsi="宋体" w:cs="宋体"/>
                <w:snapToGrid w:val="0"/>
                <w:color w:val="auto"/>
                <w:sz w:val="24"/>
              </w:rPr>
              <w:t>交货地点：采购人指定地点。</w:t>
            </w:r>
          </w:p>
        </w:tc>
      </w:tr>
      <w:tr w14:paraId="1BC8F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14:paraId="40B7B459">
            <w:pPr>
              <w:spacing w:line="288" w:lineRule="auto"/>
              <w:jc w:val="center"/>
              <w:rPr>
                <w:rFonts w:hint="eastAsia" w:ascii="宋体" w:hAnsi="宋体" w:cs="宋体"/>
                <w:snapToGrid w:val="0"/>
                <w:color w:val="auto"/>
                <w:spacing w:val="-6"/>
                <w:sz w:val="24"/>
              </w:rPr>
            </w:pPr>
            <w:r>
              <w:rPr>
                <w:rFonts w:hint="eastAsia" w:ascii="宋体" w:hAnsi="宋体" w:cs="宋体"/>
                <w:snapToGrid w:val="0"/>
                <w:color w:val="auto"/>
                <w:spacing w:val="-6"/>
                <w:sz w:val="24"/>
              </w:rPr>
              <w:t>4</w:t>
            </w:r>
          </w:p>
        </w:tc>
        <w:tc>
          <w:tcPr>
            <w:tcW w:w="1317" w:type="dxa"/>
            <w:tcBorders>
              <w:top w:val="single" w:color="auto" w:sz="4" w:space="0"/>
              <w:left w:val="single" w:color="auto" w:sz="4" w:space="0"/>
              <w:bottom w:val="single" w:color="auto" w:sz="4" w:space="0"/>
              <w:right w:val="single" w:color="auto" w:sz="4" w:space="0"/>
            </w:tcBorders>
            <w:vAlign w:val="center"/>
          </w:tcPr>
          <w:p w14:paraId="6B5C6C14">
            <w:pPr>
              <w:spacing w:line="288" w:lineRule="auto"/>
              <w:jc w:val="center"/>
              <w:rPr>
                <w:rFonts w:hint="eastAsia" w:ascii="宋体" w:hAnsi="宋体" w:cs="宋体"/>
                <w:snapToGrid w:val="0"/>
                <w:color w:val="auto"/>
                <w:spacing w:val="-6"/>
                <w:sz w:val="24"/>
              </w:rPr>
            </w:pPr>
            <w:r>
              <w:rPr>
                <w:rFonts w:hint="eastAsia" w:ascii="宋体" w:hAnsi="宋体" w:cs="宋体"/>
                <w:snapToGrid w:val="0"/>
                <w:color w:val="auto"/>
                <w:spacing w:val="-6"/>
                <w:sz w:val="24"/>
              </w:rPr>
              <w:t>验收标准</w:t>
            </w:r>
          </w:p>
        </w:tc>
        <w:tc>
          <w:tcPr>
            <w:tcW w:w="7759" w:type="dxa"/>
            <w:tcBorders>
              <w:top w:val="single" w:color="auto" w:sz="4" w:space="0"/>
              <w:left w:val="single" w:color="auto" w:sz="4" w:space="0"/>
              <w:bottom w:val="single" w:color="auto" w:sz="4" w:space="0"/>
              <w:right w:val="single" w:color="auto" w:sz="4" w:space="0"/>
            </w:tcBorders>
            <w:vAlign w:val="center"/>
          </w:tcPr>
          <w:p w14:paraId="607D302F">
            <w:pPr>
              <w:spacing w:line="288" w:lineRule="auto"/>
              <w:rPr>
                <w:rFonts w:hint="eastAsia" w:ascii="宋体" w:hAnsi="宋体" w:cs="宋体"/>
                <w:snapToGrid w:val="0"/>
                <w:color w:val="auto"/>
                <w:sz w:val="24"/>
              </w:rPr>
            </w:pPr>
            <w:r>
              <w:rPr>
                <w:rFonts w:hint="eastAsia" w:ascii="宋体" w:hAnsi="宋体" w:cs="宋体"/>
                <w:snapToGrid w:val="0"/>
                <w:color w:val="auto"/>
                <w:sz w:val="24"/>
              </w:rPr>
              <w:t>1.中标人应提供合同产品的有效检验文件，经采购人认可后，与合同的性能指标一起作为合同产品验收标准。采购人对样品（如有）验收合格后，双方共同签署验收样品合格证书，在合同期限内采购人将对中标人提供的产品进行抽检验收，验收中发现合同产品达不到样品验收标准或合同规定的性能指标，中标人必须更换合同产品，并负担由此给采购人造成的损失，直到验收合格为止。</w:t>
            </w:r>
          </w:p>
          <w:p w14:paraId="6B058FB5">
            <w:pPr>
              <w:spacing w:line="288" w:lineRule="auto"/>
              <w:rPr>
                <w:rFonts w:hint="eastAsia" w:ascii="宋体" w:hAnsi="宋体" w:cs="宋体"/>
                <w:snapToGrid w:val="0"/>
                <w:color w:val="auto"/>
                <w:sz w:val="24"/>
              </w:rPr>
            </w:pPr>
            <w:r>
              <w:rPr>
                <w:rFonts w:hint="eastAsia" w:ascii="宋体" w:hAnsi="宋体" w:cs="宋体"/>
                <w:snapToGrid w:val="0"/>
                <w:color w:val="auto"/>
                <w:sz w:val="24"/>
              </w:rPr>
              <w:t>2.中标人应于投标文件中提供合同产品的验收标准和检测办法，并在验收中提供采购人认可的相应检测手段，验收标准应符合中国有关的国家、地方、行业的标准，如若成交，经采购人确认后作为验收的依据。</w:t>
            </w:r>
          </w:p>
          <w:p w14:paraId="551B4C2B">
            <w:pPr>
              <w:spacing w:line="288" w:lineRule="auto"/>
              <w:rPr>
                <w:rFonts w:hint="eastAsia" w:ascii="宋体" w:hAnsi="宋体" w:cs="宋体"/>
                <w:snapToGrid w:val="0"/>
                <w:color w:val="auto"/>
                <w:sz w:val="24"/>
              </w:rPr>
            </w:pPr>
            <w:r>
              <w:rPr>
                <w:rFonts w:hint="eastAsia" w:ascii="宋体" w:hAnsi="宋体" w:cs="宋体"/>
                <w:snapToGrid w:val="0"/>
                <w:color w:val="auto"/>
                <w:sz w:val="24"/>
              </w:rPr>
              <w:t>3.如中标人委托国内代理（或其他机构）负责安装或配合安装，应在签约时指明，但中标人仍要对合同产品及其安装质量负全部责任。</w:t>
            </w:r>
          </w:p>
          <w:p w14:paraId="0ACE0703">
            <w:pPr>
              <w:spacing w:line="288" w:lineRule="auto"/>
              <w:rPr>
                <w:rFonts w:hint="eastAsia" w:ascii="宋体" w:hAnsi="宋体" w:cs="宋体"/>
                <w:snapToGrid w:val="0"/>
                <w:color w:val="auto"/>
                <w:sz w:val="24"/>
              </w:rPr>
            </w:pPr>
            <w:r>
              <w:rPr>
                <w:rFonts w:hint="eastAsia" w:ascii="宋体" w:hAnsi="宋体" w:cs="宋体"/>
                <w:snapToGrid w:val="0"/>
                <w:color w:val="auto"/>
                <w:sz w:val="24"/>
              </w:rPr>
              <w:t>4.验收时中标人必须在现场，验收完毕后作出验收结果报告。</w:t>
            </w:r>
          </w:p>
          <w:p w14:paraId="4955E850">
            <w:pPr>
              <w:spacing w:line="288" w:lineRule="auto"/>
              <w:rPr>
                <w:rFonts w:hint="eastAsia" w:ascii="宋体" w:hAnsi="宋体" w:cs="宋体"/>
                <w:snapToGrid w:val="0"/>
                <w:color w:val="auto"/>
                <w:sz w:val="24"/>
              </w:rPr>
            </w:pPr>
            <w:r>
              <w:rPr>
                <w:rFonts w:hint="eastAsia" w:ascii="宋体" w:hAnsi="宋体" w:cs="宋体"/>
                <w:snapToGrid w:val="0"/>
                <w:color w:val="auto"/>
                <w:sz w:val="24"/>
              </w:rPr>
              <w:t>5.验收费用由中标人承担。</w:t>
            </w:r>
          </w:p>
          <w:p w14:paraId="65532664">
            <w:pPr>
              <w:spacing w:line="288" w:lineRule="auto"/>
              <w:rPr>
                <w:rFonts w:hint="eastAsia" w:ascii="宋体" w:hAnsi="宋体" w:cs="宋体"/>
                <w:snapToGrid w:val="0"/>
                <w:color w:val="auto"/>
                <w:sz w:val="24"/>
              </w:rPr>
            </w:pPr>
            <w:r>
              <w:rPr>
                <w:rFonts w:hint="eastAsia" w:ascii="宋体" w:hAnsi="宋体" w:cs="宋体"/>
                <w:snapToGrid w:val="0"/>
                <w:color w:val="auto"/>
                <w:sz w:val="24"/>
              </w:rPr>
              <w:t xml:space="preserve">6.系统或设备安装调试完毕并试运行满一个月后按照采购人相关验收要求提出申请。 </w:t>
            </w:r>
          </w:p>
        </w:tc>
      </w:tr>
      <w:tr w14:paraId="728A4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14:paraId="57CFEF90">
            <w:pPr>
              <w:spacing w:line="288" w:lineRule="auto"/>
              <w:jc w:val="center"/>
              <w:rPr>
                <w:rFonts w:hint="eastAsia" w:ascii="宋体" w:hAnsi="宋体" w:cs="宋体"/>
                <w:snapToGrid w:val="0"/>
                <w:color w:val="auto"/>
                <w:sz w:val="24"/>
              </w:rPr>
            </w:pPr>
            <w:r>
              <w:rPr>
                <w:rFonts w:hint="eastAsia" w:ascii="宋体" w:hAnsi="宋体" w:cs="宋体"/>
                <w:snapToGrid w:val="0"/>
                <w:color w:val="auto"/>
                <w:sz w:val="24"/>
              </w:rPr>
              <w:t>5</w:t>
            </w:r>
          </w:p>
        </w:tc>
        <w:tc>
          <w:tcPr>
            <w:tcW w:w="1317" w:type="dxa"/>
            <w:tcBorders>
              <w:top w:val="single" w:color="auto" w:sz="4" w:space="0"/>
              <w:left w:val="single" w:color="auto" w:sz="4" w:space="0"/>
              <w:bottom w:val="single" w:color="auto" w:sz="4" w:space="0"/>
              <w:right w:val="single" w:color="auto" w:sz="4" w:space="0"/>
            </w:tcBorders>
            <w:vAlign w:val="center"/>
          </w:tcPr>
          <w:p w14:paraId="34F99483">
            <w:pPr>
              <w:spacing w:line="288" w:lineRule="auto"/>
              <w:jc w:val="center"/>
              <w:rPr>
                <w:rFonts w:hint="eastAsia" w:ascii="宋体" w:hAnsi="宋体" w:cs="宋体"/>
                <w:snapToGrid w:val="0"/>
                <w:color w:val="auto"/>
                <w:spacing w:val="-6"/>
                <w:sz w:val="24"/>
              </w:rPr>
            </w:pPr>
            <w:r>
              <w:rPr>
                <w:rFonts w:hint="eastAsia" w:ascii="宋体" w:hAnsi="宋体" w:cs="宋体"/>
                <w:snapToGrid w:val="0"/>
                <w:color w:val="auto"/>
                <w:sz w:val="24"/>
              </w:rPr>
              <w:t>其他技术、服务要求</w:t>
            </w:r>
          </w:p>
        </w:tc>
        <w:tc>
          <w:tcPr>
            <w:tcW w:w="7759" w:type="dxa"/>
            <w:tcBorders>
              <w:top w:val="single" w:color="auto" w:sz="4" w:space="0"/>
              <w:left w:val="single" w:color="auto" w:sz="4" w:space="0"/>
              <w:bottom w:val="single" w:color="auto" w:sz="4" w:space="0"/>
              <w:right w:val="single" w:color="auto" w:sz="4" w:space="0"/>
            </w:tcBorders>
            <w:vAlign w:val="center"/>
          </w:tcPr>
          <w:p w14:paraId="0C66603B">
            <w:pPr>
              <w:spacing w:line="288" w:lineRule="auto"/>
              <w:rPr>
                <w:rFonts w:hint="eastAsia" w:ascii="宋体" w:hAnsi="宋体" w:cs="宋体"/>
                <w:snapToGrid w:val="0"/>
                <w:color w:val="auto"/>
                <w:sz w:val="24"/>
              </w:rPr>
            </w:pPr>
            <w:r>
              <w:rPr>
                <w:rFonts w:hint="eastAsia" w:ascii="宋体" w:hAnsi="宋体" w:cs="宋体"/>
                <w:snapToGrid w:val="0"/>
                <w:color w:val="auto"/>
                <w:sz w:val="24"/>
              </w:rPr>
              <w:t>1.培训</w:t>
            </w:r>
          </w:p>
          <w:p w14:paraId="3DB55512">
            <w:pPr>
              <w:spacing w:line="288" w:lineRule="auto"/>
              <w:rPr>
                <w:rFonts w:hint="eastAsia" w:ascii="宋体" w:hAnsi="宋体" w:cs="宋体"/>
                <w:snapToGrid w:val="0"/>
                <w:color w:val="auto"/>
                <w:sz w:val="24"/>
              </w:rPr>
            </w:pPr>
            <w:r>
              <w:rPr>
                <w:rFonts w:hint="eastAsia" w:ascii="宋体" w:hAnsi="宋体" w:cs="宋体"/>
                <w:snapToGrid w:val="0"/>
                <w:color w:val="auto"/>
                <w:sz w:val="24"/>
              </w:rPr>
              <w:t>1.1 中标人应对采购人的操作人员、维修人员免费进行培训。</w:t>
            </w:r>
          </w:p>
          <w:p w14:paraId="4B2619B9">
            <w:pPr>
              <w:spacing w:line="288" w:lineRule="auto"/>
              <w:rPr>
                <w:rFonts w:hint="eastAsia" w:ascii="宋体" w:hAnsi="宋体" w:cs="宋体"/>
                <w:snapToGrid w:val="0"/>
                <w:color w:val="auto"/>
                <w:sz w:val="24"/>
              </w:rPr>
            </w:pPr>
            <w:r>
              <w:rPr>
                <w:rFonts w:hint="eastAsia" w:ascii="宋体" w:hAnsi="宋体" w:cs="宋体"/>
                <w:snapToGrid w:val="0"/>
                <w:color w:val="auto"/>
                <w:sz w:val="24"/>
              </w:rPr>
              <w:t>1.2 中标人应提供相应的培训计划。</w:t>
            </w:r>
          </w:p>
          <w:p w14:paraId="22CED7DE">
            <w:pPr>
              <w:spacing w:line="288" w:lineRule="auto"/>
              <w:rPr>
                <w:rFonts w:hint="eastAsia" w:ascii="宋体" w:hAnsi="宋体" w:cs="宋体"/>
                <w:snapToGrid w:val="0"/>
                <w:color w:val="auto"/>
                <w:sz w:val="24"/>
              </w:rPr>
            </w:pPr>
            <w:r>
              <w:rPr>
                <w:rFonts w:hint="eastAsia" w:ascii="宋体" w:hAnsi="宋体" w:cs="宋体"/>
                <w:snapToGrid w:val="0"/>
                <w:color w:val="auto"/>
                <w:sz w:val="24"/>
              </w:rPr>
              <w:t>1.3 中标人应对上述内容的实现方式、地点、人数、时间在投标文件中详细说明。</w:t>
            </w:r>
          </w:p>
          <w:p w14:paraId="7F6D33CE">
            <w:pPr>
              <w:spacing w:line="288" w:lineRule="auto"/>
              <w:rPr>
                <w:rFonts w:hint="eastAsia" w:ascii="宋体" w:hAnsi="宋体" w:cs="宋体"/>
                <w:snapToGrid w:val="0"/>
                <w:color w:val="auto"/>
                <w:sz w:val="24"/>
              </w:rPr>
            </w:pPr>
            <w:r>
              <w:rPr>
                <w:rFonts w:hint="eastAsia" w:ascii="宋体" w:hAnsi="宋体" w:cs="宋体"/>
                <w:snapToGrid w:val="0"/>
                <w:color w:val="auto"/>
                <w:sz w:val="24"/>
              </w:rPr>
              <w:t>2.技术支持</w:t>
            </w:r>
          </w:p>
          <w:p w14:paraId="61DEAA04">
            <w:pPr>
              <w:spacing w:line="288" w:lineRule="auto"/>
              <w:rPr>
                <w:rFonts w:hint="eastAsia" w:ascii="宋体" w:hAnsi="宋体" w:cs="宋体"/>
                <w:snapToGrid w:val="0"/>
                <w:color w:val="auto"/>
                <w:sz w:val="24"/>
              </w:rPr>
            </w:pPr>
            <w:r>
              <w:rPr>
                <w:rFonts w:hint="eastAsia" w:ascii="宋体" w:hAnsi="宋体" w:cs="宋体"/>
                <w:snapToGrid w:val="0"/>
                <w:color w:val="auto"/>
                <w:sz w:val="24"/>
              </w:rPr>
              <w:t>中标人应及时免费提供合同产品软件的升级，免费提供合同产品新功能和应用的资料。</w:t>
            </w:r>
          </w:p>
          <w:p w14:paraId="63B6BF26">
            <w:pPr>
              <w:spacing w:line="288" w:lineRule="auto"/>
              <w:rPr>
                <w:rFonts w:hint="eastAsia" w:ascii="宋体" w:hAnsi="宋体" w:cs="宋体"/>
                <w:snapToGrid w:val="0"/>
                <w:color w:val="auto"/>
                <w:sz w:val="24"/>
              </w:rPr>
            </w:pPr>
            <w:r>
              <w:rPr>
                <w:rFonts w:hint="eastAsia" w:ascii="宋体" w:hAnsi="宋体" w:cs="宋体"/>
                <w:snapToGrid w:val="0"/>
                <w:color w:val="auto"/>
                <w:sz w:val="24"/>
              </w:rPr>
              <w:t>3.安装调试（若需要安装调试）</w:t>
            </w:r>
          </w:p>
          <w:p w14:paraId="49C688DD">
            <w:pPr>
              <w:spacing w:line="288" w:lineRule="auto"/>
              <w:rPr>
                <w:rFonts w:hint="eastAsia" w:ascii="宋体" w:hAnsi="宋体" w:cs="宋体"/>
                <w:snapToGrid w:val="0"/>
                <w:color w:val="auto"/>
                <w:sz w:val="24"/>
              </w:rPr>
            </w:pPr>
            <w:r>
              <w:rPr>
                <w:rFonts w:hint="eastAsia" w:ascii="宋体" w:hAnsi="宋体" w:cs="宋体"/>
                <w:snapToGrid w:val="0"/>
                <w:color w:val="auto"/>
                <w:sz w:val="24"/>
              </w:rPr>
              <w:t>3.1 安装地点：采购人指定地点。</w:t>
            </w:r>
          </w:p>
          <w:p w14:paraId="32BE4ED4">
            <w:pPr>
              <w:spacing w:line="288" w:lineRule="auto"/>
              <w:rPr>
                <w:rFonts w:hint="eastAsia" w:ascii="宋体" w:hAnsi="宋体" w:cs="宋体"/>
                <w:snapToGrid w:val="0"/>
                <w:color w:val="auto"/>
                <w:sz w:val="24"/>
              </w:rPr>
            </w:pPr>
            <w:r>
              <w:rPr>
                <w:rFonts w:hint="eastAsia" w:ascii="宋体" w:hAnsi="宋体" w:cs="宋体"/>
                <w:snapToGrid w:val="0"/>
                <w:color w:val="auto"/>
                <w:sz w:val="24"/>
              </w:rPr>
              <w:t>3.2 安装完成时间：接到采购人通知后在80日内完成安装和调试，如在规定的时间内由于中标人的原因不能完成安装和调试，中标人应承担由此给采购人造成的损失。</w:t>
            </w:r>
          </w:p>
          <w:p w14:paraId="0D7BF08F">
            <w:pPr>
              <w:spacing w:line="288" w:lineRule="auto"/>
              <w:rPr>
                <w:rFonts w:hint="eastAsia" w:ascii="宋体" w:hAnsi="宋体" w:cs="宋体"/>
                <w:snapToGrid w:val="0"/>
                <w:color w:val="auto"/>
                <w:sz w:val="24"/>
              </w:rPr>
            </w:pPr>
            <w:r>
              <w:rPr>
                <w:rFonts w:hint="eastAsia" w:ascii="宋体" w:hAnsi="宋体" w:cs="宋体"/>
                <w:snapToGrid w:val="0"/>
                <w:color w:val="auto"/>
                <w:sz w:val="24"/>
              </w:rPr>
              <w:t>3.3 安装标准：符合我国国家有关技术规范要求和技术标准，所有的软件和硬件必须保证同时安装到位。</w:t>
            </w:r>
          </w:p>
          <w:p w14:paraId="74B051BF">
            <w:pPr>
              <w:spacing w:line="288" w:lineRule="auto"/>
              <w:rPr>
                <w:rFonts w:hint="eastAsia" w:ascii="宋体" w:hAnsi="宋体" w:cs="宋体"/>
                <w:snapToGrid w:val="0"/>
                <w:color w:val="auto"/>
                <w:sz w:val="24"/>
              </w:rPr>
            </w:pPr>
            <w:r>
              <w:rPr>
                <w:rFonts w:hint="eastAsia" w:ascii="宋体" w:hAnsi="宋体" w:cs="宋体"/>
                <w:snapToGrid w:val="0"/>
                <w:color w:val="auto"/>
                <w:sz w:val="24"/>
              </w:rPr>
              <w:t>3.4 中标人免费提供合同产品的安装服务。</w:t>
            </w:r>
          </w:p>
          <w:p w14:paraId="676C039B">
            <w:pPr>
              <w:spacing w:line="288" w:lineRule="auto"/>
              <w:rPr>
                <w:rFonts w:hint="eastAsia" w:ascii="宋体" w:hAnsi="宋体" w:cs="宋体"/>
                <w:snapToGrid w:val="0"/>
                <w:color w:val="auto"/>
                <w:sz w:val="24"/>
              </w:rPr>
            </w:pPr>
            <w:r>
              <w:rPr>
                <w:rFonts w:hint="eastAsia" w:ascii="宋体" w:hAnsi="宋体" w:cs="宋体"/>
                <w:snapToGrid w:val="0"/>
                <w:color w:val="auto"/>
                <w:sz w:val="24"/>
              </w:rPr>
              <w:t>3.5 中标人在投标文件中应提供安装调试计划、对安装场地和环境的要求。</w:t>
            </w:r>
          </w:p>
        </w:tc>
      </w:tr>
    </w:tbl>
    <w:p w14:paraId="1F09C754">
      <w:pPr>
        <w:wordWrap w:val="0"/>
        <w:adjustRightInd w:val="0"/>
        <w:snapToGrid w:val="0"/>
        <w:spacing w:line="300" w:lineRule="auto"/>
        <w:ind w:firstLine="482" w:firstLineChars="200"/>
        <w:jc w:val="left"/>
        <w:rPr>
          <w:rFonts w:hint="eastAsia" w:ascii="宋体" w:hAnsi="宋体" w:cs="宋体"/>
          <w:b/>
          <w:bCs/>
          <w:snapToGrid w:val="0"/>
          <w:color w:val="auto"/>
          <w:sz w:val="24"/>
        </w:rPr>
      </w:pPr>
      <w:r>
        <w:rPr>
          <w:rFonts w:hint="eastAsia" w:ascii="宋体" w:hAnsi="宋体" w:cs="宋体"/>
          <w:b/>
          <w:snapToGrid w:val="0"/>
          <w:color w:val="auto"/>
          <w:sz w:val="24"/>
        </w:rPr>
        <w:t>六、</w:t>
      </w:r>
      <w:r>
        <w:rPr>
          <w:rFonts w:hint="eastAsia" w:ascii="宋体" w:hAnsi="宋体" w:cs="宋体"/>
          <w:b/>
          <w:bCs/>
          <w:snapToGrid w:val="0"/>
          <w:color w:val="auto"/>
          <w:sz w:val="24"/>
        </w:rPr>
        <w:t>履约保证金及付款方式</w:t>
      </w:r>
    </w:p>
    <w:p w14:paraId="6353BE32">
      <w:pPr>
        <w:pStyle w:val="11"/>
        <w:widowControl w:val="0"/>
        <w:snapToGrid/>
        <w:spacing w:after="0" w:afterLines="0" w:line="300" w:lineRule="auto"/>
        <w:ind w:firstLine="480"/>
        <w:rPr>
          <w:rFonts w:hint="eastAsia" w:ascii="宋体" w:hAnsi="宋体" w:cs="宋体"/>
          <w:bCs/>
          <w:color w:val="auto"/>
          <w:szCs w:val="24"/>
        </w:rPr>
      </w:pPr>
      <w:r>
        <w:rPr>
          <w:rFonts w:hint="eastAsia" w:ascii="宋体" w:hAnsi="宋体" w:cs="宋体"/>
          <w:bCs/>
          <w:snapToGrid w:val="0"/>
          <w:color w:val="auto"/>
          <w:szCs w:val="24"/>
        </w:rPr>
        <w:t>1.履约保证金：中标人须向采购人缴纳中标金额1%的履约保证金，项目全部完成并验收合格后一年内无息退还。</w:t>
      </w:r>
    </w:p>
    <w:p w14:paraId="2D026E5E">
      <w:pPr>
        <w:wordWrap w:val="0"/>
        <w:autoSpaceDE w:val="0"/>
        <w:autoSpaceDN w:val="0"/>
        <w:spacing w:line="300" w:lineRule="auto"/>
        <w:ind w:firstLine="480" w:firstLineChars="200"/>
        <w:jc w:val="left"/>
        <w:rPr>
          <w:rFonts w:hint="eastAsia" w:ascii="宋体" w:hAnsi="宋体" w:cs="宋体"/>
          <w:snapToGrid w:val="0"/>
          <w:color w:val="auto"/>
          <w:sz w:val="24"/>
        </w:rPr>
      </w:pPr>
      <w:r>
        <w:rPr>
          <w:rFonts w:hint="eastAsia" w:ascii="宋体" w:hAnsi="宋体" w:cs="宋体"/>
          <w:bCs/>
          <w:snapToGrid w:val="0"/>
          <w:color w:val="auto"/>
          <w:sz w:val="24"/>
        </w:rPr>
        <w:t>2.付款方式：</w:t>
      </w:r>
      <w:r>
        <w:rPr>
          <w:rFonts w:hint="eastAsia" w:ascii="宋体" w:hAnsi="宋体" w:cs="宋体"/>
          <w:snapToGrid w:val="0"/>
          <w:color w:val="auto"/>
          <w:sz w:val="24"/>
        </w:rPr>
        <w:t>项目全部完成并验收合格后30日内一次性支付全部合同价款。结算合同价款时中标人需提供正式税务发票。</w:t>
      </w:r>
    </w:p>
    <w:p w14:paraId="1724436F">
      <w:pPr>
        <w:wordWrap w:val="0"/>
        <w:autoSpaceDE w:val="0"/>
        <w:autoSpaceDN w:val="0"/>
        <w:spacing w:line="300" w:lineRule="auto"/>
        <w:ind w:firstLine="597"/>
        <w:jc w:val="left"/>
        <w:rPr>
          <w:rFonts w:hint="eastAsia" w:ascii="宋体" w:hAnsi="宋体" w:cs="宋体"/>
          <w:b/>
          <w:bCs/>
          <w:snapToGrid w:val="0"/>
          <w:color w:val="auto"/>
          <w:sz w:val="24"/>
        </w:rPr>
      </w:pPr>
      <w:r>
        <w:rPr>
          <w:rFonts w:hint="eastAsia" w:ascii="宋体" w:hAnsi="宋体" w:cs="宋体"/>
          <w:b/>
          <w:bCs/>
          <w:snapToGrid w:val="0"/>
          <w:color w:val="auto"/>
          <w:sz w:val="24"/>
        </w:rPr>
        <w:t>七、最高限价</w:t>
      </w:r>
    </w:p>
    <w:p w14:paraId="63C7BCFC">
      <w:pPr>
        <w:adjustRightInd w:val="0"/>
        <w:snapToGrid w:val="0"/>
        <w:spacing w:line="300" w:lineRule="auto"/>
        <w:ind w:firstLine="482" w:firstLineChars="200"/>
        <w:rPr>
          <w:rFonts w:hint="eastAsia" w:ascii="宋体" w:hAnsi="宋体" w:cs="宋体"/>
          <w:b/>
          <w:bCs/>
          <w:snapToGrid w:val="0"/>
          <w:color w:val="auto"/>
          <w:kern w:val="0"/>
          <w:sz w:val="24"/>
        </w:rPr>
      </w:pPr>
      <w:r>
        <w:rPr>
          <w:rFonts w:hint="eastAsia" w:ascii="宋体" w:hAnsi="宋体" w:cs="宋体"/>
          <w:b/>
          <w:bCs/>
          <w:snapToGrid w:val="0"/>
          <w:color w:val="auto"/>
          <w:sz w:val="24"/>
        </w:rPr>
        <w:t>本次采购最高限价为人民币壹佰肆拾万零陆仟伍佰元整（¥1406500.00），任何超过最高限价的报价将被认定为无效报价。</w:t>
      </w:r>
    </w:p>
    <w:bookmarkEnd w:id="5"/>
    <w:p w14:paraId="05DC3CBE">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3855C">
    <w:pPr>
      <w:pStyle w:val="6"/>
      <w:tabs>
        <w:tab w:val="right" w:pos="9548"/>
        <w:tab w:val="clear" w:pos="4153"/>
      </w:tabs>
      <w:ind w:right="360"/>
    </w:pP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22B1B">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6D9FD2"/>
    <w:multiLevelType w:val="multilevel"/>
    <w:tmpl w:val="B56D9FD2"/>
    <w:lvl w:ilvl="0" w:tentative="0">
      <w:start w:val="1"/>
      <w:numFmt w:val="decimal"/>
      <w:suff w:val="noth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C2F04DC0"/>
    <w:multiLevelType w:val="multilevel"/>
    <w:tmpl w:val="C2F04DC0"/>
    <w:lvl w:ilvl="0" w:tentative="0">
      <w:start w:val="1"/>
      <w:numFmt w:val="decimal"/>
      <w:suff w:val="noth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C753F257"/>
    <w:multiLevelType w:val="multilevel"/>
    <w:tmpl w:val="C753F257"/>
    <w:lvl w:ilvl="0" w:tentative="0">
      <w:start w:val="1"/>
      <w:numFmt w:val="decimal"/>
      <w:suff w:val="noth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D199B5B7"/>
    <w:multiLevelType w:val="multilevel"/>
    <w:tmpl w:val="D199B5B7"/>
    <w:lvl w:ilvl="0" w:tentative="0">
      <w:start w:val="1"/>
      <w:numFmt w:val="decimal"/>
      <w:suff w:val="noth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D2883AB5"/>
    <w:multiLevelType w:val="singleLevel"/>
    <w:tmpl w:val="D2883AB5"/>
    <w:lvl w:ilvl="0" w:tentative="0">
      <w:start w:val="1"/>
      <w:numFmt w:val="decimal"/>
      <w:suff w:val="nothing"/>
      <w:lvlText w:val="%1、"/>
      <w:lvlJc w:val="left"/>
    </w:lvl>
  </w:abstractNum>
  <w:abstractNum w:abstractNumId="5">
    <w:nsid w:val="F1C04167"/>
    <w:multiLevelType w:val="singleLevel"/>
    <w:tmpl w:val="F1C04167"/>
    <w:lvl w:ilvl="0" w:tentative="0">
      <w:start w:val="13"/>
      <w:numFmt w:val="decimal"/>
      <w:suff w:val="nothing"/>
      <w:lvlText w:val="%1、"/>
      <w:lvlJc w:val="left"/>
    </w:lvl>
  </w:abstractNum>
  <w:abstractNum w:abstractNumId="6">
    <w:nsid w:val="112F8A99"/>
    <w:multiLevelType w:val="multilevel"/>
    <w:tmpl w:val="112F8A99"/>
    <w:lvl w:ilvl="0" w:tentative="0">
      <w:start w:val="1"/>
      <w:numFmt w:val="decimal"/>
      <w:suff w:val="noth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320415"/>
    <w:multiLevelType w:val="multilevel"/>
    <w:tmpl w:val="18320415"/>
    <w:lvl w:ilvl="0" w:tentative="0">
      <w:start w:val="1"/>
      <w:numFmt w:val="decimal"/>
      <w:suff w:val="noth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F11501"/>
    <w:multiLevelType w:val="multilevel"/>
    <w:tmpl w:val="39F11501"/>
    <w:lvl w:ilvl="0" w:tentative="0">
      <w:start w:val="1"/>
      <w:numFmt w:val="decimal"/>
      <w:suff w:val="noth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8DCEC74"/>
    <w:multiLevelType w:val="multilevel"/>
    <w:tmpl w:val="58DCEC74"/>
    <w:lvl w:ilvl="0" w:tentative="0">
      <w:start w:val="1"/>
      <w:numFmt w:val="decimal"/>
      <w:suff w:val="noth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B4C5885"/>
    <w:multiLevelType w:val="multilevel"/>
    <w:tmpl w:val="7B4C5885"/>
    <w:lvl w:ilvl="0" w:tentative="0">
      <w:start w:val="1"/>
      <w:numFmt w:val="decimal"/>
      <w:suff w:val="noth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0"/>
  </w:num>
  <w:num w:numId="3">
    <w:abstractNumId w:val="3"/>
  </w:num>
  <w:num w:numId="4">
    <w:abstractNumId w:val="7"/>
  </w:num>
  <w:num w:numId="5">
    <w:abstractNumId w:val="10"/>
  </w:num>
  <w:num w:numId="6">
    <w:abstractNumId w:val="2"/>
  </w:num>
  <w:num w:numId="7">
    <w:abstractNumId w:val="9"/>
  </w:num>
  <w:num w:numId="8">
    <w:abstractNumId w:val="6"/>
  </w:num>
  <w:num w:numId="9">
    <w:abstractNumId w:val="1"/>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8E5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spacing w:line="312" w:lineRule="auto"/>
      <w:ind w:firstLine="420"/>
    </w:pPr>
  </w:style>
  <w:style w:type="paragraph" w:styleId="5">
    <w:name w:val="index 5"/>
    <w:basedOn w:val="1"/>
    <w:next w:val="1"/>
    <w:qFormat/>
    <w:uiPriority w:val="0"/>
    <w:pPr>
      <w:ind w:left="800" w:leftChars="8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小标题"/>
    <w:basedOn w:val="1"/>
    <w:qFormat/>
    <w:uiPriority w:val="0"/>
    <w:pPr>
      <w:spacing w:before="100" w:beforeLines="100" w:after="50" w:afterLines="50" w:line="300" w:lineRule="auto"/>
      <w:ind w:left="-177" w:leftChars="-177"/>
      <w:jc w:val="left"/>
      <w:outlineLvl w:val="1"/>
    </w:pPr>
    <w:rPr>
      <w:rFonts w:ascii="宋体" w:hAnsi="宋体"/>
      <w:b/>
      <w:snapToGrid w:val="0"/>
      <w:sz w:val="24"/>
    </w:rPr>
  </w:style>
  <w:style w:type="paragraph" w:customStyle="1" w:styleId="11">
    <w:name w:val="正文段"/>
    <w:basedOn w:val="1"/>
    <w:next w:val="5"/>
    <w:qFormat/>
    <w:uiPriority w:val="0"/>
    <w:pPr>
      <w:widowControl/>
      <w:snapToGrid w:val="0"/>
      <w:spacing w:after="156"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2025-06-25T08:42:33Z</dcterms:created>
  <dc:creator>方亚薇</dc:creator>
  <cp:lastModifiedBy>路飞</cp:lastModifiedBy>
  <dcterms:modified xsi:type="dcterms:W3CDTF">2025-06-25T08:42:56Z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eyJoZGlkIjoiZDk2MzAxNzMzNTM2YjJhYjA4OGE4ZWRlOTY0MzI3YmEiLCJ1c2VySWQiOiI3MTQxNzcxODMifQ==</vt:lpwstr>
  </property>
  <property fmtid="{D5CDD505-2E9C-101B-9397-08002B2CF9AE}" pid="4" name="ICV">
    <vt:lpwstr>0D7540EEDBCA4DD88D44E4670D46D0BC_12</vt:lpwstr>
  </property>
</Properties>
</file>