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7AF1D">
      <w:pPr>
        <w:adjustRightInd w:val="0"/>
        <w:spacing w:line="360" w:lineRule="auto"/>
        <w:jc w:val="center"/>
        <w:rPr>
          <w:rFonts w:hint="eastAsia" w:ascii="仿宋" w:hAnsi="仿宋" w:eastAsia="仿宋" w:cs="仿宋_GB2312"/>
          <w:b/>
          <w:color w:val="auto"/>
          <w:sz w:val="44"/>
          <w:szCs w:val="44"/>
          <w:highlight w:val="none"/>
          <w:lang w:eastAsia="zh-CN"/>
        </w:rPr>
      </w:pPr>
      <w:r>
        <w:rPr>
          <w:rFonts w:hint="eastAsia" w:ascii="仿宋" w:hAnsi="仿宋" w:eastAsia="仿宋" w:cs="仿宋_GB2312"/>
          <w:b/>
          <w:color w:val="auto"/>
          <w:sz w:val="44"/>
          <w:szCs w:val="44"/>
          <w:highlight w:val="none"/>
          <w:lang w:eastAsia="zh-CN"/>
        </w:rPr>
        <w:t>绍兴柯岩</w:t>
      </w:r>
      <w:bookmarkStart w:id="416" w:name="_GoBack"/>
      <w:r>
        <w:rPr>
          <w:rFonts w:hint="eastAsia" w:ascii="仿宋" w:hAnsi="仿宋" w:eastAsia="仿宋" w:cs="仿宋_GB2312"/>
          <w:b/>
          <w:color w:val="auto"/>
          <w:sz w:val="44"/>
          <w:szCs w:val="44"/>
          <w:highlight w:val="none"/>
          <w:lang w:eastAsia="zh-CN"/>
        </w:rPr>
        <w:t>建设投资有限公司2025年非公开公司债券遴选项目</w:t>
      </w:r>
    </w:p>
    <w:p w14:paraId="7A264EC3">
      <w:pPr>
        <w:outlineLvl w:val="0"/>
        <w:rPr>
          <w:color w:val="auto"/>
          <w:sz w:val="52"/>
          <w:szCs w:val="52"/>
          <w:highlight w:val="none"/>
        </w:rPr>
      </w:pPr>
    </w:p>
    <w:p w14:paraId="781556E4">
      <w:pPr>
        <w:snapToGrid w:val="0"/>
        <w:spacing w:line="360" w:lineRule="auto"/>
        <w:jc w:val="center"/>
        <w:rPr>
          <w:rFonts w:hint="eastAsia" w:ascii="仿宋" w:hAnsi="仿宋" w:eastAsia="宋体" w:cs="仿宋_GB2312"/>
          <w:color w:val="auto"/>
          <w:sz w:val="30"/>
          <w:szCs w:val="30"/>
          <w:highlight w:val="none"/>
          <w:lang w:val="en-US" w:eastAsia="zh-CN"/>
        </w:rPr>
      </w:pPr>
      <w:r>
        <w:rPr>
          <w:rFonts w:hint="eastAsia" w:ascii="仿宋" w:hAnsi="仿宋" w:eastAsia="仿宋" w:cs="仿宋_GB2312"/>
          <w:color w:val="auto"/>
          <w:sz w:val="30"/>
          <w:szCs w:val="30"/>
          <w:highlight w:val="none"/>
        </w:rPr>
        <w:t>项目编号:</w:t>
      </w:r>
      <w:r>
        <w:rPr>
          <w:rFonts w:hint="eastAsia"/>
          <w:color w:val="auto"/>
          <w:highlight w:val="none"/>
        </w:rPr>
        <w:t xml:space="preserve"> </w:t>
      </w:r>
      <w:r>
        <w:rPr>
          <w:rFonts w:hint="eastAsia" w:ascii="仿宋" w:hAnsi="仿宋" w:eastAsia="仿宋" w:cs="仿宋_GB2312"/>
          <w:color w:val="auto"/>
          <w:sz w:val="30"/>
          <w:szCs w:val="30"/>
          <w:highlight w:val="none"/>
          <w:lang w:eastAsia="zh-CN"/>
        </w:rPr>
        <w:t>绍柯企{2025}575号</w:t>
      </w:r>
    </w:p>
    <w:p w14:paraId="6763F4EF">
      <w:pPr>
        <w:pStyle w:val="19"/>
        <w:ind w:firstLine="480"/>
        <w:rPr>
          <w:rFonts w:ascii="Times New Roman" w:eastAsia="宋体"/>
          <w:color w:val="auto"/>
          <w:highlight w:val="none"/>
        </w:rPr>
      </w:pPr>
    </w:p>
    <w:p w14:paraId="471AC696">
      <w:pPr>
        <w:pStyle w:val="19"/>
        <w:ind w:firstLine="480"/>
        <w:rPr>
          <w:rFonts w:ascii="Times New Roman" w:eastAsia="宋体"/>
          <w:color w:val="auto"/>
          <w:highlight w:val="none"/>
        </w:rPr>
      </w:pPr>
    </w:p>
    <w:p w14:paraId="23DDBFD5">
      <w:pPr>
        <w:keepNext w:val="0"/>
        <w:keepLines w:val="0"/>
        <w:pageBreakBefore w:val="0"/>
        <w:widowControl w:val="0"/>
        <w:kinsoku/>
        <w:wordWrap/>
        <w:overflowPunct/>
        <w:topLinePunct w:val="0"/>
        <w:autoSpaceDE/>
        <w:autoSpaceDN/>
        <w:bidi w:val="0"/>
        <w:adjustRightInd w:val="0"/>
        <w:snapToGrid/>
        <w:spacing w:line="1100" w:lineRule="exact"/>
        <w:jc w:val="center"/>
        <w:textAlignment w:val="auto"/>
        <w:outlineLvl w:val="0"/>
        <w:rPr>
          <w:rFonts w:hint="eastAsia" w:ascii="仿宋" w:hAnsi="仿宋" w:eastAsia="仿宋" w:cs="Arial"/>
          <w:b/>
          <w:color w:val="auto"/>
          <w:sz w:val="56"/>
          <w:szCs w:val="56"/>
          <w:highlight w:val="none"/>
        </w:rPr>
      </w:pPr>
      <w:r>
        <w:rPr>
          <w:rFonts w:hint="eastAsia" w:ascii="仿宋" w:hAnsi="仿宋" w:eastAsia="仿宋" w:cs="Arial"/>
          <w:b/>
          <w:color w:val="auto"/>
          <w:sz w:val="56"/>
          <w:szCs w:val="56"/>
          <w:highlight w:val="none"/>
        </w:rPr>
        <w:t>遴</w:t>
      </w:r>
    </w:p>
    <w:p w14:paraId="68D87657">
      <w:pPr>
        <w:keepNext w:val="0"/>
        <w:keepLines w:val="0"/>
        <w:pageBreakBefore w:val="0"/>
        <w:widowControl w:val="0"/>
        <w:kinsoku/>
        <w:wordWrap/>
        <w:overflowPunct/>
        <w:topLinePunct w:val="0"/>
        <w:autoSpaceDE/>
        <w:autoSpaceDN/>
        <w:bidi w:val="0"/>
        <w:adjustRightInd w:val="0"/>
        <w:snapToGrid/>
        <w:spacing w:line="1100" w:lineRule="exact"/>
        <w:jc w:val="center"/>
        <w:textAlignment w:val="auto"/>
        <w:outlineLvl w:val="0"/>
        <w:rPr>
          <w:rFonts w:hint="eastAsia" w:ascii="仿宋" w:hAnsi="仿宋" w:eastAsia="仿宋" w:cs="Arial"/>
          <w:b/>
          <w:color w:val="auto"/>
          <w:sz w:val="56"/>
          <w:szCs w:val="56"/>
          <w:highlight w:val="none"/>
        </w:rPr>
      </w:pPr>
      <w:r>
        <w:rPr>
          <w:rFonts w:hint="eastAsia" w:ascii="仿宋" w:hAnsi="仿宋" w:eastAsia="仿宋" w:cs="Arial"/>
          <w:b/>
          <w:color w:val="auto"/>
          <w:sz w:val="56"/>
          <w:szCs w:val="56"/>
          <w:highlight w:val="none"/>
        </w:rPr>
        <w:t>选</w:t>
      </w:r>
    </w:p>
    <w:p w14:paraId="24A12504">
      <w:pPr>
        <w:keepNext w:val="0"/>
        <w:keepLines w:val="0"/>
        <w:pageBreakBefore w:val="0"/>
        <w:widowControl w:val="0"/>
        <w:kinsoku/>
        <w:wordWrap/>
        <w:overflowPunct/>
        <w:topLinePunct w:val="0"/>
        <w:autoSpaceDE/>
        <w:autoSpaceDN/>
        <w:bidi w:val="0"/>
        <w:adjustRightInd w:val="0"/>
        <w:snapToGrid/>
        <w:spacing w:line="1100" w:lineRule="exact"/>
        <w:jc w:val="center"/>
        <w:textAlignment w:val="auto"/>
        <w:outlineLvl w:val="0"/>
        <w:rPr>
          <w:rFonts w:hint="eastAsia" w:ascii="仿宋" w:hAnsi="仿宋" w:eastAsia="仿宋" w:cs="Arial"/>
          <w:b/>
          <w:color w:val="auto"/>
          <w:sz w:val="56"/>
          <w:szCs w:val="56"/>
          <w:highlight w:val="none"/>
        </w:rPr>
      </w:pPr>
      <w:r>
        <w:rPr>
          <w:rFonts w:hint="eastAsia" w:ascii="仿宋" w:hAnsi="仿宋" w:eastAsia="仿宋" w:cs="Arial"/>
          <w:b/>
          <w:color w:val="auto"/>
          <w:sz w:val="56"/>
          <w:szCs w:val="56"/>
          <w:highlight w:val="none"/>
        </w:rPr>
        <w:t>文</w:t>
      </w:r>
    </w:p>
    <w:p w14:paraId="3949F75B">
      <w:pPr>
        <w:keepNext w:val="0"/>
        <w:keepLines w:val="0"/>
        <w:pageBreakBefore w:val="0"/>
        <w:widowControl w:val="0"/>
        <w:kinsoku/>
        <w:wordWrap/>
        <w:overflowPunct/>
        <w:topLinePunct w:val="0"/>
        <w:autoSpaceDE/>
        <w:autoSpaceDN/>
        <w:bidi w:val="0"/>
        <w:adjustRightInd w:val="0"/>
        <w:snapToGrid/>
        <w:spacing w:line="1100" w:lineRule="exact"/>
        <w:jc w:val="center"/>
        <w:textAlignment w:val="auto"/>
        <w:outlineLvl w:val="0"/>
        <w:rPr>
          <w:rFonts w:hint="eastAsia" w:ascii="仿宋" w:hAnsi="仿宋" w:eastAsia="仿宋" w:cs="Arial"/>
          <w:b/>
          <w:color w:val="auto"/>
          <w:sz w:val="56"/>
          <w:szCs w:val="56"/>
          <w:highlight w:val="none"/>
        </w:rPr>
      </w:pPr>
      <w:r>
        <w:rPr>
          <w:rFonts w:hint="eastAsia" w:ascii="仿宋" w:hAnsi="仿宋" w:eastAsia="仿宋" w:cs="Arial"/>
          <w:b/>
          <w:color w:val="auto"/>
          <w:sz w:val="56"/>
          <w:szCs w:val="56"/>
          <w:highlight w:val="none"/>
        </w:rPr>
        <w:t>件</w:t>
      </w:r>
    </w:p>
    <w:p w14:paraId="07FEB83F">
      <w:pPr>
        <w:pStyle w:val="19"/>
        <w:ind w:firstLine="562"/>
        <w:rPr>
          <w:rFonts w:ascii="Times New Roman"/>
          <w:b/>
          <w:color w:val="auto"/>
          <w:sz w:val="28"/>
          <w:szCs w:val="28"/>
          <w:highlight w:val="none"/>
        </w:rPr>
      </w:pPr>
    </w:p>
    <w:p w14:paraId="2A8C7523">
      <w:pPr>
        <w:pStyle w:val="19"/>
        <w:ind w:firstLine="562"/>
        <w:rPr>
          <w:rFonts w:ascii="Times New Roman"/>
          <w:b/>
          <w:color w:val="auto"/>
          <w:sz w:val="28"/>
          <w:szCs w:val="28"/>
          <w:highlight w:val="none"/>
        </w:rPr>
      </w:pPr>
    </w:p>
    <w:p w14:paraId="6E86DD64">
      <w:pPr>
        <w:pStyle w:val="19"/>
        <w:ind w:firstLine="0" w:firstLineChars="0"/>
        <w:rPr>
          <w:rFonts w:ascii="Times New Roman"/>
          <w:color w:val="auto"/>
          <w:highlight w:val="none"/>
        </w:rPr>
      </w:pPr>
    </w:p>
    <w:tbl>
      <w:tblPr>
        <w:tblStyle w:val="20"/>
        <w:tblW w:w="0" w:type="auto"/>
        <w:jc w:val="center"/>
        <w:tblLayout w:type="fixed"/>
        <w:tblCellMar>
          <w:top w:w="0" w:type="dxa"/>
          <w:left w:w="108" w:type="dxa"/>
          <w:bottom w:w="0" w:type="dxa"/>
          <w:right w:w="108" w:type="dxa"/>
        </w:tblCellMar>
      </w:tblPr>
      <w:tblGrid>
        <w:gridCol w:w="2427"/>
        <w:gridCol w:w="6181"/>
      </w:tblGrid>
      <w:tr w14:paraId="18FC09A9">
        <w:tblPrEx>
          <w:tblCellMar>
            <w:top w:w="0" w:type="dxa"/>
            <w:left w:w="108" w:type="dxa"/>
            <w:bottom w:w="0" w:type="dxa"/>
            <w:right w:w="108" w:type="dxa"/>
          </w:tblCellMar>
        </w:tblPrEx>
        <w:trPr>
          <w:trHeight w:val="680" w:hRule="atLeast"/>
          <w:jc w:val="center"/>
        </w:trPr>
        <w:tc>
          <w:tcPr>
            <w:tcW w:w="2427" w:type="dxa"/>
          </w:tcPr>
          <w:p w14:paraId="06C9CAFF">
            <w:pPr>
              <w:spacing w:line="288" w:lineRule="auto"/>
              <w:outlineLvl w:val="0"/>
              <w:rPr>
                <w:rFonts w:hint="eastAsia" w:ascii="仿宋" w:hAnsi="仿宋" w:eastAsia="仿宋" w:cs="仿宋_GB2312"/>
                <w:color w:val="auto"/>
                <w:sz w:val="32"/>
                <w:szCs w:val="32"/>
                <w:highlight w:val="none"/>
                <w:lang w:val="zh-CN" w:eastAsia="zh-CN"/>
              </w:rPr>
            </w:pPr>
            <w:r>
              <w:rPr>
                <w:rFonts w:hint="eastAsia" w:ascii="仿宋" w:hAnsi="仿宋" w:eastAsia="仿宋" w:cs="仿宋_GB2312"/>
                <w:color w:val="auto"/>
                <w:sz w:val="32"/>
                <w:szCs w:val="32"/>
                <w:highlight w:val="none"/>
                <w:lang w:val="zh-CN" w:eastAsia="zh-CN"/>
              </w:rPr>
              <w:t>遴选人：</w:t>
            </w:r>
          </w:p>
        </w:tc>
        <w:tc>
          <w:tcPr>
            <w:tcW w:w="6181" w:type="dxa"/>
            <w:vAlign w:val="center"/>
          </w:tcPr>
          <w:p w14:paraId="12EB6C8D">
            <w:pPr>
              <w:spacing w:line="288" w:lineRule="auto"/>
              <w:outlineLvl w:val="0"/>
              <w:rPr>
                <w:rFonts w:hint="eastAsia" w:ascii="仿宋" w:hAnsi="仿宋" w:eastAsia="仿宋" w:cs="仿宋_GB2312"/>
                <w:color w:val="auto"/>
                <w:sz w:val="32"/>
                <w:szCs w:val="32"/>
                <w:highlight w:val="none"/>
                <w:lang w:val="zh-CN" w:eastAsia="zh-CN"/>
              </w:rPr>
            </w:pPr>
            <w:r>
              <w:rPr>
                <w:rFonts w:hint="eastAsia" w:ascii="仿宋" w:hAnsi="仿宋" w:eastAsia="仿宋" w:cs="仿宋_GB2312"/>
                <w:color w:val="auto"/>
                <w:sz w:val="32"/>
                <w:szCs w:val="32"/>
                <w:highlight w:val="none"/>
                <w:lang w:val="zh-CN" w:eastAsia="zh-CN"/>
              </w:rPr>
              <w:t>绍兴柯岩建设投资有限公司</w:t>
            </w:r>
          </w:p>
        </w:tc>
      </w:tr>
      <w:tr w14:paraId="581982E2">
        <w:tblPrEx>
          <w:tblCellMar>
            <w:top w:w="0" w:type="dxa"/>
            <w:left w:w="108" w:type="dxa"/>
            <w:bottom w:w="0" w:type="dxa"/>
            <w:right w:w="108" w:type="dxa"/>
          </w:tblCellMar>
        </w:tblPrEx>
        <w:trPr>
          <w:trHeight w:val="680" w:hRule="atLeast"/>
          <w:jc w:val="center"/>
        </w:trPr>
        <w:tc>
          <w:tcPr>
            <w:tcW w:w="2427" w:type="dxa"/>
          </w:tcPr>
          <w:p w14:paraId="03E41285">
            <w:pPr>
              <w:spacing w:line="288" w:lineRule="auto"/>
              <w:outlineLvl w:val="0"/>
              <w:rPr>
                <w:rFonts w:hint="eastAsia" w:ascii="仿宋" w:hAnsi="仿宋" w:eastAsia="仿宋" w:cs="仿宋_GB2312"/>
                <w:color w:val="auto"/>
                <w:sz w:val="32"/>
                <w:szCs w:val="32"/>
                <w:highlight w:val="none"/>
                <w:lang w:val="zh-CN" w:eastAsia="zh-CN"/>
              </w:rPr>
            </w:pPr>
            <w:r>
              <w:rPr>
                <w:rFonts w:hint="eastAsia" w:ascii="仿宋" w:hAnsi="仿宋" w:eastAsia="仿宋" w:cs="仿宋_GB2312"/>
                <w:color w:val="auto"/>
                <w:sz w:val="32"/>
                <w:szCs w:val="32"/>
                <w:highlight w:val="none"/>
                <w:lang w:val="zh-CN" w:eastAsia="zh-CN"/>
              </w:rPr>
              <w:t>遴选代理单位：</w:t>
            </w:r>
          </w:p>
        </w:tc>
        <w:tc>
          <w:tcPr>
            <w:tcW w:w="6181" w:type="dxa"/>
          </w:tcPr>
          <w:p w14:paraId="2E1F9A2D">
            <w:pPr>
              <w:spacing w:line="288" w:lineRule="auto"/>
              <w:outlineLvl w:val="0"/>
              <w:rPr>
                <w:rFonts w:hint="eastAsia" w:ascii="仿宋" w:hAnsi="仿宋" w:eastAsia="仿宋" w:cs="仿宋_GB2312"/>
                <w:color w:val="auto"/>
                <w:sz w:val="32"/>
                <w:szCs w:val="32"/>
                <w:highlight w:val="none"/>
                <w:lang w:val="zh-CN" w:eastAsia="zh-CN"/>
              </w:rPr>
            </w:pPr>
            <w:r>
              <w:rPr>
                <w:rFonts w:hint="eastAsia" w:ascii="仿宋" w:hAnsi="仿宋" w:eastAsia="仿宋" w:cs="仿宋_GB2312"/>
                <w:color w:val="auto"/>
                <w:sz w:val="32"/>
                <w:szCs w:val="32"/>
                <w:highlight w:val="none"/>
                <w:lang w:val="zh-CN" w:eastAsia="zh-CN"/>
              </w:rPr>
              <w:t>绍兴市诚信工程造价咨询事务所有限公司</w:t>
            </w:r>
          </w:p>
        </w:tc>
      </w:tr>
      <w:tr w14:paraId="2A63CFC8">
        <w:tblPrEx>
          <w:tblCellMar>
            <w:top w:w="0" w:type="dxa"/>
            <w:left w:w="108" w:type="dxa"/>
            <w:bottom w:w="0" w:type="dxa"/>
            <w:right w:w="108" w:type="dxa"/>
          </w:tblCellMar>
        </w:tblPrEx>
        <w:trPr>
          <w:trHeight w:val="680" w:hRule="atLeast"/>
          <w:jc w:val="center"/>
        </w:trPr>
        <w:tc>
          <w:tcPr>
            <w:tcW w:w="8608" w:type="dxa"/>
            <w:gridSpan w:val="2"/>
          </w:tcPr>
          <w:p w14:paraId="7ECF7F8F">
            <w:pPr>
              <w:spacing w:line="288" w:lineRule="auto"/>
              <w:jc w:val="center"/>
              <w:outlineLvl w:val="0"/>
              <w:rPr>
                <w:rFonts w:ascii="Times New Roman"/>
                <w:color w:val="auto"/>
                <w:highlight w:val="none"/>
              </w:rPr>
            </w:pPr>
            <w:r>
              <w:rPr>
                <w:color w:val="auto"/>
                <w:sz w:val="28"/>
                <w:szCs w:val="28"/>
                <w:highlight w:val="none"/>
              </w:rPr>
              <w:t>二</w:t>
            </w:r>
            <w:r>
              <w:rPr>
                <w:rFonts w:hint="eastAsia"/>
                <w:color w:val="auto"/>
                <w:sz w:val="28"/>
                <w:szCs w:val="28"/>
                <w:highlight w:val="none"/>
                <w:lang w:eastAsia="zh-CN"/>
              </w:rPr>
              <w:t>〇</w:t>
            </w:r>
            <w:r>
              <w:rPr>
                <w:color w:val="auto"/>
                <w:sz w:val="28"/>
                <w:szCs w:val="28"/>
                <w:highlight w:val="none"/>
              </w:rPr>
              <w:t>二</w:t>
            </w:r>
            <w:r>
              <w:rPr>
                <w:rFonts w:hint="eastAsia"/>
                <w:color w:val="auto"/>
                <w:sz w:val="28"/>
                <w:szCs w:val="28"/>
                <w:highlight w:val="none"/>
                <w:lang w:eastAsia="zh-CN"/>
              </w:rPr>
              <w:t>五</w:t>
            </w:r>
            <w:r>
              <w:rPr>
                <w:color w:val="auto"/>
                <w:sz w:val="28"/>
                <w:szCs w:val="28"/>
                <w:highlight w:val="none"/>
              </w:rPr>
              <w:t>年</w:t>
            </w:r>
            <w:r>
              <w:rPr>
                <w:rFonts w:hint="eastAsia"/>
                <w:color w:val="auto"/>
                <w:sz w:val="28"/>
                <w:szCs w:val="28"/>
                <w:highlight w:val="none"/>
                <w:lang w:val="en-US" w:eastAsia="zh-CN"/>
              </w:rPr>
              <w:t>六</w:t>
            </w:r>
            <w:r>
              <w:rPr>
                <w:color w:val="auto"/>
                <w:sz w:val="28"/>
                <w:szCs w:val="28"/>
                <w:highlight w:val="none"/>
              </w:rPr>
              <w:t>月</w:t>
            </w:r>
          </w:p>
        </w:tc>
      </w:tr>
    </w:tbl>
    <w:p w14:paraId="0BA5D939">
      <w:pPr>
        <w:adjustRightInd w:val="0"/>
        <w:spacing w:line="360" w:lineRule="auto"/>
        <w:jc w:val="center"/>
        <w:rPr>
          <w:b/>
          <w:color w:val="auto"/>
          <w:sz w:val="44"/>
          <w:szCs w:val="44"/>
          <w:highlight w:val="none"/>
        </w:rPr>
      </w:pPr>
      <w:r>
        <w:rPr>
          <w:b/>
          <w:color w:val="auto"/>
          <w:sz w:val="44"/>
          <w:szCs w:val="44"/>
          <w:highlight w:val="none"/>
        </w:rPr>
        <w:br w:type="page"/>
      </w:r>
      <w:r>
        <w:rPr>
          <w:rFonts w:hint="eastAsia" w:ascii="仿宋" w:hAnsi="仿宋" w:eastAsia="仿宋" w:cs="仿宋_GB2312"/>
          <w:b/>
          <w:color w:val="auto"/>
          <w:sz w:val="48"/>
          <w:szCs w:val="48"/>
          <w:highlight w:val="none"/>
        </w:rPr>
        <w:t>目</w:t>
      </w:r>
      <w:r>
        <w:rPr>
          <w:rFonts w:hint="eastAsia" w:ascii="仿宋" w:hAnsi="仿宋" w:eastAsia="仿宋" w:cs="仿宋_GB2312"/>
          <w:b/>
          <w:color w:val="auto"/>
          <w:sz w:val="48"/>
          <w:szCs w:val="48"/>
          <w:highlight w:val="none"/>
          <w:lang w:val="en-US" w:eastAsia="zh-CN"/>
        </w:rPr>
        <w:t xml:space="preserve">  </w:t>
      </w:r>
      <w:r>
        <w:rPr>
          <w:rFonts w:hint="eastAsia" w:ascii="仿宋" w:hAnsi="仿宋" w:eastAsia="仿宋" w:cs="仿宋_GB2312"/>
          <w:b/>
          <w:color w:val="auto"/>
          <w:sz w:val="48"/>
          <w:szCs w:val="48"/>
          <w:highlight w:val="none"/>
        </w:rPr>
        <w:t>录</w:t>
      </w:r>
    </w:p>
    <w:p w14:paraId="42DD8F3D">
      <w:pPr>
        <w:jc w:val="center"/>
        <w:rPr>
          <w:b/>
          <w:color w:val="auto"/>
          <w:sz w:val="44"/>
          <w:szCs w:val="44"/>
          <w:highlight w:val="none"/>
        </w:rPr>
      </w:pPr>
    </w:p>
    <w:p w14:paraId="563B562D">
      <w:pPr>
        <w:jc w:val="center"/>
        <w:rPr>
          <w:color w:val="auto"/>
          <w:highlight w:val="none"/>
        </w:rPr>
      </w:pPr>
    </w:p>
    <w:p w14:paraId="0CC3F6A8">
      <w:pPr>
        <w:adjustRightInd w:val="0"/>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遴选公告</w:t>
      </w:r>
    </w:p>
    <w:p w14:paraId="66C3472E">
      <w:pPr>
        <w:adjustRightInd w:val="0"/>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遴选响应须知</w:t>
      </w:r>
    </w:p>
    <w:p w14:paraId="0231004F">
      <w:pPr>
        <w:adjustRightInd w:val="0"/>
        <w:spacing w:line="360" w:lineRule="auto"/>
        <w:ind w:firstLine="1280" w:firstLineChars="4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第三部分    遴选</w:t>
      </w:r>
      <w:r>
        <w:rPr>
          <w:rFonts w:hint="eastAsia" w:ascii="仿宋" w:hAnsi="仿宋" w:eastAsia="仿宋" w:cs="仿宋_GB2312"/>
          <w:color w:val="auto"/>
          <w:sz w:val="32"/>
          <w:szCs w:val="32"/>
          <w:highlight w:val="none"/>
          <w:lang w:eastAsia="zh-CN"/>
        </w:rPr>
        <w:t>需求</w:t>
      </w:r>
    </w:p>
    <w:p w14:paraId="47F0BD30">
      <w:pPr>
        <w:adjustRightInd w:val="0"/>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14:paraId="48A23B2E">
      <w:pPr>
        <w:adjustRightInd w:val="0"/>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合同的主要条款</w:t>
      </w:r>
    </w:p>
    <w:p w14:paraId="6D0F6474">
      <w:pPr>
        <w:adjustRightInd w:val="0"/>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申报文件及其附件格式</w:t>
      </w:r>
    </w:p>
    <w:p w14:paraId="488E553A">
      <w:pPr>
        <w:snapToGrid w:val="0"/>
        <w:spacing w:line="480" w:lineRule="auto"/>
        <w:ind w:firstLine="1807" w:firstLineChars="500"/>
        <w:jc w:val="left"/>
        <w:rPr>
          <w:b/>
          <w:color w:val="auto"/>
          <w:sz w:val="36"/>
          <w:szCs w:val="36"/>
          <w:highlight w:val="none"/>
        </w:rPr>
      </w:pPr>
    </w:p>
    <w:p w14:paraId="2BD56B76">
      <w:pPr>
        <w:snapToGrid w:val="0"/>
        <w:spacing w:line="480" w:lineRule="auto"/>
        <w:ind w:firstLine="1807" w:firstLineChars="500"/>
        <w:jc w:val="left"/>
        <w:rPr>
          <w:b/>
          <w:color w:val="auto"/>
          <w:sz w:val="36"/>
          <w:szCs w:val="36"/>
          <w:highlight w:val="none"/>
        </w:rPr>
      </w:pPr>
    </w:p>
    <w:p w14:paraId="4100506C">
      <w:pPr>
        <w:snapToGrid w:val="0"/>
        <w:spacing w:line="480" w:lineRule="auto"/>
        <w:jc w:val="left"/>
        <w:rPr>
          <w:b/>
          <w:color w:val="auto"/>
          <w:sz w:val="36"/>
          <w:szCs w:val="36"/>
          <w:highlight w:val="none"/>
        </w:rPr>
      </w:pPr>
    </w:p>
    <w:p w14:paraId="14C86F77">
      <w:pPr>
        <w:snapToGrid w:val="0"/>
        <w:spacing w:line="480" w:lineRule="auto"/>
        <w:jc w:val="left"/>
        <w:rPr>
          <w:b/>
          <w:color w:val="auto"/>
          <w:sz w:val="36"/>
          <w:szCs w:val="36"/>
          <w:highlight w:val="none"/>
        </w:rPr>
      </w:pPr>
    </w:p>
    <w:p w14:paraId="6488F3F9">
      <w:pPr>
        <w:snapToGrid w:val="0"/>
        <w:spacing w:line="600" w:lineRule="exact"/>
        <w:rPr>
          <w:b/>
          <w:color w:val="auto"/>
          <w:szCs w:val="21"/>
          <w:highlight w:val="none"/>
        </w:rPr>
      </w:pPr>
    </w:p>
    <w:p w14:paraId="2F5D7BBF">
      <w:pPr>
        <w:snapToGrid w:val="0"/>
        <w:spacing w:line="380" w:lineRule="exact"/>
        <w:jc w:val="center"/>
        <w:rPr>
          <w:b/>
          <w:color w:val="auto"/>
          <w:sz w:val="36"/>
          <w:szCs w:val="36"/>
          <w:highlight w:val="none"/>
        </w:rPr>
      </w:pPr>
    </w:p>
    <w:p w14:paraId="54014F00">
      <w:pPr>
        <w:snapToGrid w:val="0"/>
        <w:spacing w:line="380" w:lineRule="exact"/>
        <w:jc w:val="center"/>
        <w:rPr>
          <w:b/>
          <w:color w:val="auto"/>
          <w:sz w:val="36"/>
          <w:szCs w:val="36"/>
          <w:highlight w:val="none"/>
        </w:rPr>
      </w:pPr>
    </w:p>
    <w:p w14:paraId="4D408196">
      <w:pPr>
        <w:snapToGrid w:val="0"/>
        <w:spacing w:line="380" w:lineRule="exact"/>
        <w:jc w:val="center"/>
        <w:rPr>
          <w:b/>
          <w:color w:val="auto"/>
          <w:sz w:val="36"/>
          <w:szCs w:val="36"/>
          <w:highlight w:val="none"/>
        </w:rPr>
      </w:pPr>
    </w:p>
    <w:p w14:paraId="363CA260">
      <w:pPr>
        <w:snapToGrid w:val="0"/>
        <w:spacing w:line="380" w:lineRule="exact"/>
        <w:jc w:val="center"/>
        <w:rPr>
          <w:b/>
          <w:color w:val="auto"/>
          <w:sz w:val="36"/>
          <w:szCs w:val="36"/>
          <w:highlight w:val="none"/>
        </w:rPr>
      </w:pPr>
      <w:r>
        <w:rPr>
          <w:b/>
          <w:color w:val="auto"/>
          <w:sz w:val="36"/>
          <w:szCs w:val="36"/>
          <w:highlight w:val="none"/>
        </w:rPr>
        <w:br w:type="page"/>
      </w:r>
      <w:r>
        <w:rPr>
          <w:b/>
          <w:color w:val="auto"/>
          <w:sz w:val="36"/>
          <w:szCs w:val="36"/>
          <w:highlight w:val="none"/>
        </w:rPr>
        <w:t>第一部分 遴选公告</w:t>
      </w:r>
    </w:p>
    <w:p w14:paraId="32984922">
      <w:pPr>
        <w:pStyle w:val="29"/>
        <w:spacing w:after="0" w:afterLines="0" w:line="380" w:lineRule="exact"/>
        <w:ind w:firstLine="0" w:firstLineChars="0"/>
        <w:rPr>
          <w:color w:val="auto"/>
          <w:szCs w:val="24"/>
          <w:highlight w:val="none"/>
          <w:u w:val="single"/>
        </w:rPr>
      </w:pPr>
    </w:p>
    <w:p w14:paraId="7BFB8C2C">
      <w:pPr>
        <w:pBdr>
          <w:top w:val="single" w:color="auto" w:sz="4" w:space="1"/>
          <w:left w:val="single" w:color="auto" w:sz="4" w:space="4"/>
          <w:bottom w:val="single" w:color="auto" w:sz="4" w:space="1"/>
          <w:right w:val="single" w:color="auto" w:sz="4" w:space="4"/>
        </w:pBdr>
        <w:ind w:left="840"/>
        <w:rPr>
          <w:rFonts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51111610">
      <w:pPr>
        <w:pBdr>
          <w:top w:val="single" w:color="auto" w:sz="4" w:space="1"/>
          <w:left w:val="single" w:color="auto" w:sz="4" w:space="4"/>
          <w:bottom w:val="single" w:color="auto" w:sz="4" w:space="1"/>
          <w:right w:val="single" w:color="auto" w:sz="4" w:space="4"/>
        </w:pBdr>
        <w:ind w:left="840"/>
        <w:rPr>
          <w:rFonts w:ascii="仿宋" w:hAnsi="仿宋" w:eastAsia="仿宋"/>
          <w:color w:val="auto"/>
          <w:sz w:val="24"/>
          <w:szCs w:val="28"/>
          <w:highlight w:val="none"/>
        </w:rPr>
      </w:pPr>
      <w:r>
        <w:rPr>
          <w:rFonts w:hint="eastAsia" w:ascii="仿宋" w:hAnsi="仿宋" w:eastAsia="仿宋"/>
          <w:color w:val="auto"/>
          <w:sz w:val="24"/>
          <w:szCs w:val="28"/>
          <w:highlight w:val="none"/>
          <w:u w:val="single"/>
        </w:rPr>
        <w:t>绍兴柯岩建设投资有限公司2025年非公开公司债券遴选项目</w:t>
      </w:r>
      <w:r>
        <w:rPr>
          <w:rFonts w:hint="eastAsia" w:ascii="仿宋" w:hAnsi="仿宋" w:eastAsia="仿宋"/>
          <w:color w:val="auto"/>
          <w:sz w:val="24"/>
          <w:szCs w:val="28"/>
          <w:highlight w:val="none"/>
        </w:rPr>
        <w:t>招标项目的潜在</w:t>
      </w:r>
      <w:r>
        <w:rPr>
          <w:rFonts w:hint="eastAsia" w:ascii="仿宋" w:hAnsi="仿宋" w:eastAsia="仿宋"/>
          <w:color w:val="auto"/>
          <w:sz w:val="24"/>
          <w:szCs w:val="28"/>
          <w:highlight w:val="none"/>
          <w:lang w:eastAsia="zh-CN"/>
        </w:rPr>
        <w:t>遴选响应人</w:t>
      </w:r>
      <w:r>
        <w:rPr>
          <w:rFonts w:hint="eastAsia" w:ascii="仿宋" w:hAnsi="仿宋" w:eastAsia="仿宋"/>
          <w:color w:val="auto"/>
          <w:sz w:val="24"/>
          <w:szCs w:val="28"/>
          <w:highlight w:val="none"/>
        </w:rPr>
        <w:t>应在</w:t>
      </w:r>
      <w:r>
        <w:rPr>
          <w:rFonts w:hint="eastAsia" w:ascii="仿宋" w:hAnsi="仿宋" w:eastAsia="仿宋"/>
          <w:color w:val="auto"/>
          <w:sz w:val="24"/>
          <w:szCs w:val="28"/>
          <w:highlight w:val="none"/>
          <w:u w:val="single"/>
          <w:lang w:val="en-US" w:eastAsia="zh-CN"/>
        </w:rPr>
        <w:t>乐</w:t>
      </w:r>
      <w:r>
        <w:rPr>
          <w:rFonts w:hint="eastAsia" w:ascii="仿宋" w:hAnsi="仿宋" w:eastAsia="仿宋"/>
          <w:color w:val="auto"/>
          <w:sz w:val="24"/>
          <w:szCs w:val="28"/>
          <w:highlight w:val="none"/>
          <w:u w:val="single"/>
        </w:rPr>
        <w:t>采云系统在线</w:t>
      </w:r>
      <w:r>
        <w:rPr>
          <w:rFonts w:hint="eastAsia" w:ascii="仿宋" w:hAnsi="仿宋" w:eastAsia="仿宋"/>
          <w:color w:val="auto"/>
          <w:sz w:val="24"/>
          <w:szCs w:val="28"/>
          <w:highlight w:val="none"/>
        </w:rPr>
        <w:t>获取</w:t>
      </w:r>
      <w:r>
        <w:rPr>
          <w:rFonts w:hint="eastAsia" w:ascii="仿宋" w:hAnsi="仿宋" w:eastAsia="仿宋"/>
          <w:color w:val="auto"/>
          <w:sz w:val="24"/>
          <w:szCs w:val="28"/>
          <w:highlight w:val="none"/>
          <w:lang w:eastAsia="zh-CN"/>
        </w:rPr>
        <w:t>遴选文件</w:t>
      </w:r>
      <w:r>
        <w:rPr>
          <w:rFonts w:hint="eastAsia" w:ascii="仿宋" w:hAnsi="仿宋" w:eastAsia="仿宋"/>
          <w:color w:val="auto"/>
          <w:sz w:val="24"/>
          <w:szCs w:val="28"/>
          <w:highlight w:val="none"/>
        </w:rPr>
        <w:t>，并于</w:t>
      </w:r>
      <w:r>
        <w:rPr>
          <w:rFonts w:ascii="仿宋" w:hAnsi="仿宋" w:eastAsia="仿宋"/>
          <w:color w:val="auto"/>
          <w:sz w:val="24"/>
          <w:szCs w:val="28"/>
          <w:highlight w:val="none"/>
          <w:u w:val="single"/>
        </w:rPr>
        <w:t>202</w:t>
      </w:r>
      <w:r>
        <w:rPr>
          <w:rFonts w:hint="eastAsia" w:ascii="仿宋" w:hAnsi="仿宋" w:eastAsia="仿宋"/>
          <w:color w:val="auto"/>
          <w:sz w:val="24"/>
          <w:szCs w:val="28"/>
          <w:highlight w:val="none"/>
          <w:u w:val="single"/>
          <w:lang w:val="en-US" w:eastAsia="zh-CN"/>
        </w:rPr>
        <w:t>5</w:t>
      </w:r>
      <w:r>
        <w:rPr>
          <w:rFonts w:hint="eastAsia" w:ascii="仿宋" w:hAnsi="仿宋" w:eastAsia="仿宋"/>
          <w:bCs/>
          <w:color w:val="auto"/>
          <w:sz w:val="24"/>
          <w:szCs w:val="28"/>
          <w:highlight w:val="none"/>
          <w:u w:val="single"/>
        </w:rPr>
        <w:t>年</w:t>
      </w:r>
      <w:r>
        <w:rPr>
          <w:rFonts w:hint="eastAsia" w:ascii="仿宋" w:hAnsi="仿宋" w:eastAsia="仿宋"/>
          <w:bCs/>
          <w:color w:val="auto"/>
          <w:sz w:val="24"/>
          <w:szCs w:val="28"/>
          <w:highlight w:val="none"/>
          <w:u w:val="single"/>
          <w:lang w:val="en-US" w:eastAsia="zh-CN"/>
        </w:rPr>
        <w:t>6</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26</w:t>
      </w:r>
      <w:r>
        <w:rPr>
          <w:rFonts w:hint="eastAsia" w:ascii="仿宋" w:hAnsi="仿宋" w:eastAsia="仿宋"/>
          <w:bCs/>
          <w:color w:val="auto"/>
          <w:sz w:val="24"/>
          <w:szCs w:val="28"/>
          <w:highlight w:val="none"/>
          <w:u w:val="single"/>
        </w:rPr>
        <w:t>日</w:t>
      </w:r>
      <w:r>
        <w:rPr>
          <w:rFonts w:hint="eastAsia" w:ascii="仿宋" w:hAnsi="仿宋" w:eastAsia="仿宋"/>
          <w:bCs/>
          <w:color w:val="auto"/>
          <w:sz w:val="24"/>
          <w:szCs w:val="28"/>
          <w:highlight w:val="none"/>
          <w:u w:val="single"/>
          <w:lang w:val="en-US" w:eastAsia="zh-CN"/>
        </w:rPr>
        <w:t>9</w:t>
      </w:r>
      <w:r>
        <w:rPr>
          <w:rFonts w:hint="eastAsia" w:ascii="仿宋" w:hAnsi="仿宋" w:eastAsia="仿宋"/>
          <w:bCs/>
          <w:color w:val="auto"/>
          <w:sz w:val="24"/>
          <w:szCs w:val="28"/>
          <w:highlight w:val="none"/>
          <w:u w:val="single"/>
        </w:rPr>
        <w:t>点</w:t>
      </w:r>
      <w:r>
        <w:rPr>
          <w:rFonts w:hint="eastAsia" w:ascii="仿宋" w:hAnsi="仿宋" w:eastAsia="仿宋"/>
          <w:bCs/>
          <w:color w:val="auto"/>
          <w:sz w:val="24"/>
          <w:szCs w:val="28"/>
          <w:highlight w:val="none"/>
          <w:u w:val="single"/>
          <w:lang w:val="en-US" w:eastAsia="zh-CN"/>
        </w:rPr>
        <w:t>30</w:t>
      </w:r>
      <w:r>
        <w:rPr>
          <w:rFonts w:hint="eastAsia" w:ascii="仿宋" w:hAnsi="仿宋" w:eastAsia="仿宋"/>
          <w:bCs/>
          <w:color w:val="auto"/>
          <w:sz w:val="24"/>
          <w:szCs w:val="28"/>
          <w:highlight w:val="none"/>
          <w:u w:val="single"/>
        </w:rPr>
        <w:t>分（</w:t>
      </w:r>
      <w:r>
        <w:rPr>
          <w:rFonts w:hint="eastAsia" w:ascii="仿宋" w:hAnsi="仿宋" w:eastAsia="仿宋"/>
          <w:bCs/>
          <w:color w:val="auto"/>
          <w:sz w:val="24"/>
          <w:szCs w:val="28"/>
          <w:highlight w:val="none"/>
        </w:rPr>
        <w:t>北京时间）前递交</w:t>
      </w:r>
      <w:r>
        <w:rPr>
          <w:rFonts w:hint="eastAsia" w:ascii="仿宋" w:hAnsi="仿宋" w:eastAsia="仿宋"/>
          <w:bCs/>
          <w:color w:val="auto"/>
          <w:sz w:val="24"/>
          <w:szCs w:val="28"/>
          <w:highlight w:val="none"/>
          <w:lang w:eastAsia="zh-CN"/>
        </w:rPr>
        <w:t>申报文件</w:t>
      </w:r>
      <w:r>
        <w:rPr>
          <w:rFonts w:hint="eastAsia" w:ascii="仿宋" w:hAnsi="仿宋" w:eastAsia="仿宋"/>
          <w:color w:val="auto"/>
          <w:sz w:val="24"/>
          <w:szCs w:val="28"/>
          <w:highlight w:val="none"/>
        </w:rPr>
        <w:t>。</w:t>
      </w:r>
    </w:p>
    <w:p w14:paraId="53D99458">
      <w:pPr>
        <w:pStyle w:val="3"/>
        <w:numPr>
          <w:ilvl w:val="0"/>
          <w:numId w:val="0"/>
        </w:numPr>
        <w:rPr>
          <w:rFonts w:ascii="黑体" w:hAnsi="黑体" w:cs="宋体"/>
          <w:color w:val="auto"/>
          <w:sz w:val="24"/>
          <w:szCs w:val="28"/>
          <w:highlight w:val="none"/>
        </w:rPr>
      </w:pPr>
      <w:bookmarkStart w:id="0" w:name="_Toc28359079"/>
      <w:bookmarkStart w:id="1" w:name="_Toc35393621"/>
      <w:bookmarkStart w:id="2" w:name="_Toc28359002"/>
      <w:bookmarkStart w:id="3" w:name="_Toc35393790"/>
      <w:bookmarkStart w:id="4" w:name="_Hlk24379207"/>
      <w:r>
        <w:rPr>
          <w:rFonts w:hint="eastAsia" w:ascii="黑体" w:hAnsi="黑体" w:cs="宋体"/>
          <w:color w:val="auto"/>
          <w:sz w:val="24"/>
          <w:szCs w:val="28"/>
          <w:highlight w:val="none"/>
        </w:rPr>
        <w:t>一、项目基本情况</w:t>
      </w:r>
      <w:bookmarkEnd w:id="0"/>
      <w:bookmarkEnd w:id="1"/>
      <w:bookmarkEnd w:id="2"/>
      <w:bookmarkEnd w:id="3"/>
    </w:p>
    <w:bookmarkEnd w:id="4"/>
    <w:p w14:paraId="51E73F5E">
      <w:pPr>
        <w:spacing w:line="360" w:lineRule="auto"/>
        <w:ind w:left="420" w:left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项目编号：</w:t>
      </w:r>
      <w:r>
        <w:rPr>
          <w:rFonts w:hint="eastAsia" w:ascii="仿宋" w:hAnsi="仿宋" w:eastAsia="仿宋"/>
          <w:color w:val="auto"/>
          <w:sz w:val="24"/>
          <w:szCs w:val="28"/>
          <w:highlight w:val="none"/>
          <w:lang w:eastAsia="zh-CN"/>
        </w:rPr>
        <w:t>绍柯企{2025}</w:t>
      </w:r>
      <w:r>
        <w:rPr>
          <w:rFonts w:hint="eastAsia" w:ascii="仿宋" w:hAnsi="仿宋" w:eastAsia="仿宋"/>
          <w:color w:val="auto"/>
          <w:sz w:val="24"/>
          <w:szCs w:val="28"/>
          <w:highlight w:val="none"/>
          <w:lang w:val="en-US" w:eastAsia="zh-CN"/>
        </w:rPr>
        <w:t>575</w:t>
      </w:r>
      <w:r>
        <w:rPr>
          <w:rFonts w:hint="eastAsia" w:ascii="仿宋" w:hAnsi="仿宋" w:eastAsia="仿宋"/>
          <w:color w:val="auto"/>
          <w:sz w:val="24"/>
          <w:szCs w:val="28"/>
          <w:highlight w:val="none"/>
          <w:lang w:eastAsia="zh-CN"/>
        </w:rPr>
        <w:t>号</w:t>
      </w:r>
    </w:p>
    <w:p w14:paraId="36250E21">
      <w:pPr>
        <w:widowControl/>
        <w:spacing w:line="500" w:lineRule="exact"/>
        <w:ind w:firstLine="422" w:firstLineChars="200"/>
        <w:jc w:val="left"/>
        <w:rPr>
          <w:rFonts w:hint="eastAsia"/>
          <w:b/>
          <w:color w:val="auto"/>
          <w:szCs w:val="21"/>
          <w:highlight w:val="none"/>
          <w:u w:val="single"/>
          <w:lang w:eastAsia="zh-CN"/>
        </w:rPr>
      </w:pPr>
      <w:r>
        <w:rPr>
          <w:b/>
          <w:color w:val="auto"/>
          <w:szCs w:val="21"/>
          <w:highlight w:val="none"/>
        </w:rPr>
        <w:t>项目名称:</w:t>
      </w:r>
      <w:r>
        <w:rPr>
          <w:rFonts w:hint="eastAsia"/>
          <w:b/>
          <w:color w:val="auto"/>
          <w:szCs w:val="21"/>
          <w:highlight w:val="none"/>
          <w:u w:val="single"/>
          <w:lang w:eastAsia="zh-CN"/>
        </w:rPr>
        <w:t>绍兴柯岩建设投资有限公司2025年</w:t>
      </w:r>
      <w:r>
        <w:rPr>
          <w:rFonts w:hint="eastAsia"/>
          <w:b/>
          <w:color w:val="auto"/>
          <w:szCs w:val="21"/>
          <w:highlight w:val="none"/>
          <w:u w:val="single"/>
          <w:lang w:val="en-US" w:eastAsia="zh-CN"/>
        </w:rPr>
        <w:t>非公开公司</w:t>
      </w:r>
      <w:r>
        <w:rPr>
          <w:rFonts w:hint="eastAsia"/>
          <w:b/>
          <w:color w:val="auto"/>
          <w:szCs w:val="21"/>
          <w:highlight w:val="none"/>
          <w:u w:val="single"/>
          <w:lang w:eastAsia="zh-CN"/>
        </w:rPr>
        <w:t>债券遴选项目</w:t>
      </w:r>
    </w:p>
    <w:p w14:paraId="53E4B3A2">
      <w:pPr>
        <w:widowControl/>
        <w:spacing w:line="500" w:lineRule="exact"/>
        <w:ind w:firstLine="422" w:firstLineChars="200"/>
        <w:jc w:val="left"/>
        <w:rPr>
          <w:rFonts w:hint="default"/>
          <w:b/>
          <w:color w:val="auto"/>
          <w:szCs w:val="21"/>
          <w:highlight w:val="none"/>
          <w:u w:val="none"/>
          <w:lang w:val="en-US" w:eastAsia="zh-CN"/>
        </w:rPr>
      </w:pPr>
      <w:r>
        <w:rPr>
          <w:rFonts w:hint="eastAsia"/>
          <w:b/>
          <w:color w:val="auto"/>
          <w:szCs w:val="21"/>
          <w:highlight w:val="none"/>
          <w:u w:val="none"/>
          <w:lang w:eastAsia="zh-CN"/>
        </w:rPr>
        <w:t>发行规模：不超过1</w:t>
      </w:r>
      <w:r>
        <w:rPr>
          <w:rFonts w:hint="eastAsia"/>
          <w:b/>
          <w:color w:val="auto"/>
          <w:szCs w:val="21"/>
          <w:highlight w:val="none"/>
          <w:u w:val="none"/>
          <w:lang w:val="en-US" w:eastAsia="zh-CN"/>
        </w:rPr>
        <w:t>23000</w:t>
      </w:r>
      <w:r>
        <w:rPr>
          <w:rFonts w:hint="eastAsia"/>
          <w:b/>
          <w:color w:val="auto"/>
          <w:szCs w:val="21"/>
          <w:highlight w:val="none"/>
          <w:u w:val="none"/>
          <w:lang w:eastAsia="zh-CN"/>
        </w:rPr>
        <w:t>万元（含）</w:t>
      </w:r>
    </w:p>
    <w:p w14:paraId="111DF892">
      <w:pPr>
        <w:widowControl/>
        <w:spacing w:line="500" w:lineRule="exact"/>
        <w:ind w:firstLine="422" w:firstLineChars="200"/>
        <w:jc w:val="left"/>
        <w:rPr>
          <w:rFonts w:hint="eastAsia"/>
          <w:b/>
          <w:color w:val="auto"/>
          <w:szCs w:val="21"/>
          <w:highlight w:val="none"/>
          <w:u w:val="none"/>
          <w:lang w:eastAsia="zh-CN"/>
        </w:rPr>
      </w:pPr>
      <w:r>
        <w:rPr>
          <w:rFonts w:hint="eastAsia"/>
          <w:b/>
          <w:color w:val="auto"/>
          <w:szCs w:val="21"/>
          <w:highlight w:val="none"/>
          <w:u w:val="none"/>
          <w:lang w:eastAsia="zh-CN"/>
        </w:rPr>
        <w:t>最高限价：不超过1</w:t>
      </w:r>
      <w:r>
        <w:rPr>
          <w:rFonts w:hint="eastAsia"/>
          <w:b/>
          <w:color w:val="auto"/>
          <w:szCs w:val="21"/>
          <w:highlight w:val="none"/>
          <w:u w:val="none"/>
          <w:lang w:val="en-US" w:eastAsia="zh-CN"/>
        </w:rPr>
        <w:t>23000</w:t>
      </w:r>
      <w:r>
        <w:rPr>
          <w:rFonts w:hint="eastAsia"/>
          <w:b/>
          <w:color w:val="auto"/>
          <w:szCs w:val="21"/>
          <w:highlight w:val="none"/>
          <w:u w:val="none"/>
          <w:lang w:eastAsia="zh-CN"/>
        </w:rPr>
        <w:t>万元（含）</w:t>
      </w:r>
    </w:p>
    <w:p w14:paraId="7B4A0645">
      <w:pPr>
        <w:widowControl/>
        <w:spacing w:line="500" w:lineRule="exact"/>
        <w:ind w:firstLine="422" w:firstLineChars="200"/>
        <w:jc w:val="left"/>
        <w:rPr>
          <w:rFonts w:hint="eastAsia"/>
          <w:b/>
          <w:color w:val="auto"/>
          <w:szCs w:val="21"/>
          <w:highlight w:val="none"/>
          <w:u w:val="none"/>
          <w:lang w:eastAsia="zh-CN"/>
        </w:rPr>
      </w:pPr>
      <w:r>
        <w:rPr>
          <w:rFonts w:hint="eastAsia"/>
          <w:b/>
          <w:color w:val="auto"/>
          <w:szCs w:val="21"/>
          <w:highlight w:val="none"/>
          <w:u w:val="none"/>
          <w:lang w:eastAsia="zh-CN"/>
        </w:rPr>
        <w:t>遴选需求：详见遴选文件</w:t>
      </w:r>
    </w:p>
    <w:p w14:paraId="6A3AFE21">
      <w:pPr>
        <w:spacing w:line="360" w:lineRule="auto"/>
        <w:ind w:left="420" w:left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标项一：</w:t>
      </w:r>
    </w:p>
    <w:p w14:paraId="567EC530">
      <w:pPr>
        <w:spacing w:line="360" w:lineRule="auto"/>
        <w:ind w:left="420" w:left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标项名称：</w:t>
      </w:r>
      <w:r>
        <w:rPr>
          <w:rFonts w:hint="eastAsia"/>
          <w:b/>
          <w:color w:val="auto"/>
          <w:szCs w:val="21"/>
          <w:highlight w:val="none"/>
          <w:u w:val="single"/>
          <w:lang w:eastAsia="zh-CN"/>
        </w:rPr>
        <w:t>绍兴柯岩建设投资有限公司2025年</w:t>
      </w:r>
      <w:r>
        <w:rPr>
          <w:rFonts w:hint="eastAsia"/>
          <w:b/>
          <w:color w:val="auto"/>
          <w:szCs w:val="21"/>
          <w:highlight w:val="none"/>
          <w:u w:val="single"/>
          <w:lang w:val="en-US" w:eastAsia="zh-CN"/>
        </w:rPr>
        <w:t>非公开公司</w:t>
      </w:r>
      <w:r>
        <w:rPr>
          <w:rFonts w:hint="eastAsia"/>
          <w:b/>
          <w:color w:val="auto"/>
          <w:szCs w:val="21"/>
          <w:highlight w:val="none"/>
          <w:u w:val="single"/>
          <w:lang w:eastAsia="zh-CN"/>
        </w:rPr>
        <w:t>债券遴选项目</w:t>
      </w:r>
    </w:p>
    <w:p w14:paraId="5F51C7CB">
      <w:pPr>
        <w:spacing w:line="360" w:lineRule="auto"/>
        <w:ind w:left="420" w:leftChars="200"/>
        <w:jc w:val="left"/>
        <w:rPr>
          <w:rFonts w:hint="default" w:ascii="仿宋" w:hAnsi="仿宋" w:eastAsia="仿宋"/>
          <w:color w:val="auto"/>
          <w:sz w:val="24"/>
          <w:szCs w:val="28"/>
          <w:highlight w:val="none"/>
          <w:lang w:val="en-US" w:eastAsia="zh-CN"/>
        </w:rPr>
      </w:pPr>
      <w:r>
        <w:rPr>
          <w:rFonts w:hint="eastAsia" w:ascii="仿宋" w:hAnsi="仿宋" w:eastAsia="仿宋"/>
          <w:color w:val="auto"/>
          <w:sz w:val="24"/>
          <w:szCs w:val="28"/>
          <w:highlight w:val="none"/>
        </w:rPr>
        <w:t>数量：</w:t>
      </w:r>
      <w:r>
        <w:rPr>
          <w:rFonts w:ascii="仿宋" w:hAnsi="仿宋" w:eastAsia="仿宋"/>
          <w:color w:val="auto"/>
          <w:sz w:val="24"/>
          <w:szCs w:val="28"/>
          <w:highlight w:val="none"/>
          <w:u w:val="single"/>
        </w:rPr>
        <w:t>1</w:t>
      </w:r>
      <w:r>
        <w:rPr>
          <w:rFonts w:hint="eastAsia" w:ascii="仿宋" w:hAnsi="仿宋" w:eastAsia="仿宋"/>
          <w:color w:val="auto"/>
          <w:sz w:val="24"/>
          <w:szCs w:val="28"/>
          <w:highlight w:val="none"/>
          <w:u w:val="single"/>
          <w:lang w:val="en-US" w:eastAsia="zh-CN"/>
        </w:rPr>
        <w:t>项</w:t>
      </w:r>
    </w:p>
    <w:p w14:paraId="55719951">
      <w:pPr>
        <w:spacing w:line="360" w:lineRule="auto"/>
        <w:ind w:left="420" w:leftChars="200"/>
        <w:jc w:val="left"/>
        <w:rPr>
          <w:rFonts w:hint="eastAsia"/>
          <w:b/>
          <w:color w:val="auto"/>
          <w:szCs w:val="21"/>
          <w:highlight w:val="none"/>
          <w:u w:val="none"/>
          <w:lang w:eastAsia="zh-CN"/>
        </w:rPr>
      </w:pPr>
      <w:r>
        <w:rPr>
          <w:rFonts w:hint="eastAsia" w:ascii="仿宋" w:hAnsi="仿宋" w:eastAsia="仿宋"/>
          <w:color w:val="auto"/>
          <w:sz w:val="24"/>
          <w:szCs w:val="28"/>
          <w:highlight w:val="none"/>
          <w:lang w:eastAsia="zh-CN"/>
        </w:rPr>
        <w:t>发行</w:t>
      </w:r>
      <w:r>
        <w:rPr>
          <w:rFonts w:hint="eastAsia" w:ascii="仿宋" w:hAnsi="仿宋" w:eastAsia="仿宋"/>
          <w:color w:val="auto"/>
          <w:sz w:val="24"/>
          <w:szCs w:val="28"/>
          <w:highlight w:val="none"/>
        </w:rPr>
        <w:t>金额:</w:t>
      </w:r>
      <w:r>
        <w:rPr>
          <w:rFonts w:hint="eastAsia"/>
          <w:b/>
          <w:color w:val="auto"/>
          <w:szCs w:val="21"/>
          <w:highlight w:val="none"/>
          <w:u w:val="none"/>
          <w:lang w:eastAsia="zh-CN"/>
        </w:rPr>
        <w:t>不超过1</w:t>
      </w:r>
      <w:r>
        <w:rPr>
          <w:rFonts w:hint="eastAsia"/>
          <w:b/>
          <w:color w:val="auto"/>
          <w:szCs w:val="21"/>
          <w:highlight w:val="none"/>
          <w:u w:val="none"/>
          <w:lang w:val="en-US" w:eastAsia="zh-CN"/>
        </w:rPr>
        <w:t>23000</w:t>
      </w:r>
      <w:r>
        <w:rPr>
          <w:rFonts w:hint="eastAsia"/>
          <w:b/>
          <w:color w:val="auto"/>
          <w:szCs w:val="21"/>
          <w:highlight w:val="none"/>
          <w:u w:val="none"/>
          <w:lang w:eastAsia="zh-CN"/>
        </w:rPr>
        <w:t>万元（含）</w:t>
      </w:r>
    </w:p>
    <w:p w14:paraId="526B5F60">
      <w:pPr>
        <w:widowControl/>
        <w:spacing w:line="500" w:lineRule="exact"/>
        <w:ind w:firstLine="480" w:firstLineChars="200"/>
        <w:jc w:val="left"/>
        <w:rPr>
          <w:rFonts w:hint="eastAsia" w:ascii="仿宋" w:hAnsi="仿宋" w:eastAsia="仿宋"/>
          <w:color w:val="auto"/>
          <w:sz w:val="24"/>
          <w:szCs w:val="28"/>
          <w:highlight w:val="none"/>
          <w:u w:val="single"/>
          <w:lang w:val="en-US" w:eastAsia="zh-CN"/>
        </w:rPr>
      </w:pPr>
      <w:r>
        <w:rPr>
          <w:rFonts w:ascii="仿宋" w:hAnsi="仿宋" w:eastAsia="仿宋"/>
          <w:color w:val="auto"/>
          <w:sz w:val="24"/>
          <w:szCs w:val="28"/>
          <w:highlight w:val="none"/>
        </w:rPr>
        <w:t>简要规格描述或项目基本概况介绍、用途：</w:t>
      </w:r>
      <w:r>
        <w:rPr>
          <w:rFonts w:hint="eastAsia" w:ascii="仿宋" w:hAnsi="仿宋" w:eastAsia="仿宋"/>
          <w:color w:val="auto"/>
          <w:sz w:val="24"/>
          <w:szCs w:val="28"/>
          <w:highlight w:val="none"/>
          <w:u w:val="single"/>
        </w:rPr>
        <w:t>绍兴柯岩建设投资有限公司2025年非公开公司债券遴选项目，</w:t>
      </w:r>
      <w:r>
        <w:rPr>
          <w:rFonts w:hint="eastAsia" w:ascii="仿宋" w:hAnsi="仿宋" w:eastAsia="仿宋"/>
          <w:color w:val="auto"/>
          <w:sz w:val="24"/>
          <w:szCs w:val="28"/>
          <w:highlight w:val="none"/>
          <w:u w:val="single"/>
          <w:lang w:eastAsia="zh-CN"/>
        </w:rPr>
        <w:t>详见遴选文件</w:t>
      </w:r>
    </w:p>
    <w:p w14:paraId="6C968097">
      <w:pPr>
        <w:spacing w:line="360" w:lineRule="auto"/>
        <w:ind w:left="420" w:leftChars="200"/>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备注：无</w:t>
      </w:r>
    </w:p>
    <w:p w14:paraId="336C2402">
      <w:pPr>
        <w:spacing w:line="360" w:lineRule="auto"/>
        <w:ind w:left="420" w:leftChars="200"/>
        <w:jc w:val="left"/>
        <w:rPr>
          <w:rFonts w:hint="default" w:ascii="仿宋" w:hAnsi="仿宋" w:eastAsia="仿宋"/>
          <w:color w:val="auto"/>
          <w:sz w:val="24"/>
          <w:szCs w:val="28"/>
          <w:highlight w:val="none"/>
          <w:lang w:val="en-US" w:eastAsia="zh-CN"/>
        </w:rPr>
      </w:pPr>
      <w:r>
        <w:rPr>
          <w:rFonts w:hint="eastAsia" w:ascii="仿宋" w:hAnsi="仿宋" w:eastAsia="仿宋"/>
          <w:color w:val="auto"/>
          <w:sz w:val="24"/>
          <w:szCs w:val="28"/>
          <w:highlight w:val="none"/>
        </w:rPr>
        <w:t>合同履行期限：</w:t>
      </w:r>
      <w:r>
        <w:rPr>
          <w:rFonts w:hint="eastAsia" w:ascii="仿宋" w:hAnsi="仿宋" w:eastAsia="仿宋"/>
          <w:color w:val="auto"/>
          <w:sz w:val="24"/>
          <w:szCs w:val="28"/>
          <w:highlight w:val="none"/>
          <w:lang w:val="en-US" w:eastAsia="zh-CN"/>
        </w:rPr>
        <w:t>详见遴选文件。</w:t>
      </w:r>
    </w:p>
    <w:p w14:paraId="2CF5C776">
      <w:pPr>
        <w:widowControl/>
        <w:spacing w:line="480" w:lineRule="exact"/>
        <w:ind w:firstLine="480" w:firstLineChars="200"/>
        <w:jc w:val="left"/>
        <w:rPr>
          <w:color w:val="auto"/>
          <w:highlight w:val="none"/>
        </w:rPr>
      </w:pPr>
      <w:r>
        <w:rPr>
          <w:rFonts w:hint="eastAsia" w:ascii="仿宋" w:hAnsi="仿宋" w:eastAsia="仿宋"/>
          <w:color w:val="auto"/>
          <w:sz w:val="24"/>
          <w:szCs w:val="28"/>
          <w:highlight w:val="none"/>
        </w:rPr>
        <w:t>本项目</w:t>
      </w:r>
      <w:r>
        <w:rPr>
          <w:rFonts w:hint="eastAsia" w:ascii="仿宋" w:hAnsi="仿宋" w:eastAsia="仿宋"/>
          <w:b/>
          <w:color w:val="auto"/>
          <w:sz w:val="24"/>
          <w:szCs w:val="28"/>
          <w:highlight w:val="none"/>
        </w:rPr>
        <w:t>（</w:t>
      </w:r>
      <w:r>
        <w:rPr>
          <w:rFonts w:hint="eastAsia" w:ascii="仿宋" w:hAnsi="仿宋" w:eastAsia="仿宋"/>
          <w:b/>
          <w:i/>
          <w:color w:val="auto"/>
          <w:sz w:val="24"/>
          <w:szCs w:val="28"/>
          <w:highlight w:val="none"/>
          <w:lang w:eastAsia="zh-CN"/>
        </w:rPr>
        <w:t>否</w:t>
      </w:r>
      <w:r>
        <w:rPr>
          <w:rFonts w:hint="eastAsia" w:ascii="仿宋" w:hAnsi="仿宋" w:eastAsia="仿宋"/>
          <w:b/>
          <w:color w:val="auto"/>
          <w:sz w:val="24"/>
          <w:szCs w:val="28"/>
          <w:highlight w:val="none"/>
        </w:rPr>
        <w:t>）</w:t>
      </w:r>
      <w:r>
        <w:rPr>
          <w:rFonts w:hint="eastAsia" w:ascii="仿宋" w:hAnsi="仿宋" w:eastAsia="仿宋"/>
          <w:color w:val="auto"/>
          <w:sz w:val="24"/>
          <w:szCs w:val="28"/>
          <w:highlight w:val="none"/>
        </w:rPr>
        <w:t>接受联合体投标。</w:t>
      </w:r>
    </w:p>
    <w:p w14:paraId="2BB31A62">
      <w:pPr>
        <w:pStyle w:val="3"/>
        <w:numPr>
          <w:ilvl w:val="0"/>
          <w:numId w:val="4"/>
        </w:numPr>
        <w:rPr>
          <w:rFonts w:hint="eastAsia" w:ascii="黑体" w:hAnsi="黑体" w:cs="宋体"/>
          <w:color w:val="auto"/>
          <w:sz w:val="24"/>
          <w:szCs w:val="28"/>
          <w:highlight w:val="none"/>
        </w:rPr>
      </w:pPr>
      <w:bookmarkStart w:id="5" w:name="_Toc35393622"/>
      <w:bookmarkStart w:id="6" w:name="_Toc35393791"/>
      <w:bookmarkStart w:id="7" w:name="_Toc28359003"/>
      <w:bookmarkStart w:id="8" w:name="_Toc28359080"/>
      <w:r>
        <w:rPr>
          <w:rFonts w:hint="eastAsia" w:ascii="黑体" w:hAnsi="黑体" w:cs="宋体"/>
          <w:color w:val="auto"/>
          <w:sz w:val="24"/>
          <w:szCs w:val="28"/>
          <w:highlight w:val="none"/>
        </w:rPr>
        <w:t>申请人的资格要求：</w:t>
      </w:r>
      <w:bookmarkEnd w:id="5"/>
      <w:bookmarkEnd w:id="6"/>
      <w:bookmarkEnd w:id="7"/>
      <w:bookmarkEnd w:id="8"/>
    </w:p>
    <w:p w14:paraId="0AEBA370">
      <w:pPr>
        <w:adjustRightInd w:val="0"/>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14:paraId="034DC61B">
      <w:pPr>
        <w:adjustRightInd w:val="0"/>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本项目的特定资格要求：</w:t>
      </w:r>
    </w:p>
    <w:p w14:paraId="5019DFF6">
      <w:pPr>
        <w:adjustRightInd w:val="0"/>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①</w:t>
      </w:r>
      <w:r>
        <w:rPr>
          <w:rFonts w:hint="eastAsia" w:ascii="仿宋" w:hAnsi="仿宋" w:eastAsia="仿宋"/>
          <w:color w:val="auto"/>
          <w:sz w:val="24"/>
          <w:szCs w:val="28"/>
          <w:highlight w:val="none"/>
          <w:lang w:eastAsia="zh-CN"/>
        </w:rPr>
        <w:t>遴选响应人</w:t>
      </w:r>
      <w:r>
        <w:rPr>
          <w:rFonts w:hint="eastAsia" w:ascii="仿宋" w:hAnsi="仿宋" w:eastAsia="仿宋"/>
          <w:color w:val="auto"/>
          <w:sz w:val="24"/>
          <w:szCs w:val="28"/>
          <w:highlight w:val="none"/>
        </w:rPr>
        <w:t xml:space="preserve">具有有效的中国证券管理委员会颁发的《经营证券期货业务许可证》; </w:t>
      </w:r>
    </w:p>
    <w:p w14:paraId="27DCA159">
      <w:pPr>
        <w:adjustRightInd w:val="0"/>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②本次</w:t>
      </w:r>
      <w:r>
        <w:rPr>
          <w:rFonts w:hint="eastAsia" w:ascii="仿宋" w:hAnsi="仿宋" w:eastAsia="仿宋"/>
          <w:color w:val="auto"/>
          <w:sz w:val="24"/>
          <w:szCs w:val="28"/>
          <w:highlight w:val="none"/>
          <w:lang w:eastAsia="zh-CN"/>
        </w:rPr>
        <w:t>遴选</w:t>
      </w:r>
      <w:r>
        <w:rPr>
          <w:rFonts w:hint="eastAsia" w:ascii="仿宋" w:hAnsi="仿宋" w:eastAsia="仿宋"/>
          <w:color w:val="auto"/>
          <w:sz w:val="24"/>
          <w:szCs w:val="28"/>
          <w:highlight w:val="none"/>
        </w:rPr>
        <w:t>不接受被发改委、人民法院等行政主管部门列为失信联合惩戒对象的投标报名；</w:t>
      </w:r>
    </w:p>
    <w:p w14:paraId="0134BE14">
      <w:pPr>
        <w:adjustRightInd w:val="0"/>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③中国境内登记注册，具有独立法人资格的证券公司；</w:t>
      </w:r>
    </w:p>
    <w:p w14:paraId="06B1AB08">
      <w:pPr>
        <w:pStyle w:val="3"/>
        <w:numPr>
          <w:ilvl w:val="0"/>
          <w:numId w:val="0"/>
        </w:numPr>
        <w:rPr>
          <w:rFonts w:hint="eastAsia" w:ascii="黑体" w:hAnsi="黑体" w:eastAsia="仿宋_GB2312" w:cs="宋体"/>
          <w:color w:val="auto"/>
          <w:sz w:val="24"/>
          <w:szCs w:val="28"/>
          <w:highlight w:val="none"/>
          <w:lang w:eastAsia="zh-CN"/>
        </w:rPr>
      </w:pPr>
      <w:bookmarkStart w:id="9" w:name="_Toc35393623"/>
      <w:bookmarkStart w:id="10" w:name="_Toc35393792"/>
      <w:r>
        <w:rPr>
          <w:rFonts w:hint="eastAsia" w:ascii="黑体" w:hAnsi="黑体" w:cs="宋体"/>
          <w:color w:val="auto"/>
          <w:sz w:val="24"/>
          <w:szCs w:val="28"/>
          <w:highlight w:val="none"/>
        </w:rPr>
        <w:t>三、获取</w:t>
      </w:r>
      <w:bookmarkEnd w:id="9"/>
      <w:bookmarkEnd w:id="10"/>
      <w:r>
        <w:rPr>
          <w:rFonts w:hint="eastAsia" w:ascii="黑体" w:hAnsi="黑体" w:cs="宋体"/>
          <w:color w:val="auto"/>
          <w:sz w:val="24"/>
          <w:szCs w:val="28"/>
          <w:highlight w:val="none"/>
          <w:lang w:eastAsia="zh-CN"/>
        </w:rPr>
        <w:t>遴选文件</w:t>
      </w:r>
    </w:p>
    <w:p w14:paraId="3B1BE0AA">
      <w:pPr>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时间：</w:t>
      </w:r>
      <w:r>
        <w:rPr>
          <w:rFonts w:hint="eastAsia" w:ascii="仿宋" w:hAnsi="仿宋" w:eastAsia="仿宋"/>
          <w:color w:val="auto"/>
          <w:sz w:val="24"/>
          <w:szCs w:val="28"/>
          <w:highlight w:val="none"/>
        </w:rPr>
        <w:t>/至</w:t>
      </w:r>
      <w:r>
        <w:rPr>
          <w:rFonts w:hint="eastAsia" w:ascii="仿宋" w:hAnsi="仿宋" w:eastAsia="仿宋"/>
          <w:bCs/>
          <w:color w:val="auto"/>
          <w:sz w:val="24"/>
          <w:szCs w:val="28"/>
          <w:highlight w:val="none"/>
          <w:u w:val="single"/>
        </w:rPr>
        <w:t xml:space="preserve"> </w:t>
      </w:r>
      <w:r>
        <w:rPr>
          <w:rFonts w:ascii="仿宋" w:hAnsi="仿宋" w:eastAsia="仿宋"/>
          <w:bCs/>
          <w:color w:val="auto"/>
          <w:sz w:val="24"/>
          <w:szCs w:val="28"/>
          <w:highlight w:val="none"/>
          <w:u w:val="single"/>
        </w:rPr>
        <w:t>202</w:t>
      </w:r>
      <w:r>
        <w:rPr>
          <w:rFonts w:hint="eastAsia" w:ascii="仿宋" w:hAnsi="仿宋" w:eastAsia="仿宋"/>
          <w:bCs/>
          <w:color w:val="auto"/>
          <w:sz w:val="24"/>
          <w:szCs w:val="28"/>
          <w:highlight w:val="none"/>
          <w:u w:val="single"/>
          <w:lang w:val="en-US" w:eastAsia="zh-CN"/>
        </w:rPr>
        <w:t>5</w:t>
      </w:r>
      <w:r>
        <w:rPr>
          <w:rFonts w:hint="eastAsia" w:ascii="仿宋" w:hAnsi="仿宋" w:eastAsia="仿宋"/>
          <w:bCs/>
          <w:color w:val="auto"/>
          <w:sz w:val="24"/>
          <w:szCs w:val="28"/>
          <w:highlight w:val="none"/>
          <w:u w:val="single"/>
        </w:rPr>
        <w:t>年</w:t>
      </w:r>
      <w:r>
        <w:rPr>
          <w:rFonts w:hint="eastAsia" w:ascii="仿宋" w:hAnsi="仿宋" w:eastAsia="仿宋"/>
          <w:bCs/>
          <w:color w:val="auto"/>
          <w:sz w:val="24"/>
          <w:szCs w:val="28"/>
          <w:highlight w:val="none"/>
          <w:u w:val="single"/>
          <w:lang w:val="en-US" w:eastAsia="zh-CN"/>
        </w:rPr>
        <w:t>6</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26</w:t>
      </w:r>
      <w:r>
        <w:rPr>
          <w:rFonts w:hint="eastAsia" w:ascii="仿宋" w:hAnsi="仿宋" w:eastAsia="仿宋"/>
          <w:bCs/>
          <w:color w:val="auto"/>
          <w:sz w:val="24"/>
          <w:szCs w:val="28"/>
          <w:highlight w:val="none"/>
          <w:u w:val="single"/>
        </w:rPr>
        <w:t>日</w:t>
      </w:r>
      <w:r>
        <w:rPr>
          <w:rFonts w:ascii="仿宋" w:hAnsi="仿宋" w:eastAsia="仿宋"/>
          <w:color w:val="auto"/>
          <w:sz w:val="24"/>
          <w:szCs w:val="28"/>
          <w:highlight w:val="none"/>
        </w:rPr>
        <w:t>，每天上午</w:t>
      </w:r>
      <w:r>
        <w:rPr>
          <w:rFonts w:ascii="仿宋" w:hAnsi="仿宋" w:eastAsia="仿宋"/>
          <w:snapToGrid w:val="0"/>
          <w:color w:val="auto"/>
          <w:sz w:val="24"/>
          <w:szCs w:val="28"/>
          <w:highlight w:val="none"/>
        </w:rPr>
        <w:t>00:00至12:00</w:t>
      </w:r>
      <w:r>
        <w:rPr>
          <w:rFonts w:ascii="仿宋" w:hAnsi="仿宋" w:eastAsia="仿宋"/>
          <w:color w:val="auto"/>
          <w:sz w:val="24"/>
          <w:szCs w:val="28"/>
          <w:highlight w:val="none"/>
        </w:rPr>
        <w:t> ，下午</w:t>
      </w:r>
      <w:r>
        <w:rPr>
          <w:rFonts w:ascii="仿宋" w:hAnsi="仿宋" w:eastAsia="仿宋"/>
          <w:snapToGrid w:val="0"/>
          <w:color w:val="auto"/>
          <w:sz w:val="24"/>
          <w:szCs w:val="28"/>
          <w:highlight w:val="none"/>
        </w:rPr>
        <w:t>12:00至23:59</w:t>
      </w:r>
      <w:r>
        <w:rPr>
          <w:rFonts w:ascii="仿宋" w:hAnsi="仿宋" w:eastAsia="仿宋"/>
          <w:color w:val="auto"/>
          <w:sz w:val="24"/>
          <w:szCs w:val="28"/>
          <w:highlight w:val="none"/>
        </w:rPr>
        <w:t>（北京时间，线上获取法定节假日均可，线下获取文件法定节假日除外）</w:t>
      </w:r>
    </w:p>
    <w:p w14:paraId="3530BCBC">
      <w:pPr>
        <w:spacing w:line="360" w:lineRule="auto"/>
        <w:ind w:firstLine="480" w:firstLineChars="200"/>
        <w:jc w:val="left"/>
        <w:rPr>
          <w:rFonts w:hint="eastAsia" w:ascii="仿宋" w:hAnsi="仿宋" w:eastAsia="仿宋" w:cs="宋体"/>
          <w:color w:val="auto"/>
          <w:sz w:val="24"/>
          <w:szCs w:val="28"/>
          <w:highlight w:val="none"/>
        </w:rPr>
      </w:pPr>
      <w:r>
        <w:rPr>
          <w:rFonts w:hint="eastAsia" w:ascii="仿宋" w:hAnsi="仿宋" w:eastAsia="仿宋" w:cs="宋体"/>
          <w:color w:val="auto"/>
          <w:sz w:val="24"/>
          <w:szCs w:val="28"/>
          <w:highlight w:val="none"/>
        </w:rPr>
        <w:t>地点（网址）：</w:t>
      </w:r>
      <w:r>
        <w:rPr>
          <w:rFonts w:ascii="仿宋" w:hAnsi="仿宋" w:eastAsia="仿宋" w:cs="宋体"/>
          <w:snapToGrid w:val="0"/>
          <w:color w:val="auto"/>
          <w:sz w:val="24"/>
          <w:szCs w:val="28"/>
          <w:highlight w:val="none"/>
        </w:rPr>
        <w:t>浙江政府采购网（</w:t>
      </w:r>
      <w:r>
        <w:rPr>
          <w:rFonts w:ascii="仿宋" w:hAnsi="仿宋" w:eastAsia="仿宋" w:cs="宋体"/>
          <w:snapToGrid w:val="0"/>
          <w:color w:val="auto"/>
          <w:sz w:val="24"/>
          <w:szCs w:val="28"/>
          <w:highlight w:val="none"/>
        </w:rPr>
        <w:fldChar w:fldCharType="begin"/>
      </w:r>
      <w:r>
        <w:rPr>
          <w:rFonts w:ascii="仿宋" w:hAnsi="仿宋" w:eastAsia="仿宋" w:cs="宋体"/>
          <w:snapToGrid w:val="0"/>
          <w:color w:val="auto"/>
          <w:sz w:val="24"/>
          <w:szCs w:val="28"/>
          <w:highlight w:val="none"/>
        </w:rPr>
        <w:instrText xml:space="preserve"> HYPERLINK "http://zfcg.czt.zj.gov.cn/" </w:instrText>
      </w:r>
      <w:r>
        <w:rPr>
          <w:rFonts w:ascii="仿宋" w:hAnsi="仿宋" w:eastAsia="仿宋" w:cs="宋体"/>
          <w:snapToGrid w:val="0"/>
          <w:color w:val="auto"/>
          <w:sz w:val="24"/>
          <w:szCs w:val="28"/>
          <w:highlight w:val="none"/>
        </w:rPr>
        <w:fldChar w:fldCharType="separate"/>
      </w:r>
      <w:r>
        <w:rPr>
          <w:rStyle w:val="25"/>
          <w:rFonts w:ascii="仿宋" w:hAnsi="仿宋" w:eastAsia="仿宋" w:cs="宋体"/>
          <w:color w:val="auto"/>
          <w:kern w:val="2"/>
          <w:sz w:val="24"/>
          <w:szCs w:val="28"/>
          <w:highlight w:val="none"/>
        </w:rPr>
        <w:t>http://zfcg.czt.zj.gov.cn/</w:t>
      </w:r>
      <w:r>
        <w:rPr>
          <w:rFonts w:ascii="仿宋" w:hAnsi="仿宋" w:eastAsia="仿宋" w:cs="宋体"/>
          <w:snapToGrid w:val="0"/>
          <w:color w:val="auto"/>
          <w:sz w:val="24"/>
          <w:szCs w:val="28"/>
          <w:highlight w:val="none"/>
        </w:rPr>
        <w:fldChar w:fldCharType="end"/>
      </w:r>
      <w:r>
        <w:rPr>
          <w:rFonts w:ascii="仿宋" w:hAnsi="仿宋" w:eastAsia="仿宋" w:cs="宋体"/>
          <w:snapToGrid w:val="0"/>
          <w:color w:val="auto"/>
          <w:sz w:val="24"/>
          <w:szCs w:val="28"/>
          <w:highlight w:val="none"/>
        </w:rPr>
        <w:t>）</w:t>
      </w:r>
      <w:r>
        <w:rPr>
          <w:rFonts w:hint="eastAsia" w:ascii="仿宋" w:hAnsi="仿宋" w:eastAsia="仿宋" w:cs="宋体"/>
          <w:color w:val="auto"/>
          <w:sz w:val="24"/>
          <w:szCs w:val="28"/>
          <w:highlight w:val="none"/>
        </w:rPr>
        <w:t>；</w:t>
      </w:r>
    </w:p>
    <w:p w14:paraId="58C899D9">
      <w:pPr>
        <w:spacing w:line="360" w:lineRule="auto"/>
        <w:ind w:firstLine="480" w:firstLineChars="200"/>
        <w:jc w:val="left"/>
        <w:rPr>
          <w:rFonts w:ascii="仿宋" w:hAnsi="仿宋" w:eastAsia="仿宋" w:cs="宋体"/>
          <w:color w:val="auto"/>
          <w:sz w:val="24"/>
          <w:szCs w:val="28"/>
          <w:highlight w:val="none"/>
          <w:u w:val="single"/>
        </w:rPr>
      </w:pPr>
      <w:r>
        <w:rPr>
          <w:rFonts w:hint="eastAsia" w:ascii="仿宋" w:hAnsi="仿宋" w:eastAsia="仿宋" w:cs="宋体"/>
          <w:color w:val="auto"/>
          <w:sz w:val="24"/>
          <w:szCs w:val="28"/>
          <w:highlight w:val="none"/>
        </w:rPr>
        <w:t>方式：供应商登录</w:t>
      </w:r>
      <w:r>
        <w:rPr>
          <w:rFonts w:hint="eastAsia" w:ascii="仿宋" w:hAnsi="仿宋" w:eastAsia="仿宋" w:cs="宋体"/>
          <w:color w:val="auto"/>
          <w:sz w:val="24"/>
          <w:szCs w:val="28"/>
          <w:highlight w:val="none"/>
          <w:lang w:eastAsia="zh-CN"/>
        </w:rPr>
        <w:t>乐采云</w:t>
      </w:r>
      <w:r>
        <w:rPr>
          <w:rFonts w:hint="eastAsia" w:ascii="仿宋" w:hAnsi="仿宋" w:eastAsia="仿宋" w:cs="宋体"/>
          <w:color w:val="auto"/>
          <w:sz w:val="24"/>
          <w:szCs w:val="28"/>
          <w:highlight w:val="none"/>
        </w:rPr>
        <w:t>平台http://www.zcygov.cn/，在线申请获取</w:t>
      </w:r>
      <w:r>
        <w:rPr>
          <w:rFonts w:hint="eastAsia" w:ascii="仿宋" w:hAnsi="仿宋" w:eastAsia="仿宋" w:cs="宋体"/>
          <w:color w:val="auto"/>
          <w:sz w:val="24"/>
          <w:szCs w:val="28"/>
          <w:highlight w:val="none"/>
          <w:lang w:eastAsia="zh-CN"/>
        </w:rPr>
        <w:t>遴选文件</w:t>
      </w:r>
      <w:r>
        <w:rPr>
          <w:rFonts w:hint="eastAsia" w:ascii="仿宋" w:hAnsi="仿宋" w:eastAsia="仿宋" w:cs="宋体"/>
          <w:color w:val="auto"/>
          <w:sz w:val="24"/>
          <w:szCs w:val="28"/>
          <w:highlight w:val="none"/>
        </w:rPr>
        <w:t>（进入“项目采购”应用，在获取</w:t>
      </w:r>
      <w:r>
        <w:rPr>
          <w:rFonts w:hint="eastAsia" w:ascii="仿宋" w:hAnsi="仿宋" w:eastAsia="仿宋" w:cs="宋体"/>
          <w:color w:val="auto"/>
          <w:sz w:val="24"/>
          <w:szCs w:val="28"/>
          <w:highlight w:val="none"/>
          <w:lang w:eastAsia="zh-CN"/>
        </w:rPr>
        <w:t>招标文件</w:t>
      </w:r>
      <w:r>
        <w:rPr>
          <w:rFonts w:hint="eastAsia" w:ascii="仿宋" w:hAnsi="仿宋" w:eastAsia="仿宋" w:cs="宋体"/>
          <w:color w:val="auto"/>
          <w:sz w:val="24"/>
          <w:szCs w:val="28"/>
          <w:highlight w:val="none"/>
        </w:rPr>
        <w:t>菜单中选择项目，申请获取</w:t>
      </w:r>
      <w:r>
        <w:rPr>
          <w:rFonts w:hint="eastAsia" w:ascii="仿宋" w:hAnsi="仿宋" w:eastAsia="仿宋" w:cs="宋体"/>
          <w:color w:val="auto"/>
          <w:sz w:val="24"/>
          <w:szCs w:val="28"/>
          <w:highlight w:val="none"/>
          <w:lang w:eastAsia="zh-CN"/>
        </w:rPr>
        <w:t>招标文件</w:t>
      </w:r>
      <w:r>
        <w:rPr>
          <w:rFonts w:hint="eastAsia" w:ascii="仿宋" w:hAnsi="仿宋" w:eastAsia="仿宋" w:cs="宋体"/>
          <w:color w:val="auto"/>
          <w:sz w:val="24"/>
          <w:szCs w:val="28"/>
          <w:highlight w:val="none"/>
        </w:rPr>
        <w:t>）。公告页面附件</w:t>
      </w:r>
      <w:r>
        <w:rPr>
          <w:rFonts w:hint="eastAsia" w:ascii="仿宋" w:hAnsi="仿宋" w:eastAsia="仿宋" w:cs="宋体"/>
          <w:color w:val="auto"/>
          <w:sz w:val="24"/>
          <w:szCs w:val="28"/>
          <w:highlight w:val="none"/>
          <w:lang w:eastAsia="zh-CN"/>
        </w:rPr>
        <w:t>遴选文件</w:t>
      </w:r>
      <w:r>
        <w:rPr>
          <w:rFonts w:hint="eastAsia" w:ascii="仿宋" w:hAnsi="仿宋" w:eastAsia="仿宋" w:cs="宋体"/>
          <w:color w:val="auto"/>
          <w:sz w:val="24"/>
          <w:szCs w:val="28"/>
          <w:highlight w:val="none"/>
        </w:rPr>
        <w:t>可以下载，仅供浏览使用；</w:t>
      </w:r>
    </w:p>
    <w:p w14:paraId="63FD5837">
      <w:pPr>
        <w:spacing w:line="360" w:lineRule="auto"/>
        <w:ind w:firstLine="480" w:firstLineChars="200"/>
        <w:jc w:val="left"/>
        <w:rPr>
          <w:rFonts w:hint="eastAsia" w:ascii="仿宋" w:hAnsi="仿宋" w:eastAsia="仿宋" w:cs="宋体"/>
          <w:color w:val="auto"/>
          <w:sz w:val="24"/>
          <w:szCs w:val="28"/>
          <w:highlight w:val="none"/>
        </w:rPr>
      </w:pPr>
      <w:r>
        <w:rPr>
          <w:rFonts w:hint="eastAsia" w:ascii="仿宋" w:hAnsi="仿宋" w:eastAsia="仿宋" w:cs="宋体"/>
          <w:color w:val="auto"/>
          <w:sz w:val="24"/>
          <w:szCs w:val="28"/>
          <w:highlight w:val="none"/>
        </w:rPr>
        <w:t>售价：0。</w:t>
      </w:r>
    </w:p>
    <w:p w14:paraId="77095B50">
      <w:pPr>
        <w:pStyle w:val="3"/>
        <w:numPr>
          <w:ilvl w:val="0"/>
          <w:numId w:val="0"/>
        </w:numPr>
        <w:rPr>
          <w:rFonts w:ascii="黑体" w:hAnsi="黑体" w:cs="宋体"/>
          <w:color w:val="auto"/>
          <w:sz w:val="24"/>
          <w:szCs w:val="28"/>
          <w:highlight w:val="none"/>
        </w:rPr>
      </w:pPr>
      <w:bookmarkStart w:id="11" w:name="_Toc28359082"/>
      <w:bookmarkStart w:id="12" w:name="_Toc28359005"/>
      <w:bookmarkStart w:id="13" w:name="_Toc35393624"/>
      <w:bookmarkStart w:id="14" w:name="_Toc35393793"/>
      <w:r>
        <w:rPr>
          <w:rFonts w:hint="eastAsia" w:ascii="黑体" w:hAnsi="黑体" w:cs="宋体"/>
          <w:color w:val="auto"/>
          <w:sz w:val="24"/>
          <w:szCs w:val="28"/>
          <w:highlight w:val="none"/>
        </w:rPr>
        <w:t>四、提交</w:t>
      </w:r>
      <w:bookmarkEnd w:id="11"/>
      <w:bookmarkEnd w:id="12"/>
      <w:r>
        <w:rPr>
          <w:rFonts w:hint="eastAsia" w:ascii="黑体" w:hAnsi="黑体" w:cs="宋体"/>
          <w:color w:val="auto"/>
          <w:sz w:val="24"/>
          <w:szCs w:val="28"/>
          <w:highlight w:val="none"/>
          <w:lang w:eastAsia="zh-CN"/>
        </w:rPr>
        <w:t>申报文件</w:t>
      </w:r>
      <w:r>
        <w:rPr>
          <w:rFonts w:hint="eastAsia" w:ascii="黑体" w:hAnsi="黑体" w:cs="宋体"/>
          <w:color w:val="auto"/>
          <w:sz w:val="24"/>
          <w:szCs w:val="28"/>
          <w:highlight w:val="none"/>
        </w:rPr>
        <w:t>截止时间、开标时间和地点</w:t>
      </w:r>
      <w:bookmarkEnd w:id="13"/>
      <w:bookmarkEnd w:id="14"/>
    </w:p>
    <w:p w14:paraId="78345CE4">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s="宋体"/>
          <w:color w:val="auto"/>
          <w:sz w:val="24"/>
          <w:szCs w:val="28"/>
          <w:highlight w:val="none"/>
        </w:rPr>
        <w:t>提交</w:t>
      </w:r>
      <w:r>
        <w:rPr>
          <w:rFonts w:hint="eastAsia" w:ascii="仿宋" w:hAnsi="仿宋" w:eastAsia="仿宋" w:cs="宋体"/>
          <w:color w:val="auto"/>
          <w:sz w:val="24"/>
          <w:szCs w:val="28"/>
          <w:highlight w:val="none"/>
          <w:lang w:eastAsia="zh-CN"/>
        </w:rPr>
        <w:t>申报文件</w:t>
      </w:r>
      <w:r>
        <w:rPr>
          <w:rFonts w:hint="eastAsia" w:ascii="仿宋" w:hAnsi="仿宋" w:eastAsia="仿宋" w:cs="宋体"/>
          <w:color w:val="auto"/>
          <w:sz w:val="24"/>
          <w:szCs w:val="28"/>
          <w:highlight w:val="none"/>
        </w:rPr>
        <w:t>截止时间：</w:t>
      </w:r>
      <w:r>
        <w:rPr>
          <w:rFonts w:hint="eastAsia" w:ascii="仿宋" w:hAnsi="仿宋" w:eastAsia="仿宋" w:cs="Times New Roman"/>
          <w:color w:val="auto"/>
          <w:sz w:val="24"/>
          <w:szCs w:val="28"/>
          <w:highlight w:val="none"/>
        </w:rPr>
        <w:t>202</w:t>
      </w:r>
      <w:r>
        <w:rPr>
          <w:rFonts w:hint="eastAsia" w:ascii="仿宋" w:hAnsi="仿宋" w:eastAsia="仿宋" w:cs="Times New Roman"/>
          <w:color w:val="auto"/>
          <w:sz w:val="24"/>
          <w:szCs w:val="28"/>
          <w:highlight w:val="none"/>
          <w:lang w:val="en-US" w:eastAsia="zh-CN"/>
        </w:rPr>
        <w:t>5</w:t>
      </w:r>
      <w:r>
        <w:rPr>
          <w:rFonts w:hint="eastAsia" w:ascii="仿宋" w:hAnsi="仿宋" w:eastAsia="仿宋" w:cs="Times New Roman"/>
          <w:color w:val="auto"/>
          <w:sz w:val="24"/>
          <w:szCs w:val="28"/>
          <w:highlight w:val="none"/>
        </w:rPr>
        <w:t>年</w:t>
      </w:r>
      <w:r>
        <w:rPr>
          <w:rFonts w:hint="eastAsia" w:ascii="仿宋" w:hAnsi="仿宋" w:eastAsia="仿宋" w:cs="Times New Roman"/>
          <w:color w:val="auto"/>
          <w:sz w:val="24"/>
          <w:szCs w:val="28"/>
          <w:highlight w:val="none"/>
          <w:lang w:val="en-US" w:eastAsia="zh-CN"/>
        </w:rPr>
        <w:t>6</w:t>
      </w:r>
      <w:r>
        <w:rPr>
          <w:rFonts w:hint="eastAsia" w:ascii="仿宋" w:hAnsi="仿宋" w:eastAsia="仿宋" w:cs="Times New Roman"/>
          <w:color w:val="auto"/>
          <w:sz w:val="24"/>
          <w:szCs w:val="28"/>
          <w:highlight w:val="none"/>
        </w:rPr>
        <w:t>月</w:t>
      </w:r>
      <w:r>
        <w:rPr>
          <w:rFonts w:hint="eastAsia" w:ascii="仿宋" w:hAnsi="仿宋" w:eastAsia="仿宋" w:cs="Times New Roman"/>
          <w:color w:val="auto"/>
          <w:sz w:val="24"/>
          <w:szCs w:val="28"/>
          <w:highlight w:val="none"/>
          <w:lang w:val="en-US" w:eastAsia="zh-CN"/>
        </w:rPr>
        <w:t>26</w:t>
      </w:r>
      <w:r>
        <w:rPr>
          <w:rFonts w:hint="eastAsia" w:ascii="仿宋" w:hAnsi="仿宋" w:eastAsia="仿宋" w:cs="Times New Roman"/>
          <w:color w:val="auto"/>
          <w:sz w:val="24"/>
          <w:szCs w:val="28"/>
          <w:highlight w:val="none"/>
        </w:rPr>
        <w:t>日</w:t>
      </w:r>
      <w:r>
        <w:rPr>
          <w:rFonts w:hint="eastAsia" w:ascii="仿宋" w:hAnsi="仿宋" w:eastAsia="仿宋" w:cs="Times New Roman"/>
          <w:color w:val="auto"/>
          <w:sz w:val="24"/>
          <w:szCs w:val="28"/>
          <w:highlight w:val="none"/>
          <w:lang w:val="en-US" w:eastAsia="zh-CN"/>
        </w:rPr>
        <w:t>09：30</w:t>
      </w:r>
      <w:r>
        <w:rPr>
          <w:rFonts w:hint="eastAsia" w:ascii="仿宋" w:hAnsi="仿宋" w:eastAsia="仿宋" w:cs="Times New Roman"/>
          <w:color w:val="auto"/>
          <w:sz w:val="24"/>
          <w:szCs w:val="28"/>
          <w:highlight w:val="none"/>
        </w:rPr>
        <w:t>（</w:t>
      </w:r>
      <w:r>
        <w:rPr>
          <w:rFonts w:hint="eastAsia" w:ascii="仿宋" w:hAnsi="仿宋" w:eastAsia="仿宋"/>
          <w:bCs/>
          <w:color w:val="auto"/>
          <w:sz w:val="24"/>
          <w:szCs w:val="28"/>
          <w:highlight w:val="none"/>
        </w:rPr>
        <w:t>北京时间）</w:t>
      </w:r>
    </w:p>
    <w:p w14:paraId="43526AD5">
      <w:pPr>
        <w:spacing w:line="360" w:lineRule="auto"/>
        <w:ind w:firstLine="480" w:firstLineChars="200"/>
        <w:jc w:val="left"/>
        <w:rPr>
          <w:rFonts w:hint="eastAsia" w:ascii="仿宋" w:hAnsi="仿宋" w:eastAsia="仿宋" w:cs="宋体"/>
          <w:color w:val="auto"/>
          <w:sz w:val="24"/>
          <w:szCs w:val="28"/>
          <w:highlight w:val="none"/>
          <w:lang w:eastAsia="zh-CN"/>
        </w:rPr>
      </w:pPr>
      <w:r>
        <w:rPr>
          <w:rFonts w:ascii="仿宋" w:hAnsi="仿宋" w:eastAsia="仿宋" w:cs="宋体"/>
          <w:color w:val="auto"/>
          <w:sz w:val="24"/>
          <w:szCs w:val="28"/>
          <w:highlight w:val="none"/>
        </w:rPr>
        <w:t>投标地点（网址）：</w:t>
      </w:r>
      <w:r>
        <w:rPr>
          <w:rFonts w:hint="eastAsia" w:ascii="仿宋" w:hAnsi="仿宋" w:eastAsia="仿宋" w:cs="宋体"/>
          <w:color w:val="auto"/>
          <w:sz w:val="24"/>
          <w:szCs w:val="28"/>
          <w:highlight w:val="none"/>
          <w:lang w:eastAsia="zh-CN"/>
        </w:rPr>
        <w:t>乐采云平台www.lecaiyun.com</w:t>
      </w:r>
    </w:p>
    <w:p w14:paraId="586A8625">
      <w:pPr>
        <w:spacing w:line="360" w:lineRule="auto"/>
        <w:ind w:firstLine="480" w:firstLineChars="200"/>
        <w:jc w:val="left"/>
        <w:rPr>
          <w:rFonts w:hint="eastAsia" w:ascii="仿宋" w:hAnsi="仿宋" w:eastAsia="仿宋" w:cs="Times New Roman"/>
          <w:color w:val="auto"/>
          <w:sz w:val="24"/>
          <w:szCs w:val="28"/>
          <w:highlight w:val="none"/>
        </w:rPr>
      </w:pPr>
      <w:r>
        <w:rPr>
          <w:rFonts w:ascii="仿宋" w:hAnsi="仿宋" w:eastAsia="仿宋" w:cs="宋体"/>
          <w:color w:val="auto"/>
          <w:sz w:val="24"/>
          <w:szCs w:val="28"/>
          <w:highlight w:val="none"/>
        </w:rPr>
        <w:t>开标时间：</w:t>
      </w:r>
      <w:r>
        <w:rPr>
          <w:rFonts w:hint="eastAsia" w:ascii="仿宋" w:hAnsi="仿宋" w:eastAsia="仿宋" w:cs="Times New Roman"/>
          <w:color w:val="auto"/>
          <w:sz w:val="24"/>
          <w:szCs w:val="28"/>
          <w:highlight w:val="none"/>
        </w:rPr>
        <w:t>2025年</w:t>
      </w:r>
      <w:r>
        <w:rPr>
          <w:rFonts w:hint="eastAsia" w:ascii="仿宋" w:hAnsi="仿宋" w:eastAsia="仿宋" w:cs="Times New Roman"/>
          <w:color w:val="auto"/>
          <w:sz w:val="24"/>
          <w:szCs w:val="28"/>
          <w:highlight w:val="none"/>
          <w:lang w:val="en-US" w:eastAsia="zh-CN"/>
        </w:rPr>
        <w:t>6</w:t>
      </w:r>
      <w:r>
        <w:rPr>
          <w:rFonts w:hint="eastAsia" w:ascii="仿宋" w:hAnsi="仿宋" w:eastAsia="仿宋" w:cs="Times New Roman"/>
          <w:color w:val="auto"/>
          <w:sz w:val="24"/>
          <w:szCs w:val="28"/>
          <w:highlight w:val="none"/>
        </w:rPr>
        <w:t>月</w:t>
      </w:r>
      <w:r>
        <w:rPr>
          <w:rFonts w:hint="eastAsia" w:ascii="仿宋" w:hAnsi="仿宋" w:eastAsia="仿宋" w:cs="Times New Roman"/>
          <w:color w:val="auto"/>
          <w:sz w:val="24"/>
          <w:szCs w:val="28"/>
          <w:highlight w:val="none"/>
          <w:lang w:val="en-US" w:eastAsia="zh-CN"/>
        </w:rPr>
        <w:t>26</w:t>
      </w:r>
      <w:r>
        <w:rPr>
          <w:rFonts w:hint="eastAsia" w:ascii="仿宋" w:hAnsi="仿宋" w:eastAsia="仿宋" w:cs="Times New Roman"/>
          <w:color w:val="auto"/>
          <w:sz w:val="24"/>
          <w:szCs w:val="28"/>
          <w:highlight w:val="none"/>
        </w:rPr>
        <w:t>日</w:t>
      </w:r>
      <w:r>
        <w:rPr>
          <w:rFonts w:hint="eastAsia" w:ascii="仿宋" w:hAnsi="仿宋" w:eastAsia="仿宋" w:cs="Times New Roman"/>
          <w:color w:val="auto"/>
          <w:sz w:val="24"/>
          <w:szCs w:val="28"/>
          <w:highlight w:val="none"/>
          <w:lang w:val="en-US" w:eastAsia="zh-CN"/>
        </w:rPr>
        <w:t>09</w:t>
      </w:r>
      <w:r>
        <w:rPr>
          <w:rFonts w:hint="eastAsia" w:ascii="仿宋" w:hAnsi="仿宋" w:eastAsia="仿宋" w:cs="Times New Roman"/>
          <w:color w:val="auto"/>
          <w:sz w:val="24"/>
          <w:szCs w:val="28"/>
          <w:highlight w:val="none"/>
        </w:rPr>
        <w:t>：30（北京时间）</w:t>
      </w:r>
    </w:p>
    <w:p w14:paraId="2E90321B">
      <w:pPr>
        <w:spacing w:line="36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开标地点（网址）：柯桥区鉴湖旅游度假区管委会C201会议室</w:t>
      </w:r>
      <w:r>
        <w:rPr>
          <w:rFonts w:hint="eastAsia" w:ascii="仿宋" w:hAnsi="仿宋" w:eastAsia="仿宋" w:cs="宋体"/>
          <w:color w:val="auto"/>
          <w:sz w:val="24"/>
          <w:szCs w:val="28"/>
          <w:highlight w:val="none"/>
        </w:rPr>
        <w:t>通过</w:t>
      </w:r>
      <w:r>
        <w:rPr>
          <w:rFonts w:hint="eastAsia" w:ascii="仿宋" w:hAnsi="仿宋" w:eastAsia="仿宋" w:cs="宋体"/>
          <w:color w:val="auto"/>
          <w:sz w:val="24"/>
          <w:szCs w:val="28"/>
          <w:highlight w:val="none"/>
          <w:lang w:eastAsia="zh-CN"/>
        </w:rPr>
        <w:t>乐采云平台www.lecaiyun.com</w:t>
      </w:r>
      <w:r>
        <w:rPr>
          <w:rFonts w:ascii="仿宋" w:hAnsi="仿宋" w:eastAsia="仿宋" w:cs="宋体"/>
          <w:color w:val="auto"/>
          <w:sz w:val="24"/>
          <w:szCs w:val="28"/>
          <w:highlight w:val="none"/>
        </w:rPr>
        <w:t>在线开标</w:t>
      </w:r>
      <w:r>
        <w:rPr>
          <w:rFonts w:hint="eastAsia" w:ascii="仿宋" w:hAnsi="仿宋" w:eastAsia="仿宋" w:cs="宋体"/>
          <w:color w:val="auto"/>
          <w:sz w:val="24"/>
          <w:szCs w:val="28"/>
          <w:highlight w:val="none"/>
        </w:rPr>
        <w:t>。</w:t>
      </w:r>
    </w:p>
    <w:p w14:paraId="29FE872A">
      <w:pPr>
        <w:pStyle w:val="3"/>
        <w:numPr>
          <w:ilvl w:val="0"/>
          <w:numId w:val="0"/>
        </w:numPr>
        <w:rPr>
          <w:rFonts w:ascii="黑体" w:hAnsi="黑体" w:cs="宋体"/>
          <w:color w:val="auto"/>
          <w:sz w:val="24"/>
          <w:szCs w:val="28"/>
          <w:highlight w:val="none"/>
        </w:rPr>
      </w:pPr>
      <w:bookmarkStart w:id="15" w:name="_Toc35393625"/>
      <w:bookmarkStart w:id="16" w:name="_Toc35393794"/>
      <w:bookmarkStart w:id="17" w:name="_Toc28359084"/>
      <w:bookmarkStart w:id="18" w:name="_Toc28359007"/>
      <w:r>
        <w:rPr>
          <w:rFonts w:hint="eastAsia" w:ascii="黑体" w:hAnsi="黑体" w:cs="宋体"/>
          <w:color w:val="auto"/>
          <w:sz w:val="24"/>
          <w:szCs w:val="28"/>
          <w:highlight w:val="none"/>
        </w:rPr>
        <w:t>五、公告期限</w:t>
      </w:r>
      <w:bookmarkEnd w:id="15"/>
      <w:bookmarkEnd w:id="16"/>
      <w:bookmarkEnd w:id="17"/>
      <w:bookmarkEnd w:id="18"/>
    </w:p>
    <w:p w14:paraId="5FFE7D88">
      <w:pPr>
        <w:spacing w:line="360" w:lineRule="auto"/>
        <w:ind w:firstLine="480" w:firstLineChars="200"/>
        <w:jc w:val="left"/>
        <w:rPr>
          <w:rFonts w:ascii="仿宋" w:hAnsi="仿宋" w:eastAsia="仿宋" w:cs="宋体"/>
          <w:color w:val="auto"/>
          <w:kern w:val="0"/>
          <w:sz w:val="24"/>
          <w:szCs w:val="28"/>
          <w:highlight w:val="none"/>
        </w:rPr>
      </w:pPr>
      <w:r>
        <w:rPr>
          <w:rFonts w:hint="eastAsia" w:ascii="仿宋" w:hAnsi="仿宋" w:eastAsia="仿宋" w:cs="宋体"/>
          <w:color w:val="auto"/>
          <w:kern w:val="0"/>
          <w:sz w:val="24"/>
          <w:szCs w:val="28"/>
          <w:highlight w:val="none"/>
        </w:rPr>
        <w:t>自本公告发布之日起5个工作日。</w:t>
      </w:r>
    </w:p>
    <w:p w14:paraId="1379A441">
      <w:pPr>
        <w:pStyle w:val="3"/>
        <w:numPr>
          <w:ilvl w:val="0"/>
          <w:numId w:val="0"/>
        </w:numPr>
        <w:rPr>
          <w:rFonts w:ascii="黑体" w:hAnsi="黑体" w:cs="宋体"/>
          <w:color w:val="auto"/>
          <w:sz w:val="24"/>
          <w:szCs w:val="28"/>
          <w:highlight w:val="none"/>
        </w:rPr>
      </w:pPr>
      <w:bookmarkStart w:id="19" w:name="_Toc35393795"/>
      <w:bookmarkStart w:id="20" w:name="_Toc35393626"/>
      <w:r>
        <w:rPr>
          <w:rFonts w:hint="eastAsia" w:ascii="黑体" w:hAnsi="黑体" w:cs="宋体"/>
          <w:color w:val="auto"/>
          <w:sz w:val="24"/>
          <w:szCs w:val="28"/>
          <w:highlight w:val="none"/>
        </w:rPr>
        <w:t>六、其他补充事宜</w:t>
      </w:r>
      <w:bookmarkEnd w:id="19"/>
      <w:bookmarkEnd w:id="20"/>
    </w:p>
    <w:p w14:paraId="4ADB05D7">
      <w:pPr>
        <w:spacing w:line="360" w:lineRule="auto"/>
        <w:ind w:firstLine="480" w:firstLineChars="200"/>
        <w:jc w:val="left"/>
        <w:rPr>
          <w:rFonts w:hint="eastAsia" w:ascii="仿宋" w:hAnsi="仿宋" w:eastAsia="仿宋"/>
          <w:color w:val="auto"/>
          <w:sz w:val="24"/>
          <w:szCs w:val="28"/>
          <w:highlight w:val="none"/>
        </w:rPr>
      </w:pPr>
      <w:r>
        <w:rPr>
          <w:rFonts w:ascii="仿宋" w:hAnsi="仿宋" w:eastAsia="仿宋"/>
          <w:color w:val="auto"/>
          <w:sz w:val="24"/>
          <w:szCs w:val="28"/>
          <w:highlight w:val="none"/>
        </w:rPr>
        <w:t>1.供应商认为</w:t>
      </w:r>
      <w:r>
        <w:rPr>
          <w:rFonts w:hint="eastAsia" w:ascii="仿宋" w:hAnsi="仿宋" w:eastAsia="仿宋"/>
          <w:color w:val="auto"/>
          <w:sz w:val="24"/>
          <w:szCs w:val="28"/>
          <w:highlight w:val="none"/>
          <w:lang w:eastAsia="zh-CN"/>
        </w:rPr>
        <w:t>遴选文件</w:t>
      </w:r>
      <w:r>
        <w:rPr>
          <w:rFonts w:ascii="仿宋" w:hAnsi="仿宋" w:eastAsia="仿宋"/>
          <w:color w:val="auto"/>
          <w:sz w:val="24"/>
          <w:szCs w:val="28"/>
          <w:highlight w:val="none"/>
        </w:rPr>
        <w:t>使自己的权益受到损害的，可以自获取</w:t>
      </w:r>
      <w:r>
        <w:rPr>
          <w:rFonts w:hint="eastAsia" w:ascii="仿宋" w:hAnsi="仿宋" w:eastAsia="仿宋"/>
          <w:color w:val="auto"/>
          <w:sz w:val="24"/>
          <w:szCs w:val="28"/>
          <w:highlight w:val="none"/>
          <w:lang w:eastAsia="zh-CN"/>
        </w:rPr>
        <w:t>遴选文件</w:t>
      </w:r>
      <w:r>
        <w:rPr>
          <w:rFonts w:ascii="仿宋" w:hAnsi="仿宋" w:eastAsia="仿宋"/>
          <w:color w:val="auto"/>
          <w:sz w:val="24"/>
          <w:szCs w:val="28"/>
          <w:highlight w:val="none"/>
        </w:rPr>
        <w:t>之日或者</w:t>
      </w:r>
      <w:r>
        <w:rPr>
          <w:rFonts w:hint="eastAsia" w:ascii="仿宋" w:hAnsi="仿宋" w:eastAsia="仿宋"/>
          <w:color w:val="auto"/>
          <w:sz w:val="24"/>
          <w:szCs w:val="28"/>
          <w:highlight w:val="none"/>
          <w:lang w:eastAsia="zh-CN"/>
        </w:rPr>
        <w:t>遴选文件</w:t>
      </w:r>
      <w:r>
        <w:rPr>
          <w:rFonts w:ascii="仿宋" w:hAnsi="仿宋" w:eastAsia="仿宋"/>
          <w:color w:val="auto"/>
          <w:sz w:val="24"/>
          <w:szCs w:val="28"/>
          <w:highlight w:val="none"/>
        </w:rPr>
        <w:t>公告期限届满之日（公告期限届满后获取</w:t>
      </w:r>
      <w:r>
        <w:rPr>
          <w:rFonts w:hint="eastAsia" w:ascii="仿宋" w:hAnsi="仿宋" w:eastAsia="仿宋"/>
          <w:color w:val="auto"/>
          <w:sz w:val="24"/>
          <w:szCs w:val="28"/>
          <w:highlight w:val="none"/>
          <w:lang w:eastAsia="zh-CN"/>
        </w:rPr>
        <w:t>遴选文件</w:t>
      </w:r>
      <w:r>
        <w:rPr>
          <w:rFonts w:ascii="仿宋" w:hAnsi="仿宋" w:eastAsia="仿宋"/>
          <w:color w:val="auto"/>
          <w:sz w:val="24"/>
          <w:szCs w:val="28"/>
          <w:highlight w:val="none"/>
        </w:rPr>
        <w:t>的，以公告期限届满之日为准）起7个工作日内，以书面形式向</w:t>
      </w:r>
      <w:r>
        <w:rPr>
          <w:rFonts w:hint="eastAsia" w:ascii="仿宋" w:hAnsi="仿宋" w:eastAsia="仿宋"/>
          <w:color w:val="auto"/>
          <w:sz w:val="24"/>
          <w:szCs w:val="28"/>
          <w:highlight w:val="none"/>
          <w:lang w:eastAsia="zh-CN"/>
        </w:rPr>
        <w:t>遴选人</w:t>
      </w:r>
      <w:r>
        <w:rPr>
          <w:rFonts w:ascii="仿宋" w:hAnsi="仿宋" w:eastAsia="仿宋"/>
          <w:color w:val="auto"/>
          <w:sz w:val="24"/>
          <w:szCs w:val="28"/>
          <w:highlight w:val="none"/>
        </w:rPr>
        <w:t>和</w:t>
      </w:r>
      <w:r>
        <w:rPr>
          <w:rFonts w:hint="eastAsia" w:ascii="仿宋" w:hAnsi="仿宋" w:eastAsia="仿宋"/>
          <w:color w:val="auto"/>
          <w:sz w:val="24"/>
          <w:szCs w:val="28"/>
          <w:highlight w:val="none"/>
          <w:lang w:eastAsia="zh-CN"/>
        </w:rPr>
        <w:t>遴选代理单位</w:t>
      </w:r>
      <w:r>
        <w:rPr>
          <w:rFonts w:ascii="仿宋" w:hAnsi="仿宋" w:eastAsia="仿宋"/>
          <w:color w:val="auto"/>
          <w:sz w:val="24"/>
          <w:szCs w:val="28"/>
          <w:highlight w:val="none"/>
        </w:rPr>
        <w:t>提出质疑。质疑供应商对</w:t>
      </w:r>
      <w:r>
        <w:rPr>
          <w:rFonts w:hint="eastAsia" w:ascii="仿宋" w:hAnsi="仿宋" w:eastAsia="仿宋"/>
          <w:color w:val="auto"/>
          <w:sz w:val="24"/>
          <w:szCs w:val="28"/>
          <w:highlight w:val="none"/>
          <w:lang w:eastAsia="zh-CN"/>
        </w:rPr>
        <w:t>遴选人</w:t>
      </w:r>
      <w:r>
        <w:rPr>
          <w:rFonts w:ascii="仿宋" w:hAnsi="仿宋" w:eastAsia="仿宋"/>
          <w:color w:val="auto"/>
          <w:sz w:val="24"/>
          <w:szCs w:val="28"/>
          <w:highlight w:val="none"/>
        </w:rPr>
        <w:t>、</w:t>
      </w:r>
      <w:r>
        <w:rPr>
          <w:rFonts w:hint="eastAsia" w:ascii="仿宋" w:hAnsi="仿宋" w:eastAsia="仿宋"/>
          <w:color w:val="auto"/>
          <w:sz w:val="24"/>
          <w:szCs w:val="28"/>
          <w:highlight w:val="none"/>
          <w:lang w:eastAsia="zh-CN"/>
        </w:rPr>
        <w:t>遴选代理单位</w:t>
      </w:r>
      <w:r>
        <w:rPr>
          <w:rFonts w:ascii="仿宋" w:hAnsi="仿宋" w:eastAsia="仿宋"/>
          <w:color w:val="auto"/>
          <w:sz w:val="24"/>
          <w:szCs w:val="28"/>
          <w:highlight w:val="none"/>
        </w:rPr>
        <w:t>的答复不满意或者</w:t>
      </w:r>
      <w:r>
        <w:rPr>
          <w:rFonts w:hint="eastAsia" w:ascii="仿宋" w:hAnsi="仿宋" w:eastAsia="仿宋"/>
          <w:color w:val="auto"/>
          <w:sz w:val="24"/>
          <w:szCs w:val="28"/>
          <w:highlight w:val="none"/>
          <w:lang w:eastAsia="zh-CN"/>
        </w:rPr>
        <w:t>遴选人</w:t>
      </w:r>
      <w:r>
        <w:rPr>
          <w:rFonts w:ascii="仿宋" w:hAnsi="仿宋" w:eastAsia="仿宋"/>
          <w:color w:val="auto"/>
          <w:sz w:val="24"/>
          <w:szCs w:val="28"/>
          <w:highlight w:val="none"/>
        </w:rPr>
        <w:t>、</w:t>
      </w:r>
      <w:r>
        <w:rPr>
          <w:rFonts w:hint="eastAsia" w:ascii="仿宋" w:hAnsi="仿宋" w:eastAsia="仿宋"/>
          <w:color w:val="auto"/>
          <w:sz w:val="24"/>
          <w:szCs w:val="28"/>
          <w:highlight w:val="none"/>
          <w:lang w:eastAsia="zh-CN"/>
        </w:rPr>
        <w:t>遴选代理单位</w:t>
      </w:r>
      <w:r>
        <w:rPr>
          <w:rFonts w:ascii="仿宋" w:hAnsi="仿宋" w:eastAsia="仿宋"/>
          <w:color w:val="auto"/>
          <w:sz w:val="24"/>
          <w:szCs w:val="28"/>
          <w:highlight w:val="none"/>
        </w:rPr>
        <w:t>未在规定的时间内作出答复的，可以在答复期满后十五个工作日内向同级</w:t>
      </w:r>
      <w:r>
        <w:rPr>
          <w:rFonts w:hint="eastAsia" w:ascii="仿宋" w:hAnsi="仿宋" w:eastAsia="仿宋"/>
          <w:color w:val="auto"/>
          <w:sz w:val="24"/>
          <w:szCs w:val="28"/>
          <w:highlight w:val="none"/>
        </w:rPr>
        <w:t>国有企业采购</w:t>
      </w:r>
      <w:r>
        <w:rPr>
          <w:rFonts w:ascii="仿宋" w:hAnsi="仿宋" w:eastAsia="仿宋"/>
          <w:color w:val="auto"/>
          <w:sz w:val="24"/>
          <w:szCs w:val="28"/>
          <w:highlight w:val="none"/>
        </w:rPr>
        <w:t>监督管理部门投诉。质疑函范本、投诉书范本请到浙江政府采购网下载专区下载。</w:t>
      </w:r>
    </w:p>
    <w:p w14:paraId="23BE014D">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2.其他事项：</w:t>
      </w:r>
      <w:r>
        <w:rPr>
          <w:rFonts w:hint="eastAsia" w:ascii="仿宋" w:hAnsi="仿宋" w:eastAsia="仿宋"/>
          <w:color w:val="auto"/>
          <w:sz w:val="24"/>
          <w:szCs w:val="28"/>
          <w:highlight w:val="none"/>
          <w:u w:val="single"/>
        </w:rPr>
        <w:t>/</w:t>
      </w:r>
      <w:r>
        <w:rPr>
          <w:rFonts w:hint="eastAsia" w:ascii="仿宋" w:hAnsi="仿宋" w:eastAsia="仿宋"/>
          <w:color w:val="auto"/>
          <w:sz w:val="24"/>
          <w:szCs w:val="28"/>
          <w:highlight w:val="none"/>
        </w:rPr>
        <w:t xml:space="preserve"> </w:t>
      </w:r>
    </w:p>
    <w:p w14:paraId="06B5A53D">
      <w:pPr>
        <w:pStyle w:val="3"/>
        <w:numPr>
          <w:ilvl w:val="0"/>
          <w:numId w:val="0"/>
        </w:numPr>
        <w:rPr>
          <w:rFonts w:ascii="黑体" w:hAnsi="黑体" w:cs="宋体"/>
          <w:color w:val="auto"/>
          <w:sz w:val="24"/>
          <w:szCs w:val="28"/>
          <w:highlight w:val="none"/>
        </w:rPr>
      </w:pPr>
      <w:bookmarkStart w:id="21" w:name="_Toc35393796"/>
      <w:bookmarkStart w:id="22" w:name="_Toc28359008"/>
      <w:bookmarkStart w:id="23" w:name="_Toc35393627"/>
      <w:bookmarkStart w:id="24" w:name="_Toc28359085"/>
      <w:r>
        <w:rPr>
          <w:rFonts w:hint="eastAsia" w:ascii="黑体" w:hAnsi="黑体" w:cs="宋体"/>
          <w:color w:val="auto"/>
          <w:sz w:val="24"/>
          <w:szCs w:val="28"/>
          <w:highlight w:val="none"/>
        </w:rPr>
        <w:t>七、对本次采购提出询问、质疑、投诉，请按以下方式联系。</w:t>
      </w:r>
      <w:bookmarkEnd w:id="21"/>
      <w:bookmarkEnd w:id="22"/>
      <w:bookmarkEnd w:id="23"/>
      <w:bookmarkEnd w:id="24"/>
    </w:p>
    <w:p w14:paraId="63BE260C">
      <w:pPr>
        <w:widowControl/>
        <w:spacing w:line="360" w:lineRule="auto"/>
        <w:ind w:firstLine="480" w:firstLineChars="200"/>
        <w:jc w:val="left"/>
        <w:rPr>
          <w:rFonts w:ascii="仿宋" w:hAnsi="仿宋" w:eastAsia="仿宋" w:cs="宋体"/>
          <w:color w:val="auto"/>
          <w:sz w:val="24"/>
          <w:szCs w:val="28"/>
        </w:rPr>
      </w:pPr>
      <w:r>
        <w:rPr>
          <w:rFonts w:ascii="仿宋" w:hAnsi="仿宋" w:eastAsia="仿宋" w:cs="宋体"/>
          <w:color w:val="auto"/>
          <w:sz w:val="24"/>
          <w:szCs w:val="28"/>
        </w:rPr>
        <w:t>1.</w:t>
      </w:r>
      <w:r>
        <w:rPr>
          <w:rFonts w:hint="eastAsia" w:ascii="仿宋" w:hAnsi="仿宋" w:eastAsia="仿宋" w:cs="宋体"/>
          <w:color w:val="auto"/>
          <w:sz w:val="24"/>
          <w:szCs w:val="28"/>
          <w:lang w:eastAsia="zh-CN"/>
        </w:rPr>
        <w:t>遴选人</w:t>
      </w:r>
      <w:r>
        <w:rPr>
          <w:rFonts w:ascii="仿宋" w:hAnsi="仿宋" w:eastAsia="仿宋" w:cs="宋体"/>
          <w:color w:val="auto"/>
          <w:sz w:val="24"/>
          <w:szCs w:val="28"/>
        </w:rPr>
        <w:t>信息</w:t>
      </w:r>
    </w:p>
    <w:p w14:paraId="76BE69E4">
      <w:pPr>
        <w:widowControl/>
        <w:spacing w:line="360" w:lineRule="auto"/>
        <w:jc w:val="left"/>
        <w:rPr>
          <w:rFonts w:hint="eastAsia" w:ascii="仿宋" w:hAnsi="仿宋" w:eastAsia="仿宋" w:cs="宋体"/>
          <w:color w:val="auto"/>
          <w:sz w:val="24"/>
          <w:szCs w:val="28"/>
          <w:lang w:eastAsia="zh-CN"/>
        </w:rPr>
      </w:pPr>
      <w:r>
        <w:rPr>
          <w:rFonts w:hint="eastAsia" w:ascii="宋体" w:hAnsi="宋体" w:cs="宋体"/>
          <w:color w:val="auto"/>
          <w:sz w:val="24"/>
          <w:szCs w:val="28"/>
        </w:rPr>
        <w:t> </w:t>
      </w:r>
      <w:r>
        <w:rPr>
          <w:rFonts w:hint="eastAsia" w:ascii="仿宋" w:hAnsi="仿宋" w:eastAsia="仿宋" w:cs="仿宋"/>
          <w:color w:val="auto"/>
          <w:sz w:val="24"/>
          <w:szCs w:val="28"/>
        </w:rPr>
        <w:t xml:space="preserve"> </w:t>
      </w:r>
      <w:r>
        <w:rPr>
          <w:rFonts w:hint="eastAsia" w:ascii="宋体" w:hAnsi="宋体" w:cs="宋体"/>
          <w:color w:val="auto"/>
          <w:sz w:val="24"/>
          <w:szCs w:val="28"/>
        </w:rPr>
        <w:t xml:space="preserve"> </w:t>
      </w:r>
      <w:r>
        <w:rPr>
          <w:rFonts w:ascii="仿宋" w:hAnsi="仿宋" w:eastAsia="仿宋" w:cs="宋体"/>
          <w:color w:val="auto"/>
          <w:sz w:val="24"/>
          <w:szCs w:val="28"/>
        </w:rPr>
        <w:t>名称：</w:t>
      </w:r>
      <w:bookmarkStart w:id="25" w:name="OLE_LINK2"/>
      <w:r>
        <w:rPr>
          <w:rFonts w:hint="eastAsia" w:ascii="仿宋" w:hAnsi="仿宋" w:eastAsia="仿宋" w:cs="宋体"/>
          <w:color w:val="auto"/>
          <w:sz w:val="24"/>
          <w:szCs w:val="28"/>
        </w:rPr>
        <w:t>绍兴柯岩建设投资有限公司</w:t>
      </w:r>
      <w:bookmarkEnd w:id="25"/>
    </w:p>
    <w:p w14:paraId="0CCA78DC">
      <w:pPr>
        <w:widowControl/>
        <w:spacing w:line="360" w:lineRule="auto"/>
        <w:ind w:firstLine="480" w:firstLineChars="200"/>
        <w:jc w:val="left"/>
        <w:rPr>
          <w:rFonts w:hint="eastAsia" w:ascii="仿宋" w:hAnsi="仿宋" w:eastAsia="仿宋" w:cs="宋体"/>
          <w:color w:val="auto"/>
          <w:sz w:val="24"/>
          <w:szCs w:val="28"/>
        </w:rPr>
      </w:pPr>
      <w:r>
        <w:rPr>
          <w:rFonts w:ascii="仿宋" w:hAnsi="仿宋" w:eastAsia="仿宋" w:cs="宋体"/>
          <w:color w:val="auto"/>
          <w:sz w:val="24"/>
          <w:szCs w:val="28"/>
        </w:rPr>
        <w:t>地址：</w:t>
      </w:r>
      <w:r>
        <w:rPr>
          <w:rFonts w:hint="eastAsia" w:ascii="仿宋" w:hAnsi="仿宋" w:eastAsia="仿宋" w:cs="宋体"/>
          <w:color w:val="auto"/>
          <w:sz w:val="24"/>
          <w:szCs w:val="28"/>
        </w:rPr>
        <w:t>绍兴市柯桥区柯岩街道杨绍线880号</w:t>
      </w:r>
    </w:p>
    <w:p w14:paraId="14F64B4A">
      <w:pPr>
        <w:widowControl/>
        <w:spacing w:line="360" w:lineRule="auto"/>
        <w:ind w:firstLine="480" w:firstLineChars="200"/>
        <w:jc w:val="left"/>
        <w:rPr>
          <w:rFonts w:ascii="仿宋" w:hAnsi="仿宋" w:eastAsia="仿宋" w:cs="宋体"/>
          <w:color w:val="auto"/>
          <w:sz w:val="24"/>
          <w:szCs w:val="28"/>
        </w:rPr>
      </w:pPr>
      <w:r>
        <w:rPr>
          <w:rFonts w:ascii="仿宋" w:hAnsi="仿宋" w:eastAsia="仿宋" w:cs="宋体"/>
          <w:color w:val="auto"/>
          <w:sz w:val="24"/>
          <w:szCs w:val="28"/>
        </w:rPr>
        <w:t>传真</w:t>
      </w:r>
      <w:r>
        <w:rPr>
          <w:rFonts w:hint="eastAsia" w:ascii="仿宋" w:hAnsi="仿宋" w:eastAsia="仿宋" w:cs="宋体"/>
          <w:color w:val="auto"/>
          <w:sz w:val="24"/>
          <w:szCs w:val="28"/>
        </w:rPr>
        <w:t>：/</w:t>
      </w:r>
    </w:p>
    <w:p w14:paraId="3B11196B">
      <w:pPr>
        <w:widowControl/>
        <w:spacing w:line="360" w:lineRule="auto"/>
        <w:jc w:val="left"/>
        <w:rPr>
          <w:rFonts w:hint="eastAsia" w:ascii="仿宋" w:hAnsi="仿宋" w:eastAsia="仿宋" w:cs="宋体"/>
          <w:color w:val="auto"/>
          <w:sz w:val="24"/>
          <w:szCs w:val="28"/>
          <w:lang w:val="en-US" w:eastAsia="zh-CN"/>
        </w:rPr>
      </w:pPr>
      <w:r>
        <w:rPr>
          <w:rFonts w:hint="eastAsia" w:ascii="宋体" w:hAnsi="宋体" w:cs="宋体"/>
          <w:color w:val="auto"/>
          <w:sz w:val="24"/>
          <w:szCs w:val="28"/>
        </w:rPr>
        <w:t> </w:t>
      </w:r>
      <w:r>
        <w:rPr>
          <w:rFonts w:hint="eastAsia" w:ascii="仿宋" w:hAnsi="仿宋" w:eastAsia="仿宋" w:cs="仿宋"/>
          <w:color w:val="auto"/>
          <w:sz w:val="24"/>
          <w:szCs w:val="28"/>
        </w:rPr>
        <w:t xml:space="preserve"> </w:t>
      </w:r>
      <w:r>
        <w:rPr>
          <w:rFonts w:hint="eastAsia" w:ascii="宋体" w:hAnsi="宋体" w:cs="宋体"/>
          <w:color w:val="auto"/>
          <w:sz w:val="24"/>
          <w:szCs w:val="28"/>
        </w:rPr>
        <w:t xml:space="preserve"> </w:t>
      </w:r>
      <w:r>
        <w:rPr>
          <w:rFonts w:ascii="仿宋" w:hAnsi="仿宋" w:eastAsia="仿宋" w:cs="宋体"/>
          <w:color w:val="auto"/>
          <w:sz w:val="24"/>
          <w:szCs w:val="28"/>
        </w:rPr>
        <w:t>项目联系人（询问）：</w:t>
      </w:r>
      <w:r>
        <w:rPr>
          <w:rFonts w:hint="eastAsia" w:ascii="仿宋" w:hAnsi="仿宋" w:eastAsia="仿宋" w:cs="宋体"/>
          <w:color w:val="auto"/>
          <w:sz w:val="24"/>
          <w:szCs w:val="28"/>
        </w:rPr>
        <w:t>吴益春</w:t>
      </w:r>
    </w:p>
    <w:p w14:paraId="0EB62AAE">
      <w:pPr>
        <w:widowControl/>
        <w:spacing w:line="360" w:lineRule="auto"/>
        <w:jc w:val="left"/>
        <w:rPr>
          <w:rFonts w:hint="eastAsia" w:ascii="宋体" w:hAnsi="宋体" w:cs="宋体"/>
          <w:color w:val="auto"/>
          <w:sz w:val="24"/>
          <w:szCs w:val="28"/>
        </w:rPr>
      </w:pPr>
      <w:r>
        <w:rPr>
          <w:rFonts w:hint="eastAsia" w:ascii="宋体" w:hAnsi="宋体" w:cs="宋体"/>
          <w:color w:val="auto"/>
          <w:sz w:val="24"/>
          <w:szCs w:val="28"/>
        </w:rPr>
        <w:t> </w:t>
      </w:r>
      <w:r>
        <w:rPr>
          <w:rFonts w:hint="eastAsia" w:ascii="仿宋" w:hAnsi="仿宋" w:eastAsia="仿宋" w:cs="仿宋"/>
          <w:color w:val="auto"/>
          <w:sz w:val="24"/>
          <w:szCs w:val="28"/>
        </w:rPr>
        <w:t xml:space="preserve"> </w:t>
      </w:r>
      <w:r>
        <w:rPr>
          <w:rFonts w:hint="eastAsia" w:ascii="宋体" w:hAnsi="宋体" w:cs="宋体"/>
          <w:color w:val="auto"/>
          <w:sz w:val="24"/>
          <w:szCs w:val="28"/>
        </w:rPr>
        <w:t xml:space="preserve"> </w:t>
      </w:r>
      <w:r>
        <w:rPr>
          <w:rFonts w:ascii="仿宋" w:hAnsi="仿宋" w:eastAsia="仿宋" w:cs="宋体"/>
          <w:color w:val="auto"/>
          <w:sz w:val="24"/>
          <w:szCs w:val="28"/>
        </w:rPr>
        <w:t>项目联系方式（询问）：</w:t>
      </w:r>
      <w:r>
        <w:rPr>
          <w:rFonts w:hint="eastAsia" w:ascii="仿宋" w:hAnsi="仿宋" w:eastAsia="仿宋" w:cs="宋体"/>
          <w:color w:val="auto"/>
          <w:sz w:val="24"/>
          <w:szCs w:val="28"/>
          <w:lang w:val="en-US" w:eastAsia="zh-CN"/>
        </w:rPr>
        <w:t>0575-84318707</w:t>
      </w:r>
      <w:r>
        <w:rPr>
          <w:rFonts w:hint="eastAsia" w:ascii="宋体" w:hAnsi="宋体" w:cs="宋体"/>
          <w:color w:val="auto"/>
          <w:sz w:val="24"/>
          <w:szCs w:val="28"/>
        </w:rPr>
        <w:t> </w:t>
      </w:r>
      <w:r>
        <w:rPr>
          <w:rFonts w:hint="eastAsia" w:ascii="仿宋" w:hAnsi="仿宋" w:eastAsia="仿宋" w:cs="仿宋"/>
          <w:color w:val="auto"/>
          <w:sz w:val="24"/>
          <w:szCs w:val="28"/>
        </w:rPr>
        <w:t xml:space="preserve"> </w:t>
      </w:r>
      <w:r>
        <w:rPr>
          <w:rFonts w:hint="eastAsia" w:ascii="宋体" w:hAnsi="宋体" w:cs="宋体"/>
          <w:color w:val="auto"/>
          <w:sz w:val="24"/>
          <w:szCs w:val="28"/>
        </w:rPr>
        <w:t xml:space="preserve"> </w:t>
      </w:r>
    </w:p>
    <w:p w14:paraId="3B45692A">
      <w:pPr>
        <w:widowControl/>
        <w:spacing w:line="360" w:lineRule="auto"/>
        <w:ind w:firstLine="480" w:firstLineChars="200"/>
        <w:jc w:val="left"/>
        <w:rPr>
          <w:rFonts w:ascii="仿宋" w:hAnsi="仿宋" w:eastAsia="仿宋" w:cs="宋体"/>
          <w:color w:val="auto"/>
          <w:sz w:val="24"/>
          <w:szCs w:val="28"/>
        </w:rPr>
      </w:pPr>
      <w:r>
        <w:rPr>
          <w:rFonts w:ascii="仿宋" w:hAnsi="仿宋" w:eastAsia="仿宋" w:cs="宋体"/>
          <w:color w:val="auto"/>
          <w:sz w:val="24"/>
          <w:szCs w:val="28"/>
        </w:rPr>
        <w:t>质疑联系人：</w:t>
      </w:r>
      <w:r>
        <w:rPr>
          <w:rFonts w:hint="eastAsia" w:ascii="仿宋" w:hAnsi="仿宋" w:eastAsia="仿宋" w:cs="宋体"/>
          <w:color w:val="auto"/>
          <w:sz w:val="24"/>
          <w:szCs w:val="28"/>
        </w:rPr>
        <w:t>冯亚娟</w:t>
      </w:r>
    </w:p>
    <w:p w14:paraId="14AA4865">
      <w:pPr>
        <w:widowControl/>
        <w:spacing w:line="360" w:lineRule="auto"/>
        <w:ind w:firstLine="480" w:firstLineChars="200"/>
        <w:jc w:val="left"/>
        <w:rPr>
          <w:rFonts w:ascii="仿宋" w:hAnsi="仿宋" w:eastAsia="仿宋"/>
          <w:color w:val="auto"/>
          <w:sz w:val="24"/>
          <w:szCs w:val="28"/>
        </w:rPr>
      </w:pPr>
      <w:r>
        <w:rPr>
          <w:rFonts w:ascii="仿宋" w:hAnsi="仿宋" w:eastAsia="仿宋" w:cs="宋体"/>
          <w:color w:val="auto"/>
          <w:sz w:val="24"/>
          <w:szCs w:val="28"/>
        </w:rPr>
        <w:t>质疑联系方式：</w:t>
      </w:r>
      <w:r>
        <w:rPr>
          <w:rFonts w:hint="eastAsia" w:ascii="仿宋" w:hAnsi="仿宋" w:eastAsia="仿宋" w:cs="宋体"/>
          <w:color w:val="auto"/>
          <w:sz w:val="24"/>
          <w:szCs w:val="28"/>
          <w:lang w:val="en-US" w:eastAsia="zh-CN"/>
        </w:rPr>
        <w:t>0575-84318707</w:t>
      </w:r>
    </w:p>
    <w:bookmarkEnd w:id="416"/>
    <w:p w14:paraId="1E70A819">
      <w:pPr>
        <w:widowControl/>
        <w:spacing w:line="360" w:lineRule="auto"/>
        <w:jc w:val="left"/>
        <w:rPr>
          <w:rFonts w:ascii="仿宋" w:hAnsi="仿宋" w:eastAsia="仿宋" w:cs="宋体"/>
          <w:color w:val="auto"/>
          <w:sz w:val="24"/>
          <w:szCs w:val="28"/>
        </w:rPr>
      </w:pPr>
      <w:r>
        <w:rPr>
          <w:rFonts w:hint="eastAsia" w:ascii="宋体" w:hAnsi="宋体" w:cs="宋体"/>
          <w:color w:val="auto"/>
          <w:sz w:val="24"/>
          <w:szCs w:val="28"/>
        </w:rPr>
        <w:t> </w:t>
      </w:r>
      <w:r>
        <w:rPr>
          <w:rFonts w:hint="eastAsia" w:ascii="仿宋" w:hAnsi="仿宋" w:eastAsia="仿宋" w:cs="仿宋"/>
          <w:color w:val="auto"/>
          <w:sz w:val="24"/>
          <w:szCs w:val="28"/>
        </w:rPr>
        <w:t xml:space="preserve">  2.</w:t>
      </w:r>
      <w:r>
        <w:rPr>
          <w:rFonts w:hint="eastAsia" w:ascii="仿宋" w:hAnsi="仿宋" w:eastAsia="仿宋" w:cs="宋体"/>
          <w:color w:val="auto"/>
          <w:sz w:val="24"/>
          <w:szCs w:val="28"/>
          <w:lang w:eastAsia="zh-CN"/>
        </w:rPr>
        <w:t>遴选代理单位</w:t>
      </w:r>
      <w:r>
        <w:rPr>
          <w:rFonts w:ascii="仿宋" w:hAnsi="仿宋" w:eastAsia="仿宋" w:cs="宋体"/>
          <w:color w:val="auto"/>
          <w:sz w:val="24"/>
          <w:szCs w:val="28"/>
        </w:rPr>
        <w:t>信息</w:t>
      </w:r>
    </w:p>
    <w:p w14:paraId="0B4E6189">
      <w:pPr>
        <w:widowControl/>
        <w:spacing w:line="360" w:lineRule="auto"/>
        <w:jc w:val="left"/>
        <w:rPr>
          <w:rFonts w:hint="eastAsia" w:ascii="仿宋" w:hAnsi="仿宋" w:eastAsia="仿宋" w:cs="宋体"/>
          <w:color w:val="auto"/>
          <w:sz w:val="24"/>
          <w:szCs w:val="28"/>
          <w:lang w:eastAsia="zh-CN"/>
        </w:rPr>
      </w:pPr>
      <w:r>
        <w:rPr>
          <w:rFonts w:hint="eastAsia" w:ascii="宋体" w:hAnsi="宋体" w:cs="宋体"/>
          <w:color w:val="auto"/>
          <w:sz w:val="24"/>
          <w:szCs w:val="28"/>
        </w:rPr>
        <w:t> </w:t>
      </w:r>
      <w:r>
        <w:rPr>
          <w:rFonts w:hint="eastAsia" w:ascii="仿宋" w:hAnsi="仿宋" w:eastAsia="仿宋" w:cs="仿宋"/>
          <w:color w:val="auto"/>
          <w:sz w:val="24"/>
          <w:szCs w:val="28"/>
        </w:rPr>
        <w:t xml:space="preserve"> </w:t>
      </w:r>
      <w:r>
        <w:rPr>
          <w:rFonts w:hint="eastAsia" w:ascii="宋体" w:hAnsi="宋体" w:cs="宋体"/>
          <w:color w:val="auto"/>
          <w:sz w:val="24"/>
          <w:szCs w:val="28"/>
        </w:rPr>
        <w:t xml:space="preserve"> </w:t>
      </w:r>
      <w:r>
        <w:rPr>
          <w:rFonts w:ascii="仿宋" w:hAnsi="仿宋" w:eastAsia="仿宋" w:cs="宋体"/>
          <w:color w:val="auto"/>
          <w:sz w:val="24"/>
          <w:szCs w:val="28"/>
        </w:rPr>
        <w:t>名称：</w:t>
      </w:r>
      <w:r>
        <w:rPr>
          <w:rFonts w:hint="eastAsia" w:ascii="仿宋" w:hAnsi="仿宋" w:eastAsia="仿宋" w:cs="宋体"/>
          <w:snapToGrid w:val="0"/>
          <w:color w:val="auto"/>
          <w:kern w:val="0"/>
          <w:sz w:val="24"/>
          <w:szCs w:val="28"/>
          <w:lang w:eastAsia="zh-CN"/>
        </w:rPr>
        <w:t>绍兴市诚信工程造价咨询事务所有限公司</w:t>
      </w:r>
    </w:p>
    <w:p w14:paraId="7ACC354F">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default" w:ascii="仿宋" w:eastAsia="仿宋" w:cs="宋体"/>
          <w:color w:val="auto"/>
          <w:sz w:val="24"/>
          <w:szCs w:val="28"/>
          <w:highlight w:val="none"/>
          <w:lang w:val="en-US" w:bidi="ar-SA"/>
        </w:rPr>
      </w:pPr>
      <w:r>
        <w:rPr>
          <w:rFonts w:hint="eastAsia" w:ascii="仿宋" w:eastAsia="仿宋" w:cs="宋体"/>
          <w:color w:val="auto"/>
          <w:sz w:val="24"/>
          <w:szCs w:val="28"/>
          <w:highlight w:val="none"/>
          <w:lang w:bidi="ar-SA"/>
        </w:rPr>
        <w:t>地址：</w:t>
      </w:r>
      <w:r>
        <w:rPr>
          <w:rFonts w:hint="eastAsia" w:ascii="仿宋" w:eastAsia="仿宋" w:cs="宋体"/>
          <w:color w:val="auto"/>
          <w:sz w:val="24"/>
          <w:szCs w:val="28"/>
          <w:highlight w:val="none"/>
          <w:lang w:val="en-US" w:eastAsia="zh-CN" w:bidi="ar-SA"/>
        </w:rPr>
        <w:t>绍兴市越城区斗门街道寺东街7号14号</w:t>
      </w:r>
    </w:p>
    <w:p w14:paraId="07E49BEA">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仿宋" w:eastAsia="仿宋" w:cs="宋体"/>
          <w:color w:val="auto"/>
          <w:sz w:val="24"/>
          <w:szCs w:val="28"/>
          <w:highlight w:val="none"/>
          <w:lang w:eastAsia="zh-CN" w:bidi="ar-SA"/>
        </w:rPr>
      </w:pPr>
      <w:r>
        <w:rPr>
          <w:rFonts w:hint="eastAsia" w:ascii="仿宋" w:eastAsia="仿宋" w:cs="宋体"/>
          <w:color w:val="auto"/>
          <w:sz w:val="24"/>
          <w:szCs w:val="28"/>
          <w:highlight w:val="none"/>
          <w:lang w:bidi="ar-SA"/>
        </w:rPr>
        <w:t>传真：</w:t>
      </w:r>
      <w:r>
        <w:rPr>
          <w:rFonts w:hint="eastAsia" w:ascii="仿宋" w:eastAsia="仿宋"/>
          <w:color w:val="auto"/>
          <w:sz w:val="24"/>
          <w:szCs w:val="28"/>
          <w:highlight w:val="none"/>
          <w:lang w:val="en-US" w:eastAsia="zh-CN"/>
        </w:rPr>
        <w:t>/</w:t>
      </w:r>
    </w:p>
    <w:p w14:paraId="384156C3">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default" w:ascii="仿宋" w:eastAsia="仿宋" w:cs="宋体"/>
          <w:color w:val="auto"/>
          <w:sz w:val="24"/>
          <w:szCs w:val="28"/>
          <w:highlight w:val="none"/>
          <w:lang w:val="en-US" w:eastAsia="zh-CN" w:bidi="ar-SA"/>
        </w:rPr>
      </w:pPr>
      <w:r>
        <w:rPr>
          <w:rFonts w:hint="eastAsia" w:ascii="仿宋" w:eastAsia="仿宋" w:cs="宋体"/>
          <w:color w:val="auto"/>
          <w:sz w:val="24"/>
          <w:szCs w:val="28"/>
          <w:highlight w:val="none"/>
          <w:lang w:bidi="ar-SA"/>
        </w:rPr>
        <w:t>项目联系人（询问）：</w:t>
      </w:r>
      <w:r>
        <w:rPr>
          <w:rFonts w:hint="eastAsia" w:ascii="仿宋" w:eastAsia="仿宋" w:cs="宋体"/>
          <w:color w:val="auto"/>
          <w:sz w:val="24"/>
          <w:szCs w:val="28"/>
          <w:highlight w:val="none"/>
          <w:lang w:val="en-US" w:eastAsia="zh-CN" w:bidi="ar-SA"/>
        </w:rPr>
        <w:t>章菁菁</w:t>
      </w:r>
    </w:p>
    <w:p w14:paraId="70BFF163">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default" w:ascii="仿宋" w:eastAsia="仿宋" w:cs="宋体"/>
          <w:color w:val="auto"/>
          <w:sz w:val="24"/>
          <w:szCs w:val="28"/>
          <w:highlight w:val="none"/>
          <w:lang w:val="en-US" w:eastAsia="zh-CN" w:bidi="ar-SA"/>
        </w:rPr>
      </w:pPr>
      <w:r>
        <w:rPr>
          <w:rFonts w:hint="eastAsia" w:ascii="仿宋" w:eastAsia="仿宋" w:cs="宋体"/>
          <w:color w:val="auto"/>
          <w:sz w:val="24"/>
          <w:szCs w:val="28"/>
          <w:highlight w:val="none"/>
          <w:lang w:bidi="ar-SA"/>
        </w:rPr>
        <w:t>项目联系方式（询问）：</w:t>
      </w:r>
      <w:r>
        <w:rPr>
          <w:rFonts w:hint="eastAsia" w:ascii="仿宋" w:eastAsia="仿宋" w:cs="宋体"/>
          <w:color w:val="auto"/>
          <w:sz w:val="24"/>
          <w:szCs w:val="28"/>
          <w:highlight w:val="none"/>
          <w:lang w:val="en-US" w:eastAsia="zh-CN" w:bidi="ar-SA"/>
        </w:rPr>
        <w:t>18657505219</w:t>
      </w:r>
    </w:p>
    <w:p w14:paraId="4CA1DAA4">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仿宋" w:eastAsia="仿宋" w:cs="宋体"/>
          <w:color w:val="auto"/>
          <w:sz w:val="24"/>
          <w:szCs w:val="28"/>
          <w:highlight w:val="none"/>
          <w:lang w:bidi="ar-SA"/>
        </w:rPr>
      </w:pPr>
      <w:r>
        <w:rPr>
          <w:rFonts w:hint="eastAsia" w:ascii="仿宋" w:eastAsia="仿宋" w:cs="宋体"/>
          <w:color w:val="auto"/>
          <w:sz w:val="24"/>
          <w:szCs w:val="28"/>
          <w:highlight w:val="none"/>
          <w:lang w:bidi="ar-SA"/>
        </w:rPr>
        <w:t>质疑联系人：</w:t>
      </w:r>
      <w:r>
        <w:rPr>
          <w:rFonts w:hint="eastAsia" w:ascii="仿宋" w:eastAsia="仿宋" w:cs="宋体"/>
          <w:color w:val="auto"/>
          <w:sz w:val="24"/>
          <w:szCs w:val="28"/>
          <w:highlight w:val="none"/>
          <w:lang w:val="en-US" w:eastAsia="zh-CN" w:bidi="ar-SA"/>
        </w:rPr>
        <w:t>陈浩斌</w:t>
      </w:r>
    </w:p>
    <w:p w14:paraId="42A9DCE2">
      <w:pPr>
        <w:keepNext w:val="0"/>
        <w:keepLines w:val="0"/>
        <w:pageBreakBefore w:val="0"/>
        <w:widowControl/>
        <w:kinsoku/>
        <w:wordWrap/>
        <w:overflowPunct/>
        <w:topLinePunct w:val="0"/>
        <w:autoSpaceDE/>
        <w:autoSpaceDN/>
        <w:bidi w:val="0"/>
        <w:snapToGrid/>
        <w:spacing w:line="360" w:lineRule="auto"/>
        <w:ind w:firstLine="480" w:firstLineChars="200"/>
        <w:jc w:val="left"/>
        <w:textAlignment w:val="auto"/>
        <w:rPr>
          <w:rFonts w:ascii="仿宋" w:hAnsi="仿宋" w:eastAsia="仿宋" w:cs="宋体"/>
          <w:color w:val="auto"/>
          <w:sz w:val="24"/>
          <w:szCs w:val="28"/>
        </w:rPr>
      </w:pPr>
      <w:r>
        <w:rPr>
          <w:rFonts w:hint="eastAsia" w:ascii="仿宋" w:eastAsia="仿宋" w:cs="宋体"/>
          <w:color w:val="auto"/>
          <w:sz w:val="24"/>
          <w:szCs w:val="28"/>
          <w:highlight w:val="none"/>
          <w:lang w:bidi="ar-SA"/>
        </w:rPr>
        <w:t>质疑联系方式：</w:t>
      </w:r>
      <w:r>
        <w:rPr>
          <w:rFonts w:hint="eastAsia" w:ascii="仿宋" w:eastAsia="仿宋" w:cs="宋体"/>
          <w:color w:val="auto"/>
          <w:sz w:val="24"/>
          <w:szCs w:val="28"/>
          <w:highlight w:val="none"/>
          <w:lang w:val="en-US" w:eastAsia="zh-CN" w:bidi="ar-SA"/>
        </w:rPr>
        <w:t>0575-88172331</w:t>
      </w:r>
    </w:p>
    <w:p w14:paraId="4C2E3C15">
      <w:pPr>
        <w:widowControl/>
        <w:numPr>
          <w:ilvl w:val="0"/>
          <w:numId w:val="5"/>
        </w:numPr>
        <w:spacing w:line="360" w:lineRule="auto"/>
        <w:jc w:val="left"/>
        <w:rPr>
          <w:rFonts w:ascii="仿宋" w:hAnsi="仿宋" w:eastAsia="仿宋" w:cs="宋体"/>
          <w:color w:val="auto"/>
          <w:sz w:val="24"/>
          <w:szCs w:val="28"/>
        </w:rPr>
      </w:pPr>
      <w:r>
        <w:rPr>
          <w:rFonts w:hint="eastAsia" w:ascii="仿宋" w:hAnsi="仿宋" w:eastAsia="仿宋" w:cs="仿宋"/>
          <w:color w:val="auto"/>
          <w:sz w:val="24"/>
          <w:szCs w:val="28"/>
        </w:rPr>
        <w:t>同级</w:t>
      </w:r>
      <w:r>
        <w:rPr>
          <w:rFonts w:hint="eastAsia" w:ascii="仿宋" w:hAnsi="仿宋" w:eastAsia="仿宋" w:cs="宋体"/>
          <w:color w:val="auto"/>
          <w:sz w:val="24"/>
          <w:szCs w:val="28"/>
        </w:rPr>
        <w:t>国有企业</w:t>
      </w:r>
      <w:r>
        <w:rPr>
          <w:rFonts w:ascii="仿宋" w:hAnsi="仿宋" w:eastAsia="仿宋" w:cs="宋体"/>
          <w:color w:val="auto"/>
          <w:sz w:val="24"/>
          <w:szCs w:val="28"/>
        </w:rPr>
        <w:t>采购监督管理部门</w:t>
      </w:r>
    </w:p>
    <w:p w14:paraId="38C01568">
      <w:pPr>
        <w:widowControl/>
        <w:spacing w:line="360" w:lineRule="auto"/>
        <w:ind w:firstLine="480" w:firstLineChars="200"/>
        <w:jc w:val="left"/>
        <w:rPr>
          <w:rFonts w:hint="eastAsia" w:ascii="仿宋" w:hAnsi="仿宋" w:eastAsia="仿宋" w:cs="宋体"/>
          <w:color w:val="auto"/>
          <w:sz w:val="24"/>
          <w:szCs w:val="28"/>
          <w:lang w:eastAsia="zh-CN"/>
        </w:rPr>
      </w:pPr>
      <w:r>
        <w:rPr>
          <w:rFonts w:ascii="仿宋" w:hAnsi="仿宋" w:eastAsia="仿宋" w:cs="宋体"/>
          <w:color w:val="auto"/>
          <w:sz w:val="24"/>
          <w:szCs w:val="28"/>
        </w:rPr>
        <w:t>名称：</w:t>
      </w:r>
      <w:r>
        <w:rPr>
          <w:rFonts w:hint="eastAsia" w:ascii="仿宋" w:hAnsi="仿宋" w:eastAsia="仿宋" w:cs="宋体"/>
          <w:color w:val="auto"/>
          <w:sz w:val="24"/>
          <w:szCs w:val="28"/>
        </w:rPr>
        <w:t>鉴湖旅游度假区管委会公共资源交易监督领导小组</w:t>
      </w:r>
    </w:p>
    <w:p w14:paraId="2612140B">
      <w:pPr>
        <w:widowControl/>
        <w:spacing w:line="360" w:lineRule="auto"/>
        <w:jc w:val="left"/>
        <w:rPr>
          <w:rFonts w:ascii="仿宋" w:hAnsi="仿宋" w:eastAsia="仿宋" w:cs="宋体"/>
          <w:color w:val="auto"/>
          <w:sz w:val="24"/>
          <w:szCs w:val="28"/>
        </w:rPr>
      </w:pPr>
      <w:r>
        <w:rPr>
          <w:rFonts w:hint="eastAsia" w:ascii="宋体" w:hAnsi="宋体" w:cs="宋体"/>
          <w:color w:val="auto"/>
          <w:sz w:val="24"/>
          <w:szCs w:val="28"/>
        </w:rPr>
        <w:t> </w:t>
      </w:r>
      <w:r>
        <w:rPr>
          <w:rFonts w:hint="eastAsia" w:ascii="仿宋" w:hAnsi="仿宋" w:eastAsia="仿宋" w:cs="仿宋"/>
          <w:color w:val="auto"/>
          <w:sz w:val="24"/>
          <w:szCs w:val="28"/>
        </w:rPr>
        <w:t xml:space="preserve"> </w:t>
      </w:r>
      <w:r>
        <w:rPr>
          <w:rFonts w:hint="eastAsia" w:ascii="宋体" w:hAnsi="宋体" w:cs="宋体"/>
          <w:color w:val="auto"/>
          <w:sz w:val="24"/>
          <w:szCs w:val="28"/>
        </w:rPr>
        <w:t xml:space="preserve"> </w:t>
      </w:r>
      <w:r>
        <w:rPr>
          <w:rFonts w:ascii="仿宋" w:hAnsi="仿宋" w:eastAsia="仿宋" w:cs="宋体"/>
          <w:color w:val="auto"/>
          <w:sz w:val="24"/>
          <w:szCs w:val="28"/>
        </w:rPr>
        <w:t>地址：</w:t>
      </w:r>
      <w:r>
        <w:rPr>
          <w:rFonts w:hint="eastAsia" w:ascii="仿宋" w:hAnsi="仿宋" w:eastAsia="仿宋" w:cs="宋体"/>
          <w:color w:val="auto"/>
          <w:sz w:val="24"/>
          <w:szCs w:val="28"/>
        </w:rPr>
        <w:t>绍兴市柯桥区鉴湖旅游度假区管理委员会</w:t>
      </w:r>
    </w:p>
    <w:p w14:paraId="7A055822">
      <w:pPr>
        <w:widowControl/>
        <w:spacing w:line="360" w:lineRule="auto"/>
        <w:jc w:val="left"/>
        <w:rPr>
          <w:rFonts w:ascii="仿宋" w:hAnsi="仿宋" w:eastAsia="仿宋" w:cs="宋体"/>
          <w:color w:val="auto"/>
          <w:sz w:val="24"/>
          <w:szCs w:val="28"/>
        </w:rPr>
      </w:pPr>
      <w:r>
        <w:rPr>
          <w:rFonts w:hint="eastAsia" w:ascii="宋体" w:hAnsi="宋体" w:cs="宋体"/>
          <w:color w:val="auto"/>
          <w:sz w:val="24"/>
          <w:szCs w:val="28"/>
        </w:rPr>
        <w:t> </w:t>
      </w:r>
      <w:r>
        <w:rPr>
          <w:rFonts w:hint="eastAsia" w:ascii="仿宋" w:hAnsi="仿宋" w:eastAsia="仿宋" w:cs="仿宋"/>
          <w:color w:val="auto"/>
          <w:sz w:val="24"/>
          <w:szCs w:val="28"/>
        </w:rPr>
        <w:t xml:space="preserve"> </w:t>
      </w:r>
      <w:r>
        <w:rPr>
          <w:rFonts w:hint="eastAsia" w:ascii="宋体" w:hAnsi="宋体" w:cs="宋体"/>
          <w:color w:val="auto"/>
          <w:sz w:val="24"/>
          <w:szCs w:val="28"/>
        </w:rPr>
        <w:t xml:space="preserve"> </w:t>
      </w:r>
      <w:r>
        <w:rPr>
          <w:rFonts w:ascii="仿宋" w:hAnsi="仿宋" w:eastAsia="仿宋" w:cs="宋体"/>
          <w:color w:val="auto"/>
          <w:sz w:val="24"/>
          <w:szCs w:val="28"/>
        </w:rPr>
        <w:t>传真：</w:t>
      </w:r>
      <w:r>
        <w:rPr>
          <w:rFonts w:ascii="仿宋" w:hAnsi="仿宋" w:eastAsia="仿宋" w:cs="宋体"/>
          <w:snapToGrid w:val="0"/>
          <w:color w:val="auto"/>
          <w:kern w:val="0"/>
          <w:sz w:val="24"/>
          <w:szCs w:val="28"/>
        </w:rPr>
        <w:t>/</w:t>
      </w:r>
      <w:r>
        <w:rPr>
          <w:rFonts w:hint="eastAsia" w:ascii="宋体" w:hAnsi="宋体" w:cs="宋体"/>
          <w:color w:val="auto"/>
          <w:sz w:val="24"/>
          <w:szCs w:val="28"/>
        </w:rPr>
        <w:t> </w:t>
      </w:r>
    </w:p>
    <w:p w14:paraId="4A54748D">
      <w:pPr>
        <w:widowControl/>
        <w:adjustRightInd/>
        <w:spacing w:line="360" w:lineRule="auto"/>
        <w:ind w:firstLine="480" w:firstLineChars="200"/>
        <w:jc w:val="left"/>
        <w:rPr>
          <w:rFonts w:hint="eastAsia" w:ascii="仿宋" w:hAnsi="仿宋" w:eastAsia="仿宋" w:cs="宋体"/>
          <w:color w:val="auto"/>
          <w:sz w:val="24"/>
          <w:szCs w:val="28"/>
        </w:rPr>
      </w:pPr>
      <w:r>
        <w:rPr>
          <w:rFonts w:ascii="仿宋" w:hAnsi="仿宋" w:eastAsia="仿宋" w:cs="宋体"/>
          <w:color w:val="auto"/>
          <w:sz w:val="24"/>
          <w:szCs w:val="28"/>
        </w:rPr>
        <w:t>联系人：</w:t>
      </w:r>
      <w:r>
        <w:rPr>
          <w:rFonts w:hint="eastAsia" w:ascii="仿宋" w:hAnsi="仿宋" w:eastAsia="仿宋" w:cs="宋体"/>
          <w:color w:val="auto"/>
          <w:sz w:val="24"/>
          <w:szCs w:val="28"/>
        </w:rPr>
        <w:t>杨主任</w:t>
      </w:r>
    </w:p>
    <w:p w14:paraId="4A331B6D">
      <w:pPr>
        <w:spacing w:line="360" w:lineRule="auto"/>
        <w:ind w:firstLine="480" w:firstLineChars="200"/>
        <w:jc w:val="left"/>
        <w:rPr>
          <w:rFonts w:hint="eastAsia" w:ascii="仿宋" w:hAnsi="仿宋" w:eastAsia="仿宋" w:cs="宋体"/>
          <w:snapToGrid w:val="0"/>
          <w:color w:val="auto"/>
          <w:kern w:val="0"/>
          <w:sz w:val="24"/>
          <w:szCs w:val="28"/>
        </w:rPr>
      </w:pPr>
      <w:r>
        <w:rPr>
          <w:rFonts w:ascii="仿宋" w:hAnsi="仿宋" w:eastAsia="仿宋" w:cs="宋体"/>
          <w:color w:val="auto"/>
          <w:sz w:val="24"/>
          <w:szCs w:val="28"/>
        </w:rPr>
        <w:t>监督投诉电话：</w:t>
      </w:r>
      <w:r>
        <w:rPr>
          <w:rFonts w:hint="eastAsia" w:ascii="仿宋" w:hAnsi="仿宋" w:eastAsia="仿宋" w:cs="宋体"/>
          <w:color w:val="auto"/>
          <w:sz w:val="24"/>
          <w:szCs w:val="28"/>
        </w:rPr>
        <w:t>0575-84318709</w:t>
      </w:r>
    </w:p>
    <w:p w14:paraId="0E0ED93E">
      <w:pPr>
        <w:spacing w:line="360" w:lineRule="auto"/>
        <w:jc w:val="left"/>
        <w:rPr>
          <w:rFonts w:ascii="仿宋" w:hAnsi="仿宋" w:eastAsia="仿宋"/>
          <w:color w:val="auto"/>
          <w:sz w:val="24"/>
          <w:szCs w:val="28"/>
          <w:highlight w:val="none"/>
          <w:u w:val="single"/>
        </w:rPr>
      </w:pPr>
    </w:p>
    <w:p w14:paraId="25BF512B">
      <w:pPr>
        <w:widowControl/>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若对项目采购电子交易系统操作有疑问，可登录</w:t>
      </w:r>
      <w:r>
        <w:rPr>
          <w:rFonts w:hint="eastAsia" w:ascii="仿宋" w:hAnsi="仿宋" w:eastAsia="仿宋" w:cs="宋体"/>
          <w:color w:val="auto"/>
          <w:kern w:val="0"/>
          <w:szCs w:val="21"/>
          <w:highlight w:val="none"/>
          <w:lang w:eastAsia="zh-CN"/>
        </w:rPr>
        <w:t>乐采云</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www.lecaiyun.com</w:t>
      </w:r>
      <w:r>
        <w:rPr>
          <w:rFonts w:ascii="仿宋" w:hAnsi="仿宋" w:eastAsia="仿宋" w:cs="宋体"/>
          <w:color w:val="auto"/>
          <w:kern w:val="0"/>
          <w:szCs w:val="21"/>
          <w:highlight w:val="none"/>
        </w:rPr>
        <w:t>），点击右侧咨询小采，获取采小蜜智能服务管家帮助，或拨打</w:t>
      </w:r>
      <w:r>
        <w:rPr>
          <w:rFonts w:hint="eastAsia" w:ascii="仿宋" w:hAnsi="仿宋" w:eastAsia="仿宋" w:cs="宋体"/>
          <w:color w:val="auto"/>
          <w:kern w:val="0"/>
          <w:szCs w:val="21"/>
          <w:highlight w:val="none"/>
          <w:lang w:eastAsia="zh-CN"/>
        </w:rPr>
        <w:t>乐采云</w:t>
      </w:r>
      <w:r>
        <w:rPr>
          <w:rFonts w:ascii="仿宋" w:hAnsi="仿宋" w:eastAsia="仿宋" w:cs="宋体"/>
          <w:color w:val="auto"/>
          <w:kern w:val="0"/>
          <w:szCs w:val="21"/>
          <w:highlight w:val="none"/>
        </w:rPr>
        <w:t>服务热线95763获取热线服务帮助。       </w:t>
      </w:r>
    </w:p>
    <w:p w14:paraId="24CEDE40">
      <w:pPr>
        <w:widowControl/>
        <w:adjustRightInd/>
        <w:ind w:firstLine="420" w:firstLineChars="200"/>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CA问题联系电话（人工）：汇信CA 400-888-4636；天谷CA 400-087-8198。</w:t>
      </w:r>
    </w:p>
    <w:p w14:paraId="1AC4C6D2">
      <w:pPr>
        <w:pStyle w:val="16"/>
        <w:jc w:val="both"/>
        <w:rPr>
          <w:rFonts w:hint="eastAsia"/>
          <w:color w:val="auto"/>
          <w:highlight w:val="none"/>
          <w:lang w:val="en-US"/>
        </w:rPr>
      </w:pPr>
    </w:p>
    <w:p w14:paraId="0327756F">
      <w:pPr>
        <w:spacing w:line="440" w:lineRule="exact"/>
        <w:jc w:val="center"/>
        <w:rPr>
          <w:b/>
          <w:color w:val="auto"/>
          <w:sz w:val="36"/>
          <w:szCs w:val="36"/>
          <w:highlight w:val="none"/>
        </w:rPr>
      </w:pPr>
      <w:r>
        <w:rPr>
          <w:b/>
          <w:color w:val="auto"/>
          <w:sz w:val="36"/>
          <w:szCs w:val="36"/>
          <w:highlight w:val="none"/>
        </w:rPr>
        <w:br w:type="page"/>
      </w:r>
      <w:r>
        <w:rPr>
          <w:b/>
          <w:color w:val="auto"/>
          <w:sz w:val="36"/>
          <w:szCs w:val="36"/>
          <w:highlight w:val="none"/>
        </w:rPr>
        <w:t>第二部分 遴选响应人须知</w:t>
      </w:r>
    </w:p>
    <w:p w14:paraId="32FC152B">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10"/>
      </w:tblGrid>
      <w:tr w14:paraId="4183C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7B37269">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068B0D9">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510" w:type="dxa"/>
            <w:tcBorders>
              <w:top w:val="single" w:color="000000" w:sz="8" w:space="0"/>
              <w:left w:val="single" w:color="000000" w:sz="2" w:space="0"/>
              <w:bottom w:val="single" w:color="000000" w:sz="8" w:space="0"/>
              <w:right w:val="single" w:color="000000" w:sz="8" w:space="0"/>
            </w:tcBorders>
            <w:noWrap w:val="0"/>
            <w:vAlign w:val="center"/>
          </w:tcPr>
          <w:p w14:paraId="342DFAA3">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1B731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3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37A78A8">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8C4CF62">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510" w:type="dxa"/>
            <w:tcBorders>
              <w:top w:val="single" w:color="000000" w:sz="8" w:space="0"/>
              <w:left w:val="single" w:color="000000" w:sz="2" w:space="0"/>
              <w:bottom w:val="single" w:color="000000" w:sz="8" w:space="0"/>
              <w:right w:val="single" w:color="000000" w:sz="8" w:space="0"/>
            </w:tcBorders>
            <w:noWrap w:val="0"/>
            <w:vAlign w:val="center"/>
          </w:tcPr>
          <w:p w14:paraId="4B550BB3">
            <w:pPr>
              <w:snapToGrid w:val="0"/>
              <w:spacing w:line="400" w:lineRule="exact"/>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有关本项目开展所需的员工工资、材料、管理、福利、“五险一金”、意外险、个人所得税、后期服务费用等一切相关的费用均计入报价。《遴选一览表》是报价的唯一载体。</w:t>
            </w:r>
            <w:r>
              <w:rPr>
                <w:rFonts w:hint="eastAsia" w:ascii="仿宋" w:hAnsi="仿宋" w:eastAsia="仿宋"/>
                <w:color w:val="auto"/>
                <w:sz w:val="24"/>
                <w:szCs w:val="28"/>
                <w:highlight w:val="none"/>
                <w:lang w:eastAsia="zh-CN"/>
              </w:rPr>
              <w:t>申报文件</w:t>
            </w:r>
            <w:r>
              <w:rPr>
                <w:rFonts w:hint="eastAsia" w:ascii="仿宋" w:hAnsi="仿宋" w:eastAsia="仿宋"/>
                <w:color w:val="auto"/>
                <w:sz w:val="24"/>
                <w:szCs w:val="28"/>
                <w:highlight w:val="none"/>
              </w:rPr>
              <w:t>中价格全部采用人民币报价。</w:t>
            </w:r>
            <w:r>
              <w:rPr>
                <w:rFonts w:hint="eastAsia" w:ascii="仿宋" w:hAnsi="仿宋" w:eastAsia="仿宋"/>
                <w:color w:val="auto"/>
                <w:sz w:val="24"/>
                <w:szCs w:val="28"/>
                <w:highlight w:val="none"/>
                <w:lang w:eastAsia="zh-CN"/>
              </w:rPr>
              <w:t>遴选文件</w:t>
            </w:r>
            <w:r>
              <w:rPr>
                <w:rFonts w:hint="eastAsia" w:ascii="仿宋" w:hAnsi="仿宋" w:eastAsia="仿宋"/>
                <w:color w:val="auto"/>
                <w:sz w:val="24"/>
                <w:szCs w:val="28"/>
                <w:highlight w:val="none"/>
              </w:rPr>
              <w:t>未列明，而</w:t>
            </w:r>
            <w:r>
              <w:rPr>
                <w:rFonts w:hint="eastAsia" w:ascii="仿宋" w:hAnsi="仿宋" w:eastAsia="仿宋"/>
                <w:color w:val="auto"/>
                <w:sz w:val="24"/>
                <w:szCs w:val="28"/>
                <w:highlight w:val="none"/>
                <w:lang w:eastAsia="zh-CN"/>
              </w:rPr>
              <w:t>遴选响应人</w:t>
            </w:r>
            <w:r>
              <w:rPr>
                <w:rFonts w:hint="eastAsia" w:ascii="仿宋" w:hAnsi="仿宋" w:eastAsia="仿宋"/>
                <w:color w:val="auto"/>
                <w:sz w:val="24"/>
                <w:szCs w:val="28"/>
                <w:highlight w:val="none"/>
              </w:rPr>
              <w:t>认为必需的费用也需列入报价。</w:t>
            </w:r>
          </w:p>
          <w:p w14:paraId="733DD8F0">
            <w:pPr>
              <w:snapToGrid w:val="0"/>
              <w:spacing w:line="400" w:lineRule="exact"/>
              <w:jc w:val="left"/>
              <w:rPr>
                <w:rFonts w:hint="eastAsia"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14:paraId="3DCE8221">
            <w:pPr>
              <w:spacing w:line="360" w:lineRule="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申报文件出现不是唯一的、有选择性投标报价的；</w:t>
            </w:r>
          </w:p>
          <w:p w14:paraId="4BE15C03">
            <w:pPr>
              <w:shd w:val="clear" w:color="auto" w:fill="auto"/>
              <w:snapToGrid w:val="0"/>
              <w:spacing w:line="360" w:lineRule="auto"/>
              <w:jc w:val="left"/>
              <w:rPr>
                <w:rFonts w:hint="eastAsia" w:ascii="仿宋" w:hAnsi="仿宋" w:eastAsia="仿宋" w:cs="仿宋"/>
                <w:b/>
                <w:bCs/>
                <w:color w:val="auto"/>
                <w:sz w:val="24"/>
                <w:highlight w:val="none"/>
                <w:lang w:val="zh-CN"/>
              </w:rPr>
            </w:pP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标项一：</w:t>
            </w:r>
            <w:r>
              <w:rPr>
                <w:rFonts w:hint="eastAsia" w:ascii="仿宋" w:hAnsi="仿宋" w:eastAsia="仿宋"/>
                <w:b/>
                <w:color w:val="auto"/>
                <w:sz w:val="24"/>
                <w:highlight w:val="none"/>
              </w:rPr>
              <w:t>年化承销费率</w:t>
            </w:r>
            <w:r>
              <w:rPr>
                <w:rFonts w:hint="eastAsia" w:ascii="仿宋" w:hAnsi="仿宋" w:eastAsia="仿宋"/>
                <w:b/>
                <w:color w:val="auto"/>
                <w:sz w:val="24"/>
                <w:highlight w:val="none"/>
                <w:lang w:val="en-US" w:eastAsia="zh-CN"/>
              </w:rPr>
              <w:t>不</w:t>
            </w:r>
            <w:r>
              <w:rPr>
                <w:rFonts w:hint="eastAsia" w:ascii="仿宋" w:hAnsi="仿宋" w:eastAsia="仿宋"/>
                <w:b/>
                <w:color w:val="auto"/>
                <w:sz w:val="24"/>
                <w:highlight w:val="none"/>
                <w:lang w:eastAsia="zh-CN"/>
              </w:rPr>
              <w:t>高于</w:t>
            </w:r>
            <w:r>
              <w:rPr>
                <w:rFonts w:hint="eastAsia" w:ascii="仿宋" w:hAnsi="仿宋" w:eastAsia="仿宋"/>
                <w:b/>
                <w:color w:val="auto"/>
                <w:sz w:val="24"/>
                <w:highlight w:val="none"/>
              </w:rPr>
              <w:t>0.1</w:t>
            </w: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w:t>
            </w:r>
            <w:r>
              <w:rPr>
                <w:rFonts w:hint="eastAsia" w:ascii="仿宋" w:hAnsi="仿宋" w:eastAsia="仿宋"/>
                <w:b/>
                <w:color w:val="auto"/>
                <w:sz w:val="24"/>
                <w:highlight w:val="none"/>
                <w:lang w:eastAsia="zh-CN"/>
              </w:rPr>
              <w:t>；</w:t>
            </w:r>
          </w:p>
          <w:p w14:paraId="6C06BB10">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▲报价明显低于其他通过符合性审查</w:t>
            </w:r>
            <w:r>
              <w:rPr>
                <w:rFonts w:hint="eastAsia" w:ascii="仿宋" w:hAnsi="仿宋" w:eastAsia="仿宋" w:cs="仿宋"/>
                <w:b/>
                <w:bCs/>
                <w:color w:val="auto"/>
                <w:sz w:val="24"/>
                <w:highlight w:val="none"/>
                <w:lang w:eastAsia="zh-CN"/>
              </w:rPr>
              <w:t>遴选响应人</w:t>
            </w:r>
            <w:r>
              <w:rPr>
                <w:rFonts w:hint="eastAsia" w:ascii="仿宋" w:hAnsi="仿宋" w:eastAsia="仿宋" w:cs="仿宋"/>
                <w:b/>
                <w:bCs/>
                <w:color w:val="auto"/>
                <w:sz w:val="24"/>
                <w:highlight w:val="none"/>
              </w:rPr>
              <w:t>的报价，有可能影响产品质量或者不能诚信履约的，</w:t>
            </w:r>
            <w:r>
              <w:rPr>
                <w:rFonts w:hint="eastAsia" w:ascii="仿宋" w:hAnsi="仿宋" w:eastAsia="仿宋" w:cs="仿宋"/>
                <w:b/>
                <w:color w:val="auto"/>
                <w:kern w:val="0"/>
                <w:sz w:val="24"/>
                <w:highlight w:val="none"/>
              </w:rPr>
              <w:t>未能按要求提供书面说明或者提交相关证明材料，</w:t>
            </w:r>
            <w:r>
              <w:rPr>
                <w:rFonts w:hint="eastAsia" w:ascii="仿宋" w:hAnsi="仿宋" w:eastAsia="仿宋" w:cs="仿宋"/>
                <w:b/>
                <w:bCs/>
                <w:color w:val="auto"/>
                <w:sz w:val="24"/>
                <w:highlight w:val="none"/>
              </w:rPr>
              <w:t>不能证明其报价合理性的;</w:t>
            </w:r>
          </w:p>
          <w:p w14:paraId="41BC946E">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《遴选一览表》填写不完整或字迹不能辨认或有漏项的,经评标委员会认定属于重大偏差的；</w:t>
            </w:r>
          </w:p>
          <w:p w14:paraId="4ED2E38E">
            <w:pPr>
              <w:spacing w:line="400" w:lineRule="exact"/>
              <w:rPr>
                <w:rFonts w:hint="eastAsia" w:ascii="仿宋" w:hAnsi="仿宋" w:eastAsia="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遴选响应人</w:t>
            </w:r>
            <w:r>
              <w:rPr>
                <w:rFonts w:hint="eastAsia" w:ascii="仿宋" w:hAnsi="仿宋" w:eastAsia="仿宋" w:cs="仿宋"/>
                <w:b/>
                <w:bCs/>
                <w:color w:val="auto"/>
                <w:sz w:val="24"/>
                <w:highlight w:val="none"/>
              </w:rPr>
              <w:t>对根据修正原则修正后的报价不确认的。</w:t>
            </w:r>
          </w:p>
        </w:tc>
      </w:tr>
      <w:tr w14:paraId="72B5F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F13FE69">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C755A35">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项目采购类型</w:t>
            </w:r>
          </w:p>
        </w:tc>
        <w:tc>
          <w:tcPr>
            <w:tcW w:w="6510" w:type="dxa"/>
            <w:tcBorders>
              <w:top w:val="single" w:color="000000" w:sz="8" w:space="0"/>
              <w:left w:val="single" w:color="000000" w:sz="2" w:space="0"/>
              <w:bottom w:val="single" w:color="000000" w:sz="8" w:space="0"/>
              <w:right w:val="single" w:color="000000" w:sz="8" w:space="0"/>
            </w:tcBorders>
            <w:noWrap w:val="0"/>
            <w:vAlign w:val="center"/>
          </w:tcPr>
          <w:p w14:paraId="2B55C8CD">
            <w:pPr>
              <w:snapToGrid w:val="0"/>
              <w:spacing w:line="360" w:lineRule="exact"/>
              <w:rPr>
                <w:rFonts w:hint="eastAsia" w:ascii="仿宋" w:hAnsi="仿宋" w:eastAsia="仿宋"/>
                <w:color w:val="auto"/>
                <w:sz w:val="24"/>
                <w:highlight w:val="none"/>
              </w:rPr>
            </w:pPr>
            <w:r>
              <w:rPr>
                <w:rFonts w:hint="eastAsia" w:ascii="仿宋" w:hAnsi="仿宋" w:eastAsia="仿宋"/>
                <w:color w:val="auto"/>
                <w:sz w:val="24"/>
                <w:highlight w:val="none"/>
              </w:rPr>
              <w:t>本项目为</w:t>
            </w:r>
            <w:r>
              <w:rPr>
                <w:rFonts w:hint="eastAsia" w:ascii="仿宋" w:hAnsi="仿宋" w:eastAsia="仿宋"/>
                <w:color w:val="auto"/>
                <w:sz w:val="24"/>
                <w:highlight w:val="none"/>
                <w:u w:val="single"/>
              </w:rPr>
              <w:t>服务类</w:t>
            </w:r>
            <w:r>
              <w:rPr>
                <w:rFonts w:hint="eastAsia" w:ascii="仿宋" w:hAnsi="仿宋" w:eastAsia="仿宋"/>
                <w:color w:val="auto"/>
                <w:sz w:val="24"/>
                <w:highlight w:val="none"/>
              </w:rPr>
              <w:t>采购项目</w:t>
            </w:r>
          </w:p>
        </w:tc>
      </w:tr>
      <w:tr w14:paraId="27125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2B641B9">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E45AAE3">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6510" w:type="dxa"/>
            <w:tcBorders>
              <w:top w:val="single" w:color="000000" w:sz="8" w:space="0"/>
              <w:left w:val="single" w:color="000000" w:sz="2" w:space="0"/>
              <w:bottom w:val="single" w:color="000000" w:sz="8" w:space="0"/>
              <w:right w:val="single" w:color="000000" w:sz="8" w:space="0"/>
            </w:tcBorders>
            <w:noWrap w:val="0"/>
            <w:vAlign w:val="center"/>
          </w:tcPr>
          <w:p w14:paraId="1848E407">
            <w:pPr>
              <w:snapToGrid w:val="0"/>
              <w:spacing w:line="36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eastAsia="zh-CN"/>
              </w:rPr>
              <w:t>遴选人</w:t>
            </w:r>
            <w:r>
              <w:rPr>
                <w:rFonts w:hint="eastAsia" w:ascii="仿宋" w:hAnsi="仿宋" w:eastAsia="仿宋" w:cs="仿宋_GB2312"/>
                <w:b/>
                <w:color w:val="auto"/>
                <w:sz w:val="24"/>
                <w:highlight w:val="none"/>
              </w:rPr>
              <w:t>不同意</w:t>
            </w:r>
            <w:r>
              <w:rPr>
                <w:rFonts w:hint="eastAsia" w:ascii="仿宋" w:hAnsi="仿宋" w:eastAsia="仿宋" w:cs="仿宋_GB2312"/>
                <w:color w:val="auto"/>
                <w:sz w:val="24"/>
                <w:highlight w:val="none"/>
              </w:rPr>
              <w:t>分包</w:t>
            </w:r>
          </w:p>
          <w:p w14:paraId="32CF5B67">
            <w:pPr>
              <w:snapToGrid w:val="0"/>
              <w:spacing w:line="36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14:paraId="52FD1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21BD58A">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single" w:color="000000" w:sz="8" w:space="0"/>
              <w:left w:val="single" w:color="auto" w:sz="4" w:space="0"/>
              <w:bottom w:val="single" w:color="auto" w:sz="4" w:space="0"/>
              <w:right w:val="single" w:color="000000" w:sz="8" w:space="0"/>
            </w:tcBorders>
            <w:noWrap w:val="0"/>
            <w:vAlign w:val="center"/>
          </w:tcPr>
          <w:p w14:paraId="2A1E846C">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lang w:eastAsia="zh-CN"/>
              </w:rPr>
              <w:t>申报文件</w:t>
            </w:r>
            <w:r>
              <w:rPr>
                <w:rFonts w:hint="eastAsia" w:ascii="仿宋" w:hAnsi="仿宋" w:eastAsia="仿宋" w:cs="仿宋_GB2312"/>
                <w:b/>
                <w:color w:val="auto"/>
                <w:sz w:val="24"/>
                <w:highlight w:val="none"/>
              </w:rPr>
              <w:t>的份数</w:t>
            </w:r>
          </w:p>
        </w:tc>
        <w:tc>
          <w:tcPr>
            <w:tcW w:w="6510" w:type="dxa"/>
            <w:tcBorders>
              <w:top w:val="single" w:color="000000" w:sz="8" w:space="0"/>
              <w:left w:val="single" w:color="000000" w:sz="2" w:space="0"/>
              <w:bottom w:val="single" w:color="auto" w:sz="4" w:space="0"/>
              <w:right w:val="single" w:color="000000" w:sz="8" w:space="0"/>
            </w:tcBorders>
            <w:noWrap w:val="0"/>
            <w:vAlign w:val="center"/>
          </w:tcPr>
          <w:p w14:paraId="0DAB1AF0">
            <w:pPr>
              <w:pStyle w:val="11"/>
              <w:snapToGrid w:val="0"/>
              <w:spacing w:line="360" w:lineRule="exact"/>
              <w:rPr>
                <w:rFonts w:hint="eastAsia" w:ascii="仿宋" w:hAnsi="仿宋" w:eastAsia="仿宋" w:cs="Times New Roman"/>
                <w:snapToGrid/>
                <w:color w:val="auto"/>
                <w:sz w:val="24"/>
                <w:szCs w:val="20"/>
                <w:highlight w:val="none"/>
              </w:rPr>
            </w:pPr>
            <w:r>
              <w:rPr>
                <w:rFonts w:ascii="仿宋" w:hAnsi="仿宋" w:eastAsia="仿宋" w:cs="Times New Roman"/>
                <w:snapToGrid/>
                <w:color w:val="auto"/>
                <w:sz w:val="24"/>
                <w:szCs w:val="20"/>
                <w:highlight w:val="none"/>
              </w:rPr>
              <w:t>本项目实行</w:t>
            </w:r>
            <w:r>
              <w:rPr>
                <w:rFonts w:hint="eastAsia" w:ascii="仿宋" w:hAnsi="仿宋" w:eastAsia="仿宋" w:cs="Times New Roman"/>
                <w:snapToGrid/>
                <w:color w:val="auto"/>
                <w:sz w:val="24"/>
                <w:szCs w:val="20"/>
                <w:highlight w:val="none"/>
              </w:rPr>
              <w:t>电子投标。供应商应准备电子</w:t>
            </w:r>
            <w:r>
              <w:rPr>
                <w:rFonts w:hint="eastAsia" w:ascii="仿宋" w:hAnsi="仿宋" w:eastAsia="仿宋" w:cs="Times New Roman"/>
                <w:snapToGrid/>
                <w:color w:val="auto"/>
                <w:sz w:val="24"/>
                <w:szCs w:val="20"/>
                <w:highlight w:val="none"/>
                <w:lang w:eastAsia="zh-CN"/>
              </w:rPr>
              <w:t>申报文件</w:t>
            </w:r>
            <w:r>
              <w:rPr>
                <w:rFonts w:hint="eastAsia" w:ascii="仿宋" w:hAnsi="仿宋" w:eastAsia="仿宋" w:cs="Times New Roman"/>
                <w:snapToGrid/>
                <w:color w:val="auto"/>
                <w:sz w:val="24"/>
                <w:szCs w:val="20"/>
                <w:highlight w:val="none"/>
              </w:rPr>
              <w:t>参与投标：电子</w:t>
            </w:r>
            <w:r>
              <w:rPr>
                <w:rFonts w:hint="eastAsia" w:ascii="仿宋" w:hAnsi="仿宋" w:eastAsia="仿宋" w:cs="Times New Roman"/>
                <w:snapToGrid/>
                <w:color w:val="auto"/>
                <w:sz w:val="24"/>
                <w:szCs w:val="20"/>
                <w:highlight w:val="none"/>
                <w:lang w:eastAsia="zh-CN"/>
              </w:rPr>
              <w:t>申报文件</w:t>
            </w:r>
            <w:r>
              <w:rPr>
                <w:rFonts w:hint="eastAsia" w:ascii="仿宋" w:hAnsi="仿宋" w:eastAsia="仿宋" w:cs="Times New Roman"/>
                <w:snapToGrid/>
                <w:color w:val="auto"/>
                <w:sz w:val="24"/>
                <w:szCs w:val="20"/>
                <w:highlight w:val="none"/>
              </w:rPr>
              <w:t>，按</w:t>
            </w:r>
            <w:r>
              <w:rPr>
                <w:rFonts w:hint="eastAsia" w:ascii="仿宋" w:hAnsi="仿宋" w:eastAsia="仿宋" w:cs="Times New Roman"/>
                <w:snapToGrid/>
                <w:color w:val="auto"/>
                <w:sz w:val="24"/>
                <w:szCs w:val="20"/>
                <w:highlight w:val="none"/>
                <w:lang w:eastAsia="zh-CN"/>
              </w:rPr>
              <w:t>乐采云</w:t>
            </w:r>
            <w:r>
              <w:rPr>
                <w:rFonts w:hint="eastAsia" w:ascii="仿宋" w:hAnsi="仿宋" w:eastAsia="仿宋" w:cs="Times New Roman"/>
                <w:snapToGrid/>
                <w:color w:val="auto"/>
                <w:sz w:val="24"/>
                <w:szCs w:val="20"/>
                <w:highlight w:val="none"/>
              </w:rPr>
              <w:t>平台</w:t>
            </w:r>
            <w:r>
              <w:rPr>
                <w:rFonts w:ascii="仿宋" w:hAnsi="仿宋" w:eastAsia="仿宋" w:cs="Times New Roman"/>
                <w:snapToGrid/>
                <w:color w:val="auto"/>
                <w:sz w:val="24"/>
                <w:szCs w:val="20"/>
                <w:highlight w:val="none"/>
              </w:rPr>
              <w:t>项目采购-电子招投标操作指南</w:t>
            </w:r>
            <w:r>
              <w:rPr>
                <w:rFonts w:hint="eastAsia" w:ascii="仿宋" w:hAnsi="仿宋" w:eastAsia="仿宋" w:cs="Times New Roman"/>
                <w:snapToGrid/>
                <w:color w:val="auto"/>
                <w:sz w:val="24"/>
                <w:szCs w:val="20"/>
                <w:highlight w:val="none"/>
              </w:rPr>
              <w:t>及本</w:t>
            </w:r>
            <w:r>
              <w:rPr>
                <w:rFonts w:hint="eastAsia" w:ascii="仿宋" w:hAnsi="仿宋" w:eastAsia="仿宋" w:cs="Times New Roman"/>
                <w:snapToGrid/>
                <w:color w:val="auto"/>
                <w:sz w:val="24"/>
                <w:szCs w:val="20"/>
                <w:highlight w:val="none"/>
                <w:lang w:eastAsia="zh-CN"/>
              </w:rPr>
              <w:t>遴选文件</w:t>
            </w:r>
            <w:r>
              <w:rPr>
                <w:rFonts w:hint="eastAsia" w:ascii="仿宋" w:hAnsi="仿宋" w:eastAsia="仿宋" w:cs="Times New Roman"/>
                <w:snapToGrid/>
                <w:color w:val="auto"/>
                <w:sz w:val="24"/>
                <w:szCs w:val="20"/>
                <w:highlight w:val="none"/>
              </w:rPr>
              <w:t>要求递交</w:t>
            </w:r>
            <w:r>
              <w:rPr>
                <w:rFonts w:ascii="仿宋" w:hAnsi="仿宋" w:eastAsia="仿宋" w:cs="Times New Roman"/>
                <w:snapToGrid/>
                <w:color w:val="auto"/>
                <w:sz w:val="24"/>
                <w:szCs w:val="20"/>
                <w:highlight w:val="none"/>
              </w:rPr>
              <w:t>。</w:t>
            </w:r>
          </w:p>
          <w:p w14:paraId="5158351B">
            <w:pPr>
              <w:spacing w:line="360" w:lineRule="exact"/>
              <w:rPr>
                <w:rFonts w:ascii="仿宋" w:hAnsi="仿宋" w:eastAsia="仿宋"/>
                <w:b/>
                <w:color w:val="auto"/>
                <w:sz w:val="24"/>
                <w:highlight w:val="none"/>
              </w:rPr>
            </w:pPr>
            <w:r>
              <w:rPr>
                <w:rFonts w:hint="eastAsia" w:ascii="仿宋" w:hAnsi="仿宋" w:eastAsia="仿宋"/>
                <w:b/>
                <w:color w:val="auto"/>
                <w:sz w:val="24"/>
                <w:highlight w:val="none"/>
              </w:rPr>
              <w:t>▲未传输递交电子</w:t>
            </w:r>
            <w:r>
              <w:rPr>
                <w:rFonts w:hint="eastAsia" w:ascii="仿宋" w:hAnsi="仿宋" w:eastAsia="仿宋"/>
                <w:b/>
                <w:color w:val="auto"/>
                <w:sz w:val="24"/>
                <w:highlight w:val="none"/>
                <w:lang w:eastAsia="zh-CN"/>
              </w:rPr>
              <w:t>申报文件</w:t>
            </w:r>
            <w:r>
              <w:rPr>
                <w:rFonts w:hint="eastAsia" w:ascii="仿宋" w:hAnsi="仿宋" w:eastAsia="仿宋"/>
                <w:b/>
                <w:color w:val="auto"/>
                <w:sz w:val="24"/>
                <w:highlight w:val="none"/>
              </w:rPr>
              <w:t>的，投标无效。</w:t>
            </w:r>
          </w:p>
          <w:p w14:paraId="7F027560">
            <w:pPr>
              <w:spacing w:line="360" w:lineRule="exact"/>
              <w:rPr>
                <w:rFonts w:hint="eastAsia" w:ascii="仿宋" w:hAnsi="仿宋" w:eastAsia="仿宋"/>
                <w:b/>
                <w:color w:val="auto"/>
                <w:sz w:val="24"/>
                <w:highlight w:val="none"/>
              </w:rPr>
            </w:pPr>
            <w:r>
              <w:rPr>
                <w:rFonts w:hint="eastAsia" w:ascii="仿宋" w:hAnsi="仿宋" w:eastAsia="仿宋"/>
                <w:b/>
                <w:color w:val="auto"/>
                <w:sz w:val="24"/>
                <w:highlight w:val="none"/>
              </w:rPr>
              <w:t>▲未在系统解密时间内完成解密的，视为</w:t>
            </w:r>
            <w:r>
              <w:rPr>
                <w:rFonts w:hint="eastAsia" w:ascii="仿宋" w:hAnsi="仿宋" w:eastAsia="仿宋"/>
                <w:b/>
                <w:color w:val="auto"/>
                <w:sz w:val="24"/>
                <w:highlight w:val="none"/>
                <w:lang w:eastAsia="zh-CN"/>
              </w:rPr>
              <w:t>遴选响应人</w:t>
            </w:r>
            <w:r>
              <w:rPr>
                <w:rFonts w:hint="eastAsia" w:ascii="仿宋" w:hAnsi="仿宋" w:eastAsia="仿宋"/>
                <w:b/>
                <w:color w:val="auto"/>
                <w:sz w:val="24"/>
                <w:highlight w:val="none"/>
              </w:rPr>
              <w:t>自行放弃投标，投标无效。</w:t>
            </w:r>
          </w:p>
        </w:tc>
      </w:tr>
      <w:tr w14:paraId="099DB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BEE3C96">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single" w:color="auto" w:sz="4" w:space="0"/>
              <w:left w:val="single" w:color="auto" w:sz="4" w:space="0"/>
              <w:bottom w:val="single" w:color="000000" w:sz="8" w:space="0"/>
              <w:right w:val="single" w:color="000000" w:sz="8" w:space="0"/>
            </w:tcBorders>
            <w:noWrap w:val="0"/>
            <w:vAlign w:val="center"/>
          </w:tcPr>
          <w:p w14:paraId="08F67777">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510" w:type="dxa"/>
            <w:tcBorders>
              <w:top w:val="single" w:color="auto" w:sz="4" w:space="0"/>
              <w:left w:val="single" w:color="000000" w:sz="2" w:space="0"/>
              <w:bottom w:val="single" w:color="000000" w:sz="8" w:space="0"/>
              <w:right w:val="single" w:color="000000" w:sz="8" w:space="0"/>
            </w:tcBorders>
            <w:noWrap w:val="0"/>
            <w:vAlign w:val="center"/>
          </w:tcPr>
          <w:p w14:paraId="4D8C6560">
            <w:pPr>
              <w:pStyle w:val="11"/>
              <w:spacing w:line="360" w:lineRule="exact"/>
              <w:rPr>
                <w:rFonts w:hint="eastAsia" w:ascii="仿宋" w:hAnsi="仿宋" w:eastAsia="仿宋" w:cs="Times New Roman"/>
                <w:b/>
                <w:snapToGrid/>
                <w:color w:val="auto"/>
                <w:sz w:val="24"/>
                <w:szCs w:val="20"/>
                <w:highlight w:val="none"/>
              </w:rPr>
            </w:pPr>
            <w:r>
              <w:rPr>
                <w:rFonts w:hint="eastAsia" w:ascii="仿宋" w:hAnsi="仿宋" w:eastAsia="仿宋" w:cs="Times New Roman"/>
                <w:b/>
                <w:snapToGrid/>
                <w:color w:val="auto"/>
                <w:sz w:val="24"/>
                <w:szCs w:val="20"/>
                <w:highlight w:val="none"/>
              </w:rPr>
              <w:t>不组织。</w:t>
            </w:r>
          </w:p>
        </w:tc>
      </w:tr>
      <w:tr w14:paraId="28DAB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9EBC3B3">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FD5816F">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510" w:type="dxa"/>
            <w:tcBorders>
              <w:top w:val="single" w:color="000000" w:sz="8" w:space="0"/>
              <w:left w:val="single" w:color="000000" w:sz="2" w:space="0"/>
              <w:bottom w:val="single" w:color="000000" w:sz="8" w:space="0"/>
              <w:right w:val="single" w:color="000000" w:sz="8" w:space="0"/>
            </w:tcBorders>
            <w:noWrap w:val="0"/>
            <w:vAlign w:val="center"/>
          </w:tcPr>
          <w:p w14:paraId="4246BDB4">
            <w:pPr>
              <w:pStyle w:val="11"/>
              <w:spacing w:line="360" w:lineRule="exact"/>
              <w:rPr>
                <w:rFonts w:hint="eastAsia" w:ascii="仿宋" w:hAnsi="仿宋" w:eastAsia="仿宋" w:cs="Times New Roman"/>
                <w:b/>
                <w:snapToGrid/>
                <w:color w:val="auto"/>
                <w:sz w:val="24"/>
                <w:szCs w:val="20"/>
                <w:highlight w:val="none"/>
                <w:lang w:val="en-US" w:eastAsia="zh-CN"/>
              </w:rPr>
            </w:pPr>
            <w:r>
              <w:rPr>
                <w:rFonts w:hint="eastAsia" w:ascii="仿宋" w:hAnsi="仿宋" w:eastAsia="仿宋" w:cs="Times New Roman"/>
                <w:b/>
                <w:snapToGrid/>
                <w:color w:val="auto"/>
                <w:sz w:val="24"/>
                <w:szCs w:val="20"/>
                <w:highlight w:val="none"/>
                <w:lang w:val="en-US" w:eastAsia="zh-CN"/>
              </w:rPr>
              <w:t>无。</w:t>
            </w:r>
          </w:p>
        </w:tc>
      </w:tr>
      <w:tr w14:paraId="45ECC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1"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29CC49E">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35923E4">
            <w:pPr>
              <w:snapToGrid w:val="0"/>
              <w:spacing w:line="360" w:lineRule="auto"/>
              <w:jc w:val="center"/>
              <w:rPr>
                <w:rFonts w:hint="eastAsia"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6510" w:type="dxa"/>
            <w:tcBorders>
              <w:top w:val="single" w:color="000000" w:sz="8" w:space="0"/>
              <w:left w:val="single" w:color="000000" w:sz="2" w:space="0"/>
              <w:bottom w:val="single" w:color="000000" w:sz="8" w:space="0"/>
              <w:right w:val="single" w:color="000000" w:sz="8" w:space="0"/>
            </w:tcBorders>
            <w:noWrap w:val="0"/>
            <w:vAlign w:val="center"/>
          </w:tcPr>
          <w:p w14:paraId="40264F9F">
            <w:p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sym w:font="Wingdings" w:char="00FE"/>
            </w:r>
            <w:r>
              <w:rPr>
                <w:rFonts w:hint="eastAsia" w:ascii="仿宋" w:hAnsi="仿宋" w:eastAsia="仿宋" w:cs="仿宋"/>
                <w:b w:val="0"/>
                <w:bCs w:val="0"/>
                <w:color w:val="auto"/>
                <w:kern w:val="0"/>
                <w:sz w:val="24"/>
                <w:szCs w:val="24"/>
                <w:highlight w:val="none"/>
                <w:lang w:val="en-US" w:eastAsia="zh-CN" w:bidi="ar-SA"/>
              </w:rPr>
              <w:t>A不组织。</w:t>
            </w:r>
          </w:p>
          <w:p w14:paraId="41C806BB">
            <w:pPr>
              <w:pStyle w:val="3"/>
              <w:numPr>
                <w:ilvl w:val="0"/>
                <w:numId w:val="0"/>
              </w:numPr>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sym w:font="Wingdings" w:char="00A8"/>
            </w:r>
            <w:r>
              <w:rPr>
                <w:rFonts w:hint="eastAsia" w:ascii="仿宋" w:hAnsi="仿宋" w:eastAsia="仿宋" w:cs="仿宋"/>
                <w:b w:val="0"/>
                <w:bCs w:val="0"/>
                <w:color w:val="auto"/>
                <w:kern w:val="0"/>
                <w:sz w:val="24"/>
                <w:szCs w:val="24"/>
                <w:highlight w:val="none"/>
                <w:lang w:val="en-US" w:eastAsia="zh-CN" w:bidi="ar-SA"/>
              </w:rPr>
              <w:t>B组织</w:t>
            </w:r>
            <w:r>
              <w:rPr>
                <w:rFonts w:hint="eastAsia" w:ascii="仿宋" w:eastAsia="仿宋" w:cs="仿宋"/>
                <w:b w:val="0"/>
                <w:bCs w:val="0"/>
                <w:color w:val="auto"/>
                <w:kern w:val="0"/>
                <w:sz w:val="24"/>
                <w:szCs w:val="24"/>
                <w:highlight w:val="none"/>
                <w:lang w:val="en-US" w:eastAsia="zh-CN" w:bidi="ar-SA"/>
              </w:rPr>
              <w:t>。</w:t>
            </w:r>
          </w:p>
          <w:p w14:paraId="3CC0D472">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（1）在评标时安排每个</w:t>
            </w:r>
            <w:r>
              <w:rPr>
                <w:rFonts w:hint="eastAsia" w:ascii="仿宋" w:hAnsi="仿宋" w:eastAsia="仿宋" w:cs="宋体"/>
                <w:color w:val="auto"/>
                <w:kern w:val="0"/>
                <w:sz w:val="24"/>
                <w:highlight w:val="none"/>
                <w:lang w:eastAsia="zh-CN"/>
              </w:rPr>
              <w:t>遴选响应人</w:t>
            </w:r>
            <w:r>
              <w:rPr>
                <w:rFonts w:hint="eastAsia" w:ascii="仿宋" w:hAnsi="仿宋" w:eastAsia="仿宋" w:cs="宋体"/>
                <w:color w:val="auto"/>
                <w:kern w:val="0"/>
                <w:sz w:val="24"/>
                <w:highlight w:val="none"/>
              </w:rPr>
              <w:t>进行演示。每个</w:t>
            </w:r>
            <w:r>
              <w:rPr>
                <w:rFonts w:hint="eastAsia" w:ascii="仿宋" w:hAnsi="仿宋" w:eastAsia="仿宋" w:cs="宋体"/>
                <w:color w:val="auto"/>
                <w:kern w:val="0"/>
                <w:sz w:val="24"/>
                <w:highlight w:val="none"/>
                <w:lang w:eastAsia="zh-CN"/>
              </w:rPr>
              <w:t>遴选响应人</w:t>
            </w:r>
            <w:r>
              <w:rPr>
                <w:rFonts w:hint="eastAsia" w:ascii="仿宋" w:hAnsi="仿宋" w:eastAsia="仿宋" w:cs="宋体"/>
                <w:color w:val="auto"/>
                <w:kern w:val="0"/>
                <w:sz w:val="24"/>
                <w:highlight w:val="none"/>
              </w:rPr>
              <w:t>时间不超过</w:t>
            </w:r>
            <w:r>
              <w:rPr>
                <w:rFonts w:hint="eastAsia" w:ascii="仿宋" w:hAnsi="仿宋" w:eastAsia="仿宋" w:cs="宋体"/>
                <w:color w:val="auto"/>
                <w:kern w:val="0"/>
                <w:sz w:val="24"/>
                <w:highlight w:val="none"/>
                <w:u w:val="single"/>
              </w:rPr>
              <w:t>20（编制时可根据项目情况进行调整）</w:t>
            </w:r>
            <w:r>
              <w:rPr>
                <w:rFonts w:hint="eastAsia" w:ascii="仿宋" w:hAnsi="仿宋" w:eastAsia="仿宋" w:cs="宋体"/>
                <w:color w:val="auto"/>
                <w:kern w:val="0"/>
                <w:sz w:val="24"/>
                <w:highlight w:val="none"/>
              </w:rPr>
              <w:t>分钟，讲解次序以</w:t>
            </w:r>
            <w:r>
              <w:rPr>
                <w:rFonts w:hint="eastAsia" w:ascii="仿宋" w:hAnsi="仿宋" w:eastAsia="仿宋" w:cs="宋体"/>
                <w:color w:val="auto"/>
                <w:kern w:val="0"/>
                <w:sz w:val="24"/>
                <w:highlight w:val="none"/>
                <w:lang w:eastAsia="zh-CN"/>
              </w:rPr>
              <w:t>申报文件</w:t>
            </w:r>
            <w:r>
              <w:rPr>
                <w:rFonts w:hint="eastAsia" w:ascii="仿宋" w:hAnsi="仿宋" w:eastAsia="仿宋" w:cs="宋体"/>
                <w:color w:val="auto"/>
                <w:kern w:val="0"/>
                <w:sz w:val="24"/>
                <w:highlight w:val="none"/>
              </w:rPr>
              <w:t>解密时间先后次序为准，讲解演示人员不超过</w:t>
            </w:r>
            <w:r>
              <w:rPr>
                <w:rFonts w:hint="eastAsia" w:ascii="仿宋" w:hAnsi="仿宋" w:eastAsia="仿宋" w:cs="宋体"/>
                <w:color w:val="auto"/>
                <w:kern w:val="0"/>
                <w:sz w:val="24"/>
                <w:highlight w:val="none"/>
                <w:u w:val="single"/>
              </w:rPr>
              <w:t>3（编制时可根据项目情况进行调整）</w:t>
            </w:r>
            <w:r>
              <w:rPr>
                <w:rFonts w:hint="eastAsia" w:ascii="仿宋" w:hAnsi="仿宋" w:eastAsia="仿宋" w:cs="宋体"/>
                <w:color w:val="auto"/>
                <w:kern w:val="0"/>
                <w:sz w:val="24"/>
                <w:highlight w:val="none"/>
              </w:rPr>
              <w:t>人。讲解演示结束后按要求解答评标委员会提问。</w:t>
            </w:r>
          </w:p>
          <w:p w14:paraId="7D6372E9">
            <w:pPr>
              <w:snapToGrid w:val="0"/>
              <w:spacing w:line="360" w:lineRule="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（2）方案讲解演示可选择以下其中一种方式：</w:t>
            </w:r>
          </w:p>
          <w:p w14:paraId="13B21D5C">
            <w:pPr>
              <w:pStyle w:val="3"/>
              <w:numPr>
                <w:ilvl w:val="0"/>
                <w:numId w:val="0"/>
              </w:numPr>
              <w:ind w:leftChars="0"/>
              <w:rPr>
                <w:rFonts w:hint="eastAsia" w:ascii="仿宋" w:hAnsi="仿宋" w:eastAsia="仿宋" w:cs="宋体"/>
                <w:b w:val="0"/>
                <w:bCs w:val="0"/>
                <w:color w:val="auto"/>
                <w:kern w:val="0"/>
                <w:sz w:val="24"/>
                <w:szCs w:val="24"/>
                <w:highlight w:val="none"/>
                <w:lang w:val="en-US" w:eastAsia="zh-CN" w:bidi="ar-SA"/>
              </w:rPr>
            </w:pPr>
            <w:r>
              <w:rPr>
                <w:rFonts w:hint="eastAsia" w:ascii="仿宋" w:hAnsi="仿宋" w:eastAsia="仿宋" w:cs="宋体"/>
                <w:b w:val="0"/>
                <w:bCs w:val="0"/>
                <w:color w:val="auto"/>
                <w:kern w:val="0"/>
                <w:sz w:val="24"/>
                <w:szCs w:val="24"/>
                <w:highlight w:val="none"/>
                <w:lang w:val="en-US" w:eastAsia="zh-CN" w:bidi="ar-SA"/>
              </w:rPr>
              <w:t>方式一：视频演示。</w:t>
            </w:r>
            <w:r>
              <w:rPr>
                <w:rFonts w:hint="eastAsia" w:ascii="仿宋" w:eastAsia="仿宋" w:cs="宋体"/>
                <w:b w:val="0"/>
                <w:bCs w:val="0"/>
                <w:color w:val="auto"/>
                <w:kern w:val="0"/>
                <w:sz w:val="24"/>
                <w:szCs w:val="24"/>
                <w:highlight w:val="none"/>
                <w:lang w:val="en-US" w:eastAsia="zh-CN" w:bidi="ar-SA"/>
              </w:rPr>
              <w:t>遴选响应人</w:t>
            </w:r>
            <w:r>
              <w:rPr>
                <w:rFonts w:hint="eastAsia" w:ascii="仿宋" w:hAnsi="仿宋" w:eastAsia="仿宋" w:cs="宋体"/>
                <w:b w:val="0"/>
                <w:bCs w:val="0"/>
                <w:color w:val="auto"/>
                <w:kern w:val="0"/>
                <w:sz w:val="24"/>
                <w:szCs w:val="24"/>
                <w:highlight w:val="none"/>
                <w:lang w:val="en-US" w:eastAsia="zh-CN" w:bidi="ar-SA"/>
              </w:rPr>
              <w:t>根据交易中心操作要求做好准备工作，提前完善软硬件配置环境。</w:t>
            </w:r>
          </w:p>
          <w:p w14:paraId="384747B1">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方式</w:t>
            </w:r>
            <w:r>
              <w:rPr>
                <w:rFonts w:hint="eastAsia" w:ascii="仿宋" w:hAnsi="仿宋" w:eastAsia="仿宋" w:cs="宋体"/>
                <w:color w:val="auto"/>
                <w:kern w:val="0"/>
                <w:sz w:val="24"/>
                <w:highlight w:val="none"/>
                <w:lang w:eastAsia="zh-CN"/>
              </w:rPr>
              <w:t>二</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eastAsia="zh-CN"/>
              </w:rPr>
              <w:t>乐</w:t>
            </w:r>
            <w:r>
              <w:rPr>
                <w:rFonts w:hint="eastAsia" w:ascii="仿宋" w:hAnsi="仿宋" w:eastAsia="仿宋" w:cs="宋体"/>
                <w:color w:val="auto"/>
                <w:kern w:val="0"/>
                <w:sz w:val="24"/>
                <w:highlight w:val="none"/>
              </w:rPr>
              <w:t>采云平台在线讲解演示。</w:t>
            </w:r>
            <w:r>
              <w:rPr>
                <w:rFonts w:hint="eastAsia" w:ascii="仿宋" w:hAnsi="仿宋" w:eastAsia="仿宋" w:cs="宋体"/>
                <w:color w:val="auto"/>
                <w:kern w:val="0"/>
                <w:sz w:val="24"/>
                <w:highlight w:val="none"/>
                <w:lang w:eastAsia="zh-CN"/>
              </w:rPr>
              <w:t>乐</w:t>
            </w:r>
            <w:r>
              <w:rPr>
                <w:rFonts w:hint="eastAsia" w:ascii="仿宋" w:hAnsi="仿宋" w:eastAsia="仿宋" w:cs="宋体"/>
                <w:color w:val="auto"/>
                <w:kern w:val="0"/>
                <w:sz w:val="24"/>
                <w:highlight w:val="none"/>
              </w:rPr>
              <w:t>采云平台在线讲解需</w:t>
            </w:r>
            <w:r>
              <w:rPr>
                <w:rFonts w:hint="eastAsia" w:ascii="仿宋" w:hAnsi="仿宋" w:eastAsia="仿宋" w:cs="宋体"/>
                <w:color w:val="auto"/>
                <w:kern w:val="0"/>
                <w:sz w:val="24"/>
                <w:highlight w:val="none"/>
                <w:lang w:eastAsia="zh-CN"/>
              </w:rPr>
              <w:t>遴选响应人</w:t>
            </w:r>
            <w:r>
              <w:rPr>
                <w:rFonts w:hint="eastAsia" w:ascii="仿宋" w:hAnsi="仿宋" w:eastAsia="仿宋" w:cs="宋体"/>
                <w:color w:val="auto"/>
                <w:kern w:val="0"/>
                <w:sz w:val="24"/>
                <w:highlight w:val="none"/>
              </w:rPr>
              <w:t>根据</w:t>
            </w:r>
            <w:r>
              <w:rPr>
                <w:rFonts w:hint="eastAsia" w:ascii="仿宋" w:hAnsi="仿宋" w:eastAsia="仿宋" w:cs="宋体"/>
                <w:color w:val="auto"/>
                <w:kern w:val="0"/>
                <w:sz w:val="24"/>
                <w:highlight w:val="none"/>
                <w:lang w:eastAsia="zh-CN"/>
              </w:rPr>
              <w:t>乐</w:t>
            </w:r>
            <w:r>
              <w:rPr>
                <w:rFonts w:hint="eastAsia" w:ascii="仿宋" w:hAnsi="仿宋" w:eastAsia="仿宋" w:cs="宋体"/>
                <w:color w:val="auto"/>
                <w:kern w:val="0"/>
                <w:sz w:val="24"/>
                <w:highlight w:val="none"/>
              </w:rPr>
              <w:t>采云平台操作要求做好准备工作，提前完善软硬件配置环境。</w:t>
            </w:r>
          </w:p>
          <w:p w14:paraId="322EDE54">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方式</w:t>
            </w:r>
            <w:r>
              <w:rPr>
                <w:rFonts w:hint="eastAsia" w:ascii="仿宋" w:hAnsi="仿宋" w:eastAsia="仿宋" w:cs="宋体"/>
                <w:color w:val="auto"/>
                <w:kern w:val="0"/>
                <w:sz w:val="24"/>
                <w:highlight w:val="none"/>
                <w:lang w:eastAsia="zh-CN"/>
              </w:rPr>
              <w:t>三</w:t>
            </w:r>
            <w:r>
              <w:rPr>
                <w:rFonts w:hint="eastAsia" w:ascii="仿宋" w:hAnsi="仿宋" w:eastAsia="仿宋" w:cs="宋体"/>
                <w:color w:val="auto"/>
                <w:kern w:val="0"/>
                <w:sz w:val="24"/>
                <w:highlight w:val="none"/>
              </w:rPr>
              <w:t>：现场讲解演示。现场讲解地点为____，讲解演示所用电脑等设备由</w:t>
            </w:r>
            <w:r>
              <w:rPr>
                <w:rFonts w:hint="eastAsia" w:ascii="仿宋" w:hAnsi="仿宋" w:eastAsia="仿宋" w:cs="宋体"/>
                <w:color w:val="auto"/>
                <w:kern w:val="0"/>
                <w:sz w:val="24"/>
                <w:highlight w:val="none"/>
                <w:lang w:eastAsia="zh-CN"/>
              </w:rPr>
              <w:t>遴选响应人</w:t>
            </w:r>
            <w:r>
              <w:rPr>
                <w:rFonts w:hint="eastAsia" w:ascii="仿宋" w:hAnsi="仿宋" w:eastAsia="仿宋" w:cs="宋体"/>
                <w:color w:val="auto"/>
                <w:kern w:val="0"/>
                <w:sz w:val="24"/>
                <w:highlight w:val="none"/>
              </w:rPr>
              <w:t>自备。现场讲解演示人员须携带授权委托书及身份证明，委托书格式详见</w:t>
            </w:r>
            <w:r>
              <w:rPr>
                <w:rFonts w:hint="eastAsia" w:ascii="仿宋" w:hAnsi="仿宋" w:eastAsia="仿宋" w:cs="宋体"/>
                <w:color w:val="auto"/>
                <w:kern w:val="0"/>
                <w:sz w:val="24"/>
                <w:highlight w:val="none"/>
                <w:lang w:eastAsia="zh-CN"/>
              </w:rPr>
              <w:t>遴选文件</w:t>
            </w:r>
            <w:r>
              <w:rPr>
                <w:rFonts w:hint="eastAsia" w:ascii="仿宋" w:hAnsi="仿宋" w:eastAsia="仿宋" w:cs="宋体"/>
                <w:color w:val="auto"/>
                <w:kern w:val="0"/>
                <w:sz w:val="24"/>
                <w:highlight w:val="none"/>
              </w:rPr>
              <w:t>格式范例附件1，否则不得讲解演示。</w:t>
            </w:r>
          </w:p>
          <w:p w14:paraId="578F77AF">
            <w:pPr>
              <w:snapToGrid w:val="0"/>
              <w:spacing w:line="360" w:lineRule="exact"/>
              <w:rPr>
                <w:rFonts w:hint="eastAsia" w:ascii="仿宋" w:hAnsi="仿宋" w:eastAsia="仿宋"/>
                <w:b/>
                <w:color w:val="auto"/>
                <w:kern w:val="28"/>
                <w:sz w:val="24"/>
                <w:highlight w:val="none"/>
              </w:rPr>
            </w:pPr>
            <w:r>
              <w:rPr>
                <w:rFonts w:hint="eastAsia" w:ascii="仿宋" w:hAnsi="仿宋" w:eastAsia="仿宋" w:cs="宋体"/>
                <w:color w:val="auto"/>
                <w:kern w:val="0"/>
                <w:sz w:val="24"/>
                <w:highlight w:val="none"/>
              </w:rPr>
              <w:t>注：因</w:t>
            </w:r>
            <w:r>
              <w:rPr>
                <w:rFonts w:hint="eastAsia" w:ascii="仿宋" w:hAnsi="仿宋" w:eastAsia="仿宋" w:cs="宋体"/>
                <w:color w:val="auto"/>
                <w:kern w:val="0"/>
                <w:sz w:val="24"/>
                <w:highlight w:val="none"/>
                <w:lang w:eastAsia="zh-CN"/>
              </w:rPr>
              <w:t>遴选响应人</w:t>
            </w:r>
            <w:r>
              <w:rPr>
                <w:rFonts w:hint="eastAsia" w:ascii="仿宋" w:hAnsi="仿宋" w:eastAsia="仿宋"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B778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36D6FB6">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5A2763C">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lang w:eastAsia="zh-CN"/>
              </w:rPr>
              <w:t>遴选代理单位</w:t>
            </w:r>
            <w:r>
              <w:rPr>
                <w:rFonts w:hint="eastAsia" w:ascii="仿宋" w:hAnsi="仿宋" w:eastAsia="仿宋" w:cs="仿宋_GB2312"/>
                <w:b/>
                <w:color w:val="auto"/>
                <w:sz w:val="24"/>
                <w:highlight w:val="none"/>
              </w:rPr>
              <w:t>代理费用</w:t>
            </w:r>
          </w:p>
        </w:tc>
        <w:tc>
          <w:tcPr>
            <w:tcW w:w="6510" w:type="dxa"/>
            <w:tcBorders>
              <w:top w:val="single" w:color="000000" w:sz="8" w:space="0"/>
              <w:left w:val="single" w:color="000000" w:sz="2" w:space="0"/>
              <w:bottom w:val="single" w:color="000000" w:sz="8" w:space="0"/>
              <w:right w:val="single" w:color="000000" w:sz="8" w:space="0"/>
            </w:tcBorders>
            <w:noWrap w:val="0"/>
            <w:vAlign w:val="center"/>
          </w:tcPr>
          <w:p w14:paraId="288244B8">
            <w:pPr>
              <w:snapToGrid w:val="0"/>
              <w:spacing w:line="360" w:lineRule="exact"/>
              <w:rPr>
                <w:rFonts w:hint="eastAsia" w:ascii="仿宋" w:hAnsi="仿宋" w:eastAsia="仿宋"/>
                <w:color w:val="auto"/>
                <w:sz w:val="24"/>
                <w:highlight w:val="none"/>
              </w:rPr>
            </w:pPr>
            <w:r>
              <w:rPr>
                <w:rFonts w:hint="eastAsia" w:ascii="仿宋" w:hAnsi="仿宋" w:eastAsia="仿宋"/>
                <w:color w:val="auto"/>
                <w:sz w:val="24"/>
                <w:highlight w:val="none"/>
                <w:lang w:eastAsia="zh-CN"/>
              </w:rPr>
              <w:t>遴选人</w:t>
            </w:r>
            <w:r>
              <w:rPr>
                <w:rFonts w:hint="eastAsia" w:ascii="仿宋" w:hAnsi="仿宋" w:eastAsia="仿宋"/>
                <w:color w:val="auto"/>
                <w:sz w:val="24"/>
                <w:highlight w:val="none"/>
              </w:rPr>
              <w:t>支付</w:t>
            </w:r>
          </w:p>
        </w:tc>
      </w:tr>
      <w:tr w14:paraId="1754B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3831F43">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F8B64A6">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w:t>
            </w:r>
            <w:r>
              <w:rPr>
                <w:rFonts w:ascii="仿宋" w:hAnsi="仿宋" w:eastAsia="仿宋" w:cs="仿宋_GB2312"/>
                <w:b/>
                <w:color w:val="auto"/>
                <w:sz w:val="24"/>
                <w:highlight w:val="none"/>
              </w:rPr>
              <w:t>保证金</w:t>
            </w:r>
            <w:r>
              <w:rPr>
                <w:rFonts w:hint="eastAsia" w:ascii="仿宋" w:hAnsi="仿宋" w:eastAsia="仿宋" w:cs="仿宋_GB2312"/>
                <w:b/>
                <w:color w:val="auto"/>
                <w:sz w:val="24"/>
                <w:highlight w:val="none"/>
              </w:rPr>
              <w:t>缴纳</w:t>
            </w:r>
          </w:p>
        </w:tc>
        <w:tc>
          <w:tcPr>
            <w:tcW w:w="6510" w:type="dxa"/>
            <w:tcBorders>
              <w:top w:val="single" w:color="000000" w:sz="8" w:space="0"/>
              <w:left w:val="single" w:color="000000" w:sz="2" w:space="0"/>
              <w:bottom w:val="single" w:color="000000" w:sz="8" w:space="0"/>
              <w:right w:val="single" w:color="000000" w:sz="8" w:space="0"/>
            </w:tcBorders>
            <w:noWrap w:val="0"/>
            <w:vAlign w:val="center"/>
          </w:tcPr>
          <w:p w14:paraId="0C532C88">
            <w:pPr>
              <w:pStyle w:val="7"/>
              <w:spacing w:line="360" w:lineRule="exact"/>
              <w:ind w:firstLine="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14:paraId="4936B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8E0C7A9">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9D8CCC3">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履约保证金金额</w:t>
            </w:r>
          </w:p>
        </w:tc>
        <w:tc>
          <w:tcPr>
            <w:tcW w:w="6510" w:type="dxa"/>
            <w:tcBorders>
              <w:top w:val="single" w:color="000000" w:sz="8" w:space="0"/>
              <w:left w:val="single" w:color="000000" w:sz="2" w:space="0"/>
              <w:bottom w:val="single" w:color="000000" w:sz="8" w:space="0"/>
              <w:right w:val="single" w:color="000000" w:sz="8" w:space="0"/>
            </w:tcBorders>
            <w:noWrap w:val="0"/>
            <w:vAlign w:val="center"/>
          </w:tcPr>
          <w:p w14:paraId="20328A82">
            <w:pPr>
              <w:pStyle w:val="7"/>
              <w:spacing w:line="360" w:lineRule="exact"/>
              <w:ind w:firstLine="0"/>
              <w:jc w:val="left"/>
              <w:rPr>
                <w:rFonts w:hint="eastAsia" w:ascii="仿宋" w:hAnsi="仿宋" w:eastAsia="仿宋" w:cs="仿宋_GB2312"/>
                <w:color w:val="auto"/>
                <w:sz w:val="24"/>
                <w:highlight w:val="none"/>
              </w:rPr>
            </w:pPr>
            <w:r>
              <w:rPr>
                <w:rFonts w:hint="eastAsia" w:ascii="仿宋" w:hAnsi="仿宋" w:eastAsia="仿宋" w:cs="Arial"/>
                <w:color w:val="auto"/>
                <w:sz w:val="24"/>
                <w:szCs w:val="21"/>
                <w:highlight w:val="none"/>
              </w:rPr>
              <w:t>不收取履约保证金</w:t>
            </w:r>
          </w:p>
        </w:tc>
      </w:tr>
      <w:tr w14:paraId="4C588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1"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3481184">
            <w:pPr>
              <w:snapToGri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F5ABEC5">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电子招投标说明</w:t>
            </w:r>
          </w:p>
        </w:tc>
        <w:tc>
          <w:tcPr>
            <w:tcW w:w="6510" w:type="dxa"/>
            <w:tcBorders>
              <w:top w:val="single" w:color="000000" w:sz="8" w:space="0"/>
              <w:left w:val="single" w:color="000000" w:sz="2" w:space="0"/>
              <w:bottom w:val="single" w:color="000000" w:sz="8" w:space="0"/>
              <w:right w:val="single" w:color="000000" w:sz="8" w:space="0"/>
            </w:tcBorders>
            <w:noWrap w:val="0"/>
            <w:vAlign w:val="center"/>
          </w:tcPr>
          <w:p w14:paraId="4D9E586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（1）电子招投标：本项目以数据电文形式，依托“乐采云平台（www.lecaiyun.com）”进行招投标活动，不接受纸质</w:t>
            </w:r>
            <w:r>
              <w:rPr>
                <w:rFonts w:hint="eastAsia" w:ascii="仿宋" w:hAnsi="仿宋" w:eastAsia="仿宋" w:cs="仿宋"/>
                <w:color w:val="auto"/>
                <w:sz w:val="24"/>
                <w:szCs w:val="24"/>
                <w:highlight w:val="none"/>
                <w:lang w:eastAsia="zh-CN"/>
              </w:rPr>
              <w:t>申报文件</w:t>
            </w:r>
            <w:r>
              <w:rPr>
                <w:rFonts w:hint="eastAsia" w:ascii="仿宋" w:hAnsi="仿宋" w:eastAsia="仿宋" w:cs="仿宋"/>
                <w:color w:val="auto"/>
                <w:sz w:val="24"/>
                <w:szCs w:val="24"/>
                <w:highlight w:val="none"/>
              </w:rPr>
              <w:t>。</w:t>
            </w:r>
          </w:p>
          <w:p w14:paraId="255BCF2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（2）投标准备：注册账号--点击“商家入驻”，进行</w:t>
            </w:r>
            <w:r>
              <w:rPr>
                <w:rFonts w:hint="eastAsia" w:ascii="仿宋" w:hAnsi="仿宋" w:eastAsia="仿宋" w:cs="仿宋"/>
                <w:color w:val="auto"/>
                <w:sz w:val="24"/>
                <w:szCs w:val="24"/>
                <w:highlight w:val="none"/>
                <w:lang w:eastAsia="zh-CN"/>
              </w:rPr>
              <w:t>国企</w:t>
            </w:r>
            <w:r>
              <w:rPr>
                <w:rFonts w:hint="eastAsia" w:ascii="仿宋" w:hAnsi="仿宋" w:eastAsia="仿宋" w:cs="仿宋"/>
                <w:color w:val="auto"/>
                <w:sz w:val="24"/>
                <w:szCs w:val="24"/>
                <w:highlight w:val="none"/>
              </w:rPr>
              <w:t>采购供应商资料填写；申领CA数字证书---申领流程详见“浙江政府采购网-下载专区-电子交易客户端-CA驱动和申领流程”；安装“</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电子交易客户端”----前往“</w:t>
            </w:r>
            <w:r>
              <w:rPr>
                <w:rFonts w:hint="eastAsia" w:ascii="仿宋" w:hAnsi="仿宋" w:eastAsia="仿宋" w:cs="宋体"/>
                <w:color w:val="auto"/>
                <w:sz w:val="24"/>
                <w:highlight w:val="none"/>
                <w:lang w:val="en-US" w:eastAsia="zh-CN"/>
              </w:rPr>
              <w:t>浙江企业采购信息服务网-在线下载-乐采云电子投标客户端下载</w:t>
            </w:r>
            <w:r>
              <w:rPr>
                <w:rFonts w:hint="eastAsia" w:ascii="仿宋" w:hAnsi="仿宋" w:eastAsia="仿宋" w:cs="仿宋"/>
                <w:color w:val="auto"/>
                <w:sz w:val="24"/>
                <w:szCs w:val="24"/>
                <w:highlight w:val="none"/>
              </w:rPr>
              <w:t>”进行下载并安装。</w:t>
            </w:r>
          </w:p>
          <w:p w14:paraId="67DD1AF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遴选文件</w:t>
            </w:r>
            <w:r>
              <w:rPr>
                <w:rFonts w:hint="eastAsia" w:ascii="仿宋" w:hAnsi="仿宋" w:eastAsia="仿宋" w:cs="仿宋"/>
                <w:color w:val="auto"/>
                <w:sz w:val="24"/>
                <w:szCs w:val="24"/>
                <w:highlight w:val="none"/>
              </w:rPr>
              <w:t>的获取：使用账号登录或者使用CA登录</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平台；进入“项目采购”应用，在获取</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菜单中选择项目，获取</w:t>
            </w:r>
            <w:r>
              <w:rPr>
                <w:rFonts w:hint="eastAsia" w:ascii="仿宋" w:hAnsi="仿宋" w:eastAsia="仿宋" w:cs="仿宋"/>
                <w:color w:val="auto"/>
                <w:sz w:val="24"/>
                <w:szCs w:val="24"/>
                <w:highlight w:val="none"/>
                <w:lang w:eastAsia="zh-CN"/>
              </w:rPr>
              <w:t>遴选文件</w:t>
            </w:r>
            <w:r>
              <w:rPr>
                <w:rFonts w:hint="eastAsia" w:ascii="仿宋" w:hAnsi="仿宋" w:eastAsia="仿宋" w:cs="仿宋"/>
                <w:color w:val="auto"/>
                <w:sz w:val="24"/>
                <w:szCs w:val="24"/>
                <w:highlight w:val="none"/>
              </w:rPr>
              <w:t>。</w:t>
            </w:r>
          </w:p>
          <w:p w14:paraId="5B66A55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申报文件</w:t>
            </w:r>
            <w:r>
              <w:rPr>
                <w:rFonts w:hint="eastAsia" w:ascii="仿宋" w:hAnsi="仿宋" w:eastAsia="仿宋" w:cs="仿宋"/>
                <w:color w:val="auto"/>
                <w:sz w:val="24"/>
                <w:szCs w:val="24"/>
                <w:highlight w:val="none"/>
              </w:rPr>
              <w:t>的制作：在“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电子交易客户端”中完成“填写基本信息”、“导入</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”、“标书关联”、“标书检查”、“电子签名”、“生成电子标书”等操作。</w:t>
            </w:r>
          </w:p>
          <w:p w14:paraId="621C016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（5）遴选人、遴选代理单位将依托乐采云平台完成本项目的电子交易活动，平台不接受未按上述方式获取遴选文件的供应商进行投标活动；</w:t>
            </w:r>
          </w:p>
          <w:p w14:paraId="71626F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对未按上述方式获取</w:t>
            </w:r>
            <w:r>
              <w:rPr>
                <w:rFonts w:hint="eastAsia" w:ascii="仿宋" w:hAnsi="仿宋" w:eastAsia="仿宋" w:cs="宋体"/>
                <w:color w:val="auto"/>
                <w:sz w:val="24"/>
                <w:highlight w:val="none"/>
                <w:lang w:eastAsia="zh-CN"/>
              </w:rPr>
              <w:t>遴选文件</w:t>
            </w:r>
            <w:r>
              <w:rPr>
                <w:rFonts w:hint="eastAsia" w:ascii="仿宋" w:hAnsi="仿宋" w:eastAsia="仿宋" w:cs="宋体"/>
                <w:color w:val="auto"/>
                <w:sz w:val="24"/>
                <w:highlight w:val="none"/>
              </w:rPr>
              <w:t>的供应商对该文件提出的质疑，</w:t>
            </w:r>
            <w:r>
              <w:rPr>
                <w:rFonts w:hint="eastAsia" w:ascii="仿宋" w:hAnsi="仿宋" w:eastAsia="仿宋" w:cs="宋体"/>
                <w:color w:val="auto"/>
                <w:sz w:val="24"/>
                <w:highlight w:val="none"/>
                <w:lang w:eastAsia="zh-CN"/>
              </w:rPr>
              <w:t>遴选人</w:t>
            </w:r>
            <w:r>
              <w:rPr>
                <w:rFonts w:hint="eastAsia" w:ascii="仿宋" w:hAnsi="仿宋" w:eastAsia="仿宋" w:cs="宋体"/>
                <w:color w:val="auto"/>
                <w:sz w:val="24"/>
                <w:highlight w:val="none"/>
              </w:rPr>
              <w:t>或</w:t>
            </w:r>
            <w:r>
              <w:rPr>
                <w:rFonts w:hint="eastAsia" w:ascii="仿宋" w:hAnsi="仿宋" w:eastAsia="仿宋" w:cs="宋体"/>
                <w:color w:val="auto"/>
                <w:sz w:val="24"/>
                <w:highlight w:val="none"/>
                <w:lang w:eastAsia="zh-CN"/>
              </w:rPr>
              <w:t>遴选代理单位</w:t>
            </w:r>
            <w:r>
              <w:rPr>
                <w:rFonts w:hint="eastAsia" w:ascii="仿宋" w:hAnsi="仿宋" w:eastAsia="仿宋" w:cs="宋体"/>
                <w:color w:val="auto"/>
                <w:sz w:val="24"/>
                <w:highlight w:val="none"/>
              </w:rPr>
              <w:t>将不予处理；</w:t>
            </w:r>
          </w:p>
          <w:p w14:paraId="65B2C90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7</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不提供</w:t>
            </w:r>
            <w:r>
              <w:rPr>
                <w:rFonts w:hint="eastAsia" w:ascii="仿宋" w:hAnsi="仿宋" w:eastAsia="仿宋" w:cs="宋体"/>
                <w:color w:val="auto"/>
                <w:sz w:val="24"/>
                <w:highlight w:val="none"/>
                <w:lang w:eastAsia="zh-CN"/>
              </w:rPr>
              <w:t>遴选文件</w:t>
            </w:r>
            <w:r>
              <w:rPr>
                <w:rFonts w:hint="eastAsia" w:ascii="仿宋" w:hAnsi="仿宋" w:eastAsia="仿宋" w:cs="宋体"/>
                <w:color w:val="auto"/>
                <w:sz w:val="24"/>
                <w:highlight w:val="none"/>
              </w:rPr>
              <w:t>纸质版；</w:t>
            </w:r>
          </w:p>
          <w:p w14:paraId="2A77A15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申报文件</w:t>
            </w:r>
            <w:r>
              <w:rPr>
                <w:rFonts w:hint="eastAsia" w:ascii="仿宋" w:hAnsi="仿宋" w:eastAsia="仿宋" w:cs="仿宋"/>
                <w:color w:val="auto"/>
                <w:sz w:val="24"/>
                <w:szCs w:val="24"/>
                <w:highlight w:val="none"/>
              </w:rPr>
              <w:t>的传输递交：</w:t>
            </w:r>
            <w:r>
              <w:rPr>
                <w:rFonts w:hint="eastAsia" w:ascii="仿宋" w:hAnsi="仿宋" w:eastAsia="仿宋" w:cs="仿宋"/>
                <w:color w:val="auto"/>
                <w:sz w:val="24"/>
                <w:szCs w:val="24"/>
                <w:highlight w:val="none"/>
                <w:lang w:eastAsia="zh-CN"/>
              </w:rPr>
              <w:t>遴选响应人</w:t>
            </w:r>
            <w:r>
              <w:rPr>
                <w:rFonts w:hint="eastAsia" w:ascii="仿宋" w:hAnsi="仿宋" w:eastAsia="仿宋" w:cs="仿宋"/>
                <w:color w:val="auto"/>
                <w:sz w:val="24"/>
                <w:szCs w:val="24"/>
                <w:highlight w:val="none"/>
              </w:rPr>
              <w:t>在投标截止时间前将加密的</w:t>
            </w:r>
            <w:r>
              <w:rPr>
                <w:rFonts w:hint="eastAsia" w:ascii="仿宋" w:hAnsi="仿宋" w:eastAsia="仿宋" w:cs="仿宋"/>
                <w:color w:val="auto"/>
                <w:sz w:val="24"/>
                <w:szCs w:val="24"/>
                <w:highlight w:val="none"/>
                <w:lang w:eastAsia="zh-CN"/>
              </w:rPr>
              <w:t>申报文件</w:t>
            </w:r>
            <w:r>
              <w:rPr>
                <w:rFonts w:hint="eastAsia" w:ascii="仿宋" w:hAnsi="仿宋" w:eastAsia="仿宋" w:cs="仿宋"/>
                <w:color w:val="auto"/>
                <w:sz w:val="24"/>
                <w:szCs w:val="24"/>
                <w:highlight w:val="none"/>
              </w:rPr>
              <w:t>上传至</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w:t>
            </w:r>
          </w:p>
          <w:p w14:paraId="6BF3739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申报文件</w:t>
            </w:r>
            <w:r>
              <w:rPr>
                <w:rFonts w:hint="eastAsia" w:ascii="仿宋" w:hAnsi="仿宋" w:eastAsia="仿宋" w:cs="仿宋"/>
                <w:color w:val="auto"/>
                <w:sz w:val="24"/>
                <w:szCs w:val="24"/>
                <w:highlight w:val="none"/>
              </w:rPr>
              <w:t>的解密：</w:t>
            </w:r>
            <w:r>
              <w:rPr>
                <w:rFonts w:hint="eastAsia" w:ascii="仿宋" w:hAnsi="仿宋" w:eastAsia="仿宋" w:cs="仿宋"/>
                <w:color w:val="auto"/>
                <w:sz w:val="24"/>
                <w:szCs w:val="24"/>
                <w:highlight w:val="none"/>
                <w:lang w:eastAsia="zh-CN"/>
              </w:rPr>
              <w:t>遴选响应人</w:t>
            </w:r>
            <w:r>
              <w:rPr>
                <w:rFonts w:hint="eastAsia" w:ascii="仿宋" w:hAnsi="仿宋" w:eastAsia="仿宋" w:cs="仿宋"/>
                <w:color w:val="auto"/>
                <w:sz w:val="24"/>
                <w:szCs w:val="24"/>
                <w:highlight w:val="none"/>
              </w:rPr>
              <w:t>按照平台提示和</w:t>
            </w:r>
            <w:r>
              <w:rPr>
                <w:rFonts w:hint="eastAsia" w:ascii="仿宋" w:hAnsi="仿宋" w:eastAsia="仿宋" w:cs="仿宋"/>
                <w:color w:val="auto"/>
                <w:sz w:val="24"/>
                <w:szCs w:val="24"/>
                <w:highlight w:val="none"/>
                <w:lang w:eastAsia="zh-CN"/>
              </w:rPr>
              <w:t>遴选文件</w:t>
            </w:r>
            <w:r>
              <w:rPr>
                <w:rFonts w:hint="eastAsia" w:ascii="仿宋" w:hAnsi="仿宋" w:eastAsia="仿宋" w:cs="仿宋"/>
                <w:color w:val="auto"/>
                <w:sz w:val="24"/>
                <w:szCs w:val="24"/>
                <w:highlight w:val="none"/>
              </w:rPr>
              <w:t>的规定在开始解密后</w:t>
            </w:r>
            <w:r>
              <w:rPr>
                <w:rFonts w:hint="eastAsia" w:ascii="仿宋" w:hAnsi="仿宋" w:eastAsia="仿宋" w:cs="仿宋"/>
                <w:color w:val="auto"/>
                <w:sz w:val="24"/>
                <w:szCs w:val="24"/>
                <w:highlight w:val="none"/>
                <w:lang w:val="en-US" w:eastAsia="zh-CN"/>
              </w:rPr>
              <w:t>30分钟</w:t>
            </w:r>
            <w:r>
              <w:rPr>
                <w:rFonts w:hint="eastAsia" w:ascii="仿宋" w:hAnsi="仿宋" w:eastAsia="仿宋" w:cs="仿宋"/>
                <w:color w:val="auto"/>
                <w:sz w:val="24"/>
                <w:szCs w:val="24"/>
                <w:highlight w:val="none"/>
              </w:rPr>
              <w:t>内完成在线解密。</w:t>
            </w:r>
          </w:p>
          <w:p w14:paraId="3D2BD6ED">
            <w:pPr>
              <w:spacing w:line="360" w:lineRule="exact"/>
              <w:jc w:val="left"/>
              <w:rPr>
                <w:rFonts w:hint="eastAsia" w:ascii="仿宋" w:hAnsi="仿宋" w:eastAsia="仿宋"/>
                <w:color w:val="auto"/>
                <w:sz w:val="24"/>
                <w:szCs w:val="28"/>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）具体操作指南：详见</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w:t>
            </w:r>
            <w:r>
              <w:rPr>
                <w:rFonts w:hint="eastAsia" w:ascii="仿宋" w:hAnsi="仿宋" w:eastAsia="仿宋" w:cs="宋体"/>
                <w:color w:val="auto"/>
                <w:sz w:val="24"/>
                <w:highlight w:val="none"/>
              </w:rPr>
              <w:t>服务中心-帮助文档-项目采购-电子招投标-供应商</w:t>
            </w:r>
            <w:r>
              <w:rPr>
                <w:rFonts w:hint="eastAsia" w:ascii="仿宋" w:hAnsi="仿宋" w:eastAsia="仿宋" w:cs="仿宋"/>
                <w:color w:val="auto"/>
                <w:sz w:val="24"/>
                <w:szCs w:val="24"/>
                <w:highlight w:val="none"/>
              </w:rPr>
              <w:t>”。</w:t>
            </w:r>
          </w:p>
        </w:tc>
      </w:tr>
    </w:tbl>
    <w:p w14:paraId="21688830">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p w14:paraId="2B9D227E">
      <w:pPr>
        <w:snapToGrid w:val="0"/>
        <w:spacing w:line="300" w:lineRule="auto"/>
        <w:jc w:val="center"/>
        <w:rPr>
          <w:b/>
          <w:color w:val="auto"/>
          <w:sz w:val="36"/>
          <w:szCs w:val="36"/>
          <w:highlight w:val="none"/>
        </w:rPr>
      </w:pPr>
      <w:r>
        <w:rPr>
          <w:b/>
          <w:color w:val="auto"/>
          <w:sz w:val="36"/>
          <w:szCs w:val="36"/>
          <w:highlight w:val="none"/>
        </w:rPr>
        <w:br w:type="page"/>
      </w:r>
      <w:r>
        <w:rPr>
          <w:rFonts w:hint="eastAsia" w:ascii="仿宋" w:hAnsi="仿宋" w:eastAsia="仿宋" w:cs="仿宋_GB2312"/>
          <w:b/>
          <w:color w:val="auto"/>
          <w:sz w:val="32"/>
          <w:szCs w:val="20"/>
          <w:highlight w:val="none"/>
        </w:rPr>
        <w:t>一、总则</w:t>
      </w:r>
    </w:p>
    <w:p w14:paraId="3E6CDD86">
      <w:pPr>
        <w:adjustRightInd w:val="0"/>
        <w:snapToGrid w:val="0"/>
        <w:spacing w:line="360" w:lineRule="auto"/>
        <w:ind w:firstLine="482" w:firstLineChars="200"/>
        <w:jc w:val="left"/>
        <w:outlineLvl w:val="1"/>
        <w:rPr>
          <w:rFonts w:ascii="仿宋" w:hAnsi="仿宋" w:eastAsia="仿宋"/>
          <w:b/>
          <w:color w:val="auto"/>
          <w:sz w:val="24"/>
          <w:highlight w:val="none"/>
        </w:rPr>
      </w:pPr>
      <w:r>
        <w:rPr>
          <w:rFonts w:ascii="仿宋" w:hAnsi="仿宋" w:eastAsia="仿宋"/>
          <w:b/>
          <w:color w:val="auto"/>
          <w:sz w:val="24"/>
          <w:highlight w:val="none"/>
        </w:rPr>
        <w:t>1. 适用范围</w:t>
      </w:r>
    </w:p>
    <w:p w14:paraId="67E5B76F">
      <w:pPr>
        <w:adjustRightInd w:val="0"/>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本遴选文件适用于本次所述项目的遴选。</w:t>
      </w:r>
    </w:p>
    <w:p w14:paraId="6ADEA456">
      <w:pPr>
        <w:adjustRightInd w:val="0"/>
        <w:snapToGrid w:val="0"/>
        <w:spacing w:line="360" w:lineRule="auto"/>
        <w:ind w:firstLine="482" w:firstLineChars="200"/>
        <w:jc w:val="left"/>
        <w:outlineLvl w:val="1"/>
        <w:rPr>
          <w:rFonts w:ascii="仿宋" w:hAnsi="仿宋" w:eastAsia="仿宋"/>
          <w:b/>
          <w:color w:val="auto"/>
          <w:sz w:val="24"/>
          <w:highlight w:val="none"/>
        </w:rPr>
      </w:pPr>
      <w:r>
        <w:rPr>
          <w:rFonts w:ascii="仿宋" w:hAnsi="仿宋" w:eastAsia="仿宋"/>
          <w:b/>
          <w:color w:val="auto"/>
          <w:sz w:val="24"/>
          <w:highlight w:val="none"/>
        </w:rPr>
        <w:t>2. 定义</w:t>
      </w:r>
    </w:p>
    <w:p w14:paraId="5D8E6A93">
      <w:pPr>
        <w:adjustRightInd w:val="0"/>
        <w:spacing w:line="360" w:lineRule="auto"/>
        <w:ind w:firstLine="480" w:firstLineChars="200"/>
        <w:jc w:val="left"/>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2.1 “遴选人”系指组织本次遴选的遴选单位。</w:t>
      </w:r>
    </w:p>
    <w:p w14:paraId="0880BF22">
      <w:pPr>
        <w:adjustRightInd w:val="0"/>
        <w:spacing w:line="360" w:lineRule="auto"/>
        <w:ind w:firstLine="480" w:firstLineChars="200"/>
        <w:jc w:val="left"/>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2.2 “遴选响应人”系指向遴选人提交申报文件的单位。</w:t>
      </w:r>
    </w:p>
    <w:p w14:paraId="4B64BF81">
      <w:pPr>
        <w:adjustRightInd w:val="0"/>
        <w:spacing w:line="360" w:lineRule="auto"/>
        <w:ind w:firstLine="480" w:firstLineChars="200"/>
        <w:jc w:val="left"/>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2.3 “服务”系指遴选文件规定遴选响应人须承担的业务办理、技术协助以及其他类似的义务。</w:t>
      </w:r>
    </w:p>
    <w:p w14:paraId="6DDB2BD7">
      <w:pPr>
        <w:adjustRightIn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2.5 “项目”系指遴选响应人按遴选文件规定向遴选人提供的服务。</w:t>
      </w:r>
    </w:p>
    <w:p w14:paraId="329C93E1">
      <w:pPr>
        <w:adjustRightIn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2.6 “授权代表”系指法定代表人（负责人）的被授权委托人。</w:t>
      </w:r>
    </w:p>
    <w:p w14:paraId="1BE593B6">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2.7</w:t>
      </w:r>
      <w:r>
        <w:rPr>
          <w:rFonts w:ascii="仿宋" w:hAnsi="仿宋" w:eastAsia="仿宋"/>
          <w:color w:val="auto"/>
          <w:sz w:val="24"/>
          <w:highlight w:val="non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遴选代理单位</w:t>
      </w:r>
      <w:r>
        <w:rPr>
          <w:rFonts w:hint="eastAsia" w:ascii="仿宋" w:hAnsi="仿宋" w:eastAsia="仿宋"/>
          <w:color w:val="auto"/>
          <w:sz w:val="24"/>
          <w:highlight w:val="none"/>
        </w:rPr>
        <w:t>”系指</w:t>
      </w:r>
      <w:r>
        <w:rPr>
          <w:rFonts w:hint="eastAsia" w:ascii="仿宋" w:hAnsi="仿宋" w:eastAsia="仿宋"/>
          <w:color w:val="auto"/>
          <w:sz w:val="24"/>
          <w:highlight w:val="none"/>
          <w:lang w:eastAsia="zh-CN"/>
        </w:rPr>
        <w:t>遴选</w:t>
      </w:r>
      <w:r>
        <w:rPr>
          <w:rFonts w:hint="eastAsia" w:ascii="仿宋" w:hAnsi="仿宋" w:eastAsia="仿宋"/>
          <w:color w:val="auto"/>
          <w:sz w:val="24"/>
          <w:highlight w:val="none"/>
        </w:rPr>
        <w:t>公告中载明的本项目的</w:t>
      </w:r>
      <w:r>
        <w:rPr>
          <w:rFonts w:hint="eastAsia" w:ascii="仿宋" w:hAnsi="仿宋" w:eastAsia="仿宋"/>
          <w:color w:val="auto"/>
          <w:sz w:val="24"/>
          <w:highlight w:val="none"/>
          <w:lang w:eastAsia="zh-CN"/>
        </w:rPr>
        <w:t>遴选代理单位</w:t>
      </w:r>
      <w:r>
        <w:rPr>
          <w:rFonts w:hint="eastAsia" w:ascii="仿宋" w:hAnsi="仿宋" w:eastAsia="仿宋"/>
          <w:color w:val="auto"/>
          <w:sz w:val="24"/>
          <w:highlight w:val="none"/>
        </w:rPr>
        <w:t>。</w:t>
      </w:r>
    </w:p>
    <w:p w14:paraId="7CBE25E5">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3. 询问、质疑、投诉</w:t>
      </w:r>
    </w:p>
    <w:p w14:paraId="5651C668">
      <w:pPr>
        <w:autoSpaceDE w:val="0"/>
        <w:autoSpaceDN w:val="0"/>
        <w:spacing w:line="360" w:lineRule="auto"/>
        <w:ind w:firstLine="482" w:firstLineChars="200"/>
        <w:jc w:val="left"/>
        <w:rPr>
          <w:rFonts w:ascii="仿宋" w:hAnsi="仿宋" w:eastAsia="仿宋" w:cs="微软雅黑"/>
          <w:b/>
          <w:color w:val="auto"/>
          <w:kern w:val="0"/>
          <w:sz w:val="24"/>
          <w:highlight w:val="none"/>
          <w:lang w:val="zh-CN"/>
        </w:rPr>
      </w:pPr>
      <w:r>
        <w:rPr>
          <w:rFonts w:hint="eastAsia" w:ascii="仿宋" w:hAnsi="仿宋" w:eastAsia="仿宋" w:cs="微软雅黑"/>
          <w:b/>
          <w:color w:val="auto"/>
          <w:kern w:val="0"/>
          <w:sz w:val="24"/>
          <w:highlight w:val="none"/>
          <w:lang w:val="zh-CN"/>
        </w:rPr>
        <w:t>3.1供应商询问</w:t>
      </w:r>
    </w:p>
    <w:p w14:paraId="047AEEA7">
      <w:pPr>
        <w:pStyle w:val="11"/>
        <w:spacing w:line="360" w:lineRule="auto"/>
        <w:ind w:firstLine="482" w:firstLineChars="200"/>
        <w:jc w:val="left"/>
        <w:rPr>
          <w:rFonts w:ascii="仿宋" w:hAnsi="仿宋" w:eastAsia="仿宋"/>
          <w:color w:val="auto"/>
          <w:sz w:val="24"/>
          <w:highlight w:val="none"/>
        </w:rPr>
      </w:pPr>
      <w:r>
        <w:rPr>
          <w:rFonts w:hint="eastAsia" w:ascii="仿宋" w:hAnsi="仿宋" w:eastAsia="仿宋"/>
          <w:b/>
          <w:color w:val="auto"/>
          <w:sz w:val="24"/>
          <w:highlight w:val="none"/>
        </w:rPr>
        <w:t>已获取</w:t>
      </w:r>
      <w:r>
        <w:rPr>
          <w:rFonts w:hint="eastAsia" w:ascii="仿宋" w:hAnsi="仿宋" w:eastAsia="仿宋"/>
          <w:b/>
          <w:color w:val="auto"/>
          <w:sz w:val="24"/>
          <w:highlight w:val="none"/>
          <w:lang w:eastAsia="zh-CN"/>
        </w:rPr>
        <w:t>遴选文件</w:t>
      </w:r>
      <w:r>
        <w:rPr>
          <w:rFonts w:hint="eastAsia" w:ascii="仿宋" w:hAnsi="仿宋" w:eastAsia="仿宋"/>
          <w:b/>
          <w:color w:val="auto"/>
          <w:sz w:val="24"/>
          <w:highlight w:val="none"/>
        </w:rPr>
        <w:t>的潜在遴选响应人，发现</w:t>
      </w:r>
      <w:r>
        <w:rPr>
          <w:rFonts w:hint="eastAsia" w:ascii="仿宋" w:hAnsi="仿宋" w:eastAsia="仿宋"/>
          <w:b/>
          <w:color w:val="auto"/>
          <w:sz w:val="24"/>
          <w:highlight w:val="none"/>
          <w:lang w:eastAsia="zh-CN"/>
        </w:rPr>
        <w:t>遴选</w:t>
      </w:r>
      <w:r>
        <w:rPr>
          <w:rFonts w:hint="eastAsia" w:ascii="仿宋" w:hAnsi="仿宋" w:eastAsia="仿宋"/>
          <w:b/>
          <w:color w:val="auto"/>
          <w:sz w:val="24"/>
          <w:highlight w:val="none"/>
        </w:rPr>
        <w:t>文件其中有误或有问题需要澄清，应于公告发布之日起至公告期限届满之日内以书面形式向</w:t>
      </w:r>
      <w:r>
        <w:rPr>
          <w:rFonts w:hint="eastAsia" w:ascii="仿宋" w:hAnsi="仿宋" w:eastAsia="仿宋"/>
          <w:b/>
          <w:color w:val="auto"/>
          <w:sz w:val="24"/>
          <w:highlight w:val="none"/>
          <w:lang w:eastAsia="zh-CN"/>
        </w:rPr>
        <w:t>遴选人</w:t>
      </w:r>
      <w:r>
        <w:rPr>
          <w:rFonts w:hint="eastAsia" w:ascii="仿宋" w:hAnsi="仿宋" w:eastAsia="仿宋"/>
          <w:b/>
          <w:color w:val="auto"/>
          <w:sz w:val="24"/>
          <w:highlight w:val="none"/>
        </w:rPr>
        <w:t>或者</w:t>
      </w:r>
      <w:r>
        <w:rPr>
          <w:rFonts w:hint="eastAsia" w:ascii="仿宋" w:hAnsi="仿宋" w:eastAsia="仿宋"/>
          <w:b/>
          <w:color w:val="auto"/>
          <w:sz w:val="24"/>
          <w:highlight w:val="none"/>
          <w:lang w:eastAsia="zh-CN"/>
        </w:rPr>
        <w:t>遴选代理单位</w:t>
      </w:r>
      <w:r>
        <w:rPr>
          <w:rFonts w:hint="eastAsia" w:ascii="仿宋" w:hAnsi="仿宋" w:eastAsia="仿宋"/>
          <w:b/>
          <w:color w:val="auto"/>
          <w:sz w:val="24"/>
          <w:highlight w:val="none"/>
        </w:rPr>
        <w:t>提出，</w:t>
      </w:r>
      <w:r>
        <w:rPr>
          <w:rFonts w:hint="eastAsia" w:ascii="仿宋" w:hAnsi="仿宋" w:eastAsia="仿宋"/>
          <w:b/>
          <w:color w:val="auto"/>
          <w:sz w:val="24"/>
          <w:highlight w:val="none"/>
          <w:lang w:eastAsia="zh-CN"/>
        </w:rPr>
        <w:t>遴选代理单位</w:t>
      </w:r>
      <w:r>
        <w:rPr>
          <w:rFonts w:hint="eastAsia" w:ascii="仿宋" w:hAnsi="仿宋" w:eastAsia="仿宋"/>
          <w:b/>
          <w:color w:val="auto"/>
          <w:sz w:val="24"/>
          <w:highlight w:val="none"/>
        </w:rPr>
        <w:t>与遴选人研究后，对认为有必要回答的问题，将以公告</w:t>
      </w:r>
      <w:r>
        <w:rPr>
          <w:rFonts w:ascii="仿宋" w:hAnsi="仿宋" w:eastAsia="仿宋"/>
          <w:b/>
          <w:color w:val="auto"/>
          <w:sz w:val="24"/>
          <w:highlight w:val="none"/>
        </w:rPr>
        <w:t>形式</w:t>
      </w:r>
      <w:r>
        <w:rPr>
          <w:rFonts w:hint="eastAsia" w:ascii="仿宋" w:hAnsi="仿宋" w:eastAsia="仿宋"/>
          <w:b/>
          <w:color w:val="auto"/>
          <w:sz w:val="24"/>
          <w:highlight w:val="none"/>
        </w:rPr>
        <w:t>通知所有</w:t>
      </w:r>
      <w:r>
        <w:rPr>
          <w:rFonts w:hint="eastAsia" w:ascii="仿宋" w:hAnsi="仿宋" w:eastAsia="仿宋"/>
          <w:b/>
          <w:color w:val="auto"/>
          <w:sz w:val="24"/>
          <w:highlight w:val="none"/>
          <w:lang w:eastAsia="zh-CN"/>
        </w:rPr>
        <w:t>遴选</w:t>
      </w:r>
      <w:r>
        <w:rPr>
          <w:rFonts w:hint="eastAsia" w:ascii="仿宋" w:hAnsi="仿宋" w:eastAsia="仿宋"/>
          <w:b/>
          <w:color w:val="auto"/>
          <w:sz w:val="24"/>
          <w:highlight w:val="none"/>
        </w:rPr>
        <w:t>文件收受人。逾期提出的</w:t>
      </w:r>
      <w:r>
        <w:rPr>
          <w:rFonts w:hint="eastAsia" w:ascii="仿宋" w:hAnsi="仿宋" w:eastAsia="仿宋"/>
          <w:b/>
          <w:color w:val="auto"/>
          <w:sz w:val="24"/>
          <w:highlight w:val="none"/>
          <w:lang w:eastAsia="zh-CN"/>
        </w:rPr>
        <w:t>遴选</w:t>
      </w:r>
      <w:r>
        <w:rPr>
          <w:rFonts w:hint="eastAsia" w:ascii="仿宋" w:hAnsi="仿宋" w:eastAsia="仿宋"/>
          <w:b/>
          <w:color w:val="auto"/>
          <w:sz w:val="24"/>
          <w:highlight w:val="none"/>
        </w:rPr>
        <w:t>人有权不予受理。</w:t>
      </w:r>
    </w:p>
    <w:p w14:paraId="4854C2F9">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3.2供应商质疑</w:t>
      </w:r>
    </w:p>
    <w:p w14:paraId="08A12525">
      <w:pPr>
        <w:pStyle w:val="11"/>
        <w:spacing w:line="360" w:lineRule="auto"/>
        <w:ind w:firstLine="480" w:firstLineChars="200"/>
        <w:jc w:val="left"/>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3.2</w:t>
      </w:r>
      <w:r>
        <w:rPr>
          <w:rFonts w:hint="eastAsia" w:ascii="仿宋" w:hAnsi="仿宋" w:eastAsia="仿宋"/>
          <w:color w:val="auto"/>
          <w:sz w:val="24"/>
          <w:highlight w:val="none"/>
        </w:rPr>
        <w:t>.1提出质疑的供应商应当是参与所质疑项目采购活动的遴选响应人。潜在供应商已依法获取其可质疑的</w:t>
      </w:r>
      <w:r>
        <w:rPr>
          <w:rFonts w:hint="eastAsia" w:ascii="仿宋" w:hAnsi="仿宋" w:eastAsia="仿宋"/>
          <w:color w:val="auto"/>
          <w:sz w:val="24"/>
          <w:highlight w:val="none"/>
          <w:lang w:eastAsia="zh-CN"/>
        </w:rPr>
        <w:t>遴选</w:t>
      </w:r>
      <w:r>
        <w:rPr>
          <w:rFonts w:hint="eastAsia" w:ascii="仿宋" w:hAnsi="仿宋" w:eastAsia="仿宋"/>
          <w:color w:val="auto"/>
          <w:sz w:val="24"/>
          <w:highlight w:val="none"/>
        </w:rPr>
        <w:t>文件的，可以对该文件提出质疑。</w:t>
      </w:r>
    </w:p>
    <w:p w14:paraId="152AEBA3">
      <w:pPr>
        <w:pStyle w:val="11"/>
        <w:spacing w:line="360" w:lineRule="auto"/>
        <w:ind w:right="-512" w:firstLine="480" w:firstLineChars="200"/>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3.2</w:t>
      </w:r>
      <w:r>
        <w:rPr>
          <w:rFonts w:hint="eastAsia" w:ascii="仿宋" w:hAnsi="仿宋" w:eastAsia="仿宋"/>
          <w:color w:val="auto"/>
          <w:sz w:val="24"/>
          <w:highlight w:val="none"/>
        </w:rPr>
        <w:t>.2供应商认为</w:t>
      </w:r>
      <w:r>
        <w:rPr>
          <w:rFonts w:hint="eastAsia" w:ascii="仿宋" w:hAnsi="仿宋" w:eastAsia="仿宋"/>
          <w:color w:val="auto"/>
          <w:sz w:val="24"/>
          <w:highlight w:val="none"/>
          <w:lang w:eastAsia="zh-CN"/>
        </w:rPr>
        <w:t>遴选</w:t>
      </w:r>
      <w:r>
        <w:rPr>
          <w:rFonts w:hint="eastAsia" w:ascii="仿宋" w:hAnsi="仿宋" w:eastAsia="仿宋"/>
          <w:color w:val="auto"/>
          <w:sz w:val="24"/>
          <w:highlight w:val="none"/>
        </w:rPr>
        <w:t>文件、采购过程和成交结果使自己的权益受到损害的，可以在知道或者应知其权益受到损害之日起七个工作日内，以书面形式向</w:t>
      </w:r>
      <w:r>
        <w:rPr>
          <w:rFonts w:hint="eastAsia" w:ascii="仿宋" w:hAnsi="仿宋" w:eastAsia="仿宋"/>
          <w:color w:val="auto"/>
          <w:sz w:val="24"/>
          <w:highlight w:val="none"/>
          <w:lang w:eastAsia="zh-CN"/>
        </w:rPr>
        <w:t>遴选</w:t>
      </w:r>
      <w:r>
        <w:rPr>
          <w:rFonts w:hint="eastAsia" w:ascii="仿宋" w:hAnsi="仿宋" w:eastAsia="仿宋"/>
          <w:color w:val="auto"/>
          <w:sz w:val="24"/>
          <w:highlight w:val="none"/>
        </w:rPr>
        <w:t>人或者</w:t>
      </w:r>
      <w:r>
        <w:rPr>
          <w:rFonts w:hint="eastAsia" w:ascii="仿宋" w:hAnsi="仿宋" w:eastAsia="仿宋"/>
          <w:color w:val="auto"/>
          <w:sz w:val="24"/>
          <w:highlight w:val="none"/>
          <w:lang w:eastAsia="zh-CN"/>
        </w:rPr>
        <w:t>遴选代理单位</w:t>
      </w:r>
      <w:r>
        <w:rPr>
          <w:rFonts w:hint="eastAsia" w:ascii="仿宋" w:hAnsi="仿宋" w:eastAsia="仿宋"/>
          <w:color w:val="auto"/>
          <w:sz w:val="24"/>
          <w:highlight w:val="none"/>
        </w:rPr>
        <w:t>提出质疑，否则，</w:t>
      </w:r>
      <w:r>
        <w:rPr>
          <w:rFonts w:hint="eastAsia" w:ascii="仿宋" w:hAnsi="仿宋" w:eastAsia="仿宋"/>
          <w:color w:val="auto"/>
          <w:sz w:val="24"/>
          <w:highlight w:val="none"/>
          <w:lang w:eastAsia="zh-CN"/>
        </w:rPr>
        <w:t>遴选人</w:t>
      </w:r>
      <w:r>
        <w:rPr>
          <w:rFonts w:hint="eastAsia" w:ascii="仿宋" w:hAnsi="仿宋" w:eastAsia="仿宋"/>
          <w:color w:val="auto"/>
          <w:sz w:val="24"/>
          <w:highlight w:val="none"/>
        </w:rPr>
        <w:t>或者</w:t>
      </w:r>
      <w:r>
        <w:rPr>
          <w:rFonts w:hint="eastAsia" w:ascii="仿宋" w:hAnsi="仿宋" w:eastAsia="仿宋"/>
          <w:color w:val="auto"/>
          <w:sz w:val="24"/>
          <w:highlight w:val="none"/>
          <w:lang w:eastAsia="zh-CN"/>
        </w:rPr>
        <w:t>遴选代理单位</w:t>
      </w:r>
      <w:r>
        <w:rPr>
          <w:rFonts w:hint="eastAsia" w:ascii="仿宋" w:hAnsi="仿宋" w:eastAsia="仿宋"/>
          <w:color w:val="auto"/>
          <w:sz w:val="24"/>
          <w:highlight w:val="none"/>
        </w:rPr>
        <w:t>不予受理：</w:t>
      </w:r>
    </w:p>
    <w:p w14:paraId="58C291ED">
      <w:pPr>
        <w:pStyle w:val="11"/>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（1）对</w:t>
      </w:r>
      <w:r>
        <w:rPr>
          <w:rFonts w:hint="eastAsia" w:ascii="仿宋" w:hAnsi="仿宋" w:eastAsia="仿宋"/>
          <w:color w:val="auto"/>
          <w:sz w:val="24"/>
          <w:highlight w:val="none"/>
          <w:lang w:eastAsia="zh-CN"/>
        </w:rPr>
        <w:t>遴选文件</w:t>
      </w:r>
      <w:r>
        <w:rPr>
          <w:rFonts w:hint="eastAsia" w:ascii="仿宋" w:hAnsi="仿宋" w:eastAsia="仿宋"/>
          <w:color w:val="auto"/>
          <w:sz w:val="24"/>
          <w:highlight w:val="none"/>
        </w:rPr>
        <w:t>提出质疑的，质疑期限为供应商获得</w:t>
      </w:r>
      <w:r>
        <w:rPr>
          <w:rFonts w:hint="eastAsia" w:ascii="仿宋" w:hAnsi="仿宋" w:eastAsia="仿宋"/>
          <w:color w:val="auto"/>
          <w:sz w:val="24"/>
          <w:highlight w:val="none"/>
          <w:lang w:eastAsia="zh-CN"/>
        </w:rPr>
        <w:t>遴选文件</w:t>
      </w:r>
      <w:r>
        <w:rPr>
          <w:rFonts w:hint="eastAsia" w:ascii="仿宋" w:hAnsi="仿宋" w:eastAsia="仿宋"/>
          <w:color w:val="auto"/>
          <w:sz w:val="24"/>
          <w:highlight w:val="none"/>
        </w:rPr>
        <w:t>之日或者</w:t>
      </w:r>
      <w:r>
        <w:rPr>
          <w:rFonts w:hint="eastAsia" w:ascii="仿宋" w:hAnsi="仿宋" w:eastAsia="仿宋"/>
          <w:color w:val="auto"/>
          <w:sz w:val="24"/>
          <w:highlight w:val="none"/>
          <w:lang w:eastAsia="zh-CN"/>
        </w:rPr>
        <w:t>遴选文件</w:t>
      </w:r>
      <w:r>
        <w:rPr>
          <w:rFonts w:hint="eastAsia" w:ascii="仿宋" w:hAnsi="仿宋" w:eastAsia="仿宋"/>
          <w:color w:val="auto"/>
          <w:sz w:val="24"/>
          <w:highlight w:val="none"/>
        </w:rPr>
        <w:t>公告期限届满之日起计算。</w:t>
      </w:r>
      <w:r>
        <w:rPr>
          <w:rFonts w:hint="eastAsia" w:ascii="仿宋" w:hAnsi="仿宋" w:eastAsia="仿宋"/>
          <w:color w:val="auto"/>
          <w:sz w:val="24"/>
          <w:highlight w:val="none"/>
          <w:lang w:eastAsia="zh-CN"/>
        </w:rPr>
        <w:t>遴选文件</w:t>
      </w:r>
      <w:r>
        <w:rPr>
          <w:rFonts w:hint="eastAsia" w:ascii="仿宋" w:hAnsi="仿宋" w:eastAsia="仿宋"/>
          <w:color w:val="auto"/>
          <w:sz w:val="24"/>
          <w:highlight w:val="none"/>
        </w:rPr>
        <w:t>在公告期限届满之日后获得的，应当自</w:t>
      </w:r>
      <w:r>
        <w:rPr>
          <w:rFonts w:hint="eastAsia" w:ascii="仿宋" w:hAnsi="仿宋" w:eastAsia="仿宋"/>
          <w:color w:val="auto"/>
          <w:sz w:val="24"/>
          <w:highlight w:val="none"/>
          <w:lang w:eastAsia="zh-CN"/>
        </w:rPr>
        <w:t>遴选文件</w:t>
      </w:r>
      <w:r>
        <w:rPr>
          <w:rFonts w:hint="eastAsia" w:ascii="仿宋" w:hAnsi="仿宋" w:eastAsia="仿宋"/>
          <w:color w:val="auto"/>
          <w:sz w:val="24"/>
          <w:highlight w:val="none"/>
        </w:rPr>
        <w:t>公告期限届满之日起计算，且应当在采购响应截止时间之前提出。</w:t>
      </w:r>
    </w:p>
    <w:p w14:paraId="6FC33BE9">
      <w:pPr>
        <w:pStyle w:val="11"/>
        <w:spacing w:line="360" w:lineRule="auto"/>
        <w:ind w:right="-512"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（2）对</w:t>
      </w:r>
      <w:r>
        <w:rPr>
          <w:rFonts w:hint="eastAsia" w:ascii="仿宋" w:hAnsi="仿宋" w:eastAsia="仿宋"/>
          <w:color w:val="auto"/>
          <w:sz w:val="24"/>
          <w:highlight w:val="none"/>
          <w:lang w:eastAsia="zh-CN"/>
        </w:rPr>
        <w:t>遴选</w:t>
      </w:r>
      <w:r>
        <w:rPr>
          <w:rFonts w:hint="eastAsia" w:ascii="仿宋" w:hAnsi="仿宋" w:eastAsia="仿宋"/>
          <w:color w:val="auto"/>
          <w:sz w:val="24"/>
          <w:highlight w:val="none"/>
        </w:rPr>
        <w:t>过程提出质疑的，质疑期限为各遴选程序环节结束之日起计算。</w:t>
      </w:r>
    </w:p>
    <w:p w14:paraId="768A3B74">
      <w:pPr>
        <w:pStyle w:val="11"/>
        <w:spacing w:line="360" w:lineRule="auto"/>
        <w:ind w:right="-512"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（3）对</w:t>
      </w:r>
      <w:r>
        <w:rPr>
          <w:rFonts w:hint="eastAsia" w:ascii="仿宋" w:hAnsi="仿宋" w:eastAsia="仿宋"/>
          <w:color w:val="auto"/>
          <w:sz w:val="24"/>
          <w:highlight w:val="none"/>
          <w:lang w:eastAsia="zh-CN"/>
        </w:rPr>
        <w:t>遴选</w:t>
      </w:r>
      <w:r>
        <w:rPr>
          <w:rFonts w:hint="eastAsia" w:ascii="仿宋" w:hAnsi="仿宋" w:eastAsia="仿宋"/>
          <w:color w:val="auto"/>
          <w:sz w:val="24"/>
          <w:highlight w:val="none"/>
        </w:rPr>
        <w:t>结果提出质疑的，质疑期限自采购结果公告期限届满之日起计算。</w:t>
      </w:r>
    </w:p>
    <w:p w14:paraId="10C290E1">
      <w:pPr>
        <w:pStyle w:val="11"/>
        <w:spacing w:line="360" w:lineRule="auto"/>
        <w:ind w:right="-512" w:firstLine="480" w:firstLineChars="200"/>
        <w:rPr>
          <w:rFonts w:ascii="仿宋" w:hAnsi="仿宋" w:eastAsia="仿宋"/>
          <w:color w:val="auto"/>
          <w:sz w:val="24"/>
          <w:highlight w:val="none"/>
        </w:rPr>
      </w:pPr>
      <w:r>
        <w:rPr>
          <w:rFonts w:hint="eastAsia" w:ascii="仿宋" w:hAnsi="仿宋" w:eastAsia="仿宋"/>
          <w:color w:val="auto"/>
          <w:sz w:val="24"/>
          <w:highlight w:val="none"/>
        </w:rPr>
        <w:t>（4）供应商应在法定质疑期内一次性提出针对同一</w:t>
      </w:r>
      <w:r>
        <w:rPr>
          <w:rFonts w:hint="eastAsia" w:ascii="仿宋" w:hAnsi="仿宋" w:eastAsia="仿宋"/>
          <w:color w:val="auto"/>
          <w:sz w:val="24"/>
          <w:highlight w:val="none"/>
          <w:lang w:eastAsia="zh-CN"/>
        </w:rPr>
        <w:t>遴选</w:t>
      </w:r>
      <w:r>
        <w:rPr>
          <w:rFonts w:hint="eastAsia" w:ascii="仿宋" w:hAnsi="仿宋" w:eastAsia="仿宋"/>
          <w:color w:val="auto"/>
          <w:sz w:val="24"/>
          <w:highlight w:val="none"/>
        </w:rPr>
        <w:t>程序环节的质疑。</w:t>
      </w:r>
    </w:p>
    <w:p w14:paraId="08026FB9">
      <w:pPr>
        <w:pStyle w:val="11"/>
        <w:snapToGrid w:val="0"/>
        <w:spacing w:line="360" w:lineRule="auto"/>
        <w:ind w:firstLine="480" w:firstLineChars="200"/>
        <w:contextualSpacing/>
        <w:rPr>
          <w:rFonts w:ascii="仿宋" w:hAnsi="仿宋" w:eastAsia="仿宋"/>
          <w:color w:val="auto"/>
          <w:sz w:val="24"/>
          <w:highlight w:val="none"/>
        </w:rPr>
      </w:pPr>
      <w:r>
        <w:rPr>
          <w:rFonts w:hint="eastAsia" w:ascii="仿宋" w:hAnsi="仿宋" w:eastAsia="仿宋" w:cs="微软雅黑"/>
          <w:color w:val="auto"/>
          <w:kern w:val="0"/>
          <w:sz w:val="24"/>
          <w:highlight w:val="none"/>
          <w:lang w:val="zh-CN"/>
        </w:rPr>
        <w:t>3.2.3</w:t>
      </w:r>
      <w:r>
        <w:rPr>
          <w:rFonts w:ascii="仿宋" w:hAnsi="仿宋" w:eastAsia="仿宋"/>
          <w:color w:val="auto"/>
          <w:sz w:val="24"/>
          <w:highlight w:val="none"/>
        </w:rPr>
        <w:t>供应商提出质疑应当提交质疑函和必要的证明材料。质疑函应当包括下列内容：</w:t>
      </w:r>
    </w:p>
    <w:p w14:paraId="4E88BF75">
      <w:pPr>
        <w:pStyle w:val="38"/>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3.2.3.1</w:t>
      </w:r>
      <w:r>
        <w:rPr>
          <w:rFonts w:ascii="仿宋" w:hAnsi="仿宋" w:eastAsia="仿宋" w:cs="Arial"/>
          <w:snapToGrid w:val="0"/>
          <w:color w:val="auto"/>
          <w:kern w:val="2"/>
          <w:szCs w:val="21"/>
          <w:highlight w:val="none"/>
        </w:rPr>
        <w:t>供应商的姓名或者名称、地址、邮编、联系人及联系电话；</w:t>
      </w:r>
    </w:p>
    <w:p w14:paraId="693E2BAD">
      <w:pPr>
        <w:pStyle w:val="38"/>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3.2.3.2</w:t>
      </w:r>
      <w:r>
        <w:rPr>
          <w:rFonts w:ascii="仿宋" w:hAnsi="仿宋" w:eastAsia="仿宋" w:cs="Arial"/>
          <w:snapToGrid w:val="0"/>
          <w:color w:val="auto"/>
          <w:kern w:val="2"/>
          <w:szCs w:val="21"/>
          <w:highlight w:val="none"/>
        </w:rPr>
        <w:t>质疑项目的名称、编号；</w:t>
      </w:r>
    </w:p>
    <w:p w14:paraId="17D69CB5">
      <w:pPr>
        <w:pStyle w:val="38"/>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3.2.3.3</w:t>
      </w:r>
      <w:r>
        <w:rPr>
          <w:rFonts w:ascii="仿宋" w:hAnsi="仿宋" w:eastAsia="仿宋" w:cs="Arial"/>
          <w:snapToGrid w:val="0"/>
          <w:color w:val="auto"/>
          <w:kern w:val="2"/>
          <w:szCs w:val="21"/>
          <w:highlight w:val="none"/>
        </w:rPr>
        <w:t>具体、明确的质疑事项和与质疑事项相关的请求；</w:t>
      </w:r>
    </w:p>
    <w:p w14:paraId="1B6A909A">
      <w:pPr>
        <w:pStyle w:val="38"/>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3.2.3.4</w:t>
      </w:r>
      <w:r>
        <w:rPr>
          <w:rFonts w:ascii="仿宋" w:hAnsi="仿宋" w:eastAsia="仿宋" w:cs="Arial"/>
          <w:snapToGrid w:val="0"/>
          <w:color w:val="auto"/>
          <w:kern w:val="2"/>
          <w:szCs w:val="21"/>
          <w:highlight w:val="none"/>
        </w:rPr>
        <w:t>事实依据；</w:t>
      </w:r>
    </w:p>
    <w:p w14:paraId="2F801825">
      <w:pPr>
        <w:pStyle w:val="38"/>
        <w:shd w:val="clear" w:color="auto" w:fill="FFFFFF"/>
        <w:snapToGrid w:val="0"/>
        <w:spacing w:after="240" w:afterAutospacing="0" w:line="360" w:lineRule="auto"/>
        <w:contextualSpacing/>
        <w:rPr>
          <w:rFonts w:ascii="仿宋" w:hAnsi="仿宋" w:eastAsia="仿宋" w:cs="Arial"/>
          <w:snapToGrid w:val="0"/>
          <w:color w:val="auto"/>
          <w:kern w:val="2"/>
          <w:szCs w:val="21"/>
          <w:highlight w:val="none"/>
        </w:rPr>
      </w:pPr>
      <w:r>
        <w:rPr>
          <w:rFonts w:ascii="仿宋" w:hAnsi="仿宋" w:eastAsia="仿宋" w:cs="Arial"/>
          <w:snapToGrid w:val="0"/>
          <w:color w:val="auto"/>
          <w:kern w:val="2"/>
          <w:szCs w:val="21"/>
          <w:highlight w:val="none"/>
        </w:rPr>
        <w:t>　　</w:t>
      </w:r>
      <w:r>
        <w:rPr>
          <w:rFonts w:hint="eastAsia" w:ascii="仿宋" w:hAnsi="仿宋" w:eastAsia="仿宋" w:cs="微软雅黑"/>
          <w:color w:val="auto"/>
          <w:highlight w:val="none"/>
          <w:lang w:val="zh-CN"/>
        </w:rPr>
        <w:t>3.2.3.5</w:t>
      </w:r>
      <w:r>
        <w:rPr>
          <w:rFonts w:ascii="仿宋" w:hAnsi="仿宋" w:eastAsia="仿宋" w:cs="Arial"/>
          <w:snapToGrid w:val="0"/>
          <w:color w:val="auto"/>
          <w:kern w:val="2"/>
          <w:szCs w:val="21"/>
          <w:highlight w:val="none"/>
        </w:rPr>
        <w:t>必要的法律依据；</w:t>
      </w:r>
    </w:p>
    <w:p w14:paraId="685AAD48">
      <w:pPr>
        <w:pStyle w:val="38"/>
        <w:shd w:val="clear" w:color="auto" w:fill="FFFFFF"/>
        <w:snapToGrid w:val="0"/>
        <w:spacing w:after="240" w:afterAutospacing="0" w:line="360" w:lineRule="auto"/>
        <w:ind w:firstLine="480"/>
        <w:contextualSpacing/>
        <w:rPr>
          <w:rFonts w:ascii="仿宋" w:hAnsi="仿宋" w:eastAsia="仿宋" w:cs="Arial"/>
          <w:snapToGrid w:val="0"/>
          <w:color w:val="auto"/>
          <w:kern w:val="2"/>
          <w:szCs w:val="21"/>
          <w:highlight w:val="none"/>
        </w:rPr>
      </w:pPr>
      <w:r>
        <w:rPr>
          <w:rFonts w:hint="eastAsia" w:ascii="仿宋" w:hAnsi="仿宋" w:eastAsia="仿宋" w:cs="微软雅黑"/>
          <w:color w:val="auto"/>
          <w:highlight w:val="none"/>
          <w:lang w:val="zh-CN"/>
        </w:rPr>
        <w:t>3.2.3.6</w:t>
      </w:r>
      <w:r>
        <w:rPr>
          <w:rFonts w:ascii="仿宋" w:hAnsi="仿宋" w:eastAsia="仿宋" w:cs="Arial"/>
          <w:snapToGrid w:val="0"/>
          <w:color w:val="auto"/>
          <w:kern w:val="2"/>
          <w:szCs w:val="21"/>
          <w:highlight w:val="none"/>
        </w:rPr>
        <w:t>提出质疑的日期。</w:t>
      </w:r>
    </w:p>
    <w:p w14:paraId="55B28402">
      <w:pPr>
        <w:pStyle w:val="3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供应商提交的质疑函需一式三份。</w:t>
      </w:r>
      <w:r>
        <w:rPr>
          <w:rFonts w:ascii="仿宋" w:hAnsi="仿宋" w:eastAsia="仿宋"/>
          <w:color w:val="auto"/>
          <w:highlight w:val="none"/>
        </w:rPr>
        <w:t>供应商为自然人的，应当由本人签字；供应商为法人或者其他组织的，应当由法定代表人、主要负责人，或者其授权代表签字或者盖章，并加盖公章。</w:t>
      </w:r>
    </w:p>
    <w:p w14:paraId="067AEF48">
      <w:pPr>
        <w:pStyle w:val="3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质疑函范本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14:paraId="0BF9F500">
      <w:pPr>
        <w:pStyle w:val="3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s="微软雅黑"/>
          <w:color w:val="auto"/>
          <w:highlight w:val="none"/>
          <w:lang w:val="zh-CN"/>
        </w:rPr>
        <w:t>3.2</w:t>
      </w:r>
      <w:r>
        <w:rPr>
          <w:rFonts w:hint="eastAsia" w:ascii="仿宋" w:hAnsi="仿宋" w:eastAsia="仿宋"/>
          <w:color w:val="auto"/>
          <w:highlight w:val="none"/>
        </w:rPr>
        <w:t>.4</w:t>
      </w:r>
      <w:r>
        <w:rPr>
          <w:rFonts w:hint="eastAsia" w:ascii="仿宋" w:hAnsi="仿宋" w:eastAsia="仿宋"/>
          <w:color w:val="auto"/>
          <w:highlight w:val="none"/>
          <w:lang w:eastAsia="zh-CN"/>
        </w:rPr>
        <w:t>遴选人</w:t>
      </w:r>
      <w:r>
        <w:rPr>
          <w:rFonts w:hint="eastAsia" w:ascii="仿宋" w:hAnsi="仿宋" w:eastAsia="仿宋"/>
          <w:color w:val="auto"/>
          <w:highlight w:val="none"/>
        </w:rPr>
        <w:t>或者</w:t>
      </w:r>
      <w:r>
        <w:rPr>
          <w:rFonts w:hint="eastAsia" w:ascii="仿宋" w:hAnsi="仿宋" w:eastAsia="仿宋"/>
          <w:color w:val="auto"/>
          <w:highlight w:val="none"/>
          <w:lang w:eastAsia="zh-CN"/>
        </w:rPr>
        <w:t>遴选代理单位</w:t>
      </w:r>
      <w:r>
        <w:rPr>
          <w:rFonts w:hint="eastAsia" w:ascii="仿宋" w:hAnsi="仿宋" w:eastAsia="仿宋"/>
          <w:color w:val="auto"/>
          <w:highlight w:val="none"/>
        </w:rPr>
        <w:t>应当在收到供应商的书面质疑后七个工作日内作出答复，并以书面形式通知质疑供应商和其他与质疑处理结果有利害关系的国有企业采购当事人，但答复的内容不得涉及商业秘密。</w:t>
      </w:r>
    </w:p>
    <w:p w14:paraId="695A73D1">
      <w:pPr>
        <w:pStyle w:val="3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s="微软雅黑"/>
          <w:color w:val="auto"/>
          <w:highlight w:val="none"/>
          <w:lang w:val="zh-CN"/>
        </w:rPr>
        <w:t>3.2</w:t>
      </w:r>
      <w:r>
        <w:rPr>
          <w:rFonts w:hint="eastAsia" w:ascii="仿宋" w:hAnsi="仿宋" w:eastAsia="仿宋"/>
          <w:color w:val="auto"/>
          <w:highlight w:val="none"/>
        </w:rPr>
        <w:t>.5询问或者质疑事项可能影响采购结果的，</w:t>
      </w:r>
      <w:r>
        <w:rPr>
          <w:rFonts w:hint="eastAsia" w:ascii="仿宋" w:hAnsi="仿宋" w:eastAsia="仿宋"/>
          <w:color w:val="auto"/>
          <w:highlight w:val="none"/>
          <w:lang w:eastAsia="zh-CN"/>
        </w:rPr>
        <w:t>遴选人</w:t>
      </w:r>
      <w:r>
        <w:rPr>
          <w:rFonts w:hint="eastAsia" w:ascii="仿宋" w:hAnsi="仿宋" w:eastAsia="仿宋"/>
          <w:color w:val="auto"/>
          <w:highlight w:val="none"/>
        </w:rPr>
        <w:t>应当暂停签订合同，已经签订合同的，应当中止履行合同。</w:t>
      </w:r>
    </w:p>
    <w:p w14:paraId="7F6FBE5A">
      <w:pPr>
        <w:pStyle w:val="38"/>
        <w:shd w:val="clear" w:color="auto" w:fill="FFFFFF"/>
        <w:snapToGrid w:val="0"/>
        <w:spacing w:after="240" w:afterAutospacing="0" w:line="360" w:lineRule="auto"/>
        <w:ind w:firstLine="480"/>
        <w:contextualSpacing/>
        <w:rPr>
          <w:rFonts w:ascii="仿宋" w:hAnsi="仿宋" w:eastAsia="仿宋"/>
          <w:color w:val="auto"/>
          <w:kern w:val="2"/>
          <w:highlight w:val="none"/>
        </w:rPr>
      </w:pPr>
      <w:r>
        <w:rPr>
          <w:rFonts w:hint="eastAsia" w:ascii="仿宋" w:hAnsi="仿宋" w:eastAsia="仿宋"/>
          <w:color w:val="auto"/>
          <w:kern w:val="2"/>
          <w:highlight w:val="none"/>
        </w:rPr>
        <w:t>3.2.6质疑接收人：详见前附表</w:t>
      </w:r>
    </w:p>
    <w:p w14:paraId="7B97B1C2">
      <w:pPr>
        <w:pStyle w:val="38"/>
        <w:shd w:val="clear" w:color="auto" w:fill="FFFFFF"/>
        <w:snapToGrid w:val="0"/>
        <w:spacing w:after="240" w:afterAutospacing="0" w:line="360" w:lineRule="auto"/>
        <w:ind w:firstLine="480"/>
        <w:contextualSpacing/>
        <w:rPr>
          <w:rFonts w:hint="eastAsia" w:ascii="仿宋" w:hAnsi="仿宋" w:eastAsia="仿宋" w:cs="微软雅黑"/>
          <w:color w:val="auto"/>
          <w:highlight w:val="none"/>
          <w:lang w:val="zh-CN"/>
        </w:rPr>
      </w:pPr>
      <w:r>
        <w:rPr>
          <w:rFonts w:hint="eastAsia" w:ascii="仿宋" w:hAnsi="仿宋" w:eastAsia="仿宋" w:cs="微软雅黑"/>
          <w:color w:val="auto"/>
          <w:highlight w:val="none"/>
          <w:lang w:val="zh-CN"/>
        </w:rPr>
        <w:t>3.3供应商投诉</w:t>
      </w:r>
    </w:p>
    <w:p w14:paraId="0ADC68EA">
      <w:pPr>
        <w:pStyle w:val="38"/>
        <w:shd w:val="clear" w:color="auto" w:fill="FFFFFF"/>
        <w:snapToGrid w:val="0"/>
        <w:spacing w:after="240" w:afterAutospacing="0" w:line="360" w:lineRule="auto"/>
        <w:ind w:firstLine="480"/>
        <w:contextualSpacing/>
        <w:rPr>
          <w:rFonts w:ascii="仿宋" w:hAnsi="仿宋" w:eastAsia="仿宋" w:cs="微软雅黑"/>
          <w:color w:val="auto"/>
          <w:highlight w:val="none"/>
          <w:lang w:val="zh-CN"/>
        </w:rPr>
      </w:pPr>
      <w:r>
        <w:rPr>
          <w:rFonts w:hint="eastAsia" w:ascii="仿宋" w:hAnsi="仿宋" w:eastAsia="仿宋" w:cs="微软雅黑"/>
          <w:color w:val="auto"/>
          <w:highlight w:val="none"/>
          <w:lang w:val="zh-CN"/>
        </w:rPr>
        <w:t>3.3.1质疑供应商对遴选人、遴选代理单位的答复不满意或者遴选人、遴选代理单位未在规定的时间内作出答复的，可以在答复期满后十五个工作日内向同级国有企业采购监</w:t>
      </w:r>
      <w:r>
        <w:rPr>
          <w:rFonts w:hint="eastAsia" w:ascii="仿宋" w:hAnsi="仿宋" w:eastAsia="仿宋"/>
          <w:color w:val="auto"/>
          <w:highlight w:val="none"/>
        </w:rPr>
        <w:t>督管理部门提出投诉。</w:t>
      </w:r>
    </w:p>
    <w:p w14:paraId="398EF6E3">
      <w:pPr>
        <w:pStyle w:val="3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.3</w:t>
      </w:r>
      <w:r>
        <w:rPr>
          <w:rFonts w:hint="eastAsia" w:ascii="仿宋" w:hAnsi="仿宋" w:eastAsia="仿宋"/>
          <w:color w:val="auto"/>
          <w:highlight w:val="none"/>
        </w:rPr>
        <w:t>.</w:t>
      </w:r>
      <w:r>
        <w:rPr>
          <w:rFonts w:hint="eastAsia"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7FD47804">
      <w:pPr>
        <w:pStyle w:val="3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.3</w:t>
      </w:r>
      <w:r>
        <w:rPr>
          <w:rFonts w:hint="eastAsia" w:ascii="仿宋" w:hAnsi="仿宋" w:eastAsia="仿宋"/>
          <w:color w:val="auto"/>
          <w:highlight w:val="none"/>
        </w:rPr>
        <w:t>.3供应商投诉应当有明确的请求和必要的证明材料。</w:t>
      </w:r>
    </w:p>
    <w:p w14:paraId="3E8D1E2B">
      <w:pPr>
        <w:pStyle w:val="3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.3</w:t>
      </w:r>
      <w:r>
        <w:rPr>
          <w:rFonts w:hint="eastAsia" w:ascii="仿宋" w:hAnsi="仿宋" w:eastAsia="仿宋"/>
          <w:color w:val="auto"/>
          <w:highlight w:val="none"/>
        </w:rPr>
        <w:t>.4 以联合体形式参加国企采购活动的，其投诉应当由组成联合体的所有供应商共同提出。</w:t>
      </w:r>
    </w:p>
    <w:p w14:paraId="3DC6378A">
      <w:pPr>
        <w:pStyle w:val="38"/>
        <w:shd w:val="clear" w:color="auto" w:fill="FFFFFF"/>
        <w:snapToGrid w:val="0"/>
        <w:spacing w:after="240" w:afterAutospacing="0" w:line="360" w:lineRule="auto"/>
        <w:ind w:firstLine="480"/>
        <w:contextualSpacing/>
        <w:rPr>
          <w:rFonts w:ascii="仿宋" w:hAnsi="仿宋" w:eastAsia="仿宋"/>
          <w:color w:val="auto"/>
          <w:highlight w:val="none"/>
        </w:rPr>
      </w:pPr>
      <w:r>
        <w:rPr>
          <w:rFonts w:hint="eastAsia" w:ascii="仿宋" w:hAnsi="仿宋" w:eastAsia="仿宋"/>
          <w:color w:val="auto"/>
          <w:highlight w:val="none"/>
        </w:rPr>
        <w:t>投诉书范本</w:t>
      </w:r>
      <w:r>
        <w:rPr>
          <w:rFonts w:ascii="仿宋" w:hAnsi="仿宋" w:eastAsia="仿宋"/>
          <w:color w:val="auto"/>
          <w:szCs w:val="28"/>
          <w:highlight w:val="none"/>
        </w:rPr>
        <w:t>请到浙江政府采购网下载专区下载</w:t>
      </w:r>
      <w:r>
        <w:rPr>
          <w:rFonts w:hint="eastAsia" w:ascii="仿宋" w:hAnsi="仿宋" w:eastAsia="仿宋"/>
          <w:color w:val="auto"/>
          <w:highlight w:val="none"/>
        </w:rPr>
        <w:t>。</w:t>
      </w:r>
    </w:p>
    <w:p w14:paraId="2CAEAC4D">
      <w:pPr>
        <w:snapToGrid w:val="0"/>
        <w:spacing w:line="440" w:lineRule="exact"/>
        <w:jc w:val="left"/>
        <w:rPr>
          <w:color w:val="auto"/>
          <w:sz w:val="24"/>
          <w:highlight w:val="none"/>
        </w:rPr>
      </w:pPr>
    </w:p>
    <w:p w14:paraId="6ED91A39">
      <w:pPr>
        <w:snapToGrid w:val="0"/>
        <w:spacing w:line="440" w:lineRule="exact"/>
        <w:jc w:val="left"/>
        <w:rPr>
          <w:color w:val="auto"/>
          <w:sz w:val="24"/>
          <w:highlight w:val="none"/>
        </w:rPr>
      </w:pPr>
    </w:p>
    <w:p w14:paraId="3B2586D3">
      <w:pPr>
        <w:snapToGrid w:val="0"/>
        <w:spacing w:line="440" w:lineRule="exact"/>
        <w:jc w:val="left"/>
        <w:rPr>
          <w:color w:val="auto"/>
          <w:sz w:val="24"/>
          <w:highlight w:val="none"/>
        </w:rPr>
      </w:pPr>
    </w:p>
    <w:p w14:paraId="273DC19B">
      <w:pPr>
        <w:adjustRightInd/>
        <w:spacing w:line="360" w:lineRule="auto"/>
        <w:jc w:val="center"/>
        <w:outlineLvl w:val="0"/>
        <w:rPr>
          <w:rFonts w:ascii="仿宋" w:hAnsi="仿宋" w:eastAsia="仿宋" w:cs="仿宋_GB2312"/>
          <w:b/>
          <w:color w:val="auto"/>
          <w:sz w:val="32"/>
          <w:szCs w:val="20"/>
          <w:highlight w:val="none"/>
        </w:rPr>
      </w:pPr>
      <w:bookmarkStart w:id="26" w:name="_Toc91899879"/>
      <w:r>
        <w:rPr>
          <w:rFonts w:hint="eastAsia" w:ascii="仿宋" w:hAnsi="仿宋" w:eastAsia="仿宋" w:cs="仿宋_GB2312"/>
          <w:b/>
          <w:color w:val="auto"/>
          <w:sz w:val="32"/>
          <w:szCs w:val="20"/>
          <w:highlight w:val="none"/>
        </w:rPr>
        <w:t>二</w:t>
      </w:r>
      <w:r>
        <w:rPr>
          <w:rFonts w:hint="eastAsia" w:ascii="仿宋" w:hAnsi="仿宋" w:eastAsia="仿宋" w:cs="仿宋_GB2312"/>
          <w:b/>
          <w:color w:val="auto"/>
          <w:sz w:val="32"/>
          <w:szCs w:val="20"/>
          <w:highlight w:val="none"/>
          <w:lang w:eastAsia="zh-CN"/>
        </w:rPr>
        <w:t>、遴选</w:t>
      </w:r>
      <w:r>
        <w:rPr>
          <w:rFonts w:hint="eastAsia" w:ascii="仿宋" w:hAnsi="仿宋" w:eastAsia="仿宋" w:cs="仿宋_GB2312"/>
          <w:b/>
          <w:color w:val="auto"/>
          <w:sz w:val="32"/>
          <w:szCs w:val="20"/>
          <w:highlight w:val="none"/>
        </w:rPr>
        <w:t>文件</w:t>
      </w:r>
      <w:bookmarkEnd w:id="26"/>
      <w:r>
        <w:rPr>
          <w:rFonts w:hint="eastAsia" w:ascii="仿宋" w:hAnsi="仿宋" w:eastAsia="仿宋" w:cs="仿宋_GB2312"/>
          <w:b/>
          <w:color w:val="auto"/>
          <w:sz w:val="32"/>
          <w:szCs w:val="20"/>
          <w:highlight w:val="none"/>
        </w:rPr>
        <w:t>的构成、澄清、修改</w:t>
      </w:r>
    </w:p>
    <w:p w14:paraId="135443C4">
      <w:pPr>
        <w:pStyle w:val="11"/>
        <w:spacing w:line="360" w:lineRule="auto"/>
        <w:ind w:firstLine="482" w:firstLineChars="200"/>
        <w:rPr>
          <w:rFonts w:ascii="仿宋" w:hAnsi="仿宋" w:eastAsia="仿宋" w:cs="仿宋_GB2312"/>
          <w:b/>
          <w:color w:val="auto"/>
          <w:sz w:val="24"/>
          <w:szCs w:val="24"/>
          <w:highlight w:val="none"/>
        </w:rPr>
      </w:pPr>
      <w:bookmarkStart w:id="27" w:name="_Toc91899880"/>
      <w:bookmarkStart w:id="28" w:name="_Hlt74730307"/>
      <w:r>
        <w:rPr>
          <w:rFonts w:hint="eastAsia" w:ascii="仿宋" w:hAnsi="仿宋" w:eastAsia="仿宋" w:cs="仿宋_GB2312"/>
          <w:b/>
          <w:color w:val="auto"/>
          <w:sz w:val="24"/>
          <w:szCs w:val="24"/>
          <w:highlight w:val="none"/>
        </w:rPr>
        <w:t>4．</w:t>
      </w:r>
      <w:r>
        <w:rPr>
          <w:rFonts w:hint="eastAsia" w:ascii="仿宋" w:hAnsi="仿宋" w:eastAsia="仿宋" w:cs="仿宋_GB2312"/>
          <w:b/>
          <w:color w:val="auto"/>
          <w:sz w:val="24"/>
          <w:szCs w:val="24"/>
          <w:highlight w:val="none"/>
          <w:lang w:eastAsia="zh-CN"/>
        </w:rPr>
        <w:t>遴选</w:t>
      </w:r>
      <w:r>
        <w:rPr>
          <w:rFonts w:hint="eastAsia" w:ascii="仿宋" w:hAnsi="仿宋" w:eastAsia="仿宋" w:cs="仿宋_GB2312"/>
          <w:b/>
          <w:color w:val="auto"/>
          <w:sz w:val="24"/>
          <w:szCs w:val="24"/>
          <w:highlight w:val="none"/>
        </w:rPr>
        <w:t>文件的构成</w:t>
      </w:r>
      <w:bookmarkEnd w:id="27"/>
    </w:p>
    <w:bookmarkEnd w:id="28"/>
    <w:p w14:paraId="31035EFB">
      <w:pPr>
        <w:pStyle w:val="11"/>
        <w:spacing w:line="360" w:lineRule="auto"/>
        <w:ind w:right="-512"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4.1 遴选文件包括下列文件及附件</w:t>
      </w:r>
    </w:p>
    <w:p w14:paraId="1ABF0329">
      <w:pPr>
        <w:pStyle w:val="11"/>
        <w:numPr>
          <w:ilvl w:val="0"/>
          <w:numId w:val="6"/>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 xml:space="preserve">第一部分 </w:t>
      </w:r>
      <w:r>
        <w:rPr>
          <w:rFonts w:hint="eastAsia" w:ascii="仿宋" w:hAnsi="仿宋" w:eastAsia="仿宋" w:cs="仿宋_GB2312"/>
          <w:color w:val="auto"/>
          <w:sz w:val="24"/>
          <w:szCs w:val="24"/>
          <w:highlight w:val="none"/>
          <w:lang w:eastAsia="zh-CN"/>
        </w:rPr>
        <w:t>遴选</w:t>
      </w:r>
      <w:r>
        <w:rPr>
          <w:rFonts w:hint="eastAsia" w:ascii="仿宋" w:hAnsi="仿宋" w:eastAsia="仿宋" w:cs="仿宋_GB2312"/>
          <w:color w:val="auto"/>
          <w:sz w:val="24"/>
          <w:szCs w:val="24"/>
          <w:highlight w:val="none"/>
        </w:rPr>
        <w:t>公告</w:t>
      </w:r>
    </w:p>
    <w:p w14:paraId="25ADA466">
      <w:pPr>
        <w:pStyle w:val="11"/>
        <w:numPr>
          <w:ilvl w:val="0"/>
          <w:numId w:val="6"/>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遴选响应人须知</w:t>
      </w:r>
    </w:p>
    <w:p w14:paraId="38A5A706">
      <w:pPr>
        <w:pStyle w:val="11"/>
        <w:numPr>
          <w:ilvl w:val="0"/>
          <w:numId w:val="6"/>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遴选</w:t>
      </w:r>
      <w:r>
        <w:rPr>
          <w:rFonts w:hint="eastAsia" w:ascii="仿宋" w:hAnsi="仿宋" w:eastAsia="仿宋" w:cs="仿宋_GB2312"/>
          <w:color w:val="auto"/>
          <w:sz w:val="24"/>
          <w:szCs w:val="24"/>
          <w:highlight w:val="none"/>
          <w:lang w:eastAsia="zh-CN"/>
        </w:rPr>
        <w:t>需求</w:t>
      </w:r>
    </w:p>
    <w:p w14:paraId="237680B8">
      <w:pPr>
        <w:pStyle w:val="11"/>
        <w:numPr>
          <w:ilvl w:val="0"/>
          <w:numId w:val="6"/>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14:paraId="2A5C0622">
      <w:pPr>
        <w:pStyle w:val="11"/>
        <w:numPr>
          <w:ilvl w:val="0"/>
          <w:numId w:val="6"/>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合同主要条款</w:t>
      </w:r>
    </w:p>
    <w:p w14:paraId="443A5F14">
      <w:pPr>
        <w:pStyle w:val="11"/>
        <w:numPr>
          <w:ilvl w:val="0"/>
          <w:numId w:val="6"/>
        </w:numPr>
        <w:spacing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14:paraId="7E02027A">
      <w:pPr>
        <w:spacing w:line="360" w:lineRule="auto"/>
        <w:ind w:firstLine="480" w:firstLineChars="200"/>
        <w:jc w:val="left"/>
        <w:rPr>
          <w:rFonts w:ascii="仿宋" w:hAnsi="仿宋" w:eastAsia="仿宋"/>
          <w:bCs/>
          <w:color w:val="auto"/>
          <w:sz w:val="24"/>
          <w:highlight w:val="none"/>
        </w:rPr>
      </w:pPr>
      <w:r>
        <w:rPr>
          <w:rFonts w:hint="eastAsia" w:ascii="仿宋" w:hAnsi="仿宋" w:eastAsia="仿宋"/>
          <w:color w:val="auto"/>
          <w:sz w:val="24"/>
          <w:highlight w:val="none"/>
        </w:rPr>
        <w:t>4.2与本项目有关的</w:t>
      </w:r>
      <w:r>
        <w:rPr>
          <w:rFonts w:hint="eastAsia" w:ascii="仿宋" w:hAnsi="仿宋" w:eastAsia="仿宋"/>
          <w:bCs/>
          <w:color w:val="auto"/>
          <w:sz w:val="24"/>
          <w:highlight w:val="none"/>
        </w:rPr>
        <w:t>澄清或者修改等公告</w:t>
      </w:r>
      <w:r>
        <w:rPr>
          <w:rFonts w:ascii="仿宋" w:hAnsi="仿宋" w:eastAsia="仿宋"/>
          <w:bCs/>
          <w:color w:val="auto"/>
          <w:sz w:val="24"/>
          <w:highlight w:val="none"/>
        </w:rPr>
        <w:t>、</w:t>
      </w:r>
      <w:r>
        <w:rPr>
          <w:rFonts w:hint="eastAsia" w:ascii="仿宋" w:hAnsi="仿宋" w:eastAsia="仿宋"/>
          <w:bCs/>
          <w:color w:val="auto"/>
          <w:sz w:val="24"/>
          <w:highlight w:val="none"/>
        </w:rPr>
        <w:t>内容亦为</w:t>
      </w:r>
      <w:r>
        <w:rPr>
          <w:rFonts w:hint="eastAsia" w:ascii="仿宋" w:hAnsi="仿宋" w:eastAsia="仿宋"/>
          <w:bCs/>
          <w:color w:val="auto"/>
          <w:sz w:val="24"/>
          <w:highlight w:val="none"/>
          <w:lang w:eastAsia="zh-CN"/>
        </w:rPr>
        <w:t>遴选</w:t>
      </w:r>
      <w:r>
        <w:rPr>
          <w:rFonts w:hint="eastAsia" w:ascii="仿宋" w:hAnsi="仿宋" w:eastAsia="仿宋"/>
          <w:bCs/>
          <w:color w:val="auto"/>
          <w:sz w:val="24"/>
          <w:highlight w:val="none"/>
        </w:rPr>
        <w:t>文件的组成部分，</w:t>
      </w:r>
      <w:r>
        <w:rPr>
          <w:rFonts w:hint="eastAsia" w:ascii="仿宋" w:hAnsi="仿宋" w:eastAsia="仿宋"/>
          <w:bCs/>
          <w:color w:val="auto"/>
          <w:sz w:val="24"/>
          <w:highlight w:val="none"/>
          <w:lang w:eastAsia="zh-CN"/>
        </w:rPr>
        <w:t>遴选响应人</w:t>
      </w:r>
      <w:r>
        <w:rPr>
          <w:rFonts w:hint="eastAsia" w:ascii="仿宋" w:hAnsi="仿宋" w:eastAsia="仿宋"/>
          <w:bCs/>
          <w:color w:val="auto"/>
          <w:sz w:val="24"/>
          <w:highlight w:val="none"/>
        </w:rPr>
        <w:t>须自行</w:t>
      </w:r>
      <w:r>
        <w:rPr>
          <w:rFonts w:ascii="仿宋" w:hAnsi="仿宋" w:eastAsia="仿宋"/>
          <w:bCs/>
          <w:color w:val="auto"/>
          <w:sz w:val="24"/>
          <w:highlight w:val="none"/>
        </w:rPr>
        <w:t>于</w:t>
      </w:r>
      <w:r>
        <w:rPr>
          <w:rFonts w:hint="eastAsia" w:ascii="仿宋" w:hAnsi="仿宋" w:eastAsia="仿宋"/>
          <w:bCs/>
          <w:color w:val="auto"/>
          <w:sz w:val="24"/>
          <w:highlight w:val="none"/>
          <w:lang w:eastAsia="zh-CN"/>
        </w:rPr>
        <w:t>遴选公告</w:t>
      </w:r>
      <w:r>
        <w:rPr>
          <w:rFonts w:hint="eastAsia" w:ascii="仿宋" w:hAnsi="仿宋" w:eastAsia="仿宋"/>
          <w:bCs/>
          <w:color w:val="auto"/>
          <w:sz w:val="24"/>
          <w:highlight w:val="none"/>
        </w:rPr>
        <w:t>所</w:t>
      </w:r>
      <w:r>
        <w:rPr>
          <w:rFonts w:ascii="仿宋" w:hAnsi="仿宋" w:eastAsia="仿宋"/>
          <w:bCs/>
          <w:color w:val="auto"/>
          <w:sz w:val="24"/>
          <w:highlight w:val="none"/>
        </w:rPr>
        <w:t>在网站</w:t>
      </w:r>
      <w:r>
        <w:rPr>
          <w:rFonts w:hint="eastAsia" w:ascii="仿宋" w:hAnsi="仿宋" w:eastAsia="仿宋"/>
          <w:bCs/>
          <w:color w:val="auto"/>
          <w:sz w:val="24"/>
          <w:highlight w:val="none"/>
        </w:rPr>
        <w:t>获取</w:t>
      </w:r>
      <w:r>
        <w:rPr>
          <w:rFonts w:ascii="仿宋" w:hAnsi="仿宋" w:eastAsia="仿宋"/>
          <w:bCs/>
          <w:color w:val="auto"/>
          <w:sz w:val="24"/>
          <w:highlight w:val="none"/>
        </w:rPr>
        <w:t>相关信息（</w:t>
      </w:r>
      <w:r>
        <w:rPr>
          <w:rFonts w:hint="eastAsia" w:ascii="仿宋" w:hAnsi="仿宋" w:eastAsia="仿宋"/>
          <w:bCs/>
          <w:color w:val="auto"/>
          <w:sz w:val="24"/>
          <w:highlight w:val="none"/>
        </w:rPr>
        <w:t>乐采云平台www.lecaiyun.com</w:t>
      </w:r>
      <w:r>
        <w:rPr>
          <w:rFonts w:ascii="仿宋" w:hAnsi="仿宋" w:eastAsia="仿宋"/>
          <w:bCs/>
          <w:color w:val="auto"/>
          <w:sz w:val="24"/>
          <w:highlight w:val="none"/>
        </w:rPr>
        <w:t>）</w:t>
      </w:r>
      <w:r>
        <w:rPr>
          <w:rFonts w:hint="eastAsia" w:ascii="仿宋" w:hAnsi="仿宋" w:eastAsia="仿宋" w:cs="仿宋_GB2312"/>
          <w:color w:val="auto"/>
          <w:sz w:val="24"/>
          <w:highlight w:val="none"/>
        </w:rPr>
        <w:t>。</w:t>
      </w:r>
    </w:p>
    <w:p w14:paraId="2FF76D7A">
      <w:pPr>
        <w:pStyle w:val="11"/>
        <w:spacing w:line="360" w:lineRule="auto"/>
        <w:ind w:firstLine="482" w:firstLineChars="200"/>
        <w:jc w:val="left"/>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 xml:space="preserve">5. </w:t>
      </w:r>
      <w:r>
        <w:rPr>
          <w:rFonts w:hint="eastAsia" w:ascii="仿宋" w:hAnsi="仿宋" w:eastAsia="仿宋" w:cs="仿宋_GB2312"/>
          <w:b/>
          <w:color w:val="auto"/>
          <w:sz w:val="24"/>
          <w:szCs w:val="24"/>
          <w:highlight w:val="none"/>
          <w:lang w:eastAsia="zh-CN"/>
        </w:rPr>
        <w:t>遴选文件</w:t>
      </w:r>
      <w:r>
        <w:rPr>
          <w:rFonts w:hint="eastAsia" w:ascii="仿宋" w:hAnsi="仿宋" w:eastAsia="仿宋" w:cs="仿宋_GB2312"/>
          <w:b/>
          <w:color w:val="auto"/>
          <w:sz w:val="24"/>
          <w:szCs w:val="24"/>
          <w:highlight w:val="none"/>
        </w:rPr>
        <w:t>的澄清、修改</w:t>
      </w:r>
    </w:p>
    <w:p w14:paraId="67D2F4F4">
      <w:pPr>
        <w:pStyle w:val="39"/>
        <w:snapToGrid w:val="0"/>
        <w:spacing w:before="0"/>
        <w:ind w:firstLine="480"/>
        <w:rPr>
          <w:rFonts w:ascii="仿宋" w:hAnsi="仿宋" w:eastAsia="仿宋"/>
          <w:color w:val="auto"/>
          <w:highlight w:val="none"/>
        </w:rPr>
      </w:pPr>
      <w:r>
        <w:rPr>
          <w:rFonts w:hint="eastAsia" w:ascii="仿宋" w:hAnsi="仿宋" w:eastAsia="仿宋"/>
          <w:color w:val="auto"/>
          <w:highlight w:val="none"/>
          <w:lang w:eastAsia="zh-CN"/>
        </w:rPr>
        <w:t>遴选人</w:t>
      </w:r>
      <w:r>
        <w:rPr>
          <w:rFonts w:hint="eastAsia" w:ascii="仿宋" w:hAnsi="仿宋" w:eastAsia="仿宋"/>
          <w:color w:val="auto"/>
          <w:highlight w:val="none"/>
        </w:rPr>
        <w:t>或者</w:t>
      </w:r>
      <w:r>
        <w:rPr>
          <w:rFonts w:hint="eastAsia" w:ascii="仿宋" w:hAnsi="仿宋" w:eastAsia="仿宋"/>
          <w:color w:val="auto"/>
          <w:highlight w:val="none"/>
          <w:lang w:eastAsia="zh-CN"/>
        </w:rPr>
        <w:t>遴选代理单位</w:t>
      </w:r>
      <w:r>
        <w:rPr>
          <w:rFonts w:hint="eastAsia" w:ascii="仿宋" w:hAnsi="仿宋" w:eastAsia="仿宋"/>
          <w:color w:val="auto"/>
          <w:highlight w:val="none"/>
        </w:rPr>
        <w:t>如对已发出的</w:t>
      </w:r>
      <w:r>
        <w:rPr>
          <w:rFonts w:hint="eastAsia" w:ascii="仿宋" w:hAnsi="仿宋" w:eastAsia="仿宋"/>
          <w:color w:val="auto"/>
          <w:highlight w:val="none"/>
          <w:lang w:eastAsia="zh-CN"/>
        </w:rPr>
        <w:t>遴选文件</w:t>
      </w:r>
      <w:r>
        <w:rPr>
          <w:rFonts w:hint="eastAsia" w:ascii="仿宋" w:hAnsi="仿宋" w:eastAsia="仿宋"/>
          <w:color w:val="auto"/>
          <w:highlight w:val="none"/>
        </w:rPr>
        <w:t>进行必要澄清或者修改的，将在发布</w:t>
      </w:r>
      <w:r>
        <w:rPr>
          <w:rFonts w:hint="eastAsia" w:ascii="仿宋" w:hAnsi="仿宋" w:eastAsia="仿宋"/>
          <w:color w:val="auto"/>
          <w:highlight w:val="none"/>
          <w:lang w:eastAsia="zh-CN"/>
        </w:rPr>
        <w:t>遴选公告</w:t>
      </w:r>
      <w:r>
        <w:rPr>
          <w:rFonts w:hint="eastAsia" w:ascii="仿宋" w:hAnsi="仿宋" w:eastAsia="仿宋"/>
          <w:color w:val="auto"/>
          <w:highlight w:val="none"/>
        </w:rPr>
        <w:t>的网站上发布更正、澄清（修改）公告，同时视情况延长投标截止时间和开标时间。该公告澄清或者修改的内容为</w:t>
      </w:r>
      <w:r>
        <w:rPr>
          <w:rFonts w:hint="eastAsia" w:ascii="仿宋" w:hAnsi="仿宋" w:eastAsia="仿宋"/>
          <w:color w:val="auto"/>
          <w:highlight w:val="none"/>
          <w:lang w:eastAsia="zh-CN"/>
        </w:rPr>
        <w:t>遴选文件</w:t>
      </w:r>
      <w:r>
        <w:rPr>
          <w:rFonts w:hint="eastAsia" w:ascii="仿宋" w:hAnsi="仿宋" w:eastAsia="仿宋"/>
          <w:color w:val="auto"/>
          <w:highlight w:val="none"/>
        </w:rPr>
        <w:t>的组成部分。</w:t>
      </w:r>
    </w:p>
    <w:p w14:paraId="5B84BF66">
      <w:pPr>
        <w:snapToGrid w:val="0"/>
        <w:spacing w:line="440" w:lineRule="exact"/>
        <w:jc w:val="left"/>
        <w:rPr>
          <w:color w:val="auto"/>
          <w:sz w:val="24"/>
          <w:highlight w:val="none"/>
        </w:rPr>
      </w:pPr>
    </w:p>
    <w:p w14:paraId="4FD8C8E3">
      <w:pPr>
        <w:numPr>
          <w:ilvl w:val="0"/>
          <w:numId w:val="4"/>
        </w:numPr>
        <w:adjustRightInd/>
        <w:spacing w:line="360" w:lineRule="auto"/>
        <w:ind w:left="432" w:leftChars="0" w:hanging="432" w:firstLineChars="0"/>
        <w:jc w:val="center"/>
        <w:outlineLvl w:val="0"/>
        <w:rPr>
          <w:rFonts w:hint="eastAsia" w:ascii="仿宋" w:hAnsi="仿宋" w:eastAsia="仿宋" w:cs="仿宋_GB2312"/>
          <w:b/>
          <w:color w:val="auto"/>
          <w:sz w:val="32"/>
          <w:szCs w:val="20"/>
          <w:highlight w:val="none"/>
          <w:lang w:eastAsia="zh-CN"/>
        </w:rPr>
      </w:pPr>
      <w:r>
        <w:rPr>
          <w:rFonts w:hint="eastAsia" w:ascii="仿宋" w:hAnsi="仿宋" w:eastAsia="仿宋" w:cs="仿宋_GB2312"/>
          <w:b/>
          <w:color w:val="auto"/>
          <w:sz w:val="32"/>
          <w:szCs w:val="20"/>
          <w:highlight w:val="none"/>
          <w:lang w:eastAsia="zh-CN"/>
        </w:rPr>
        <w:t>投标</w:t>
      </w:r>
    </w:p>
    <w:p w14:paraId="78B44950">
      <w:pPr>
        <w:pStyle w:val="1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w:t>
      </w:r>
      <w:r>
        <w:rPr>
          <w:rFonts w:hint="eastAsia" w:ascii="仿宋" w:hAnsi="仿宋" w:eastAsia="仿宋" w:cs="仿宋_GB2312"/>
          <w:b/>
          <w:color w:val="auto"/>
          <w:sz w:val="24"/>
          <w:szCs w:val="24"/>
          <w:highlight w:val="none"/>
          <w:lang w:eastAsia="zh-CN"/>
        </w:rPr>
        <w:t>遴选</w:t>
      </w:r>
      <w:r>
        <w:rPr>
          <w:rFonts w:hint="eastAsia" w:ascii="仿宋" w:hAnsi="仿宋" w:eastAsia="仿宋" w:cs="仿宋_GB2312"/>
          <w:b/>
          <w:color w:val="auto"/>
          <w:sz w:val="24"/>
          <w:szCs w:val="24"/>
          <w:highlight w:val="none"/>
        </w:rPr>
        <w:t>文件的获取</w:t>
      </w:r>
    </w:p>
    <w:p w14:paraId="5CB82159">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w:t>
      </w:r>
      <w:r>
        <w:rPr>
          <w:rFonts w:hint="eastAsia" w:ascii="仿宋" w:hAnsi="仿宋" w:eastAsia="仿宋" w:cs="仿宋_GB2312"/>
          <w:snapToGrid w:val="0"/>
          <w:color w:val="auto"/>
          <w:kern w:val="28"/>
          <w:sz w:val="24"/>
          <w:highlight w:val="none"/>
          <w:lang w:eastAsia="zh-CN"/>
        </w:rPr>
        <w:t>遴选</w:t>
      </w:r>
      <w:r>
        <w:rPr>
          <w:rFonts w:hint="eastAsia" w:ascii="仿宋" w:hAnsi="仿宋" w:eastAsia="仿宋" w:cs="仿宋_GB2312"/>
          <w:snapToGrid w:val="0"/>
          <w:color w:val="auto"/>
          <w:kern w:val="28"/>
          <w:sz w:val="24"/>
          <w:highlight w:val="none"/>
        </w:rPr>
        <w:t>公告中获取</w:t>
      </w:r>
      <w:r>
        <w:rPr>
          <w:rFonts w:hint="eastAsia" w:ascii="仿宋" w:hAnsi="仿宋" w:eastAsia="仿宋" w:cs="仿宋_GB2312"/>
          <w:snapToGrid w:val="0"/>
          <w:color w:val="auto"/>
          <w:kern w:val="28"/>
          <w:sz w:val="24"/>
          <w:highlight w:val="none"/>
          <w:lang w:eastAsia="zh-CN"/>
        </w:rPr>
        <w:t>遴选文件</w:t>
      </w:r>
      <w:r>
        <w:rPr>
          <w:rFonts w:hint="eastAsia" w:ascii="仿宋" w:hAnsi="仿宋" w:eastAsia="仿宋" w:cs="仿宋_GB2312"/>
          <w:snapToGrid w:val="0"/>
          <w:color w:val="auto"/>
          <w:kern w:val="28"/>
          <w:sz w:val="24"/>
          <w:highlight w:val="none"/>
        </w:rPr>
        <w:t>的时间期限、地点、方式。附件中直接下载仅供浏览使用。</w:t>
      </w:r>
    </w:p>
    <w:p w14:paraId="01A16284">
      <w:pPr>
        <w:numPr>
          <w:ilvl w:val="0"/>
          <w:numId w:val="0"/>
        </w:numPr>
        <w:adjustRightInd/>
        <w:spacing w:line="360" w:lineRule="auto"/>
        <w:ind w:leftChars="0"/>
        <w:jc w:val="both"/>
        <w:outlineLvl w:val="0"/>
        <w:rPr>
          <w:rFonts w:hint="eastAsia"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rPr>
        <w:t>未按照公告</w:t>
      </w:r>
      <w:r>
        <w:rPr>
          <w:rFonts w:ascii="仿宋" w:hAnsi="仿宋" w:eastAsia="仿宋" w:cs="仿宋_GB2312"/>
          <w:b/>
          <w:color w:val="auto"/>
          <w:sz w:val="24"/>
          <w:szCs w:val="21"/>
          <w:highlight w:val="none"/>
        </w:rPr>
        <w:t>要求完成</w:t>
      </w:r>
      <w:r>
        <w:rPr>
          <w:rFonts w:hint="eastAsia" w:ascii="仿宋" w:hAnsi="仿宋" w:eastAsia="仿宋" w:cs="仿宋_GB2312"/>
          <w:b/>
          <w:color w:val="auto"/>
          <w:sz w:val="24"/>
          <w:szCs w:val="21"/>
          <w:highlight w:val="none"/>
          <w:lang w:eastAsia="zh-CN"/>
        </w:rPr>
        <w:t>遴选</w:t>
      </w:r>
      <w:r>
        <w:rPr>
          <w:rFonts w:hint="eastAsia" w:ascii="仿宋" w:hAnsi="仿宋" w:eastAsia="仿宋" w:cs="仿宋_GB2312"/>
          <w:b/>
          <w:color w:val="auto"/>
          <w:sz w:val="24"/>
          <w:szCs w:val="21"/>
          <w:highlight w:val="none"/>
        </w:rPr>
        <w:t>文件</w:t>
      </w:r>
      <w:r>
        <w:rPr>
          <w:rFonts w:ascii="仿宋" w:hAnsi="仿宋" w:eastAsia="仿宋" w:cs="仿宋_GB2312"/>
          <w:b/>
          <w:color w:val="auto"/>
          <w:sz w:val="24"/>
          <w:szCs w:val="21"/>
          <w:highlight w:val="none"/>
        </w:rPr>
        <w:t>获取的</w:t>
      </w:r>
      <w:r>
        <w:rPr>
          <w:rFonts w:hint="eastAsia" w:ascii="仿宋" w:hAnsi="仿宋" w:eastAsia="仿宋" w:cs="仿宋_GB2312"/>
          <w:b/>
          <w:color w:val="auto"/>
          <w:sz w:val="24"/>
          <w:szCs w:val="21"/>
          <w:highlight w:val="none"/>
        </w:rPr>
        <w:t>，投标无效。</w:t>
      </w:r>
    </w:p>
    <w:p w14:paraId="316F2EF1">
      <w:pPr>
        <w:pStyle w:val="11"/>
        <w:spacing w:line="360" w:lineRule="auto"/>
        <w:ind w:firstLine="482" w:firstLineChars="20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7.开标前答疑会或现场考察</w:t>
      </w:r>
    </w:p>
    <w:p w14:paraId="1F08114F">
      <w:pPr>
        <w:pStyle w:val="11"/>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遴选人</w:t>
      </w:r>
      <w:r>
        <w:rPr>
          <w:rFonts w:hint="eastAsia" w:ascii="仿宋" w:hAnsi="仿宋" w:eastAsia="仿宋"/>
          <w:color w:val="auto"/>
          <w:sz w:val="24"/>
          <w:szCs w:val="24"/>
          <w:highlight w:val="none"/>
        </w:rPr>
        <w:t>视</w:t>
      </w:r>
      <w:r>
        <w:rPr>
          <w:rFonts w:hint="eastAsia" w:ascii="仿宋" w:hAnsi="仿宋" w:eastAsia="仿宋"/>
          <w:color w:val="auto"/>
          <w:sz w:val="24"/>
          <w:szCs w:val="24"/>
          <w:highlight w:val="none"/>
          <w:lang w:eastAsia="zh-CN"/>
        </w:rPr>
        <w:t>遴选</w:t>
      </w:r>
      <w:r>
        <w:rPr>
          <w:rFonts w:hint="eastAsia" w:ascii="仿宋" w:hAnsi="仿宋" w:eastAsia="仿宋"/>
          <w:color w:val="auto"/>
          <w:sz w:val="24"/>
          <w:szCs w:val="24"/>
          <w:highlight w:val="none"/>
        </w:rPr>
        <w:t>项目的具体情况，如果</w:t>
      </w:r>
      <w:r>
        <w:rPr>
          <w:rFonts w:hint="eastAsia" w:ascii="仿宋" w:hAnsi="仿宋" w:eastAsia="仿宋"/>
          <w:color w:val="auto"/>
          <w:sz w:val="24"/>
          <w:szCs w:val="24"/>
          <w:highlight w:val="none"/>
          <w:lang w:eastAsia="zh-CN"/>
        </w:rPr>
        <w:t>遴选人</w:t>
      </w:r>
      <w:r>
        <w:rPr>
          <w:rFonts w:hint="eastAsia" w:ascii="仿宋" w:hAnsi="仿宋" w:eastAsia="仿宋"/>
          <w:color w:val="auto"/>
          <w:sz w:val="24"/>
          <w:szCs w:val="24"/>
          <w:highlight w:val="none"/>
        </w:rPr>
        <w:t>组织潜在</w:t>
      </w:r>
      <w:r>
        <w:rPr>
          <w:rFonts w:hint="eastAsia" w:ascii="仿宋" w:hAnsi="仿宋" w:eastAsia="仿宋"/>
          <w:color w:val="auto"/>
          <w:sz w:val="24"/>
          <w:szCs w:val="24"/>
          <w:highlight w:val="none"/>
          <w:lang w:eastAsia="zh-CN"/>
        </w:rPr>
        <w:t>遴选响应人</w:t>
      </w:r>
      <w:r>
        <w:rPr>
          <w:rFonts w:hint="eastAsia" w:ascii="仿宋" w:hAnsi="仿宋" w:eastAsia="仿宋"/>
          <w:color w:val="auto"/>
          <w:sz w:val="24"/>
          <w:szCs w:val="24"/>
          <w:highlight w:val="none"/>
        </w:rPr>
        <w:t>现场考察或者召开开标前答疑会的，潜在</w:t>
      </w:r>
      <w:r>
        <w:rPr>
          <w:rFonts w:hint="eastAsia" w:ascii="仿宋" w:hAnsi="仿宋" w:eastAsia="仿宋"/>
          <w:color w:val="auto"/>
          <w:sz w:val="24"/>
          <w:szCs w:val="24"/>
          <w:highlight w:val="none"/>
          <w:lang w:eastAsia="zh-CN"/>
        </w:rPr>
        <w:t>遴选响应人</w:t>
      </w:r>
      <w:r>
        <w:rPr>
          <w:rFonts w:hint="eastAsia" w:ascii="仿宋" w:hAnsi="仿宋" w:eastAsia="仿宋"/>
          <w:color w:val="auto"/>
          <w:sz w:val="24"/>
          <w:szCs w:val="24"/>
          <w:highlight w:val="none"/>
        </w:rPr>
        <w:t>按前附表的规定参加现场考察或者开标前答疑会。</w:t>
      </w:r>
    </w:p>
    <w:p w14:paraId="6D576512">
      <w:pPr>
        <w:pStyle w:val="11"/>
        <w:spacing w:line="360" w:lineRule="auto"/>
        <w:ind w:firstLine="482" w:firstLineChars="200"/>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8.投标保证金</w:t>
      </w:r>
    </w:p>
    <w:p w14:paraId="18470EAA">
      <w:pPr>
        <w:pStyle w:val="39"/>
        <w:snapToGrid w:val="0"/>
        <w:spacing w:before="0"/>
        <w:ind w:firstLine="480"/>
        <w:rPr>
          <w:rFonts w:hint="eastAsia" w:ascii="仿宋" w:hAnsi="仿宋" w:eastAsia="仿宋"/>
          <w:color w:val="auto"/>
          <w:highlight w:val="none"/>
        </w:rPr>
      </w:pPr>
      <w:r>
        <w:rPr>
          <w:rFonts w:hint="eastAsia" w:ascii="仿宋" w:hAnsi="仿宋" w:eastAsia="仿宋"/>
          <w:color w:val="auto"/>
          <w:highlight w:val="none"/>
        </w:rPr>
        <w:t>本项目不收取投标保证金。</w:t>
      </w:r>
    </w:p>
    <w:p w14:paraId="031B0BCD">
      <w:pPr>
        <w:pStyle w:val="39"/>
        <w:snapToGrid w:val="0"/>
        <w:spacing w:before="0"/>
        <w:ind w:firstLine="480"/>
        <w:rPr>
          <w:color w:val="auto"/>
          <w:sz w:val="24"/>
          <w:highlight w:val="none"/>
        </w:rPr>
      </w:pPr>
      <w:r>
        <w:rPr>
          <w:rFonts w:hint="eastAsia" w:ascii="仿宋" w:hAnsi="仿宋" w:eastAsia="仿宋" w:cs="Times New Roman"/>
          <w:b/>
          <w:color w:val="auto"/>
          <w:kern w:val="28"/>
          <w:sz w:val="24"/>
          <w:szCs w:val="24"/>
          <w:highlight w:val="none"/>
          <w:lang w:val="en-US" w:eastAsia="zh-CN" w:bidi="ar-SA"/>
        </w:rPr>
        <w:t>9.申报文件的语言</w:t>
      </w:r>
    </w:p>
    <w:p w14:paraId="36C238CB">
      <w:pPr>
        <w:autoSpaceDE w:val="0"/>
        <w:autoSpaceDN w:val="0"/>
        <w:adjustRightIn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申报文件以及遴选响应人与遴选人就有关遴选响应事宜的来往通知、函件和文件均应以中文书写（技术术语除外）。</w:t>
      </w:r>
    </w:p>
    <w:p w14:paraId="1EB87CEA">
      <w:pPr>
        <w:snapToGrid w:val="0"/>
        <w:spacing w:line="440" w:lineRule="exact"/>
        <w:ind w:firstLine="241" w:firstLineChars="100"/>
        <w:jc w:val="left"/>
        <w:rPr>
          <w:rFonts w:hint="eastAsia" w:ascii="仿宋" w:hAnsi="仿宋" w:eastAsia="仿宋" w:cs="Times New Roman"/>
          <w:b/>
          <w:color w:val="auto"/>
          <w:kern w:val="28"/>
          <w:sz w:val="24"/>
          <w:szCs w:val="24"/>
          <w:highlight w:val="none"/>
          <w:lang w:val="en-US" w:eastAsia="zh-CN" w:bidi="ar-SA"/>
        </w:rPr>
      </w:pPr>
      <w:r>
        <w:rPr>
          <w:rFonts w:hint="eastAsia" w:ascii="仿宋" w:hAnsi="仿宋" w:eastAsia="仿宋" w:cs="Times New Roman"/>
          <w:b/>
          <w:color w:val="auto"/>
          <w:kern w:val="28"/>
          <w:sz w:val="24"/>
          <w:szCs w:val="24"/>
          <w:highlight w:val="none"/>
          <w:lang w:val="en-US" w:eastAsia="zh-CN" w:bidi="ar-SA"/>
        </w:rPr>
        <w:t>10. 申报文件的组成</w:t>
      </w:r>
    </w:p>
    <w:p w14:paraId="377C1024">
      <w:pPr>
        <w:pStyle w:val="11"/>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申报文件应当包括以下主要内容：</w:t>
      </w:r>
      <w:r>
        <w:rPr>
          <w:rFonts w:hint="eastAsia" w:ascii="仿宋" w:hAnsi="仿宋" w:eastAsia="仿宋" w:cs="仿宋_GB2312"/>
          <w:b/>
          <w:color w:val="auto"/>
          <w:sz w:val="24"/>
          <w:szCs w:val="24"/>
          <w:highlight w:val="none"/>
        </w:rPr>
        <w:t>资格文件、商务技术文件、报价文件。其中电子申报</w:t>
      </w:r>
      <w:r>
        <w:rPr>
          <w:rFonts w:hint="eastAsia" w:ascii="仿宋" w:hAnsi="仿宋" w:eastAsia="仿宋" w:cs="仿宋_GB2312"/>
          <w:b/>
          <w:color w:val="auto"/>
          <w:sz w:val="24"/>
          <w:szCs w:val="24"/>
          <w:highlight w:val="none"/>
          <w:lang w:eastAsia="zh-CN"/>
        </w:rPr>
        <w:t>文件</w:t>
      </w:r>
      <w:r>
        <w:rPr>
          <w:rFonts w:hint="eastAsia" w:ascii="仿宋" w:hAnsi="仿宋" w:eastAsia="仿宋" w:cs="仿宋_GB2312"/>
          <w:b/>
          <w:color w:val="auto"/>
          <w:sz w:val="24"/>
          <w:szCs w:val="24"/>
          <w:highlight w:val="none"/>
        </w:rPr>
        <w:t>中所需加盖公章部分均应采用电子签章（联合体投标的，</w:t>
      </w:r>
      <w:r>
        <w:rPr>
          <w:rFonts w:hint="eastAsia" w:ascii="仿宋" w:hAnsi="仿宋" w:eastAsia="仿宋" w:cs="仿宋_GB2312"/>
          <w:b/>
          <w:color w:val="auto"/>
          <w:sz w:val="24"/>
          <w:szCs w:val="24"/>
          <w:highlight w:val="none"/>
          <w:lang w:eastAsia="zh-CN"/>
        </w:rPr>
        <w:t>遴选响应人</w:t>
      </w:r>
      <w:r>
        <w:rPr>
          <w:rFonts w:hint="eastAsia" w:ascii="仿宋" w:hAnsi="仿宋" w:eastAsia="仿宋" w:cs="仿宋_GB2312"/>
          <w:b/>
          <w:color w:val="auto"/>
          <w:sz w:val="24"/>
          <w:szCs w:val="24"/>
          <w:highlight w:val="none"/>
        </w:rPr>
        <w:t>可加盖实体印章）。</w:t>
      </w:r>
      <w:r>
        <w:rPr>
          <w:rFonts w:hint="eastAsia" w:ascii="仿宋" w:hAnsi="仿宋" w:eastAsia="仿宋" w:cs="仿宋_GB2312"/>
          <w:color w:val="auto"/>
          <w:sz w:val="24"/>
          <w:szCs w:val="24"/>
          <w:highlight w:val="none"/>
          <w:lang w:eastAsia="zh-CN"/>
        </w:rPr>
        <w:t>申报文件</w:t>
      </w:r>
      <w:r>
        <w:rPr>
          <w:rFonts w:hint="eastAsia" w:ascii="仿宋" w:hAnsi="仿宋" w:eastAsia="仿宋" w:cs="仿宋_GB2312"/>
          <w:color w:val="auto"/>
          <w:sz w:val="24"/>
          <w:szCs w:val="24"/>
          <w:highlight w:val="none"/>
        </w:rPr>
        <w:t>应当对</w:t>
      </w:r>
      <w:r>
        <w:rPr>
          <w:rFonts w:hint="eastAsia" w:ascii="仿宋" w:hAnsi="仿宋" w:eastAsia="仿宋" w:cs="仿宋_GB2312"/>
          <w:color w:val="auto"/>
          <w:sz w:val="24"/>
          <w:szCs w:val="24"/>
          <w:highlight w:val="none"/>
          <w:lang w:eastAsia="zh-CN"/>
        </w:rPr>
        <w:t>遴选</w:t>
      </w:r>
      <w:r>
        <w:rPr>
          <w:rFonts w:hint="eastAsia" w:ascii="仿宋" w:hAnsi="仿宋" w:eastAsia="仿宋" w:cs="仿宋_GB2312"/>
          <w:color w:val="auto"/>
          <w:sz w:val="24"/>
          <w:szCs w:val="24"/>
          <w:highlight w:val="none"/>
        </w:rPr>
        <w:t>文件提出的要求和条件作出明确响应。</w:t>
      </w:r>
    </w:p>
    <w:p w14:paraId="02A3B67D">
      <w:pPr>
        <w:spacing w:line="440" w:lineRule="exact"/>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p>
    <w:p w14:paraId="5316CF08">
      <w:pPr>
        <w:pStyle w:val="11"/>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10.1.1营业执照(或事业法人登记证或其他工商等登记证明材料)复印件（</w:t>
      </w:r>
      <w:r>
        <w:rPr>
          <w:rFonts w:hint="eastAsia" w:ascii="仿宋" w:hAnsi="仿宋" w:eastAsia="仿宋"/>
          <w:color w:val="auto"/>
          <w:sz w:val="24"/>
          <w:highlight w:val="none"/>
          <w:lang w:eastAsia="zh-CN"/>
        </w:rPr>
        <w:t>遴选响应人</w:t>
      </w:r>
      <w:r>
        <w:rPr>
          <w:rFonts w:hint="eastAsia" w:ascii="仿宋" w:hAnsi="仿宋" w:eastAsia="仿宋"/>
          <w:color w:val="auto"/>
          <w:sz w:val="24"/>
          <w:highlight w:val="none"/>
        </w:rPr>
        <w:t>为自然人的，提供自然人的身份证明）；</w:t>
      </w:r>
      <w:r>
        <w:rPr>
          <w:rFonts w:hint="eastAsia" w:ascii="仿宋" w:hAnsi="仿宋" w:eastAsia="仿宋" w:cs="仿宋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中提供相关材料），证明其具备实际承担责任的能力和法定的缔结合同能力，可以独立参加国企采购活动，由单位负责人签署相关文件材料；</w:t>
      </w:r>
    </w:p>
    <w:p w14:paraId="43267772">
      <w:pPr>
        <w:pStyle w:val="11"/>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10.1.2投标声明函；</w:t>
      </w:r>
    </w:p>
    <w:p w14:paraId="673E7FEF">
      <w:pPr>
        <w:pStyle w:val="11"/>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10.1.3法定代表人授权书；如</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代表系法定代表人，无需提供法定代表人授权委托书；</w:t>
      </w:r>
    </w:p>
    <w:p w14:paraId="5AAA537C">
      <w:pPr>
        <w:spacing w:line="360" w:lineRule="auto"/>
        <w:ind w:firstLine="480" w:firstLineChars="200"/>
        <w:rPr>
          <w:rFonts w:hint="eastAsia" w:ascii="仿宋" w:hAnsi="仿宋" w:eastAsia="仿宋" w:cs="仿宋_GB2312"/>
          <w:color w:val="auto"/>
          <w:sz w:val="24"/>
          <w:highlight w:val="yellow"/>
        </w:rPr>
      </w:pPr>
      <w:r>
        <w:rPr>
          <w:rFonts w:hint="eastAsia" w:ascii="仿宋" w:hAnsi="仿宋" w:eastAsia="仿宋" w:cs="仿宋_GB2312"/>
          <w:color w:val="auto"/>
          <w:sz w:val="24"/>
          <w:highlight w:val="none"/>
        </w:rPr>
        <w:t>10.1.4法定代表人及其授权代表的身份证复印件（正反面复印件）；法定代表人授权书</w:t>
      </w:r>
      <w:r>
        <w:rPr>
          <w:rFonts w:hint="eastAsia" w:ascii="仿宋" w:hAnsi="仿宋" w:eastAsia="仿宋" w:cs="宋体"/>
          <w:color w:val="auto"/>
          <w:sz w:val="24"/>
          <w:highlight w:val="none"/>
        </w:rPr>
        <w:t>拟派授权代表须为投标企业在职职工，须提供缴费期限为近三个月的</w:t>
      </w:r>
      <w:r>
        <w:rPr>
          <w:rFonts w:hint="eastAsia" w:ascii="仿宋" w:hAnsi="仿宋" w:eastAsia="仿宋" w:cs="宋体"/>
          <w:color w:val="auto"/>
          <w:sz w:val="24"/>
          <w:highlight w:val="none"/>
          <w:lang w:eastAsia="zh-CN"/>
        </w:rPr>
        <w:t>遴选响应人</w:t>
      </w:r>
      <w:r>
        <w:rPr>
          <w:rFonts w:hint="eastAsia" w:ascii="仿宋" w:hAnsi="仿宋" w:eastAsia="仿宋" w:cs="宋体"/>
          <w:color w:val="auto"/>
          <w:sz w:val="24"/>
          <w:highlight w:val="none"/>
        </w:rPr>
        <w:t>所属社保机构养老保险交纳清单或证明（缴费单位和投标单位名称必须一致）。授权代表的社保证明需在社保机构或社保机构网站上打印，并加盖投标单位公章。</w:t>
      </w:r>
      <w:r>
        <w:rPr>
          <w:rFonts w:hint="eastAsia" w:ascii="仿宋" w:hAnsi="仿宋" w:eastAsia="仿宋" w:cs="仿宋_GB2312"/>
          <w:color w:val="auto"/>
          <w:sz w:val="24"/>
          <w:highlight w:val="none"/>
        </w:rPr>
        <w:t>如</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代表系法定代表人，</w:t>
      </w:r>
      <w:r>
        <w:rPr>
          <w:rFonts w:hint="eastAsia" w:ascii="仿宋" w:hAnsi="仿宋" w:eastAsia="仿宋" w:cs="宋体"/>
          <w:color w:val="auto"/>
          <w:sz w:val="24"/>
          <w:highlight w:val="none"/>
        </w:rPr>
        <w:t>无需提供法定代表人授权委托书及社保证明</w:t>
      </w:r>
      <w:r>
        <w:rPr>
          <w:rFonts w:hint="eastAsia" w:ascii="仿宋" w:hAnsi="仿宋" w:eastAsia="仿宋" w:cs="宋体"/>
          <w:color w:val="auto"/>
          <w:sz w:val="24"/>
          <w:highlight w:val="none"/>
          <w:lang w:eastAsia="zh-CN"/>
        </w:rPr>
        <w:t>，</w:t>
      </w:r>
      <w:r>
        <w:rPr>
          <w:rFonts w:hint="eastAsia" w:ascii="仿宋" w:hAnsi="仿宋" w:eastAsia="仿宋" w:cs="仿宋_GB2312"/>
          <w:color w:val="auto"/>
          <w:sz w:val="24"/>
          <w:highlight w:val="none"/>
        </w:rPr>
        <w:t>只需提供其身份证复印件（正反面复印件）；</w:t>
      </w:r>
    </w:p>
    <w:p w14:paraId="13F24136">
      <w:pPr>
        <w:spacing w:line="440" w:lineRule="exact"/>
        <w:ind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10.1.5</w:t>
      </w:r>
      <w:r>
        <w:rPr>
          <w:rFonts w:hint="eastAsia" w:ascii="仿宋" w:hAnsi="仿宋" w:eastAsia="仿宋" w:cs="仿宋_GB2312"/>
          <w:snapToGrid w:val="0"/>
          <w:color w:val="auto"/>
          <w:kern w:val="0"/>
          <w:sz w:val="24"/>
          <w:szCs w:val="21"/>
          <w:highlight w:val="none"/>
          <w:lang w:val="zh-CN"/>
        </w:rPr>
        <w:t>符合特定资格条件（如果项目要求）的有关证明材料</w:t>
      </w:r>
      <w:r>
        <w:rPr>
          <w:rFonts w:hint="eastAsia" w:ascii="仿宋" w:hAnsi="仿宋" w:eastAsia="仿宋" w:cs="仿宋_GB2312"/>
          <w:color w:val="auto"/>
          <w:sz w:val="24"/>
          <w:highlight w:val="none"/>
        </w:rPr>
        <w:t>（复印件）</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如有</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w:t>
      </w:r>
    </w:p>
    <w:p w14:paraId="02821B60">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 遴选响应人的</w:t>
      </w:r>
      <w:r>
        <w:rPr>
          <w:rFonts w:hint="eastAsia" w:ascii="仿宋" w:hAnsi="仿宋" w:eastAsia="仿宋" w:cs="仿宋_GB2312"/>
          <w:b/>
          <w:color w:val="auto"/>
          <w:sz w:val="24"/>
          <w:highlight w:val="none"/>
        </w:rPr>
        <w:t>商务技术</w:t>
      </w:r>
      <w:r>
        <w:rPr>
          <w:rFonts w:hint="eastAsia" w:ascii="仿宋" w:hAnsi="仿宋" w:eastAsia="仿宋" w:cs="仿宋_GB2312"/>
          <w:b/>
          <w:color w:val="auto"/>
          <w:kern w:val="0"/>
          <w:sz w:val="24"/>
          <w:highlight w:val="none"/>
          <w:lang w:val="zh-CN"/>
        </w:rPr>
        <w:t>文件</w:t>
      </w:r>
      <w:r>
        <w:rPr>
          <w:rFonts w:hint="eastAsia" w:ascii="仿宋" w:hAnsi="仿宋" w:eastAsia="仿宋" w:cs="仿宋_GB2312"/>
          <w:color w:val="auto"/>
          <w:kern w:val="0"/>
          <w:sz w:val="24"/>
          <w:highlight w:val="none"/>
          <w:lang w:val="zh-CN"/>
        </w:rPr>
        <w:t>应包括以下内容：</w:t>
      </w:r>
    </w:p>
    <w:p w14:paraId="2D08D0CB">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10.2.1</w:t>
      </w:r>
      <w:r>
        <w:rPr>
          <w:rFonts w:hint="eastAsia" w:ascii="仿宋" w:hAnsi="仿宋" w:eastAsia="仿宋" w:cs="仿宋_GB2312"/>
          <w:snapToGrid w:val="0"/>
          <w:color w:val="auto"/>
          <w:kern w:val="0"/>
          <w:sz w:val="24"/>
          <w:szCs w:val="21"/>
          <w:highlight w:val="none"/>
          <w:lang w:val="zh-CN"/>
        </w:rPr>
        <w:t>评分对应表；如果本项目评标办法采用综合评审法，遴选响应人需在商务技术文件中提供此评分对应表，供评标委员会评审时使用。</w:t>
      </w:r>
    </w:p>
    <w:p w14:paraId="0CEC7B3A">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10.2.2技术响应表 </w:t>
      </w:r>
    </w:p>
    <w:p w14:paraId="25D3422D">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10.2.3商务响应表；</w:t>
      </w:r>
    </w:p>
    <w:p w14:paraId="0403FA19">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10.2.4承销方案；</w:t>
      </w:r>
    </w:p>
    <w:p w14:paraId="5EE3AE08">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10.2.5项目负责人情况表；</w:t>
      </w:r>
    </w:p>
    <w:p w14:paraId="2CFE1F7B">
      <w:pPr>
        <w:snapToGrid w:val="0"/>
        <w:spacing w:line="360" w:lineRule="auto"/>
        <w:ind w:firstLine="480" w:firstLineChars="200"/>
        <w:rPr>
          <w:rFonts w:hint="eastAsia"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10.2.6项目组人员名单</w:t>
      </w:r>
    </w:p>
    <w:p w14:paraId="550E9CF4">
      <w:pPr>
        <w:snapToGrid w:val="0"/>
        <w:spacing w:line="360" w:lineRule="auto"/>
        <w:ind w:firstLine="480" w:firstLineChars="200"/>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10.2.7售后服务方案(如有)</w:t>
      </w:r>
    </w:p>
    <w:p w14:paraId="1EF1D67A">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10.2.</w:t>
      </w:r>
      <w:r>
        <w:rPr>
          <w:rFonts w:hint="eastAsia" w:ascii="仿宋" w:hAnsi="仿宋" w:eastAsia="仿宋" w:cs="仿宋_GB2312"/>
          <w:color w:val="auto"/>
          <w:kern w:val="0"/>
          <w:sz w:val="24"/>
          <w:highlight w:val="none"/>
          <w:lang w:val="en-US" w:eastAsia="zh-CN"/>
        </w:rPr>
        <w:t>8</w:t>
      </w:r>
      <w:r>
        <w:rPr>
          <w:rFonts w:hint="eastAsia" w:ascii="仿宋" w:hAnsi="仿宋" w:eastAsia="仿宋" w:cs="仿宋_GB2312"/>
          <w:color w:val="auto"/>
          <w:kern w:val="0"/>
          <w:sz w:val="24"/>
          <w:highlight w:val="none"/>
          <w:lang w:val="zh-CN"/>
        </w:rPr>
        <w:t>优惠条件及特殊承诺（如有）；</w:t>
      </w:r>
    </w:p>
    <w:p w14:paraId="3D88FA46">
      <w:pPr>
        <w:snapToGrid w:val="0"/>
        <w:spacing w:line="360" w:lineRule="auto"/>
        <w:ind w:firstLine="480" w:firstLineChars="200"/>
        <w:rPr>
          <w:rFonts w:hint="default" w:ascii="仿宋" w:hAnsi="仿宋" w:eastAsia="仿宋" w:cs="仿宋_GB2312"/>
          <w:color w:val="auto"/>
          <w:kern w:val="0"/>
          <w:sz w:val="24"/>
          <w:highlight w:val="none"/>
          <w:lang w:val="en-US" w:eastAsia="zh-CN"/>
        </w:rPr>
      </w:pPr>
      <w:r>
        <w:rPr>
          <w:rFonts w:hint="eastAsia" w:ascii="仿宋" w:hAnsi="仿宋" w:eastAsia="仿宋" w:cs="仿宋_GB2312"/>
          <w:color w:val="auto"/>
          <w:kern w:val="0"/>
          <w:sz w:val="24"/>
          <w:highlight w:val="none"/>
          <w:lang w:val="en-US" w:eastAsia="zh-CN"/>
        </w:rPr>
        <w:t>10.2.9遴选响应承诺书</w:t>
      </w:r>
    </w:p>
    <w:p w14:paraId="011C7C32">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10.2.</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kern w:val="0"/>
          <w:sz w:val="24"/>
          <w:highlight w:val="none"/>
          <w:lang w:val="zh-CN"/>
        </w:rPr>
        <w:t>遴选响应人认为需要的其他商务技术文件或说明</w:t>
      </w:r>
      <w:r>
        <w:rPr>
          <w:rFonts w:hint="eastAsia" w:ascii="仿宋" w:hAnsi="仿宋" w:eastAsia="仿宋" w:cs="仿宋_GB2312"/>
          <w:snapToGrid w:val="0"/>
          <w:color w:val="auto"/>
          <w:kern w:val="0"/>
          <w:sz w:val="24"/>
          <w:highlight w:val="none"/>
          <w:lang w:val="zh-CN"/>
        </w:rPr>
        <w:t>。</w:t>
      </w:r>
    </w:p>
    <w:p w14:paraId="67DE7933">
      <w:pPr>
        <w:snapToGrid w:val="0"/>
        <w:spacing w:line="360" w:lineRule="auto"/>
        <w:ind w:firstLine="480" w:firstLineChars="200"/>
        <w:rPr>
          <w:rFonts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10.3 </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p>
    <w:p w14:paraId="51997D6D">
      <w:pPr>
        <w:snapToGrid w:val="0"/>
        <w:spacing w:line="360" w:lineRule="auto"/>
        <w:ind w:firstLine="480" w:firstLineChars="200"/>
        <w:rPr>
          <w:rFonts w:hint="eastAsia" w:ascii="仿宋" w:hAnsi="仿宋" w:eastAsia="仿宋" w:cs="仿宋_GB2312"/>
          <w:color w:val="auto"/>
          <w:sz w:val="24"/>
          <w:highlight w:val="none"/>
          <w:lang w:val="zh-CN" w:eastAsia="zh-CN"/>
        </w:rPr>
      </w:pPr>
      <w:r>
        <w:rPr>
          <w:rFonts w:hint="eastAsia" w:ascii="仿宋" w:hAnsi="仿宋" w:eastAsia="仿宋" w:cs="仿宋_GB2312"/>
          <w:color w:val="auto"/>
          <w:sz w:val="24"/>
          <w:highlight w:val="none"/>
          <w:lang w:val="en-US" w:eastAsia="zh-CN"/>
        </w:rPr>
        <w:t>10.3.1</w:t>
      </w:r>
      <w:r>
        <w:rPr>
          <w:rFonts w:hint="eastAsia" w:ascii="仿宋" w:hAnsi="仿宋" w:eastAsia="仿宋" w:cs="仿宋_GB2312"/>
          <w:color w:val="auto"/>
          <w:sz w:val="24"/>
          <w:highlight w:val="none"/>
          <w:lang w:val="zh-CN"/>
        </w:rPr>
        <w:t>遴选一览表</w:t>
      </w:r>
    </w:p>
    <w:p w14:paraId="138763C9">
      <w:pPr>
        <w:pStyle w:val="39"/>
        <w:snapToGrid w:val="0"/>
        <w:spacing w:before="0"/>
        <w:ind w:firstLine="482"/>
        <w:outlineLvl w:val="0"/>
        <w:rPr>
          <w:rFonts w:ascii="仿宋" w:hAnsi="仿宋" w:eastAsia="仿宋" w:cs="仿宋_GB2312"/>
          <w:b/>
          <w:color w:val="auto"/>
          <w:szCs w:val="24"/>
          <w:highlight w:val="none"/>
        </w:rPr>
      </w:pPr>
      <w:bookmarkStart w:id="29" w:name="_Toc91899887"/>
      <w:r>
        <w:rPr>
          <w:rFonts w:hint="eastAsia" w:ascii="仿宋" w:hAnsi="仿宋" w:eastAsia="仿宋" w:cs="仿宋_GB2312"/>
          <w:b/>
          <w:color w:val="auto"/>
          <w:szCs w:val="24"/>
          <w:highlight w:val="none"/>
        </w:rPr>
        <w:t>11</w:t>
      </w:r>
      <w:r>
        <w:rPr>
          <w:rFonts w:hint="eastAsia" w:ascii="仿宋" w:hAnsi="仿宋" w:eastAsia="仿宋" w:cs="仿宋_GB2312"/>
          <w:b/>
          <w:color w:val="auto"/>
          <w:kern w:val="0"/>
          <w:szCs w:val="24"/>
          <w:highlight w:val="none"/>
          <w:lang w:val="zh-CN"/>
        </w:rPr>
        <w:t>. 申报</w:t>
      </w:r>
      <w:r>
        <w:rPr>
          <w:rFonts w:hint="eastAsia" w:ascii="仿宋" w:hAnsi="仿宋" w:eastAsia="仿宋" w:cs="仿宋_GB2312"/>
          <w:b/>
          <w:color w:val="auto"/>
          <w:szCs w:val="24"/>
          <w:highlight w:val="none"/>
          <w:lang w:eastAsia="zh-CN"/>
        </w:rPr>
        <w:t>文件</w:t>
      </w:r>
      <w:r>
        <w:rPr>
          <w:rFonts w:hint="eastAsia" w:ascii="仿宋" w:hAnsi="仿宋" w:eastAsia="仿宋" w:cs="仿宋_GB2312"/>
          <w:b/>
          <w:color w:val="auto"/>
          <w:szCs w:val="24"/>
          <w:highlight w:val="none"/>
        </w:rPr>
        <w:t>的编制</w:t>
      </w:r>
    </w:p>
    <w:p w14:paraId="27C3D681">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▲申报</w:t>
      </w:r>
      <w:r>
        <w:rPr>
          <w:rFonts w:hint="eastAsia" w:ascii="仿宋" w:hAnsi="仿宋" w:eastAsia="仿宋" w:cs="仿宋_GB2312"/>
          <w:b/>
          <w:color w:val="auto"/>
          <w:sz w:val="24"/>
          <w:highlight w:val="none"/>
          <w:lang w:eastAsia="zh-CN"/>
        </w:rPr>
        <w:t>件</w:t>
      </w:r>
      <w:r>
        <w:rPr>
          <w:rFonts w:hint="eastAsia" w:ascii="仿宋" w:hAnsi="仿宋" w:eastAsia="仿宋" w:cs="仿宋_GB2312"/>
          <w:b/>
          <w:color w:val="auto"/>
          <w:sz w:val="24"/>
          <w:highlight w:val="none"/>
        </w:rPr>
        <w:t>未按本条规定的格式编制的，投标无效；</w:t>
      </w:r>
    </w:p>
    <w:p w14:paraId="2A0C8945">
      <w:pPr>
        <w:spacing w:line="360" w:lineRule="auto"/>
        <w:ind w:firstLine="482" w:firstLineChars="20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11.1申报文件分为资格文件、商务技术文件、报价文件三部分。各遴选响应人在编制申报文件时请按照遴选文件第六部分规定的格式进行，“商务技术文件”可在遴选文件规定的格式基础上适当调整，以使内容更加完备，混乱的编排导致申报文件被误读或评标委员会查找不到有效文件是遴选响应人的风险。</w:t>
      </w:r>
    </w:p>
    <w:p w14:paraId="63BDC92B">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11.2遴选响应人进行电子投标应安装客户端软件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“乐采云电子交易客户端”，并按照遴选文件和电子交易平台的要求编制并加密申报文件。遴选响应人未按规定加密的申报文件，电子交易平台将拒收并提示。</w:t>
      </w:r>
    </w:p>
    <w:bookmarkEnd w:id="29"/>
    <w:p w14:paraId="3E26BCBD">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11.3使用“乐采云电子交易客户端”需要提前申领CA数字证书，申领流程请自行前往“浙江政府采购网-下载专区-电子交易客户端-CA驱动和申领流程”进行查阅。</w:t>
      </w:r>
    </w:p>
    <w:p w14:paraId="13AC26A2">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12.申报</w:t>
      </w:r>
      <w:r>
        <w:rPr>
          <w:rFonts w:hint="eastAsia" w:ascii="仿宋" w:hAnsi="仿宋" w:eastAsia="仿宋" w:cs="仿宋_GB2312"/>
          <w:b/>
          <w:color w:val="auto"/>
          <w:sz w:val="24"/>
          <w:highlight w:val="none"/>
          <w:lang w:eastAsia="zh-CN"/>
        </w:rPr>
        <w:t>文件</w:t>
      </w:r>
      <w:r>
        <w:rPr>
          <w:rFonts w:hint="eastAsia" w:ascii="仿宋" w:hAnsi="仿宋" w:eastAsia="仿宋" w:cs="仿宋_GB2312"/>
          <w:b/>
          <w:color w:val="auto"/>
          <w:sz w:val="24"/>
          <w:highlight w:val="none"/>
        </w:rPr>
        <w:t>的签署、盖章</w:t>
      </w:r>
    </w:p>
    <w:p w14:paraId="7A053AFB">
      <w:pPr>
        <w:pStyle w:val="39"/>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szCs w:val="24"/>
          <w:highlight w:val="none"/>
        </w:rPr>
        <w:t>12.1申报</w:t>
      </w:r>
      <w:r>
        <w:rPr>
          <w:rFonts w:hint="eastAsia" w:ascii="仿宋" w:hAnsi="仿宋" w:eastAsia="仿宋" w:cs="仿宋_GB2312"/>
          <w:color w:val="auto"/>
          <w:szCs w:val="24"/>
          <w:highlight w:val="none"/>
          <w:lang w:eastAsia="zh-CN"/>
        </w:rPr>
        <w:t>文件</w:t>
      </w:r>
      <w:r>
        <w:rPr>
          <w:rFonts w:hint="eastAsia" w:ascii="仿宋" w:hAnsi="仿宋" w:eastAsia="仿宋" w:cs="仿宋_GB2312"/>
          <w:color w:val="auto"/>
          <w:szCs w:val="24"/>
          <w:highlight w:val="none"/>
        </w:rPr>
        <w:t>按照</w:t>
      </w:r>
      <w:r>
        <w:rPr>
          <w:rFonts w:hint="eastAsia" w:ascii="仿宋" w:hAnsi="仿宋" w:eastAsia="仿宋" w:cs="仿宋_GB2312"/>
          <w:color w:val="auto"/>
          <w:szCs w:val="24"/>
          <w:highlight w:val="none"/>
          <w:lang w:eastAsia="zh-CN"/>
        </w:rPr>
        <w:t>遴选文件</w:t>
      </w:r>
      <w:r>
        <w:rPr>
          <w:rFonts w:hint="eastAsia" w:ascii="仿宋" w:hAnsi="仿宋" w:eastAsia="仿宋" w:cs="仿宋_GB2312"/>
          <w:color w:val="auto"/>
          <w:szCs w:val="24"/>
          <w:highlight w:val="none"/>
        </w:rPr>
        <w:t>第六部分格式要</w:t>
      </w:r>
      <w:r>
        <w:rPr>
          <w:rFonts w:hint="eastAsia" w:ascii="仿宋" w:hAnsi="仿宋" w:eastAsia="仿宋" w:cs="仿宋_GB2312"/>
          <w:color w:val="auto"/>
          <w:highlight w:val="none"/>
        </w:rPr>
        <w:t>求进行签署、盖章。</w:t>
      </w:r>
    </w:p>
    <w:p w14:paraId="6B50C054">
      <w:pPr>
        <w:pStyle w:val="39"/>
        <w:snapToGrid w:val="0"/>
        <w:spacing w:before="0"/>
        <w:ind w:firstLine="482"/>
        <w:rPr>
          <w:rFonts w:hint="eastAsia"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lang w:eastAsia="zh-CN"/>
        </w:rPr>
        <w:t>遴选响应人</w:t>
      </w:r>
      <w:r>
        <w:rPr>
          <w:rFonts w:hint="eastAsia" w:ascii="仿宋" w:hAnsi="仿宋" w:eastAsia="仿宋" w:cs="仿宋_GB2312"/>
          <w:b/>
          <w:color w:val="auto"/>
          <w:highlight w:val="none"/>
        </w:rPr>
        <w:t>的申报</w:t>
      </w:r>
      <w:r>
        <w:rPr>
          <w:rFonts w:hint="eastAsia" w:ascii="仿宋" w:hAnsi="仿宋" w:eastAsia="仿宋" w:cs="仿宋_GB2312"/>
          <w:b/>
          <w:color w:val="auto"/>
          <w:highlight w:val="none"/>
          <w:lang w:eastAsia="zh-CN"/>
        </w:rPr>
        <w:t>文件</w:t>
      </w:r>
      <w:r>
        <w:rPr>
          <w:rFonts w:hint="eastAsia" w:ascii="仿宋" w:hAnsi="仿宋" w:eastAsia="仿宋" w:cs="仿宋_GB2312"/>
          <w:b/>
          <w:color w:val="auto"/>
          <w:highlight w:val="none"/>
        </w:rPr>
        <w:t>未按照</w:t>
      </w:r>
      <w:r>
        <w:rPr>
          <w:rFonts w:hint="eastAsia" w:ascii="仿宋" w:hAnsi="仿宋" w:eastAsia="仿宋" w:cs="仿宋_GB2312"/>
          <w:b/>
          <w:color w:val="auto"/>
          <w:highlight w:val="none"/>
          <w:lang w:eastAsia="zh-CN"/>
        </w:rPr>
        <w:t>遴选文件</w:t>
      </w:r>
      <w:r>
        <w:rPr>
          <w:rFonts w:hint="eastAsia" w:ascii="仿宋" w:hAnsi="仿宋" w:eastAsia="仿宋" w:cs="仿宋_GB2312"/>
          <w:b/>
          <w:color w:val="auto"/>
          <w:highlight w:val="none"/>
        </w:rPr>
        <w:t>要求签署、盖章的，其投标无效</w:t>
      </w:r>
      <w:r>
        <w:rPr>
          <w:rFonts w:hint="eastAsia" w:ascii="仿宋" w:hAnsi="仿宋" w:eastAsia="仿宋" w:cs="仿宋_GB2312"/>
          <w:color w:val="auto"/>
          <w:szCs w:val="24"/>
          <w:highlight w:val="none"/>
        </w:rPr>
        <w:t>。</w:t>
      </w:r>
    </w:p>
    <w:p w14:paraId="2103044D">
      <w:pPr>
        <w:pStyle w:val="39"/>
        <w:snapToGrid w:val="0"/>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highlight w:val="none"/>
        </w:rPr>
        <w:t>12.2为确保网上操作合法、有效和安全，</w:t>
      </w:r>
      <w:r>
        <w:rPr>
          <w:rFonts w:hint="eastAsia" w:ascii="仿宋" w:hAnsi="仿宋" w:eastAsia="仿宋" w:cs="仿宋_GB2312"/>
          <w:color w:val="auto"/>
          <w:highlight w:val="none"/>
          <w:lang w:eastAsia="zh-CN"/>
        </w:rPr>
        <w:t>遴选响应人</w:t>
      </w:r>
      <w:r>
        <w:rPr>
          <w:rFonts w:hint="eastAsia" w:ascii="仿宋" w:hAnsi="仿宋" w:eastAsia="仿宋" w:cs="仿宋_GB2312"/>
          <w:color w:val="auto"/>
          <w:highlight w:val="none"/>
        </w:rPr>
        <w:t>应当在投标截止时间前完成在“政府采购云平台”的身份认证，确保在电子投标过程中能够对相关数据电文进行加密和使用电子签名。</w:t>
      </w:r>
    </w:p>
    <w:p w14:paraId="20FDF4AE">
      <w:pPr>
        <w:snapToGrid w:val="0"/>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13. 申报</w:t>
      </w:r>
      <w:r>
        <w:rPr>
          <w:rFonts w:hint="eastAsia" w:ascii="仿宋" w:hAnsi="仿宋" w:eastAsia="仿宋" w:cs="仿宋_GB2312"/>
          <w:b/>
          <w:color w:val="auto"/>
          <w:sz w:val="24"/>
          <w:highlight w:val="none"/>
          <w:lang w:eastAsia="zh-CN"/>
        </w:rPr>
        <w:t>文件</w:t>
      </w:r>
      <w:r>
        <w:rPr>
          <w:rFonts w:hint="eastAsia" w:ascii="仿宋" w:hAnsi="仿宋" w:eastAsia="仿宋" w:cs="仿宋_GB2312"/>
          <w:b/>
          <w:color w:val="auto"/>
          <w:sz w:val="24"/>
          <w:highlight w:val="none"/>
        </w:rPr>
        <w:t>的提交、补充、修改、撤回</w:t>
      </w:r>
    </w:p>
    <w:p w14:paraId="2AB3BE51">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13.1 供应商应当在投标截止时间前完成申报文件的传输递交，并可以补充、修改或者撤回申报文件。补充或者修改申报文件的，应当先行撤回原文件，补充、修改后重新传输递交。投标截止时间前未完成传输的，视为撤回申报文件。投标截止时间后递交的申报文件，电子交易平台将拒收。</w:t>
      </w:r>
    </w:p>
    <w:p w14:paraId="6E7C7CC2">
      <w:pPr>
        <w:pStyle w:val="39"/>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13.2在投标截止时间前，除供应商补充、修改或者撤回申报</w:t>
      </w:r>
      <w:r>
        <w:rPr>
          <w:rFonts w:hint="eastAsia" w:ascii="仿宋" w:hAnsi="仿宋" w:eastAsia="仿宋" w:cs="仿宋_GB2312"/>
          <w:color w:val="auto"/>
          <w:szCs w:val="24"/>
          <w:highlight w:val="none"/>
          <w:lang w:eastAsia="zh-CN"/>
        </w:rPr>
        <w:t>文件</w:t>
      </w:r>
      <w:r>
        <w:rPr>
          <w:rFonts w:hint="eastAsia" w:ascii="仿宋" w:hAnsi="仿宋" w:eastAsia="仿宋" w:cs="仿宋_GB2312"/>
          <w:color w:val="auto"/>
          <w:szCs w:val="24"/>
          <w:highlight w:val="none"/>
        </w:rPr>
        <w:t>外，任何单位和个人不得解密或提取申报</w:t>
      </w:r>
      <w:r>
        <w:rPr>
          <w:rFonts w:hint="eastAsia" w:ascii="仿宋" w:hAnsi="仿宋" w:eastAsia="仿宋" w:cs="仿宋_GB2312"/>
          <w:color w:val="auto"/>
          <w:szCs w:val="24"/>
          <w:highlight w:val="none"/>
          <w:lang w:eastAsia="zh-CN"/>
        </w:rPr>
        <w:t>文件</w:t>
      </w:r>
      <w:r>
        <w:rPr>
          <w:rFonts w:hint="eastAsia" w:ascii="仿宋" w:hAnsi="仿宋" w:eastAsia="仿宋" w:cs="仿宋_GB2312"/>
          <w:color w:val="auto"/>
          <w:szCs w:val="24"/>
          <w:highlight w:val="none"/>
        </w:rPr>
        <w:t>。</w:t>
      </w:r>
    </w:p>
    <w:p w14:paraId="4B4CE3FC">
      <w:pPr>
        <w:pStyle w:val="39"/>
        <w:spacing w:before="0"/>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13.3</w:t>
      </w:r>
      <w:r>
        <w:rPr>
          <w:rFonts w:hint="eastAsia" w:ascii="仿宋" w:hAnsi="仿宋" w:eastAsia="仿宋" w:cs="仿宋_GB2312"/>
          <w:color w:val="auto"/>
          <w:szCs w:val="24"/>
          <w:highlight w:val="none"/>
          <w:lang w:eastAsia="zh-CN"/>
        </w:rPr>
        <w:t>遴选代理单位</w:t>
      </w:r>
      <w:r>
        <w:rPr>
          <w:rFonts w:hint="eastAsia" w:ascii="仿宋" w:hAnsi="仿宋" w:eastAsia="仿宋" w:cs="仿宋_GB2312"/>
          <w:color w:val="auto"/>
          <w:szCs w:val="24"/>
          <w:highlight w:val="none"/>
        </w:rPr>
        <w:t>可以视情况延长申报</w:t>
      </w:r>
      <w:r>
        <w:rPr>
          <w:rFonts w:hint="eastAsia" w:ascii="仿宋" w:hAnsi="仿宋" w:eastAsia="仿宋" w:cs="仿宋_GB2312"/>
          <w:color w:val="auto"/>
          <w:szCs w:val="24"/>
          <w:highlight w:val="none"/>
          <w:lang w:eastAsia="zh-CN"/>
        </w:rPr>
        <w:t>文件</w:t>
      </w:r>
      <w:r>
        <w:rPr>
          <w:rFonts w:hint="eastAsia" w:ascii="仿宋" w:hAnsi="仿宋" w:eastAsia="仿宋" w:cs="仿宋_GB2312"/>
          <w:color w:val="auto"/>
          <w:szCs w:val="24"/>
          <w:highlight w:val="none"/>
        </w:rPr>
        <w:t>提交的截止时间。在上述情况下，</w:t>
      </w:r>
      <w:r>
        <w:rPr>
          <w:rFonts w:hint="eastAsia" w:ascii="仿宋" w:hAnsi="仿宋" w:eastAsia="仿宋" w:cs="仿宋_GB2312"/>
          <w:color w:val="auto"/>
          <w:szCs w:val="24"/>
          <w:highlight w:val="none"/>
          <w:lang w:eastAsia="zh-CN"/>
        </w:rPr>
        <w:t>遴选代理单位</w:t>
      </w:r>
      <w:r>
        <w:rPr>
          <w:rFonts w:hint="eastAsia" w:ascii="仿宋" w:hAnsi="仿宋" w:eastAsia="仿宋" w:cs="仿宋_GB2312"/>
          <w:color w:val="auto"/>
          <w:szCs w:val="24"/>
          <w:highlight w:val="none"/>
        </w:rPr>
        <w:t>与</w:t>
      </w:r>
      <w:r>
        <w:rPr>
          <w:rFonts w:hint="eastAsia" w:ascii="仿宋" w:hAnsi="仿宋" w:eastAsia="仿宋" w:cs="仿宋_GB2312"/>
          <w:color w:val="auto"/>
          <w:szCs w:val="24"/>
          <w:highlight w:val="none"/>
          <w:lang w:eastAsia="zh-CN"/>
        </w:rPr>
        <w:t>遴选响应人</w:t>
      </w:r>
      <w:r>
        <w:rPr>
          <w:rFonts w:hint="eastAsia" w:ascii="仿宋" w:hAnsi="仿宋" w:eastAsia="仿宋" w:cs="仿宋_GB2312"/>
          <w:color w:val="auto"/>
          <w:szCs w:val="24"/>
          <w:highlight w:val="none"/>
        </w:rPr>
        <w:t>以前在投标截止期方面的全部权利、责任和义务，将适用于延长至新的投标截止期。</w:t>
      </w:r>
    </w:p>
    <w:p w14:paraId="33B4F7E8">
      <w:pPr>
        <w:pStyle w:val="39"/>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14.申报</w:t>
      </w:r>
      <w:r>
        <w:rPr>
          <w:rFonts w:hint="eastAsia" w:ascii="仿宋" w:hAnsi="仿宋" w:eastAsia="仿宋" w:cs="仿宋_GB2312"/>
          <w:b/>
          <w:color w:val="auto"/>
          <w:szCs w:val="24"/>
          <w:highlight w:val="none"/>
          <w:lang w:eastAsia="zh-CN"/>
        </w:rPr>
        <w:t>文件</w:t>
      </w:r>
      <w:r>
        <w:rPr>
          <w:rFonts w:hint="eastAsia" w:ascii="仿宋" w:hAnsi="仿宋" w:eastAsia="仿宋" w:cs="仿宋_GB2312"/>
          <w:b/>
          <w:color w:val="auto"/>
          <w:szCs w:val="24"/>
          <w:highlight w:val="none"/>
        </w:rPr>
        <w:t>的无效处理</w:t>
      </w:r>
    </w:p>
    <w:p w14:paraId="598B2A5A">
      <w:pPr>
        <w:pStyle w:val="1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w:t>
      </w:r>
      <w:r>
        <w:rPr>
          <w:rFonts w:hint="eastAsia" w:ascii="仿宋" w:hAnsi="仿宋" w:eastAsia="仿宋" w:cs="仿宋_GB2312"/>
          <w:color w:val="auto"/>
          <w:szCs w:val="21"/>
          <w:highlight w:val="none"/>
          <w:lang w:eastAsia="zh-CN"/>
        </w:rPr>
        <w:t>遴选文件</w:t>
      </w:r>
      <w:r>
        <w:rPr>
          <w:rFonts w:hint="eastAsia" w:ascii="仿宋" w:hAnsi="仿宋" w:eastAsia="仿宋" w:cs="仿宋_GB2312"/>
          <w:color w:val="auto"/>
          <w:szCs w:val="21"/>
          <w:highlight w:val="none"/>
        </w:rPr>
        <w:t>第四部分 “投标无效”章节</w:t>
      </w:r>
      <w:r>
        <w:rPr>
          <w:rFonts w:hint="eastAsia" w:ascii="仿宋" w:hAnsi="仿宋" w:eastAsia="仿宋"/>
          <w:color w:val="auto"/>
          <w:highlight w:val="none"/>
        </w:rPr>
        <w:t>规定</w:t>
      </w:r>
      <w:r>
        <w:rPr>
          <w:rFonts w:hint="eastAsia" w:ascii="仿宋" w:hAnsi="仿宋" w:eastAsia="仿宋" w:cs="仿宋_GB2312"/>
          <w:color w:val="auto"/>
          <w:szCs w:val="21"/>
          <w:highlight w:val="none"/>
        </w:rPr>
        <w:t>的情形之一的，投标无效：</w:t>
      </w:r>
    </w:p>
    <w:p w14:paraId="3F896DA2">
      <w:pPr>
        <w:pStyle w:val="39"/>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15.投标有效期</w:t>
      </w:r>
    </w:p>
    <w:p w14:paraId="6B04F755">
      <w:pPr>
        <w:adjustRightInd w:val="0"/>
        <w:spacing w:line="360" w:lineRule="auto"/>
        <w:ind w:firstLine="480" w:firstLineChars="20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lang w:val="en-US" w:eastAsia="zh-CN"/>
        </w:rPr>
        <w:t>15.1</w:t>
      </w:r>
      <w:r>
        <w:rPr>
          <w:rFonts w:hint="eastAsia" w:ascii="仿宋" w:hAnsi="仿宋" w:eastAsia="仿宋" w:cs="仿宋_GB2312"/>
          <w:color w:val="auto"/>
          <w:sz w:val="24"/>
          <w:szCs w:val="20"/>
          <w:highlight w:val="none"/>
        </w:rPr>
        <w:t>自遴选响应截止日起45天遴选响应书应保持有效。如遴选人认为必要，可延长至总计最长不超过60天。有效期短于这个规定期限的遴选响应将被拒绝。</w:t>
      </w:r>
    </w:p>
    <w:p w14:paraId="1EBDED4B">
      <w:pPr>
        <w:spacing w:line="360" w:lineRule="auto"/>
        <w:ind w:firstLine="480" w:firstLineChars="200"/>
        <w:rPr>
          <w:rFonts w:hint="eastAsia" w:ascii="仿宋" w:hAnsi="仿宋" w:eastAsia="仿宋" w:cs="仿宋_GB2312"/>
          <w:color w:val="auto"/>
          <w:sz w:val="24"/>
          <w:szCs w:val="20"/>
          <w:highlight w:val="none"/>
          <w:lang w:val="en-US" w:eastAsia="zh-CN"/>
        </w:rPr>
      </w:pPr>
      <w:r>
        <w:rPr>
          <w:rFonts w:hint="eastAsia"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lang w:eastAsia="zh-CN"/>
        </w:rPr>
        <w:t>遴选响应人</w:t>
      </w:r>
      <w:r>
        <w:rPr>
          <w:rFonts w:hint="eastAsia" w:ascii="仿宋" w:hAnsi="仿宋" w:eastAsia="仿宋" w:cs="仿宋_GB2312"/>
          <w:b/>
          <w:color w:val="auto"/>
          <w:sz w:val="24"/>
          <w:szCs w:val="20"/>
          <w:highlight w:val="none"/>
        </w:rPr>
        <w:t>的申报</w:t>
      </w:r>
      <w:r>
        <w:rPr>
          <w:rFonts w:hint="eastAsia" w:ascii="仿宋" w:hAnsi="仿宋" w:eastAsia="仿宋" w:cs="仿宋_GB2312"/>
          <w:b/>
          <w:color w:val="auto"/>
          <w:sz w:val="24"/>
          <w:szCs w:val="20"/>
          <w:highlight w:val="none"/>
          <w:lang w:eastAsia="zh-CN"/>
        </w:rPr>
        <w:t>文件</w:t>
      </w:r>
      <w:r>
        <w:rPr>
          <w:rFonts w:hint="eastAsia" w:ascii="仿宋" w:hAnsi="仿宋" w:eastAsia="仿宋" w:cs="仿宋_GB2312"/>
          <w:b/>
          <w:color w:val="auto"/>
          <w:sz w:val="24"/>
          <w:szCs w:val="20"/>
          <w:highlight w:val="none"/>
        </w:rPr>
        <w:t>中承</w:t>
      </w:r>
      <w:r>
        <w:rPr>
          <w:rFonts w:hint="eastAsia" w:ascii="仿宋" w:hAnsi="仿宋" w:eastAsia="仿宋" w:cs="仿宋_GB2312"/>
          <w:b/>
          <w:color w:val="auto"/>
          <w:sz w:val="24"/>
          <w:szCs w:val="21"/>
          <w:highlight w:val="none"/>
        </w:rPr>
        <w:t>诺的投标有效期少于</w:t>
      </w:r>
      <w:r>
        <w:rPr>
          <w:rFonts w:hint="eastAsia" w:ascii="仿宋" w:hAnsi="仿宋" w:eastAsia="仿宋" w:cs="仿宋_GB2312"/>
          <w:b/>
          <w:color w:val="auto"/>
          <w:sz w:val="24"/>
          <w:szCs w:val="21"/>
          <w:highlight w:val="none"/>
          <w:lang w:eastAsia="zh-CN"/>
        </w:rPr>
        <w:t>遴选文件</w:t>
      </w:r>
      <w:r>
        <w:rPr>
          <w:rFonts w:hint="eastAsia" w:ascii="仿宋" w:hAnsi="仿宋" w:eastAsia="仿宋" w:cs="仿宋_GB2312"/>
          <w:b/>
          <w:color w:val="auto"/>
          <w:sz w:val="24"/>
          <w:szCs w:val="21"/>
          <w:highlight w:val="none"/>
        </w:rPr>
        <w:t>中载明的投标有效期的，投标无效。</w:t>
      </w:r>
    </w:p>
    <w:p w14:paraId="39E36530">
      <w:pPr>
        <w:adjustRightInd w:val="0"/>
        <w:spacing w:line="360" w:lineRule="auto"/>
        <w:ind w:firstLine="480" w:firstLineChars="20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lang w:val="en-US" w:eastAsia="zh-CN"/>
        </w:rPr>
        <w:t>15</w:t>
      </w:r>
      <w:r>
        <w:rPr>
          <w:rFonts w:hint="eastAsia" w:ascii="仿宋" w:hAnsi="仿宋" w:eastAsia="仿宋" w:cs="仿宋_GB2312"/>
          <w:color w:val="auto"/>
          <w:sz w:val="24"/>
          <w:szCs w:val="20"/>
          <w:highlight w:val="none"/>
        </w:rPr>
        <w:t>.2申报</w:t>
      </w:r>
      <w:r>
        <w:rPr>
          <w:rFonts w:hint="eastAsia" w:ascii="仿宋" w:hAnsi="仿宋" w:eastAsia="仿宋" w:cs="仿宋_GB2312"/>
          <w:color w:val="auto"/>
          <w:sz w:val="24"/>
          <w:szCs w:val="20"/>
          <w:highlight w:val="none"/>
          <w:lang w:eastAsia="zh-CN"/>
        </w:rPr>
        <w:t>文件</w:t>
      </w:r>
      <w:r>
        <w:rPr>
          <w:rFonts w:hint="eastAsia" w:ascii="仿宋" w:hAnsi="仿宋" w:eastAsia="仿宋" w:cs="仿宋_GB2312"/>
          <w:color w:val="auto"/>
          <w:sz w:val="24"/>
          <w:szCs w:val="20"/>
          <w:highlight w:val="none"/>
        </w:rPr>
        <w:t>合格投递后，自投标截止日期起，在投标有效期内有效。投标有效期内，</w:t>
      </w:r>
      <w:r>
        <w:rPr>
          <w:rFonts w:hint="eastAsia" w:ascii="仿宋" w:hAnsi="仿宋" w:eastAsia="仿宋" w:cs="仿宋_GB2312"/>
          <w:color w:val="auto"/>
          <w:sz w:val="24"/>
          <w:szCs w:val="20"/>
          <w:highlight w:val="none"/>
          <w:lang w:eastAsia="zh-CN"/>
        </w:rPr>
        <w:t>遴选响应人</w:t>
      </w:r>
      <w:r>
        <w:rPr>
          <w:rFonts w:hint="eastAsia" w:ascii="仿宋" w:hAnsi="仿宋" w:eastAsia="仿宋" w:cs="仿宋_GB2312"/>
          <w:color w:val="auto"/>
          <w:sz w:val="24"/>
          <w:szCs w:val="20"/>
          <w:highlight w:val="none"/>
        </w:rPr>
        <w:t>不得撤销或更换申报</w:t>
      </w:r>
      <w:r>
        <w:rPr>
          <w:rFonts w:hint="eastAsia" w:ascii="仿宋" w:hAnsi="仿宋" w:eastAsia="仿宋" w:cs="仿宋_GB2312"/>
          <w:color w:val="auto"/>
          <w:sz w:val="24"/>
          <w:szCs w:val="20"/>
          <w:highlight w:val="none"/>
          <w:lang w:eastAsia="zh-CN"/>
        </w:rPr>
        <w:t>文件</w:t>
      </w:r>
      <w:r>
        <w:rPr>
          <w:rFonts w:hint="eastAsia" w:ascii="仿宋" w:hAnsi="仿宋" w:eastAsia="仿宋" w:cs="仿宋_GB2312"/>
          <w:color w:val="auto"/>
          <w:sz w:val="24"/>
          <w:szCs w:val="20"/>
          <w:highlight w:val="none"/>
        </w:rPr>
        <w:t>。在特殊情况下，遴选人可与遴选响应人协商延长遴选响应书的有效期，这种要求和答复均以书面形式进行。</w:t>
      </w:r>
    </w:p>
    <w:p w14:paraId="08256C0E">
      <w:pPr>
        <w:pStyle w:val="39"/>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15.3在原定投标有效期满之前，如果出现特殊情况，</w:t>
      </w:r>
      <w:r>
        <w:rPr>
          <w:rFonts w:hint="eastAsia" w:ascii="仿宋" w:hAnsi="仿宋" w:eastAsia="仿宋" w:cs="仿宋_GB2312"/>
          <w:color w:val="auto"/>
          <w:highlight w:val="none"/>
          <w:lang w:eastAsia="zh-CN"/>
        </w:rPr>
        <w:t>遴选代理单位</w:t>
      </w:r>
      <w:r>
        <w:rPr>
          <w:rFonts w:hint="eastAsia" w:ascii="仿宋" w:hAnsi="仿宋" w:eastAsia="仿宋" w:cs="仿宋_GB2312"/>
          <w:color w:val="auto"/>
          <w:highlight w:val="none"/>
        </w:rPr>
        <w:t>可以以公告形式通知</w:t>
      </w:r>
      <w:r>
        <w:rPr>
          <w:rFonts w:hint="eastAsia" w:ascii="仿宋" w:hAnsi="仿宋" w:eastAsia="仿宋" w:cs="仿宋_GB2312"/>
          <w:color w:val="auto"/>
          <w:highlight w:val="none"/>
          <w:lang w:eastAsia="zh-CN"/>
        </w:rPr>
        <w:t>遴选响应人</w:t>
      </w:r>
      <w:r>
        <w:rPr>
          <w:rFonts w:hint="eastAsia" w:ascii="仿宋" w:hAnsi="仿宋" w:eastAsia="仿宋" w:cs="仿宋_GB2312"/>
          <w:color w:val="auto"/>
          <w:highlight w:val="none"/>
        </w:rPr>
        <w:t>延长投标有效期。</w:t>
      </w:r>
      <w:r>
        <w:rPr>
          <w:rFonts w:hint="eastAsia" w:ascii="仿宋" w:hAnsi="仿宋" w:eastAsia="仿宋" w:cs="仿宋_GB2312"/>
          <w:color w:val="auto"/>
          <w:highlight w:val="none"/>
          <w:lang w:eastAsia="zh-CN"/>
        </w:rPr>
        <w:t>遴选响应人</w:t>
      </w:r>
      <w:r>
        <w:rPr>
          <w:rFonts w:hint="eastAsia" w:ascii="仿宋" w:hAnsi="仿宋" w:eastAsia="仿宋" w:cs="仿宋_GB2312"/>
          <w:color w:val="auto"/>
          <w:highlight w:val="none"/>
        </w:rPr>
        <w:t>同意延长的，不得要求或被允许修改其申报</w:t>
      </w:r>
      <w:r>
        <w:rPr>
          <w:rFonts w:hint="eastAsia" w:ascii="仿宋" w:hAnsi="仿宋" w:eastAsia="仿宋" w:cs="仿宋_GB2312"/>
          <w:color w:val="auto"/>
          <w:highlight w:val="none"/>
          <w:lang w:eastAsia="zh-CN"/>
        </w:rPr>
        <w:t>文件</w:t>
      </w: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遴选响应人</w:t>
      </w:r>
      <w:r>
        <w:rPr>
          <w:rFonts w:hint="eastAsia" w:ascii="仿宋" w:hAnsi="仿宋" w:eastAsia="仿宋" w:cs="仿宋_GB2312"/>
          <w:color w:val="auto"/>
          <w:highlight w:val="none"/>
        </w:rPr>
        <w:t>拒绝延长的，其投标无效。</w:t>
      </w:r>
    </w:p>
    <w:p w14:paraId="1D01E939">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四、开标、资格审查与信用信息查询</w:t>
      </w:r>
    </w:p>
    <w:p w14:paraId="40480114">
      <w:pPr>
        <w:pStyle w:val="40"/>
        <w:spacing w:before="0" w:line="360" w:lineRule="auto"/>
        <w:ind w:left="0" w:firstLine="482" w:firstLineChars="200"/>
        <w:contextualSpacing/>
        <w:rPr>
          <w:rFonts w:ascii="仿宋_GB2312" w:eastAsia="仿宋_GB2312"/>
          <w:color w:val="auto"/>
          <w:sz w:val="24"/>
          <w:highlight w:val="none"/>
        </w:rPr>
      </w:pPr>
      <w:r>
        <w:rPr>
          <w:rFonts w:hint="eastAsia" w:ascii="仿宋" w:hAnsi="仿宋" w:eastAsia="仿宋" w:cs="仿宋_GB2312"/>
          <w:b/>
          <w:color w:val="auto"/>
          <w:sz w:val="24"/>
          <w:szCs w:val="24"/>
          <w:highlight w:val="none"/>
        </w:rPr>
        <w:t>16.开标</w:t>
      </w:r>
      <w:r>
        <w:rPr>
          <w:rFonts w:hint="eastAsia" w:ascii="仿宋_GB2312" w:eastAsia="仿宋_GB2312"/>
          <w:color w:val="auto"/>
          <w:sz w:val="24"/>
          <w:highlight w:val="none"/>
        </w:rPr>
        <w:t xml:space="preserve"> </w:t>
      </w:r>
    </w:p>
    <w:p w14:paraId="3EDDE067">
      <w:pPr>
        <w:pStyle w:val="40"/>
        <w:spacing w:before="0" w:line="360" w:lineRule="auto"/>
        <w:ind w:left="0" w:firstLine="480" w:firstLineChars="200"/>
        <w:contextualSpacing/>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16.1</w:t>
      </w:r>
      <w:r>
        <w:rPr>
          <w:rFonts w:hint="eastAsia" w:ascii="仿宋" w:hAnsi="仿宋" w:eastAsia="仿宋" w:cs="仿宋_GB2312"/>
          <w:color w:val="auto"/>
          <w:sz w:val="24"/>
          <w:highlight w:val="none"/>
          <w:lang w:eastAsia="zh-CN"/>
        </w:rPr>
        <w:t>遴选代理单位</w:t>
      </w:r>
      <w:r>
        <w:rPr>
          <w:rFonts w:hint="eastAsia" w:ascii="仿宋" w:hAnsi="仿宋" w:eastAsia="仿宋" w:cs="仿宋_GB2312"/>
          <w:color w:val="auto"/>
          <w:sz w:val="24"/>
          <w:highlight w:val="none"/>
        </w:rPr>
        <w:t>按照</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规定的时间通过电子交易平台组织开标，所有</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均应当准时在线参加</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不足3家的，不得开标。</w:t>
      </w:r>
    </w:p>
    <w:p w14:paraId="4944A4A5">
      <w:pPr>
        <w:pStyle w:val="40"/>
        <w:spacing w:before="0" w:line="360" w:lineRule="auto"/>
        <w:ind w:left="0" w:firstLine="480" w:firstLineChars="200"/>
        <w:contextualSpacing/>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16.2开标时，电子交易平台按开标时间自动提取所有</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eastAsia="zh-CN"/>
        </w:rPr>
        <w:t>遴选代理单位</w:t>
      </w:r>
      <w:r>
        <w:rPr>
          <w:rFonts w:hint="eastAsia" w:ascii="仿宋" w:hAnsi="仿宋" w:eastAsia="仿宋" w:cs="仿宋_GB2312"/>
          <w:color w:val="auto"/>
          <w:sz w:val="24"/>
          <w:highlight w:val="none"/>
        </w:rPr>
        <w:t>依托电子交易平台发起开始解密指令，</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按照平台提示和</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的规定在半小时内完成在线解密。</w:t>
      </w:r>
    </w:p>
    <w:p w14:paraId="25B02582">
      <w:pPr>
        <w:pStyle w:val="40"/>
        <w:spacing w:before="0" w:line="360" w:lineRule="auto"/>
        <w:ind w:left="0" w:firstLine="482" w:firstLineChars="200"/>
        <w:contextualSpacing/>
        <w:rPr>
          <w:rFonts w:ascii="仿宋" w:hAnsi="仿宋" w:eastAsia="仿宋" w:cs="仿宋_GB2312"/>
          <w:color w:val="auto"/>
          <w:sz w:val="24"/>
          <w:highlight w:val="none"/>
        </w:rPr>
      </w:pPr>
      <w:r>
        <w:rPr>
          <w:rFonts w:hint="eastAsia" w:ascii="仿宋" w:hAnsi="仿宋" w:eastAsia="仿宋" w:cs="仿宋_GB2312"/>
          <w:b/>
          <w:color w:val="auto"/>
          <w:sz w:val="24"/>
          <w:highlight w:val="none"/>
        </w:rPr>
        <w:t>17、资格审查</w:t>
      </w:r>
    </w:p>
    <w:p w14:paraId="3E3B5066">
      <w:pPr>
        <w:pStyle w:val="39"/>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17.1开标后，</w:t>
      </w:r>
      <w:r>
        <w:rPr>
          <w:rFonts w:hint="eastAsia" w:ascii="仿宋" w:hAnsi="仿宋" w:eastAsia="仿宋" w:cs="Arial"/>
          <w:color w:val="auto"/>
          <w:kern w:val="0"/>
          <w:szCs w:val="24"/>
          <w:highlight w:val="none"/>
          <w:lang w:eastAsia="zh-CN"/>
        </w:rPr>
        <w:t>遴选人</w:t>
      </w:r>
      <w:r>
        <w:rPr>
          <w:rFonts w:hint="eastAsia" w:ascii="仿宋" w:hAnsi="仿宋" w:eastAsia="仿宋" w:cs="Arial"/>
          <w:color w:val="auto"/>
          <w:kern w:val="0"/>
          <w:szCs w:val="24"/>
          <w:highlight w:val="none"/>
        </w:rPr>
        <w:t>或</w:t>
      </w:r>
      <w:r>
        <w:rPr>
          <w:rFonts w:hint="eastAsia" w:ascii="仿宋" w:hAnsi="仿宋" w:eastAsia="仿宋" w:cs="Arial"/>
          <w:color w:val="auto"/>
          <w:kern w:val="0"/>
          <w:szCs w:val="24"/>
          <w:highlight w:val="none"/>
          <w:lang w:eastAsia="zh-CN"/>
        </w:rPr>
        <w:t>遴选代理单位</w:t>
      </w:r>
      <w:r>
        <w:rPr>
          <w:rFonts w:hint="eastAsia" w:ascii="仿宋" w:hAnsi="仿宋" w:eastAsia="仿宋" w:cs="Arial"/>
          <w:color w:val="auto"/>
          <w:kern w:val="0"/>
          <w:szCs w:val="24"/>
          <w:highlight w:val="none"/>
        </w:rPr>
        <w:t>将依法对</w:t>
      </w:r>
      <w:r>
        <w:rPr>
          <w:rFonts w:hint="eastAsia" w:ascii="仿宋" w:hAnsi="仿宋" w:eastAsia="仿宋" w:cs="Arial"/>
          <w:color w:val="auto"/>
          <w:kern w:val="0"/>
          <w:szCs w:val="24"/>
          <w:highlight w:val="none"/>
          <w:lang w:eastAsia="zh-CN"/>
        </w:rPr>
        <w:t>遴选响应人</w:t>
      </w:r>
      <w:r>
        <w:rPr>
          <w:rFonts w:hint="eastAsia" w:ascii="仿宋" w:hAnsi="仿宋" w:eastAsia="仿宋" w:cs="Arial"/>
          <w:color w:val="auto"/>
          <w:kern w:val="0"/>
          <w:szCs w:val="24"/>
          <w:highlight w:val="none"/>
        </w:rPr>
        <w:t>的资格进行审查。</w:t>
      </w:r>
    </w:p>
    <w:p w14:paraId="498924B0">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17.2</w:t>
      </w:r>
      <w:r>
        <w:rPr>
          <w:rFonts w:hint="eastAsia" w:ascii="仿宋" w:hAnsi="仿宋" w:eastAsia="仿宋" w:cs="仿宋_GB2312"/>
          <w:color w:val="auto"/>
          <w:sz w:val="24"/>
          <w:highlight w:val="none"/>
          <w:lang w:eastAsia="zh-CN"/>
        </w:rPr>
        <w:t>遴选人</w:t>
      </w:r>
      <w:r>
        <w:rPr>
          <w:rFonts w:hint="eastAsia" w:ascii="仿宋" w:hAnsi="仿宋" w:eastAsia="仿宋" w:cs="仿宋_GB2312"/>
          <w:color w:val="auto"/>
          <w:sz w:val="24"/>
          <w:highlight w:val="none"/>
        </w:rPr>
        <w:t>或</w:t>
      </w:r>
      <w:r>
        <w:rPr>
          <w:rFonts w:hint="eastAsia" w:ascii="仿宋" w:hAnsi="仿宋" w:eastAsia="仿宋" w:cs="仿宋_GB2312"/>
          <w:color w:val="auto"/>
          <w:sz w:val="24"/>
          <w:highlight w:val="none"/>
          <w:lang w:eastAsia="zh-CN"/>
        </w:rPr>
        <w:t>遴选代理单位</w:t>
      </w:r>
      <w:r>
        <w:rPr>
          <w:rFonts w:hint="eastAsia" w:ascii="仿宋" w:hAnsi="仿宋" w:eastAsia="仿宋" w:cs="仿宋_GB2312"/>
          <w:color w:val="auto"/>
          <w:sz w:val="24"/>
          <w:highlight w:val="none"/>
        </w:rPr>
        <w:t>依据法律法规和</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的规定，对</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的基本资格条件、特定资格条件进行审查。</w:t>
      </w:r>
    </w:p>
    <w:p w14:paraId="64EAE298">
      <w:pPr>
        <w:pStyle w:val="39"/>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17.3</w:t>
      </w:r>
      <w:r>
        <w:rPr>
          <w:rFonts w:hint="eastAsia" w:ascii="仿宋" w:hAnsi="仿宋" w:eastAsia="仿宋" w:cs="Arial"/>
          <w:color w:val="auto"/>
          <w:kern w:val="0"/>
          <w:szCs w:val="24"/>
          <w:highlight w:val="none"/>
          <w:lang w:eastAsia="zh-CN"/>
        </w:rPr>
        <w:t>遴选响应人</w:t>
      </w:r>
      <w:r>
        <w:rPr>
          <w:rFonts w:hint="eastAsia" w:ascii="仿宋" w:hAnsi="仿宋" w:eastAsia="仿宋" w:cs="Arial"/>
          <w:color w:val="auto"/>
          <w:kern w:val="0"/>
          <w:szCs w:val="24"/>
          <w:highlight w:val="none"/>
        </w:rPr>
        <w:t>未按照</w:t>
      </w:r>
      <w:r>
        <w:rPr>
          <w:rFonts w:hint="eastAsia" w:ascii="仿宋" w:hAnsi="仿宋" w:eastAsia="仿宋" w:cs="Arial"/>
          <w:color w:val="auto"/>
          <w:kern w:val="0"/>
          <w:szCs w:val="24"/>
          <w:highlight w:val="none"/>
          <w:lang w:eastAsia="zh-CN"/>
        </w:rPr>
        <w:t>遴选文件</w:t>
      </w:r>
      <w:r>
        <w:rPr>
          <w:rFonts w:hint="eastAsia" w:ascii="仿宋" w:hAnsi="仿宋" w:eastAsia="仿宋" w:cs="Arial"/>
          <w:color w:val="auto"/>
          <w:kern w:val="0"/>
          <w:szCs w:val="24"/>
          <w:highlight w:val="none"/>
        </w:rPr>
        <w:t>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lang w:eastAsia="zh-CN"/>
        </w:rPr>
        <w:t>遴选响应人</w:t>
      </w:r>
      <w:r>
        <w:rPr>
          <w:rFonts w:hint="eastAsia" w:ascii="仿宋" w:hAnsi="仿宋" w:eastAsia="仿宋" w:cs="仿宋_GB2312"/>
          <w:color w:val="auto"/>
          <w:highlight w:val="none"/>
        </w:rPr>
        <w:t>不具备</w:t>
      </w:r>
      <w:r>
        <w:rPr>
          <w:rFonts w:hint="eastAsia" w:ascii="仿宋" w:hAnsi="仿宋" w:eastAsia="仿宋" w:cs="仿宋_GB2312"/>
          <w:color w:val="auto"/>
          <w:highlight w:val="none"/>
          <w:lang w:eastAsia="zh-CN"/>
        </w:rPr>
        <w:t>遴选文件</w:t>
      </w:r>
      <w:r>
        <w:rPr>
          <w:rFonts w:hint="eastAsia" w:ascii="仿宋" w:hAnsi="仿宋" w:eastAsia="仿宋" w:cs="仿宋_GB2312"/>
          <w:color w:val="auto"/>
          <w:highlight w:val="none"/>
        </w:rPr>
        <w:t>中规定的资格要求，其投标无效。</w:t>
      </w:r>
    </w:p>
    <w:p w14:paraId="60E71C4D">
      <w:pPr>
        <w:pStyle w:val="39"/>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17.4对未通过资格审查的</w:t>
      </w:r>
      <w:r>
        <w:rPr>
          <w:rFonts w:hint="eastAsia" w:ascii="仿宋" w:hAnsi="仿宋" w:eastAsia="仿宋" w:cs="仿宋_GB2312"/>
          <w:color w:val="auto"/>
          <w:highlight w:val="none"/>
          <w:lang w:eastAsia="zh-CN"/>
        </w:rPr>
        <w:t>遴选响应人</w:t>
      </w: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遴选人</w:t>
      </w:r>
      <w:r>
        <w:rPr>
          <w:rFonts w:hint="eastAsia" w:ascii="仿宋" w:hAnsi="仿宋" w:eastAsia="仿宋" w:cs="仿宋_GB2312"/>
          <w:color w:val="auto"/>
          <w:highlight w:val="none"/>
        </w:rPr>
        <w:t>或</w:t>
      </w:r>
      <w:r>
        <w:rPr>
          <w:rFonts w:hint="eastAsia" w:ascii="仿宋" w:hAnsi="仿宋" w:eastAsia="仿宋" w:cs="仿宋_GB2312"/>
          <w:color w:val="auto"/>
          <w:highlight w:val="none"/>
          <w:lang w:eastAsia="zh-CN"/>
        </w:rPr>
        <w:t>遴选代理单位</w:t>
      </w:r>
      <w:r>
        <w:rPr>
          <w:rFonts w:hint="eastAsia" w:ascii="仿宋" w:hAnsi="仿宋" w:eastAsia="仿宋" w:cs="仿宋_GB2312"/>
          <w:color w:val="auto"/>
          <w:highlight w:val="none"/>
        </w:rPr>
        <w:t>告知其未通过的原因。</w:t>
      </w:r>
    </w:p>
    <w:p w14:paraId="6FA3010A">
      <w:pPr>
        <w:pStyle w:val="39"/>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17.5合格</w:t>
      </w:r>
      <w:r>
        <w:rPr>
          <w:rFonts w:hint="eastAsia" w:ascii="仿宋" w:hAnsi="仿宋" w:eastAsia="仿宋" w:cs="仿宋_GB2312"/>
          <w:color w:val="auto"/>
          <w:highlight w:val="none"/>
          <w:lang w:eastAsia="zh-CN"/>
        </w:rPr>
        <w:t>遴选响应人</w:t>
      </w:r>
      <w:r>
        <w:rPr>
          <w:rFonts w:hint="eastAsia" w:ascii="仿宋" w:hAnsi="仿宋" w:eastAsia="仿宋" w:cs="仿宋_GB2312"/>
          <w:color w:val="auto"/>
          <w:highlight w:val="none"/>
        </w:rPr>
        <w:t>不足3家的，不再评标。</w:t>
      </w:r>
    </w:p>
    <w:p w14:paraId="2F9DEABD">
      <w:pPr>
        <w:pStyle w:val="39"/>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18、信用信息查询</w:t>
      </w:r>
    </w:p>
    <w:p w14:paraId="4217E3E0">
      <w:pPr>
        <w:pStyle w:val="39"/>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18.1信用信息查询渠道及截止时间：</w:t>
      </w:r>
      <w:r>
        <w:rPr>
          <w:rFonts w:hint="eastAsia" w:ascii="仿宋" w:hAnsi="仿宋" w:eastAsia="仿宋" w:cs="Arial"/>
          <w:color w:val="auto"/>
          <w:kern w:val="0"/>
          <w:szCs w:val="24"/>
          <w:highlight w:val="none"/>
          <w:lang w:eastAsia="zh-CN"/>
        </w:rPr>
        <w:t>遴选人</w:t>
      </w:r>
      <w:r>
        <w:rPr>
          <w:rFonts w:hint="eastAsia" w:ascii="仿宋" w:hAnsi="仿宋" w:eastAsia="仿宋" w:cs="Arial"/>
          <w:color w:val="auto"/>
          <w:kern w:val="0"/>
          <w:szCs w:val="24"/>
          <w:highlight w:val="none"/>
        </w:rPr>
        <w:t>或</w:t>
      </w:r>
      <w:r>
        <w:rPr>
          <w:rFonts w:hint="eastAsia" w:ascii="仿宋" w:hAnsi="仿宋" w:eastAsia="仿宋" w:cs="Arial"/>
          <w:color w:val="auto"/>
          <w:kern w:val="0"/>
          <w:szCs w:val="24"/>
          <w:highlight w:val="none"/>
          <w:lang w:eastAsia="zh-CN"/>
        </w:rPr>
        <w:t>遴选代理单位</w:t>
      </w:r>
      <w:r>
        <w:rPr>
          <w:rFonts w:hint="eastAsia" w:ascii="仿宋" w:hAnsi="仿宋" w:eastAsia="仿宋" w:cs="Arial"/>
          <w:color w:val="auto"/>
          <w:kern w:val="0"/>
          <w:szCs w:val="24"/>
          <w:highlight w:val="none"/>
        </w:rPr>
        <w:t>将通过“信用中国”网站(www.creditchina.gov.cn)、中国政府采购网(www.ccgp.gov.cn)渠道查询</w:t>
      </w:r>
      <w:r>
        <w:rPr>
          <w:rFonts w:hint="eastAsia" w:ascii="仿宋" w:hAnsi="仿宋" w:eastAsia="仿宋" w:cs="Arial"/>
          <w:color w:val="auto"/>
          <w:kern w:val="0"/>
          <w:szCs w:val="24"/>
          <w:highlight w:val="none"/>
          <w:lang w:eastAsia="zh-CN"/>
        </w:rPr>
        <w:t>遴选响应人</w:t>
      </w:r>
      <w:r>
        <w:rPr>
          <w:rFonts w:hint="eastAsia" w:ascii="仿宋" w:hAnsi="仿宋" w:eastAsia="仿宋" w:cs="Arial"/>
          <w:color w:val="auto"/>
          <w:kern w:val="0"/>
          <w:szCs w:val="24"/>
          <w:highlight w:val="none"/>
        </w:rPr>
        <w:t>投标截止时间当天的信用记录。</w:t>
      </w:r>
    </w:p>
    <w:p w14:paraId="16C8375C">
      <w:pPr>
        <w:pStyle w:val="39"/>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18.2信用信息查询记录和证据留存的具体方式：现场查询的</w:t>
      </w:r>
      <w:r>
        <w:rPr>
          <w:rFonts w:hint="eastAsia" w:ascii="仿宋" w:hAnsi="仿宋" w:eastAsia="仿宋" w:cs="Arial"/>
          <w:color w:val="auto"/>
          <w:kern w:val="0"/>
          <w:szCs w:val="24"/>
          <w:highlight w:val="none"/>
          <w:lang w:eastAsia="zh-CN"/>
        </w:rPr>
        <w:t>遴选响应人</w:t>
      </w:r>
      <w:r>
        <w:rPr>
          <w:rFonts w:hint="eastAsia" w:ascii="仿宋" w:hAnsi="仿宋" w:eastAsia="仿宋" w:cs="Arial"/>
          <w:color w:val="auto"/>
          <w:kern w:val="0"/>
          <w:szCs w:val="24"/>
          <w:highlight w:val="none"/>
        </w:rPr>
        <w:t>的信用记录、查询结果经确认后将与</w:t>
      </w:r>
      <w:r>
        <w:rPr>
          <w:rFonts w:hint="eastAsia" w:ascii="仿宋" w:hAnsi="仿宋" w:eastAsia="仿宋" w:cs="Arial"/>
          <w:color w:val="auto"/>
          <w:kern w:val="0"/>
          <w:szCs w:val="24"/>
          <w:highlight w:val="none"/>
          <w:lang w:eastAsia="zh-CN"/>
        </w:rPr>
        <w:t>遴选文件</w:t>
      </w:r>
      <w:r>
        <w:rPr>
          <w:rFonts w:hint="eastAsia" w:ascii="仿宋" w:hAnsi="仿宋" w:eastAsia="仿宋" w:cs="Arial"/>
          <w:color w:val="auto"/>
          <w:kern w:val="0"/>
          <w:szCs w:val="24"/>
          <w:highlight w:val="none"/>
        </w:rPr>
        <w:t>一起存档。</w:t>
      </w:r>
    </w:p>
    <w:p w14:paraId="6A0D2A28">
      <w:pPr>
        <w:pStyle w:val="39"/>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18.3信用信息的使用规则：经查询列入失信被执行人名单、重大税收违法案件当事人名单、政府采购严重违法失信行为记录名单的</w:t>
      </w:r>
      <w:r>
        <w:rPr>
          <w:rFonts w:hint="eastAsia" w:ascii="仿宋" w:hAnsi="仿宋" w:eastAsia="仿宋" w:cs="Arial"/>
          <w:color w:val="auto"/>
          <w:kern w:val="0"/>
          <w:szCs w:val="24"/>
          <w:highlight w:val="none"/>
          <w:lang w:eastAsia="zh-CN"/>
        </w:rPr>
        <w:t>遴选响应人</w:t>
      </w:r>
      <w:r>
        <w:rPr>
          <w:rFonts w:hint="eastAsia" w:ascii="仿宋" w:hAnsi="仿宋" w:eastAsia="仿宋" w:cs="Arial"/>
          <w:color w:val="auto"/>
          <w:kern w:val="0"/>
          <w:szCs w:val="24"/>
          <w:highlight w:val="none"/>
        </w:rPr>
        <w:t>将被拒绝参与国企采购活动。</w:t>
      </w:r>
    </w:p>
    <w:p w14:paraId="65033358">
      <w:pPr>
        <w:pStyle w:val="39"/>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18.4联合体信用信息查询：两个以上的自然人、法人或者其他组织组成一个联合体，以一个供应商的身份共同参加国企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14:paraId="231C09F7">
      <w:pPr>
        <w:adjustRightInd/>
        <w:spacing w:line="360" w:lineRule="auto"/>
        <w:jc w:val="center"/>
        <w:outlineLvl w:val="0"/>
        <w:rPr>
          <w:rFonts w:hint="eastAsia" w:ascii="仿宋" w:hAnsi="仿宋" w:eastAsia="仿宋" w:cs="仿宋_GB2312"/>
          <w:b/>
          <w:color w:val="auto"/>
          <w:sz w:val="32"/>
          <w:szCs w:val="20"/>
          <w:highlight w:val="none"/>
        </w:rPr>
      </w:pPr>
      <w:bookmarkStart w:id="30" w:name="_Toc91899902"/>
    </w:p>
    <w:p w14:paraId="7C8ED7CE">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五、评标</w:t>
      </w:r>
      <w:bookmarkEnd w:id="30"/>
    </w:p>
    <w:p w14:paraId="2786D0B2">
      <w:pPr>
        <w:widowControl/>
        <w:snapToGrid w:val="0"/>
        <w:spacing w:line="440" w:lineRule="exact"/>
        <w:ind w:firstLine="482" w:firstLineChars="200"/>
        <w:rPr>
          <w:b/>
          <w:color w:val="auto"/>
          <w:sz w:val="24"/>
          <w:highlight w:val="none"/>
        </w:rPr>
      </w:pPr>
      <w:r>
        <w:rPr>
          <w:rFonts w:hint="eastAsia" w:ascii="仿宋" w:hAnsi="仿宋" w:eastAsia="仿宋" w:cs="仿宋_GB2312"/>
          <w:b/>
          <w:color w:val="auto"/>
          <w:sz w:val="24"/>
          <w:highlight w:val="none"/>
        </w:rPr>
        <w:t>19.</w:t>
      </w:r>
      <w:r>
        <w:rPr>
          <w:rFonts w:hint="eastAsia" w:ascii="仿宋" w:hAnsi="仿宋" w:eastAsia="仿宋" w:cs="仿宋_GB2312"/>
          <w:color w:val="auto"/>
          <w:sz w:val="24"/>
          <w:highlight w:val="none"/>
        </w:rPr>
        <w:t>详见</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第四部分“评标方法及评分标准”。</w:t>
      </w:r>
    </w:p>
    <w:p w14:paraId="4B5A68C1">
      <w:pPr>
        <w:adjustRightInd/>
        <w:spacing w:line="360" w:lineRule="auto"/>
        <w:jc w:val="center"/>
        <w:outlineLvl w:val="0"/>
        <w:rPr>
          <w:rFonts w:hint="eastAsia" w:ascii="仿宋" w:hAnsi="仿宋" w:eastAsia="仿宋" w:cs="仿宋_GB2312"/>
          <w:b/>
          <w:color w:val="auto"/>
          <w:sz w:val="32"/>
          <w:szCs w:val="20"/>
          <w:highlight w:val="none"/>
        </w:rPr>
      </w:pPr>
    </w:p>
    <w:p w14:paraId="24E02ADE">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六、定标</w:t>
      </w:r>
    </w:p>
    <w:p w14:paraId="7FCA4B3B">
      <w:pPr>
        <w:pStyle w:val="10"/>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20. 确定中标供应商</w:t>
      </w:r>
    </w:p>
    <w:p w14:paraId="4972608B">
      <w:pPr>
        <w:pStyle w:val="39"/>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lang w:eastAsia="zh-CN"/>
        </w:rPr>
        <w:t>遴选代理单位</w:t>
      </w:r>
      <w:r>
        <w:rPr>
          <w:rFonts w:hint="eastAsia" w:ascii="仿宋" w:hAnsi="仿宋" w:eastAsia="仿宋" w:cs="仿宋_GB2312"/>
          <w:color w:val="auto"/>
          <w:szCs w:val="24"/>
          <w:highlight w:val="none"/>
        </w:rPr>
        <w:t>将自评审结束之日起2个工作日内将评审报告送交</w:t>
      </w:r>
      <w:r>
        <w:rPr>
          <w:rFonts w:hint="eastAsia" w:ascii="仿宋" w:hAnsi="仿宋" w:eastAsia="仿宋" w:cs="仿宋_GB2312"/>
          <w:color w:val="auto"/>
          <w:szCs w:val="24"/>
          <w:highlight w:val="none"/>
          <w:lang w:eastAsia="zh-CN"/>
        </w:rPr>
        <w:t>遴选人</w:t>
      </w:r>
      <w:r>
        <w:rPr>
          <w:rFonts w:hint="eastAsia" w:ascii="仿宋" w:hAnsi="仿宋" w:eastAsia="仿宋" w:cs="仿宋_GB2312"/>
          <w:color w:val="auto"/>
          <w:szCs w:val="24"/>
          <w:highlight w:val="none"/>
        </w:rPr>
        <w:t>。</w:t>
      </w:r>
      <w:r>
        <w:rPr>
          <w:rFonts w:hint="eastAsia" w:ascii="仿宋" w:hAnsi="仿宋" w:eastAsia="仿宋" w:cs="仿宋_GB2312"/>
          <w:color w:val="auto"/>
          <w:szCs w:val="24"/>
          <w:highlight w:val="none"/>
          <w:lang w:eastAsia="zh-CN"/>
        </w:rPr>
        <w:t>遴选人</w:t>
      </w:r>
      <w:r>
        <w:rPr>
          <w:rFonts w:hint="eastAsia" w:ascii="仿宋" w:hAnsi="仿宋" w:eastAsia="仿宋" w:cs="仿宋_GB2312"/>
          <w:color w:val="auto"/>
          <w:szCs w:val="24"/>
          <w:highlight w:val="none"/>
        </w:rPr>
        <w:t>将自收到评审报告之日起5个工作日内在评审报告推荐的中标候选人中按顺序确定中标供应商。</w:t>
      </w:r>
    </w:p>
    <w:p w14:paraId="6B979170">
      <w:pPr>
        <w:pStyle w:val="39"/>
        <w:snapToGrid w:val="0"/>
        <w:spacing w:before="0"/>
        <w:ind w:firstLine="482"/>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21. 中标通知书与中标结果公告</w:t>
      </w:r>
    </w:p>
    <w:p w14:paraId="006B6C4C">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21.1</w:t>
      </w:r>
      <w:r>
        <w:rPr>
          <w:rFonts w:hint="eastAsia" w:ascii="仿宋" w:hAnsi="仿宋" w:eastAsia="仿宋" w:cs="仿宋_GB2312"/>
          <w:color w:val="auto"/>
          <w:sz w:val="24"/>
          <w:highlight w:val="none"/>
          <w:lang w:eastAsia="zh-CN"/>
        </w:rPr>
        <w:t>遴选代理单位</w:t>
      </w:r>
      <w:r>
        <w:rPr>
          <w:rFonts w:hint="eastAsia" w:ascii="仿宋" w:hAnsi="仿宋" w:eastAsia="仿宋" w:cs="仿宋_GB2312"/>
          <w:color w:val="auto"/>
          <w:sz w:val="24"/>
          <w:highlight w:val="none"/>
        </w:rPr>
        <w:t>将在自中标人确定之日起2个工作日内，发布招标公告的网站上公告中标结果，同时发出中标通知书。</w:t>
      </w:r>
    </w:p>
    <w:p w14:paraId="1C35B9C7">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21.2</w:t>
      </w:r>
      <w:r>
        <w:rPr>
          <w:rFonts w:ascii="仿宋" w:hAnsi="仿宋" w:eastAsia="仿宋" w:cs="仿宋_GB2312"/>
          <w:color w:val="auto"/>
          <w:sz w:val="24"/>
          <w:highlight w:val="none"/>
        </w:rPr>
        <w:t>中标结果公告内容包括</w:t>
      </w:r>
      <w:r>
        <w:rPr>
          <w:rFonts w:hint="eastAsia" w:ascii="仿宋" w:hAnsi="仿宋" w:eastAsia="仿宋" w:cs="仿宋_GB2312"/>
          <w:color w:val="auto"/>
          <w:sz w:val="24"/>
          <w:highlight w:val="none"/>
          <w:lang w:eastAsia="zh-CN"/>
        </w:rPr>
        <w:t>遴选人</w:t>
      </w:r>
      <w:r>
        <w:rPr>
          <w:rFonts w:ascii="仿宋" w:hAnsi="仿宋" w:eastAsia="仿宋" w:cs="仿宋_GB2312"/>
          <w:color w:val="auto"/>
          <w:sz w:val="24"/>
          <w:highlight w:val="none"/>
        </w:rPr>
        <w:t>及其委托的</w:t>
      </w:r>
      <w:r>
        <w:rPr>
          <w:rFonts w:hint="eastAsia" w:ascii="仿宋" w:hAnsi="仿宋" w:eastAsia="仿宋" w:cs="仿宋_GB2312"/>
          <w:color w:val="auto"/>
          <w:sz w:val="24"/>
          <w:highlight w:val="none"/>
          <w:lang w:eastAsia="zh-CN"/>
        </w:rPr>
        <w:t>遴选代理单位</w:t>
      </w:r>
      <w:r>
        <w:rPr>
          <w:rFonts w:ascii="仿宋" w:hAnsi="仿宋" w:eastAsia="仿宋" w:cs="仿宋_GB2312"/>
          <w:color w:val="auto"/>
          <w:sz w:val="24"/>
          <w:highlight w:val="none"/>
        </w:rPr>
        <w:t>的名称、地址、联系方式，项目名称和项目编号，中标人名称、地址和中标金额，主要中标标的的名称、规格型号、数量、单价、服务要求，中标公告期限以及评审专家名单。</w:t>
      </w:r>
    </w:p>
    <w:p w14:paraId="41DDFBD9">
      <w:pPr>
        <w:widowControl/>
        <w:shd w:val="clear" w:color="auto" w:fill="FFFFFF"/>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21.3</w:t>
      </w:r>
      <w:r>
        <w:rPr>
          <w:rFonts w:ascii="仿宋" w:hAnsi="仿宋" w:eastAsia="仿宋" w:cs="仿宋_GB2312"/>
          <w:color w:val="auto"/>
          <w:sz w:val="24"/>
          <w:highlight w:val="none"/>
        </w:rPr>
        <w:t>公告期限为1个工作日。</w:t>
      </w:r>
    </w:p>
    <w:p w14:paraId="7EE03FBD">
      <w:pPr>
        <w:adjustRightInd/>
        <w:spacing w:line="360" w:lineRule="auto"/>
        <w:jc w:val="center"/>
        <w:outlineLvl w:val="0"/>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ascii="仿宋" w:hAnsi="仿宋" w:eastAsia="仿宋" w:cs="仿宋_GB2312"/>
          <w:b/>
          <w:color w:val="auto"/>
          <w:sz w:val="32"/>
          <w:szCs w:val="20"/>
          <w:highlight w:val="none"/>
        </w:rPr>
        <w:t>电子</w:t>
      </w:r>
      <w:r>
        <w:rPr>
          <w:rFonts w:hint="eastAsia" w:ascii="仿宋" w:hAnsi="仿宋" w:eastAsia="仿宋" w:cs="仿宋_GB2312"/>
          <w:b/>
          <w:color w:val="auto"/>
          <w:sz w:val="32"/>
          <w:szCs w:val="20"/>
          <w:highlight w:val="none"/>
        </w:rPr>
        <w:t>交易活动的中止</w:t>
      </w:r>
    </w:p>
    <w:p w14:paraId="3366AAA5">
      <w:pPr>
        <w:pStyle w:val="39"/>
        <w:snapToGrid w:val="0"/>
        <w:spacing w:before="0"/>
        <w:ind w:firstLine="482"/>
        <w:rPr>
          <w:rFonts w:ascii="仿宋" w:hAnsi="仿宋" w:eastAsia="仿宋" w:cs="仿宋_GB2312"/>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szCs w:val="24"/>
          <w:highlight w:val="none"/>
        </w:rPr>
        <w:t>2. 电子交易活动的中止。</w:t>
      </w: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lang w:eastAsia="zh-CN"/>
        </w:rPr>
        <w:t>遴选代理单位</w:t>
      </w:r>
      <w:r>
        <w:rPr>
          <w:rFonts w:hint="eastAsia" w:ascii="仿宋" w:hAnsi="仿宋" w:eastAsia="仿宋" w:cs="仿宋_GB2312"/>
          <w:color w:val="auto"/>
          <w:highlight w:val="none"/>
        </w:rPr>
        <w:t>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14:paraId="527645D8">
      <w:pPr>
        <w:pStyle w:val="39"/>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 xml:space="preserve">访问的； </w:t>
      </w:r>
    </w:p>
    <w:p w14:paraId="7AF429F4">
      <w:pPr>
        <w:pStyle w:val="39"/>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r>
        <w:rPr>
          <w:rFonts w:ascii="仿宋" w:hAnsi="仿宋" w:eastAsia="仿宋" w:cs="仿宋_GB2312"/>
          <w:color w:val="auto"/>
          <w:highlight w:val="none"/>
        </w:rPr>
        <w:t>；</w:t>
      </w:r>
    </w:p>
    <w:p w14:paraId="48EE718E">
      <w:pPr>
        <w:pStyle w:val="39"/>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14:paraId="71941619">
      <w:pPr>
        <w:pStyle w:val="39"/>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22.4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 xml:space="preserve">正常操作的； </w:t>
      </w:r>
    </w:p>
    <w:p w14:paraId="192B6621">
      <w:pPr>
        <w:pStyle w:val="39"/>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22.5其他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14:paraId="50EAF857">
      <w:pPr>
        <w:pStyle w:val="39"/>
        <w:snapToGrid w:val="0"/>
        <w:spacing w:before="0"/>
        <w:ind w:firstLine="480"/>
        <w:rPr>
          <w:rFonts w:hint="eastAsia" w:ascii="仿宋" w:hAnsi="仿宋" w:eastAsia="仿宋" w:cs="仿宋_GB2312"/>
          <w:color w:val="auto"/>
          <w:highlight w:val="none"/>
        </w:rPr>
      </w:pPr>
      <w:r>
        <w:rPr>
          <w:rFonts w:ascii="仿宋" w:hAnsi="仿宋" w:eastAsia="仿宋" w:cs="仿宋_GB2312"/>
          <w:color w:val="auto"/>
          <w:highlight w:val="none"/>
        </w:rPr>
        <w:t>出现</w:t>
      </w:r>
      <w:r>
        <w:rPr>
          <w:rFonts w:hint="eastAsia" w:ascii="仿宋" w:hAnsi="仿宋" w:eastAsia="仿宋" w:cs="仿宋_GB2312"/>
          <w:color w:val="auto"/>
          <w:highlight w:val="none"/>
        </w:rPr>
        <w:t>以上情形</w:t>
      </w:r>
      <w:r>
        <w:rPr>
          <w:rFonts w:ascii="仿宋" w:hAnsi="仿宋" w:eastAsia="仿宋" w:cs="仿宋_GB2312"/>
          <w:color w:val="auto"/>
          <w:highlight w:val="none"/>
        </w:rPr>
        <w:t>，</w:t>
      </w:r>
      <w:r>
        <w:rPr>
          <w:rFonts w:hint="eastAsia" w:ascii="仿宋" w:hAnsi="仿宋" w:eastAsia="仿宋" w:cs="仿宋_GB2312"/>
          <w:color w:val="auto"/>
          <w:highlight w:val="none"/>
        </w:rPr>
        <w:t>不影响采购公平、公正性的，采购组织机构可以</w:t>
      </w:r>
      <w:r>
        <w:rPr>
          <w:rFonts w:ascii="仿宋" w:hAnsi="仿宋" w:eastAsia="仿宋" w:cs="仿宋_GB2312"/>
          <w:color w:val="auto"/>
          <w:highlight w:val="none"/>
        </w:rPr>
        <w:t>待上述情形消除后继续</w:t>
      </w:r>
      <w:r>
        <w:rPr>
          <w:rFonts w:hint="eastAsia" w:ascii="仿宋" w:hAnsi="仿宋" w:eastAsia="仿宋" w:cs="仿宋_GB2312"/>
          <w:color w:val="auto"/>
          <w:highlight w:val="none"/>
        </w:rPr>
        <w:t>组织电子交易</w:t>
      </w:r>
      <w:r>
        <w:rPr>
          <w:rFonts w:ascii="仿宋" w:hAnsi="仿宋" w:eastAsia="仿宋" w:cs="仿宋_GB2312"/>
          <w:color w:val="auto"/>
          <w:highlight w:val="none"/>
        </w:rPr>
        <w:t>活动</w:t>
      </w:r>
      <w:r>
        <w:rPr>
          <w:rFonts w:hint="eastAsia" w:ascii="仿宋" w:hAnsi="仿宋" w:eastAsia="仿宋" w:cs="仿宋_GB2312"/>
          <w:color w:val="auto"/>
          <w:highlight w:val="none"/>
        </w:rPr>
        <w:t>，也可以决定某些环节以纸质形式进行；影响或可能影响</w:t>
      </w:r>
      <w:r>
        <w:rPr>
          <w:rFonts w:ascii="仿宋" w:hAnsi="仿宋" w:eastAsia="仿宋" w:cs="仿宋_GB2312"/>
          <w:color w:val="auto"/>
          <w:highlight w:val="none"/>
        </w:rPr>
        <w:t>采购公平、公正</w:t>
      </w:r>
      <w:r>
        <w:rPr>
          <w:rFonts w:hint="eastAsia" w:ascii="仿宋" w:hAnsi="仿宋" w:eastAsia="仿宋" w:cs="仿宋_GB2312"/>
          <w:color w:val="auto"/>
          <w:highlight w:val="none"/>
        </w:rPr>
        <w:t>性</w:t>
      </w:r>
      <w:r>
        <w:rPr>
          <w:rFonts w:ascii="仿宋" w:hAnsi="仿宋" w:eastAsia="仿宋" w:cs="仿宋_GB2312"/>
          <w:color w:val="auto"/>
          <w:highlight w:val="none"/>
        </w:rPr>
        <w:t>的，</w:t>
      </w:r>
      <w:r>
        <w:rPr>
          <w:rFonts w:hint="eastAsia" w:ascii="仿宋" w:hAnsi="仿宋" w:eastAsia="仿宋" w:cs="仿宋_GB2312"/>
          <w:color w:val="auto"/>
          <w:highlight w:val="none"/>
        </w:rPr>
        <w:t>应当重新采购</w:t>
      </w:r>
      <w:r>
        <w:rPr>
          <w:rFonts w:ascii="仿宋" w:hAnsi="仿宋" w:eastAsia="仿宋" w:cs="仿宋_GB2312"/>
          <w:color w:val="auto"/>
          <w:highlight w:val="none"/>
        </w:rPr>
        <w:t>。</w:t>
      </w:r>
    </w:p>
    <w:p w14:paraId="720421D1">
      <w:pPr>
        <w:pStyle w:val="39"/>
        <w:snapToGrid w:val="0"/>
        <w:spacing w:before="0"/>
        <w:ind w:firstLine="480"/>
        <w:rPr>
          <w:rFonts w:ascii="仿宋" w:hAnsi="仿宋" w:eastAsia="仿宋" w:cs="仿宋_GB2312"/>
          <w:color w:val="auto"/>
          <w:highlight w:val="none"/>
        </w:rPr>
      </w:pPr>
    </w:p>
    <w:p w14:paraId="2A8D116F">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八、合同授予</w:t>
      </w:r>
    </w:p>
    <w:p w14:paraId="460AEB3A">
      <w:pPr>
        <w:pStyle w:val="10"/>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 xml:space="preserve">23. </w:t>
      </w:r>
      <w:r>
        <w:rPr>
          <w:rFonts w:hint="eastAsia" w:ascii="仿宋" w:hAnsi="仿宋" w:eastAsia="仿宋" w:cs="仿宋_GB2312"/>
          <w:color w:val="auto"/>
          <w:highlight w:val="none"/>
        </w:rPr>
        <w:t>合同主要条款详见第五部分。</w:t>
      </w:r>
    </w:p>
    <w:p w14:paraId="3D105235">
      <w:pPr>
        <w:pStyle w:val="10"/>
        <w:spacing w:line="360" w:lineRule="auto"/>
        <w:ind w:firstLine="482"/>
        <w:rPr>
          <w:rFonts w:ascii="仿宋" w:hAnsi="仿宋" w:eastAsia="仿宋" w:cs="仿宋_GB2312"/>
          <w:b/>
          <w:color w:val="auto"/>
          <w:highlight w:val="none"/>
        </w:rPr>
      </w:pPr>
      <w:r>
        <w:rPr>
          <w:rFonts w:hint="eastAsia" w:ascii="仿宋" w:hAnsi="仿宋" w:eastAsia="仿宋" w:cs="仿宋_GB2312"/>
          <w:b/>
          <w:color w:val="auto"/>
          <w:highlight w:val="none"/>
        </w:rPr>
        <w:t>24. 合同的签订</w:t>
      </w:r>
    </w:p>
    <w:p w14:paraId="120CDD0D">
      <w:pPr>
        <w:widowControl/>
        <w:shd w:val="clear" w:color="auto" w:fill="FFFFFF"/>
        <w:spacing w:line="360" w:lineRule="auto"/>
        <w:ind w:firstLine="480" w:firstLineChars="200"/>
        <w:jc w:val="left"/>
        <w:rPr>
          <w:rFonts w:ascii="仿宋" w:hAnsi="仿宋" w:eastAsia="仿宋" w:cs="Arial"/>
          <w:color w:val="auto"/>
          <w:kern w:val="0"/>
          <w:sz w:val="24"/>
          <w:highlight w:val="none"/>
        </w:rPr>
      </w:pPr>
      <w:r>
        <w:rPr>
          <w:rFonts w:hint="eastAsia" w:ascii="仿宋" w:hAnsi="仿宋" w:eastAsia="仿宋" w:cs="仿宋_GB2312"/>
          <w:color w:val="auto"/>
          <w:sz w:val="24"/>
          <w:highlight w:val="none"/>
        </w:rPr>
        <w:t>24.1</w:t>
      </w:r>
      <w:r>
        <w:rPr>
          <w:rFonts w:hint="eastAsia" w:ascii="仿宋" w:eastAsia="仿宋"/>
          <w:color w:val="auto"/>
          <w:kern w:val="0"/>
          <w:sz w:val="24"/>
          <w:highlight w:val="none"/>
          <w:lang w:eastAsia="zh-CN"/>
        </w:rPr>
        <w:t>遴选人</w:t>
      </w:r>
      <w:r>
        <w:rPr>
          <w:rFonts w:hint="eastAsia" w:ascii="仿宋" w:eastAsia="仿宋"/>
          <w:color w:val="auto"/>
          <w:kern w:val="0"/>
          <w:sz w:val="24"/>
          <w:highlight w:val="none"/>
        </w:rPr>
        <w:t>和中标人应当在中标通知书发出之日起30日内（投诉处理等原因导致签订合同延误的除外），按照</w:t>
      </w:r>
      <w:r>
        <w:rPr>
          <w:rFonts w:hint="eastAsia" w:ascii="仿宋" w:eastAsia="仿宋"/>
          <w:color w:val="auto"/>
          <w:kern w:val="0"/>
          <w:sz w:val="24"/>
          <w:highlight w:val="none"/>
          <w:lang w:eastAsia="zh-CN"/>
        </w:rPr>
        <w:t>遴选文件</w:t>
      </w:r>
      <w:r>
        <w:rPr>
          <w:rFonts w:hint="eastAsia" w:ascii="仿宋" w:eastAsia="仿宋"/>
          <w:color w:val="auto"/>
          <w:kern w:val="0"/>
          <w:sz w:val="24"/>
          <w:highlight w:val="none"/>
        </w:rPr>
        <w:t>和中标人</w:t>
      </w:r>
      <w:r>
        <w:rPr>
          <w:rFonts w:hint="eastAsia" w:ascii="仿宋" w:eastAsia="仿宋"/>
          <w:color w:val="auto"/>
          <w:kern w:val="0"/>
          <w:sz w:val="24"/>
          <w:highlight w:val="none"/>
          <w:lang w:eastAsia="zh-CN"/>
        </w:rPr>
        <w:t>申报文件</w:t>
      </w:r>
      <w:r>
        <w:rPr>
          <w:rFonts w:hint="eastAsia" w:ascii="仿宋" w:eastAsia="仿宋"/>
          <w:color w:val="auto"/>
          <w:kern w:val="0"/>
          <w:sz w:val="24"/>
          <w:highlight w:val="none"/>
        </w:rPr>
        <w:t>的规定，签订书面合同。所签订的合同不得对</w:t>
      </w:r>
      <w:r>
        <w:rPr>
          <w:rFonts w:hint="eastAsia" w:ascii="仿宋" w:eastAsia="仿宋"/>
          <w:color w:val="auto"/>
          <w:kern w:val="0"/>
          <w:sz w:val="24"/>
          <w:highlight w:val="none"/>
          <w:lang w:eastAsia="zh-CN"/>
        </w:rPr>
        <w:t>遴选文件</w:t>
      </w:r>
      <w:r>
        <w:rPr>
          <w:rFonts w:hint="eastAsia" w:ascii="仿宋" w:eastAsia="仿宋"/>
          <w:color w:val="auto"/>
          <w:kern w:val="0"/>
          <w:sz w:val="24"/>
          <w:highlight w:val="none"/>
        </w:rPr>
        <w:t>确定的事项和中标人</w:t>
      </w:r>
      <w:r>
        <w:rPr>
          <w:rFonts w:hint="eastAsia" w:ascii="仿宋" w:eastAsia="仿宋"/>
          <w:color w:val="auto"/>
          <w:kern w:val="0"/>
          <w:sz w:val="24"/>
          <w:highlight w:val="none"/>
          <w:lang w:eastAsia="zh-CN"/>
        </w:rPr>
        <w:t>申报文件</w:t>
      </w:r>
      <w:r>
        <w:rPr>
          <w:rFonts w:hint="eastAsia" w:ascii="仿宋" w:eastAsia="仿宋"/>
          <w:color w:val="auto"/>
          <w:kern w:val="0"/>
          <w:sz w:val="24"/>
          <w:highlight w:val="none"/>
        </w:rPr>
        <w:t>作实质性修改。</w:t>
      </w:r>
    </w:p>
    <w:p w14:paraId="40212DFC">
      <w:pPr>
        <w:pStyle w:val="39"/>
        <w:snapToGrid w:val="0"/>
        <w:spacing w:before="0"/>
        <w:ind w:firstLine="480"/>
        <w:rPr>
          <w:rFonts w:ascii="仿宋" w:hAnsi="仿宋" w:eastAsia="仿宋"/>
          <w:color w:val="auto"/>
          <w:kern w:val="0"/>
          <w:highlight w:val="none"/>
        </w:rPr>
      </w:pPr>
      <w:r>
        <w:rPr>
          <w:rFonts w:hint="eastAsia" w:ascii="仿宋" w:hAnsi="仿宋" w:eastAsia="仿宋" w:cs="仿宋_GB2312"/>
          <w:color w:val="auto"/>
          <w:kern w:val="0"/>
          <w:highlight w:val="none"/>
          <w:lang w:val="zh-CN"/>
        </w:rPr>
        <w:t>24.2</w:t>
      </w:r>
      <w:r>
        <w:rPr>
          <w:rFonts w:hint="eastAsia" w:ascii="仿宋" w:eastAsia="仿宋"/>
          <w:color w:val="auto"/>
          <w:kern w:val="0"/>
          <w:highlight w:val="none"/>
          <w:lang w:eastAsia="zh-CN"/>
        </w:rPr>
        <w:t>遴选人</w:t>
      </w:r>
      <w:r>
        <w:rPr>
          <w:rFonts w:hint="eastAsia" w:ascii="仿宋" w:eastAsia="仿宋"/>
          <w:color w:val="auto"/>
          <w:kern w:val="0"/>
          <w:highlight w:val="none"/>
        </w:rPr>
        <w:t>和中标人不得向对方提出任何不合理的要求作为签订合同的条件。</w:t>
      </w:r>
    </w:p>
    <w:p w14:paraId="50CB0873">
      <w:pPr>
        <w:pStyle w:val="10"/>
        <w:spacing w:line="360" w:lineRule="auto"/>
        <w:ind w:firstLine="482"/>
        <w:rPr>
          <w:rFonts w:hint="eastAsia" w:ascii="仿宋" w:hAnsi="仿宋" w:eastAsia="仿宋"/>
          <w:b/>
          <w:color w:val="auto"/>
          <w:sz w:val="24"/>
          <w:highlight w:val="none"/>
        </w:rPr>
      </w:pPr>
      <w:r>
        <w:rPr>
          <w:rFonts w:hint="eastAsia" w:ascii="仿宋" w:hAnsi="仿宋" w:eastAsia="仿宋" w:cs="仿宋_GB2312"/>
          <w:b/>
          <w:color w:val="auto"/>
          <w:highlight w:val="none"/>
        </w:rPr>
        <w:t>25. 履约保证金</w:t>
      </w:r>
      <w:r>
        <w:rPr>
          <w:rFonts w:hint="eastAsia" w:ascii="仿宋" w:hAnsi="仿宋" w:eastAsia="仿宋" w:cs="仿宋_GB2312"/>
          <w:b/>
          <w:color w:val="auto"/>
          <w:highlight w:val="none"/>
          <w:lang w:eastAsia="zh-CN"/>
        </w:rPr>
        <w:t>：无。</w:t>
      </w:r>
    </w:p>
    <w:p w14:paraId="6959699B">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九、合同公示</w:t>
      </w:r>
    </w:p>
    <w:p w14:paraId="4AB18A37">
      <w:pPr>
        <w:pStyle w:val="3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26. </w:t>
      </w:r>
      <w:r>
        <w:rPr>
          <w:rFonts w:hint="eastAsia" w:ascii="仿宋" w:hAnsi="仿宋" w:eastAsia="仿宋" w:cs="仿宋"/>
          <w:color w:val="auto"/>
          <w:kern w:val="0"/>
          <w:highlight w:val="none"/>
          <w:lang w:eastAsia="zh-CN"/>
        </w:rPr>
        <w:t>遴选人</w:t>
      </w:r>
      <w:r>
        <w:rPr>
          <w:rFonts w:hint="eastAsia" w:ascii="仿宋" w:hAnsi="仿宋" w:eastAsia="仿宋" w:cs="仿宋"/>
          <w:color w:val="auto"/>
          <w:kern w:val="0"/>
          <w:highlight w:val="none"/>
        </w:rPr>
        <w:t>将在采购合同签订之日起2个工作日内，将采购合同在</w:t>
      </w:r>
      <w:r>
        <w:rPr>
          <w:rFonts w:hint="eastAsia" w:ascii="仿宋" w:hAnsi="仿宋" w:eastAsia="仿宋" w:cs="仿宋"/>
          <w:color w:val="auto"/>
          <w:kern w:val="0"/>
          <w:highlight w:val="none"/>
          <w:lang w:val="en-US" w:eastAsia="zh-CN"/>
        </w:rPr>
        <w:t>乐采云平台</w:t>
      </w:r>
      <w:r>
        <w:rPr>
          <w:rFonts w:hint="eastAsia" w:ascii="仿宋" w:hAnsi="仿宋" w:eastAsia="仿宋" w:cs="仿宋"/>
          <w:color w:val="auto"/>
          <w:kern w:val="0"/>
          <w:highlight w:val="none"/>
        </w:rPr>
        <w:t>公告，但采购合同中涉及国家秘密、商业秘密的内容除外。</w:t>
      </w:r>
    </w:p>
    <w:p w14:paraId="336075B8">
      <w:pPr>
        <w:pStyle w:val="39"/>
        <w:snapToGrid w:val="0"/>
        <w:spacing w:before="0"/>
        <w:ind w:firstLine="482"/>
        <w:rPr>
          <w:rFonts w:hint="eastAsia" w:ascii="仿宋" w:hAnsi="仿宋" w:eastAsia="仿宋" w:cs="仿宋_GB2312"/>
          <w:color w:val="auto"/>
          <w:highlight w:val="none"/>
        </w:rPr>
      </w:pPr>
      <w:r>
        <w:rPr>
          <w:rFonts w:hint="eastAsia" w:ascii="仿宋" w:hAnsi="仿宋" w:eastAsia="仿宋" w:cs="仿宋_GB2312"/>
          <w:b/>
          <w:color w:val="auto"/>
          <w:highlight w:val="none"/>
        </w:rPr>
        <w:t>27.</w:t>
      </w:r>
      <w:r>
        <w:rPr>
          <w:rFonts w:hint="eastAsia" w:ascii="仿宋" w:hAnsi="仿宋" w:eastAsia="仿宋" w:cs="仿宋_GB2312"/>
          <w:color w:val="auto"/>
          <w:highlight w:val="none"/>
        </w:rPr>
        <w:t>合同备案</w:t>
      </w:r>
    </w:p>
    <w:p w14:paraId="2190370A">
      <w:pPr>
        <w:pStyle w:val="39"/>
        <w:snapToGrid w:val="0"/>
        <w:spacing w:before="0"/>
        <w:ind w:firstLine="480"/>
        <w:rPr>
          <w:rFonts w:hint="eastAsia" w:ascii="仿宋" w:hAnsi="仿宋" w:eastAsia="仿宋" w:cs="仿宋_GB2312"/>
          <w:color w:val="auto"/>
          <w:highlight w:val="none"/>
        </w:rPr>
      </w:pPr>
      <w:r>
        <w:rPr>
          <w:rFonts w:hint="eastAsia" w:ascii="仿宋" w:hAnsi="仿宋" w:eastAsia="仿宋" w:cs="仿宋_GB2312"/>
          <w:color w:val="auto"/>
          <w:highlight w:val="none"/>
          <w:lang w:eastAsia="zh-CN"/>
        </w:rPr>
        <w:t>遴选人</w:t>
      </w:r>
      <w:r>
        <w:rPr>
          <w:rFonts w:hint="eastAsia" w:ascii="仿宋" w:hAnsi="仿宋" w:eastAsia="仿宋" w:cs="仿宋_GB2312"/>
          <w:color w:val="auto"/>
          <w:highlight w:val="none"/>
        </w:rPr>
        <w:t>原则上应于采购结果公告发布之日起10日内，将采购合同在</w:t>
      </w:r>
      <w:r>
        <w:rPr>
          <w:rFonts w:hint="eastAsia" w:ascii="仿宋" w:hAnsi="仿宋" w:eastAsia="仿宋" w:cs="仿宋_GB2312"/>
          <w:color w:val="auto"/>
          <w:highlight w:val="none"/>
          <w:lang w:eastAsia="zh-CN"/>
        </w:rPr>
        <w:t>乐采云</w:t>
      </w:r>
      <w:r>
        <w:rPr>
          <w:rFonts w:hint="eastAsia" w:ascii="仿宋" w:hAnsi="仿宋" w:eastAsia="仿宋" w:cs="仿宋_GB2312"/>
          <w:color w:val="auto"/>
          <w:highlight w:val="none"/>
        </w:rPr>
        <w:t>系统上备案，最迟不得超过30日。</w:t>
      </w:r>
    </w:p>
    <w:p w14:paraId="4A59EB54">
      <w:pPr>
        <w:adjustRightInd/>
        <w:spacing w:line="360" w:lineRule="auto"/>
        <w:jc w:val="center"/>
        <w:outlineLvl w:val="0"/>
        <w:rPr>
          <w:rFonts w:hint="eastAsia" w:ascii="仿宋" w:hAnsi="仿宋" w:eastAsia="仿宋" w:cs="仿宋"/>
          <w:b/>
          <w:color w:val="auto"/>
          <w:sz w:val="32"/>
          <w:szCs w:val="20"/>
          <w:highlight w:val="none"/>
        </w:rPr>
      </w:pPr>
    </w:p>
    <w:p w14:paraId="79AF5BA7">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十、履约验收</w:t>
      </w:r>
    </w:p>
    <w:p w14:paraId="64323D42">
      <w:pPr>
        <w:pStyle w:val="39"/>
        <w:spacing w:before="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28.履约验收</w:t>
      </w:r>
    </w:p>
    <w:p w14:paraId="7E6FAD63">
      <w:pPr>
        <w:tabs>
          <w:tab w:val="left" w:pos="0"/>
        </w:tabs>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28.1</w:t>
      </w:r>
      <w:r>
        <w:rPr>
          <w:rFonts w:hint="eastAsia" w:ascii="仿宋" w:hAnsi="仿宋" w:eastAsia="仿宋" w:cs="仿宋"/>
          <w:color w:val="auto"/>
          <w:kern w:val="0"/>
          <w:sz w:val="24"/>
          <w:highlight w:val="none"/>
          <w:lang w:eastAsia="zh-CN"/>
        </w:rPr>
        <w:t>遴选人</w:t>
      </w:r>
      <w:r>
        <w:rPr>
          <w:rFonts w:hint="eastAsia" w:ascii="仿宋" w:hAnsi="仿宋" w:eastAsia="仿宋" w:cs="仿宋"/>
          <w:color w:val="auto"/>
          <w:kern w:val="0"/>
          <w:sz w:val="24"/>
          <w:highlight w:val="none"/>
        </w:rPr>
        <w:t>自行组织或委托</w:t>
      </w:r>
      <w:r>
        <w:rPr>
          <w:rFonts w:hint="eastAsia" w:ascii="仿宋" w:hAnsi="仿宋" w:eastAsia="仿宋" w:cs="仿宋"/>
          <w:color w:val="auto"/>
          <w:kern w:val="0"/>
          <w:sz w:val="24"/>
          <w:highlight w:val="none"/>
          <w:lang w:eastAsia="zh-CN"/>
        </w:rPr>
        <w:t>遴选代理单位</w:t>
      </w:r>
      <w:r>
        <w:rPr>
          <w:rFonts w:hint="eastAsia" w:ascii="仿宋" w:hAnsi="仿宋" w:eastAsia="仿宋" w:cs="仿宋"/>
          <w:color w:val="auto"/>
          <w:kern w:val="0"/>
          <w:sz w:val="24"/>
          <w:highlight w:val="none"/>
        </w:rPr>
        <w:t>对供应商进行履约验收，出具验收书，存档备查。如果发现与合同中要求不符，供应商须承担由此发生的一切损失和费用，并承担相应的法律责任。</w:t>
      </w:r>
    </w:p>
    <w:p w14:paraId="506CBAA7">
      <w:pPr>
        <w:tabs>
          <w:tab w:val="left" w:pos="0"/>
        </w:tabs>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270403ED">
      <w:pPr>
        <w:tabs>
          <w:tab w:val="left" w:pos="0"/>
        </w:tabs>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28.3</w:t>
      </w:r>
      <w:r>
        <w:rPr>
          <w:rFonts w:hint="eastAsia" w:ascii="仿宋" w:hAnsi="仿宋" w:eastAsia="仿宋" w:cs="仿宋"/>
          <w:color w:val="auto"/>
          <w:kern w:val="0"/>
          <w:sz w:val="24"/>
          <w:highlight w:val="none"/>
          <w:lang w:eastAsia="zh-CN"/>
        </w:rPr>
        <w:t>遴选人</w:t>
      </w:r>
      <w:r>
        <w:rPr>
          <w:rFonts w:hint="eastAsia" w:ascii="仿宋" w:hAnsi="仿宋" w:eastAsia="仿宋" w:cs="仿宋"/>
          <w:color w:val="auto"/>
          <w:kern w:val="0"/>
          <w:sz w:val="24"/>
          <w:highlight w:val="none"/>
        </w:rPr>
        <w:t>可以邀请参加本项目的其他投标供应商或者第三方机构参与验收。参与验收的投标供应商或者第三方机构的意见作为验收书的参考资料一并存档。</w:t>
      </w:r>
    </w:p>
    <w:p w14:paraId="4A7D0393">
      <w:pPr>
        <w:tabs>
          <w:tab w:val="left" w:pos="0"/>
        </w:tabs>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28.4国有企业向社会公众提供的公共服务项目验收时应当邀请服务对象参与并出具意见，验收结果应当向社会公告。</w:t>
      </w:r>
    </w:p>
    <w:p w14:paraId="4100ECD1">
      <w:pPr>
        <w:tabs>
          <w:tab w:val="left" w:pos="0"/>
        </w:tabs>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28.5 采购合同的履行、违约责任和解决争议的方式等适用《中华人民共和国民法典》。</w:t>
      </w:r>
    </w:p>
    <w:p w14:paraId="05E9178A">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28.6供应商在履约过程中有法律法规规定的违法违规情形的，</w:t>
      </w:r>
      <w:r>
        <w:rPr>
          <w:rFonts w:hint="eastAsia" w:ascii="仿宋" w:hAnsi="仿宋" w:eastAsia="仿宋" w:cs="仿宋"/>
          <w:color w:val="auto"/>
          <w:kern w:val="0"/>
          <w:sz w:val="24"/>
          <w:highlight w:val="none"/>
          <w:lang w:eastAsia="zh-CN"/>
        </w:rPr>
        <w:t>遴选人</w:t>
      </w:r>
      <w:r>
        <w:rPr>
          <w:rFonts w:hint="eastAsia" w:ascii="仿宋" w:hAnsi="仿宋" w:eastAsia="仿宋" w:cs="仿宋"/>
          <w:color w:val="auto"/>
          <w:kern w:val="0"/>
          <w:sz w:val="24"/>
          <w:highlight w:val="none"/>
        </w:rPr>
        <w:t>应当及时报告本级国有企业采购监督管理部门</w:t>
      </w:r>
      <w:r>
        <w:rPr>
          <w:rFonts w:hint="eastAsia" w:ascii="仿宋" w:hAnsi="仿宋" w:eastAsia="仿宋" w:cs="仿宋"/>
          <w:color w:val="auto"/>
          <w:kern w:val="0"/>
          <w:sz w:val="24"/>
          <w:highlight w:val="none"/>
          <w:lang w:eastAsia="zh-CN"/>
        </w:rPr>
        <w:t>。</w:t>
      </w:r>
    </w:p>
    <w:p w14:paraId="55948ADC">
      <w:pPr>
        <w:tabs>
          <w:tab w:val="left" w:pos="0"/>
        </w:tabs>
        <w:spacing w:line="360" w:lineRule="auto"/>
        <w:jc w:val="left"/>
        <w:rPr>
          <w:rFonts w:hint="eastAsia" w:ascii="仿宋" w:hAnsi="仿宋" w:eastAsia="仿宋"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571ACB13">
      <w:pPr>
        <w:spacing w:line="440" w:lineRule="exact"/>
        <w:jc w:val="center"/>
        <w:rPr>
          <w:b/>
          <w:color w:val="auto"/>
          <w:sz w:val="36"/>
          <w:szCs w:val="36"/>
          <w:highlight w:val="none"/>
        </w:rPr>
      </w:pPr>
      <w:r>
        <w:rPr>
          <w:rFonts w:hint="eastAsia" w:ascii="仿宋" w:hAnsi="仿宋" w:eastAsia="仿宋" w:cs="仿宋_GB2312"/>
          <w:b/>
          <w:color w:val="auto"/>
          <w:sz w:val="36"/>
          <w:szCs w:val="36"/>
          <w:highlight w:val="none"/>
        </w:rPr>
        <w:t xml:space="preserve">第三部分   </w:t>
      </w:r>
      <w:r>
        <w:rPr>
          <w:rFonts w:hint="eastAsia" w:ascii="仿宋" w:hAnsi="仿宋" w:eastAsia="仿宋" w:cs="仿宋_GB2312"/>
          <w:b/>
          <w:color w:val="auto"/>
          <w:sz w:val="36"/>
          <w:szCs w:val="36"/>
          <w:highlight w:val="none"/>
          <w:lang w:eastAsia="zh-CN"/>
        </w:rPr>
        <w:t>遴选</w:t>
      </w:r>
      <w:r>
        <w:rPr>
          <w:rFonts w:hint="eastAsia" w:ascii="仿宋" w:hAnsi="仿宋" w:eastAsia="仿宋" w:cs="仿宋_GB2312"/>
          <w:b/>
          <w:color w:val="auto"/>
          <w:sz w:val="36"/>
          <w:szCs w:val="36"/>
          <w:highlight w:val="none"/>
        </w:rPr>
        <w:t>需求</w:t>
      </w:r>
    </w:p>
    <w:p w14:paraId="435F4E6F">
      <w:pPr>
        <w:snapToGrid w:val="0"/>
        <w:spacing w:before="120" w:beforeLines="50" w:after="120" w:afterLines="50"/>
        <w:rPr>
          <w:rFonts w:ascii="仿宋" w:hAnsi="仿宋" w:eastAsia="仿宋"/>
          <w:color w:val="auto"/>
          <w:sz w:val="24"/>
          <w:highlight w:val="none"/>
        </w:rPr>
      </w:pPr>
      <w:r>
        <w:rPr>
          <w:rFonts w:hint="eastAsia" w:ascii="仿宋" w:hAnsi="仿宋" w:eastAsia="仿宋"/>
          <w:color w:val="auto"/>
          <w:sz w:val="24"/>
          <w:highlight w:val="none"/>
        </w:rPr>
        <w:t>特别说明：</w:t>
      </w:r>
    </w:p>
    <w:p w14:paraId="41A01DA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1.需求中不允许偏离的实质性要求和条件，以“▲”号标明。</w:t>
      </w:r>
    </w:p>
    <w:p w14:paraId="70826F4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仿宋_GB2312"/>
          <w:color w:val="auto"/>
          <w:sz w:val="24"/>
          <w:highlight w:val="none"/>
        </w:rPr>
        <w:t>单</w:t>
      </w:r>
      <w:r>
        <w:rPr>
          <w:rFonts w:ascii="仿宋" w:hAnsi="仿宋" w:eastAsia="仿宋" w:cs="仿宋_GB2312"/>
          <w:color w:val="auto"/>
          <w:sz w:val="24"/>
          <w:highlight w:val="none"/>
        </w:rPr>
        <w:t>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标明。</w:t>
      </w:r>
    </w:p>
    <w:p w14:paraId="340F705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3.本</w:t>
      </w:r>
      <w:r>
        <w:rPr>
          <w:rFonts w:hint="eastAsia" w:ascii="仿宋" w:hAnsi="仿宋" w:eastAsia="仿宋"/>
          <w:color w:val="auto"/>
          <w:sz w:val="24"/>
          <w:highlight w:val="none"/>
          <w:lang w:eastAsia="zh-CN"/>
        </w:rPr>
        <w:t>遴选文件</w:t>
      </w:r>
      <w:r>
        <w:rPr>
          <w:rFonts w:hint="eastAsia" w:ascii="仿宋" w:hAnsi="仿宋" w:eastAsia="仿宋"/>
          <w:color w:val="auto"/>
          <w:sz w:val="24"/>
          <w:highlight w:val="none"/>
        </w:rPr>
        <w:t>如涉及各类品牌、型号，则所述品牌、型号是结合实际现有情况的推荐性参考方案，投标方也可根据</w:t>
      </w:r>
      <w:r>
        <w:rPr>
          <w:rFonts w:hint="eastAsia" w:ascii="仿宋" w:hAnsi="仿宋" w:eastAsia="仿宋"/>
          <w:color w:val="auto"/>
          <w:sz w:val="24"/>
          <w:highlight w:val="none"/>
          <w:lang w:eastAsia="zh-CN"/>
        </w:rPr>
        <w:t>遴选文件</w:t>
      </w:r>
      <w:r>
        <w:rPr>
          <w:rFonts w:hint="eastAsia" w:ascii="仿宋" w:hAnsi="仿宋" w:eastAsia="仿宋"/>
          <w:color w:val="auto"/>
          <w:sz w:val="24"/>
          <w:highlight w:val="none"/>
        </w:rPr>
        <w:t>的要求提供性能相当或高于、服务条款相等或高于、符合招标方实际业务需求其它同档次优质品牌的产品参加投标。</w:t>
      </w:r>
    </w:p>
    <w:p w14:paraId="61045F29">
      <w:pPr>
        <w:spacing w:line="400" w:lineRule="exact"/>
        <w:ind w:firstLine="470" w:firstLineChars="196"/>
        <w:rPr>
          <w:color w:val="auto"/>
          <w:kern w:val="0"/>
          <w:sz w:val="24"/>
          <w:highlight w:val="none"/>
        </w:rPr>
      </w:pPr>
    </w:p>
    <w:p w14:paraId="3878A2A7">
      <w:pPr>
        <w:spacing w:line="400" w:lineRule="exact"/>
        <w:ind w:firstLine="470" w:firstLineChars="196"/>
        <w:rPr>
          <w:color w:val="auto"/>
          <w:kern w:val="0"/>
          <w:sz w:val="24"/>
          <w:highlight w:val="none"/>
        </w:rPr>
      </w:pPr>
    </w:p>
    <w:p w14:paraId="4E1DF8C5">
      <w:pPr>
        <w:spacing w:line="400" w:lineRule="exact"/>
        <w:ind w:firstLine="470" w:firstLineChars="196"/>
        <w:rPr>
          <w:color w:val="auto"/>
          <w:kern w:val="0"/>
          <w:sz w:val="24"/>
          <w:highlight w:val="none"/>
        </w:rPr>
      </w:pPr>
    </w:p>
    <w:p w14:paraId="09879650">
      <w:pPr>
        <w:spacing w:line="400" w:lineRule="exact"/>
        <w:ind w:firstLine="470" w:firstLineChars="196"/>
        <w:rPr>
          <w:color w:val="auto"/>
          <w:kern w:val="0"/>
          <w:sz w:val="24"/>
          <w:highlight w:val="none"/>
        </w:rPr>
      </w:pPr>
    </w:p>
    <w:p w14:paraId="0AD7BB6D">
      <w:pPr>
        <w:spacing w:line="400" w:lineRule="exact"/>
        <w:ind w:firstLine="470" w:firstLineChars="196"/>
        <w:rPr>
          <w:color w:val="auto"/>
          <w:kern w:val="0"/>
          <w:sz w:val="24"/>
          <w:highlight w:val="none"/>
        </w:rPr>
      </w:pPr>
    </w:p>
    <w:p w14:paraId="2AFFE7AC">
      <w:pPr>
        <w:spacing w:line="400" w:lineRule="exact"/>
        <w:ind w:firstLine="470" w:firstLineChars="196"/>
        <w:rPr>
          <w:color w:val="auto"/>
          <w:kern w:val="0"/>
          <w:sz w:val="24"/>
          <w:highlight w:val="none"/>
        </w:rPr>
      </w:pPr>
    </w:p>
    <w:p w14:paraId="37816EC9">
      <w:pPr>
        <w:spacing w:line="400" w:lineRule="exact"/>
        <w:ind w:firstLine="470" w:firstLineChars="196"/>
        <w:rPr>
          <w:color w:val="auto"/>
          <w:kern w:val="0"/>
          <w:sz w:val="24"/>
          <w:highlight w:val="none"/>
        </w:rPr>
      </w:pPr>
    </w:p>
    <w:p w14:paraId="68BDAA05">
      <w:pPr>
        <w:spacing w:line="400" w:lineRule="exact"/>
        <w:ind w:firstLine="470" w:firstLineChars="196"/>
        <w:rPr>
          <w:color w:val="auto"/>
          <w:kern w:val="0"/>
          <w:sz w:val="24"/>
          <w:highlight w:val="none"/>
        </w:rPr>
      </w:pPr>
    </w:p>
    <w:p w14:paraId="5DF1A91A">
      <w:pPr>
        <w:spacing w:line="400" w:lineRule="exact"/>
        <w:ind w:firstLine="470" w:firstLineChars="196"/>
        <w:rPr>
          <w:color w:val="auto"/>
          <w:kern w:val="0"/>
          <w:sz w:val="24"/>
          <w:highlight w:val="none"/>
        </w:rPr>
      </w:pPr>
    </w:p>
    <w:p w14:paraId="646AD17D">
      <w:pPr>
        <w:spacing w:line="400" w:lineRule="exact"/>
        <w:ind w:firstLine="470" w:firstLineChars="196"/>
        <w:rPr>
          <w:color w:val="auto"/>
          <w:kern w:val="0"/>
          <w:sz w:val="24"/>
          <w:highlight w:val="none"/>
        </w:rPr>
      </w:pPr>
    </w:p>
    <w:p w14:paraId="1FC12E0E">
      <w:pPr>
        <w:spacing w:line="400" w:lineRule="exact"/>
        <w:ind w:firstLine="470" w:firstLineChars="196"/>
        <w:rPr>
          <w:color w:val="auto"/>
          <w:kern w:val="0"/>
          <w:sz w:val="24"/>
          <w:highlight w:val="none"/>
        </w:rPr>
      </w:pPr>
    </w:p>
    <w:p w14:paraId="3E1927F6">
      <w:pPr>
        <w:spacing w:line="400" w:lineRule="exact"/>
        <w:ind w:firstLine="470" w:firstLineChars="196"/>
        <w:rPr>
          <w:color w:val="auto"/>
          <w:kern w:val="0"/>
          <w:sz w:val="24"/>
          <w:highlight w:val="none"/>
        </w:rPr>
      </w:pPr>
    </w:p>
    <w:p w14:paraId="45A8B3D2">
      <w:pPr>
        <w:spacing w:line="400" w:lineRule="exact"/>
        <w:ind w:firstLine="470" w:firstLineChars="196"/>
        <w:rPr>
          <w:color w:val="auto"/>
          <w:kern w:val="0"/>
          <w:sz w:val="24"/>
          <w:highlight w:val="none"/>
        </w:rPr>
      </w:pPr>
    </w:p>
    <w:p w14:paraId="48590052">
      <w:pPr>
        <w:spacing w:line="400" w:lineRule="exact"/>
        <w:ind w:firstLine="470" w:firstLineChars="196"/>
        <w:rPr>
          <w:color w:val="auto"/>
          <w:kern w:val="0"/>
          <w:sz w:val="24"/>
          <w:highlight w:val="none"/>
        </w:rPr>
      </w:pPr>
    </w:p>
    <w:p w14:paraId="2BCC7A62">
      <w:pPr>
        <w:spacing w:line="400" w:lineRule="exact"/>
        <w:ind w:firstLine="470" w:firstLineChars="196"/>
        <w:rPr>
          <w:color w:val="auto"/>
          <w:kern w:val="0"/>
          <w:sz w:val="24"/>
          <w:highlight w:val="none"/>
        </w:rPr>
      </w:pPr>
    </w:p>
    <w:p w14:paraId="4C1D54DE">
      <w:pPr>
        <w:spacing w:line="400" w:lineRule="exact"/>
        <w:ind w:firstLine="470" w:firstLineChars="196"/>
        <w:rPr>
          <w:color w:val="auto"/>
          <w:kern w:val="0"/>
          <w:sz w:val="24"/>
          <w:highlight w:val="none"/>
        </w:rPr>
      </w:pPr>
    </w:p>
    <w:p w14:paraId="63F317FD">
      <w:pPr>
        <w:spacing w:line="400" w:lineRule="exact"/>
        <w:ind w:firstLine="470" w:firstLineChars="196"/>
        <w:rPr>
          <w:color w:val="auto"/>
          <w:kern w:val="0"/>
          <w:sz w:val="24"/>
          <w:highlight w:val="none"/>
        </w:rPr>
      </w:pPr>
    </w:p>
    <w:p w14:paraId="4A3555D3">
      <w:pPr>
        <w:spacing w:line="400" w:lineRule="exact"/>
        <w:ind w:firstLine="470" w:firstLineChars="196"/>
        <w:rPr>
          <w:color w:val="auto"/>
          <w:kern w:val="0"/>
          <w:sz w:val="24"/>
          <w:highlight w:val="none"/>
        </w:rPr>
      </w:pPr>
    </w:p>
    <w:p w14:paraId="5A2BC6CA">
      <w:pPr>
        <w:spacing w:line="400" w:lineRule="exact"/>
        <w:ind w:firstLine="470" w:firstLineChars="196"/>
        <w:rPr>
          <w:color w:val="auto"/>
          <w:kern w:val="0"/>
          <w:sz w:val="24"/>
          <w:highlight w:val="none"/>
        </w:rPr>
      </w:pPr>
    </w:p>
    <w:p w14:paraId="2266E2FC">
      <w:pPr>
        <w:spacing w:line="400" w:lineRule="exact"/>
        <w:ind w:firstLine="470" w:firstLineChars="196"/>
        <w:rPr>
          <w:color w:val="auto"/>
          <w:kern w:val="0"/>
          <w:sz w:val="24"/>
          <w:highlight w:val="none"/>
        </w:rPr>
      </w:pPr>
    </w:p>
    <w:p w14:paraId="6B883F2B">
      <w:pPr>
        <w:spacing w:line="400" w:lineRule="exact"/>
        <w:ind w:firstLine="470" w:firstLineChars="196"/>
        <w:rPr>
          <w:color w:val="auto"/>
          <w:kern w:val="0"/>
          <w:sz w:val="24"/>
          <w:highlight w:val="none"/>
        </w:rPr>
      </w:pPr>
    </w:p>
    <w:p w14:paraId="5972D68C">
      <w:pPr>
        <w:spacing w:line="400" w:lineRule="exact"/>
        <w:ind w:firstLine="470" w:firstLineChars="196"/>
        <w:rPr>
          <w:color w:val="auto"/>
          <w:kern w:val="0"/>
          <w:sz w:val="24"/>
          <w:highlight w:val="none"/>
        </w:rPr>
      </w:pPr>
    </w:p>
    <w:p w14:paraId="1BD2EC55">
      <w:pPr>
        <w:spacing w:line="400" w:lineRule="exact"/>
        <w:ind w:firstLine="470" w:firstLineChars="196"/>
        <w:rPr>
          <w:color w:val="auto"/>
          <w:kern w:val="0"/>
          <w:sz w:val="24"/>
          <w:highlight w:val="none"/>
        </w:rPr>
      </w:pPr>
    </w:p>
    <w:p w14:paraId="513FF1B6">
      <w:pPr>
        <w:spacing w:line="400" w:lineRule="exact"/>
        <w:ind w:firstLine="470" w:firstLineChars="196"/>
        <w:rPr>
          <w:color w:val="auto"/>
          <w:kern w:val="0"/>
          <w:sz w:val="24"/>
          <w:highlight w:val="none"/>
        </w:rPr>
      </w:pPr>
    </w:p>
    <w:p w14:paraId="6BA81F7C">
      <w:pPr>
        <w:numPr>
          <w:ilvl w:val="0"/>
          <w:numId w:val="7"/>
        </w:numPr>
        <w:spacing w:line="400" w:lineRule="exact"/>
        <w:ind w:firstLine="630" w:firstLineChars="196"/>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服务清单及要求</w:t>
      </w:r>
    </w:p>
    <w:p w14:paraId="05217294">
      <w:pPr>
        <w:numPr>
          <w:ilvl w:val="1"/>
          <w:numId w:val="8"/>
        </w:numPr>
        <w:spacing w:line="400" w:lineRule="exact"/>
        <w:rPr>
          <w:rFonts w:hint="eastAsia" w:ascii="仿宋" w:hAnsi="仿宋" w:eastAsia="仿宋" w:cs="仿宋_GB2312"/>
          <w:b/>
          <w:color w:val="auto"/>
          <w:kern w:val="2"/>
          <w:sz w:val="24"/>
          <w:szCs w:val="24"/>
          <w:highlight w:val="none"/>
          <w:lang w:val="en-US" w:eastAsia="zh-CN" w:bidi="ar-SA"/>
        </w:rPr>
      </w:pPr>
      <w:r>
        <w:rPr>
          <w:rFonts w:hint="eastAsia" w:ascii="仿宋" w:hAnsi="仿宋" w:eastAsia="仿宋" w:cs="仿宋_GB2312"/>
          <w:b/>
          <w:color w:val="auto"/>
          <w:kern w:val="2"/>
          <w:sz w:val="24"/>
          <w:szCs w:val="24"/>
          <w:highlight w:val="none"/>
          <w:lang w:val="en-US" w:eastAsia="zh-CN" w:bidi="ar-SA"/>
        </w:rPr>
        <w:t>项目概况及要求：</w:t>
      </w:r>
    </w:p>
    <w:p w14:paraId="13B5AFF8">
      <w:pPr>
        <w:numPr>
          <w:ilvl w:val="0"/>
          <w:numId w:val="0"/>
        </w:numPr>
        <w:spacing w:line="400" w:lineRule="exact"/>
        <w:ind w:left="420" w:leftChars="0"/>
        <w:rPr>
          <w:color w:val="auto"/>
          <w:kern w:val="0"/>
          <w:sz w:val="24"/>
          <w:highlight w:val="none"/>
        </w:rPr>
      </w:pPr>
      <w:r>
        <w:rPr>
          <w:rFonts w:hint="eastAsia"/>
          <w:color w:val="auto"/>
          <w:kern w:val="0"/>
          <w:sz w:val="24"/>
          <w:highlight w:val="none"/>
          <w:lang w:val="en-US" w:eastAsia="zh-CN"/>
        </w:rPr>
        <w:t>1.1.1</w:t>
      </w:r>
      <w:r>
        <w:rPr>
          <w:color w:val="auto"/>
          <w:kern w:val="0"/>
          <w:sz w:val="24"/>
          <w:highlight w:val="none"/>
        </w:rPr>
        <w:t>项目名称：</w:t>
      </w:r>
      <w:r>
        <w:rPr>
          <w:rFonts w:hint="eastAsia"/>
          <w:color w:val="auto"/>
          <w:kern w:val="0"/>
          <w:sz w:val="24"/>
          <w:highlight w:val="none"/>
          <w:lang w:eastAsia="zh-CN"/>
        </w:rPr>
        <w:t>绍兴柯岩建设投资有限公司2025年非公开公司债券遴选项目</w:t>
      </w:r>
    </w:p>
    <w:p w14:paraId="64BE6349">
      <w:pPr>
        <w:numPr>
          <w:ilvl w:val="0"/>
          <w:numId w:val="0"/>
        </w:numPr>
        <w:spacing w:line="440" w:lineRule="exact"/>
        <w:ind w:left="420" w:leftChars="0"/>
        <w:rPr>
          <w:color w:val="auto"/>
          <w:sz w:val="24"/>
          <w:highlight w:val="none"/>
        </w:rPr>
      </w:pPr>
      <w:r>
        <w:rPr>
          <w:rFonts w:hint="eastAsia"/>
          <w:color w:val="auto"/>
          <w:sz w:val="24"/>
          <w:highlight w:val="none"/>
          <w:lang w:val="en-US" w:eastAsia="zh-CN"/>
        </w:rPr>
        <w:t xml:space="preserve">1.1.2 </w:t>
      </w:r>
      <w:r>
        <w:rPr>
          <w:color w:val="auto"/>
          <w:sz w:val="24"/>
          <w:highlight w:val="none"/>
        </w:rPr>
        <w:t>项目遴选规模不超过</w:t>
      </w:r>
      <w:r>
        <w:rPr>
          <w:rFonts w:hint="eastAsia"/>
          <w:color w:val="auto"/>
          <w:sz w:val="24"/>
          <w:highlight w:val="none"/>
          <w:lang w:val="en-US" w:eastAsia="zh-CN"/>
        </w:rPr>
        <w:t>123000</w:t>
      </w:r>
      <w:r>
        <w:rPr>
          <w:color w:val="auto"/>
          <w:sz w:val="24"/>
          <w:highlight w:val="none"/>
          <w:lang w:eastAsia="zh-Hans"/>
        </w:rPr>
        <w:t>万</w:t>
      </w:r>
      <w:r>
        <w:rPr>
          <w:color w:val="auto"/>
          <w:sz w:val="24"/>
          <w:highlight w:val="none"/>
        </w:rPr>
        <w:t>元（含），债券期限为不超过</w:t>
      </w:r>
      <w:r>
        <w:rPr>
          <w:rFonts w:hint="eastAsia"/>
          <w:color w:val="auto"/>
          <w:sz w:val="24"/>
          <w:highlight w:val="none"/>
          <w:lang w:val="en-US" w:eastAsia="zh-CN"/>
        </w:rPr>
        <w:t>5</w:t>
      </w:r>
      <w:r>
        <w:rPr>
          <w:color w:val="auto"/>
          <w:sz w:val="24"/>
          <w:highlight w:val="none"/>
        </w:rPr>
        <w:t>年（含）。具体如下：</w:t>
      </w:r>
    </w:p>
    <w:tbl>
      <w:tblPr>
        <w:tblStyle w:val="21"/>
        <w:tblW w:w="46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4685"/>
        <w:gridCol w:w="1188"/>
        <w:gridCol w:w="1264"/>
      </w:tblGrid>
      <w:tr w14:paraId="7D89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69" w:type="pct"/>
            <w:vAlign w:val="center"/>
          </w:tcPr>
          <w:p w14:paraId="0F1BC9BD">
            <w:pPr>
              <w:widowControl/>
              <w:spacing w:before="100" w:after="100" w:line="440" w:lineRule="exact"/>
              <w:jc w:val="center"/>
              <w:rPr>
                <w:b/>
                <w:bCs/>
                <w:color w:val="auto"/>
                <w:kern w:val="0"/>
                <w:sz w:val="24"/>
                <w:highlight w:val="none"/>
              </w:rPr>
            </w:pPr>
            <w:r>
              <w:rPr>
                <w:b/>
                <w:bCs/>
                <w:color w:val="auto"/>
                <w:kern w:val="0"/>
                <w:sz w:val="24"/>
                <w:highlight w:val="none"/>
              </w:rPr>
              <w:t>序号</w:t>
            </w:r>
          </w:p>
        </w:tc>
        <w:tc>
          <w:tcPr>
            <w:tcW w:w="2973" w:type="pct"/>
            <w:vAlign w:val="center"/>
          </w:tcPr>
          <w:p w14:paraId="59E4FEBE">
            <w:pPr>
              <w:widowControl/>
              <w:spacing w:before="100" w:after="100" w:line="440" w:lineRule="exact"/>
              <w:jc w:val="center"/>
              <w:rPr>
                <w:b/>
                <w:bCs/>
                <w:color w:val="auto"/>
                <w:kern w:val="0"/>
                <w:sz w:val="24"/>
                <w:highlight w:val="none"/>
              </w:rPr>
            </w:pPr>
            <w:r>
              <w:rPr>
                <w:b/>
                <w:bCs/>
                <w:color w:val="auto"/>
                <w:kern w:val="0"/>
                <w:sz w:val="24"/>
                <w:highlight w:val="none"/>
              </w:rPr>
              <w:t>产品名称</w:t>
            </w:r>
          </w:p>
        </w:tc>
        <w:tc>
          <w:tcPr>
            <w:tcW w:w="754" w:type="pct"/>
            <w:vAlign w:val="center"/>
          </w:tcPr>
          <w:p w14:paraId="6A145F4C">
            <w:pPr>
              <w:widowControl/>
              <w:spacing w:before="100" w:after="100" w:line="440" w:lineRule="exact"/>
              <w:jc w:val="center"/>
              <w:rPr>
                <w:b/>
                <w:bCs/>
                <w:color w:val="auto"/>
                <w:kern w:val="0"/>
                <w:sz w:val="24"/>
                <w:highlight w:val="none"/>
              </w:rPr>
            </w:pPr>
            <w:r>
              <w:rPr>
                <w:rFonts w:hint="eastAsia"/>
                <w:b/>
                <w:bCs/>
                <w:color w:val="auto"/>
                <w:kern w:val="0"/>
                <w:sz w:val="24"/>
                <w:highlight w:val="none"/>
              </w:rPr>
              <w:t>发行规模</w:t>
            </w:r>
          </w:p>
        </w:tc>
        <w:tc>
          <w:tcPr>
            <w:tcW w:w="802" w:type="pct"/>
            <w:vAlign w:val="center"/>
          </w:tcPr>
          <w:p w14:paraId="26399667">
            <w:pPr>
              <w:widowControl/>
              <w:spacing w:before="100" w:after="100" w:line="440" w:lineRule="exact"/>
              <w:jc w:val="center"/>
              <w:rPr>
                <w:b/>
                <w:bCs/>
                <w:color w:val="auto"/>
                <w:kern w:val="0"/>
                <w:sz w:val="24"/>
                <w:highlight w:val="none"/>
              </w:rPr>
            </w:pPr>
            <w:r>
              <w:rPr>
                <w:b/>
                <w:bCs/>
                <w:color w:val="auto"/>
                <w:kern w:val="0"/>
                <w:sz w:val="24"/>
                <w:highlight w:val="none"/>
              </w:rPr>
              <w:t>债券期限</w:t>
            </w:r>
          </w:p>
        </w:tc>
      </w:tr>
      <w:tr w14:paraId="76FE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469" w:type="pct"/>
            <w:vAlign w:val="center"/>
          </w:tcPr>
          <w:p w14:paraId="2ECDF886">
            <w:pPr>
              <w:jc w:val="center"/>
              <w:rPr>
                <w:color w:val="auto"/>
                <w:highlight w:val="none"/>
              </w:rPr>
            </w:pPr>
            <w:r>
              <w:rPr>
                <w:color w:val="auto"/>
                <w:highlight w:val="none"/>
              </w:rPr>
              <w:t>1</w:t>
            </w:r>
          </w:p>
        </w:tc>
        <w:tc>
          <w:tcPr>
            <w:tcW w:w="2973" w:type="pct"/>
            <w:vAlign w:val="center"/>
          </w:tcPr>
          <w:p w14:paraId="7D391A91">
            <w:pPr>
              <w:jc w:val="center"/>
              <w:rPr>
                <w:rFonts w:hint="eastAsia" w:eastAsia="宋体"/>
                <w:color w:val="auto"/>
                <w:highlight w:val="none"/>
                <w:lang w:eastAsia="zh-CN"/>
              </w:rPr>
            </w:pPr>
            <w:r>
              <w:rPr>
                <w:rFonts w:hint="eastAsia"/>
                <w:color w:val="auto"/>
                <w:highlight w:val="none"/>
                <w:lang w:eastAsia="zh-CN"/>
              </w:rPr>
              <w:t>柯岩建设投资有限公司非公开公司债券</w:t>
            </w:r>
          </w:p>
        </w:tc>
        <w:tc>
          <w:tcPr>
            <w:tcW w:w="754" w:type="pct"/>
            <w:vAlign w:val="center"/>
          </w:tcPr>
          <w:p w14:paraId="22906052">
            <w:pPr>
              <w:jc w:val="center"/>
              <w:rPr>
                <w:color w:val="auto"/>
                <w:highlight w:val="none"/>
              </w:rPr>
            </w:pPr>
            <w:r>
              <w:rPr>
                <w:rFonts w:hint="eastAsia"/>
                <w:color w:val="auto"/>
                <w:highlight w:val="none"/>
              </w:rPr>
              <w:t>不超过</w:t>
            </w:r>
            <w:r>
              <w:rPr>
                <w:rFonts w:hint="eastAsia"/>
                <w:color w:val="auto"/>
                <w:highlight w:val="none"/>
                <w:lang w:val="en-US" w:eastAsia="zh-CN"/>
              </w:rPr>
              <w:t>12.3</w:t>
            </w:r>
            <w:r>
              <w:rPr>
                <w:rFonts w:hint="eastAsia"/>
                <w:color w:val="auto"/>
                <w:highlight w:val="none"/>
              </w:rPr>
              <w:t>亿元（含）</w:t>
            </w:r>
          </w:p>
        </w:tc>
        <w:tc>
          <w:tcPr>
            <w:tcW w:w="802" w:type="pct"/>
            <w:vAlign w:val="center"/>
          </w:tcPr>
          <w:p w14:paraId="5D7216DE">
            <w:pPr>
              <w:jc w:val="center"/>
              <w:rPr>
                <w:color w:val="auto"/>
                <w:highlight w:val="none"/>
              </w:rPr>
            </w:pPr>
            <w:r>
              <w:rPr>
                <w:color w:val="auto"/>
                <w:highlight w:val="none"/>
              </w:rPr>
              <w:t>不超过</w:t>
            </w:r>
            <w:r>
              <w:rPr>
                <w:rFonts w:hint="eastAsia"/>
                <w:color w:val="auto"/>
                <w:highlight w:val="none"/>
                <w:lang w:val="en-US" w:eastAsia="zh-CN"/>
              </w:rPr>
              <w:t>5</w:t>
            </w:r>
            <w:r>
              <w:rPr>
                <w:color w:val="auto"/>
                <w:highlight w:val="none"/>
              </w:rPr>
              <w:t>年（含）</w:t>
            </w:r>
          </w:p>
        </w:tc>
      </w:tr>
    </w:tbl>
    <w:p w14:paraId="5DD41935">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1.1.3遴选响应人必须对遴选人提供的资料保密，因资料泄漏对遴选人产生的经济及法律责任，由遴选响应人负责。</w:t>
      </w:r>
    </w:p>
    <w:p w14:paraId="6D5F7A97">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1.1.4主承销商在遴选确认后应会同发行人积极协调审计、评级、律所和可研等中介机构工作，确保申报文件的规范性和完整性，并及时上报审核机构。</w:t>
      </w:r>
    </w:p>
    <w:p w14:paraId="4E634D00">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1.1.5债券取得核准批文后，主承销商须与发行人沟通协商，并经发行人同意后方能启动发行程序。</w:t>
      </w:r>
    </w:p>
    <w:p w14:paraId="5CC62C94">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1.1.6遴选确认后，主承销商若在报批、发行及后续服务中未能按照合同要求开展工作时，除需承担相应的经济损失外，同时遴选人将保留向上级部门反馈投诉的权力。</w:t>
      </w:r>
    </w:p>
    <w:p w14:paraId="5934F5F0">
      <w:pPr>
        <w:numPr>
          <w:ilvl w:val="1"/>
          <w:numId w:val="8"/>
        </w:numPr>
        <w:spacing w:line="400" w:lineRule="exact"/>
        <w:rPr>
          <w:rFonts w:hint="eastAsia" w:ascii="仿宋" w:hAnsi="仿宋" w:eastAsia="仿宋" w:cs="仿宋_GB2312"/>
          <w:b/>
          <w:color w:val="auto"/>
          <w:kern w:val="2"/>
          <w:sz w:val="24"/>
          <w:szCs w:val="24"/>
          <w:highlight w:val="none"/>
          <w:lang w:val="en-US" w:eastAsia="zh-CN" w:bidi="ar-SA"/>
        </w:rPr>
      </w:pPr>
      <w:r>
        <w:rPr>
          <w:rFonts w:hint="eastAsia" w:ascii="仿宋" w:hAnsi="仿宋" w:eastAsia="仿宋" w:cs="仿宋_GB2312"/>
          <w:b/>
          <w:color w:val="auto"/>
          <w:kern w:val="2"/>
          <w:sz w:val="24"/>
          <w:szCs w:val="24"/>
          <w:highlight w:val="none"/>
          <w:lang w:val="en-US" w:eastAsia="zh-CN" w:bidi="ar-SA"/>
        </w:rPr>
        <w:t>服务内容（包括但不仅限于）：</w:t>
      </w:r>
    </w:p>
    <w:p w14:paraId="2800E535">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1、进行债券市场调查，设计、并与发行人商定发行方案；</w:t>
      </w:r>
    </w:p>
    <w:p w14:paraId="311EE19C">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2、撰写募集说明书，提供专业咨询服务，协调各中介机构开展尽职调查，协助、安排发行主体完成整合和评级、审计等发债的前期准备工作；</w:t>
      </w:r>
    </w:p>
    <w:p w14:paraId="26A21B9B">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3、负责申报材料的撰写、上报和反馈问题答复，负责与主管部门沟通</w:t>
      </w:r>
      <w:r>
        <w:rPr>
          <w:rFonts w:hint="eastAsia" w:ascii="仿宋" w:hAnsi="仿宋" w:eastAsia="仿宋" w:cs="Times New Roman"/>
          <w:b w:val="0"/>
          <w:bCs w:val="0"/>
          <w:color w:val="auto"/>
          <w:sz w:val="24"/>
          <w:highlight w:val="none"/>
          <w:lang w:val="en-US" w:eastAsia="zh-CN"/>
        </w:rPr>
        <w:t>；</w:t>
      </w:r>
    </w:p>
    <w:p w14:paraId="7966549B">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4、策划债券宣传方案，安排路演推介工作；</w:t>
      </w:r>
    </w:p>
    <w:p w14:paraId="4E9C4AFC">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5、协助沟通相关部门，力争发行利率低，尽可能降低发债成本；</w:t>
      </w:r>
    </w:p>
    <w:p w14:paraId="7BCCFACE">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6、协调相关上市事宜，完成债券销售，并负责余额包销，按时向发行人划款；主承销商未履行承诺的，发行人有权终止服务合同，主承销商赔偿发行人相应损失。</w:t>
      </w:r>
    </w:p>
    <w:p w14:paraId="1B715EA2">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7、负责债券存续期内的还本付息等持续督导工作；</w:t>
      </w:r>
    </w:p>
    <w:p w14:paraId="54B2F50D">
      <w:pPr>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8、债券存续期内后续信息披露公告工作；</w:t>
      </w:r>
    </w:p>
    <w:p w14:paraId="618E9F26">
      <w:pPr>
        <w:adjustRightInd w:val="0"/>
        <w:spacing w:line="360" w:lineRule="auto"/>
        <w:ind w:firstLine="480" w:firstLineChars="200"/>
        <w:rPr>
          <w:color w:val="auto"/>
          <w:kern w:val="0"/>
          <w:sz w:val="24"/>
          <w:highlight w:val="none"/>
        </w:rPr>
      </w:pPr>
      <w:r>
        <w:rPr>
          <w:rFonts w:hint="eastAsia" w:ascii="仿宋" w:hAnsi="仿宋" w:eastAsia="仿宋" w:cs="Times New Roman"/>
          <w:b w:val="0"/>
          <w:bCs w:val="0"/>
          <w:color w:val="auto"/>
          <w:sz w:val="24"/>
          <w:highlight w:val="none"/>
          <w:lang w:val="en-US" w:eastAsia="zh-CN"/>
        </w:rPr>
        <w:t>9、后续支持等。</w:t>
      </w:r>
    </w:p>
    <w:p w14:paraId="2BEA17EB">
      <w:pPr>
        <w:snapToGrid w:val="0"/>
        <w:spacing w:line="360" w:lineRule="auto"/>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二、商务要求</w:t>
      </w:r>
    </w:p>
    <w:p w14:paraId="18DDB76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eastAsia="仿宋"/>
          <w:b/>
          <w:bCs/>
          <w:color w:val="auto"/>
          <w:sz w:val="24"/>
          <w:highlight w:val="none"/>
          <w:lang w:eastAsia="zh-CN"/>
        </w:rPr>
      </w:pPr>
      <w:r>
        <w:rPr>
          <w:rFonts w:hint="eastAsia" w:ascii="仿宋" w:hAnsi="仿宋" w:eastAsia="仿宋"/>
          <w:color w:val="auto"/>
          <w:sz w:val="24"/>
          <w:highlight w:val="none"/>
        </w:rPr>
        <w:t>▲</w:t>
      </w:r>
      <w:r>
        <w:rPr>
          <w:rFonts w:hint="eastAsia" w:ascii="仿宋" w:eastAsia="仿宋"/>
          <w:b/>
          <w:bCs/>
          <w:color w:val="auto"/>
          <w:sz w:val="24"/>
          <w:highlight w:val="none"/>
        </w:rPr>
        <w:t>2.1服务期限</w:t>
      </w:r>
      <w:r>
        <w:rPr>
          <w:rFonts w:hint="eastAsia" w:ascii="仿宋" w:eastAsia="仿宋"/>
          <w:b/>
          <w:bCs/>
          <w:color w:val="auto"/>
          <w:sz w:val="24"/>
          <w:highlight w:val="none"/>
          <w:lang w:eastAsia="zh-CN"/>
        </w:rPr>
        <w:t>：</w:t>
      </w:r>
    </w:p>
    <w:p w14:paraId="6DDB4429">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五年。</w:t>
      </w:r>
    </w:p>
    <w:p w14:paraId="09C77DCA">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仿宋" w:eastAsia="仿宋"/>
          <w:b/>
          <w:bCs/>
          <w:color w:val="auto"/>
          <w:sz w:val="24"/>
          <w:highlight w:val="none"/>
          <w:lang w:eastAsia="zh-CN"/>
        </w:rPr>
      </w:pPr>
      <w:r>
        <w:rPr>
          <w:rFonts w:hint="eastAsia" w:ascii="仿宋" w:eastAsia="仿宋"/>
          <w:b/>
          <w:bCs/>
          <w:color w:val="auto"/>
          <w:sz w:val="24"/>
          <w:highlight w:val="none"/>
        </w:rPr>
        <w:t>2.2服务地点</w:t>
      </w:r>
      <w:r>
        <w:rPr>
          <w:rFonts w:hint="eastAsia" w:ascii="仿宋" w:eastAsia="仿宋"/>
          <w:b/>
          <w:bCs/>
          <w:color w:val="auto"/>
          <w:sz w:val="24"/>
          <w:highlight w:val="none"/>
          <w:lang w:eastAsia="zh-CN"/>
        </w:rPr>
        <w:t>：</w:t>
      </w:r>
    </w:p>
    <w:p w14:paraId="50FC5F9D">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遴选人</w:t>
      </w:r>
      <w:r>
        <w:rPr>
          <w:rFonts w:hint="eastAsia" w:ascii="仿宋" w:hAnsi="仿宋" w:eastAsia="仿宋"/>
          <w:color w:val="auto"/>
          <w:sz w:val="24"/>
          <w:highlight w:val="none"/>
        </w:rPr>
        <w:t>指定地点</w:t>
      </w:r>
      <w:r>
        <w:rPr>
          <w:rFonts w:hint="eastAsia" w:ascii="仿宋" w:hAnsi="仿宋" w:eastAsia="仿宋"/>
          <w:color w:val="auto"/>
          <w:sz w:val="24"/>
          <w:highlight w:val="none"/>
          <w:lang w:eastAsia="zh-CN"/>
        </w:rPr>
        <w:t>。</w:t>
      </w:r>
    </w:p>
    <w:p w14:paraId="34F01E0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eastAsia="仿宋"/>
          <w:b/>
          <w:bCs/>
          <w:color w:val="auto"/>
          <w:sz w:val="24"/>
          <w:highlight w:val="none"/>
          <w:lang w:eastAsia="zh-CN"/>
        </w:rPr>
      </w:pPr>
      <w:r>
        <w:rPr>
          <w:rFonts w:hint="eastAsia" w:ascii="仿宋" w:hAnsi="仿宋" w:eastAsia="仿宋"/>
          <w:color w:val="auto"/>
          <w:sz w:val="24"/>
          <w:highlight w:val="none"/>
        </w:rPr>
        <w:t>▲</w:t>
      </w:r>
      <w:r>
        <w:rPr>
          <w:rFonts w:hint="eastAsia" w:ascii="仿宋" w:eastAsia="仿宋"/>
          <w:b/>
          <w:bCs/>
          <w:color w:val="auto"/>
          <w:sz w:val="24"/>
          <w:highlight w:val="none"/>
        </w:rPr>
        <w:t>2.3付款方式</w:t>
      </w:r>
      <w:r>
        <w:rPr>
          <w:rFonts w:hint="eastAsia" w:ascii="仿宋" w:eastAsia="仿宋"/>
          <w:b/>
          <w:bCs/>
          <w:color w:val="auto"/>
          <w:sz w:val="24"/>
          <w:highlight w:val="none"/>
          <w:lang w:eastAsia="zh-CN"/>
        </w:rPr>
        <w:t>：</w:t>
      </w:r>
    </w:p>
    <w:p w14:paraId="63BA58DE">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2.3.1</w:t>
      </w:r>
      <w:r>
        <w:rPr>
          <w:rFonts w:hint="eastAsia" w:ascii="仿宋" w:hAnsi="仿宋" w:eastAsia="仿宋"/>
          <w:color w:val="auto"/>
          <w:sz w:val="24"/>
          <w:highlight w:val="none"/>
        </w:rPr>
        <w:t>承销费用按照规定在向发行单位划付募集款项之前从募集款项中一次性扣除。承销费用按照规定在向发行单位划付募集款项之前从募集款项中一次性扣除。若附发行人调整票面利率选择权、投资者回售选择权，则发行单位分次支付承销费用，首次支付时点为当期债券发行完毕后，发行单位应支付给主承销商的承销费用=当期债券实际发行金额×年承销费率×当期债券未回售前的存续期限，后续支付时点为当期债券每次行权日后的【五】个工作日内，发行单位应支付给主承销商的承销费用=当期债券当个计息年度未回售部分的金额×年承销费率×当期债券未回售部分在下一次回售前的存续期限。</w:t>
      </w:r>
    </w:p>
    <w:p w14:paraId="67F66CA6">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仿宋" w:eastAsia="仿宋"/>
          <w:color w:val="auto"/>
          <w:kern w:val="0"/>
          <w:sz w:val="24"/>
          <w:highlight w:val="none"/>
        </w:rPr>
      </w:pPr>
      <w:r>
        <w:rPr>
          <w:rFonts w:hint="eastAsia" w:ascii="仿宋" w:eastAsia="仿宋"/>
          <w:color w:val="auto"/>
          <w:kern w:val="0"/>
          <w:sz w:val="24"/>
          <w:highlight w:val="none"/>
          <w:lang w:val="en-US" w:eastAsia="zh-CN"/>
        </w:rPr>
        <w:t>2.3.2</w:t>
      </w:r>
      <w:r>
        <w:rPr>
          <w:rFonts w:hint="eastAsia" w:ascii="仿宋" w:eastAsia="仿宋"/>
          <w:color w:val="auto"/>
          <w:kern w:val="0"/>
          <w:sz w:val="24"/>
          <w:highlight w:val="none"/>
        </w:rPr>
        <w:t>中标人未能在约定的服务时间内提供服务的，未达到合同规定的质量要求的，</w:t>
      </w:r>
      <w:r>
        <w:rPr>
          <w:rFonts w:hint="eastAsia" w:ascii="仿宋" w:eastAsia="仿宋"/>
          <w:color w:val="auto"/>
          <w:kern w:val="0"/>
          <w:sz w:val="24"/>
          <w:highlight w:val="none"/>
          <w:lang w:eastAsia="zh-CN"/>
        </w:rPr>
        <w:t>遴选人</w:t>
      </w:r>
      <w:r>
        <w:rPr>
          <w:rFonts w:hint="eastAsia" w:ascii="仿宋" w:eastAsia="仿宋"/>
          <w:color w:val="auto"/>
          <w:kern w:val="0"/>
          <w:sz w:val="24"/>
          <w:highlight w:val="none"/>
        </w:rPr>
        <w:t>有权暂缓支付服务款；</w:t>
      </w:r>
    </w:p>
    <w:p w14:paraId="2750D6B5">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olor w:val="auto"/>
          <w:sz w:val="24"/>
          <w:highlight w:val="none"/>
        </w:rPr>
      </w:pPr>
      <w:r>
        <w:rPr>
          <w:rFonts w:hint="eastAsia" w:ascii="仿宋" w:eastAsia="仿宋"/>
          <w:color w:val="auto"/>
          <w:kern w:val="0"/>
          <w:sz w:val="24"/>
          <w:highlight w:val="none"/>
          <w:lang w:val="en-US" w:eastAsia="zh-CN"/>
        </w:rPr>
        <w:t>2.3.3</w:t>
      </w:r>
      <w:r>
        <w:rPr>
          <w:rFonts w:hint="eastAsia" w:ascii="仿宋" w:eastAsia="仿宋"/>
          <w:color w:val="auto"/>
          <w:kern w:val="0"/>
          <w:sz w:val="24"/>
          <w:highlight w:val="none"/>
        </w:rPr>
        <w:t>发票应随付款进度同时提供（按照国家有关规定缴纳相应税费）。</w:t>
      </w:r>
    </w:p>
    <w:p w14:paraId="25A022C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eastAsia="仿宋"/>
          <w:b/>
          <w:bCs/>
          <w:color w:val="auto"/>
          <w:sz w:val="24"/>
          <w:highlight w:val="none"/>
          <w:lang w:val="en-US" w:eastAsia="zh-CN"/>
        </w:rPr>
      </w:pPr>
      <w:r>
        <w:rPr>
          <w:rFonts w:hint="eastAsia" w:ascii="仿宋" w:hAnsi="仿宋" w:eastAsia="仿宋"/>
          <w:color w:val="auto"/>
          <w:sz w:val="24"/>
          <w:highlight w:val="none"/>
        </w:rPr>
        <w:t>▲</w:t>
      </w: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4结算原则：</w:t>
      </w:r>
    </w:p>
    <w:p w14:paraId="01AA7F79">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lang w:val="en-US" w:eastAsia="zh-CN"/>
        </w:rPr>
        <w:t>4</w:t>
      </w:r>
      <w:r>
        <w:rPr>
          <w:rFonts w:hint="default" w:ascii="仿宋" w:hAnsi="仿宋" w:eastAsia="仿宋" w:cs="Times New Roman"/>
          <w:color w:val="auto"/>
          <w:sz w:val="24"/>
          <w:highlight w:val="none"/>
          <w:lang w:val="en-US" w:eastAsia="zh-CN"/>
        </w:rPr>
        <w:t>.1</w:t>
      </w:r>
      <w:r>
        <w:rPr>
          <w:rFonts w:hint="eastAsia" w:ascii="仿宋" w:hAnsi="仿宋" w:eastAsia="仿宋" w:cs="Times New Roman"/>
          <w:color w:val="auto"/>
          <w:sz w:val="24"/>
          <w:highlight w:val="none"/>
          <w:lang w:val="en-US" w:eastAsia="zh-CN"/>
        </w:rPr>
        <w:t>遴选文件</w:t>
      </w:r>
      <w:r>
        <w:rPr>
          <w:rFonts w:hint="default" w:ascii="仿宋" w:hAnsi="仿宋" w:eastAsia="仿宋" w:cs="Times New Roman"/>
          <w:color w:val="auto"/>
          <w:sz w:val="24"/>
          <w:highlight w:val="none"/>
          <w:lang w:val="en-US" w:eastAsia="zh-CN"/>
        </w:rPr>
        <w:t>、中标供应商的中标报价等作为结算依据；</w:t>
      </w:r>
    </w:p>
    <w:p w14:paraId="23117AC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仿宋" w:eastAsia="仿宋"/>
          <w:b/>
          <w:bCs/>
          <w:color w:val="auto"/>
          <w:sz w:val="24"/>
          <w:highlight w:val="none"/>
          <w:lang w:val="en-US" w:eastAsia="zh-CN"/>
        </w:rPr>
      </w:pPr>
      <w:r>
        <w:rPr>
          <w:rFonts w:hint="default"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lang w:val="en-US" w:eastAsia="zh-CN"/>
        </w:rPr>
        <w:t>4</w:t>
      </w:r>
      <w:r>
        <w:rPr>
          <w:rFonts w:hint="default" w:ascii="仿宋" w:hAnsi="仿宋" w:eastAsia="仿宋" w:cs="Times New Roman"/>
          <w:color w:val="auto"/>
          <w:sz w:val="24"/>
          <w:highlight w:val="none"/>
          <w:lang w:val="en-US" w:eastAsia="zh-CN"/>
        </w:rPr>
        <w:t>.2中标</w:t>
      </w:r>
      <w:r>
        <w:rPr>
          <w:rFonts w:hint="eastAsia" w:ascii="仿宋" w:hAnsi="仿宋" w:eastAsia="仿宋" w:cs="Times New Roman"/>
          <w:color w:val="auto"/>
          <w:sz w:val="24"/>
          <w:highlight w:val="none"/>
          <w:lang w:val="en-US" w:eastAsia="zh-CN"/>
        </w:rPr>
        <w:t>费率固定</w:t>
      </w:r>
      <w:r>
        <w:rPr>
          <w:rFonts w:hint="default" w:ascii="仿宋" w:hAnsi="仿宋" w:eastAsia="仿宋" w:cs="Times New Roman"/>
          <w:color w:val="auto"/>
          <w:sz w:val="24"/>
          <w:highlight w:val="none"/>
          <w:lang w:val="en-US" w:eastAsia="zh-CN"/>
        </w:rPr>
        <w:t>，不再调整</w:t>
      </w:r>
      <w:r>
        <w:rPr>
          <w:rFonts w:hint="eastAsia" w:ascii="仿宋" w:hAnsi="仿宋" w:eastAsia="仿宋" w:cs="Times New Roman"/>
          <w:color w:val="auto"/>
          <w:sz w:val="24"/>
          <w:highlight w:val="none"/>
          <w:lang w:val="en-US" w:eastAsia="zh-CN"/>
        </w:rPr>
        <w:t>。</w:t>
      </w:r>
    </w:p>
    <w:p w14:paraId="6D86DC38">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eastAsia="仿宋"/>
          <w:b/>
          <w:bCs/>
          <w:color w:val="auto"/>
          <w:kern w:val="0"/>
          <w:sz w:val="24"/>
          <w:highlight w:val="none"/>
          <w:lang w:eastAsia="zh-CN"/>
        </w:rPr>
      </w:pPr>
      <w:r>
        <w:rPr>
          <w:rFonts w:hint="eastAsia" w:ascii="仿宋" w:hAnsi="仿宋" w:eastAsia="仿宋"/>
          <w:color w:val="auto"/>
          <w:sz w:val="24"/>
          <w:highlight w:val="none"/>
        </w:rPr>
        <w:t>▲</w:t>
      </w:r>
      <w:r>
        <w:rPr>
          <w:rFonts w:hint="eastAsia" w:ascii="仿宋" w:hAnsi="Times New Roman" w:eastAsia="仿宋" w:cs="Times New Roman"/>
          <w:b/>
          <w:bCs/>
          <w:color w:val="auto"/>
          <w:sz w:val="24"/>
          <w:highlight w:val="none"/>
          <w:lang w:val="en-US" w:eastAsia="zh-CN"/>
        </w:rPr>
        <w:t>2.5</w:t>
      </w:r>
      <w:r>
        <w:rPr>
          <w:rFonts w:hint="eastAsia" w:ascii="仿宋" w:hAnsi="Times New Roman" w:eastAsia="仿宋" w:cs="Times New Roman"/>
          <w:b/>
          <w:bCs/>
          <w:color w:val="auto"/>
          <w:sz w:val="24"/>
          <w:highlight w:val="none"/>
        </w:rPr>
        <w:t>违约责</w:t>
      </w:r>
      <w:r>
        <w:rPr>
          <w:rFonts w:hint="eastAsia" w:ascii="仿宋" w:eastAsia="仿宋"/>
          <w:b/>
          <w:bCs/>
          <w:color w:val="auto"/>
          <w:kern w:val="0"/>
          <w:sz w:val="24"/>
          <w:highlight w:val="none"/>
        </w:rPr>
        <w:t>任</w:t>
      </w:r>
      <w:r>
        <w:rPr>
          <w:rFonts w:hint="eastAsia" w:ascii="仿宋" w:eastAsia="仿宋"/>
          <w:b/>
          <w:bCs/>
          <w:color w:val="auto"/>
          <w:kern w:val="0"/>
          <w:sz w:val="24"/>
          <w:highlight w:val="none"/>
          <w:lang w:eastAsia="zh-CN"/>
        </w:rPr>
        <w:t>：</w:t>
      </w:r>
    </w:p>
    <w:p w14:paraId="1374F42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hAnsi="Times New Roman" w:eastAsia="仿宋" w:cs="Times New Roman"/>
          <w:b w:val="0"/>
          <w:bCs/>
          <w:color w:val="auto"/>
          <w:kern w:val="0"/>
          <w:sz w:val="24"/>
          <w:highlight w:val="none"/>
        </w:rPr>
      </w:pPr>
      <w:r>
        <w:rPr>
          <w:rFonts w:hint="eastAsia" w:ascii="仿宋" w:hAnsi="Times New Roman" w:eastAsia="仿宋" w:cs="Times New Roman"/>
          <w:b w:val="0"/>
          <w:bCs/>
          <w:color w:val="auto"/>
          <w:kern w:val="0"/>
          <w:sz w:val="24"/>
          <w:highlight w:val="none"/>
          <w:lang w:val="en-US" w:eastAsia="zh-CN"/>
        </w:rPr>
        <w:t>2.5.1</w:t>
      </w:r>
      <w:r>
        <w:rPr>
          <w:rFonts w:hint="eastAsia" w:ascii="仿宋" w:eastAsia="仿宋" w:cs="Times New Roman"/>
          <w:b w:val="0"/>
          <w:bCs/>
          <w:color w:val="auto"/>
          <w:kern w:val="0"/>
          <w:sz w:val="24"/>
          <w:highlight w:val="none"/>
          <w:lang w:eastAsia="zh-CN"/>
        </w:rPr>
        <w:t>遴选人</w:t>
      </w:r>
      <w:r>
        <w:rPr>
          <w:rFonts w:hint="eastAsia" w:ascii="仿宋" w:hAnsi="Times New Roman" w:eastAsia="仿宋" w:cs="Times New Roman"/>
          <w:b w:val="0"/>
          <w:bCs/>
          <w:color w:val="auto"/>
          <w:kern w:val="0"/>
          <w:sz w:val="24"/>
          <w:highlight w:val="none"/>
        </w:rPr>
        <w:t>无故逾期验收和办理合同款项支付手续的,</w:t>
      </w:r>
      <w:r>
        <w:rPr>
          <w:rFonts w:hint="eastAsia" w:ascii="仿宋" w:eastAsia="仿宋" w:cs="Times New Roman"/>
          <w:b w:val="0"/>
          <w:bCs/>
          <w:color w:val="auto"/>
          <w:kern w:val="0"/>
          <w:sz w:val="24"/>
          <w:highlight w:val="none"/>
          <w:lang w:eastAsia="zh-CN"/>
        </w:rPr>
        <w:t>遴选人</w:t>
      </w:r>
      <w:r>
        <w:rPr>
          <w:rFonts w:hint="eastAsia" w:ascii="仿宋" w:hAnsi="Times New Roman" w:eastAsia="仿宋" w:cs="Times New Roman"/>
          <w:b w:val="0"/>
          <w:bCs/>
          <w:color w:val="auto"/>
          <w:kern w:val="0"/>
          <w:sz w:val="24"/>
          <w:highlight w:val="none"/>
        </w:rPr>
        <w:t>应按逾期付款总额每日万分之五向</w:t>
      </w:r>
      <w:r>
        <w:rPr>
          <w:rFonts w:hint="eastAsia" w:ascii="仿宋" w:hAnsi="Times New Roman" w:eastAsia="仿宋" w:cs="Times New Roman"/>
          <w:b w:val="0"/>
          <w:bCs/>
          <w:color w:val="auto"/>
          <w:kern w:val="0"/>
          <w:sz w:val="24"/>
          <w:highlight w:val="none"/>
          <w:lang w:eastAsia="zh-CN"/>
        </w:rPr>
        <w:t>中标人</w:t>
      </w:r>
      <w:r>
        <w:rPr>
          <w:rFonts w:hint="eastAsia" w:ascii="仿宋" w:hAnsi="Times New Roman" w:eastAsia="仿宋" w:cs="Times New Roman"/>
          <w:b w:val="0"/>
          <w:bCs/>
          <w:color w:val="auto"/>
          <w:kern w:val="0"/>
          <w:sz w:val="24"/>
          <w:highlight w:val="none"/>
        </w:rPr>
        <w:t>支付违约金。</w:t>
      </w:r>
    </w:p>
    <w:p w14:paraId="2CC0D7B6">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color w:val="auto"/>
          <w:highlight w:val="none"/>
        </w:rPr>
      </w:pPr>
      <w:r>
        <w:rPr>
          <w:rFonts w:hint="eastAsia" w:ascii="仿宋" w:hAnsi="Times New Roman" w:eastAsia="仿宋" w:cs="Times New Roman"/>
          <w:b w:val="0"/>
          <w:bCs/>
          <w:color w:val="auto"/>
          <w:kern w:val="0"/>
          <w:sz w:val="24"/>
          <w:highlight w:val="none"/>
          <w:lang w:val="en-US" w:eastAsia="zh-CN"/>
        </w:rPr>
        <w:t>2.5.</w:t>
      </w:r>
      <w:r>
        <w:rPr>
          <w:rFonts w:hint="eastAsia" w:ascii="仿宋" w:eastAsia="仿宋" w:cs="Times New Roman"/>
          <w:b w:val="0"/>
          <w:bCs/>
          <w:color w:val="auto"/>
          <w:kern w:val="0"/>
          <w:sz w:val="24"/>
          <w:highlight w:val="none"/>
          <w:lang w:val="en-US" w:eastAsia="zh-CN"/>
        </w:rPr>
        <w:t>2</w:t>
      </w:r>
      <w:r>
        <w:rPr>
          <w:rFonts w:hint="eastAsia" w:ascii="仿宋" w:hAnsi="Times New Roman" w:eastAsia="仿宋" w:cs="Times New Roman"/>
          <w:b w:val="0"/>
          <w:bCs/>
          <w:color w:val="auto"/>
          <w:kern w:val="0"/>
          <w:sz w:val="24"/>
          <w:highlight w:val="none"/>
          <w:lang w:eastAsia="zh-CN"/>
        </w:rPr>
        <w:t>中标人</w:t>
      </w:r>
      <w:r>
        <w:rPr>
          <w:rFonts w:hint="eastAsia" w:ascii="仿宋" w:hAnsi="Times New Roman" w:eastAsia="仿宋" w:cs="Times New Roman"/>
          <w:b w:val="0"/>
          <w:bCs/>
          <w:color w:val="auto"/>
          <w:kern w:val="0"/>
          <w:sz w:val="24"/>
          <w:highlight w:val="none"/>
        </w:rPr>
        <w:t>逾期提供服务的，</w:t>
      </w:r>
      <w:r>
        <w:rPr>
          <w:rFonts w:hint="eastAsia" w:ascii="仿宋" w:hAnsi="Times New Roman" w:eastAsia="仿宋" w:cs="Times New Roman"/>
          <w:b w:val="0"/>
          <w:bCs/>
          <w:color w:val="auto"/>
          <w:kern w:val="0"/>
          <w:sz w:val="24"/>
          <w:highlight w:val="none"/>
          <w:lang w:eastAsia="zh-CN"/>
        </w:rPr>
        <w:t>中标人</w:t>
      </w:r>
      <w:r>
        <w:rPr>
          <w:rFonts w:hint="eastAsia" w:ascii="仿宋" w:hAnsi="Times New Roman" w:eastAsia="仿宋" w:cs="Times New Roman"/>
          <w:b w:val="0"/>
          <w:bCs/>
          <w:color w:val="auto"/>
          <w:kern w:val="0"/>
          <w:sz w:val="24"/>
          <w:highlight w:val="none"/>
        </w:rPr>
        <w:t>应按逾期交付项目总额每日千分之六向</w:t>
      </w:r>
      <w:r>
        <w:rPr>
          <w:rFonts w:hint="eastAsia" w:ascii="仿宋" w:eastAsia="仿宋" w:cs="Times New Roman"/>
          <w:b w:val="0"/>
          <w:bCs/>
          <w:color w:val="auto"/>
          <w:kern w:val="0"/>
          <w:sz w:val="24"/>
          <w:highlight w:val="none"/>
          <w:lang w:eastAsia="zh-CN"/>
        </w:rPr>
        <w:t>遴选人</w:t>
      </w:r>
      <w:r>
        <w:rPr>
          <w:rFonts w:hint="eastAsia" w:ascii="仿宋" w:hAnsi="Times New Roman" w:eastAsia="仿宋" w:cs="Times New Roman"/>
          <w:b w:val="0"/>
          <w:bCs/>
          <w:color w:val="auto"/>
          <w:kern w:val="0"/>
          <w:sz w:val="24"/>
          <w:highlight w:val="none"/>
        </w:rPr>
        <w:t>支付违约金，由</w:t>
      </w:r>
      <w:r>
        <w:rPr>
          <w:rFonts w:hint="eastAsia" w:ascii="仿宋" w:eastAsia="仿宋" w:cs="Times New Roman"/>
          <w:b w:val="0"/>
          <w:bCs/>
          <w:color w:val="auto"/>
          <w:kern w:val="0"/>
          <w:sz w:val="24"/>
          <w:highlight w:val="none"/>
          <w:lang w:eastAsia="zh-CN"/>
        </w:rPr>
        <w:t>遴选人</w:t>
      </w:r>
      <w:r>
        <w:rPr>
          <w:rFonts w:hint="eastAsia" w:ascii="仿宋" w:hAnsi="Times New Roman" w:eastAsia="仿宋" w:cs="Times New Roman"/>
          <w:b w:val="0"/>
          <w:bCs/>
          <w:color w:val="auto"/>
          <w:kern w:val="0"/>
          <w:sz w:val="24"/>
          <w:highlight w:val="none"/>
        </w:rPr>
        <w:t>从合同款项中扣除。逾期超过约定工作日不能交付的，</w:t>
      </w:r>
      <w:r>
        <w:rPr>
          <w:rFonts w:hint="eastAsia" w:ascii="仿宋" w:eastAsia="仿宋" w:cs="Times New Roman"/>
          <w:b w:val="0"/>
          <w:bCs/>
          <w:color w:val="auto"/>
          <w:kern w:val="0"/>
          <w:sz w:val="24"/>
          <w:highlight w:val="none"/>
          <w:lang w:eastAsia="zh-CN"/>
        </w:rPr>
        <w:t>遴选人</w:t>
      </w:r>
      <w:r>
        <w:rPr>
          <w:rFonts w:hint="eastAsia" w:ascii="仿宋" w:hAnsi="Times New Roman" w:eastAsia="仿宋" w:cs="Times New Roman"/>
          <w:b w:val="0"/>
          <w:bCs/>
          <w:color w:val="auto"/>
          <w:kern w:val="0"/>
          <w:sz w:val="24"/>
          <w:highlight w:val="none"/>
        </w:rPr>
        <w:t>可解除本合同。</w:t>
      </w:r>
      <w:r>
        <w:rPr>
          <w:rFonts w:hint="eastAsia" w:ascii="仿宋" w:hAnsi="Times New Roman" w:eastAsia="仿宋" w:cs="Times New Roman"/>
          <w:b w:val="0"/>
          <w:bCs/>
          <w:color w:val="auto"/>
          <w:kern w:val="0"/>
          <w:sz w:val="24"/>
          <w:highlight w:val="none"/>
          <w:lang w:eastAsia="zh-CN"/>
        </w:rPr>
        <w:t>中标人</w:t>
      </w:r>
      <w:r>
        <w:rPr>
          <w:rFonts w:hint="eastAsia" w:ascii="仿宋" w:hAnsi="Times New Roman" w:eastAsia="仿宋" w:cs="Times New Roman"/>
          <w:b w:val="0"/>
          <w:bCs/>
          <w:color w:val="auto"/>
          <w:kern w:val="0"/>
          <w:sz w:val="24"/>
          <w:highlight w:val="none"/>
        </w:rPr>
        <w:t>因逾期交付或因其他违约行为导致</w:t>
      </w:r>
      <w:r>
        <w:rPr>
          <w:rFonts w:hint="eastAsia" w:ascii="仿宋" w:eastAsia="仿宋" w:cs="Times New Roman"/>
          <w:b w:val="0"/>
          <w:bCs/>
          <w:color w:val="auto"/>
          <w:kern w:val="0"/>
          <w:sz w:val="24"/>
          <w:highlight w:val="none"/>
          <w:lang w:eastAsia="zh-CN"/>
        </w:rPr>
        <w:t>遴选人</w:t>
      </w:r>
      <w:r>
        <w:rPr>
          <w:rFonts w:hint="eastAsia" w:ascii="仿宋" w:hAnsi="Times New Roman" w:eastAsia="仿宋" w:cs="Times New Roman"/>
          <w:b w:val="0"/>
          <w:bCs/>
          <w:color w:val="auto"/>
          <w:kern w:val="0"/>
          <w:sz w:val="24"/>
          <w:highlight w:val="none"/>
        </w:rPr>
        <w:t>解除合同的，</w:t>
      </w:r>
      <w:r>
        <w:rPr>
          <w:rFonts w:hint="eastAsia" w:ascii="仿宋" w:hAnsi="Times New Roman" w:eastAsia="仿宋" w:cs="Times New Roman"/>
          <w:b w:val="0"/>
          <w:bCs/>
          <w:color w:val="auto"/>
          <w:kern w:val="0"/>
          <w:sz w:val="24"/>
          <w:highlight w:val="none"/>
          <w:lang w:eastAsia="zh-CN"/>
        </w:rPr>
        <w:t>中标人</w:t>
      </w:r>
      <w:r>
        <w:rPr>
          <w:rFonts w:hint="eastAsia" w:ascii="仿宋" w:hAnsi="Times New Roman" w:eastAsia="仿宋" w:cs="Times New Roman"/>
          <w:b w:val="0"/>
          <w:bCs/>
          <w:color w:val="auto"/>
          <w:kern w:val="0"/>
          <w:sz w:val="24"/>
          <w:highlight w:val="none"/>
        </w:rPr>
        <w:t>应向</w:t>
      </w:r>
      <w:r>
        <w:rPr>
          <w:rFonts w:hint="eastAsia" w:ascii="仿宋" w:eastAsia="仿宋" w:cs="Times New Roman"/>
          <w:b w:val="0"/>
          <w:bCs/>
          <w:color w:val="auto"/>
          <w:kern w:val="0"/>
          <w:sz w:val="24"/>
          <w:highlight w:val="none"/>
          <w:lang w:eastAsia="zh-CN"/>
        </w:rPr>
        <w:t>遴选人</w:t>
      </w:r>
      <w:r>
        <w:rPr>
          <w:rFonts w:hint="eastAsia" w:ascii="仿宋" w:hAnsi="Times New Roman" w:eastAsia="仿宋" w:cs="Times New Roman"/>
          <w:b w:val="0"/>
          <w:bCs/>
          <w:color w:val="auto"/>
          <w:kern w:val="0"/>
          <w:sz w:val="24"/>
          <w:highlight w:val="none"/>
        </w:rPr>
        <w:t>支付合同总值5%的违约金，如造成</w:t>
      </w:r>
      <w:r>
        <w:rPr>
          <w:rFonts w:hint="eastAsia" w:ascii="仿宋" w:eastAsia="仿宋" w:cs="Times New Roman"/>
          <w:b w:val="0"/>
          <w:bCs/>
          <w:color w:val="auto"/>
          <w:kern w:val="0"/>
          <w:sz w:val="24"/>
          <w:highlight w:val="none"/>
          <w:lang w:eastAsia="zh-CN"/>
        </w:rPr>
        <w:t>遴选人</w:t>
      </w:r>
      <w:r>
        <w:rPr>
          <w:rFonts w:hint="eastAsia" w:ascii="仿宋" w:hAnsi="Times New Roman" w:eastAsia="仿宋" w:cs="Times New Roman"/>
          <w:b w:val="0"/>
          <w:bCs/>
          <w:color w:val="auto"/>
          <w:kern w:val="0"/>
          <w:sz w:val="24"/>
          <w:highlight w:val="none"/>
        </w:rPr>
        <w:t>损失超过违约金的，超出部分由</w:t>
      </w:r>
      <w:r>
        <w:rPr>
          <w:rFonts w:hint="eastAsia" w:ascii="仿宋" w:hAnsi="Times New Roman" w:eastAsia="仿宋" w:cs="Times New Roman"/>
          <w:b w:val="0"/>
          <w:bCs/>
          <w:color w:val="auto"/>
          <w:kern w:val="0"/>
          <w:sz w:val="24"/>
          <w:highlight w:val="none"/>
          <w:lang w:eastAsia="zh-CN"/>
        </w:rPr>
        <w:t>中标人</w:t>
      </w:r>
      <w:r>
        <w:rPr>
          <w:rFonts w:hint="eastAsia" w:ascii="仿宋" w:hAnsi="Times New Roman" w:eastAsia="仿宋" w:cs="Times New Roman"/>
          <w:b w:val="0"/>
          <w:bCs/>
          <w:color w:val="auto"/>
          <w:kern w:val="0"/>
          <w:sz w:val="24"/>
          <w:highlight w:val="none"/>
        </w:rPr>
        <w:t xml:space="preserve">继续承担赔偿责任。 </w:t>
      </w:r>
    </w:p>
    <w:p w14:paraId="56F0A533">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eastAsia="仿宋"/>
          <w:b w:val="0"/>
          <w:bCs/>
          <w:color w:val="auto"/>
          <w:kern w:val="0"/>
          <w:sz w:val="24"/>
          <w:highlight w:val="none"/>
        </w:rPr>
      </w:pPr>
      <w:r>
        <w:rPr>
          <w:rFonts w:hint="eastAsia" w:ascii="仿宋" w:eastAsia="仿宋"/>
          <w:b w:val="0"/>
          <w:bCs/>
          <w:color w:val="auto"/>
          <w:kern w:val="0"/>
          <w:sz w:val="24"/>
          <w:highlight w:val="none"/>
          <w:lang w:val="en-US" w:eastAsia="zh-CN"/>
        </w:rPr>
        <w:t>2.5.3</w:t>
      </w:r>
      <w:r>
        <w:rPr>
          <w:rFonts w:hint="eastAsia" w:ascii="仿宋" w:hAnsi="Times New Roman" w:eastAsia="仿宋" w:cs="Times New Roman"/>
          <w:b w:val="0"/>
          <w:bCs/>
          <w:color w:val="auto"/>
          <w:kern w:val="0"/>
          <w:sz w:val="24"/>
          <w:highlight w:val="none"/>
          <w:lang w:eastAsia="zh-CN"/>
        </w:rPr>
        <w:t>中标人</w:t>
      </w:r>
      <w:r>
        <w:rPr>
          <w:rFonts w:hint="eastAsia" w:ascii="仿宋" w:eastAsia="仿宋"/>
          <w:b w:val="0"/>
          <w:bCs/>
          <w:color w:val="auto"/>
          <w:kern w:val="0"/>
          <w:sz w:val="24"/>
          <w:highlight w:val="none"/>
        </w:rPr>
        <w:t>所履行的服务质量或服务数量不符合合同规定及</w:t>
      </w:r>
      <w:r>
        <w:rPr>
          <w:rFonts w:hint="eastAsia" w:ascii="仿宋" w:eastAsia="仿宋"/>
          <w:b w:val="0"/>
          <w:bCs/>
          <w:color w:val="auto"/>
          <w:kern w:val="0"/>
          <w:sz w:val="24"/>
          <w:highlight w:val="none"/>
          <w:lang w:eastAsia="zh-CN"/>
        </w:rPr>
        <w:t>遴选文件</w:t>
      </w:r>
      <w:r>
        <w:rPr>
          <w:rFonts w:hint="eastAsia" w:ascii="仿宋" w:eastAsia="仿宋"/>
          <w:b w:val="0"/>
          <w:bCs/>
          <w:color w:val="auto"/>
          <w:kern w:val="0"/>
          <w:sz w:val="24"/>
          <w:highlight w:val="none"/>
        </w:rPr>
        <w:t>规定的，</w:t>
      </w:r>
      <w:r>
        <w:rPr>
          <w:rFonts w:hint="eastAsia" w:ascii="仿宋" w:eastAsia="仿宋" w:cs="Times New Roman"/>
          <w:b w:val="0"/>
          <w:bCs/>
          <w:color w:val="auto"/>
          <w:kern w:val="0"/>
          <w:sz w:val="24"/>
          <w:highlight w:val="none"/>
          <w:lang w:eastAsia="zh-CN"/>
        </w:rPr>
        <w:t>遴选人</w:t>
      </w:r>
      <w:r>
        <w:rPr>
          <w:rFonts w:hint="eastAsia" w:ascii="仿宋" w:eastAsia="仿宋"/>
          <w:b w:val="0"/>
          <w:bCs/>
          <w:color w:val="auto"/>
          <w:kern w:val="0"/>
          <w:sz w:val="24"/>
          <w:highlight w:val="none"/>
        </w:rPr>
        <w:t>有权中止接受服务，单方面解除合同，且相关损失由</w:t>
      </w:r>
      <w:r>
        <w:rPr>
          <w:rFonts w:hint="eastAsia" w:ascii="仿宋" w:hAnsi="Times New Roman" w:eastAsia="仿宋" w:cs="Times New Roman"/>
          <w:b w:val="0"/>
          <w:bCs/>
          <w:color w:val="auto"/>
          <w:kern w:val="0"/>
          <w:sz w:val="24"/>
          <w:highlight w:val="none"/>
          <w:lang w:eastAsia="zh-CN"/>
        </w:rPr>
        <w:t>中标人</w:t>
      </w:r>
      <w:r>
        <w:rPr>
          <w:rFonts w:hint="eastAsia" w:ascii="仿宋" w:eastAsia="仿宋"/>
          <w:b w:val="0"/>
          <w:bCs/>
          <w:color w:val="auto"/>
          <w:kern w:val="0"/>
          <w:sz w:val="24"/>
          <w:highlight w:val="none"/>
        </w:rPr>
        <w:t>承担。</w:t>
      </w:r>
    </w:p>
    <w:p w14:paraId="6577197B">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仿宋" w:eastAsia="仿宋"/>
          <w:b w:val="0"/>
          <w:bCs/>
          <w:color w:val="auto"/>
          <w:kern w:val="0"/>
          <w:sz w:val="24"/>
          <w:highlight w:val="none"/>
        </w:rPr>
      </w:pPr>
      <w:r>
        <w:rPr>
          <w:rFonts w:hint="eastAsia" w:ascii="仿宋" w:eastAsia="仿宋"/>
          <w:color w:val="auto"/>
          <w:kern w:val="0"/>
          <w:sz w:val="24"/>
          <w:highlight w:val="none"/>
          <w:lang w:val="en-US" w:eastAsia="zh-CN"/>
        </w:rPr>
        <w:t>2.5.4</w:t>
      </w:r>
      <w:r>
        <w:rPr>
          <w:rFonts w:hint="eastAsia" w:ascii="仿宋" w:eastAsia="仿宋"/>
          <w:color w:val="auto"/>
          <w:kern w:val="0"/>
          <w:sz w:val="24"/>
          <w:highlight w:val="none"/>
          <w:lang w:eastAsia="zh-CN"/>
        </w:rPr>
        <w:t>遴选文件</w:t>
      </w:r>
      <w:r>
        <w:rPr>
          <w:rFonts w:hint="eastAsia" w:ascii="仿宋" w:eastAsia="仿宋"/>
          <w:color w:val="auto"/>
          <w:kern w:val="0"/>
          <w:sz w:val="24"/>
          <w:highlight w:val="none"/>
        </w:rPr>
        <w:t>中约定的损失包括但不限于直接损失及诉讼费、律师费、担保费、鉴定费等间接费用。</w:t>
      </w:r>
    </w:p>
    <w:p w14:paraId="0D0D91F5">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49646740">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111F60E7">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5C0292C6">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6E807B97">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5829241D">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5404868F">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754CC0AB">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7D758D19">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0C09A1D0">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6604EF89">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397845C0">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525B71BE">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20A725C8">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48DCB4F6">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4CBC521D">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7B5D13E2">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08A7D4D5">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5ED63F0C">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7B6DDCB7">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7E9E48F1">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6B45EFDF">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0C599129">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1AA4D968">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6839B67A">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6E267AAC">
      <w:pPr>
        <w:widowControl/>
        <w:shd w:val="clear" w:color="auto" w:fill="FFFFFF"/>
        <w:spacing w:line="360" w:lineRule="auto"/>
        <w:ind w:firstLine="480" w:firstLineChars="200"/>
        <w:jc w:val="left"/>
        <w:rPr>
          <w:rFonts w:hint="eastAsia" w:ascii="仿宋" w:hAnsi="仿宋" w:eastAsia="仿宋" w:cs="仿宋"/>
          <w:color w:val="auto"/>
          <w:kern w:val="0"/>
          <w:sz w:val="24"/>
          <w:highlight w:val="none"/>
          <w:lang w:eastAsia="zh-CN"/>
        </w:rPr>
      </w:pPr>
    </w:p>
    <w:p w14:paraId="287E81B4">
      <w:pPr>
        <w:snapToGrid w:val="0"/>
        <w:spacing w:line="360" w:lineRule="auto"/>
        <w:ind w:firstLine="723" w:firstLineChars="200"/>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第四部分   </w:t>
      </w:r>
      <w:bookmarkStart w:id="31" w:name="_Toc184314479"/>
      <w:bookmarkEnd w:id="31"/>
      <w:bookmarkStart w:id="32" w:name="_Toc184310272"/>
      <w:bookmarkEnd w:id="32"/>
      <w:bookmarkStart w:id="33" w:name="_Toc184310326"/>
      <w:bookmarkEnd w:id="33"/>
      <w:bookmarkStart w:id="34" w:name="_Toc184308043"/>
      <w:bookmarkEnd w:id="34"/>
      <w:bookmarkStart w:id="35" w:name="_Toc184310306"/>
      <w:bookmarkEnd w:id="35"/>
      <w:bookmarkStart w:id="36" w:name="_Toc184310280"/>
      <w:bookmarkEnd w:id="36"/>
      <w:bookmarkStart w:id="37" w:name="_Toc184312137"/>
      <w:bookmarkEnd w:id="37"/>
      <w:bookmarkStart w:id="38" w:name="_Toc184310287"/>
      <w:bookmarkEnd w:id="38"/>
      <w:bookmarkStart w:id="39" w:name="_Toc184314478"/>
      <w:bookmarkEnd w:id="39"/>
      <w:bookmarkStart w:id="40" w:name="_Toc184314432"/>
      <w:bookmarkEnd w:id="40"/>
      <w:bookmarkStart w:id="41" w:name="_Toc184313284"/>
      <w:bookmarkEnd w:id="41"/>
      <w:bookmarkStart w:id="42" w:name="_Toc184314453"/>
      <w:bookmarkEnd w:id="42"/>
      <w:bookmarkStart w:id="43" w:name="_Toc184313238"/>
      <w:bookmarkEnd w:id="43"/>
      <w:bookmarkStart w:id="44" w:name="_Toc184312083"/>
      <w:bookmarkEnd w:id="44"/>
      <w:bookmarkStart w:id="45" w:name="_Toc184313297"/>
      <w:bookmarkEnd w:id="45"/>
      <w:bookmarkStart w:id="46" w:name="_Toc184310319"/>
      <w:bookmarkEnd w:id="46"/>
      <w:bookmarkStart w:id="47" w:name="_Toc184310298"/>
      <w:bookmarkEnd w:id="47"/>
      <w:bookmarkStart w:id="48" w:name="_Toc184314469"/>
      <w:bookmarkEnd w:id="48"/>
      <w:bookmarkStart w:id="49" w:name="_Toc184308102"/>
      <w:bookmarkEnd w:id="49"/>
      <w:bookmarkStart w:id="50" w:name="_Toc184308096"/>
      <w:bookmarkEnd w:id="50"/>
      <w:bookmarkStart w:id="51" w:name="_Toc184312070"/>
      <w:bookmarkEnd w:id="51"/>
      <w:bookmarkStart w:id="52" w:name="_Toc184312118"/>
      <w:bookmarkEnd w:id="52"/>
      <w:bookmarkStart w:id="53" w:name="_Toc184308049"/>
      <w:bookmarkEnd w:id="53"/>
      <w:bookmarkStart w:id="54" w:name="_Toc184310283"/>
      <w:bookmarkEnd w:id="54"/>
      <w:bookmarkStart w:id="55" w:name="_Toc184310297"/>
      <w:bookmarkEnd w:id="55"/>
      <w:bookmarkStart w:id="56" w:name="_Toc184310320"/>
      <w:bookmarkEnd w:id="56"/>
      <w:bookmarkStart w:id="57" w:name="_Toc184308097"/>
      <w:bookmarkEnd w:id="57"/>
      <w:bookmarkStart w:id="58" w:name="_Toc184308106"/>
      <w:bookmarkEnd w:id="58"/>
      <w:bookmarkStart w:id="59" w:name="_Toc184308101"/>
      <w:bookmarkEnd w:id="59"/>
      <w:bookmarkStart w:id="60" w:name="_Toc184313299"/>
      <w:bookmarkEnd w:id="60"/>
      <w:bookmarkStart w:id="61" w:name="_Toc184314436"/>
      <w:bookmarkEnd w:id="61"/>
      <w:bookmarkStart w:id="62" w:name="_Toc184313270"/>
      <w:bookmarkEnd w:id="62"/>
      <w:bookmarkStart w:id="63" w:name="_Toc184312088"/>
      <w:bookmarkEnd w:id="63"/>
      <w:bookmarkStart w:id="64" w:name="_Toc184313276"/>
      <w:bookmarkEnd w:id="64"/>
      <w:bookmarkStart w:id="65" w:name="_Toc184308085"/>
      <w:bookmarkEnd w:id="65"/>
      <w:bookmarkStart w:id="66" w:name="_Toc184312110"/>
      <w:bookmarkEnd w:id="66"/>
      <w:bookmarkStart w:id="67" w:name="_Toc184308057"/>
      <w:bookmarkEnd w:id="67"/>
      <w:bookmarkStart w:id="68" w:name="_Toc184313307"/>
      <w:bookmarkEnd w:id="68"/>
      <w:bookmarkStart w:id="69" w:name="_Toc184313293"/>
      <w:bookmarkEnd w:id="69"/>
      <w:bookmarkStart w:id="70" w:name="_Toc184314421"/>
      <w:bookmarkEnd w:id="70"/>
      <w:bookmarkStart w:id="71" w:name="_Toc184314413"/>
      <w:bookmarkEnd w:id="71"/>
      <w:bookmarkStart w:id="72" w:name="_Toc184312073"/>
      <w:bookmarkEnd w:id="72"/>
      <w:bookmarkStart w:id="73" w:name="_Toc184312129"/>
      <w:bookmarkEnd w:id="73"/>
      <w:bookmarkStart w:id="74" w:name="_Toc184308100"/>
      <w:bookmarkEnd w:id="74"/>
      <w:bookmarkStart w:id="75" w:name="_Toc184314435"/>
      <w:bookmarkEnd w:id="75"/>
      <w:bookmarkStart w:id="76" w:name="_Toc184312091"/>
      <w:bookmarkEnd w:id="76"/>
      <w:bookmarkStart w:id="77" w:name="_Toc184310336"/>
      <w:bookmarkEnd w:id="77"/>
      <w:bookmarkStart w:id="78" w:name="_Toc184310342"/>
      <w:bookmarkEnd w:id="78"/>
      <w:bookmarkStart w:id="79" w:name="_Toc184310275"/>
      <w:bookmarkEnd w:id="79"/>
      <w:bookmarkStart w:id="80" w:name="_Toc184314470"/>
      <w:bookmarkEnd w:id="80"/>
      <w:bookmarkStart w:id="81" w:name="_Toc184314430"/>
      <w:bookmarkEnd w:id="81"/>
      <w:bookmarkStart w:id="82" w:name="_Toc184308059"/>
      <w:bookmarkEnd w:id="82"/>
      <w:bookmarkStart w:id="83" w:name="_Toc184312090"/>
      <w:bookmarkEnd w:id="83"/>
      <w:bookmarkStart w:id="84" w:name="_Toc184313294"/>
      <w:bookmarkEnd w:id="84"/>
      <w:bookmarkStart w:id="85" w:name="_Toc184312119"/>
      <w:bookmarkEnd w:id="85"/>
      <w:bookmarkStart w:id="86" w:name="_Toc184308080"/>
      <w:bookmarkEnd w:id="86"/>
      <w:bookmarkStart w:id="87" w:name="_Toc184313286"/>
      <w:bookmarkEnd w:id="87"/>
      <w:bookmarkStart w:id="88" w:name="_Toc184313303"/>
      <w:bookmarkEnd w:id="88"/>
      <w:bookmarkStart w:id="89" w:name="_Toc184313300"/>
      <w:bookmarkEnd w:id="89"/>
      <w:bookmarkStart w:id="90" w:name="_Toc184310302"/>
      <w:bookmarkEnd w:id="90"/>
      <w:bookmarkStart w:id="91" w:name="_Toc184310278"/>
      <w:bookmarkEnd w:id="91"/>
      <w:bookmarkStart w:id="92" w:name="_Toc184310339"/>
      <w:bookmarkEnd w:id="92"/>
      <w:bookmarkStart w:id="93" w:name="_Toc184314458"/>
      <w:bookmarkEnd w:id="93"/>
      <w:bookmarkStart w:id="94" w:name="_Toc184310332"/>
      <w:bookmarkEnd w:id="94"/>
      <w:bookmarkStart w:id="95" w:name="_Toc184313285"/>
      <w:bookmarkEnd w:id="95"/>
      <w:bookmarkStart w:id="96" w:name="_Toc184313253"/>
      <w:bookmarkEnd w:id="96"/>
      <w:bookmarkStart w:id="97" w:name="_Toc184308046"/>
      <w:bookmarkEnd w:id="97"/>
      <w:bookmarkStart w:id="98" w:name="_Toc184314449"/>
      <w:bookmarkEnd w:id="98"/>
      <w:bookmarkStart w:id="99" w:name="_Toc184314468"/>
      <w:bookmarkEnd w:id="99"/>
      <w:bookmarkStart w:id="100" w:name="_Toc184312120"/>
      <w:bookmarkEnd w:id="100"/>
      <w:bookmarkStart w:id="101" w:name="_Toc184312126"/>
      <w:bookmarkEnd w:id="101"/>
      <w:bookmarkStart w:id="102" w:name="_Toc184312081"/>
      <w:bookmarkEnd w:id="102"/>
      <w:bookmarkStart w:id="103" w:name="_Toc184314450"/>
      <w:bookmarkEnd w:id="103"/>
      <w:bookmarkStart w:id="104" w:name="_Toc184308060"/>
      <w:bookmarkEnd w:id="104"/>
      <w:bookmarkStart w:id="105" w:name="_Toc184308094"/>
      <w:bookmarkEnd w:id="105"/>
      <w:bookmarkStart w:id="106" w:name="_Toc184314454"/>
      <w:bookmarkEnd w:id="106"/>
      <w:bookmarkStart w:id="107" w:name="_Toc184312132"/>
      <w:bookmarkEnd w:id="107"/>
      <w:bookmarkStart w:id="108" w:name="_Toc184308071"/>
      <w:bookmarkEnd w:id="108"/>
      <w:bookmarkStart w:id="109" w:name="_Toc184308079"/>
      <w:bookmarkEnd w:id="109"/>
      <w:bookmarkStart w:id="110" w:name="_Toc184313290"/>
      <w:bookmarkEnd w:id="110"/>
      <w:bookmarkStart w:id="111" w:name="_Toc184310290"/>
      <w:bookmarkEnd w:id="111"/>
      <w:bookmarkStart w:id="112" w:name="_Toc184312069"/>
      <w:bookmarkEnd w:id="112"/>
      <w:bookmarkStart w:id="113" w:name="_Toc184314411"/>
      <w:bookmarkEnd w:id="113"/>
      <w:bookmarkStart w:id="114" w:name="_Toc184308082"/>
      <w:bookmarkEnd w:id="114"/>
      <w:bookmarkStart w:id="115" w:name="_Toc184312125"/>
      <w:bookmarkEnd w:id="115"/>
      <w:bookmarkStart w:id="116" w:name="_Toc184310304"/>
      <w:bookmarkEnd w:id="116"/>
      <w:bookmarkStart w:id="117" w:name="_Toc184313266"/>
      <w:bookmarkEnd w:id="117"/>
      <w:bookmarkStart w:id="118" w:name="_Toc184312097"/>
      <w:bookmarkEnd w:id="118"/>
      <w:bookmarkStart w:id="119" w:name="_Toc184312076"/>
      <w:bookmarkEnd w:id="119"/>
      <w:bookmarkStart w:id="120" w:name="_Toc184312098"/>
      <w:bookmarkEnd w:id="120"/>
      <w:bookmarkStart w:id="121" w:name="_Toc184308064"/>
      <w:bookmarkEnd w:id="121"/>
      <w:bookmarkStart w:id="122" w:name="_Toc184314463"/>
      <w:bookmarkEnd w:id="122"/>
      <w:bookmarkStart w:id="123" w:name="_Toc184310284"/>
      <w:bookmarkEnd w:id="123"/>
      <w:bookmarkStart w:id="124" w:name="_Toc184312096"/>
      <w:bookmarkEnd w:id="124"/>
      <w:bookmarkStart w:id="125" w:name="_Toc184312111"/>
      <w:bookmarkEnd w:id="125"/>
      <w:bookmarkStart w:id="126" w:name="_Toc184314473"/>
      <w:bookmarkEnd w:id="126"/>
      <w:bookmarkStart w:id="127" w:name="_Toc184310293"/>
      <w:bookmarkEnd w:id="127"/>
      <w:bookmarkStart w:id="128" w:name="_Toc184314465"/>
      <w:bookmarkEnd w:id="128"/>
      <w:bookmarkStart w:id="129" w:name="_Toc184313240"/>
      <w:bookmarkEnd w:id="129"/>
      <w:bookmarkStart w:id="130" w:name="_Toc184314444"/>
      <w:bookmarkEnd w:id="130"/>
      <w:bookmarkStart w:id="131" w:name="_Toc184308104"/>
      <w:bookmarkEnd w:id="131"/>
      <w:bookmarkStart w:id="132" w:name="_Toc184314428"/>
      <w:bookmarkEnd w:id="132"/>
      <w:bookmarkStart w:id="133" w:name="_Toc184310338"/>
      <w:bookmarkEnd w:id="133"/>
      <w:bookmarkStart w:id="134" w:name="_Toc184313302"/>
      <w:bookmarkEnd w:id="134"/>
      <w:bookmarkStart w:id="135" w:name="_Toc184308105"/>
      <w:bookmarkEnd w:id="135"/>
      <w:bookmarkStart w:id="136" w:name="_Toc184312109"/>
      <w:bookmarkEnd w:id="136"/>
      <w:bookmarkStart w:id="137" w:name="_Toc184310329"/>
      <w:bookmarkEnd w:id="137"/>
      <w:bookmarkStart w:id="138" w:name="_Toc184312113"/>
      <w:bookmarkEnd w:id="138"/>
      <w:bookmarkStart w:id="139" w:name="_Toc184312086"/>
      <w:bookmarkEnd w:id="139"/>
      <w:bookmarkStart w:id="140" w:name="_Toc184310315"/>
      <w:bookmarkEnd w:id="140"/>
      <w:bookmarkStart w:id="141" w:name="_Toc184313289"/>
      <w:bookmarkEnd w:id="141"/>
      <w:bookmarkStart w:id="142" w:name="_Toc184313309"/>
      <w:bookmarkEnd w:id="142"/>
      <w:bookmarkStart w:id="143" w:name="_Toc184308055"/>
      <w:bookmarkEnd w:id="143"/>
      <w:bookmarkStart w:id="144" w:name="_Toc184313246"/>
      <w:bookmarkEnd w:id="144"/>
      <w:bookmarkStart w:id="145" w:name="_Toc184308087"/>
      <w:bookmarkEnd w:id="145"/>
      <w:bookmarkStart w:id="146" w:name="_Toc184312072"/>
      <w:bookmarkEnd w:id="146"/>
      <w:bookmarkStart w:id="147" w:name="_Toc184308051"/>
      <w:bookmarkEnd w:id="147"/>
      <w:bookmarkStart w:id="148" w:name="_Toc184313241"/>
      <w:bookmarkEnd w:id="148"/>
      <w:bookmarkStart w:id="149" w:name="_Toc184308065"/>
      <w:bookmarkEnd w:id="149"/>
      <w:bookmarkStart w:id="150" w:name="_Toc184313267"/>
      <w:bookmarkEnd w:id="150"/>
      <w:bookmarkStart w:id="151" w:name="_Toc184308089"/>
      <w:bookmarkEnd w:id="151"/>
      <w:bookmarkStart w:id="152" w:name="_Toc184313260"/>
      <w:bookmarkEnd w:id="152"/>
      <w:bookmarkStart w:id="153" w:name="_Toc184310335"/>
      <w:bookmarkEnd w:id="153"/>
      <w:bookmarkStart w:id="154" w:name="_Toc184312067"/>
      <w:bookmarkEnd w:id="154"/>
      <w:bookmarkStart w:id="155" w:name="_Toc184310296"/>
      <w:bookmarkEnd w:id="155"/>
      <w:bookmarkStart w:id="156" w:name="_Toc184312080"/>
      <w:bookmarkEnd w:id="156"/>
      <w:bookmarkStart w:id="157" w:name="_Toc184312122"/>
      <w:bookmarkEnd w:id="157"/>
      <w:bookmarkStart w:id="158" w:name="_Toc184308042"/>
      <w:bookmarkEnd w:id="158"/>
      <w:bookmarkStart w:id="159" w:name="_Toc184310314"/>
      <w:bookmarkEnd w:id="159"/>
      <w:bookmarkStart w:id="160" w:name="_Toc184312105"/>
      <w:bookmarkEnd w:id="160"/>
      <w:bookmarkStart w:id="161" w:name="_Toc184313272"/>
      <w:bookmarkEnd w:id="161"/>
      <w:bookmarkStart w:id="162" w:name="_Toc184310307"/>
      <w:bookmarkEnd w:id="162"/>
      <w:bookmarkStart w:id="163" w:name="_Toc184308037"/>
      <w:bookmarkEnd w:id="163"/>
      <w:bookmarkStart w:id="164" w:name="_Toc184310325"/>
      <w:bookmarkEnd w:id="164"/>
      <w:bookmarkStart w:id="165" w:name="_Toc184314417"/>
      <w:bookmarkEnd w:id="165"/>
      <w:bookmarkStart w:id="166" w:name="_Toc184314457"/>
      <w:bookmarkEnd w:id="166"/>
      <w:bookmarkStart w:id="167" w:name="_Toc184312093"/>
      <w:bookmarkEnd w:id="167"/>
      <w:bookmarkStart w:id="168" w:name="_Toc184308107"/>
      <w:bookmarkEnd w:id="168"/>
      <w:bookmarkStart w:id="169" w:name="_Toc184312082"/>
      <w:bookmarkEnd w:id="169"/>
      <w:bookmarkStart w:id="170" w:name="_Toc184310286"/>
      <w:bookmarkEnd w:id="170"/>
      <w:bookmarkStart w:id="171" w:name="_Toc184313306"/>
      <w:bookmarkEnd w:id="171"/>
      <w:bookmarkStart w:id="172" w:name="_Toc184310340"/>
      <w:bookmarkEnd w:id="172"/>
      <w:bookmarkStart w:id="173" w:name="_Toc184313265"/>
      <w:bookmarkEnd w:id="173"/>
      <w:bookmarkStart w:id="174" w:name="_Toc184312134"/>
      <w:bookmarkEnd w:id="174"/>
      <w:bookmarkStart w:id="175" w:name="_Toc184313296"/>
      <w:bookmarkEnd w:id="175"/>
      <w:bookmarkStart w:id="176" w:name="_Toc184314472"/>
      <w:bookmarkEnd w:id="176"/>
      <w:bookmarkStart w:id="177" w:name="_Toc184308062"/>
      <w:bookmarkEnd w:id="177"/>
      <w:bookmarkStart w:id="178" w:name="_Toc184312084"/>
      <w:bookmarkEnd w:id="178"/>
      <w:bookmarkStart w:id="179" w:name="_Toc184314459"/>
      <w:bookmarkEnd w:id="179"/>
      <w:bookmarkStart w:id="180" w:name="_Toc184308056"/>
      <w:bookmarkEnd w:id="180"/>
      <w:bookmarkStart w:id="181" w:name="_Toc184310285"/>
      <w:bookmarkEnd w:id="181"/>
      <w:bookmarkStart w:id="182" w:name="_Toc184312131"/>
      <w:bookmarkEnd w:id="182"/>
      <w:bookmarkStart w:id="183" w:name="_Toc184310321"/>
      <w:bookmarkEnd w:id="183"/>
      <w:bookmarkStart w:id="184" w:name="_Toc184313310"/>
      <w:bookmarkEnd w:id="184"/>
      <w:bookmarkStart w:id="185" w:name="_Toc184313275"/>
      <w:bookmarkEnd w:id="185"/>
      <w:bookmarkStart w:id="186" w:name="_Toc184313282"/>
      <w:bookmarkEnd w:id="186"/>
      <w:bookmarkStart w:id="187" w:name="_Toc184308083"/>
      <w:bookmarkEnd w:id="187"/>
      <w:bookmarkStart w:id="188" w:name="_Toc184314464"/>
      <w:bookmarkEnd w:id="188"/>
      <w:bookmarkStart w:id="189" w:name="_Toc184312103"/>
      <w:bookmarkEnd w:id="189"/>
      <w:bookmarkStart w:id="190" w:name="_Toc184313250"/>
      <w:bookmarkEnd w:id="190"/>
      <w:bookmarkStart w:id="191" w:name="_Toc184314445"/>
      <w:bookmarkEnd w:id="191"/>
      <w:bookmarkStart w:id="192" w:name="_Toc184308044"/>
      <w:bookmarkEnd w:id="192"/>
      <w:bookmarkStart w:id="193" w:name="_Toc184314429"/>
      <w:bookmarkEnd w:id="193"/>
      <w:bookmarkStart w:id="194" w:name="_Toc184310274"/>
      <w:bookmarkEnd w:id="194"/>
      <w:bookmarkStart w:id="195" w:name="_Toc184314443"/>
      <w:bookmarkEnd w:id="195"/>
      <w:bookmarkStart w:id="196" w:name="_Toc184314456"/>
      <w:bookmarkEnd w:id="196"/>
      <w:bookmarkStart w:id="197" w:name="_Toc184310301"/>
      <w:bookmarkEnd w:id="197"/>
      <w:bookmarkStart w:id="198" w:name="_Toc184312135"/>
      <w:bookmarkEnd w:id="198"/>
      <w:bookmarkStart w:id="199" w:name="_Toc184310323"/>
      <w:bookmarkEnd w:id="199"/>
      <w:bookmarkStart w:id="200" w:name="_Toc184312107"/>
      <w:bookmarkEnd w:id="200"/>
      <w:bookmarkStart w:id="201" w:name="_Toc184308036"/>
      <w:bookmarkEnd w:id="201"/>
      <w:bookmarkStart w:id="202" w:name="_Toc184310324"/>
      <w:bookmarkEnd w:id="202"/>
      <w:bookmarkStart w:id="203" w:name="_Toc184314475"/>
      <w:bookmarkEnd w:id="203"/>
      <w:bookmarkStart w:id="204" w:name="_Toc184314418"/>
      <w:bookmarkEnd w:id="204"/>
      <w:bookmarkStart w:id="205" w:name="_Toc184312099"/>
      <w:bookmarkEnd w:id="205"/>
      <w:bookmarkStart w:id="206" w:name="_Toc184308098"/>
      <w:bookmarkEnd w:id="206"/>
      <w:bookmarkStart w:id="207" w:name="_Toc184314452"/>
      <w:bookmarkEnd w:id="207"/>
      <w:bookmarkStart w:id="208" w:name="_Toc184312100"/>
      <w:bookmarkEnd w:id="208"/>
      <w:bookmarkStart w:id="209" w:name="_Toc184310309"/>
      <w:bookmarkEnd w:id="209"/>
      <w:bookmarkStart w:id="210" w:name="_Toc184308058"/>
      <w:bookmarkEnd w:id="210"/>
      <w:bookmarkStart w:id="211" w:name="_Toc184314437"/>
      <w:bookmarkEnd w:id="211"/>
      <w:bookmarkStart w:id="212" w:name="_Toc184314433"/>
      <w:bookmarkEnd w:id="212"/>
      <w:bookmarkStart w:id="213" w:name="_Toc184312077"/>
      <w:bookmarkEnd w:id="213"/>
      <w:bookmarkStart w:id="214" w:name="_Toc184313244"/>
      <w:bookmarkEnd w:id="214"/>
      <w:bookmarkStart w:id="215" w:name="_Toc184313269"/>
      <w:bookmarkEnd w:id="215"/>
      <w:bookmarkStart w:id="216" w:name="_Toc184310299"/>
      <w:bookmarkEnd w:id="216"/>
      <w:bookmarkStart w:id="217" w:name="_Toc184310311"/>
      <w:bookmarkEnd w:id="217"/>
      <w:bookmarkStart w:id="218" w:name="_Toc184308045"/>
      <w:bookmarkEnd w:id="218"/>
      <w:bookmarkStart w:id="219" w:name="_Toc184312138"/>
      <w:bookmarkEnd w:id="219"/>
      <w:bookmarkStart w:id="220" w:name="_Toc184314427"/>
      <w:bookmarkEnd w:id="220"/>
      <w:bookmarkStart w:id="221" w:name="_Toc184310322"/>
      <w:bookmarkEnd w:id="221"/>
      <w:bookmarkStart w:id="222" w:name="_Toc184310343"/>
      <w:bookmarkEnd w:id="222"/>
      <w:bookmarkStart w:id="223" w:name="_Toc184314425"/>
      <w:bookmarkEnd w:id="223"/>
      <w:bookmarkStart w:id="224" w:name="_Toc184314419"/>
      <w:bookmarkEnd w:id="224"/>
      <w:bookmarkStart w:id="225" w:name="_Toc184313249"/>
      <w:bookmarkEnd w:id="225"/>
      <w:bookmarkStart w:id="226" w:name="_Toc184312101"/>
      <w:bookmarkEnd w:id="226"/>
      <w:bookmarkStart w:id="227" w:name="_Toc184314480"/>
      <w:bookmarkEnd w:id="227"/>
      <w:bookmarkStart w:id="228" w:name="_Toc184313304"/>
      <w:bookmarkEnd w:id="228"/>
      <w:bookmarkStart w:id="229" w:name="_Toc184308052"/>
      <w:bookmarkEnd w:id="229"/>
      <w:bookmarkStart w:id="230" w:name="_Toc184308091"/>
      <w:bookmarkEnd w:id="230"/>
      <w:bookmarkStart w:id="231" w:name="_Toc184310333"/>
      <w:bookmarkEnd w:id="231"/>
      <w:bookmarkStart w:id="232" w:name="_Toc184312127"/>
      <w:bookmarkEnd w:id="232"/>
      <w:bookmarkStart w:id="233" w:name="_Toc184313264"/>
      <w:bookmarkEnd w:id="233"/>
      <w:bookmarkStart w:id="234" w:name="_Toc184313279"/>
      <w:bookmarkEnd w:id="234"/>
      <w:bookmarkStart w:id="235" w:name="_Toc184310318"/>
      <w:bookmarkEnd w:id="235"/>
      <w:bookmarkStart w:id="236" w:name="_Toc184312130"/>
      <w:bookmarkEnd w:id="236"/>
      <w:bookmarkStart w:id="237" w:name="_Toc184310310"/>
      <w:bookmarkEnd w:id="237"/>
      <w:bookmarkStart w:id="238" w:name="_Toc184312075"/>
      <w:bookmarkEnd w:id="238"/>
      <w:bookmarkStart w:id="239" w:name="_Toc184310276"/>
      <w:bookmarkEnd w:id="239"/>
      <w:bookmarkStart w:id="240" w:name="_Toc184310305"/>
      <w:bookmarkEnd w:id="240"/>
      <w:bookmarkStart w:id="241" w:name="_Toc184310328"/>
      <w:bookmarkEnd w:id="241"/>
      <w:bookmarkStart w:id="242" w:name="_Toc184310300"/>
      <w:bookmarkEnd w:id="242"/>
      <w:bookmarkStart w:id="243" w:name="_Toc184312078"/>
      <w:bookmarkEnd w:id="243"/>
      <w:bookmarkStart w:id="244" w:name="_Toc184312133"/>
      <w:bookmarkEnd w:id="244"/>
      <w:bookmarkStart w:id="245" w:name="_Toc184314414"/>
      <w:bookmarkEnd w:id="245"/>
      <w:bookmarkStart w:id="246" w:name="_Toc184312071"/>
      <w:bookmarkEnd w:id="246"/>
      <w:bookmarkStart w:id="247" w:name="_Toc184314434"/>
      <w:bookmarkEnd w:id="247"/>
      <w:bookmarkStart w:id="248" w:name="_Toc184314471"/>
      <w:bookmarkEnd w:id="248"/>
      <w:bookmarkStart w:id="249" w:name="_Toc184312085"/>
      <w:bookmarkEnd w:id="249"/>
      <w:bookmarkStart w:id="250" w:name="_Toc184310281"/>
      <w:bookmarkEnd w:id="250"/>
      <w:bookmarkStart w:id="251" w:name="_Toc184314412"/>
      <w:bookmarkEnd w:id="251"/>
      <w:bookmarkStart w:id="252" w:name="_Toc184312139"/>
      <w:bookmarkEnd w:id="252"/>
      <w:bookmarkStart w:id="253" w:name="_Toc184312106"/>
      <w:bookmarkEnd w:id="253"/>
      <w:bookmarkStart w:id="254" w:name="_Toc184312115"/>
      <w:bookmarkEnd w:id="254"/>
      <w:bookmarkStart w:id="255" w:name="_Toc184308039"/>
      <w:bookmarkEnd w:id="255"/>
      <w:bookmarkStart w:id="256" w:name="_Toc184313242"/>
      <w:bookmarkEnd w:id="256"/>
      <w:bookmarkStart w:id="257" w:name="_Toc184310334"/>
      <w:bookmarkEnd w:id="257"/>
      <w:bookmarkStart w:id="258" w:name="_Toc184313277"/>
      <w:bookmarkEnd w:id="258"/>
      <w:bookmarkStart w:id="259" w:name="_Toc184310317"/>
      <w:bookmarkEnd w:id="259"/>
      <w:bookmarkStart w:id="260" w:name="_Toc184314462"/>
      <w:bookmarkEnd w:id="260"/>
      <w:bookmarkStart w:id="261" w:name="_Toc184314476"/>
      <w:bookmarkEnd w:id="261"/>
      <w:bookmarkStart w:id="262" w:name="_Toc184313301"/>
      <w:bookmarkEnd w:id="262"/>
      <w:bookmarkStart w:id="263" w:name="_Toc184308084"/>
      <w:bookmarkEnd w:id="263"/>
      <w:bookmarkStart w:id="264" w:name="_Toc184314431"/>
      <w:bookmarkEnd w:id="264"/>
      <w:bookmarkStart w:id="265" w:name="_Toc184314451"/>
      <w:bookmarkEnd w:id="265"/>
      <w:bookmarkStart w:id="266" w:name="_Toc184312117"/>
      <w:bookmarkEnd w:id="266"/>
      <w:bookmarkStart w:id="267" w:name="_Toc184314439"/>
      <w:bookmarkEnd w:id="267"/>
      <w:bookmarkStart w:id="268" w:name="_Toc184313259"/>
      <w:bookmarkEnd w:id="268"/>
      <w:bookmarkStart w:id="269" w:name="_Toc184312114"/>
      <w:bookmarkEnd w:id="269"/>
      <w:bookmarkStart w:id="270" w:name="_Toc184310277"/>
      <w:bookmarkEnd w:id="270"/>
      <w:bookmarkStart w:id="271" w:name="_Toc184308050"/>
      <w:bookmarkEnd w:id="271"/>
      <w:bookmarkStart w:id="272" w:name="_Toc184314446"/>
      <w:bookmarkEnd w:id="272"/>
      <w:bookmarkStart w:id="273" w:name="_Toc184308069"/>
      <w:bookmarkEnd w:id="273"/>
      <w:bookmarkStart w:id="274" w:name="_Toc184310330"/>
      <w:bookmarkEnd w:id="274"/>
      <w:bookmarkStart w:id="275" w:name="_Toc184314440"/>
      <w:bookmarkEnd w:id="275"/>
      <w:bookmarkStart w:id="276" w:name="_Toc184308054"/>
      <w:bookmarkEnd w:id="276"/>
      <w:bookmarkStart w:id="277" w:name="_Toc184314460"/>
      <w:bookmarkEnd w:id="277"/>
      <w:bookmarkStart w:id="278" w:name="_Toc184310288"/>
      <w:bookmarkEnd w:id="278"/>
      <w:bookmarkStart w:id="279" w:name="_Toc184313254"/>
      <w:bookmarkEnd w:id="279"/>
      <w:bookmarkStart w:id="280" w:name="_Toc184312136"/>
      <w:bookmarkEnd w:id="280"/>
      <w:bookmarkStart w:id="281" w:name="_Toc184310316"/>
      <w:bookmarkEnd w:id="281"/>
      <w:bookmarkStart w:id="282" w:name="_Toc184313291"/>
      <w:bookmarkEnd w:id="282"/>
      <w:bookmarkStart w:id="283" w:name="_Toc184312112"/>
      <w:bookmarkEnd w:id="283"/>
      <w:bookmarkStart w:id="284" w:name="_Toc184312094"/>
      <w:bookmarkEnd w:id="284"/>
      <w:bookmarkStart w:id="285" w:name="_Toc184308076"/>
      <w:bookmarkEnd w:id="285"/>
      <w:bookmarkStart w:id="286" w:name="_Toc184314467"/>
      <w:bookmarkEnd w:id="286"/>
      <w:bookmarkStart w:id="287" w:name="_Toc184314477"/>
      <w:bookmarkEnd w:id="287"/>
      <w:bookmarkStart w:id="288" w:name="_Toc184308040"/>
      <w:bookmarkEnd w:id="288"/>
      <w:bookmarkStart w:id="289" w:name="_Toc184312079"/>
      <w:bookmarkEnd w:id="289"/>
      <w:bookmarkStart w:id="290" w:name="_Toc184310279"/>
      <w:bookmarkEnd w:id="290"/>
      <w:bookmarkStart w:id="291" w:name="_Toc184308099"/>
      <w:bookmarkEnd w:id="291"/>
      <w:bookmarkStart w:id="292" w:name="_Toc184313287"/>
      <w:bookmarkEnd w:id="292"/>
      <w:bookmarkStart w:id="293" w:name="_Toc184310295"/>
      <w:bookmarkEnd w:id="293"/>
      <w:bookmarkStart w:id="294" w:name="_Toc184313239"/>
      <w:bookmarkEnd w:id="294"/>
      <w:bookmarkStart w:id="295" w:name="_Toc184308074"/>
      <w:bookmarkEnd w:id="295"/>
      <w:bookmarkStart w:id="296" w:name="_Toc184310294"/>
      <w:bookmarkEnd w:id="296"/>
      <w:bookmarkStart w:id="297" w:name="_Toc184314455"/>
      <w:bookmarkEnd w:id="297"/>
      <w:bookmarkStart w:id="298" w:name="_Toc184308077"/>
      <w:bookmarkEnd w:id="298"/>
      <w:bookmarkStart w:id="299" w:name="_Toc184313288"/>
      <w:bookmarkEnd w:id="299"/>
      <w:bookmarkStart w:id="300" w:name="_Toc184313298"/>
      <w:bookmarkEnd w:id="300"/>
      <w:bookmarkStart w:id="301" w:name="_Toc184310292"/>
      <w:bookmarkEnd w:id="301"/>
      <w:bookmarkStart w:id="302" w:name="_Toc184312123"/>
      <w:bookmarkEnd w:id="302"/>
      <w:bookmarkStart w:id="303" w:name="_Toc184313274"/>
      <w:bookmarkEnd w:id="303"/>
      <w:bookmarkStart w:id="304" w:name="_Toc184308047"/>
      <w:bookmarkEnd w:id="304"/>
      <w:bookmarkStart w:id="305" w:name="_Toc184308093"/>
      <w:bookmarkEnd w:id="305"/>
      <w:bookmarkStart w:id="306" w:name="_Toc184313280"/>
      <w:bookmarkEnd w:id="306"/>
      <w:bookmarkStart w:id="307" w:name="_Toc184313261"/>
      <w:bookmarkEnd w:id="307"/>
      <w:bookmarkStart w:id="308" w:name="_Toc184314420"/>
      <w:bookmarkEnd w:id="308"/>
      <w:bookmarkStart w:id="309" w:name="_Toc184308078"/>
      <w:bookmarkEnd w:id="309"/>
      <w:bookmarkStart w:id="310" w:name="_Toc184312102"/>
      <w:bookmarkEnd w:id="310"/>
      <w:bookmarkStart w:id="311" w:name="_Toc184313252"/>
      <w:bookmarkEnd w:id="311"/>
      <w:bookmarkStart w:id="312" w:name="_Toc184314410"/>
      <w:bookmarkEnd w:id="312"/>
      <w:bookmarkStart w:id="313" w:name="_Toc184313273"/>
      <w:bookmarkEnd w:id="313"/>
      <w:bookmarkStart w:id="314" w:name="_Toc184308067"/>
      <w:bookmarkEnd w:id="314"/>
      <w:bookmarkStart w:id="315" w:name="_Toc184308086"/>
      <w:bookmarkEnd w:id="315"/>
      <w:bookmarkStart w:id="316" w:name="_Toc184313278"/>
      <w:bookmarkEnd w:id="316"/>
      <w:bookmarkStart w:id="317" w:name="_Toc184310312"/>
      <w:bookmarkEnd w:id="317"/>
      <w:bookmarkStart w:id="318" w:name="_Toc184314461"/>
      <w:bookmarkEnd w:id="318"/>
      <w:bookmarkStart w:id="319" w:name="_Toc184313257"/>
      <w:bookmarkEnd w:id="319"/>
      <w:bookmarkStart w:id="320" w:name="_Toc184310331"/>
      <w:bookmarkEnd w:id="320"/>
      <w:bookmarkStart w:id="321" w:name="_Toc184313271"/>
      <w:bookmarkEnd w:id="321"/>
      <w:bookmarkStart w:id="322" w:name="_Toc184310313"/>
      <w:bookmarkEnd w:id="322"/>
      <w:bookmarkStart w:id="323" w:name="_Toc184312116"/>
      <w:bookmarkEnd w:id="323"/>
      <w:bookmarkStart w:id="324" w:name="_Toc184313247"/>
      <w:bookmarkEnd w:id="324"/>
      <w:bookmarkStart w:id="325" w:name="_Toc184313243"/>
      <w:bookmarkEnd w:id="325"/>
      <w:bookmarkStart w:id="326" w:name="_Toc184313305"/>
      <w:bookmarkEnd w:id="326"/>
      <w:bookmarkStart w:id="327" w:name="_Toc184310303"/>
      <w:bookmarkEnd w:id="327"/>
      <w:bookmarkStart w:id="328" w:name="_Toc184314424"/>
      <w:bookmarkEnd w:id="328"/>
      <w:bookmarkStart w:id="329" w:name="_Toc184312074"/>
      <w:bookmarkEnd w:id="329"/>
      <w:bookmarkStart w:id="330" w:name="_Toc184314447"/>
      <w:bookmarkEnd w:id="330"/>
      <w:bookmarkStart w:id="331" w:name="_Toc184308041"/>
      <w:bookmarkEnd w:id="331"/>
      <w:bookmarkStart w:id="332" w:name="_Toc184308092"/>
      <w:bookmarkEnd w:id="332"/>
      <w:bookmarkStart w:id="333" w:name="_Toc184313255"/>
      <w:bookmarkEnd w:id="333"/>
      <w:bookmarkStart w:id="334" w:name="_Toc184310273"/>
      <w:bookmarkEnd w:id="334"/>
      <w:bookmarkStart w:id="335" w:name="_Toc184314448"/>
      <w:bookmarkEnd w:id="335"/>
      <w:bookmarkStart w:id="336" w:name="_Toc184308048"/>
      <w:bookmarkEnd w:id="336"/>
      <w:bookmarkStart w:id="337" w:name="_Toc184308070"/>
      <w:bookmarkEnd w:id="337"/>
      <w:bookmarkStart w:id="338" w:name="_Toc184310289"/>
      <w:bookmarkEnd w:id="338"/>
      <w:bookmarkStart w:id="339" w:name="_Toc184314441"/>
      <w:bookmarkEnd w:id="339"/>
      <w:bookmarkStart w:id="340" w:name="_Toc184312108"/>
      <w:bookmarkEnd w:id="340"/>
      <w:bookmarkStart w:id="341" w:name="_Toc184313251"/>
      <w:bookmarkEnd w:id="341"/>
      <w:bookmarkStart w:id="342" w:name="_Toc184310282"/>
      <w:bookmarkEnd w:id="342"/>
      <w:bookmarkStart w:id="343" w:name="_Toc184312092"/>
      <w:bookmarkEnd w:id="343"/>
      <w:bookmarkStart w:id="344" w:name="_Toc184310327"/>
      <w:bookmarkEnd w:id="344"/>
      <w:bookmarkStart w:id="345" w:name="_Toc184314423"/>
      <w:bookmarkEnd w:id="345"/>
      <w:bookmarkStart w:id="346" w:name="_Toc184312068"/>
      <w:bookmarkEnd w:id="346"/>
      <w:bookmarkStart w:id="347" w:name="_Toc184312087"/>
      <w:bookmarkEnd w:id="347"/>
      <w:bookmarkStart w:id="348" w:name="_Toc184310291"/>
      <w:bookmarkEnd w:id="348"/>
      <w:bookmarkStart w:id="349" w:name="_Toc184313258"/>
      <w:bookmarkEnd w:id="349"/>
      <w:bookmarkStart w:id="350" w:name="_Toc184313245"/>
      <w:bookmarkEnd w:id="350"/>
      <w:bookmarkStart w:id="351" w:name="_Toc184308090"/>
      <w:bookmarkEnd w:id="351"/>
      <w:bookmarkStart w:id="352" w:name="_Toc184314466"/>
      <w:bookmarkEnd w:id="352"/>
      <w:bookmarkStart w:id="353" w:name="_Toc184308108"/>
      <w:bookmarkEnd w:id="353"/>
      <w:bookmarkStart w:id="354" w:name="_Toc184314422"/>
      <w:bookmarkEnd w:id="354"/>
      <w:bookmarkStart w:id="355" w:name="_Toc184308061"/>
      <w:bookmarkEnd w:id="355"/>
      <w:bookmarkStart w:id="356" w:name="_Toc184314442"/>
      <w:bookmarkEnd w:id="356"/>
      <w:bookmarkStart w:id="357" w:name="_Toc184312095"/>
      <w:bookmarkEnd w:id="357"/>
      <w:bookmarkStart w:id="358" w:name="_Toc184314416"/>
      <w:bookmarkEnd w:id="358"/>
      <w:bookmarkStart w:id="359" w:name="_Toc184308095"/>
      <w:bookmarkEnd w:id="359"/>
      <w:bookmarkStart w:id="360" w:name="_Toc184313295"/>
      <w:bookmarkEnd w:id="360"/>
      <w:bookmarkStart w:id="361" w:name="_Toc184313248"/>
      <w:bookmarkEnd w:id="361"/>
      <w:bookmarkStart w:id="362" w:name="_Toc184312104"/>
      <w:bookmarkEnd w:id="362"/>
      <w:bookmarkStart w:id="363" w:name="_Toc184310308"/>
      <w:bookmarkEnd w:id="363"/>
      <w:bookmarkStart w:id="364" w:name="_Toc184308081"/>
      <w:bookmarkEnd w:id="364"/>
      <w:bookmarkStart w:id="365" w:name="_Toc184308073"/>
      <w:bookmarkEnd w:id="365"/>
      <w:bookmarkStart w:id="366" w:name="_Toc184312121"/>
      <w:bookmarkEnd w:id="366"/>
      <w:bookmarkStart w:id="367" w:name="_Toc184312128"/>
      <w:bookmarkEnd w:id="367"/>
      <w:bookmarkStart w:id="368" w:name="_Toc184312089"/>
      <w:bookmarkEnd w:id="368"/>
      <w:bookmarkStart w:id="369" w:name="_Toc184312124"/>
      <w:bookmarkEnd w:id="369"/>
      <w:bookmarkStart w:id="370" w:name="_Toc184308063"/>
      <w:bookmarkEnd w:id="370"/>
      <w:bookmarkStart w:id="371" w:name="_Toc184313263"/>
      <w:bookmarkEnd w:id="371"/>
      <w:bookmarkStart w:id="372" w:name="_Toc184314415"/>
      <w:bookmarkEnd w:id="372"/>
      <w:bookmarkStart w:id="373" w:name="_Toc184308053"/>
      <w:bookmarkEnd w:id="373"/>
      <w:bookmarkStart w:id="374" w:name="_Toc184308068"/>
      <w:bookmarkEnd w:id="374"/>
      <w:bookmarkStart w:id="375" w:name="_Toc184313283"/>
      <w:bookmarkEnd w:id="375"/>
      <w:bookmarkStart w:id="376" w:name="_Toc184310344"/>
      <w:bookmarkEnd w:id="376"/>
      <w:bookmarkStart w:id="377" w:name="_Toc184308088"/>
      <w:bookmarkEnd w:id="377"/>
      <w:bookmarkStart w:id="378" w:name="_Toc184313256"/>
      <w:bookmarkEnd w:id="378"/>
      <w:bookmarkStart w:id="379" w:name="_Toc184308103"/>
      <w:bookmarkEnd w:id="379"/>
      <w:bookmarkStart w:id="380" w:name="_Toc184308066"/>
      <w:bookmarkEnd w:id="380"/>
      <w:bookmarkStart w:id="381" w:name="_Toc184313292"/>
      <w:bookmarkEnd w:id="381"/>
      <w:bookmarkStart w:id="382" w:name="_Toc184313262"/>
      <w:bookmarkEnd w:id="382"/>
      <w:bookmarkStart w:id="383" w:name="_Toc184313268"/>
      <w:bookmarkEnd w:id="383"/>
      <w:bookmarkStart w:id="384" w:name="_Toc184310341"/>
      <w:bookmarkEnd w:id="384"/>
      <w:bookmarkStart w:id="385" w:name="_Toc184308075"/>
      <w:bookmarkEnd w:id="385"/>
      <w:bookmarkStart w:id="386" w:name="_Toc184308072"/>
      <w:bookmarkEnd w:id="386"/>
      <w:bookmarkStart w:id="387" w:name="_Toc184314426"/>
      <w:bookmarkEnd w:id="387"/>
      <w:bookmarkStart w:id="388" w:name="_Toc184314482"/>
      <w:bookmarkEnd w:id="388"/>
      <w:bookmarkStart w:id="389" w:name="_Toc184313308"/>
      <w:bookmarkEnd w:id="389"/>
      <w:bookmarkStart w:id="390" w:name="_Toc184314438"/>
      <w:bookmarkEnd w:id="390"/>
      <w:bookmarkStart w:id="391" w:name="_Toc184308038"/>
      <w:bookmarkEnd w:id="391"/>
      <w:bookmarkStart w:id="392" w:name="_Toc184314481"/>
      <w:bookmarkEnd w:id="392"/>
      <w:bookmarkStart w:id="393" w:name="_Toc184310337"/>
      <w:bookmarkEnd w:id="393"/>
      <w:bookmarkStart w:id="394" w:name="_Toc184314474"/>
      <w:bookmarkEnd w:id="394"/>
      <w:bookmarkStart w:id="395" w:name="_Toc184313281"/>
      <w:bookmarkEnd w:id="395"/>
      <w:r>
        <w:rPr>
          <w:rFonts w:hint="eastAsia" w:ascii="仿宋" w:hAnsi="仿宋" w:eastAsia="仿宋" w:cs="仿宋_GB2312"/>
          <w:b/>
          <w:color w:val="auto"/>
          <w:sz w:val="36"/>
          <w:szCs w:val="36"/>
          <w:highlight w:val="none"/>
        </w:rPr>
        <w:t>评标方法及评分标准</w:t>
      </w:r>
    </w:p>
    <w:p w14:paraId="4025CC79">
      <w:pPr>
        <w:snapToGrid w:val="0"/>
        <w:spacing w:line="360" w:lineRule="auto"/>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14:paraId="59AE3A1B">
      <w:pPr>
        <w:adjustRightInd/>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w:t>
      </w:r>
      <w:r>
        <w:rPr>
          <w:rFonts w:hint="eastAsia" w:ascii="仿宋" w:hAnsi="仿宋" w:eastAsia="仿宋" w:cs="Arial"/>
          <w:color w:val="auto"/>
          <w:kern w:val="0"/>
          <w:sz w:val="24"/>
          <w:highlight w:val="none"/>
          <w:lang w:eastAsia="zh-CN"/>
        </w:rPr>
        <w:t>申报文件</w:t>
      </w:r>
      <w:r>
        <w:rPr>
          <w:rFonts w:hint="eastAsia" w:ascii="仿宋" w:hAnsi="仿宋" w:eastAsia="仿宋" w:cs="Arial"/>
          <w:color w:val="auto"/>
          <w:kern w:val="0"/>
          <w:sz w:val="24"/>
          <w:highlight w:val="none"/>
        </w:rPr>
        <w:t>满足</w:t>
      </w:r>
      <w:r>
        <w:rPr>
          <w:rFonts w:hint="eastAsia" w:ascii="仿宋" w:hAnsi="仿宋" w:eastAsia="仿宋" w:cs="Arial"/>
          <w:color w:val="auto"/>
          <w:kern w:val="0"/>
          <w:sz w:val="24"/>
          <w:highlight w:val="none"/>
          <w:lang w:eastAsia="zh-CN"/>
        </w:rPr>
        <w:t>遴选文件</w:t>
      </w:r>
      <w:r>
        <w:rPr>
          <w:rFonts w:hint="eastAsia" w:ascii="仿宋" w:hAnsi="仿宋" w:eastAsia="仿宋" w:cs="Arial"/>
          <w:color w:val="auto"/>
          <w:kern w:val="0"/>
          <w:sz w:val="24"/>
          <w:highlight w:val="none"/>
        </w:rPr>
        <w:t>全部实质性要求，且按照评审因素的量化指标评审得分最高的</w:t>
      </w:r>
      <w:r>
        <w:rPr>
          <w:rFonts w:hint="eastAsia" w:ascii="仿宋" w:hAnsi="仿宋" w:eastAsia="仿宋" w:cs="Arial"/>
          <w:color w:val="auto"/>
          <w:kern w:val="0"/>
          <w:sz w:val="24"/>
          <w:highlight w:val="none"/>
          <w:lang w:eastAsia="zh-CN"/>
        </w:rPr>
        <w:t>遴选响应人</w:t>
      </w:r>
      <w:r>
        <w:rPr>
          <w:rFonts w:hint="eastAsia" w:ascii="仿宋" w:hAnsi="仿宋" w:eastAsia="仿宋" w:cs="Arial"/>
          <w:color w:val="auto"/>
          <w:kern w:val="0"/>
          <w:sz w:val="24"/>
          <w:highlight w:val="none"/>
        </w:rPr>
        <w:t>为中标候选人的评标方法。</w:t>
      </w:r>
    </w:p>
    <w:p w14:paraId="01516AE8">
      <w:pPr>
        <w:snapToGrid w:val="0"/>
        <w:spacing w:line="360" w:lineRule="auto"/>
        <w:ind w:firstLine="360" w:firstLineChars="150"/>
        <w:rPr>
          <w:rFonts w:hint="eastAsia" w:ascii="仿宋" w:hAnsi="仿宋" w:eastAsia="仿宋" w:cs="Arial"/>
          <w:color w:val="auto"/>
          <w:kern w:val="0"/>
          <w:sz w:val="24"/>
          <w:highlight w:val="none"/>
        </w:rPr>
      </w:pPr>
    </w:p>
    <w:p w14:paraId="7C1F066A">
      <w:pPr>
        <w:snapToGrid w:val="0"/>
        <w:spacing w:line="360" w:lineRule="auto"/>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14:paraId="6C7A2769">
      <w:pPr>
        <w:snapToGrid w:val="0"/>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评标委员会由</w:t>
      </w:r>
      <w:r>
        <w:rPr>
          <w:rFonts w:hint="eastAsia" w:ascii="仿宋" w:hAnsi="仿宋" w:eastAsia="仿宋" w:cs="Arial"/>
          <w:color w:val="auto"/>
          <w:kern w:val="0"/>
          <w:sz w:val="24"/>
          <w:highlight w:val="none"/>
          <w:lang w:eastAsia="zh-CN"/>
        </w:rPr>
        <w:t>遴选人</w:t>
      </w:r>
      <w:r>
        <w:rPr>
          <w:rFonts w:ascii="仿宋" w:hAnsi="仿宋" w:eastAsia="仿宋" w:cs="Arial"/>
          <w:color w:val="auto"/>
          <w:kern w:val="0"/>
          <w:sz w:val="24"/>
          <w:highlight w:val="none"/>
        </w:rPr>
        <w:t>代表和评审专家组成，成员人数为5人以上单数，其中评审专家不少于成员总数的三分之二。</w:t>
      </w:r>
    </w:p>
    <w:p w14:paraId="15E3C1AD">
      <w:pPr>
        <w:pStyle w:val="39"/>
        <w:spacing w:before="0"/>
        <w:ind w:firstLine="482"/>
        <w:rPr>
          <w:rFonts w:hint="eastAsia"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在国企采购活动中，评标委员会的组成人员与供应商有下列利害关系之一的，应当回避：</w:t>
      </w:r>
    </w:p>
    <w:p w14:paraId="76185174">
      <w:pPr>
        <w:pStyle w:val="39"/>
        <w:spacing w:before="0"/>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14:paraId="63E2B81B">
      <w:pPr>
        <w:pStyle w:val="39"/>
        <w:spacing w:before="0"/>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14:paraId="727BF350">
      <w:pPr>
        <w:pStyle w:val="39"/>
        <w:spacing w:before="0"/>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14:paraId="439A6E08">
      <w:pPr>
        <w:pStyle w:val="39"/>
        <w:spacing w:before="0"/>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14:paraId="330EEDA7">
      <w:pPr>
        <w:pStyle w:val="39"/>
        <w:spacing w:before="0"/>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3.5与供应商有其他可能影响国企采购活动公平、公正进行的关系。</w:t>
      </w:r>
    </w:p>
    <w:p w14:paraId="699BE4A6">
      <w:pPr>
        <w:snapToGrid w:val="0"/>
        <w:spacing w:line="360" w:lineRule="auto"/>
        <w:ind w:left="120" w:leftChars="57" w:firstLine="482" w:firstLineChars="150"/>
        <w:jc w:val="center"/>
        <w:rPr>
          <w:rFonts w:hint="eastAsia" w:ascii="仿宋" w:hAnsi="仿宋" w:eastAsia="仿宋"/>
          <w:b/>
          <w:color w:val="auto"/>
          <w:sz w:val="32"/>
          <w:szCs w:val="32"/>
          <w:highlight w:val="none"/>
        </w:rPr>
      </w:pPr>
    </w:p>
    <w:p w14:paraId="64079FD2">
      <w:pPr>
        <w:snapToGrid w:val="0"/>
        <w:spacing w:line="360" w:lineRule="auto"/>
        <w:jc w:val="center"/>
        <w:rPr>
          <w:rFonts w:hint="eastAsia" w:ascii="仿宋" w:hAnsi="仿宋" w:eastAsia="仿宋"/>
          <w:b/>
          <w:color w:val="auto"/>
          <w:sz w:val="32"/>
          <w:szCs w:val="32"/>
          <w:highlight w:val="none"/>
        </w:rPr>
      </w:pPr>
      <w:r>
        <w:rPr>
          <w:rFonts w:hint="eastAsia" w:ascii="仿宋" w:hAnsi="仿宋" w:eastAsia="仿宋" w:cs="仿宋_GB2312"/>
          <w:b/>
          <w:color w:val="auto"/>
          <w:sz w:val="32"/>
          <w:highlight w:val="none"/>
        </w:rPr>
        <w:t>三、评标委员会的职责</w:t>
      </w:r>
    </w:p>
    <w:p w14:paraId="1E540B23">
      <w:pPr>
        <w:pStyle w:val="39"/>
        <w:spacing w:before="0"/>
        <w:ind w:firstLine="482"/>
        <w:jc w:val="left"/>
        <w:rPr>
          <w:rFonts w:hint="eastAsia"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14:paraId="47608533">
      <w:pPr>
        <w:pStyle w:val="39"/>
        <w:spacing w:before="0"/>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w:t>
      </w:r>
      <w:r>
        <w:rPr>
          <w:rFonts w:hint="eastAsia" w:ascii="仿宋" w:hAnsi="仿宋" w:eastAsia="仿宋" w:cs="Arial"/>
          <w:color w:val="auto"/>
          <w:kern w:val="0"/>
          <w:highlight w:val="none"/>
          <w:lang w:eastAsia="zh-CN"/>
        </w:rPr>
        <w:t>申报文件</w:t>
      </w:r>
      <w:r>
        <w:rPr>
          <w:rFonts w:ascii="仿宋" w:hAnsi="仿宋" w:eastAsia="仿宋" w:cs="Arial"/>
          <w:color w:val="auto"/>
          <w:kern w:val="0"/>
          <w:highlight w:val="none"/>
        </w:rPr>
        <w:t>是否符合</w:t>
      </w:r>
      <w:r>
        <w:rPr>
          <w:rFonts w:hint="eastAsia" w:ascii="仿宋" w:hAnsi="仿宋" w:eastAsia="仿宋" w:cs="Arial"/>
          <w:color w:val="auto"/>
          <w:kern w:val="0"/>
          <w:highlight w:val="none"/>
          <w:lang w:eastAsia="zh-CN"/>
        </w:rPr>
        <w:t>遴选文件</w:t>
      </w:r>
      <w:r>
        <w:rPr>
          <w:rFonts w:ascii="仿宋" w:hAnsi="仿宋" w:eastAsia="仿宋" w:cs="Arial"/>
          <w:color w:val="auto"/>
          <w:kern w:val="0"/>
          <w:highlight w:val="none"/>
        </w:rPr>
        <w:t>的商务、技术等实质性要求；</w:t>
      </w:r>
    </w:p>
    <w:p w14:paraId="0128E49E">
      <w:pPr>
        <w:pStyle w:val="39"/>
        <w:spacing w:before="0"/>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w:t>
      </w:r>
      <w:r>
        <w:rPr>
          <w:rFonts w:hint="eastAsia" w:ascii="仿宋" w:hAnsi="仿宋" w:eastAsia="仿宋" w:cs="Arial"/>
          <w:color w:val="auto"/>
          <w:kern w:val="0"/>
          <w:highlight w:val="none"/>
          <w:lang w:eastAsia="zh-CN"/>
        </w:rPr>
        <w:t>遴选响应人</w:t>
      </w:r>
      <w:r>
        <w:rPr>
          <w:rFonts w:ascii="仿宋" w:hAnsi="仿宋" w:eastAsia="仿宋" w:cs="Arial"/>
          <w:color w:val="auto"/>
          <w:kern w:val="0"/>
          <w:highlight w:val="none"/>
        </w:rPr>
        <w:t>对</w:t>
      </w:r>
      <w:r>
        <w:rPr>
          <w:rFonts w:hint="eastAsia" w:ascii="仿宋" w:hAnsi="仿宋" w:eastAsia="仿宋" w:cs="Arial"/>
          <w:color w:val="auto"/>
          <w:kern w:val="0"/>
          <w:highlight w:val="none"/>
          <w:lang w:eastAsia="zh-CN"/>
        </w:rPr>
        <w:t>申报文件</w:t>
      </w:r>
      <w:r>
        <w:rPr>
          <w:rFonts w:ascii="仿宋" w:hAnsi="仿宋" w:eastAsia="仿宋" w:cs="Arial"/>
          <w:color w:val="auto"/>
          <w:kern w:val="0"/>
          <w:highlight w:val="none"/>
        </w:rPr>
        <w:t>有关事项作出澄清或者说明；</w:t>
      </w:r>
    </w:p>
    <w:p w14:paraId="74FCB0E7">
      <w:pPr>
        <w:pStyle w:val="39"/>
        <w:spacing w:before="0"/>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w:t>
      </w:r>
      <w:r>
        <w:rPr>
          <w:rFonts w:hint="eastAsia" w:ascii="仿宋" w:hAnsi="仿宋" w:eastAsia="仿宋" w:cs="Arial"/>
          <w:color w:val="auto"/>
          <w:kern w:val="0"/>
          <w:highlight w:val="none"/>
          <w:lang w:eastAsia="zh-CN"/>
        </w:rPr>
        <w:t>申报文件</w:t>
      </w:r>
      <w:r>
        <w:rPr>
          <w:rFonts w:ascii="仿宋" w:hAnsi="仿宋" w:eastAsia="仿宋" w:cs="Arial"/>
          <w:color w:val="auto"/>
          <w:kern w:val="0"/>
          <w:highlight w:val="none"/>
        </w:rPr>
        <w:t>进行比较和评价；</w:t>
      </w:r>
    </w:p>
    <w:p w14:paraId="20495DA6">
      <w:pPr>
        <w:pStyle w:val="39"/>
        <w:spacing w:before="0"/>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w:t>
      </w:r>
      <w:r>
        <w:rPr>
          <w:rFonts w:hint="eastAsia" w:ascii="仿宋" w:hAnsi="仿宋" w:eastAsia="仿宋" w:cs="Arial"/>
          <w:color w:val="auto"/>
          <w:kern w:val="0"/>
          <w:highlight w:val="none"/>
          <w:lang w:eastAsia="zh-CN"/>
        </w:rPr>
        <w:t>遴选人</w:t>
      </w:r>
      <w:r>
        <w:rPr>
          <w:rFonts w:ascii="仿宋" w:hAnsi="仿宋" w:eastAsia="仿宋" w:cs="Arial"/>
          <w:color w:val="auto"/>
          <w:kern w:val="0"/>
          <w:highlight w:val="none"/>
        </w:rPr>
        <w:t>委托直接确定中标人；</w:t>
      </w:r>
    </w:p>
    <w:p w14:paraId="13B2F9E2">
      <w:pPr>
        <w:pStyle w:val="39"/>
        <w:spacing w:before="0"/>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w:t>
      </w:r>
      <w:r>
        <w:rPr>
          <w:rFonts w:hint="eastAsia" w:ascii="仿宋" w:hAnsi="仿宋" w:eastAsia="仿宋" w:cs="Arial"/>
          <w:color w:val="auto"/>
          <w:kern w:val="0"/>
          <w:highlight w:val="none"/>
          <w:lang w:eastAsia="zh-CN"/>
        </w:rPr>
        <w:t>遴选人</w:t>
      </w:r>
      <w:r>
        <w:rPr>
          <w:rFonts w:ascii="仿宋" w:hAnsi="仿宋" w:eastAsia="仿宋" w:cs="Arial"/>
          <w:color w:val="auto"/>
          <w:kern w:val="0"/>
          <w:highlight w:val="none"/>
        </w:rPr>
        <w:t>、</w:t>
      </w:r>
      <w:r>
        <w:rPr>
          <w:rFonts w:hint="eastAsia" w:ascii="仿宋" w:hAnsi="仿宋" w:eastAsia="仿宋" w:cs="Arial"/>
          <w:color w:val="auto"/>
          <w:kern w:val="0"/>
          <w:highlight w:val="none"/>
          <w:lang w:eastAsia="zh-CN"/>
        </w:rPr>
        <w:t>遴选代理单位</w:t>
      </w:r>
      <w:r>
        <w:rPr>
          <w:rFonts w:ascii="仿宋" w:hAnsi="仿宋" w:eastAsia="仿宋" w:cs="Arial"/>
          <w:color w:val="auto"/>
          <w:kern w:val="0"/>
          <w:highlight w:val="none"/>
        </w:rPr>
        <w:t>或者有关部门报告评标中发现的违法行为</w:t>
      </w:r>
      <w:r>
        <w:rPr>
          <w:rFonts w:hint="eastAsia" w:ascii="仿宋" w:hAnsi="仿宋" w:eastAsia="仿宋" w:cs="Arial"/>
          <w:color w:val="auto"/>
          <w:kern w:val="0"/>
          <w:highlight w:val="none"/>
        </w:rPr>
        <w:t>；</w:t>
      </w:r>
    </w:p>
    <w:p w14:paraId="48FE649D">
      <w:pPr>
        <w:pStyle w:val="39"/>
        <w:spacing w:before="0"/>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4.6法律、法规、规章、</w:t>
      </w:r>
      <w:r>
        <w:rPr>
          <w:rFonts w:hint="eastAsia" w:ascii="仿宋" w:hAnsi="仿宋" w:eastAsia="仿宋" w:cs="Arial"/>
          <w:color w:val="auto"/>
          <w:kern w:val="0"/>
          <w:highlight w:val="none"/>
          <w:lang w:eastAsia="zh-CN"/>
        </w:rPr>
        <w:t>遴选文件</w:t>
      </w:r>
      <w:r>
        <w:rPr>
          <w:rFonts w:hint="eastAsia" w:ascii="仿宋" w:hAnsi="仿宋" w:eastAsia="仿宋" w:cs="Arial"/>
          <w:color w:val="auto"/>
          <w:kern w:val="0"/>
          <w:highlight w:val="none"/>
        </w:rPr>
        <w:t>等规定的其它事项。</w:t>
      </w:r>
    </w:p>
    <w:p w14:paraId="307C2BF8">
      <w:pPr>
        <w:pStyle w:val="39"/>
        <w:spacing w:before="0"/>
        <w:ind w:firstLine="482"/>
        <w:jc w:val="left"/>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14:paraId="4EF9570F">
      <w:pPr>
        <w:pStyle w:val="39"/>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w:t>
      </w:r>
      <w:r>
        <w:rPr>
          <w:rFonts w:hint="eastAsia" w:ascii="仿宋" w:hAnsi="仿宋" w:eastAsia="仿宋" w:cs="Arial"/>
          <w:color w:val="auto"/>
          <w:kern w:val="0"/>
          <w:highlight w:val="none"/>
          <w:lang w:eastAsia="zh-CN"/>
        </w:rPr>
        <w:t>遴选响应人</w:t>
      </w:r>
      <w:r>
        <w:rPr>
          <w:rFonts w:ascii="仿宋" w:hAnsi="仿宋" w:eastAsia="仿宋" w:cs="Arial"/>
          <w:color w:val="auto"/>
          <w:kern w:val="0"/>
          <w:highlight w:val="none"/>
        </w:rPr>
        <w:t>；</w:t>
      </w:r>
    </w:p>
    <w:p w14:paraId="23D5CEB4">
      <w:pPr>
        <w:pStyle w:val="39"/>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w:t>
      </w:r>
      <w:r>
        <w:rPr>
          <w:rFonts w:hint="eastAsia" w:ascii="仿宋" w:hAnsi="仿宋" w:eastAsia="仿宋" w:cs="Arial"/>
          <w:color w:val="auto"/>
          <w:kern w:val="0"/>
          <w:highlight w:val="none"/>
          <w:lang w:eastAsia="zh-CN"/>
        </w:rPr>
        <w:t>遴选响应人</w:t>
      </w:r>
      <w:r>
        <w:rPr>
          <w:rFonts w:ascii="仿宋" w:hAnsi="仿宋" w:eastAsia="仿宋" w:cs="Arial"/>
          <w:color w:val="auto"/>
          <w:kern w:val="0"/>
          <w:highlight w:val="none"/>
        </w:rPr>
        <w:t>提出的与</w:t>
      </w:r>
      <w:r>
        <w:rPr>
          <w:rFonts w:hint="eastAsia" w:ascii="仿宋" w:hAnsi="仿宋" w:eastAsia="仿宋" w:cs="Arial"/>
          <w:color w:val="auto"/>
          <w:kern w:val="0"/>
          <w:highlight w:val="none"/>
          <w:lang w:eastAsia="zh-CN"/>
        </w:rPr>
        <w:t>申报文件</w:t>
      </w:r>
      <w:r>
        <w:rPr>
          <w:rFonts w:ascii="仿宋" w:hAnsi="仿宋" w:eastAsia="仿宋" w:cs="Arial"/>
          <w:color w:val="auto"/>
          <w:kern w:val="0"/>
          <w:highlight w:val="none"/>
        </w:rPr>
        <w:t>不一致的澄清或者说明（</w:t>
      </w:r>
      <w:r>
        <w:rPr>
          <w:rFonts w:hint="eastAsia" w:ascii="仿宋" w:hAnsi="仿宋" w:eastAsia="仿宋" w:cs="Arial"/>
          <w:color w:val="auto"/>
          <w:kern w:val="0"/>
          <w:highlight w:val="none"/>
        </w:rPr>
        <w:t>财政部87号《政府采购货物和服务招投标管理办法令</w:t>
      </w:r>
      <w:r>
        <w:rPr>
          <w:rFonts w:ascii="仿宋" w:hAnsi="仿宋" w:eastAsia="仿宋" w:cs="Arial"/>
          <w:color w:val="auto"/>
          <w:kern w:val="0"/>
          <w:highlight w:val="none"/>
        </w:rPr>
        <w:t>第五十一条规定的情形除外）；</w:t>
      </w:r>
    </w:p>
    <w:p w14:paraId="01E2ECD2">
      <w:pPr>
        <w:pStyle w:val="39"/>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w:t>
      </w:r>
      <w:r>
        <w:rPr>
          <w:rFonts w:hint="eastAsia" w:ascii="仿宋" w:hAnsi="仿宋" w:eastAsia="仿宋" w:cs="Arial"/>
          <w:color w:val="auto"/>
          <w:kern w:val="0"/>
          <w:highlight w:val="none"/>
          <w:lang w:eastAsia="zh-CN"/>
        </w:rPr>
        <w:t>遴选人</w:t>
      </w:r>
      <w:r>
        <w:rPr>
          <w:rFonts w:ascii="仿宋" w:hAnsi="仿宋" w:eastAsia="仿宋" w:cs="Arial"/>
          <w:color w:val="auto"/>
          <w:kern w:val="0"/>
          <w:highlight w:val="none"/>
        </w:rPr>
        <w:t>的倾向性意见；</w:t>
      </w:r>
    </w:p>
    <w:p w14:paraId="352A4DD6">
      <w:pPr>
        <w:pStyle w:val="39"/>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14:paraId="195AC2EF">
      <w:pPr>
        <w:pStyle w:val="39"/>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14:paraId="226435BB">
      <w:pPr>
        <w:pStyle w:val="39"/>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14:paraId="4FF12441">
      <w:pPr>
        <w:pStyle w:val="39"/>
        <w:spacing w:before="0"/>
        <w:ind w:firstLine="480"/>
        <w:jc w:val="left"/>
        <w:rPr>
          <w:rFonts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14:paraId="635A1C7F">
      <w:pPr>
        <w:pStyle w:val="39"/>
        <w:spacing w:before="0"/>
        <w:ind w:firstLine="480"/>
        <w:rPr>
          <w:rFonts w:ascii="仿宋" w:hAnsi="仿宋" w:eastAsia="仿宋" w:cs="Arial"/>
          <w:color w:val="auto"/>
          <w:kern w:val="0"/>
          <w:highlight w:val="none"/>
        </w:rPr>
      </w:pPr>
      <w:r>
        <w:rPr>
          <w:rFonts w:ascii="仿宋" w:hAnsi="仿宋" w:eastAsia="仿宋" w:cs="Arial"/>
          <w:color w:val="auto"/>
          <w:kern w:val="0"/>
          <w:highlight w:val="none"/>
        </w:rPr>
        <w:t>评标委员会成员有</w:t>
      </w:r>
      <w:r>
        <w:rPr>
          <w:rFonts w:hint="eastAsia" w:ascii="仿宋" w:hAnsi="仿宋" w:eastAsia="仿宋" w:cs="Arial"/>
          <w:color w:val="auto"/>
          <w:kern w:val="0"/>
          <w:highlight w:val="none"/>
        </w:rPr>
        <w:t>5.1-5.7</w:t>
      </w:r>
      <w:r>
        <w:rPr>
          <w:rFonts w:ascii="仿宋" w:hAnsi="仿宋" w:eastAsia="仿宋" w:cs="Arial"/>
          <w:color w:val="auto"/>
          <w:kern w:val="0"/>
          <w:highlight w:val="none"/>
        </w:rPr>
        <w:t>行为之一的，其评审意见无效，并不得获取评审劳务报酬和报销异地评审差旅费。</w:t>
      </w:r>
    </w:p>
    <w:p w14:paraId="1ABB5B08">
      <w:pPr>
        <w:snapToGrid w:val="0"/>
        <w:spacing w:line="360" w:lineRule="auto"/>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14:paraId="7D6CC026">
      <w:pPr>
        <w:pStyle w:val="39"/>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6.符合性审查。</w:t>
      </w:r>
      <w:r>
        <w:rPr>
          <w:rFonts w:ascii="仿宋" w:hAnsi="仿宋" w:eastAsia="仿宋" w:cs="Arial"/>
          <w:b/>
          <w:color w:val="auto"/>
          <w:kern w:val="0"/>
          <w:szCs w:val="24"/>
          <w:highlight w:val="none"/>
        </w:rPr>
        <w:t xml:space="preserve"> </w:t>
      </w:r>
      <w:r>
        <w:rPr>
          <w:rFonts w:ascii="仿宋" w:hAnsi="仿宋" w:eastAsia="仿宋" w:cs="Arial"/>
          <w:color w:val="auto"/>
          <w:kern w:val="0"/>
          <w:szCs w:val="24"/>
          <w:highlight w:val="none"/>
        </w:rPr>
        <w:t>评标委员会应当对符合资格的</w:t>
      </w:r>
      <w:r>
        <w:rPr>
          <w:rFonts w:hint="eastAsia" w:ascii="仿宋" w:hAnsi="仿宋" w:eastAsia="仿宋" w:cs="Arial"/>
          <w:color w:val="auto"/>
          <w:kern w:val="0"/>
          <w:szCs w:val="24"/>
          <w:highlight w:val="none"/>
          <w:lang w:eastAsia="zh-CN"/>
        </w:rPr>
        <w:t>遴选响应人</w:t>
      </w:r>
      <w:r>
        <w:rPr>
          <w:rFonts w:ascii="仿宋" w:hAnsi="仿宋" w:eastAsia="仿宋" w:cs="Arial"/>
          <w:color w:val="auto"/>
          <w:kern w:val="0"/>
          <w:szCs w:val="24"/>
          <w:highlight w:val="none"/>
        </w:rPr>
        <w:t>的</w:t>
      </w:r>
      <w:r>
        <w:rPr>
          <w:rFonts w:hint="eastAsia" w:ascii="仿宋" w:hAnsi="仿宋" w:eastAsia="仿宋" w:cs="Arial"/>
          <w:color w:val="auto"/>
          <w:kern w:val="0"/>
          <w:szCs w:val="24"/>
          <w:highlight w:val="none"/>
          <w:lang w:eastAsia="zh-CN"/>
        </w:rPr>
        <w:t>申报文件</w:t>
      </w:r>
      <w:r>
        <w:rPr>
          <w:rFonts w:ascii="仿宋" w:hAnsi="仿宋" w:eastAsia="仿宋" w:cs="Arial"/>
          <w:color w:val="auto"/>
          <w:kern w:val="0"/>
          <w:szCs w:val="24"/>
          <w:highlight w:val="none"/>
        </w:rPr>
        <w:t>进行符合性审查，以确定其是否满足</w:t>
      </w:r>
      <w:r>
        <w:rPr>
          <w:rFonts w:hint="eastAsia" w:ascii="仿宋" w:hAnsi="仿宋" w:eastAsia="仿宋" w:cs="Arial"/>
          <w:color w:val="auto"/>
          <w:kern w:val="0"/>
          <w:szCs w:val="24"/>
          <w:highlight w:val="none"/>
          <w:lang w:eastAsia="zh-CN"/>
        </w:rPr>
        <w:t>遴选文件</w:t>
      </w:r>
      <w:r>
        <w:rPr>
          <w:rFonts w:ascii="仿宋" w:hAnsi="仿宋" w:eastAsia="仿宋" w:cs="Arial"/>
          <w:color w:val="auto"/>
          <w:kern w:val="0"/>
          <w:szCs w:val="24"/>
          <w:highlight w:val="none"/>
        </w:rPr>
        <w:t>的实质性要求</w:t>
      </w:r>
      <w:r>
        <w:rPr>
          <w:rFonts w:hint="eastAsia" w:ascii="仿宋" w:hAnsi="仿宋" w:eastAsia="仿宋" w:cs="Arial"/>
          <w:color w:val="auto"/>
          <w:kern w:val="0"/>
          <w:szCs w:val="24"/>
          <w:highlight w:val="none"/>
        </w:rPr>
        <w:t>。符合投标无效情形的，投标无效</w:t>
      </w:r>
      <w:r>
        <w:rPr>
          <w:rFonts w:ascii="仿宋" w:hAnsi="仿宋" w:eastAsia="仿宋" w:cs="Arial"/>
          <w:color w:val="auto"/>
          <w:kern w:val="0"/>
          <w:szCs w:val="24"/>
          <w:highlight w:val="none"/>
        </w:rPr>
        <w:t>。</w:t>
      </w:r>
    </w:p>
    <w:p w14:paraId="372B025D">
      <w:pPr>
        <w:pStyle w:val="39"/>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7.</w:t>
      </w:r>
      <w:r>
        <w:rPr>
          <w:rFonts w:hint="eastAsia" w:ascii="仿宋" w:hAnsi="仿宋" w:eastAsia="仿宋" w:cs="Arial"/>
          <w:b/>
          <w:color w:val="auto"/>
          <w:kern w:val="0"/>
          <w:szCs w:val="24"/>
          <w:highlight w:val="none"/>
          <w:lang w:eastAsia="zh-CN"/>
        </w:rPr>
        <w:t>遴选响应人</w:t>
      </w:r>
      <w:r>
        <w:rPr>
          <w:rFonts w:hint="eastAsia" w:ascii="仿宋" w:hAnsi="仿宋" w:eastAsia="仿宋" w:cs="Arial"/>
          <w:b/>
          <w:color w:val="auto"/>
          <w:kern w:val="0"/>
          <w:szCs w:val="24"/>
          <w:highlight w:val="none"/>
        </w:rPr>
        <w:t>澄清、说明或者补正。</w:t>
      </w:r>
      <w:r>
        <w:rPr>
          <w:rFonts w:ascii="仿宋" w:hAnsi="仿宋" w:eastAsia="仿宋" w:cs="Arial"/>
          <w:color w:val="auto"/>
          <w:kern w:val="0"/>
          <w:szCs w:val="24"/>
          <w:highlight w:val="none"/>
        </w:rPr>
        <w:t>对于</w:t>
      </w:r>
      <w:r>
        <w:rPr>
          <w:rFonts w:hint="eastAsia" w:ascii="仿宋" w:hAnsi="仿宋" w:eastAsia="仿宋" w:cs="Arial"/>
          <w:color w:val="auto"/>
          <w:kern w:val="0"/>
          <w:szCs w:val="24"/>
          <w:highlight w:val="none"/>
          <w:lang w:eastAsia="zh-CN"/>
        </w:rPr>
        <w:t>申报文件</w:t>
      </w:r>
      <w:r>
        <w:rPr>
          <w:rFonts w:ascii="仿宋" w:hAnsi="仿宋" w:eastAsia="仿宋" w:cs="Arial"/>
          <w:color w:val="auto"/>
          <w:kern w:val="0"/>
          <w:szCs w:val="24"/>
          <w:highlight w:val="none"/>
        </w:rPr>
        <w:t>中含义不明确、同类问题表述不一致或者有明显文字和计算错误的内容，评标委员会</w:t>
      </w:r>
      <w:r>
        <w:rPr>
          <w:rFonts w:hint="eastAsia" w:ascii="仿宋" w:hAnsi="仿宋" w:eastAsia="仿宋" w:cs="Arial"/>
          <w:color w:val="auto"/>
          <w:kern w:val="0"/>
          <w:szCs w:val="24"/>
          <w:highlight w:val="none"/>
        </w:rPr>
        <w:t>可以书面形式要求</w:t>
      </w:r>
      <w:r>
        <w:rPr>
          <w:rFonts w:hint="eastAsia" w:ascii="仿宋" w:hAnsi="仿宋" w:eastAsia="仿宋" w:cs="Arial"/>
          <w:color w:val="auto"/>
          <w:kern w:val="0"/>
          <w:szCs w:val="24"/>
          <w:highlight w:val="none"/>
          <w:lang w:eastAsia="zh-CN"/>
        </w:rPr>
        <w:t>遴选响应人</w:t>
      </w:r>
      <w:r>
        <w:rPr>
          <w:rFonts w:hint="eastAsia" w:ascii="仿宋" w:hAnsi="仿宋" w:eastAsia="仿宋" w:cs="Arial"/>
          <w:color w:val="auto"/>
          <w:kern w:val="0"/>
          <w:szCs w:val="24"/>
          <w:highlight w:val="none"/>
        </w:rPr>
        <w:t>通过</w:t>
      </w:r>
      <w:r>
        <w:rPr>
          <w:rFonts w:hint="eastAsia" w:ascii="仿宋" w:hAnsi="仿宋" w:eastAsia="仿宋" w:cs="Arial"/>
          <w:color w:val="auto"/>
          <w:kern w:val="0"/>
          <w:szCs w:val="24"/>
          <w:highlight w:val="none"/>
          <w:lang w:eastAsia="zh-CN"/>
        </w:rPr>
        <w:t>乐采云</w:t>
      </w:r>
      <w:r>
        <w:rPr>
          <w:rFonts w:hint="eastAsia" w:ascii="仿宋" w:hAnsi="仿宋" w:eastAsia="仿宋" w:cs="Arial"/>
          <w:color w:val="auto"/>
          <w:kern w:val="0"/>
          <w:szCs w:val="24"/>
          <w:highlight w:val="none"/>
        </w:rPr>
        <w:t>平台以书面形式</w:t>
      </w:r>
      <w:r>
        <w:rPr>
          <w:rFonts w:ascii="仿宋" w:hAnsi="仿宋" w:eastAsia="仿宋" w:cs="Arial"/>
          <w:color w:val="auto"/>
          <w:kern w:val="0"/>
          <w:szCs w:val="24"/>
          <w:highlight w:val="none"/>
        </w:rPr>
        <w:t>作出必要的澄清、说明或者补正</w:t>
      </w:r>
      <w:r>
        <w:rPr>
          <w:rFonts w:hint="eastAsia" w:ascii="仿宋" w:hAnsi="仿宋" w:eastAsia="仿宋" w:cs="Arial"/>
          <w:color w:val="auto"/>
          <w:kern w:val="0"/>
          <w:szCs w:val="24"/>
          <w:highlight w:val="none"/>
        </w:rPr>
        <w:t>，</w:t>
      </w:r>
      <w:r>
        <w:rPr>
          <w:rFonts w:hint="eastAsia" w:ascii="仿宋" w:hAnsi="仿宋" w:eastAsia="仿宋" w:cs="Arial"/>
          <w:color w:val="auto"/>
          <w:kern w:val="0"/>
          <w:szCs w:val="24"/>
          <w:highlight w:val="none"/>
          <w:lang w:eastAsia="zh-CN"/>
        </w:rPr>
        <w:t>遴选响应人</w:t>
      </w:r>
      <w:r>
        <w:rPr>
          <w:rFonts w:hint="eastAsia" w:ascii="仿宋" w:hAnsi="仿宋" w:eastAsia="仿宋" w:cs="Arial"/>
          <w:color w:val="auto"/>
          <w:kern w:val="0"/>
          <w:szCs w:val="24"/>
          <w:highlight w:val="none"/>
        </w:rPr>
        <w:t>应在半小时内提交澄清说明或补正，逾期不提交的视为放弃澄清、说明或补正的权利。</w:t>
      </w:r>
      <w:r>
        <w:rPr>
          <w:rFonts w:hint="eastAsia" w:ascii="仿宋" w:hAnsi="仿宋" w:eastAsia="仿宋" w:cs="Arial"/>
          <w:color w:val="auto"/>
          <w:kern w:val="0"/>
          <w:szCs w:val="24"/>
          <w:highlight w:val="none"/>
          <w:lang w:eastAsia="zh-CN"/>
        </w:rPr>
        <w:t>遴选响应人</w:t>
      </w:r>
      <w:r>
        <w:rPr>
          <w:rFonts w:ascii="仿宋" w:hAnsi="仿宋" w:eastAsia="仿宋" w:cs="Arial"/>
          <w:color w:val="auto"/>
          <w:kern w:val="0"/>
          <w:szCs w:val="24"/>
          <w:highlight w:val="none"/>
        </w:rPr>
        <w:t>的澄清、说明或者补正不得超出</w:t>
      </w:r>
      <w:r>
        <w:rPr>
          <w:rFonts w:hint="eastAsia" w:ascii="仿宋" w:hAnsi="仿宋" w:eastAsia="仿宋" w:cs="Arial"/>
          <w:color w:val="auto"/>
          <w:kern w:val="0"/>
          <w:szCs w:val="24"/>
          <w:highlight w:val="none"/>
          <w:lang w:eastAsia="zh-CN"/>
        </w:rPr>
        <w:t>申报文件</w:t>
      </w:r>
      <w:r>
        <w:rPr>
          <w:rFonts w:ascii="仿宋" w:hAnsi="仿宋" w:eastAsia="仿宋" w:cs="Arial"/>
          <w:color w:val="auto"/>
          <w:kern w:val="0"/>
          <w:szCs w:val="24"/>
          <w:highlight w:val="none"/>
        </w:rPr>
        <w:t>的范围或者改变</w:t>
      </w:r>
      <w:r>
        <w:rPr>
          <w:rFonts w:hint="eastAsia" w:ascii="仿宋" w:hAnsi="仿宋" w:eastAsia="仿宋" w:cs="Arial"/>
          <w:color w:val="auto"/>
          <w:kern w:val="0"/>
          <w:szCs w:val="24"/>
          <w:highlight w:val="none"/>
          <w:lang w:eastAsia="zh-CN"/>
        </w:rPr>
        <w:t>申报文件</w:t>
      </w:r>
      <w:r>
        <w:rPr>
          <w:rFonts w:ascii="仿宋" w:hAnsi="仿宋" w:eastAsia="仿宋" w:cs="Arial"/>
          <w:color w:val="auto"/>
          <w:kern w:val="0"/>
          <w:szCs w:val="24"/>
          <w:highlight w:val="none"/>
        </w:rPr>
        <w:t>的实质性内容。</w:t>
      </w:r>
    </w:p>
    <w:p w14:paraId="53B61B8C">
      <w:pPr>
        <w:pStyle w:val="39"/>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 xml:space="preserve"> 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w:t>
      </w:r>
      <w:r>
        <w:rPr>
          <w:rFonts w:hint="eastAsia" w:ascii="仿宋" w:hAnsi="仿宋" w:eastAsia="仿宋" w:cs="Arial"/>
          <w:color w:val="auto"/>
          <w:kern w:val="0"/>
          <w:szCs w:val="24"/>
          <w:highlight w:val="none"/>
          <w:lang w:eastAsia="zh-CN"/>
        </w:rPr>
        <w:t>申报文件</w:t>
      </w:r>
      <w:r>
        <w:rPr>
          <w:rFonts w:ascii="仿宋" w:hAnsi="仿宋" w:eastAsia="仿宋" w:cs="Arial"/>
          <w:color w:val="auto"/>
          <w:kern w:val="0"/>
          <w:szCs w:val="24"/>
          <w:highlight w:val="none"/>
        </w:rPr>
        <w:t>进行商务和技术评估，综合比较与评价。</w:t>
      </w:r>
    </w:p>
    <w:p w14:paraId="707ABE45">
      <w:pPr>
        <w:pStyle w:val="39"/>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9.</w:t>
      </w:r>
      <w:r>
        <w:rPr>
          <w:rFonts w:ascii="仿宋" w:hAnsi="仿宋" w:eastAsia="仿宋" w:cs="Arial"/>
          <w:b/>
          <w:color w:val="auto"/>
          <w:kern w:val="0"/>
          <w:szCs w:val="24"/>
          <w:highlight w:val="none"/>
        </w:rPr>
        <w:t xml:space="preserve"> 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w:t>
      </w:r>
      <w:r>
        <w:rPr>
          <w:rFonts w:hint="eastAsia" w:ascii="仿宋" w:hAnsi="仿宋" w:eastAsia="仿宋" w:cs="Arial"/>
          <w:color w:val="auto"/>
          <w:kern w:val="0"/>
          <w:szCs w:val="24"/>
          <w:highlight w:val="none"/>
          <w:lang w:eastAsia="zh-CN"/>
        </w:rPr>
        <w:t>遴选响应人</w:t>
      </w:r>
      <w:r>
        <w:rPr>
          <w:rFonts w:ascii="仿宋" w:hAnsi="仿宋" w:eastAsia="仿宋" w:cs="Arial"/>
          <w:color w:val="auto"/>
          <w:kern w:val="0"/>
          <w:szCs w:val="24"/>
          <w:highlight w:val="none"/>
        </w:rPr>
        <w:t>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14:paraId="19A00ABB">
      <w:pPr>
        <w:pStyle w:val="39"/>
        <w:spacing w:before="0"/>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10. 报价审核。</w:t>
      </w:r>
      <w:r>
        <w:rPr>
          <w:rFonts w:hint="eastAsia" w:ascii="仿宋" w:hAnsi="仿宋" w:eastAsia="仿宋" w:cs="Arial"/>
          <w:color w:val="auto"/>
          <w:kern w:val="0"/>
          <w:szCs w:val="24"/>
          <w:highlight w:val="none"/>
        </w:rPr>
        <w:t>对经商务和技术评审符合采购需求的</w:t>
      </w:r>
      <w:r>
        <w:rPr>
          <w:rFonts w:hint="eastAsia" w:ascii="仿宋" w:hAnsi="仿宋" w:eastAsia="仿宋" w:cs="Arial"/>
          <w:color w:val="auto"/>
          <w:kern w:val="0"/>
          <w:szCs w:val="24"/>
          <w:highlight w:val="none"/>
          <w:lang w:eastAsia="zh-CN"/>
        </w:rPr>
        <w:t>遴选响应人</w:t>
      </w:r>
      <w:r>
        <w:rPr>
          <w:rFonts w:hint="eastAsia" w:ascii="仿宋" w:hAnsi="仿宋" w:eastAsia="仿宋" w:cs="Arial"/>
          <w:color w:val="auto"/>
          <w:kern w:val="0"/>
          <w:szCs w:val="24"/>
          <w:highlight w:val="none"/>
        </w:rPr>
        <w:t>的报价的合理性、准确性等进行审查核实。</w:t>
      </w:r>
    </w:p>
    <w:p w14:paraId="5CF0FEA6">
      <w:pPr>
        <w:pStyle w:val="39"/>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10.1评标委员会认为</w:t>
      </w:r>
      <w:r>
        <w:rPr>
          <w:rFonts w:hint="eastAsia" w:ascii="仿宋" w:hAnsi="仿宋" w:eastAsia="仿宋" w:cs="Arial"/>
          <w:color w:val="auto"/>
          <w:kern w:val="0"/>
          <w:szCs w:val="24"/>
          <w:highlight w:val="none"/>
          <w:lang w:eastAsia="zh-CN"/>
        </w:rPr>
        <w:t>遴选响应人</w:t>
      </w:r>
      <w:r>
        <w:rPr>
          <w:rFonts w:hint="eastAsia" w:ascii="仿宋" w:hAnsi="仿宋" w:eastAsia="仿宋" w:cs="Arial"/>
          <w:color w:val="auto"/>
          <w:kern w:val="0"/>
          <w:szCs w:val="24"/>
          <w:highlight w:val="none"/>
        </w:rPr>
        <w:t>的报价明显低于其他通过符合性审查</w:t>
      </w:r>
      <w:r>
        <w:rPr>
          <w:rFonts w:hint="eastAsia" w:ascii="仿宋" w:hAnsi="仿宋" w:eastAsia="仿宋" w:cs="Arial"/>
          <w:color w:val="auto"/>
          <w:kern w:val="0"/>
          <w:szCs w:val="24"/>
          <w:highlight w:val="none"/>
          <w:lang w:eastAsia="zh-CN"/>
        </w:rPr>
        <w:t>遴选响应人</w:t>
      </w:r>
      <w:r>
        <w:rPr>
          <w:rFonts w:hint="eastAsia" w:ascii="仿宋" w:hAnsi="仿宋" w:eastAsia="仿宋" w:cs="Arial"/>
          <w:color w:val="auto"/>
          <w:kern w:val="0"/>
          <w:szCs w:val="24"/>
          <w:highlight w:val="none"/>
        </w:rPr>
        <w:t>的报价，有可能影响产品质量或者不能诚信履约的，应当要求其在规定的时间内提供书面说明，必要时提交相关证明材料。</w:t>
      </w:r>
    </w:p>
    <w:p w14:paraId="79E8A288">
      <w:pPr>
        <w:pStyle w:val="39"/>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10.2</w:t>
      </w:r>
      <w:r>
        <w:rPr>
          <w:rFonts w:hint="eastAsia" w:ascii="仿宋" w:hAnsi="仿宋" w:eastAsia="仿宋" w:cs="Arial"/>
          <w:color w:val="auto"/>
          <w:kern w:val="0"/>
          <w:szCs w:val="24"/>
          <w:highlight w:val="none"/>
          <w:lang w:eastAsia="zh-CN"/>
        </w:rPr>
        <w:t>乐采云</w:t>
      </w:r>
      <w:r>
        <w:rPr>
          <w:rFonts w:hint="eastAsia" w:ascii="仿宋" w:hAnsi="仿宋" w:eastAsia="仿宋" w:cs="Arial"/>
          <w:color w:val="auto"/>
          <w:kern w:val="0"/>
          <w:szCs w:val="24"/>
          <w:highlight w:val="none"/>
        </w:rPr>
        <w:t>投标客户端开标一览表内容与</w:t>
      </w:r>
      <w:r>
        <w:rPr>
          <w:rFonts w:hint="eastAsia" w:ascii="仿宋" w:hAnsi="仿宋" w:eastAsia="仿宋" w:cs="Arial"/>
          <w:color w:val="auto"/>
          <w:kern w:val="0"/>
          <w:szCs w:val="24"/>
          <w:highlight w:val="none"/>
          <w:lang w:eastAsia="zh-CN"/>
        </w:rPr>
        <w:t>遴选文件遴选一览表</w:t>
      </w:r>
      <w:r>
        <w:rPr>
          <w:rFonts w:hint="eastAsia" w:ascii="仿宋" w:hAnsi="仿宋" w:eastAsia="仿宋" w:cs="Arial"/>
          <w:color w:val="auto"/>
          <w:kern w:val="0"/>
          <w:szCs w:val="24"/>
          <w:highlight w:val="none"/>
        </w:rPr>
        <w:t>相应内容不一致的，以</w:t>
      </w:r>
      <w:r>
        <w:rPr>
          <w:rFonts w:hint="eastAsia" w:ascii="仿宋" w:hAnsi="仿宋" w:eastAsia="仿宋" w:cs="Arial"/>
          <w:color w:val="auto"/>
          <w:kern w:val="0"/>
          <w:szCs w:val="24"/>
          <w:highlight w:val="none"/>
          <w:lang w:eastAsia="zh-CN"/>
        </w:rPr>
        <w:t>遴选文件遴选一览表</w:t>
      </w:r>
      <w:r>
        <w:rPr>
          <w:rFonts w:hint="eastAsia" w:ascii="仿宋" w:hAnsi="仿宋" w:eastAsia="仿宋" w:cs="Arial"/>
          <w:color w:val="auto"/>
          <w:kern w:val="0"/>
          <w:szCs w:val="24"/>
          <w:highlight w:val="none"/>
        </w:rPr>
        <w:t>为准。</w:t>
      </w:r>
    </w:p>
    <w:p w14:paraId="4ED49126">
      <w:pPr>
        <w:pStyle w:val="39"/>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10.3投标价格的修正原则。</w:t>
      </w:r>
      <w:r>
        <w:rPr>
          <w:rFonts w:hint="eastAsia" w:ascii="仿宋" w:hAnsi="仿宋" w:eastAsia="仿宋" w:cs="Arial"/>
          <w:color w:val="auto"/>
          <w:kern w:val="0"/>
          <w:szCs w:val="24"/>
          <w:highlight w:val="none"/>
          <w:lang w:eastAsia="zh-CN"/>
        </w:rPr>
        <w:t>申报文件</w:t>
      </w:r>
      <w:r>
        <w:rPr>
          <w:rFonts w:hint="eastAsia" w:ascii="仿宋" w:hAnsi="仿宋" w:eastAsia="仿宋" w:cs="Arial"/>
          <w:color w:val="auto"/>
          <w:kern w:val="0"/>
          <w:szCs w:val="24"/>
          <w:highlight w:val="none"/>
        </w:rPr>
        <w:t>报价出现前后不一致的，按照下列规定修正：</w:t>
      </w:r>
    </w:p>
    <w:p w14:paraId="3B2BF29A">
      <w:pPr>
        <w:pStyle w:val="39"/>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10.3.1</w:t>
      </w:r>
      <w:r>
        <w:rPr>
          <w:rFonts w:hint="eastAsia" w:ascii="仿宋" w:hAnsi="仿宋" w:eastAsia="仿宋" w:cs="Arial"/>
          <w:color w:val="auto"/>
          <w:kern w:val="0"/>
          <w:szCs w:val="24"/>
          <w:highlight w:val="none"/>
          <w:lang w:eastAsia="zh-CN"/>
        </w:rPr>
        <w:t>申报</w:t>
      </w:r>
      <w:r>
        <w:rPr>
          <w:rFonts w:hint="eastAsia" w:ascii="仿宋" w:hAnsi="仿宋" w:eastAsia="仿宋" w:cs="Arial"/>
          <w:color w:val="auto"/>
          <w:kern w:val="0"/>
          <w:szCs w:val="24"/>
          <w:highlight w:val="none"/>
        </w:rPr>
        <w:t>文件中遴选一览表内容与</w:t>
      </w:r>
      <w:r>
        <w:rPr>
          <w:rFonts w:hint="eastAsia" w:ascii="仿宋" w:hAnsi="仿宋" w:eastAsia="仿宋" w:cs="Arial"/>
          <w:color w:val="auto"/>
          <w:kern w:val="0"/>
          <w:szCs w:val="24"/>
          <w:highlight w:val="none"/>
          <w:lang w:eastAsia="zh-CN"/>
        </w:rPr>
        <w:t>遴选文件</w:t>
      </w:r>
      <w:r>
        <w:rPr>
          <w:rFonts w:hint="eastAsia" w:ascii="仿宋" w:hAnsi="仿宋" w:eastAsia="仿宋" w:cs="Arial"/>
          <w:color w:val="auto"/>
          <w:kern w:val="0"/>
          <w:szCs w:val="24"/>
          <w:highlight w:val="none"/>
        </w:rPr>
        <w:t>中相应内容不一致的，以遴选一览表为准;</w:t>
      </w:r>
    </w:p>
    <w:p w14:paraId="3FF263F4">
      <w:pPr>
        <w:pStyle w:val="39"/>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10.3.2大写金额和小写金额不一致的，以大写金额为准;</w:t>
      </w:r>
    </w:p>
    <w:p w14:paraId="085C88D9">
      <w:pPr>
        <w:pStyle w:val="39"/>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10.3.</w:t>
      </w:r>
      <w:r>
        <w:rPr>
          <w:rFonts w:hint="eastAsia" w:ascii="仿宋" w:hAnsi="仿宋" w:eastAsia="仿宋" w:cs="Arial"/>
          <w:color w:val="auto"/>
          <w:kern w:val="0"/>
          <w:szCs w:val="24"/>
          <w:highlight w:val="none"/>
          <w:lang w:val="en-US" w:eastAsia="zh-CN"/>
        </w:rPr>
        <w:t>3</w:t>
      </w:r>
      <w:r>
        <w:rPr>
          <w:rFonts w:hint="eastAsia" w:ascii="仿宋" w:hAnsi="仿宋" w:eastAsia="仿宋" w:cs="Arial"/>
          <w:color w:val="auto"/>
          <w:kern w:val="0"/>
          <w:szCs w:val="24"/>
          <w:highlight w:val="none"/>
        </w:rPr>
        <w:t>总价金额与按单价汇总金额不一致的，以单价金额计算结果为准。</w:t>
      </w:r>
    </w:p>
    <w:p w14:paraId="2EEFAFCD">
      <w:pPr>
        <w:pStyle w:val="39"/>
        <w:spacing w:before="0"/>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10.3.</w:t>
      </w:r>
      <w:r>
        <w:rPr>
          <w:rFonts w:hint="eastAsia" w:ascii="仿宋" w:hAnsi="仿宋" w:eastAsia="仿宋" w:cs="Arial"/>
          <w:color w:val="auto"/>
          <w:kern w:val="0"/>
          <w:szCs w:val="24"/>
          <w:highlight w:val="none"/>
          <w:lang w:val="en-US" w:eastAsia="zh-CN"/>
        </w:rPr>
        <w:t>4</w:t>
      </w:r>
      <w:r>
        <w:rPr>
          <w:rFonts w:hint="eastAsia" w:ascii="仿宋" w:hAnsi="仿宋" w:eastAsia="仿宋" w:cs="Arial"/>
          <w:color w:val="auto"/>
          <w:kern w:val="0"/>
          <w:szCs w:val="24"/>
          <w:highlight w:val="none"/>
        </w:rPr>
        <w:t>同时出现两种以上不一致的，按照前款规定的顺序修正。修正后的报价按照财政部第87号令《政府采购货物和服务招标投标管理办法》第五十一条第二款的规定经</w:t>
      </w:r>
      <w:r>
        <w:rPr>
          <w:rFonts w:hint="eastAsia" w:ascii="仿宋" w:hAnsi="仿宋" w:eastAsia="仿宋" w:cs="Arial"/>
          <w:color w:val="auto"/>
          <w:kern w:val="0"/>
          <w:szCs w:val="24"/>
          <w:highlight w:val="none"/>
          <w:lang w:eastAsia="zh-CN"/>
        </w:rPr>
        <w:t>遴选响应人</w:t>
      </w:r>
      <w:r>
        <w:rPr>
          <w:rFonts w:hint="eastAsia" w:ascii="仿宋" w:hAnsi="仿宋" w:eastAsia="仿宋" w:cs="Arial"/>
          <w:color w:val="auto"/>
          <w:kern w:val="0"/>
          <w:szCs w:val="24"/>
          <w:highlight w:val="none"/>
        </w:rPr>
        <w:t>确认后产生约束力。</w:t>
      </w:r>
    </w:p>
    <w:p w14:paraId="2110D6C3">
      <w:pPr>
        <w:spacing w:line="360" w:lineRule="auto"/>
        <w:ind w:firstLine="480" w:firstLineChars="200"/>
        <w:rPr>
          <w:rFonts w:hint="eastAsia"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lang w:eastAsia="zh-CN"/>
        </w:rPr>
        <w:t>遴选响应人</w:t>
      </w:r>
      <w:r>
        <w:rPr>
          <w:rFonts w:hint="eastAsia" w:ascii="仿宋" w:hAnsi="仿宋" w:eastAsia="仿宋" w:cs="仿宋_GB2312"/>
          <w:b/>
          <w:bCs/>
          <w:color w:val="auto"/>
          <w:sz w:val="24"/>
          <w:highlight w:val="none"/>
        </w:rPr>
        <w:t>对根据修正原则修正后的报价不确认的，投标无效。</w:t>
      </w:r>
    </w:p>
    <w:p w14:paraId="58ED8D7B">
      <w:pPr>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11.</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w:t>
      </w:r>
      <w:r>
        <w:rPr>
          <w:rFonts w:hint="eastAsia" w:ascii="仿宋" w:hAnsi="仿宋" w:eastAsia="仿宋" w:cs="Arial"/>
          <w:color w:val="auto"/>
          <w:kern w:val="0"/>
          <w:sz w:val="24"/>
          <w:highlight w:val="none"/>
          <w:lang w:eastAsia="zh-CN"/>
        </w:rPr>
        <w:t>遴选响应人</w:t>
      </w:r>
      <w:r>
        <w:rPr>
          <w:rFonts w:ascii="仿宋" w:hAnsi="仿宋" w:eastAsia="仿宋" w:cs="Arial"/>
          <w:color w:val="auto"/>
          <w:kern w:val="0"/>
          <w:sz w:val="24"/>
          <w:highlight w:val="none"/>
        </w:rPr>
        <w:t>的</w:t>
      </w:r>
      <w:r>
        <w:rPr>
          <w:rFonts w:hint="eastAsia" w:ascii="仿宋" w:hAnsi="仿宋" w:eastAsia="仿宋" w:cs="Arial"/>
          <w:color w:val="auto"/>
          <w:kern w:val="0"/>
          <w:sz w:val="24"/>
          <w:highlight w:val="none"/>
          <w:lang w:eastAsia="zh-CN"/>
        </w:rPr>
        <w:t>申报文件</w:t>
      </w:r>
      <w:r>
        <w:rPr>
          <w:rFonts w:ascii="仿宋" w:hAnsi="仿宋" w:eastAsia="仿宋" w:cs="Arial"/>
          <w:color w:val="auto"/>
          <w:kern w:val="0"/>
          <w:sz w:val="24"/>
          <w:highlight w:val="none"/>
        </w:rPr>
        <w:t>进行评价，并汇总每个</w:t>
      </w:r>
      <w:r>
        <w:rPr>
          <w:rFonts w:hint="eastAsia" w:ascii="仿宋" w:hAnsi="仿宋" w:eastAsia="仿宋" w:cs="Arial"/>
          <w:color w:val="auto"/>
          <w:kern w:val="0"/>
          <w:sz w:val="24"/>
          <w:highlight w:val="none"/>
          <w:lang w:eastAsia="zh-CN"/>
        </w:rPr>
        <w:t>遴选响应人</w:t>
      </w:r>
      <w:r>
        <w:rPr>
          <w:rFonts w:ascii="仿宋" w:hAnsi="仿宋" w:eastAsia="仿宋" w:cs="Arial"/>
          <w:color w:val="auto"/>
          <w:kern w:val="0"/>
          <w:sz w:val="24"/>
          <w:highlight w:val="none"/>
        </w:rPr>
        <w:t>的得分。</w:t>
      </w:r>
    </w:p>
    <w:p w14:paraId="2C36DEDC">
      <w:pPr>
        <w:spacing w:line="360" w:lineRule="auto"/>
        <w:ind w:firstLine="482" w:firstLineChars="20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12.中标候选人推荐。</w:t>
      </w:r>
    </w:p>
    <w:p w14:paraId="26B6BBE0">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12.1评审后总得分最高者为第一中标候选人，总得分相同的，以报价低者为第一中标候选人，总得分与报价均相同的，由</w:t>
      </w:r>
      <w:r>
        <w:rPr>
          <w:rFonts w:hint="eastAsia" w:ascii="仿宋" w:hAnsi="仿宋" w:eastAsia="仿宋" w:cs="仿宋_GB2312"/>
          <w:color w:val="auto"/>
          <w:sz w:val="24"/>
          <w:highlight w:val="none"/>
          <w:lang w:eastAsia="zh-CN"/>
        </w:rPr>
        <w:t>遴选人</w:t>
      </w:r>
      <w:r>
        <w:rPr>
          <w:rFonts w:hint="eastAsia" w:ascii="仿宋" w:hAnsi="仿宋" w:eastAsia="仿宋" w:cs="仿宋_GB2312"/>
          <w:color w:val="auto"/>
          <w:sz w:val="24"/>
          <w:highlight w:val="none"/>
        </w:rPr>
        <w:t>当场随机抽取产生第一中标候选人。</w:t>
      </w:r>
    </w:p>
    <w:p w14:paraId="3FFFEEA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12.2多家</w:t>
      </w:r>
      <w:r>
        <w:rPr>
          <w:rFonts w:hint="eastAsia" w:ascii="仿宋" w:hAnsi="仿宋" w:eastAsia="仿宋" w:cs="仿宋_GB2312"/>
          <w:color w:val="auto"/>
          <w:sz w:val="24"/>
          <w:highlight w:val="none"/>
          <w:lang w:eastAsia="zh-CN"/>
        </w:rPr>
        <w:t>遴选响应人</w:t>
      </w:r>
      <w:r>
        <w:rPr>
          <w:rFonts w:ascii="仿宋" w:hAnsi="仿宋" w:eastAsia="仿宋" w:cs="仿宋_GB2312"/>
          <w:color w:val="auto"/>
          <w:sz w:val="24"/>
          <w:highlight w:val="none"/>
        </w:rPr>
        <w:t>提供相同品牌产品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w:t>
      </w:r>
      <w:r>
        <w:rPr>
          <w:rFonts w:ascii="仿宋" w:hAnsi="仿宋" w:eastAsia="仿宋" w:cs="仿宋_GB2312"/>
          <w:color w:val="auto"/>
          <w:sz w:val="24"/>
          <w:highlight w:val="none"/>
        </w:rPr>
        <w:t>且通过资格审查、符合性审查的不同</w:t>
      </w:r>
      <w:r>
        <w:rPr>
          <w:rFonts w:hint="eastAsia" w:ascii="仿宋" w:hAnsi="仿宋" w:eastAsia="仿宋" w:cs="仿宋_GB2312"/>
          <w:color w:val="auto"/>
          <w:sz w:val="24"/>
          <w:highlight w:val="none"/>
          <w:lang w:eastAsia="zh-CN"/>
        </w:rPr>
        <w:t>遴选响应人</w:t>
      </w:r>
      <w:r>
        <w:rPr>
          <w:rFonts w:ascii="仿宋" w:hAnsi="仿宋" w:eastAsia="仿宋" w:cs="仿宋_GB2312"/>
          <w:color w:val="auto"/>
          <w:sz w:val="24"/>
          <w:highlight w:val="none"/>
        </w:rPr>
        <w:t>参加同一合同项下投标的，按一家</w:t>
      </w:r>
      <w:r>
        <w:rPr>
          <w:rFonts w:hint="eastAsia" w:ascii="仿宋" w:hAnsi="仿宋" w:eastAsia="仿宋" w:cs="仿宋_GB2312"/>
          <w:color w:val="auto"/>
          <w:sz w:val="24"/>
          <w:highlight w:val="none"/>
          <w:lang w:eastAsia="zh-CN"/>
        </w:rPr>
        <w:t>遴选响应人</w:t>
      </w:r>
      <w:r>
        <w:rPr>
          <w:rFonts w:ascii="仿宋" w:hAnsi="仿宋" w:eastAsia="仿宋" w:cs="仿宋_GB2312"/>
          <w:color w:val="auto"/>
          <w:sz w:val="24"/>
          <w:highlight w:val="none"/>
        </w:rPr>
        <w:t>计算，评审后得分最高的同品牌</w:t>
      </w:r>
      <w:r>
        <w:rPr>
          <w:rFonts w:hint="eastAsia" w:ascii="仿宋" w:hAnsi="仿宋" w:eastAsia="仿宋" w:cs="仿宋_GB2312"/>
          <w:color w:val="auto"/>
          <w:sz w:val="24"/>
          <w:highlight w:val="none"/>
          <w:lang w:eastAsia="zh-CN"/>
        </w:rPr>
        <w:t>遴选响应人</w:t>
      </w:r>
      <w:r>
        <w:rPr>
          <w:rFonts w:ascii="仿宋" w:hAnsi="仿宋" w:eastAsia="仿宋" w:cs="仿宋_GB2312"/>
          <w:color w:val="auto"/>
          <w:sz w:val="24"/>
          <w:highlight w:val="none"/>
        </w:rPr>
        <w:t>获得中标</w:t>
      </w:r>
      <w:r>
        <w:rPr>
          <w:rFonts w:hint="eastAsia" w:ascii="仿宋" w:hAnsi="仿宋" w:eastAsia="仿宋" w:cs="仿宋_GB2312"/>
          <w:color w:val="auto"/>
          <w:sz w:val="24"/>
          <w:highlight w:val="none"/>
        </w:rPr>
        <w:t>候选</w:t>
      </w:r>
      <w:r>
        <w:rPr>
          <w:rFonts w:ascii="仿宋" w:hAnsi="仿宋" w:eastAsia="仿宋" w:cs="仿宋_GB2312"/>
          <w:color w:val="auto"/>
          <w:sz w:val="24"/>
          <w:highlight w:val="none"/>
        </w:rPr>
        <w:t>人推荐资格；评审得分相同的</w:t>
      </w:r>
      <w:r>
        <w:rPr>
          <w:rFonts w:hint="eastAsia" w:ascii="仿宋" w:hAnsi="仿宋" w:eastAsia="仿宋" w:cs="仿宋_GB2312"/>
          <w:color w:val="auto"/>
          <w:sz w:val="24"/>
          <w:highlight w:val="none"/>
        </w:rPr>
        <w:t>报价低者获得中标候选人推荐资格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评审得分与报价均相同的</w:t>
      </w:r>
      <w:r>
        <w:rPr>
          <w:rFonts w:ascii="仿宋" w:hAnsi="仿宋" w:eastAsia="仿宋" w:cs="仿宋_GB2312"/>
          <w:color w:val="auto"/>
          <w:sz w:val="24"/>
          <w:highlight w:val="none"/>
        </w:rPr>
        <w:t>采取随机抽取方式确定，其他同品牌</w:t>
      </w:r>
      <w:r>
        <w:rPr>
          <w:rFonts w:hint="eastAsia" w:ascii="仿宋" w:hAnsi="仿宋" w:eastAsia="仿宋" w:cs="仿宋_GB2312"/>
          <w:color w:val="auto"/>
          <w:sz w:val="24"/>
          <w:highlight w:val="none"/>
          <w:lang w:eastAsia="zh-CN"/>
        </w:rPr>
        <w:t>遴选响应人</w:t>
      </w:r>
      <w:r>
        <w:rPr>
          <w:rFonts w:ascii="仿宋" w:hAnsi="仿宋" w:eastAsia="仿宋" w:cs="仿宋_GB2312"/>
          <w:color w:val="auto"/>
          <w:sz w:val="24"/>
          <w:highlight w:val="none"/>
        </w:rPr>
        <w:t>不作为中标候选人。</w:t>
      </w:r>
    </w:p>
    <w:p w14:paraId="35C20832">
      <w:pPr>
        <w:pStyle w:val="10"/>
        <w:spacing w:line="360" w:lineRule="auto"/>
        <w:ind w:firstLine="562"/>
        <w:rPr>
          <w:rFonts w:hint="eastAsia" w:ascii="仿宋" w:hAnsi="仿宋" w:eastAsia="仿宋" w:cs="仿宋_GB2312"/>
          <w:color w:val="auto"/>
          <w:highlight w:val="none"/>
        </w:rPr>
      </w:pPr>
      <w:r>
        <w:rPr>
          <w:rFonts w:hint="eastAsia" w:ascii="仿宋" w:hAnsi="仿宋" w:eastAsia="仿宋" w:cs="仿宋_GB2312"/>
          <w:b/>
          <w:color w:val="auto"/>
          <w:spacing w:val="20"/>
          <w:highlight w:val="none"/>
        </w:rPr>
        <w:t>13.投标无效。</w:t>
      </w:r>
      <w:r>
        <w:rPr>
          <w:rFonts w:hint="eastAsia" w:ascii="仿宋" w:hAnsi="仿宋" w:eastAsia="仿宋" w:cs="仿宋_GB2312"/>
          <w:color w:val="auto"/>
          <w:highlight w:val="none"/>
        </w:rPr>
        <w:t>有下列情况之一的，投标无效：</w:t>
      </w:r>
    </w:p>
    <w:p w14:paraId="5E843473">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s="仿宋_GB2312"/>
          <w:color w:val="auto"/>
          <w:sz w:val="24"/>
          <w:highlight w:val="none"/>
        </w:rPr>
        <w:t>单位负责人为同一人或者存在直接控股、管理关系的不同供应商参加同一合同项下的国企采购活动的（均无效）；</w:t>
      </w:r>
    </w:p>
    <w:p w14:paraId="5AC7AD97">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w:t>
      </w:r>
      <w:r>
        <w:rPr>
          <w:rFonts w:hint="eastAsia" w:ascii="仿宋" w:hAnsi="仿宋" w:eastAsia="仿宋"/>
          <w:color w:val="auto"/>
          <w:sz w:val="24"/>
          <w:highlight w:val="none"/>
          <w:lang w:val="en-US" w:eastAsia="zh-CN"/>
        </w:rPr>
        <w:t>2</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不具备遴选文件中规定的资格要求的（</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未提供有效的资格证明文件的，视为</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不具备</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中规定的资格要求）；</w:t>
      </w:r>
    </w:p>
    <w:p w14:paraId="5523B148">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“资格文件”和“商务技术文件”部分中出现用于价格分评审的投标报价的（</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另有规定的参与“商务技术文件”评审的报价除外）；</w:t>
      </w:r>
    </w:p>
    <w:p w14:paraId="3B830FC8">
      <w:pPr>
        <w:snapToGrid w:val="0"/>
        <w:spacing w:line="440" w:lineRule="exact"/>
        <w:ind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未按</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规定的格式填写，或对招标服务或对技术或产品等要求未详细应答或应答内容不全、有缺失的，经评标委员会认定为无法评审的；</w:t>
      </w:r>
    </w:p>
    <w:p w14:paraId="0CD0C0D8">
      <w:pPr>
        <w:snapToGrid w:val="0"/>
        <w:spacing w:line="440" w:lineRule="exact"/>
        <w:ind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关键信息填写不完整或字迹不能辨认或有漏项的，经评标委员会认定属于重大偏差的；</w:t>
      </w:r>
    </w:p>
    <w:p w14:paraId="1C48BC3D">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重要信息前后不一致，经评标委员会询标后仍然无法评审的；</w:t>
      </w:r>
    </w:p>
    <w:p w14:paraId="2BCAD123">
      <w:pPr>
        <w:snapToGrid w:val="0"/>
        <w:spacing w:line="440" w:lineRule="exact"/>
        <w:ind w:firstLine="480" w:firstLineChars="200"/>
        <w:jc w:val="left"/>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13.</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未按照</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要求签署、盖章的</w:t>
      </w:r>
      <w:r>
        <w:rPr>
          <w:rFonts w:hint="eastAsia" w:ascii="仿宋" w:hAnsi="仿宋" w:eastAsia="仿宋" w:cs="仿宋_GB2312"/>
          <w:color w:val="auto"/>
          <w:sz w:val="24"/>
          <w:highlight w:val="none"/>
          <w:lang w:eastAsia="zh-CN"/>
        </w:rPr>
        <w:t>；</w:t>
      </w:r>
    </w:p>
    <w:p w14:paraId="58C02C7B">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w:t>
      </w:r>
      <w:r>
        <w:rPr>
          <w:rFonts w:hint="eastAsia" w:ascii="仿宋" w:hAnsi="仿宋" w:eastAsia="仿宋"/>
          <w:color w:val="auto"/>
          <w:sz w:val="24"/>
          <w:highlight w:val="none"/>
          <w:lang w:val="en-US" w:eastAsia="zh-CN"/>
        </w:rPr>
        <w:t>8</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含有</w:t>
      </w:r>
      <w:r>
        <w:rPr>
          <w:rFonts w:hint="eastAsia" w:ascii="仿宋" w:hAnsi="仿宋" w:eastAsia="仿宋" w:cs="仿宋_GB2312"/>
          <w:color w:val="auto"/>
          <w:sz w:val="24"/>
          <w:highlight w:val="none"/>
          <w:lang w:eastAsia="zh-CN"/>
        </w:rPr>
        <w:t>遴选人</w:t>
      </w:r>
      <w:r>
        <w:rPr>
          <w:rFonts w:hint="eastAsia" w:ascii="仿宋" w:hAnsi="仿宋" w:eastAsia="仿宋" w:cs="仿宋_GB2312"/>
          <w:color w:val="auto"/>
          <w:sz w:val="24"/>
          <w:highlight w:val="none"/>
        </w:rPr>
        <w:t>不能接受的附加条件的；</w:t>
      </w:r>
    </w:p>
    <w:p w14:paraId="6361B088">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w:t>
      </w:r>
      <w:r>
        <w:rPr>
          <w:rFonts w:hint="eastAsia" w:ascii="仿宋" w:hAnsi="仿宋" w:eastAsia="仿宋"/>
          <w:color w:val="auto"/>
          <w:sz w:val="24"/>
          <w:highlight w:val="none"/>
          <w:lang w:val="en-US" w:eastAsia="zh-CN"/>
        </w:rPr>
        <w:t>9</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中承诺的投标有效期少于</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中载明的投标有效期的；</w:t>
      </w:r>
    </w:p>
    <w:p w14:paraId="38DFD145">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w:t>
      </w:r>
      <w:r>
        <w:rPr>
          <w:rFonts w:hint="eastAsia" w:ascii="仿宋" w:hAnsi="仿宋" w:eastAsia="仿宋"/>
          <w:color w:val="auto"/>
          <w:sz w:val="24"/>
          <w:highlight w:val="none"/>
          <w:lang w:val="en-US" w:eastAsia="zh-CN"/>
        </w:rPr>
        <w:t>10</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所投内容不符合采购需求中实质性要求的；</w:t>
      </w:r>
    </w:p>
    <w:p w14:paraId="39B564B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13.1</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eastAsia="zh-CN"/>
        </w:rPr>
        <w:t>申报文件</w:t>
      </w:r>
      <w:r>
        <w:rPr>
          <w:rFonts w:hint="eastAsia" w:ascii="仿宋" w:hAnsi="仿宋" w:eastAsia="仿宋"/>
          <w:color w:val="auto"/>
          <w:sz w:val="24"/>
          <w:highlight w:val="none"/>
        </w:rPr>
        <w:t>出现不是唯一的、有选择性投标报价的;</w:t>
      </w:r>
    </w:p>
    <w:p w14:paraId="51D8D8A2">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olor w:val="auto"/>
          <w:sz w:val="24"/>
          <w:highlight w:val="none"/>
          <w:lang w:val="en-US" w:eastAsia="zh-CN"/>
        </w:rPr>
        <w:t>2</w:t>
      </w:r>
      <w:r>
        <w:rPr>
          <w:rFonts w:hint="eastAsia" w:ascii="仿宋" w:hAnsi="仿宋" w:eastAsia="仿宋" w:cs="仿宋_GB2312"/>
          <w:color w:val="auto"/>
          <w:sz w:val="24"/>
          <w:highlight w:val="none"/>
        </w:rPr>
        <w:t>投标报价高于本项目采购预算或者最高限价的;</w:t>
      </w:r>
    </w:p>
    <w:p w14:paraId="0F315157">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olor w:val="auto"/>
          <w:sz w:val="24"/>
          <w:highlight w:val="none"/>
          <w:lang w:val="en-US" w:eastAsia="zh-CN"/>
        </w:rPr>
        <w:t>3评选委员会认为遴选响应人的报价明显低于其他通过符合性审查遴选响应人的报价，有可能影响服务质量或者不能诚信履约的，应当要求其在评选现场合理的时间内提供书面说明，必要时提交相关证明材料，遴选响应人不能证明其报价合理性的</w:t>
      </w:r>
      <w:r>
        <w:rPr>
          <w:rFonts w:hint="eastAsia" w:ascii="仿宋" w:hAnsi="仿宋" w:eastAsia="仿宋" w:cs="仿宋_GB2312"/>
          <w:color w:val="auto"/>
          <w:sz w:val="24"/>
          <w:highlight w:val="none"/>
        </w:rPr>
        <w:t>;</w:t>
      </w:r>
    </w:p>
    <w:p w14:paraId="5C0CDA1C">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olor w:val="auto"/>
          <w:sz w:val="24"/>
          <w:highlight w:val="none"/>
          <w:lang w:val="en-US" w:eastAsia="zh-CN"/>
        </w:rPr>
        <w:t>4</w:t>
      </w:r>
      <w:r>
        <w:rPr>
          <w:rFonts w:hint="eastAsia" w:ascii="仿宋" w:hAnsi="仿宋" w:eastAsia="仿宋" w:cs="仿宋_GB2312"/>
          <w:color w:val="auto"/>
          <w:sz w:val="24"/>
          <w:highlight w:val="none"/>
        </w:rPr>
        <w:t>《遴选一览表》填写不完整或字迹不能辨认或有漏项的，经评标委员会认定属于重大偏差的；</w:t>
      </w:r>
    </w:p>
    <w:p w14:paraId="09B13A8D">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olor w:val="auto"/>
          <w:sz w:val="24"/>
          <w:highlight w:val="none"/>
          <w:lang w:val="en-US" w:eastAsia="zh-CN"/>
        </w:rPr>
        <w:t>5</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对根据修正原则修正后的报价不确认的；</w:t>
      </w:r>
    </w:p>
    <w:p w14:paraId="2609B5F8">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提供虚假材料投标的（包括但不限于以下情节）；</w:t>
      </w:r>
    </w:p>
    <w:p w14:paraId="35A4B8AE">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.1使用伪造、变造的许可证件；</w:t>
      </w:r>
    </w:p>
    <w:p w14:paraId="58A71D5B">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.2提供虚假的财务状况或者业绩；</w:t>
      </w:r>
    </w:p>
    <w:p w14:paraId="51D4C0E7">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.3提供虚假的项目负责人或者主要技术人员简历、劳动关系证明；</w:t>
      </w:r>
    </w:p>
    <w:p w14:paraId="40F769AC">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.4提供虚假的信用状况；</w:t>
      </w:r>
    </w:p>
    <w:p w14:paraId="2971855F">
      <w:pPr>
        <w:spacing w:line="360" w:lineRule="auto"/>
        <w:ind w:firstLine="480" w:firstLineChars="200"/>
        <w:rPr>
          <w:rFonts w:hint="eastAsia" w:ascii="仿宋" w:hAnsi="仿宋" w:eastAsia="仿宋" w:cs="仿宋_GB2312"/>
          <w:color w:val="auto"/>
          <w:sz w:val="24"/>
          <w:highlight w:val="none"/>
        </w:rPr>
      </w:pPr>
      <w:r>
        <w:rPr>
          <w:rFonts w:ascii="仿宋" w:hAnsi="仿宋" w:eastAsia="仿宋" w:cs="仿宋_GB2312"/>
          <w:color w:val="auto"/>
          <w:sz w:val="24"/>
          <w:highlight w:val="none"/>
        </w:rPr>
        <w:t>13.</w:t>
      </w: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6</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5其他弄虚作假的行为。</w:t>
      </w:r>
    </w:p>
    <w:p w14:paraId="582B224C">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lang w:eastAsia="zh-CN"/>
        </w:rPr>
        <w:t>遴选响应人</w:t>
      </w:r>
      <w:r>
        <w:rPr>
          <w:rFonts w:hint="eastAsia" w:ascii="仿宋" w:hAnsi="仿宋" w:eastAsia="仿宋"/>
          <w:color w:val="auto"/>
          <w:sz w:val="24"/>
          <w:highlight w:val="none"/>
        </w:rPr>
        <w:t>有恶意串通、妨碍其他</w:t>
      </w:r>
      <w:r>
        <w:rPr>
          <w:rFonts w:hint="eastAsia" w:ascii="仿宋" w:hAnsi="仿宋" w:eastAsia="仿宋"/>
          <w:color w:val="auto"/>
          <w:sz w:val="24"/>
          <w:highlight w:val="none"/>
          <w:lang w:eastAsia="zh-CN"/>
        </w:rPr>
        <w:t>遴选响应人</w:t>
      </w:r>
      <w:r>
        <w:rPr>
          <w:rFonts w:hint="eastAsia" w:ascii="仿宋" w:hAnsi="仿宋" w:eastAsia="仿宋"/>
          <w:color w:val="auto"/>
          <w:sz w:val="24"/>
          <w:highlight w:val="none"/>
        </w:rPr>
        <w:t>的竞争行为、损害</w:t>
      </w:r>
      <w:r>
        <w:rPr>
          <w:rFonts w:hint="eastAsia" w:ascii="仿宋" w:hAnsi="仿宋" w:eastAsia="仿宋"/>
          <w:color w:val="auto"/>
          <w:sz w:val="24"/>
          <w:highlight w:val="none"/>
          <w:lang w:eastAsia="zh-CN"/>
        </w:rPr>
        <w:t>遴选人</w:t>
      </w:r>
      <w:r>
        <w:rPr>
          <w:rFonts w:hint="eastAsia" w:ascii="仿宋" w:hAnsi="仿宋" w:eastAsia="仿宋"/>
          <w:color w:val="auto"/>
          <w:sz w:val="24"/>
          <w:highlight w:val="none"/>
        </w:rPr>
        <w:t>或者其他</w:t>
      </w:r>
      <w:r>
        <w:rPr>
          <w:rFonts w:hint="eastAsia" w:ascii="仿宋" w:hAnsi="仿宋" w:eastAsia="仿宋"/>
          <w:color w:val="auto"/>
          <w:sz w:val="24"/>
          <w:highlight w:val="none"/>
          <w:lang w:eastAsia="zh-CN"/>
        </w:rPr>
        <w:t>遴选响应人</w:t>
      </w:r>
      <w:r>
        <w:rPr>
          <w:rFonts w:hint="eastAsia" w:ascii="仿宋" w:hAnsi="仿宋" w:eastAsia="仿宋"/>
          <w:color w:val="auto"/>
          <w:sz w:val="24"/>
          <w:highlight w:val="none"/>
        </w:rPr>
        <w:t>的合法权益情形的；有下列情形之一的，属于或视为恶意串通，其投标无效：</w:t>
      </w:r>
    </w:p>
    <w:p w14:paraId="37D5FE56">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.1</w:t>
      </w:r>
      <w:r>
        <w:rPr>
          <w:rFonts w:hint="eastAsia" w:ascii="仿宋" w:hAnsi="仿宋" w:eastAsia="仿宋" w:cs="仿宋_GB2312"/>
          <w:color w:val="auto"/>
          <w:sz w:val="24"/>
          <w:highlight w:val="none"/>
        </w:rPr>
        <w:t>供应商直接或者间接从</w:t>
      </w:r>
      <w:r>
        <w:rPr>
          <w:rFonts w:hint="eastAsia" w:ascii="仿宋" w:hAnsi="仿宋" w:eastAsia="仿宋" w:cs="仿宋_GB2312"/>
          <w:color w:val="auto"/>
          <w:sz w:val="24"/>
          <w:highlight w:val="none"/>
          <w:lang w:eastAsia="zh-CN"/>
        </w:rPr>
        <w:t>遴选人</w:t>
      </w:r>
      <w:r>
        <w:rPr>
          <w:rFonts w:hint="eastAsia" w:ascii="仿宋" w:hAnsi="仿宋" w:eastAsia="仿宋" w:cs="仿宋_GB2312"/>
          <w:color w:val="auto"/>
          <w:sz w:val="24"/>
          <w:highlight w:val="none"/>
        </w:rPr>
        <w:t>或者</w:t>
      </w:r>
      <w:r>
        <w:rPr>
          <w:rFonts w:hint="eastAsia" w:ascii="仿宋" w:hAnsi="仿宋" w:eastAsia="仿宋" w:cs="仿宋_GB2312"/>
          <w:color w:val="auto"/>
          <w:sz w:val="24"/>
          <w:highlight w:val="none"/>
          <w:lang w:eastAsia="zh-CN"/>
        </w:rPr>
        <w:t>遴选代理单位</w:t>
      </w:r>
      <w:r>
        <w:rPr>
          <w:rFonts w:hint="eastAsia" w:ascii="仿宋" w:hAnsi="仿宋" w:eastAsia="仿宋" w:cs="仿宋_GB2312"/>
          <w:color w:val="auto"/>
          <w:sz w:val="24"/>
          <w:highlight w:val="none"/>
        </w:rPr>
        <w:t>处获得其他供应商的相关情况并修改其</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或者响应文件；</w:t>
      </w:r>
    </w:p>
    <w:p w14:paraId="5E1BC5F7">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.2供应商按照</w:t>
      </w:r>
      <w:r>
        <w:rPr>
          <w:rFonts w:hint="eastAsia" w:ascii="仿宋" w:hAnsi="仿宋" w:eastAsia="仿宋" w:cs="仿宋_GB2312"/>
          <w:color w:val="auto"/>
          <w:sz w:val="24"/>
          <w:highlight w:val="none"/>
          <w:lang w:eastAsia="zh-CN"/>
        </w:rPr>
        <w:t>遴选人</w:t>
      </w:r>
      <w:r>
        <w:rPr>
          <w:rFonts w:hint="eastAsia" w:ascii="仿宋" w:hAnsi="仿宋" w:eastAsia="仿宋" w:cs="仿宋_GB2312"/>
          <w:color w:val="auto"/>
          <w:sz w:val="24"/>
          <w:highlight w:val="none"/>
        </w:rPr>
        <w:t>或者</w:t>
      </w:r>
      <w:r>
        <w:rPr>
          <w:rFonts w:hint="eastAsia" w:ascii="仿宋" w:hAnsi="仿宋" w:eastAsia="仿宋" w:cs="仿宋_GB2312"/>
          <w:color w:val="auto"/>
          <w:sz w:val="24"/>
          <w:highlight w:val="none"/>
          <w:lang w:eastAsia="zh-CN"/>
        </w:rPr>
        <w:t>遴选代理单位</w:t>
      </w:r>
      <w:r>
        <w:rPr>
          <w:rFonts w:hint="eastAsia" w:ascii="仿宋" w:hAnsi="仿宋" w:eastAsia="仿宋" w:cs="仿宋_GB2312"/>
          <w:color w:val="auto"/>
          <w:sz w:val="24"/>
          <w:highlight w:val="none"/>
        </w:rPr>
        <w:t>的授意撤换、修改</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或者响应文件；</w:t>
      </w:r>
    </w:p>
    <w:p w14:paraId="23425DB9">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.3供应商之间协商报价、技术方案等</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或者响应文件的实质性内容；</w:t>
      </w:r>
    </w:p>
    <w:p w14:paraId="28B82245">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.4属于同一集团、协会、商会等组织成员的供应商按照该组织要求协同参加国企采购活动；</w:t>
      </w:r>
    </w:p>
    <w:p w14:paraId="2E789888">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.5供应商之间事先约定由某一特定供应商中标、成交；</w:t>
      </w:r>
    </w:p>
    <w:p w14:paraId="1D4ECE48">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.6供应商之间商定部分供应商放弃参加国企采购活动或者放弃中标、成交；</w:t>
      </w:r>
    </w:p>
    <w:p w14:paraId="6DE65B0C">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.7供应商与</w:t>
      </w:r>
      <w:r>
        <w:rPr>
          <w:rFonts w:hint="eastAsia" w:ascii="仿宋" w:hAnsi="仿宋" w:eastAsia="仿宋" w:cs="仿宋_GB2312"/>
          <w:color w:val="auto"/>
          <w:sz w:val="24"/>
          <w:highlight w:val="none"/>
          <w:lang w:eastAsia="zh-CN"/>
        </w:rPr>
        <w:t>遴选人</w:t>
      </w:r>
      <w:r>
        <w:rPr>
          <w:rFonts w:hint="eastAsia" w:ascii="仿宋" w:hAnsi="仿宋" w:eastAsia="仿宋" w:cs="仿宋_GB2312"/>
          <w:color w:val="auto"/>
          <w:sz w:val="24"/>
          <w:highlight w:val="none"/>
        </w:rPr>
        <w:t>或者</w:t>
      </w:r>
      <w:r>
        <w:rPr>
          <w:rFonts w:hint="eastAsia" w:ascii="仿宋" w:hAnsi="仿宋" w:eastAsia="仿宋" w:cs="仿宋_GB2312"/>
          <w:color w:val="auto"/>
          <w:sz w:val="24"/>
          <w:highlight w:val="none"/>
          <w:lang w:eastAsia="zh-CN"/>
        </w:rPr>
        <w:t>遴选代理单位</w:t>
      </w:r>
      <w:r>
        <w:rPr>
          <w:rFonts w:hint="eastAsia" w:ascii="仿宋" w:hAnsi="仿宋" w:eastAsia="仿宋" w:cs="仿宋_GB2312"/>
          <w:color w:val="auto"/>
          <w:sz w:val="24"/>
          <w:highlight w:val="none"/>
        </w:rPr>
        <w:t>之间、供应商相互之间，为谋求特定供应商中标、成交或者排斥其他供应商的其他串通行为；</w:t>
      </w:r>
    </w:p>
    <w:p w14:paraId="4B01A4A4">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.8不同</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的</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由同一单位或者个人编制；</w:t>
      </w:r>
    </w:p>
    <w:p w14:paraId="116638F2">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.9不同</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委托同一单位或者个人办理投标事宜；</w:t>
      </w:r>
    </w:p>
    <w:p w14:paraId="088E6B14">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.10不同</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的</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载明的项目管理成员或者联系人员为同一人；</w:t>
      </w:r>
    </w:p>
    <w:p w14:paraId="042FD7A5">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.11不同</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的</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异常一致或者投标报价呈规律性差异；</w:t>
      </w:r>
    </w:p>
    <w:p w14:paraId="0CCC428A">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.12不同</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的</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相互混装。</w:t>
      </w:r>
    </w:p>
    <w:p w14:paraId="4E667C96">
      <w:pPr>
        <w:spacing w:line="360" w:lineRule="auto"/>
        <w:ind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13.1</w:t>
      </w: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sz w:val="24"/>
          <w:highlight w:val="none"/>
        </w:rPr>
        <w:t>违反法律、法律及本</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 xml:space="preserve">规定的其它无效投标情形。 </w:t>
      </w:r>
    </w:p>
    <w:p w14:paraId="550AF8DA">
      <w:pPr>
        <w:snapToGrid w:val="0"/>
        <w:spacing w:line="360" w:lineRule="auto"/>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五、评标报告</w:t>
      </w:r>
    </w:p>
    <w:p w14:paraId="3DBF0009">
      <w:pPr>
        <w:pStyle w:val="39"/>
        <w:adjustRightInd/>
        <w:spacing w:before="0"/>
        <w:ind w:firstLine="482"/>
        <w:rPr>
          <w:rFonts w:hint="eastAsia" w:ascii="仿宋" w:hAnsi="仿宋" w:eastAsia="仿宋" w:cs="仿宋_GB2312"/>
          <w:color w:val="auto"/>
          <w:szCs w:val="24"/>
          <w:highlight w:val="none"/>
        </w:rPr>
      </w:pPr>
      <w:r>
        <w:rPr>
          <w:rFonts w:hint="eastAsia" w:ascii="仿宋" w:hAnsi="仿宋" w:eastAsia="仿宋" w:cs="仿宋_GB2312"/>
          <w:b/>
          <w:color w:val="auto"/>
          <w:szCs w:val="24"/>
          <w:highlight w:val="none"/>
        </w:rPr>
        <w:t>14.</w:t>
      </w:r>
      <w:r>
        <w:rPr>
          <w:rFonts w:ascii="仿宋" w:hAnsi="仿宋" w:eastAsia="仿宋" w:cs="仿宋_GB2312"/>
          <w:b/>
          <w:color w:val="auto"/>
          <w:szCs w:val="24"/>
          <w:highlight w:val="none"/>
        </w:rPr>
        <w:t xml:space="preserve"> 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14:paraId="538769C9">
      <w:pPr>
        <w:widowControl/>
        <w:adjustRightInd/>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15.</w:t>
      </w:r>
      <w:r>
        <w:rPr>
          <w:rFonts w:ascii="仿宋" w:hAnsi="仿宋" w:eastAsia="仿宋" w:cs="仿宋_GB2312"/>
          <w:b/>
          <w:color w:val="auto"/>
          <w:sz w:val="24"/>
          <w:highlight w:val="none"/>
        </w:rPr>
        <w:t xml:space="preserve"> </w:t>
      </w:r>
      <w:r>
        <w:rPr>
          <w:rFonts w:hint="eastAsia" w:ascii="仿宋" w:hAnsi="仿宋" w:eastAsia="仿宋" w:cs="仿宋_GB2312"/>
          <w:b/>
          <w:color w:val="auto"/>
          <w:sz w:val="24"/>
          <w:highlight w:val="none"/>
        </w:rPr>
        <w:t>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E7C1C82">
      <w:pPr>
        <w:jc w:val="center"/>
        <w:rPr>
          <w:b/>
          <w:color w:val="auto"/>
          <w:sz w:val="32"/>
          <w:szCs w:val="32"/>
          <w:highlight w:val="none"/>
        </w:rPr>
      </w:pPr>
    </w:p>
    <w:p w14:paraId="4771F2E7">
      <w:pPr>
        <w:snapToGrid w:val="0"/>
        <w:spacing w:line="360" w:lineRule="auto"/>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六、 废标</w:t>
      </w:r>
    </w:p>
    <w:p w14:paraId="3AAC73E6">
      <w:pPr>
        <w:pStyle w:val="10"/>
        <w:snapToGrid w:val="0"/>
        <w:spacing w:line="360" w:lineRule="auto"/>
        <w:ind w:firstLine="482"/>
        <w:rPr>
          <w:rFonts w:hint="eastAsia" w:ascii="仿宋" w:hAnsi="仿宋" w:eastAsia="仿宋" w:cs="仿宋_GB2312"/>
          <w:color w:val="auto"/>
          <w:highlight w:val="none"/>
        </w:rPr>
      </w:pPr>
      <w:r>
        <w:rPr>
          <w:rFonts w:hint="eastAsia" w:ascii="仿宋" w:hAnsi="仿宋" w:eastAsia="仿宋" w:cs="仿宋_GB2312"/>
          <w:b/>
          <w:color w:val="auto"/>
          <w:highlight w:val="none"/>
        </w:rPr>
        <w:t>16.废标。</w:t>
      </w:r>
      <w:r>
        <w:rPr>
          <w:rFonts w:hint="eastAsia" w:ascii="仿宋" w:hAnsi="仿宋" w:eastAsia="仿宋" w:cs="仿宋_GB2312"/>
          <w:color w:val="auto"/>
          <w:highlight w:val="none"/>
        </w:rPr>
        <w:t>在采购中，出现下列情形之一的，应予废标：</w:t>
      </w:r>
    </w:p>
    <w:p w14:paraId="4F4E38FB">
      <w:pPr>
        <w:pStyle w:val="10"/>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w:t>
      </w:r>
      <w:r>
        <w:rPr>
          <w:rFonts w:hint="eastAsia" w:ascii="仿宋" w:hAnsi="仿宋" w:eastAsia="仿宋" w:cs="仿宋_GB2312"/>
          <w:color w:val="auto"/>
          <w:highlight w:val="none"/>
          <w:lang w:eastAsia="zh-CN"/>
        </w:rPr>
        <w:t>遴选文件</w:t>
      </w:r>
      <w:r>
        <w:rPr>
          <w:rFonts w:hint="eastAsia" w:ascii="仿宋" w:hAnsi="仿宋" w:eastAsia="仿宋" w:cs="仿宋_GB2312"/>
          <w:color w:val="auto"/>
          <w:highlight w:val="none"/>
        </w:rPr>
        <w:t>作实质响应的供应商不足3家的；</w:t>
      </w:r>
    </w:p>
    <w:p w14:paraId="05762FA3">
      <w:pPr>
        <w:pStyle w:val="10"/>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14:paraId="706CECB5">
      <w:pPr>
        <w:pStyle w:val="10"/>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16.3</w:t>
      </w:r>
      <w:r>
        <w:rPr>
          <w:rFonts w:hint="eastAsia" w:ascii="仿宋" w:hAnsi="仿宋" w:eastAsia="仿宋" w:cs="仿宋_GB2312"/>
          <w:color w:val="auto"/>
          <w:highlight w:val="none"/>
          <w:lang w:eastAsia="zh-CN"/>
        </w:rPr>
        <w:t>遴选响应人</w:t>
      </w:r>
      <w:r>
        <w:rPr>
          <w:rFonts w:hint="eastAsia" w:ascii="仿宋" w:hAnsi="仿宋" w:eastAsia="仿宋" w:cs="仿宋_GB2312"/>
          <w:color w:val="auto"/>
          <w:highlight w:val="none"/>
        </w:rPr>
        <w:t>的报价均超过了采购预算，</w:t>
      </w:r>
      <w:r>
        <w:rPr>
          <w:rFonts w:hint="eastAsia" w:ascii="仿宋" w:hAnsi="仿宋" w:eastAsia="仿宋" w:cs="仿宋_GB2312"/>
          <w:color w:val="auto"/>
          <w:highlight w:val="none"/>
          <w:lang w:eastAsia="zh-CN"/>
        </w:rPr>
        <w:t>遴选人</w:t>
      </w:r>
      <w:r>
        <w:rPr>
          <w:rFonts w:hint="eastAsia" w:ascii="仿宋" w:hAnsi="仿宋" w:eastAsia="仿宋" w:cs="仿宋_GB2312"/>
          <w:color w:val="auto"/>
          <w:highlight w:val="none"/>
        </w:rPr>
        <w:t>不能支付的；</w:t>
      </w:r>
    </w:p>
    <w:p w14:paraId="43BCE1F8">
      <w:pPr>
        <w:pStyle w:val="10"/>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14:paraId="6FA3BAA5">
      <w:pPr>
        <w:pStyle w:val="10"/>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废标后，</w:t>
      </w:r>
      <w:r>
        <w:rPr>
          <w:rFonts w:hint="eastAsia" w:ascii="仿宋" w:hAnsi="仿宋" w:eastAsia="仿宋" w:cs="仿宋_GB2312"/>
          <w:color w:val="auto"/>
          <w:highlight w:val="none"/>
          <w:lang w:eastAsia="zh-CN"/>
        </w:rPr>
        <w:t>遴选代理单位</w:t>
      </w:r>
      <w:r>
        <w:rPr>
          <w:rFonts w:hint="eastAsia" w:ascii="仿宋" w:hAnsi="仿宋" w:eastAsia="仿宋" w:cs="仿宋_GB2312"/>
          <w:color w:val="auto"/>
          <w:highlight w:val="none"/>
        </w:rPr>
        <w:t>应当将废标理由通知所有</w:t>
      </w:r>
      <w:r>
        <w:rPr>
          <w:rFonts w:hint="eastAsia" w:ascii="仿宋" w:hAnsi="仿宋" w:eastAsia="仿宋" w:cs="仿宋_GB2312"/>
          <w:color w:val="auto"/>
          <w:highlight w:val="none"/>
          <w:lang w:eastAsia="zh-CN"/>
        </w:rPr>
        <w:t>遴选响应人</w:t>
      </w:r>
      <w:r>
        <w:rPr>
          <w:rFonts w:hint="eastAsia" w:ascii="仿宋" w:hAnsi="仿宋" w:eastAsia="仿宋" w:cs="仿宋_GB2312"/>
          <w:color w:val="auto"/>
          <w:highlight w:val="none"/>
        </w:rPr>
        <w:t>。</w:t>
      </w:r>
    </w:p>
    <w:p w14:paraId="7963CFD6">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七、评审过程的保密与录像</w:t>
      </w:r>
    </w:p>
    <w:p w14:paraId="1AC02C42">
      <w:pPr>
        <w:widowControl/>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17.保密。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评审活动在严格保密的情况下进行。评审过程中凡是与采购响应文件评审和比较、中标成交供应商推荐等评审有关的情况，以及涉及国家秘密和商业秘密等信息，评标委员会成员、</w:t>
      </w:r>
      <w:r>
        <w:rPr>
          <w:rFonts w:hint="eastAsia" w:ascii="仿宋" w:hAnsi="仿宋" w:eastAsia="仿宋" w:cs="仿宋_GB2312"/>
          <w:color w:val="auto"/>
          <w:sz w:val="24"/>
          <w:highlight w:val="none"/>
          <w:lang w:eastAsia="zh-CN"/>
        </w:rPr>
        <w:t>遴选人</w:t>
      </w:r>
      <w:r>
        <w:rPr>
          <w:rFonts w:ascii="仿宋" w:hAnsi="仿宋" w:eastAsia="仿宋" w:cs="仿宋_GB2312"/>
          <w:color w:val="auto"/>
          <w:sz w:val="24"/>
          <w:highlight w:val="none"/>
        </w:rPr>
        <w:t>和</w:t>
      </w:r>
      <w:r>
        <w:rPr>
          <w:rFonts w:hint="eastAsia" w:ascii="仿宋" w:hAnsi="仿宋" w:eastAsia="仿宋" w:cs="仿宋_GB2312"/>
          <w:color w:val="auto"/>
          <w:sz w:val="24"/>
          <w:highlight w:val="none"/>
          <w:lang w:eastAsia="zh-CN"/>
        </w:rPr>
        <w:t>遴选代理单位</w:t>
      </w:r>
      <w:r>
        <w:rPr>
          <w:rFonts w:ascii="仿宋" w:hAnsi="仿宋" w:eastAsia="仿宋" w:cs="仿宋_GB2312"/>
          <w:color w:val="auto"/>
          <w:sz w:val="24"/>
          <w:highlight w:val="none"/>
        </w:rPr>
        <w:t>工作人员、相关监督人员等与评审有关的人员应当予以保密。</w:t>
      </w:r>
    </w:p>
    <w:p w14:paraId="18D9FAC2">
      <w:pPr>
        <w:widowControl/>
        <w:spacing w:line="360" w:lineRule="auto"/>
        <w:ind w:firstLine="482" w:firstLineChars="200"/>
        <w:rPr>
          <w:rFonts w:hint="eastAsia" w:ascii="仿宋" w:hAnsi="仿宋" w:eastAsia="仿宋" w:cs="仿宋_GB2312"/>
          <w:color w:val="auto"/>
          <w:sz w:val="24"/>
          <w:highlight w:val="none"/>
        </w:rPr>
        <w:sectPr>
          <w:headerReference r:id="rId8" w:type="default"/>
          <w:footerReference r:id="rId9" w:type="default"/>
          <w:footerReference r:id="rId10" w:type="even"/>
          <w:pgSz w:w="11906" w:h="16838"/>
          <w:pgMar w:top="1440" w:right="1803" w:bottom="1440" w:left="1803" w:header="1021" w:footer="902" w:gutter="0"/>
          <w:cols w:space="720" w:num="1"/>
          <w:titlePg/>
          <w:docGrid w:type="lines" w:linePitch="312" w:charSpace="0"/>
        </w:sectPr>
      </w:pPr>
      <w:r>
        <w:rPr>
          <w:rFonts w:hint="eastAsia" w:ascii="仿宋" w:hAnsi="仿宋" w:eastAsia="仿宋" w:cs="仿宋_GB2312"/>
          <w:b/>
          <w:color w:val="auto"/>
          <w:sz w:val="24"/>
          <w:highlight w:val="none"/>
        </w:rPr>
        <w:t>18.录音录像。</w:t>
      </w:r>
      <w:r>
        <w:rPr>
          <w:rFonts w:hint="eastAsia" w:ascii="仿宋" w:hAnsi="仿宋" w:eastAsia="仿宋" w:cs="仿宋_GB2312"/>
          <w:color w:val="auto"/>
          <w:sz w:val="24"/>
          <w:highlight w:val="none"/>
          <w:lang w:eastAsia="zh-CN"/>
        </w:rPr>
        <w:t>遴选代理单位</w:t>
      </w:r>
      <w:r>
        <w:rPr>
          <w:rFonts w:hint="eastAsia" w:ascii="仿宋" w:hAnsi="仿宋" w:eastAsia="仿宋" w:cs="仿宋_GB2312"/>
          <w:color w:val="auto"/>
          <w:sz w:val="24"/>
          <w:highlight w:val="none"/>
        </w:rPr>
        <w:t>对评审工作现场进行全过程录音录像，录音录像资料作为采购项目文件随其他文件一并存档。</w:t>
      </w:r>
    </w:p>
    <w:p w14:paraId="47F17F59">
      <w:pPr>
        <w:snapToGrid w:val="0"/>
        <w:spacing w:line="360" w:lineRule="auto"/>
        <w:ind w:left="120" w:leftChars="57" w:firstLine="482" w:firstLineChars="150"/>
        <w:jc w:val="center"/>
        <w:rPr>
          <w:rFonts w:hint="eastAsia" w:ascii="仿宋" w:hAnsi="仿宋" w:eastAsia="仿宋" w:cs="仿宋_GB2312"/>
          <w:b/>
          <w:color w:val="auto"/>
          <w:sz w:val="24"/>
          <w:highlight w:val="none"/>
        </w:rPr>
      </w:pPr>
      <w:r>
        <w:rPr>
          <w:rFonts w:hint="eastAsia" w:ascii="仿宋" w:hAnsi="仿宋" w:eastAsia="仿宋" w:cs="仿宋_GB2312"/>
          <w:b/>
          <w:color w:val="auto"/>
          <w:sz w:val="32"/>
          <w:highlight w:val="none"/>
        </w:rPr>
        <w:t>八、具体评标标准</w:t>
      </w:r>
    </w:p>
    <w:p w14:paraId="3F591EF3">
      <w:pPr>
        <w:widowControl/>
        <w:spacing w:line="360" w:lineRule="auto"/>
        <w:ind w:firstLine="480" w:firstLineChars="200"/>
        <w:rPr>
          <w:rFonts w:hint="eastAsia" w:ascii="仿宋" w:hAnsi="仿宋" w:eastAsia="仿宋" w:cs="仿宋"/>
          <w:color w:val="auto"/>
          <w:sz w:val="24"/>
          <w:highlight w:val="none"/>
        </w:rPr>
      </w:pPr>
      <w:bookmarkStart w:id="396" w:name="gxebd_pack_1_EvalFactorAccordEnd"/>
      <w:bookmarkEnd w:id="396"/>
      <w:r>
        <w:rPr>
          <w:rFonts w:hint="eastAsia" w:ascii="仿宋" w:hAnsi="仿宋" w:eastAsia="仿宋" w:cs="仿宋"/>
          <w:color w:val="auto"/>
          <w:sz w:val="24"/>
          <w:highlight w:val="none"/>
        </w:rPr>
        <w:t>19.商务技术分（</w:t>
      </w:r>
      <w:r>
        <w:rPr>
          <w:rFonts w:hint="eastAsia" w:ascii="仿宋" w:hAnsi="仿宋" w:eastAsia="仿宋" w:cs="仿宋"/>
          <w:color w:val="auto"/>
          <w:sz w:val="24"/>
          <w:highlight w:val="none"/>
          <w:lang w:val="en-US" w:eastAsia="zh-CN"/>
        </w:rPr>
        <w:t>80</w:t>
      </w:r>
      <w:r>
        <w:rPr>
          <w:rFonts w:hint="eastAsia" w:ascii="仿宋" w:hAnsi="仿宋" w:eastAsia="仿宋" w:cs="仿宋"/>
          <w:color w:val="auto"/>
          <w:sz w:val="24"/>
          <w:highlight w:val="none"/>
        </w:rPr>
        <w:t>分）</w:t>
      </w:r>
    </w:p>
    <w:tbl>
      <w:tblPr>
        <w:tblStyle w:val="20"/>
        <w:tblW w:w="13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47"/>
        <w:gridCol w:w="5322"/>
        <w:gridCol w:w="4244"/>
        <w:gridCol w:w="1394"/>
      </w:tblGrid>
      <w:tr w14:paraId="2573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0" w:type="dxa"/>
            <w:tcBorders>
              <w:tl2br w:val="nil"/>
              <w:tr2bl w:val="nil"/>
            </w:tcBorders>
            <w:noWrap/>
            <w:vAlign w:val="center"/>
          </w:tcPr>
          <w:p w14:paraId="6AA5E5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p>
        </w:tc>
        <w:tc>
          <w:tcPr>
            <w:tcW w:w="1247" w:type="dxa"/>
            <w:tcBorders>
              <w:tl2br w:val="nil"/>
              <w:tr2bl w:val="nil"/>
            </w:tcBorders>
            <w:noWrap/>
            <w:vAlign w:val="center"/>
          </w:tcPr>
          <w:p w14:paraId="26B63A15">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评价指标</w:t>
            </w:r>
          </w:p>
        </w:tc>
        <w:tc>
          <w:tcPr>
            <w:tcW w:w="5322" w:type="dxa"/>
            <w:tcBorders>
              <w:tl2br w:val="nil"/>
              <w:tr2bl w:val="nil"/>
            </w:tcBorders>
            <w:noWrap/>
            <w:vAlign w:val="center"/>
          </w:tcPr>
          <w:p w14:paraId="2F96E31D">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评价标准和评分方法</w:t>
            </w:r>
          </w:p>
        </w:tc>
        <w:tc>
          <w:tcPr>
            <w:tcW w:w="4244" w:type="dxa"/>
            <w:tcBorders>
              <w:tl2br w:val="nil"/>
              <w:tr2bl w:val="nil"/>
            </w:tcBorders>
            <w:noWrap/>
            <w:vAlign w:val="center"/>
          </w:tcPr>
          <w:p w14:paraId="4B9E0940">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审核依据</w:t>
            </w:r>
          </w:p>
        </w:tc>
        <w:tc>
          <w:tcPr>
            <w:tcW w:w="1394" w:type="dxa"/>
            <w:tcBorders>
              <w:tl2br w:val="nil"/>
              <w:tr2bl w:val="nil"/>
            </w:tcBorders>
            <w:noWrap/>
            <w:vAlign w:val="center"/>
          </w:tcPr>
          <w:p w14:paraId="7A34FBC5">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分值</w:t>
            </w:r>
          </w:p>
        </w:tc>
      </w:tr>
      <w:tr w14:paraId="3A21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20" w:type="dxa"/>
            <w:vMerge w:val="restart"/>
            <w:tcBorders>
              <w:tl2br w:val="nil"/>
              <w:tr2bl w:val="nil"/>
            </w:tcBorders>
            <w:noWrap w:val="0"/>
            <w:vAlign w:val="center"/>
          </w:tcPr>
          <w:p w14:paraId="08DBF53B">
            <w:pPr>
              <w:widowControl/>
              <w:spacing w:line="240" w:lineRule="exact"/>
              <w:ind w:left="-120" w:leftChars="-57" w:right="-115" w:rightChars="-55" w:firstLine="0" w:firstLineChars="0"/>
              <w:jc w:val="center"/>
              <w:rPr>
                <w:rFonts w:hint="eastAsia" w:ascii="宋体" w:hAnsi="宋体" w:cs="宋体"/>
                <w:color w:val="auto"/>
                <w:kern w:val="0"/>
                <w:sz w:val="18"/>
                <w:szCs w:val="18"/>
              </w:rPr>
            </w:pPr>
            <w:r>
              <w:rPr>
                <w:rFonts w:hint="eastAsia" w:ascii="宋体" w:hAnsi="宋体" w:cs="宋体"/>
                <w:color w:val="auto"/>
                <w:kern w:val="0"/>
                <w:sz w:val="18"/>
                <w:szCs w:val="18"/>
              </w:rPr>
              <w:t>综合实力</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(10分)</w:t>
            </w:r>
          </w:p>
        </w:tc>
        <w:tc>
          <w:tcPr>
            <w:tcW w:w="1247" w:type="dxa"/>
            <w:tcBorders>
              <w:tl2br w:val="nil"/>
              <w:tr2bl w:val="nil"/>
            </w:tcBorders>
            <w:noWrap w:val="0"/>
            <w:vAlign w:val="center"/>
          </w:tcPr>
          <w:p w14:paraId="35FCED0A">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1.证券公司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分类评级</w:t>
            </w:r>
          </w:p>
        </w:tc>
        <w:tc>
          <w:tcPr>
            <w:tcW w:w="5322" w:type="dxa"/>
            <w:tcBorders>
              <w:tl2br w:val="nil"/>
              <w:tr2bl w:val="nil"/>
            </w:tcBorders>
            <w:noWrap w:val="0"/>
            <w:vAlign w:val="center"/>
          </w:tcPr>
          <w:p w14:paraId="530EA0A9">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根据证监会公布的</w:t>
            </w:r>
            <w:r>
              <w:rPr>
                <w:rFonts w:hint="eastAsia" w:ascii="宋体" w:hAnsi="宋体" w:cs="宋体"/>
                <w:color w:val="auto"/>
                <w:kern w:val="0"/>
                <w:sz w:val="18"/>
                <w:szCs w:val="18"/>
                <w:lang w:val="en-US" w:eastAsia="zh-CN"/>
              </w:rPr>
              <w:t>2022-2024年</w:t>
            </w:r>
            <w:r>
              <w:rPr>
                <w:rFonts w:hint="eastAsia" w:ascii="宋体" w:hAnsi="宋体" w:cs="宋体"/>
                <w:color w:val="auto"/>
                <w:kern w:val="0"/>
                <w:sz w:val="18"/>
                <w:szCs w:val="18"/>
              </w:rPr>
              <w:t>度证券公司分类评级结果，3年均为A及以上(2分)，其中2年为A及以上(1分)，其中1年为A及以上(0.5分)，其余为0分。</w:t>
            </w:r>
          </w:p>
        </w:tc>
        <w:tc>
          <w:tcPr>
            <w:tcW w:w="4244" w:type="dxa"/>
            <w:tcBorders>
              <w:tl2br w:val="nil"/>
              <w:tr2bl w:val="nil"/>
            </w:tcBorders>
            <w:noWrap w:val="0"/>
            <w:vAlign w:val="center"/>
          </w:tcPr>
          <w:p w14:paraId="33BB4538">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以证监会公布的证券公司分类评级结果为准</w:t>
            </w:r>
          </w:p>
        </w:tc>
        <w:tc>
          <w:tcPr>
            <w:tcW w:w="1394" w:type="dxa"/>
            <w:tcBorders>
              <w:tl2br w:val="nil"/>
              <w:tr2bl w:val="nil"/>
            </w:tcBorders>
            <w:noWrap w:val="0"/>
            <w:vAlign w:val="center"/>
          </w:tcPr>
          <w:p w14:paraId="065F8D86">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r>
      <w:tr w14:paraId="1665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0" w:type="dxa"/>
            <w:vMerge w:val="continue"/>
            <w:tcBorders>
              <w:tl2br w:val="nil"/>
              <w:tr2bl w:val="nil"/>
            </w:tcBorders>
            <w:noWrap w:val="0"/>
            <w:vAlign w:val="center"/>
          </w:tcPr>
          <w:p w14:paraId="026E4D61">
            <w:pPr>
              <w:widowControl/>
              <w:spacing w:line="240" w:lineRule="exact"/>
              <w:jc w:val="left"/>
              <w:rPr>
                <w:rFonts w:ascii="宋体" w:hAnsi="宋体" w:cs="宋体"/>
                <w:color w:val="auto"/>
                <w:kern w:val="0"/>
                <w:sz w:val="18"/>
                <w:szCs w:val="18"/>
              </w:rPr>
            </w:pPr>
          </w:p>
        </w:tc>
        <w:tc>
          <w:tcPr>
            <w:tcW w:w="1247" w:type="dxa"/>
            <w:tcBorders>
              <w:tl2br w:val="nil"/>
              <w:tr2bl w:val="nil"/>
            </w:tcBorders>
            <w:noWrap/>
            <w:vAlign w:val="center"/>
          </w:tcPr>
          <w:p w14:paraId="0C2C8532">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2.资本实力</w:t>
            </w:r>
          </w:p>
        </w:tc>
        <w:tc>
          <w:tcPr>
            <w:tcW w:w="5322" w:type="dxa"/>
            <w:tcBorders>
              <w:tl2br w:val="nil"/>
              <w:tr2bl w:val="nil"/>
            </w:tcBorders>
            <w:noWrap w:val="0"/>
            <w:vAlign w:val="center"/>
          </w:tcPr>
          <w:p w14:paraId="4C12456F">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根据</w:t>
            </w:r>
            <w:r>
              <w:rPr>
                <w:rFonts w:hint="eastAsia" w:ascii="宋体" w:hAnsi="宋体" w:cs="宋体"/>
                <w:color w:val="auto"/>
                <w:kern w:val="0"/>
                <w:sz w:val="18"/>
                <w:szCs w:val="18"/>
                <w:lang w:val="en-US" w:eastAsia="zh-CN"/>
              </w:rPr>
              <w:t>2024年末投标人在全部证券公司</w:t>
            </w:r>
            <w:r>
              <w:rPr>
                <w:rFonts w:hint="eastAsia" w:ascii="宋体" w:hAnsi="宋体" w:cs="宋体"/>
                <w:color w:val="auto"/>
                <w:kern w:val="0"/>
                <w:sz w:val="18"/>
                <w:szCs w:val="18"/>
                <w:lang w:eastAsia="zh-CN"/>
              </w:rPr>
              <w:t>的</w:t>
            </w:r>
            <w:r>
              <w:rPr>
                <w:rFonts w:hint="eastAsia" w:ascii="宋体" w:hAnsi="宋体" w:cs="宋体"/>
                <w:color w:val="auto"/>
                <w:kern w:val="0"/>
                <w:sz w:val="18"/>
                <w:szCs w:val="18"/>
              </w:rPr>
              <w:t>资产总额排名，第1名-第</w:t>
            </w:r>
            <w:r>
              <w:rPr>
                <w:rFonts w:hint="eastAsia" w:ascii="宋体" w:hAnsi="宋体" w:cs="宋体"/>
                <w:color w:val="auto"/>
                <w:kern w:val="0"/>
                <w:sz w:val="18"/>
                <w:szCs w:val="18"/>
                <w:lang w:val="en-US" w:eastAsia="zh-CN"/>
              </w:rPr>
              <w:t>30</w:t>
            </w:r>
            <w:r>
              <w:rPr>
                <w:rFonts w:hint="eastAsia" w:ascii="宋体" w:hAnsi="宋体" w:cs="宋体"/>
                <w:color w:val="auto"/>
                <w:kern w:val="0"/>
                <w:sz w:val="18"/>
                <w:szCs w:val="18"/>
              </w:rPr>
              <w:t>名(1分)，此后每下降10名扣0.2分，扣完为止。</w:t>
            </w:r>
          </w:p>
        </w:tc>
        <w:tc>
          <w:tcPr>
            <w:tcW w:w="4244" w:type="dxa"/>
            <w:tcBorders>
              <w:tl2br w:val="nil"/>
              <w:tr2bl w:val="nil"/>
            </w:tcBorders>
            <w:noWrap w:val="0"/>
            <w:vAlign w:val="center"/>
          </w:tcPr>
          <w:p w14:paraId="4D71246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以</w:t>
            </w:r>
            <w:r>
              <w:rPr>
                <w:rFonts w:hint="eastAsia" w:ascii="宋体" w:hAnsi="宋体" w:cs="宋体"/>
                <w:color w:val="auto"/>
                <w:kern w:val="0"/>
                <w:sz w:val="18"/>
                <w:szCs w:val="18"/>
                <w:lang w:val="en-US" w:eastAsia="zh-CN"/>
              </w:rPr>
              <w:t>wind</w:t>
            </w:r>
            <w:r>
              <w:rPr>
                <w:rFonts w:hint="eastAsia" w:ascii="宋体" w:hAnsi="宋体" w:cs="宋体"/>
                <w:color w:val="auto"/>
                <w:kern w:val="0"/>
                <w:sz w:val="18"/>
                <w:szCs w:val="18"/>
              </w:rPr>
              <w:t>资讯系统</w:t>
            </w:r>
            <w:r>
              <w:rPr>
                <w:rFonts w:hint="eastAsia" w:ascii="宋体" w:hAnsi="宋体" w:cs="宋体"/>
                <w:color w:val="auto"/>
                <w:kern w:val="0"/>
                <w:sz w:val="18"/>
                <w:szCs w:val="18"/>
                <w:lang w:eastAsia="zh-CN"/>
              </w:rPr>
              <w:t>的</w:t>
            </w:r>
            <w:r>
              <w:rPr>
                <w:rFonts w:hint="eastAsia" w:ascii="宋体" w:hAnsi="宋体" w:cs="宋体"/>
                <w:color w:val="auto"/>
                <w:kern w:val="0"/>
                <w:sz w:val="18"/>
                <w:szCs w:val="18"/>
                <w:lang w:val="en-US" w:eastAsia="zh-CN"/>
              </w:rPr>
              <w:t>查询结果为准。查询路径：券商行业透视-行业概况-主要财务数据-报告期选择“2024年”“年报”-依照“总资产”进行排名</w:t>
            </w:r>
          </w:p>
        </w:tc>
        <w:tc>
          <w:tcPr>
            <w:tcW w:w="1394" w:type="dxa"/>
            <w:tcBorders>
              <w:tl2br w:val="nil"/>
              <w:tr2bl w:val="nil"/>
            </w:tcBorders>
            <w:noWrap w:val="0"/>
            <w:vAlign w:val="center"/>
          </w:tcPr>
          <w:p w14:paraId="280D208D">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r>
      <w:tr w14:paraId="539C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20" w:type="dxa"/>
            <w:vMerge w:val="continue"/>
            <w:tcBorders>
              <w:tl2br w:val="nil"/>
              <w:tr2bl w:val="nil"/>
            </w:tcBorders>
            <w:noWrap w:val="0"/>
            <w:vAlign w:val="center"/>
          </w:tcPr>
          <w:p w14:paraId="1DBDEB92">
            <w:pPr>
              <w:widowControl/>
              <w:spacing w:line="240" w:lineRule="exact"/>
              <w:jc w:val="left"/>
              <w:rPr>
                <w:rFonts w:ascii="宋体" w:hAnsi="宋体" w:cs="宋体"/>
                <w:color w:val="auto"/>
                <w:kern w:val="0"/>
                <w:sz w:val="18"/>
                <w:szCs w:val="18"/>
              </w:rPr>
            </w:pPr>
          </w:p>
        </w:tc>
        <w:tc>
          <w:tcPr>
            <w:tcW w:w="1247" w:type="dxa"/>
            <w:tcBorders>
              <w:tl2br w:val="nil"/>
              <w:tr2bl w:val="nil"/>
            </w:tcBorders>
            <w:noWrap/>
            <w:vAlign w:val="center"/>
          </w:tcPr>
          <w:p w14:paraId="1919DEFF">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3.风控水平</w:t>
            </w:r>
          </w:p>
        </w:tc>
        <w:tc>
          <w:tcPr>
            <w:tcW w:w="5322" w:type="dxa"/>
            <w:tcBorders>
              <w:tl2br w:val="nil"/>
              <w:tr2bl w:val="nil"/>
            </w:tcBorders>
            <w:noWrap/>
            <w:vAlign w:val="center"/>
          </w:tcPr>
          <w:p w14:paraId="1CDBE6C4">
            <w:pPr>
              <w:widowControl/>
              <w:spacing w:line="240" w:lineRule="exact"/>
              <w:rPr>
                <w:rFonts w:hint="eastAsia" w:ascii="宋体" w:hAnsi="宋体" w:cs="宋体"/>
                <w:color w:val="auto"/>
                <w:kern w:val="0"/>
                <w:sz w:val="18"/>
                <w:szCs w:val="18"/>
              </w:rPr>
            </w:pPr>
            <w:r>
              <w:rPr>
                <w:rFonts w:hint="eastAsia" w:ascii="宋体" w:hAnsi="宋体" w:cs="宋体"/>
                <w:color w:val="auto"/>
                <w:kern w:val="0"/>
                <w:sz w:val="18"/>
                <w:szCs w:val="18"/>
              </w:rPr>
              <w:t>在中国证券业协会公布的</w:t>
            </w:r>
            <w:r>
              <w:rPr>
                <w:rFonts w:hint="eastAsia" w:ascii="宋体" w:hAnsi="宋体" w:cs="宋体"/>
                <w:color w:val="auto"/>
                <w:kern w:val="0"/>
                <w:sz w:val="18"/>
                <w:szCs w:val="18"/>
                <w:lang w:val="en-US" w:eastAsia="zh-CN"/>
              </w:rPr>
              <w:t>2024年</w:t>
            </w:r>
            <w:r>
              <w:rPr>
                <w:rFonts w:hint="eastAsia" w:ascii="宋体" w:hAnsi="宋体" w:cs="宋体"/>
                <w:color w:val="auto"/>
                <w:kern w:val="0"/>
                <w:sz w:val="18"/>
                <w:szCs w:val="18"/>
              </w:rPr>
              <w:t>证券公司公司债业务质量评价结果中，评价等级为</w:t>
            </w:r>
            <w:r>
              <w:rPr>
                <w:rFonts w:ascii="Arial" w:hAnsi="Arial" w:cs="Arial"/>
                <w:color w:val="auto"/>
                <w:kern w:val="0"/>
                <w:sz w:val="18"/>
                <w:szCs w:val="18"/>
              </w:rPr>
              <w:t>A</w:t>
            </w:r>
            <w:r>
              <w:rPr>
                <w:rFonts w:hint="eastAsia" w:ascii="宋体" w:hAnsi="宋体" w:cs="宋体"/>
                <w:color w:val="auto"/>
                <w:kern w:val="0"/>
                <w:sz w:val="18"/>
                <w:szCs w:val="18"/>
              </w:rPr>
              <w:t>的得</w:t>
            </w:r>
            <w:r>
              <w:rPr>
                <w:rFonts w:ascii="Arial" w:hAnsi="Arial" w:cs="Arial"/>
                <w:color w:val="auto"/>
                <w:kern w:val="0"/>
                <w:sz w:val="18"/>
                <w:szCs w:val="18"/>
              </w:rPr>
              <w:t>2</w:t>
            </w:r>
            <w:r>
              <w:rPr>
                <w:rFonts w:hint="eastAsia" w:ascii="宋体" w:hAnsi="宋体" w:cs="宋体"/>
                <w:color w:val="auto"/>
                <w:kern w:val="0"/>
                <w:sz w:val="18"/>
                <w:szCs w:val="18"/>
              </w:rPr>
              <w:t>分，</w:t>
            </w:r>
            <w:r>
              <w:rPr>
                <w:rFonts w:hint="eastAsia" w:ascii="宋体" w:hAnsi="宋体" w:cs="宋体"/>
                <w:color w:val="auto"/>
                <w:kern w:val="0"/>
                <w:sz w:val="18"/>
                <w:szCs w:val="18"/>
                <w:lang w:val="en-US" w:eastAsia="zh-CN"/>
              </w:rPr>
              <w:t>评价等级为B的得1分，</w:t>
            </w:r>
            <w:r>
              <w:rPr>
                <w:rFonts w:hint="eastAsia" w:ascii="宋体" w:hAnsi="宋体" w:cs="宋体"/>
                <w:color w:val="auto"/>
                <w:kern w:val="0"/>
                <w:sz w:val="18"/>
                <w:szCs w:val="18"/>
              </w:rPr>
              <w:t>其余不得分</w:t>
            </w:r>
          </w:p>
        </w:tc>
        <w:tc>
          <w:tcPr>
            <w:tcW w:w="4244" w:type="dxa"/>
            <w:tcBorders>
              <w:tl2br w:val="nil"/>
              <w:tr2bl w:val="nil"/>
            </w:tcBorders>
            <w:noWrap/>
            <w:vAlign w:val="center"/>
          </w:tcPr>
          <w:p w14:paraId="0FD97C29">
            <w:pPr>
              <w:widowControl/>
              <w:spacing w:line="240" w:lineRule="exact"/>
              <w:rPr>
                <w:rFonts w:hint="eastAsia" w:ascii="宋体" w:hAnsi="宋体" w:cs="宋体"/>
                <w:color w:val="auto"/>
                <w:kern w:val="0"/>
                <w:sz w:val="18"/>
                <w:szCs w:val="18"/>
              </w:rPr>
            </w:pPr>
            <w:r>
              <w:rPr>
                <w:rFonts w:hint="eastAsia" w:ascii="宋体" w:hAnsi="宋体" w:cs="宋体"/>
                <w:color w:val="auto"/>
                <w:kern w:val="0"/>
                <w:sz w:val="18"/>
                <w:szCs w:val="18"/>
              </w:rPr>
              <w:t>以证券业协会公布的</w:t>
            </w:r>
            <w:r>
              <w:rPr>
                <w:rFonts w:hint="eastAsia" w:ascii="宋体" w:hAnsi="宋体" w:cs="宋体"/>
                <w:color w:val="auto"/>
                <w:kern w:val="0"/>
                <w:sz w:val="18"/>
                <w:szCs w:val="18"/>
                <w:lang w:val="en-US" w:eastAsia="zh-CN"/>
              </w:rPr>
              <w:t>2024年</w:t>
            </w:r>
            <w:r>
              <w:rPr>
                <w:rFonts w:hint="eastAsia" w:ascii="宋体" w:hAnsi="宋体" w:cs="宋体"/>
                <w:color w:val="auto"/>
                <w:kern w:val="0"/>
                <w:sz w:val="18"/>
                <w:szCs w:val="18"/>
              </w:rPr>
              <w:t>公布结果为准</w:t>
            </w:r>
          </w:p>
        </w:tc>
        <w:tc>
          <w:tcPr>
            <w:tcW w:w="1394" w:type="dxa"/>
            <w:tcBorders>
              <w:tl2br w:val="nil"/>
              <w:tr2bl w:val="nil"/>
            </w:tcBorders>
            <w:noWrap/>
            <w:vAlign w:val="center"/>
          </w:tcPr>
          <w:p w14:paraId="1EF893A6">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r>
      <w:tr w14:paraId="5E0E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20" w:type="dxa"/>
            <w:vMerge w:val="continue"/>
            <w:tcBorders>
              <w:tl2br w:val="nil"/>
              <w:tr2bl w:val="nil"/>
            </w:tcBorders>
            <w:noWrap w:val="0"/>
            <w:vAlign w:val="center"/>
          </w:tcPr>
          <w:p w14:paraId="506B09EF">
            <w:pPr>
              <w:widowControl/>
              <w:spacing w:line="240" w:lineRule="exact"/>
              <w:jc w:val="left"/>
              <w:rPr>
                <w:rFonts w:ascii="宋体" w:hAnsi="宋体" w:cs="宋体"/>
                <w:color w:val="auto"/>
                <w:kern w:val="0"/>
                <w:sz w:val="18"/>
                <w:szCs w:val="18"/>
              </w:rPr>
            </w:pPr>
          </w:p>
        </w:tc>
        <w:tc>
          <w:tcPr>
            <w:tcW w:w="1247" w:type="dxa"/>
            <w:tcBorders>
              <w:tl2br w:val="nil"/>
              <w:tr2bl w:val="nil"/>
            </w:tcBorders>
            <w:noWrap w:val="0"/>
            <w:vAlign w:val="center"/>
          </w:tcPr>
          <w:p w14:paraId="252D4185">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4.项目团队配备</w:t>
            </w:r>
          </w:p>
        </w:tc>
        <w:tc>
          <w:tcPr>
            <w:tcW w:w="5322" w:type="dxa"/>
            <w:tcBorders>
              <w:tl2br w:val="nil"/>
              <w:tr2bl w:val="nil"/>
            </w:tcBorders>
            <w:noWrap/>
            <w:vAlign w:val="center"/>
          </w:tcPr>
          <w:p w14:paraId="112969DA">
            <w:pPr>
              <w:widowControl/>
              <w:spacing w:line="240" w:lineRule="exact"/>
              <w:rPr>
                <w:rFonts w:hint="eastAsia" w:ascii="Arial" w:hAnsi="Arial" w:cs="Arial"/>
                <w:color w:val="auto"/>
                <w:kern w:val="0"/>
                <w:sz w:val="18"/>
                <w:szCs w:val="18"/>
              </w:rPr>
            </w:pPr>
            <w:r>
              <w:rPr>
                <w:rFonts w:ascii="Arial" w:hAnsi="Arial" w:cs="Arial"/>
                <w:color w:val="auto"/>
                <w:kern w:val="0"/>
                <w:sz w:val="18"/>
                <w:szCs w:val="18"/>
              </w:rPr>
              <w:t>1.</w:t>
            </w:r>
            <w:r>
              <w:rPr>
                <w:rFonts w:hint="eastAsia" w:ascii="宋体" w:hAnsi="宋体" w:cs="Arial"/>
                <w:color w:val="auto"/>
                <w:kern w:val="0"/>
                <w:sz w:val="18"/>
                <w:szCs w:val="18"/>
              </w:rPr>
              <w:t>项目负责人近一年具有同品种发债业绩得</w:t>
            </w:r>
            <w:r>
              <w:rPr>
                <w:rFonts w:ascii="Arial" w:hAnsi="Arial" w:cs="Arial"/>
                <w:color w:val="auto"/>
                <w:kern w:val="0"/>
                <w:sz w:val="18"/>
                <w:szCs w:val="18"/>
              </w:rPr>
              <w:t>3</w:t>
            </w:r>
            <w:r>
              <w:rPr>
                <w:rFonts w:hint="eastAsia" w:ascii="宋体" w:hAnsi="宋体" w:cs="Arial"/>
                <w:color w:val="auto"/>
                <w:kern w:val="0"/>
                <w:sz w:val="18"/>
                <w:szCs w:val="18"/>
              </w:rPr>
              <w:t>分：</w:t>
            </w:r>
            <w:r>
              <w:rPr>
                <w:rFonts w:ascii="Arial" w:hAnsi="Arial" w:cs="Arial"/>
                <w:color w:val="auto"/>
                <w:kern w:val="0"/>
                <w:sz w:val="18"/>
                <w:szCs w:val="18"/>
              </w:rPr>
              <w:t>2.</w:t>
            </w:r>
            <w:r>
              <w:rPr>
                <w:rFonts w:hint="eastAsia" w:ascii="宋体" w:hAnsi="宋体" w:cs="Arial"/>
                <w:color w:val="auto"/>
                <w:kern w:val="0"/>
                <w:sz w:val="18"/>
                <w:szCs w:val="18"/>
              </w:rPr>
              <w:t>项目组人员中有公司律师、</w:t>
            </w:r>
            <w:r>
              <w:rPr>
                <w:rFonts w:ascii="Arial" w:hAnsi="Arial" w:cs="Arial"/>
                <w:color w:val="auto"/>
                <w:kern w:val="0"/>
                <w:sz w:val="18"/>
                <w:szCs w:val="18"/>
              </w:rPr>
              <w:t>CPA</w:t>
            </w:r>
            <w:r>
              <w:rPr>
                <w:rFonts w:hint="eastAsia" w:ascii="宋体" w:hAnsi="宋体" w:cs="Arial"/>
                <w:color w:val="auto"/>
                <w:kern w:val="0"/>
                <w:sz w:val="18"/>
                <w:szCs w:val="18"/>
              </w:rPr>
              <w:t>相关资格各得</w:t>
            </w:r>
            <w:r>
              <w:rPr>
                <w:rFonts w:ascii="Arial" w:hAnsi="Arial" w:cs="Arial"/>
                <w:color w:val="auto"/>
                <w:kern w:val="0"/>
                <w:sz w:val="18"/>
                <w:szCs w:val="18"/>
              </w:rPr>
              <w:t>1</w:t>
            </w:r>
            <w:r>
              <w:rPr>
                <w:rFonts w:hint="eastAsia" w:ascii="宋体" w:hAnsi="宋体" w:cs="Arial"/>
                <w:color w:val="auto"/>
                <w:kern w:val="0"/>
                <w:sz w:val="18"/>
                <w:szCs w:val="18"/>
              </w:rPr>
              <w:t>分</w:t>
            </w:r>
          </w:p>
        </w:tc>
        <w:tc>
          <w:tcPr>
            <w:tcW w:w="4244" w:type="dxa"/>
            <w:tcBorders>
              <w:tl2br w:val="nil"/>
              <w:tr2bl w:val="nil"/>
            </w:tcBorders>
            <w:noWrap w:val="0"/>
            <w:vAlign w:val="center"/>
          </w:tcPr>
          <w:p w14:paraId="0494EB6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1.需提供Wind资讯系统或中国债券信息网依据；2.以国家、行业管理机构有效证书为准</w:t>
            </w:r>
          </w:p>
        </w:tc>
        <w:tc>
          <w:tcPr>
            <w:tcW w:w="1394" w:type="dxa"/>
            <w:tcBorders>
              <w:tl2br w:val="nil"/>
              <w:tr2bl w:val="nil"/>
            </w:tcBorders>
            <w:noWrap w:val="0"/>
            <w:vAlign w:val="center"/>
          </w:tcPr>
          <w:p w14:paraId="45C1A666">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r>
      <w:tr w14:paraId="203D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20" w:type="dxa"/>
            <w:vMerge w:val="restart"/>
            <w:tcBorders>
              <w:tl2br w:val="nil"/>
              <w:tr2bl w:val="nil"/>
            </w:tcBorders>
            <w:noWrap w:val="0"/>
            <w:vAlign w:val="center"/>
          </w:tcPr>
          <w:p w14:paraId="0F117200">
            <w:pPr>
              <w:widowControl/>
              <w:spacing w:line="240" w:lineRule="exact"/>
              <w:ind w:left="-120" w:leftChars="-57" w:right="-115" w:rightChars="-55"/>
              <w:jc w:val="center"/>
              <w:rPr>
                <w:rFonts w:hint="eastAsia" w:ascii="宋体" w:hAnsi="宋体" w:cs="宋体"/>
                <w:color w:val="auto"/>
                <w:kern w:val="0"/>
                <w:sz w:val="18"/>
                <w:szCs w:val="18"/>
              </w:rPr>
            </w:pPr>
            <w:r>
              <w:rPr>
                <w:rFonts w:hint="eastAsia" w:ascii="宋体" w:hAnsi="宋体" w:cs="宋体"/>
                <w:color w:val="auto"/>
                <w:kern w:val="0"/>
                <w:sz w:val="18"/>
                <w:szCs w:val="18"/>
              </w:rPr>
              <w:t>主承销承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销业绩</w:t>
            </w:r>
          </w:p>
          <w:p w14:paraId="5E722811">
            <w:pPr>
              <w:widowControl/>
              <w:spacing w:line="240" w:lineRule="exact"/>
              <w:ind w:left="-120" w:leftChars="-57" w:right="-115" w:rightChars="-55"/>
              <w:jc w:val="center"/>
              <w:rPr>
                <w:rFonts w:hint="eastAsia" w:ascii="宋体" w:hAnsi="宋体" w:cs="宋体"/>
                <w:color w:val="auto"/>
                <w:kern w:val="0"/>
                <w:sz w:val="18"/>
                <w:szCs w:val="18"/>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分)</w:t>
            </w:r>
          </w:p>
        </w:tc>
        <w:tc>
          <w:tcPr>
            <w:tcW w:w="1247" w:type="dxa"/>
            <w:vMerge w:val="restart"/>
            <w:tcBorders>
              <w:tl2br w:val="nil"/>
              <w:tr2bl w:val="nil"/>
            </w:tcBorders>
            <w:noWrap w:val="0"/>
            <w:vAlign w:val="center"/>
          </w:tcPr>
          <w:p w14:paraId="208B8D5A">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全国范围</w:t>
            </w:r>
            <w:r>
              <w:rPr>
                <w:rFonts w:hint="eastAsia" w:ascii="宋体" w:hAnsi="宋体" w:cs="宋体"/>
                <w:color w:val="auto"/>
                <w:kern w:val="0"/>
                <w:sz w:val="18"/>
                <w:szCs w:val="18"/>
              </w:rPr>
              <w:t>主承销</w:t>
            </w:r>
            <w:r>
              <w:rPr>
                <w:rFonts w:hint="eastAsia" w:ascii="宋体" w:hAnsi="宋体" w:cs="宋体"/>
                <w:color w:val="auto"/>
                <w:kern w:val="0"/>
                <w:sz w:val="18"/>
                <w:szCs w:val="18"/>
                <w:lang w:val="en-US" w:eastAsia="zh-CN"/>
              </w:rPr>
              <w:t>私募债</w:t>
            </w:r>
            <w:r>
              <w:rPr>
                <w:rFonts w:hint="eastAsia" w:ascii="宋体" w:hAnsi="宋体" w:cs="宋体"/>
                <w:color w:val="auto"/>
                <w:kern w:val="0"/>
                <w:sz w:val="18"/>
                <w:szCs w:val="18"/>
              </w:rPr>
              <w:t>排名、规模</w:t>
            </w:r>
          </w:p>
        </w:tc>
        <w:tc>
          <w:tcPr>
            <w:tcW w:w="5322" w:type="dxa"/>
            <w:tcBorders>
              <w:tl2br w:val="nil"/>
              <w:tr2bl w:val="nil"/>
            </w:tcBorders>
            <w:noWrap w:val="0"/>
            <w:vAlign w:val="center"/>
          </w:tcPr>
          <w:p w14:paraId="0D50A629">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根据</w:t>
            </w:r>
            <w:r>
              <w:rPr>
                <w:rFonts w:hint="eastAsia" w:ascii="宋体" w:hAnsi="宋体" w:cs="宋体"/>
                <w:color w:val="auto"/>
                <w:kern w:val="0"/>
                <w:sz w:val="18"/>
                <w:szCs w:val="18"/>
                <w:lang w:val="en-US" w:eastAsia="zh-CN"/>
              </w:rPr>
              <w:t>2022年1月1日-2024年12月31日</w:t>
            </w:r>
            <w:r>
              <w:rPr>
                <w:rFonts w:hint="eastAsia" w:ascii="宋体" w:hAnsi="宋体" w:cs="宋体"/>
                <w:color w:val="auto"/>
                <w:kern w:val="0"/>
                <w:sz w:val="18"/>
                <w:szCs w:val="18"/>
              </w:rPr>
              <w:t>主承销债券(</w:t>
            </w:r>
            <w:r>
              <w:rPr>
                <w:rFonts w:hint="eastAsia" w:ascii="宋体" w:hAnsi="宋体" w:cs="宋体"/>
                <w:color w:val="auto"/>
                <w:kern w:val="0"/>
                <w:sz w:val="18"/>
                <w:szCs w:val="18"/>
                <w:lang w:val="en-US" w:eastAsia="zh-CN"/>
              </w:rPr>
              <w:t>私募债</w:t>
            </w:r>
            <w:r>
              <w:rPr>
                <w:rFonts w:hint="eastAsia" w:ascii="宋体" w:hAnsi="宋体" w:cs="宋体"/>
                <w:color w:val="auto"/>
                <w:kern w:val="0"/>
                <w:sz w:val="18"/>
                <w:szCs w:val="18"/>
              </w:rPr>
              <w:t>)总金额排名，第1名-第</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名(5分),每下降10名扣1分，直至扣完。以Wind资讯系统查询的同行业全国排名为准。</w:t>
            </w:r>
          </w:p>
        </w:tc>
        <w:tc>
          <w:tcPr>
            <w:tcW w:w="4244" w:type="dxa"/>
            <w:tcBorders>
              <w:tl2br w:val="nil"/>
              <w:tr2bl w:val="nil"/>
            </w:tcBorders>
            <w:noWrap w:val="0"/>
            <w:vAlign w:val="center"/>
          </w:tcPr>
          <w:p w14:paraId="0C749073">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提供wind资讯系统查询截图：“债券专题统计”“一级市场”“承销统计”“债券承销排名(Wind口径)”,机构类型选择证券，债券分类选择</w:t>
            </w:r>
            <w:r>
              <w:rPr>
                <w:rFonts w:hint="eastAsia" w:ascii="宋体" w:hAnsi="宋体" w:cs="宋体"/>
                <w:color w:val="auto"/>
                <w:kern w:val="0"/>
                <w:sz w:val="18"/>
                <w:szCs w:val="18"/>
                <w:lang w:val="en-US" w:eastAsia="zh-CN"/>
              </w:rPr>
              <w:t>私募债</w:t>
            </w:r>
            <w:r>
              <w:rPr>
                <w:rFonts w:hint="eastAsia" w:ascii="宋体" w:hAnsi="宋体" w:cs="宋体"/>
                <w:color w:val="auto"/>
                <w:kern w:val="0"/>
                <w:sz w:val="18"/>
                <w:szCs w:val="18"/>
              </w:rPr>
              <w:t>，勾选联主实际比例，不包括自主自办发行，查询合并母子公司的承销规模截图。否则相应数据不予认可</w:t>
            </w:r>
          </w:p>
        </w:tc>
        <w:tc>
          <w:tcPr>
            <w:tcW w:w="1394" w:type="dxa"/>
            <w:tcBorders>
              <w:tl2br w:val="nil"/>
              <w:tr2bl w:val="nil"/>
            </w:tcBorders>
            <w:noWrap w:val="0"/>
            <w:vAlign w:val="center"/>
          </w:tcPr>
          <w:p w14:paraId="6998C7D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r>
      <w:tr w14:paraId="309D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20" w:type="dxa"/>
            <w:vMerge w:val="continue"/>
            <w:tcBorders>
              <w:tl2br w:val="nil"/>
              <w:tr2bl w:val="nil"/>
            </w:tcBorders>
            <w:noWrap w:val="0"/>
            <w:vAlign w:val="center"/>
          </w:tcPr>
          <w:p w14:paraId="78C0E821">
            <w:pPr>
              <w:widowControl/>
              <w:spacing w:line="240" w:lineRule="exact"/>
              <w:jc w:val="left"/>
              <w:rPr>
                <w:rFonts w:ascii="宋体" w:hAnsi="宋体" w:cs="宋体"/>
                <w:color w:val="auto"/>
                <w:kern w:val="0"/>
                <w:sz w:val="18"/>
                <w:szCs w:val="18"/>
              </w:rPr>
            </w:pPr>
          </w:p>
        </w:tc>
        <w:tc>
          <w:tcPr>
            <w:tcW w:w="1247" w:type="dxa"/>
            <w:vMerge w:val="continue"/>
            <w:tcBorders>
              <w:tl2br w:val="nil"/>
              <w:tr2bl w:val="nil"/>
            </w:tcBorders>
            <w:noWrap w:val="0"/>
            <w:vAlign w:val="center"/>
          </w:tcPr>
          <w:p w14:paraId="082ABB45">
            <w:pPr>
              <w:widowControl/>
              <w:spacing w:line="240" w:lineRule="exact"/>
              <w:jc w:val="left"/>
              <w:rPr>
                <w:rFonts w:ascii="宋体" w:hAnsi="宋体" w:cs="宋体"/>
                <w:color w:val="auto"/>
                <w:kern w:val="0"/>
                <w:sz w:val="18"/>
                <w:szCs w:val="18"/>
              </w:rPr>
            </w:pPr>
          </w:p>
        </w:tc>
        <w:tc>
          <w:tcPr>
            <w:tcW w:w="5322" w:type="dxa"/>
            <w:tcBorders>
              <w:tl2br w:val="nil"/>
              <w:tr2bl w:val="nil"/>
            </w:tcBorders>
            <w:noWrap w:val="0"/>
            <w:vAlign w:val="center"/>
          </w:tcPr>
          <w:p w14:paraId="6FA0EBEE">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根据</w:t>
            </w:r>
            <w:r>
              <w:rPr>
                <w:rFonts w:hint="eastAsia" w:ascii="宋体" w:hAnsi="宋体" w:cs="宋体"/>
                <w:color w:val="auto"/>
                <w:kern w:val="0"/>
                <w:sz w:val="18"/>
                <w:szCs w:val="18"/>
                <w:lang w:val="en-US" w:eastAsia="zh-CN"/>
              </w:rPr>
              <w:t>2022年1月1日-2024年12月31日</w:t>
            </w:r>
            <w:r>
              <w:rPr>
                <w:rFonts w:hint="eastAsia" w:ascii="宋体" w:hAnsi="宋体" w:cs="宋体"/>
                <w:color w:val="auto"/>
                <w:kern w:val="0"/>
                <w:sz w:val="18"/>
                <w:szCs w:val="18"/>
              </w:rPr>
              <w:t>主承销债券(</w:t>
            </w:r>
            <w:r>
              <w:rPr>
                <w:rFonts w:hint="eastAsia" w:ascii="宋体" w:hAnsi="宋体" w:cs="宋体"/>
                <w:color w:val="auto"/>
                <w:kern w:val="0"/>
                <w:sz w:val="18"/>
                <w:szCs w:val="18"/>
                <w:lang w:val="en-US" w:eastAsia="zh-CN"/>
              </w:rPr>
              <w:t>私募债</w:t>
            </w:r>
            <w:r>
              <w:rPr>
                <w:rFonts w:hint="eastAsia" w:ascii="宋体" w:hAnsi="宋体" w:cs="宋体"/>
                <w:color w:val="auto"/>
                <w:kern w:val="0"/>
                <w:sz w:val="18"/>
                <w:szCs w:val="18"/>
              </w:rPr>
              <w:t>)只数排名， 第1名- 第</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0名(5分),每下降10名扣1分，直至扣完。以Wind资讯系统查询的同行业全国排名为准。</w:t>
            </w:r>
          </w:p>
        </w:tc>
        <w:tc>
          <w:tcPr>
            <w:tcW w:w="4244" w:type="dxa"/>
            <w:tcBorders>
              <w:tl2br w:val="nil"/>
              <w:tr2bl w:val="nil"/>
            </w:tcBorders>
            <w:noWrap w:val="0"/>
            <w:vAlign w:val="center"/>
          </w:tcPr>
          <w:p w14:paraId="6CC3ACB7">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提供wind资讯系统查询截图：“债券专题统计”“一级市场”“承销统计”“债券承销排名(Wind口径)”,机构类型选择证券，债券分类选择</w:t>
            </w:r>
            <w:r>
              <w:rPr>
                <w:rFonts w:hint="eastAsia" w:ascii="宋体" w:hAnsi="宋体" w:cs="宋体"/>
                <w:color w:val="auto"/>
                <w:kern w:val="0"/>
                <w:sz w:val="18"/>
                <w:szCs w:val="18"/>
                <w:lang w:val="en-US" w:eastAsia="zh-CN"/>
              </w:rPr>
              <w:t>私募债</w:t>
            </w:r>
            <w:r>
              <w:rPr>
                <w:rFonts w:hint="eastAsia" w:ascii="宋体" w:hAnsi="宋体" w:cs="宋体"/>
                <w:color w:val="auto"/>
                <w:kern w:val="0"/>
                <w:sz w:val="18"/>
                <w:szCs w:val="18"/>
              </w:rPr>
              <w:t>，勾选联主实际比例，不包括自主自办发行，查询合并母子公司的承销只数截图。否则相应数据不予认可</w:t>
            </w:r>
          </w:p>
        </w:tc>
        <w:tc>
          <w:tcPr>
            <w:tcW w:w="1394" w:type="dxa"/>
            <w:tcBorders>
              <w:tl2br w:val="nil"/>
              <w:tr2bl w:val="nil"/>
            </w:tcBorders>
            <w:noWrap w:val="0"/>
            <w:vAlign w:val="center"/>
          </w:tcPr>
          <w:p w14:paraId="3B355C7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r>
      <w:tr w14:paraId="0733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20" w:type="dxa"/>
            <w:vMerge w:val="continue"/>
            <w:tcBorders>
              <w:tl2br w:val="nil"/>
              <w:tr2bl w:val="nil"/>
            </w:tcBorders>
            <w:noWrap w:val="0"/>
            <w:vAlign w:val="center"/>
          </w:tcPr>
          <w:p w14:paraId="3A48B238">
            <w:pPr>
              <w:widowControl/>
              <w:spacing w:line="240" w:lineRule="exact"/>
              <w:jc w:val="left"/>
              <w:rPr>
                <w:rFonts w:ascii="宋体" w:hAnsi="宋体" w:cs="宋体"/>
                <w:color w:val="auto"/>
                <w:kern w:val="0"/>
                <w:sz w:val="18"/>
                <w:szCs w:val="18"/>
              </w:rPr>
            </w:pPr>
          </w:p>
        </w:tc>
        <w:tc>
          <w:tcPr>
            <w:tcW w:w="1247" w:type="dxa"/>
            <w:vMerge w:val="restart"/>
            <w:tcBorders>
              <w:tl2br w:val="nil"/>
              <w:tr2bl w:val="nil"/>
            </w:tcBorders>
            <w:noWrap w:val="0"/>
            <w:vAlign w:val="center"/>
          </w:tcPr>
          <w:p w14:paraId="5B5496B1">
            <w:pPr>
              <w:widowControl/>
              <w:spacing w:line="240" w:lineRule="exact"/>
              <w:jc w:val="center"/>
              <w:rPr>
                <w:rFonts w:hint="eastAsia" w:ascii="宋体" w:hAnsi="宋体" w:cs="宋体"/>
                <w:color w:val="auto"/>
                <w:kern w:val="0"/>
                <w:sz w:val="18"/>
                <w:szCs w:val="18"/>
                <w:u w:val="single"/>
              </w:rPr>
            </w:pPr>
            <w:r>
              <w:rPr>
                <w:rFonts w:hint="eastAsia" w:ascii="宋体" w:hAnsi="宋体" w:cs="宋体"/>
                <w:color w:val="auto"/>
                <w:kern w:val="0"/>
                <w:sz w:val="18"/>
                <w:szCs w:val="18"/>
                <w:lang w:val="en-US" w:eastAsia="zh-CN"/>
              </w:rPr>
              <w:t>浙江省范围</w:t>
            </w:r>
            <w:r>
              <w:rPr>
                <w:rFonts w:hint="eastAsia" w:ascii="宋体" w:hAnsi="宋体" w:cs="宋体"/>
                <w:color w:val="auto"/>
                <w:kern w:val="0"/>
                <w:sz w:val="18"/>
                <w:szCs w:val="18"/>
              </w:rPr>
              <w:t>主承销</w:t>
            </w:r>
            <w:r>
              <w:rPr>
                <w:rFonts w:hint="eastAsia" w:ascii="宋体" w:hAnsi="宋体" w:cs="宋体"/>
                <w:color w:val="auto"/>
                <w:kern w:val="0"/>
                <w:sz w:val="18"/>
                <w:szCs w:val="18"/>
                <w:lang w:val="en-US" w:eastAsia="zh-CN"/>
              </w:rPr>
              <w:t>私募债</w:t>
            </w:r>
            <w:r>
              <w:rPr>
                <w:rFonts w:hint="eastAsia" w:ascii="宋体" w:hAnsi="宋体" w:cs="宋体"/>
                <w:color w:val="auto"/>
                <w:kern w:val="0"/>
                <w:sz w:val="18"/>
                <w:szCs w:val="18"/>
              </w:rPr>
              <w:t>排名、规模</w:t>
            </w:r>
          </w:p>
        </w:tc>
        <w:tc>
          <w:tcPr>
            <w:tcW w:w="5322" w:type="dxa"/>
            <w:tcBorders>
              <w:tl2br w:val="nil"/>
              <w:tr2bl w:val="nil"/>
            </w:tcBorders>
            <w:noWrap w:val="0"/>
            <w:vAlign w:val="center"/>
          </w:tcPr>
          <w:p w14:paraId="6768C760">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根据</w:t>
            </w:r>
            <w:r>
              <w:rPr>
                <w:rFonts w:hint="eastAsia" w:ascii="宋体" w:hAnsi="宋体" w:cs="宋体"/>
                <w:color w:val="auto"/>
                <w:kern w:val="0"/>
                <w:sz w:val="18"/>
                <w:szCs w:val="18"/>
                <w:lang w:val="en-US" w:eastAsia="zh-CN"/>
              </w:rPr>
              <w:t>2022年1月1日-2024年12月31日</w:t>
            </w:r>
            <w:r>
              <w:rPr>
                <w:rFonts w:hint="eastAsia" w:ascii="宋体" w:hAnsi="宋体" w:cs="宋体"/>
                <w:color w:val="auto"/>
                <w:kern w:val="0"/>
                <w:sz w:val="18"/>
                <w:szCs w:val="18"/>
              </w:rPr>
              <w:t>主承销</w:t>
            </w:r>
            <w:r>
              <w:rPr>
                <w:rFonts w:hint="eastAsia" w:ascii="宋体" w:hAnsi="宋体" w:cs="宋体"/>
                <w:color w:val="auto"/>
                <w:kern w:val="0"/>
                <w:sz w:val="18"/>
                <w:szCs w:val="18"/>
                <w:lang w:val="en-US" w:eastAsia="zh-CN"/>
              </w:rPr>
              <w:t>浙江省</w:t>
            </w:r>
            <w:r>
              <w:rPr>
                <w:rFonts w:hint="eastAsia" w:ascii="宋体" w:hAnsi="宋体" w:cs="宋体"/>
                <w:color w:val="auto"/>
                <w:kern w:val="0"/>
                <w:sz w:val="18"/>
                <w:szCs w:val="18"/>
              </w:rPr>
              <w:t>债券(</w:t>
            </w:r>
            <w:r>
              <w:rPr>
                <w:rFonts w:hint="eastAsia" w:ascii="宋体" w:hAnsi="宋体" w:cs="宋体"/>
                <w:color w:val="auto"/>
                <w:kern w:val="0"/>
                <w:sz w:val="18"/>
                <w:szCs w:val="18"/>
                <w:lang w:val="en-US" w:eastAsia="zh-CN"/>
              </w:rPr>
              <w:t>私募债</w:t>
            </w:r>
            <w:r>
              <w:rPr>
                <w:rFonts w:hint="eastAsia" w:ascii="宋体" w:hAnsi="宋体" w:cs="宋体"/>
                <w:color w:val="auto"/>
                <w:kern w:val="0"/>
                <w:sz w:val="18"/>
                <w:szCs w:val="18"/>
              </w:rPr>
              <w:t>)总金额排名，第1名-第</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名(5分),每下降10名扣1分，直至扣完。以Wind资讯系统查询的同行业全国排名为准。</w:t>
            </w:r>
          </w:p>
        </w:tc>
        <w:tc>
          <w:tcPr>
            <w:tcW w:w="4244" w:type="dxa"/>
            <w:tcBorders>
              <w:tl2br w:val="nil"/>
              <w:tr2bl w:val="nil"/>
            </w:tcBorders>
            <w:noWrap w:val="0"/>
            <w:vAlign w:val="center"/>
          </w:tcPr>
          <w:p w14:paraId="74BC5F18">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提供wind资讯系统查询截图：“债券专题统计”“一级市场”“承销统计”“债券承销排名(Wind口径)”,机构类型选择证券，债券分类选择</w:t>
            </w:r>
            <w:r>
              <w:rPr>
                <w:rFonts w:hint="eastAsia" w:ascii="宋体" w:hAnsi="宋体" w:cs="宋体"/>
                <w:color w:val="auto"/>
                <w:kern w:val="0"/>
                <w:sz w:val="18"/>
                <w:szCs w:val="18"/>
                <w:lang w:val="en-US" w:eastAsia="zh-CN"/>
              </w:rPr>
              <w:t>私募债</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地域分类选择“浙江”，</w:t>
            </w:r>
            <w:r>
              <w:rPr>
                <w:rFonts w:hint="eastAsia" w:ascii="宋体" w:hAnsi="宋体" w:cs="宋体"/>
                <w:color w:val="auto"/>
                <w:kern w:val="0"/>
                <w:sz w:val="18"/>
                <w:szCs w:val="18"/>
              </w:rPr>
              <w:t>勾选联主实际比例，不包括自主自办发行，查询合并母子公司的承销规模截图。否则相应数据不予认可</w:t>
            </w:r>
          </w:p>
        </w:tc>
        <w:tc>
          <w:tcPr>
            <w:tcW w:w="1394" w:type="dxa"/>
            <w:tcBorders>
              <w:tl2br w:val="nil"/>
              <w:tr2bl w:val="nil"/>
            </w:tcBorders>
            <w:noWrap w:val="0"/>
            <w:vAlign w:val="center"/>
          </w:tcPr>
          <w:p w14:paraId="0F709B3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r>
      <w:tr w14:paraId="6C09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20" w:type="dxa"/>
            <w:vMerge w:val="continue"/>
            <w:tcBorders>
              <w:tl2br w:val="nil"/>
              <w:tr2bl w:val="nil"/>
            </w:tcBorders>
            <w:noWrap w:val="0"/>
            <w:vAlign w:val="center"/>
          </w:tcPr>
          <w:p w14:paraId="3D411D68">
            <w:pPr>
              <w:widowControl/>
              <w:spacing w:line="240" w:lineRule="exact"/>
              <w:jc w:val="left"/>
              <w:rPr>
                <w:rFonts w:ascii="宋体" w:hAnsi="宋体" w:cs="宋体"/>
                <w:color w:val="auto"/>
                <w:kern w:val="0"/>
                <w:sz w:val="18"/>
                <w:szCs w:val="18"/>
              </w:rPr>
            </w:pPr>
          </w:p>
        </w:tc>
        <w:tc>
          <w:tcPr>
            <w:tcW w:w="1247" w:type="dxa"/>
            <w:vMerge w:val="continue"/>
            <w:tcBorders>
              <w:tl2br w:val="nil"/>
              <w:tr2bl w:val="nil"/>
            </w:tcBorders>
            <w:noWrap w:val="0"/>
            <w:vAlign w:val="center"/>
          </w:tcPr>
          <w:p w14:paraId="132366DF">
            <w:pPr>
              <w:widowControl/>
              <w:spacing w:line="240" w:lineRule="exact"/>
              <w:jc w:val="left"/>
              <w:rPr>
                <w:rFonts w:ascii="宋体" w:hAnsi="宋体" w:cs="宋体"/>
                <w:color w:val="auto"/>
                <w:kern w:val="0"/>
                <w:sz w:val="18"/>
                <w:szCs w:val="18"/>
              </w:rPr>
            </w:pPr>
          </w:p>
        </w:tc>
        <w:tc>
          <w:tcPr>
            <w:tcW w:w="5322" w:type="dxa"/>
            <w:tcBorders>
              <w:tl2br w:val="nil"/>
              <w:tr2bl w:val="nil"/>
            </w:tcBorders>
            <w:noWrap w:val="0"/>
            <w:vAlign w:val="center"/>
          </w:tcPr>
          <w:p w14:paraId="3DD822C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根据</w:t>
            </w:r>
            <w:r>
              <w:rPr>
                <w:rFonts w:hint="eastAsia" w:ascii="宋体" w:hAnsi="宋体" w:cs="宋体"/>
                <w:color w:val="auto"/>
                <w:kern w:val="0"/>
                <w:sz w:val="18"/>
                <w:szCs w:val="18"/>
                <w:lang w:val="en-US" w:eastAsia="zh-CN"/>
              </w:rPr>
              <w:t>2022年1月1日-2024年12月31日</w:t>
            </w:r>
            <w:r>
              <w:rPr>
                <w:rFonts w:hint="eastAsia" w:ascii="宋体" w:hAnsi="宋体" w:cs="宋体"/>
                <w:color w:val="auto"/>
                <w:kern w:val="0"/>
                <w:sz w:val="18"/>
                <w:szCs w:val="18"/>
              </w:rPr>
              <w:t>主承销</w:t>
            </w:r>
            <w:r>
              <w:rPr>
                <w:rFonts w:hint="eastAsia" w:ascii="宋体" w:hAnsi="宋体" w:cs="宋体"/>
                <w:color w:val="auto"/>
                <w:kern w:val="0"/>
                <w:sz w:val="18"/>
                <w:szCs w:val="18"/>
                <w:lang w:val="en-US" w:eastAsia="zh-CN"/>
              </w:rPr>
              <w:t>浙江省</w:t>
            </w:r>
            <w:r>
              <w:rPr>
                <w:rFonts w:hint="eastAsia" w:ascii="宋体" w:hAnsi="宋体" w:cs="宋体"/>
                <w:color w:val="auto"/>
                <w:kern w:val="0"/>
                <w:sz w:val="18"/>
                <w:szCs w:val="18"/>
              </w:rPr>
              <w:t>债券(</w:t>
            </w:r>
            <w:r>
              <w:rPr>
                <w:rFonts w:hint="eastAsia" w:ascii="宋体" w:hAnsi="宋体" w:cs="宋体"/>
                <w:color w:val="auto"/>
                <w:kern w:val="0"/>
                <w:sz w:val="18"/>
                <w:szCs w:val="18"/>
                <w:lang w:val="en-US" w:eastAsia="zh-CN"/>
              </w:rPr>
              <w:t>私募债</w:t>
            </w:r>
            <w:r>
              <w:rPr>
                <w:rFonts w:hint="eastAsia" w:ascii="宋体" w:hAnsi="宋体" w:cs="宋体"/>
                <w:color w:val="auto"/>
                <w:kern w:val="0"/>
                <w:sz w:val="18"/>
                <w:szCs w:val="18"/>
              </w:rPr>
              <w:t>)只数排名， 第1名- 第</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0名(5分),每下降10名扣1分，直至扣完。以Wind资讯系统查询的同行业全国排名为准。</w:t>
            </w:r>
          </w:p>
        </w:tc>
        <w:tc>
          <w:tcPr>
            <w:tcW w:w="4244" w:type="dxa"/>
            <w:tcBorders>
              <w:tl2br w:val="nil"/>
              <w:tr2bl w:val="nil"/>
            </w:tcBorders>
            <w:noWrap w:val="0"/>
            <w:vAlign w:val="center"/>
          </w:tcPr>
          <w:p w14:paraId="1311AB0C">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提供wind资讯系统查询截图：“债券专题统计”“一级市场”“承销统计”“债券承销排名(Wind口径)”,机构类型选择证券，债券分类选择</w:t>
            </w:r>
            <w:r>
              <w:rPr>
                <w:rFonts w:hint="eastAsia" w:ascii="宋体" w:hAnsi="宋体" w:cs="宋体"/>
                <w:color w:val="auto"/>
                <w:kern w:val="0"/>
                <w:sz w:val="18"/>
                <w:szCs w:val="18"/>
                <w:lang w:val="en-US" w:eastAsia="zh-CN"/>
              </w:rPr>
              <w:t>私募债</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地域分类选择“浙江”，</w:t>
            </w:r>
            <w:r>
              <w:rPr>
                <w:rFonts w:hint="eastAsia" w:ascii="宋体" w:hAnsi="宋体" w:cs="宋体"/>
                <w:color w:val="auto"/>
                <w:kern w:val="0"/>
                <w:sz w:val="18"/>
                <w:szCs w:val="18"/>
              </w:rPr>
              <w:t>勾选联主实际比例，不包括自主自办发行，查询合并母子公司的承销只数截图。否则相应数据不予认可</w:t>
            </w:r>
          </w:p>
        </w:tc>
        <w:tc>
          <w:tcPr>
            <w:tcW w:w="1394" w:type="dxa"/>
            <w:tcBorders>
              <w:tl2br w:val="nil"/>
              <w:tr2bl w:val="nil"/>
            </w:tcBorders>
            <w:noWrap w:val="0"/>
            <w:vAlign w:val="center"/>
          </w:tcPr>
          <w:p w14:paraId="0BBD0D6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r>
      <w:tr w14:paraId="2711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20" w:type="dxa"/>
            <w:vMerge w:val="restart"/>
            <w:tcBorders>
              <w:tl2br w:val="nil"/>
              <w:tr2bl w:val="nil"/>
            </w:tcBorders>
            <w:noWrap w:val="0"/>
            <w:vAlign w:val="center"/>
          </w:tcPr>
          <w:p w14:paraId="64F9CCE4">
            <w:pPr>
              <w:widowControl/>
              <w:spacing w:line="240" w:lineRule="exact"/>
              <w:ind w:left="-120" w:leftChars="-57" w:right="-115" w:rightChars="-55"/>
              <w:jc w:val="center"/>
              <w:rPr>
                <w:rFonts w:hint="eastAsia" w:ascii="宋体" w:hAnsi="宋体" w:cs="宋体"/>
                <w:color w:val="auto"/>
                <w:kern w:val="0"/>
                <w:sz w:val="18"/>
                <w:szCs w:val="18"/>
              </w:rPr>
            </w:pPr>
            <w:r>
              <w:rPr>
                <w:rFonts w:hint="eastAsia" w:ascii="宋体" w:hAnsi="宋体" w:cs="宋体"/>
                <w:color w:val="auto"/>
                <w:kern w:val="0"/>
                <w:sz w:val="18"/>
                <w:szCs w:val="18"/>
              </w:rPr>
              <w:t>承销定价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和包销能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力(</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0分)</w:t>
            </w:r>
          </w:p>
        </w:tc>
        <w:tc>
          <w:tcPr>
            <w:tcW w:w="1247" w:type="dxa"/>
            <w:tcBorders>
              <w:tl2br w:val="nil"/>
              <w:tr2bl w:val="nil"/>
            </w:tcBorders>
            <w:noWrap/>
            <w:vAlign w:val="center"/>
          </w:tcPr>
          <w:p w14:paraId="6F6F6A5B">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定价能力</w:t>
            </w:r>
          </w:p>
        </w:tc>
        <w:tc>
          <w:tcPr>
            <w:tcW w:w="5322" w:type="dxa"/>
            <w:tcBorders>
              <w:tl2br w:val="nil"/>
              <w:tr2bl w:val="nil"/>
            </w:tcBorders>
            <w:noWrap w:val="0"/>
            <w:vAlign w:val="center"/>
          </w:tcPr>
          <w:p w14:paraId="4BA6A0C3">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年1月1日至202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年12月31日牵头</w:t>
            </w:r>
            <w:r>
              <w:rPr>
                <w:rFonts w:hint="eastAsia" w:ascii="宋体" w:hAnsi="宋体" w:cs="宋体"/>
                <w:color w:val="auto"/>
                <w:kern w:val="0"/>
                <w:sz w:val="18"/>
                <w:szCs w:val="18"/>
                <w:lang w:val="en-US" w:eastAsia="zh-CN"/>
              </w:rPr>
              <w:t>或独主</w:t>
            </w:r>
            <w:r>
              <w:rPr>
                <w:rFonts w:hint="eastAsia" w:ascii="宋体" w:hAnsi="宋体" w:cs="宋体"/>
                <w:color w:val="auto"/>
                <w:kern w:val="0"/>
                <w:sz w:val="18"/>
                <w:szCs w:val="18"/>
              </w:rPr>
              <w:t>主承销绍兴</w:t>
            </w:r>
            <w:r>
              <w:rPr>
                <w:rFonts w:hint="eastAsia" w:ascii="宋体" w:hAnsi="宋体" w:cs="宋体"/>
                <w:color w:val="auto"/>
                <w:kern w:val="0"/>
                <w:sz w:val="18"/>
                <w:szCs w:val="18"/>
                <w:lang w:val="en-US" w:eastAsia="zh-CN"/>
              </w:rPr>
              <w:t>柯桥</w:t>
            </w:r>
            <w:r>
              <w:rPr>
                <w:rFonts w:hint="eastAsia" w:ascii="宋体" w:hAnsi="宋体" w:cs="宋体"/>
                <w:color w:val="auto"/>
                <w:kern w:val="0"/>
                <w:sz w:val="18"/>
                <w:szCs w:val="18"/>
              </w:rPr>
              <w:t>地区城投类AA公司发行期限3年及3年期以上私募公司债利率最低案例，利率最低的得满分，1分递减，没有案例不得分。</w:t>
            </w:r>
          </w:p>
        </w:tc>
        <w:tc>
          <w:tcPr>
            <w:tcW w:w="4244" w:type="dxa"/>
            <w:tcBorders>
              <w:tl2br w:val="nil"/>
              <w:tr2bl w:val="nil"/>
            </w:tcBorders>
            <w:noWrap w:val="0"/>
            <w:vAlign w:val="center"/>
          </w:tcPr>
          <w:p w14:paraId="7A411965">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需提供Wind资讯系统或中国债券信息网数据</w:t>
            </w:r>
          </w:p>
        </w:tc>
        <w:tc>
          <w:tcPr>
            <w:tcW w:w="1394" w:type="dxa"/>
            <w:tcBorders>
              <w:tl2br w:val="nil"/>
              <w:tr2bl w:val="nil"/>
            </w:tcBorders>
            <w:noWrap w:val="0"/>
            <w:vAlign w:val="center"/>
          </w:tcPr>
          <w:p w14:paraId="20E24D1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405D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0" w:type="dxa"/>
            <w:vMerge w:val="continue"/>
            <w:tcBorders>
              <w:tl2br w:val="nil"/>
              <w:tr2bl w:val="nil"/>
            </w:tcBorders>
            <w:noWrap w:val="0"/>
            <w:vAlign w:val="center"/>
          </w:tcPr>
          <w:p w14:paraId="4045B18F">
            <w:pPr>
              <w:widowControl/>
              <w:spacing w:line="240" w:lineRule="exact"/>
              <w:jc w:val="left"/>
              <w:rPr>
                <w:rFonts w:ascii="宋体" w:hAnsi="宋体" w:cs="宋体"/>
                <w:color w:val="auto"/>
                <w:kern w:val="0"/>
                <w:sz w:val="18"/>
                <w:szCs w:val="18"/>
              </w:rPr>
            </w:pPr>
          </w:p>
        </w:tc>
        <w:tc>
          <w:tcPr>
            <w:tcW w:w="1247" w:type="dxa"/>
            <w:tcBorders>
              <w:tl2br w:val="nil"/>
              <w:tr2bl w:val="nil"/>
            </w:tcBorders>
            <w:noWrap/>
            <w:vAlign w:val="center"/>
          </w:tcPr>
          <w:p w14:paraId="046B87CE">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包销能力</w:t>
            </w:r>
          </w:p>
        </w:tc>
        <w:tc>
          <w:tcPr>
            <w:tcW w:w="5322" w:type="dxa"/>
            <w:tcBorders>
              <w:tl2br w:val="nil"/>
              <w:tr2bl w:val="nil"/>
            </w:tcBorders>
            <w:noWrap w:val="0"/>
            <w:vAlign w:val="center"/>
          </w:tcPr>
          <w:p w14:paraId="630D6523">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能承诺提供余额包销服务的，得</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分，未承诺或部分承诺的，均得0分</w:t>
            </w:r>
          </w:p>
        </w:tc>
        <w:tc>
          <w:tcPr>
            <w:tcW w:w="4244" w:type="dxa"/>
            <w:tcBorders>
              <w:tl2br w:val="nil"/>
              <w:tr2bl w:val="nil"/>
            </w:tcBorders>
            <w:noWrap w:val="0"/>
            <w:vAlign w:val="center"/>
          </w:tcPr>
          <w:p w14:paraId="244B1497">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需提供承诺函或在申报文件中注明余额包销内容</w:t>
            </w:r>
          </w:p>
        </w:tc>
        <w:tc>
          <w:tcPr>
            <w:tcW w:w="1394" w:type="dxa"/>
            <w:tcBorders>
              <w:tl2br w:val="nil"/>
              <w:tr2bl w:val="nil"/>
            </w:tcBorders>
            <w:shd w:val="clear" w:color="auto" w:fill="auto"/>
            <w:noWrap w:val="0"/>
            <w:vAlign w:val="center"/>
          </w:tcPr>
          <w:p w14:paraId="711EC59C">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r>
      <w:tr w14:paraId="441C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1020" w:type="dxa"/>
            <w:tcBorders>
              <w:tl2br w:val="nil"/>
              <w:tr2bl w:val="nil"/>
            </w:tcBorders>
            <w:noWrap w:val="0"/>
            <w:vAlign w:val="center"/>
          </w:tcPr>
          <w:p w14:paraId="6EE12A0F">
            <w:pPr>
              <w:widowControl/>
              <w:spacing w:line="240" w:lineRule="exact"/>
              <w:ind w:left="-120" w:leftChars="-57" w:right="-115" w:rightChars="-55"/>
              <w:jc w:val="center"/>
              <w:rPr>
                <w:rFonts w:hint="eastAsia" w:ascii="宋体" w:hAnsi="宋体" w:cs="宋体"/>
                <w:color w:val="auto"/>
                <w:kern w:val="0"/>
                <w:sz w:val="18"/>
                <w:szCs w:val="18"/>
              </w:rPr>
            </w:pPr>
            <w:r>
              <w:rPr>
                <w:rFonts w:hint="eastAsia" w:ascii="宋体" w:hAnsi="宋体" w:cs="宋体"/>
                <w:color w:val="auto"/>
                <w:kern w:val="0"/>
                <w:sz w:val="18"/>
                <w:szCs w:val="18"/>
              </w:rPr>
              <w:t>承销方案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分)</w:t>
            </w:r>
          </w:p>
        </w:tc>
        <w:tc>
          <w:tcPr>
            <w:tcW w:w="1247" w:type="dxa"/>
            <w:tcBorders>
              <w:tl2br w:val="nil"/>
              <w:tr2bl w:val="nil"/>
            </w:tcBorders>
            <w:noWrap/>
            <w:vAlign w:val="center"/>
          </w:tcPr>
          <w:p w14:paraId="44BCC9A7">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方案科学性</w:t>
            </w:r>
            <w:r>
              <w:rPr>
                <w:rFonts w:hint="eastAsia" w:ascii="宋体" w:hAnsi="宋体" w:cs="宋体"/>
                <w:color w:val="auto"/>
                <w:kern w:val="0"/>
                <w:sz w:val="18"/>
                <w:szCs w:val="18"/>
                <w:lang w:val="en-US" w:eastAsia="zh-CN"/>
              </w:rPr>
              <w:t>和实施效率</w:t>
            </w:r>
          </w:p>
        </w:tc>
        <w:tc>
          <w:tcPr>
            <w:tcW w:w="5322" w:type="dxa"/>
            <w:tcBorders>
              <w:tl2br w:val="nil"/>
              <w:tr2bl w:val="nil"/>
            </w:tcBorders>
            <w:noWrap w:val="0"/>
            <w:vAlign w:val="center"/>
          </w:tcPr>
          <w:p w14:paraId="0EDD670E">
            <w:pPr>
              <w:widowControl/>
              <w:numPr>
                <w:ilvl w:val="0"/>
                <w:numId w:val="9"/>
              </w:numPr>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方案是否充分了解发行人情况，是否具有针对性；内容是否详实，是否具有较强的可操作性</w:t>
            </w:r>
            <w:r>
              <w:rPr>
                <w:rFonts w:hint="eastAsia" w:ascii="宋体" w:hAnsi="宋体" w:cs="宋体"/>
                <w:color w:val="auto"/>
                <w:kern w:val="0"/>
                <w:sz w:val="18"/>
                <w:szCs w:val="18"/>
                <w:lang w:val="en-US" w:eastAsia="zh-CN"/>
              </w:rPr>
              <w:t>和实施效率</w:t>
            </w:r>
            <w:r>
              <w:rPr>
                <w:rFonts w:hint="eastAsia" w:ascii="宋体" w:hAnsi="宋体" w:cs="宋体"/>
                <w:color w:val="auto"/>
                <w:kern w:val="0"/>
                <w:sz w:val="18"/>
                <w:szCs w:val="18"/>
              </w:rPr>
              <w:t>：优得</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分，良得</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分，一般得1分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2.总部对项目的重视程度及配套措施：优得3分，良得2分，一般得1分；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3.承诺具有专项协助债券存续期管理与信息披露的相关部门和专职人员开展服务的，得</w:t>
            </w:r>
            <w:r>
              <w:rPr>
                <w:rFonts w:hint="eastAsia" w:ascii="宋体" w:hAnsi="宋体" w:eastAsia="宋体" w:cs="宋体"/>
                <w:color w:val="auto"/>
                <w:kern w:val="0"/>
                <w:sz w:val="18"/>
                <w:szCs w:val="18"/>
                <w:lang w:eastAsia="zh-CN"/>
              </w:rPr>
              <w:t>4</w:t>
            </w:r>
            <w:r>
              <w:rPr>
                <w:rFonts w:hint="eastAsia" w:ascii="宋体" w:hAnsi="宋体" w:cs="宋体"/>
                <w:color w:val="auto"/>
                <w:kern w:val="0"/>
                <w:sz w:val="18"/>
                <w:szCs w:val="18"/>
              </w:rPr>
              <w:t>分，未承诺的得0分</w:t>
            </w:r>
            <w:r>
              <w:rPr>
                <w:rFonts w:hint="eastAsia" w:ascii="宋体" w:hAnsi="宋体" w:eastAsia="宋体" w:cs="宋体"/>
                <w:color w:val="auto"/>
                <w:kern w:val="0"/>
                <w:sz w:val="18"/>
                <w:szCs w:val="18"/>
                <w:lang w:eastAsia="zh-CN"/>
              </w:rPr>
              <w:t>。</w:t>
            </w:r>
          </w:p>
        </w:tc>
        <w:tc>
          <w:tcPr>
            <w:tcW w:w="4244" w:type="dxa"/>
            <w:tcBorders>
              <w:tl2br w:val="nil"/>
              <w:tr2bl w:val="nil"/>
            </w:tcBorders>
            <w:noWrap w:val="0"/>
            <w:vAlign w:val="center"/>
          </w:tcPr>
          <w:p w14:paraId="3C0D10D5">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评审专家根据申报文件打分</w:t>
            </w:r>
          </w:p>
        </w:tc>
        <w:tc>
          <w:tcPr>
            <w:tcW w:w="1394" w:type="dxa"/>
            <w:tcBorders>
              <w:tl2br w:val="nil"/>
              <w:tr2bl w:val="nil"/>
            </w:tcBorders>
            <w:shd w:val="clear" w:color="auto" w:fill="auto"/>
            <w:noWrap w:val="0"/>
            <w:vAlign w:val="center"/>
          </w:tcPr>
          <w:p w14:paraId="1EDF697F">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r>
      <w:tr w14:paraId="47D2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20" w:type="dxa"/>
            <w:vMerge w:val="restart"/>
            <w:tcBorders>
              <w:tl2br w:val="nil"/>
              <w:tr2bl w:val="nil"/>
            </w:tcBorders>
            <w:shd w:val="clear" w:color="auto" w:fill="auto"/>
            <w:noWrap w:val="0"/>
            <w:vAlign w:val="center"/>
          </w:tcPr>
          <w:p w14:paraId="6999660E">
            <w:pPr>
              <w:widowControl/>
              <w:spacing w:line="240" w:lineRule="exact"/>
              <w:ind w:left="-120" w:leftChars="-57" w:right="-115" w:rightChars="-55"/>
              <w:jc w:val="center"/>
              <w:rPr>
                <w:rFonts w:hint="eastAsia" w:ascii="宋体" w:hAnsi="宋体" w:cs="宋体"/>
                <w:color w:val="auto"/>
                <w:kern w:val="0"/>
                <w:sz w:val="18"/>
                <w:szCs w:val="18"/>
              </w:rPr>
            </w:pPr>
            <w:r>
              <w:rPr>
                <w:rFonts w:hint="eastAsia" w:ascii="宋体" w:hAnsi="宋体" w:cs="宋体"/>
                <w:color w:val="auto"/>
                <w:kern w:val="0"/>
                <w:sz w:val="18"/>
                <w:szCs w:val="18"/>
              </w:rPr>
              <w:t>针对证券</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公司评分</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(20分)</w:t>
            </w:r>
          </w:p>
        </w:tc>
        <w:tc>
          <w:tcPr>
            <w:tcW w:w="1247" w:type="dxa"/>
            <w:tcBorders>
              <w:tl2br w:val="nil"/>
              <w:tr2bl w:val="nil"/>
            </w:tcBorders>
            <w:shd w:val="clear" w:color="000000" w:fill="FFFFFF"/>
            <w:noWrap w:val="0"/>
            <w:vAlign w:val="center"/>
          </w:tcPr>
          <w:p w14:paraId="7D77F856">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证券公司对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柯桥区城投类企业承销债券数量</w:t>
            </w:r>
          </w:p>
        </w:tc>
        <w:tc>
          <w:tcPr>
            <w:tcW w:w="5322" w:type="dxa"/>
            <w:tcBorders>
              <w:tl2br w:val="nil"/>
              <w:tr2bl w:val="nil"/>
            </w:tcBorders>
            <w:shd w:val="clear" w:color="000000" w:fill="FFFFFF"/>
            <w:noWrap w:val="0"/>
            <w:vAlign w:val="center"/>
          </w:tcPr>
          <w:p w14:paraId="57B64622">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遴选响应人近一年（202</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年度）对</w:t>
            </w:r>
            <w:bookmarkStart w:id="397" w:name="OLE_LINK1"/>
            <w:r>
              <w:rPr>
                <w:rFonts w:hint="eastAsia" w:ascii="宋体" w:hAnsi="宋体" w:cs="宋体"/>
                <w:color w:val="auto"/>
                <w:kern w:val="0"/>
                <w:sz w:val="18"/>
                <w:szCs w:val="18"/>
                <w:lang w:val="en-US" w:eastAsia="zh-CN"/>
              </w:rPr>
              <w:t>柯桥区城投类企业</w:t>
            </w:r>
            <w:bookmarkEnd w:id="397"/>
            <w:r>
              <w:rPr>
                <w:rFonts w:hint="eastAsia" w:ascii="宋体" w:hAnsi="宋体" w:cs="宋体"/>
                <w:color w:val="auto"/>
                <w:kern w:val="0"/>
                <w:sz w:val="18"/>
                <w:szCs w:val="18"/>
              </w:rPr>
              <w:t>承销(包括牵头</w:t>
            </w:r>
            <w:r>
              <w:rPr>
                <w:rFonts w:hint="eastAsia" w:ascii="宋体" w:hAnsi="宋体" w:cs="宋体"/>
                <w:color w:val="auto"/>
                <w:kern w:val="0"/>
                <w:sz w:val="18"/>
                <w:szCs w:val="18"/>
                <w:lang w:val="en-US" w:eastAsia="zh-CN"/>
              </w:rPr>
              <w:t>主</w:t>
            </w:r>
            <w:r>
              <w:rPr>
                <w:rFonts w:hint="eastAsia" w:ascii="宋体" w:hAnsi="宋体" w:cs="宋体"/>
                <w:color w:val="auto"/>
                <w:kern w:val="0"/>
                <w:sz w:val="18"/>
                <w:szCs w:val="18"/>
              </w:rPr>
              <w:t>承销商和联席</w:t>
            </w:r>
            <w:r>
              <w:rPr>
                <w:rFonts w:hint="eastAsia" w:ascii="宋体" w:hAnsi="宋体" w:cs="宋体"/>
                <w:color w:val="auto"/>
                <w:kern w:val="0"/>
                <w:sz w:val="18"/>
                <w:szCs w:val="18"/>
                <w:lang w:val="en-US" w:eastAsia="zh-CN"/>
              </w:rPr>
              <w:t>主</w:t>
            </w:r>
            <w:r>
              <w:rPr>
                <w:rFonts w:hint="eastAsia" w:ascii="宋体" w:hAnsi="宋体" w:cs="宋体"/>
                <w:color w:val="auto"/>
                <w:kern w:val="0"/>
                <w:sz w:val="18"/>
                <w:szCs w:val="18"/>
              </w:rPr>
              <w:t>承销商)</w:t>
            </w:r>
            <w:r>
              <w:rPr>
                <w:rFonts w:hint="eastAsia" w:ascii="宋体" w:hAnsi="宋体" w:cs="宋体"/>
                <w:color w:val="auto"/>
                <w:kern w:val="0"/>
                <w:sz w:val="18"/>
                <w:szCs w:val="18"/>
                <w:lang w:val="en-US" w:eastAsia="zh-CN"/>
              </w:rPr>
              <w:t>公司债</w:t>
            </w:r>
            <w:r>
              <w:rPr>
                <w:rFonts w:hint="eastAsia" w:ascii="宋体" w:hAnsi="宋体" w:cs="宋体"/>
                <w:color w:val="auto"/>
                <w:kern w:val="0"/>
                <w:sz w:val="18"/>
                <w:szCs w:val="18"/>
              </w:rPr>
              <w:t>只数最多的为基准数，得满分</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分，其他单位的得分统一按照下列公式计算：(承销只数/基准值)×</w:t>
            </w:r>
            <w:r>
              <w:rPr>
                <w:rFonts w:hint="eastAsia" w:ascii="宋体" w:hAnsi="宋体" w:cs="宋体"/>
                <w:color w:val="auto"/>
                <w:kern w:val="0"/>
                <w:sz w:val="18"/>
                <w:szCs w:val="18"/>
                <w:lang w:val="en-US" w:eastAsia="zh-CN"/>
              </w:rPr>
              <w:t>10</w:t>
            </w:r>
          </w:p>
        </w:tc>
        <w:tc>
          <w:tcPr>
            <w:tcW w:w="4244" w:type="dxa"/>
            <w:tcBorders>
              <w:tl2br w:val="nil"/>
              <w:tr2bl w:val="nil"/>
            </w:tcBorders>
            <w:shd w:val="clear" w:color="000000" w:fill="FFFFFF"/>
            <w:noWrap w:val="0"/>
            <w:vAlign w:val="center"/>
          </w:tcPr>
          <w:p w14:paraId="4FE6B79E">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需提供wind截图并加盖公章。</w:t>
            </w:r>
          </w:p>
        </w:tc>
        <w:tc>
          <w:tcPr>
            <w:tcW w:w="1394" w:type="dxa"/>
            <w:tcBorders>
              <w:tl2br w:val="nil"/>
              <w:tr2bl w:val="nil"/>
            </w:tcBorders>
            <w:shd w:val="clear" w:color="000000" w:fill="FFFFFF"/>
            <w:noWrap w:val="0"/>
            <w:vAlign w:val="center"/>
          </w:tcPr>
          <w:p w14:paraId="26053729">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r>
      <w:tr w14:paraId="4794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20" w:type="dxa"/>
            <w:vMerge w:val="continue"/>
            <w:tcBorders>
              <w:tl2br w:val="nil"/>
              <w:tr2bl w:val="nil"/>
            </w:tcBorders>
            <w:shd w:val="clear" w:color="auto" w:fill="auto"/>
            <w:noWrap w:val="0"/>
            <w:vAlign w:val="center"/>
          </w:tcPr>
          <w:p w14:paraId="44304352">
            <w:pPr>
              <w:widowControl/>
              <w:spacing w:line="240" w:lineRule="exact"/>
              <w:jc w:val="left"/>
              <w:rPr>
                <w:rFonts w:ascii="宋体" w:hAnsi="宋体" w:cs="宋体"/>
                <w:color w:val="auto"/>
                <w:kern w:val="0"/>
                <w:sz w:val="18"/>
                <w:szCs w:val="18"/>
              </w:rPr>
            </w:pPr>
          </w:p>
        </w:tc>
        <w:tc>
          <w:tcPr>
            <w:tcW w:w="1247" w:type="dxa"/>
            <w:tcBorders>
              <w:tl2br w:val="nil"/>
              <w:tr2bl w:val="nil"/>
            </w:tcBorders>
            <w:shd w:val="clear" w:color="000000" w:fill="FFFFFF"/>
            <w:noWrap w:val="0"/>
            <w:vAlign w:val="center"/>
          </w:tcPr>
          <w:p w14:paraId="6504E303">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主承销商投行业务合规性</w:t>
            </w:r>
          </w:p>
        </w:tc>
        <w:tc>
          <w:tcPr>
            <w:tcW w:w="5322" w:type="dxa"/>
            <w:tcBorders>
              <w:tl2br w:val="nil"/>
              <w:tr2bl w:val="nil"/>
            </w:tcBorders>
            <w:shd w:val="clear" w:color="000000" w:fill="FFFFFF"/>
            <w:noWrap w:val="0"/>
            <w:vAlign w:val="center"/>
          </w:tcPr>
          <w:p w14:paraId="7D730B6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遴选响应人自2023年1月1日</w:t>
            </w:r>
            <w:r>
              <w:rPr>
                <w:rFonts w:hint="eastAsia" w:ascii="宋体" w:hAnsi="宋体" w:cs="宋体"/>
                <w:color w:val="auto"/>
                <w:kern w:val="0"/>
                <w:sz w:val="18"/>
                <w:szCs w:val="18"/>
                <w:lang w:val="en-US" w:eastAsia="zh-CN"/>
              </w:rPr>
              <w:t>至2024年12月31日</w:t>
            </w:r>
            <w:r>
              <w:rPr>
                <w:rFonts w:hint="eastAsia" w:ascii="宋体" w:hAnsi="宋体" w:cs="宋体"/>
                <w:color w:val="auto"/>
                <w:kern w:val="0"/>
                <w:sz w:val="18"/>
                <w:szCs w:val="18"/>
              </w:rPr>
              <w:t>是否受过证监会证券类行政监管措施、交易所相关监管措施、银行间市场交易商协会相关自律处分，每一条处罚扣</w:t>
            </w:r>
            <w:r>
              <w:rPr>
                <w:rFonts w:hint="eastAsia" w:ascii="宋体" w:hAnsi="宋体" w:cs="宋体"/>
                <w:color w:val="auto"/>
                <w:kern w:val="0"/>
                <w:sz w:val="18"/>
                <w:szCs w:val="18"/>
                <w:lang w:val="en-US" w:eastAsia="zh-CN"/>
              </w:rPr>
              <w:t>0.5</w:t>
            </w:r>
            <w:r>
              <w:rPr>
                <w:rFonts w:hint="eastAsia" w:ascii="宋体" w:hAnsi="宋体" w:cs="宋体"/>
                <w:color w:val="auto"/>
                <w:kern w:val="0"/>
                <w:sz w:val="18"/>
                <w:szCs w:val="18"/>
              </w:rPr>
              <w:t>分，扣完为止。上述时间范围内未受到行政监管措施或投行业务违规处罚的，得</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p>
        </w:tc>
        <w:tc>
          <w:tcPr>
            <w:tcW w:w="4244" w:type="dxa"/>
            <w:tcBorders>
              <w:tl2br w:val="nil"/>
              <w:tr2bl w:val="nil"/>
            </w:tcBorders>
            <w:shd w:val="clear" w:color="000000" w:fill="FFFFFF"/>
            <w:noWrap w:val="0"/>
            <w:vAlign w:val="center"/>
          </w:tcPr>
          <w:p w14:paraId="003ABC1A">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查询路径：</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证监会：http://www.csrc.gov.cn/csrc/c100035/zfxxgk_zdgk.shtml#tab=zdgkml，首页 &gt; 政务信息 &gt; 政府信息公开 &gt; 主动公开目录 &gt; 按主题查看 &gt; 行政执法 &gt; 行政监管措施 &gt; 证券类，通过搜索栏搜索遴选响应人全称，发文日期时间区间为2023年1月1日至</w:t>
            </w:r>
            <w:r>
              <w:rPr>
                <w:rFonts w:hint="eastAsia" w:ascii="宋体" w:hAnsi="宋体" w:cs="宋体"/>
                <w:color w:val="auto"/>
                <w:kern w:val="0"/>
                <w:sz w:val="18"/>
                <w:szCs w:val="18"/>
                <w:lang w:val="en-US" w:eastAsia="zh-CN"/>
              </w:rPr>
              <w:t>2024年12月31日</w:t>
            </w:r>
            <w:r>
              <w:rPr>
                <w:rFonts w:hint="eastAsia" w:ascii="宋体" w:hAnsi="宋体" w:cs="宋体"/>
                <w:color w:val="auto"/>
                <w:kern w:val="0"/>
                <w:sz w:val="18"/>
                <w:szCs w:val="18"/>
              </w:rPr>
              <w:t>。截图加盖遴选人公章。如发现提供虚假信息情况，直接取消遴选资格。</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上交所：上交所官网-监管-债券监管-监管措施。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深交所：深交所官网-信息披露-债券信息-监管措施。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银行间市场交易商协会：官网-自律-自律处分概览。</w:t>
            </w:r>
          </w:p>
        </w:tc>
        <w:tc>
          <w:tcPr>
            <w:tcW w:w="1394" w:type="dxa"/>
            <w:tcBorders>
              <w:tl2br w:val="nil"/>
              <w:tr2bl w:val="nil"/>
            </w:tcBorders>
            <w:shd w:val="clear" w:color="000000" w:fill="FFFFFF"/>
            <w:noWrap w:val="0"/>
            <w:vAlign w:val="center"/>
          </w:tcPr>
          <w:p w14:paraId="1A633530">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r>
      <w:tr w14:paraId="1E6F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0" w:type="dxa"/>
            <w:tcBorders>
              <w:tl2br w:val="nil"/>
              <w:tr2bl w:val="nil"/>
            </w:tcBorders>
            <w:noWrap/>
            <w:vAlign w:val="center"/>
          </w:tcPr>
          <w:p w14:paraId="36D31B87">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合计</w:t>
            </w:r>
          </w:p>
        </w:tc>
        <w:tc>
          <w:tcPr>
            <w:tcW w:w="1247" w:type="dxa"/>
            <w:tcBorders>
              <w:tl2br w:val="nil"/>
              <w:tr2bl w:val="nil"/>
            </w:tcBorders>
            <w:noWrap/>
            <w:vAlign w:val="center"/>
          </w:tcPr>
          <w:p w14:paraId="4582CF1D">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5322" w:type="dxa"/>
            <w:tcBorders>
              <w:tl2br w:val="nil"/>
              <w:tr2bl w:val="nil"/>
            </w:tcBorders>
            <w:noWrap/>
            <w:vAlign w:val="center"/>
          </w:tcPr>
          <w:p w14:paraId="374C6831">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4244" w:type="dxa"/>
            <w:tcBorders>
              <w:tl2br w:val="nil"/>
              <w:tr2bl w:val="nil"/>
            </w:tcBorders>
            <w:noWrap/>
            <w:vAlign w:val="center"/>
          </w:tcPr>
          <w:p w14:paraId="4C535B8D">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1394" w:type="dxa"/>
            <w:tcBorders>
              <w:tl2br w:val="nil"/>
              <w:tr2bl w:val="nil"/>
            </w:tcBorders>
            <w:noWrap/>
            <w:vAlign w:val="center"/>
          </w:tcPr>
          <w:p w14:paraId="4B3906D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r>
    </w:tbl>
    <w:p w14:paraId="0B86CA62">
      <w:pPr>
        <w:jc w:val="left"/>
        <w:rPr>
          <w:rFonts w:hint="eastAsia" w:ascii="宋体" w:hAnsi="宋体"/>
          <w:b/>
          <w:bCs/>
          <w:iCs/>
          <w:color w:val="auto"/>
          <w:sz w:val="24"/>
        </w:rPr>
      </w:pPr>
      <w:r>
        <w:rPr>
          <w:rFonts w:hint="eastAsia" w:ascii="宋体" w:hAnsi="宋体"/>
          <w:b/>
          <w:bCs/>
          <w:iCs/>
          <w:color w:val="auto"/>
          <w:sz w:val="24"/>
        </w:rPr>
        <w:t>注： 1.遴选响应人须在“申报文件”中提供能证明上述打分内容的详细证明材料，证明材料须保证真实，若作假将取消评选资格；若证明材料不能详细反映打分内容的，则该证明材料无效。</w:t>
      </w:r>
    </w:p>
    <w:p w14:paraId="2E01D7D5">
      <w:pPr>
        <w:snapToGrid w:val="0"/>
        <w:spacing w:line="360" w:lineRule="auto"/>
        <w:ind w:left="120" w:leftChars="57" w:firstLine="361" w:firstLineChars="150"/>
        <w:jc w:val="center"/>
        <w:rPr>
          <w:rFonts w:hint="eastAsia" w:ascii="仿宋" w:hAnsi="仿宋" w:eastAsia="仿宋" w:cs="仿宋_GB2312"/>
          <w:b/>
          <w:color w:val="auto"/>
          <w:sz w:val="32"/>
          <w:highlight w:val="none"/>
        </w:rPr>
      </w:pPr>
      <w:r>
        <w:rPr>
          <w:rFonts w:hint="eastAsia" w:ascii="宋体" w:hAnsi="宋体"/>
          <w:b/>
          <w:bCs/>
          <w:iCs/>
          <w:color w:val="auto"/>
          <w:sz w:val="24"/>
        </w:rPr>
        <w:t>2.遴选响应人漏报或隐瞒业绩，评分时按不利于遴选响应人的原则进行打分。即：若漏报业绩计入后能使遴选响应人加分的，则按遴选响应人自行申报的数据为准；若漏报业绩计入后将使遴选响应人减分的，则按遴选人（甲方）提供的数据为准</w:t>
      </w:r>
    </w:p>
    <w:p w14:paraId="31FDFCC0">
      <w:pPr>
        <w:widowControl/>
        <w:jc w:val="left"/>
        <w:rPr>
          <w:rFonts w:hint="eastAsia"/>
          <w:color w:val="auto"/>
          <w:highlight w:val="none"/>
        </w:rPr>
      </w:pPr>
      <w:r>
        <w:rPr>
          <w:rFonts w:hint="eastAsia" w:ascii="仿宋" w:hAnsi="仿宋" w:eastAsia="仿宋" w:cs="仿宋"/>
          <w:color w:val="auto"/>
          <w:sz w:val="24"/>
          <w:highlight w:val="none"/>
        </w:rPr>
        <w:t>（计算得分时，按其算术平均值保留小数点后2位；评审小组成员个人主观打分偏离所有评审小组成员主观打分平均值30%以上的，由评审委员会启动评分畸高、畸低行为认定程序。）</w:t>
      </w:r>
    </w:p>
    <w:p w14:paraId="3C3F2030">
      <w:pPr>
        <w:widowControl/>
        <w:numPr>
          <w:ilvl w:val="0"/>
          <w:numId w:val="10"/>
        </w:numPr>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（20分）</w:t>
      </w:r>
    </w:p>
    <w:p w14:paraId="64D4F1D5">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1662"/>
      </w:tblGrid>
      <w:tr w14:paraId="03FB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86" w:type="pct"/>
            <w:tcBorders>
              <w:top w:val="single" w:color="auto" w:sz="4" w:space="0"/>
              <w:left w:val="single" w:color="auto" w:sz="4" w:space="0"/>
              <w:bottom w:val="single" w:color="auto" w:sz="4" w:space="0"/>
              <w:right w:val="single" w:color="auto" w:sz="4" w:space="0"/>
            </w:tcBorders>
            <w:noWrap/>
            <w:vAlign w:val="center"/>
          </w:tcPr>
          <w:p w14:paraId="4C367706">
            <w:pPr>
              <w:widowControl/>
              <w:spacing w:line="360" w:lineRule="auto"/>
              <w:jc w:val="center"/>
              <w:rPr>
                <w:rFonts w:hint="eastAsia" w:ascii="仿宋" w:hAnsi="仿宋" w:eastAsia="仿宋" w:cs="宋体"/>
                <w:color w:val="auto"/>
                <w:kern w:val="0"/>
                <w:sz w:val="24"/>
              </w:rPr>
            </w:pPr>
            <w:r>
              <w:rPr>
                <w:rFonts w:hint="eastAsia" w:ascii="仿宋" w:hAnsi="仿宋" w:eastAsia="仿宋" w:cs="仿宋_GB2312"/>
                <w:color w:val="auto"/>
                <w:sz w:val="24"/>
              </w:rPr>
              <w:t>分值</w:t>
            </w:r>
          </w:p>
        </w:tc>
        <w:tc>
          <w:tcPr>
            <w:tcW w:w="4113" w:type="pct"/>
            <w:tcBorders>
              <w:top w:val="single" w:color="auto" w:sz="4" w:space="0"/>
              <w:left w:val="single" w:color="auto" w:sz="4" w:space="0"/>
              <w:bottom w:val="single" w:color="auto" w:sz="4" w:space="0"/>
              <w:right w:val="single" w:color="auto" w:sz="4" w:space="0"/>
            </w:tcBorders>
            <w:noWrap/>
            <w:vAlign w:val="center"/>
          </w:tcPr>
          <w:p w14:paraId="37E119A3">
            <w:pPr>
              <w:widowControl/>
              <w:spacing w:line="360" w:lineRule="auto"/>
              <w:ind w:firstLine="480" w:firstLineChars="200"/>
              <w:jc w:val="center"/>
              <w:rPr>
                <w:rFonts w:ascii="仿宋" w:hAnsi="仿宋" w:eastAsia="仿宋" w:cs="宋体"/>
                <w:color w:val="auto"/>
                <w:kern w:val="0"/>
                <w:sz w:val="24"/>
              </w:rPr>
            </w:pPr>
            <w:r>
              <w:rPr>
                <w:rFonts w:hint="eastAsia" w:ascii="仿宋" w:hAnsi="仿宋" w:eastAsia="仿宋" w:cs="仿宋_GB2312"/>
                <w:color w:val="auto"/>
                <w:sz w:val="24"/>
              </w:rPr>
              <w:t>计算方法</w:t>
            </w:r>
          </w:p>
        </w:tc>
      </w:tr>
      <w:tr w14:paraId="33F1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86" w:type="pct"/>
            <w:tcBorders>
              <w:top w:val="single" w:color="auto" w:sz="4" w:space="0"/>
              <w:left w:val="single" w:color="auto" w:sz="4" w:space="0"/>
              <w:bottom w:val="single" w:color="auto" w:sz="4" w:space="0"/>
              <w:right w:val="single" w:color="auto" w:sz="4" w:space="0"/>
            </w:tcBorders>
            <w:noWrap/>
            <w:vAlign w:val="center"/>
          </w:tcPr>
          <w:p w14:paraId="7F864A55">
            <w:pPr>
              <w:widowControl/>
              <w:spacing w:line="360" w:lineRule="auto"/>
              <w:jc w:val="center"/>
              <w:rPr>
                <w:rFonts w:hint="eastAsia" w:ascii="仿宋" w:hAnsi="仿宋" w:eastAsia="仿宋" w:cs="宋体"/>
                <w:color w:val="auto"/>
                <w:kern w:val="0"/>
                <w:sz w:val="24"/>
              </w:rPr>
            </w:pPr>
            <w:r>
              <w:rPr>
                <w:rFonts w:hint="eastAsia" w:ascii="仿宋" w:hAnsi="仿宋" w:eastAsia="仿宋" w:cs="仿宋_GB2312"/>
                <w:color w:val="auto"/>
                <w:sz w:val="24"/>
                <w:lang w:val="en-US" w:eastAsia="zh-CN"/>
              </w:rPr>
              <w:t>2</w:t>
            </w:r>
            <w:r>
              <w:rPr>
                <w:rFonts w:hint="eastAsia" w:ascii="仿宋" w:hAnsi="仿宋" w:eastAsia="仿宋" w:cs="仿宋_GB2312"/>
                <w:color w:val="auto"/>
                <w:sz w:val="24"/>
              </w:rPr>
              <w:t>0</w:t>
            </w:r>
          </w:p>
        </w:tc>
        <w:tc>
          <w:tcPr>
            <w:tcW w:w="4113" w:type="pct"/>
            <w:tcBorders>
              <w:top w:val="single" w:color="auto" w:sz="4" w:space="0"/>
              <w:left w:val="single" w:color="auto" w:sz="4" w:space="0"/>
              <w:bottom w:val="single" w:color="auto" w:sz="4" w:space="0"/>
              <w:right w:val="single" w:color="auto" w:sz="4" w:space="0"/>
            </w:tcBorders>
            <w:noWrap/>
            <w:vAlign w:val="center"/>
          </w:tcPr>
          <w:p w14:paraId="68AD0EB6">
            <w:pPr>
              <w:widowControl/>
              <w:spacing w:line="360" w:lineRule="auto"/>
              <w:rPr>
                <w:rFonts w:ascii="仿宋" w:hAnsi="仿宋" w:eastAsia="仿宋" w:cs="仿宋_GB2312"/>
                <w:color w:val="auto"/>
                <w:sz w:val="24"/>
              </w:rPr>
            </w:pPr>
            <w:r>
              <w:rPr>
                <w:rFonts w:hint="eastAsia" w:ascii="仿宋" w:hAnsi="仿宋" w:eastAsia="仿宋" w:cs="仿宋"/>
                <w:color w:val="auto"/>
                <w:sz w:val="24"/>
                <w:highlight w:val="none"/>
                <w:lang w:val="en-US" w:eastAsia="zh-CN"/>
              </w:rPr>
              <w:t>年化承销费率上限为0.12%，所有有效投标人的年化承销费率平均值作为基准值；投标人年化承销费率＞基准值：20-(年化承销费率-基准值)/基准值×20；投标人承销费率＜基准值：20-(基准值-年化承销费率)/基准值×20；</w:t>
            </w:r>
          </w:p>
        </w:tc>
      </w:tr>
    </w:tbl>
    <w:p w14:paraId="5CFBE795">
      <w:pPr>
        <w:jc w:val="center"/>
        <w:rPr>
          <w:b/>
          <w:color w:val="auto"/>
          <w:sz w:val="32"/>
          <w:szCs w:val="32"/>
          <w:highlight w:val="none"/>
        </w:rPr>
      </w:pPr>
    </w:p>
    <w:p w14:paraId="35D5EACC">
      <w:pPr>
        <w:jc w:val="center"/>
        <w:rPr>
          <w:b/>
          <w:color w:val="auto"/>
          <w:sz w:val="32"/>
          <w:szCs w:val="32"/>
          <w:highlight w:val="none"/>
        </w:rPr>
        <w:sectPr>
          <w:pgSz w:w="16838" w:h="11906" w:orient="landscape"/>
          <w:pgMar w:top="1803" w:right="1440" w:bottom="1803" w:left="1440" w:header="1021" w:footer="902" w:gutter="0"/>
          <w:cols w:space="720" w:num="1"/>
          <w:titlePg/>
          <w:docGrid w:type="lines" w:linePitch="312" w:charSpace="0"/>
        </w:sectPr>
      </w:pPr>
    </w:p>
    <w:p w14:paraId="7AF7327E">
      <w:pPr>
        <w:spacing w:line="440" w:lineRule="exact"/>
        <w:ind w:firstLine="480" w:firstLineChars="200"/>
        <w:rPr>
          <w:color w:val="auto"/>
          <w:kern w:val="0"/>
          <w:sz w:val="24"/>
          <w:highlight w:val="none"/>
        </w:rPr>
      </w:pPr>
      <w:bookmarkStart w:id="398" w:name="_Toc80157775"/>
      <w:bookmarkStart w:id="399" w:name="_Toc81372787"/>
      <w:bookmarkStart w:id="400" w:name="_Toc84325981"/>
      <w:bookmarkStart w:id="401" w:name="_Toc81372964"/>
    </w:p>
    <w:p w14:paraId="06702F3F">
      <w:pPr>
        <w:widowControl/>
        <w:adjustRightInd w:val="0"/>
        <w:spacing w:line="360" w:lineRule="auto"/>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w:t>
      </w:r>
      <w:r>
        <w:rPr>
          <w:rFonts w:hint="eastAsia" w:ascii="仿宋" w:hAnsi="仿宋" w:eastAsia="仿宋" w:cs="仿宋_GB2312"/>
          <w:b/>
          <w:color w:val="auto"/>
          <w:sz w:val="36"/>
          <w:szCs w:val="36"/>
          <w:highlight w:val="none"/>
          <w:lang w:eastAsia="zh-CN"/>
        </w:rPr>
        <w:t>五</w:t>
      </w:r>
      <w:r>
        <w:rPr>
          <w:rFonts w:hint="eastAsia" w:ascii="仿宋" w:hAnsi="仿宋" w:eastAsia="仿宋" w:cs="仿宋_GB2312"/>
          <w:b/>
          <w:color w:val="auto"/>
          <w:sz w:val="36"/>
          <w:szCs w:val="36"/>
          <w:highlight w:val="none"/>
        </w:rPr>
        <w:t>部分 合同主要条款</w:t>
      </w:r>
    </w:p>
    <w:p w14:paraId="742A7AAB">
      <w:pPr>
        <w:spacing w:line="440" w:lineRule="exact"/>
        <w:jc w:val="left"/>
        <w:rPr>
          <w:b/>
          <w:color w:val="auto"/>
          <w:sz w:val="24"/>
          <w:highlight w:val="none"/>
        </w:rPr>
      </w:pPr>
    </w:p>
    <w:p w14:paraId="04BC49FE">
      <w:pPr>
        <w:spacing w:line="440" w:lineRule="exact"/>
        <w:jc w:val="left"/>
        <w:rPr>
          <w:b/>
          <w:color w:val="auto"/>
          <w:sz w:val="24"/>
          <w:highlight w:val="none"/>
        </w:rPr>
      </w:pPr>
      <w:r>
        <w:rPr>
          <w:b/>
          <w:color w:val="auto"/>
          <w:sz w:val="24"/>
          <w:highlight w:val="none"/>
        </w:rPr>
        <w:t>1.合同范围</w:t>
      </w:r>
    </w:p>
    <w:p w14:paraId="3DE26944">
      <w:pPr>
        <w:spacing w:line="440" w:lineRule="exact"/>
        <w:ind w:firstLine="480" w:firstLineChars="200"/>
        <w:jc w:val="left"/>
        <w:rPr>
          <w:color w:val="auto"/>
          <w:sz w:val="24"/>
          <w:highlight w:val="none"/>
        </w:rPr>
      </w:pPr>
      <w:r>
        <w:rPr>
          <w:color w:val="auto"/>
          <w:sz w:val="24"/>
          <w:highlight w:val="none"/>
        </w:rPr>
        <w:t>本合同条款适用与本次遴选活动。项目实施范围详见第三部分。</w:t>
      </w:r>
    </w:p>
    <w:p w14:paraId="2CA20BDC">
      <w:pPr>
        <w:pStyle w:val="32"/>
        <w:spacing w:line="440" w:lineRule="exact"/>
        <w:rPr>
          <w:rFonts w:ascii="Times New Roman" w:hAnsi="Times New Roman"/>
          <w:b/>
          <w:color w:val="auto"/>
          <w:sz w:val="24"/>
          <w:szCs w:val="24"/>
          <w:highlight w:val="none"/>
        </w:rPr>
      </w:pPr>
      <w:r>
        <w:rPr>
          <w:rFonts w:ascii="Times New Roman" w:hAnsi="Times New Roman"/>
          <w:b/>
          <w:color w:val="auto"/>
          <w:sz w:val="24"/>
          <w:szCs w:val="24"/>
          <w:highlight w:val="none"/>
        </w:rPr>
        <w:t>2.合同的签订</w:t>
      </w:r>
    </w:p>
    <w:p w14:paraId="65F7BBD8">
      <w:pPr>
        <w:snapToGrid w:val="0"/>
        <w:spacing w:line="440" w:lineRule="exact"/>
        <w:jc w:val="left"/>
        <w:rPr>
          <w:color w:val="auto"/>
          <w:sz w:val="24"/>
          <w:highlight w:val="none"/>
        </w:rPr>
      </w:pPr>
      <w:r>
        <w:rPr>
          <w:color w:val="auto"/>
          <w:sz w:val="24"/>
          <w:highlight w:val="none"/>
        </w:rPr>
        <w:t>2.1中选人须在中选通知书发出30日内按遴选文件和中选人申报文件的约定，凭中选通知书和遴选人在约定的时间、地点，由法定代表人（负责人）或其授权代表与遴选人签订书面合同。</w:t>
      </w:r>
    </w:p>
    <w:p w14:paraId="3D508151">
      <w:pPr>
        <w:pStyle w:val="6"/>
        <w:numPr>
          <w:ilvl w:val="0"/>
          <w:numId w:val="0"/>
        </w:numPr>
        <w:spacing w:line="440" w:lineRule="exact"/>
        <w:rPr>
          <w:color w:val="auto"/>
          <w:sz w:val="24"/>
          <w:highlight w:val="none"/>
        </w:rPr>
      </w:pPr>
      <w:r>
        <w:rPr>
          <w:color w:val="auto"/>
          <w:sz w:val="24"/>
          <w:highlight w:val="none"/>
        </w:rPr>
        <w:t>2.2服务地点：用户指定地点。</w:t>
      </w:r>
    </w:p>
    <w:p w14:paraId="35AD3D38">
      <w:pPr>
        <w:pStyle w:val="6"/>
        <w:numPr>
          <w:ilvl w:val="0"/>
          <w:numId w:val="0"/>
        </w:numPr>
        <w:spacing w:line="440" w:lineRule="exact"/>
        <w:rPr>
          <w:color w:val="auto"/>
          <w:sz w:val="24"/>
          <w:highlight w:val="none"/>
        </w:rPr>
      </w:pPr>
      <w:r>
        <w:rPr>
          <w:color w:val="auto"/>
          <w:sz w:val="24"/>
          <w:highlight w:val="none"/>
        </w:rPr>
        <w:t>2.3服务期：合同签订之日起至遴选债券项目全部兑付完成之日终止。</w:t>
      </w:r>
    </w:p>
    <w:p w14:paraId="768D2939">
      <w:pPr>
        <w:pStyle w:val="6"/>
        <w:numPr>
          <w:ilvl w:val="0"/>
          <w:numId w:val="0"/>
        </w:numPr>
        <w:spacing w:line="440" w:lineRule="exact"/>
        <w:rPr>
          <w:color w:val="auto"/>
          <w:sz w:val="24"/>
          <w:highlight w:val="none"/>
        </w:rPr>
      </w:pPr>
      <w:r>
        <w:rPr>
          <w:b/>
          <w:bCs/>
          <w:color w:val="auto"/>
          <w:sz w:val="24"/>
          <w:highlight w:val="none"/>
        </w:rPr>
        <w:t>2.4中选通知书发出后，遴选人与中选人签订合作意向合同。发行前由发行单位与中选人签订承销协议。</w:t>
      </w:r>
    </w:p>
    <w:p w14:paraId="16B7B5F9">
      <w:pPr>
        <w:snapToGrid w:val="0"/>
        <w:spacing w:line="440" w:lineRule="exact"/>
        <w:rPr>
          <w:b/>
          <w:color w:val="auto"/>
          <w:sz w:val="24"/>
          <w:highlight w:val="none"/>
        </w:rPr>
      </w:pPr>
      <w:r>
        <w:rPr>
          <w:b/>
          <w:color w:val="auto"/>
          <w:sz w:val="24"/>
          <w:highlight w:val="none"/>
        </w:rPr>
        <w:t>3.付款方式：</w:t>
      </w:r>
    </w:p>
    <w:p w14:paraId="400803B4">
      <w:pPr>
        <w:snapToGrid w:val="0"/>
        <w:spacing w:line="440" w:lineRule="exact"/>
        <w:rPr>
          <w:color w:val="auto"/>
          <w:sz w:val="24"/>
          <w:highlight w:val="none"/>
        </w:rPr>
      </w:pPr>
      <w:r>
        <w:rPr>
          <w:color w:val="auto"/>
          <w:sz w:val="24"/>
          <w:highlight w:val="none"/>
        </w:rPr>
        <w:t>3.1遴选响应人必须对遴选人提供的资料保密，因资料泄漏对遴选人产生的经济及法律责任，由遴选响应人负责。</w:t>
      </w:r>
    </w:p>
    <w:p w14:paraId="572D9E69">
      <w:pPr>
        <w:snapToGrid w:val="0"/>
        <w:spacing w:line="440" w:lineRule="exact"/>
        <w:rPr>
          <w:color w:val="auto"/>
          <w:sz w:val="24"/>
          <w:highlight w:val="none"/>
        </w:rPr>
      </w:pPr>
      <w:r>
        <w:rPr>
          <w:color w:val="auto"/>
          <w:sz w:val="24"/>
          <w:highlight w:val="none"/>
        </w:rPr>
        <w:t>3.2遴选响应人中选后应会同发行人积极协调审计、评级等工作，确保完成齐全的申报文件并上报审核机构。</w:t>
      </w:r>
    </w:p>
    <w:p w14:paraId="4AFCF9BF">
      <w:pPr>
        <w:snapToGrid w:val="0"/>
        <w:spacing w:line="440" w:lineRule="exact"/>
        <w:rPr>
          <w:color w:val="auto"/>
          <w:sz w:val="24"/>
          <w:highlight w:val="none"/>
        </w:rPr>
      </w:pPr>
      <w:r>
        <w:rPr>
          <w:color w:val="auto"/>
          <w:sz w:val="24"/>
          <w:highlight w:val="none"/>
        </w:rPr>
        <w:t>3.3债券取得批文后，必须经过发行人同意主承销商方能启动发行程序。</w:t>
      </w:r>
    </w:p>
    <w:p w14:paraId="54BE68B9">
      <w:pPr>
        <w:snapToGrid w:val="0"/>
        <w:spacing w:line="440" w:lineRule="exact"/>
        <w:rPr>
          <w:color w:val="auto"/>
          <w:sz w:val="24"/>
          <w:highlight w:val="none"/>
        </w:rPr>
      </w:pPr>
      <w:r>
        <w:rPr>
          <w:color w:val="auto"/>
          <w:sz w:val="24"/>
          <w:highlight w:val="none"/>
        </w:rPr>
        <w:t>3.4相关评级费用、审计费用、律师费用、评估费用不计入报价，由遴选人另行支付。</w:t>
      </w:r>
    </w:p>
    <w:p w14:paraId="651E4800">
      <w:pPr>
        <w:snapToGrid w:val="0"/>
        <w:spacing w:line="440" w:lineRule="exact"/>
        <w:rPr>
          <w:b/>
          <w:bCs/>
          <w:color w:val="auto"/>
          <w:sz w:val="24"/>
          <w:highlight w:val="none"/>
        </w:rPr>
      </w:pPr>
      <w:r>
        <w:rPr>
          <w:color w:val="auto"/>
          <w:sz w:val="24"/>
          <w:highlight w:val="none"/>
        </w:rPr>
        <w:t>3.5年承销费率作为债券发行结束后计算承销费用的依据。报价包括申报材料制作费、承销费用（包括承销商承销佣金、差旅费等）、委托管理费用等完成本次债券发行过程的一切含税费用。</w:t>
      </w:r>
      <w:r>
        <w:rPr>
          <w:color w:val="auto"/>
          <w:sz w:val="24"/>
          <w:highlight w:val="none"/>
        </w:rPr>
        <w:br w:type="textWrapping"/>
      </w:r>
      <w:r>
        <w:rPr>
          <w:b/>
          <w:bCs/>
          <w:color w:val="auto"/>
          <w:sz w:val="24"/>
          <w:highlight w:val="none"/>
        </w:rPr>
        <w:t>3.6基于中选人为本次发行提供的债券承销服务，发行单位向中选人支付承销费用，总承销费用计算方式如下：</w:t>
      </w:r>
    </w:p>
    <w:p w14:paraId="676EC87E">
      <w:pPr>
        <w:snapToGrid w:val="0"/>
        <w:spacing w:line="440" w:lineRule="exact"/>
        <w:rPr>
          <w:b/>
          <w:bCs/>
          <w:color w:val="auto"/>
          <w:sz w:val="24"/>
          <w:highlight w:val="none"/>
        </w:rPr>
      </w:pPr>
      <w:r>
        <w:rPr>
          <w:b/>
          <w:bCs/>
          <w:color w:val="auto"/>
          <w:sz w:val="24"/>
          <w:highlight w:val="none"/>
        </w:rPr>
        <w:t>债券总承销费用=本次债券实际募集资金总额×年承销费率×债券发行期限。</w:t>
      </w:r>
      <w:r>
        <w:rPr>
          <w:b/>
          <w:bCs/>
          <w:color w:val="auto"/>
          <w:sz w:val="24"/>
          <w:highlight w:val="none"/>
        </w:rPr>
        <w:br w:type="textWrapping"/>
      </w:r>
      <w:r>
        <w:rPr>
          <w:b/>
          <w:bCs/>
          <w:color w:val="auto"/>
          <w:sz w:val="24"/>
          <w:highlight w:val="none"/>
        </w:rPr>
        <w:t>3.7支付方式：</w:t>
      </w:r>
      <w:r>
        <w:rPr>
          <w:rFonts w:hint="eastAsia"/>
          <w:b/>
          <w:bCs/>
          <w:color w:val="auto"/>
          <w:sz w:val="24"/>
          <w:highlight w:val="none"/>
        </w:rPr>
        <w:t>承销费用按照规定在向发行单位划付募集款项之前从募集款项中一次性扣除。若附发行人调整票面利率选择权、投资者回售选择权，则发行单位分次支付承销费用，首次支付时点为当期债券发行完毕后，发行单位应支付给主承销商的承销费用=当期债券实际发行金额×年承销费率×当期债券未回售前的存续期限，后续支付时点为当期债券每次行权日后的【五】个工作日内，发行单位应支付给主承销商的承销费用=当期债券当个计息年度未回售部分的金额×年承销费率×当期债券未回售部分在下一次回售前的存续期限。</w:t>
      </w:r>
    </w:p>
    <w:p w14:paraId="0E0F465A">
      <w:pPr>
        <w:snapToGrid w:val="0"/>
        <w:spacing w:line="440" w:lineRule="exact"/>
        <w:rPr>
          <w:color w:val="auto"/>
          <w:sz w:val="24"/>
          <w:highlight w:val="none"/>
        </w:rPr>
      </w:pPr>
      <w:r>
        <w:rPr>
          <w:color w:val="auto"/>
          <w:sz w:val="24"/>
          <w:highlight w:val="none"/>
        </w:rPr>
        <w:t>3.8发行单位每次付款前，中选人需足额提供正式税务发票，如延迟提供，发行单位延迟付款不视为违约。</w:t>
      </w:r>
    </w:p>
    <w:p w14:paraId="2C60A9E1">
      <w:pPr>
        <w:snapToGrid w:val="0"/>
        <w:spacing w:line="440" w:lineRule="exact"/>
        <w:rPr>
          <w:color w:val="auto"/>
          <w:sz w:val="24"/>
          <w:highlight w:val="none"/>
        </w:rPr>
      </w:pPr>
      <w:r>
        <w:rPr>
          <w:color w:val="auto"/>
          <w:sz w:val="24"/>
          <w:highlight w:val="none"/>
        </w:rPr>
        <w:t>3.9主承销履行债券存续期管理人职责和服务。</w:t>
      </w:r>
    </w:p>
    <w:p w14:paraId="73153C19">
      <w:pPr>
        <w:spacing w:line="400" w:lineRule="exact"/>
        <w:rPr>
          <w:color w:val="auto"/>
          <w:sz w:val="24"/>
          <w:highlight w:val="none"/>
        </w:rPr>
      </w:pPr>
      <w:r>
        <w:rPr>
          <w:color w:val="auto"/>
          <w:sz w:val="24"/>
          <w:highlight w:val="none"/>
        </w:rPr>
        <w:t>3.10主承销商必须在发行人规定时间内完成内部审核和上报审批机构，未按照要求履行，将取消其承销资格。</w:t>
      </w:r>
    </w:p>
    <w:p w14:paraId="4AD5AE8C">
      <w:pPr>
        <w:snapToGrid w:val="0"/>
        <w:spacing w:line="440" w:lineRule="exact"/>
        <w:rPr>
          <w:color w:val="auto"/>
          <w:sz w:val="24"/>
          <w:highlight w:val="none"/>
        </w:rPr>
      </w:pPr>
      <w:r>
        <w:rPr>
          <w:color w:val="auto"/>
          <w:sz w:val="24"/>
          <w:highlight w:val="none"/>
        </w:rPr>
        <w:t>3.11中选后的承销商若在发行及后续服务中未能兑现承诺内容时，除需承担相应的经济损失外，同时遴选人将保留向上级部门反馈投诉的权力。</w:t>
      </w:r>
    </w:p>
    <w:p w14:paraId="0668CB9B">
      <w:pPr>
        <w:tabs>
          <w:tab w:val="left" w:pos="7950"/>
        </w:tabs>
        <w:spacing w:line="440" w:lineRule="exact"/>
        <w:jc w:val="left"/>
        <w:rPr>
          <w:b/>
          <w:color w:val="auto"/>
          <w:sz w:val="24"/>
          <w:highlight w:val="none"/>
        </w:rPr>
      </w:pPr>
      <w:r>
        <w:rPr>
          <w:b/>
          <w:color w:val="auto"/>
          <w:sz w:val="24"/>
          <w:highlight w:val="none"/>
        </w:rPr>
        <w:t>4.合同修改</w:t>
      </w:r>
    </w:p>
    <w:p w14:paraId="2EC10C86">
      <w:pPr>
        <w:pStyle w:val="6"/>
        <w:numPr>
          <w:ilvl w:val="0"/>
          <w:numId w:val="0"/>
        </w:numPr>
        <w:spacing w:line="440" w:lineRule="exact"/>
        <w:rPr>
          <w:color w:val="auto"/>
          <w:sz w:val="24"/>
          <w:highlight w:val="none"/>
        </w:rPr>
      </w:pPr>
      <w:r>
        <w:rPr>
          <w:color w:val="auto"/>
          <w:sz w:val="24"/>
          <w:highlight w:val="none"/>
        </w:rPr>
        <w:t>4.1双方的任何一方对合同内容提出修改，均应以书面形式通知对方，并达成由双方签署的合同修改书。</w:t>
      </w:r>
    </w:p>
    <w:p w14:paraId="413F8A4A">
      <w:pPr>
        <w:pStyle w:val="6"/>
        <w:numPr>
          <w:ilvl w:val="0"/>
          <w:numId w:val="0"/>
        </w:numPr>
        <w:tabs>
          <w:tab w:val="left" w:pos="1560"/>
        </w:tabs>
        <w:spacing w:line="440" w:lineRule="exact"/>
        <w:ind w:left="-2" w:leftChars="-1"/>
        <w:rPr>
          <w:b/>
          <w:color w:val="auto"/>
          <w:sz w:val="24"/>
          <w:highlight w:val="none"/>
        </w:rPr>
      </w:pPr>
      <w:r>
        <w:rPr>
          <w:b/>
          <w:color w:val="auto"/>
          <w:sz w:val="24"/>
          <w:highlight w:val="none"/>
        </w:rPr>
        <w:t>5．违约赔偿</w:t>
      </w:r>
    </w:p>
    <w:p w14:paraId="3F0968B1">
      <w:pPr>
        <w:spacing w:line="440" w:lineRule="exact"/>
        <w:rPr>
          <w:color w:val="auto"/>
          <w:sz w:val="24"/>
          <w:highlight w:val="none"/>
        </w:rPr>
      </w:pPr>
      <w:r>
        <w:rPr>
          <w:color w:val="auto"/>
          <w:sz w:val="24"/>
          <w:highlight w:val="none"/>
        </w:rPr>
        <w:t>5.1除不可抗力外，如遴选响应人发生不能按期完成任务，遴选人发生中途变更等情况，应及时以书面形式通知对方。双方应本着友好的态度进行协商，妥善解决。</w:t>
      </w:r>
    </w:p>
    <w:p w14:paraId="5E9D971F">
      <w:pPr>
        <w:snapToGrid w:val="0"/>
        <w:spacing w:line="440" w:lineRule="exact"/>
        <w:jc w:val="left"/>
        <w:rPr>
          <w:color w:val="auto"/>
          <w:sz w:val="24"/>
          <w:highlight w:val="none"/>
        </w:rPr>
      </w:pPr>
      <w:r>
        <w:rPr>
          <w:color w:val="auto"/>
          <w:sz w:val="24"/>
          <w:highlight w:val="none"/>
        </w:rPr>
        <w:t>5.2遴选人在规定时间无正当理由拒签合同者，以遴选违约处理，并赔偿遴选响应人由此造成的直接经济损失。</w:t>
      </w:r>
    </w:p>
    <w:p w14:paraId="7D99FD0C">
      <w:pPr>
        <w:spacing w:line="440" w:lineRule="exact"/>
        <w:jc w:val="left"/>
        <w:rPr>
          <w:b/>
          <w:color w:val="auto"/>
          <w:sz w:val="24"/>
          <w:highlight w:val="none"/>
        </w:rPr>
      </w:pPr>
      <w:r>
        <w:rPr>
          <w:b/>
          <w:color w:val="auto"/>
          <w:sz w:val="24"/>
          <w:highlight w:val="none"/>
        </w:rPr>
        <w:t>6.不可抗力</w:t>
      </w:r>
    </w:p>
    <w:p w14:paraId="4A9185D2">
      <w:pPr>
        <w:pStyle w:val="6"/>
        <w:numPr>
          <w:ilvl w:val="0"/>
          <w:numId w:val="0"/>
        </w:numPr>
        <w:spacing w:line="440" w:lineRule="exact"/>
        <w:rPr>
          <w:color w:val="auto"/>
          <w:sz w:val="24"/>
          <w:highlight w:val="none"/>
        </w:rPr>
      </w:pPr>
      <w:r>
        <w:rPr>
          <w:color w:val="auto"/>
          <w:sz w:val="24"/>
          <w:highlight w:val="none"/>
        </w:rPr>
        <w:t>6.1如果双方中任何一方由于战争、严重火灾、水灾、台风和地震以及其它经双方同意属于不可抗力的事故，致使合同履行受阻时，履行合同的期限应予延长，延长的期限应相当于事故所影响的时间。</w:t>
      </w:r>
    </w:p>
    <w:p w14:paraId="15D14540">
      <w:pPr>
        <w:pStyle w:val="6"/>
        <w:numPr>
          <w:ilvl w:val="0"/>
          <w:numId w:val="0"/>
        </w:numPr>
        <w:spacing w:line="440" w:lineRule="exact"/>
        <w:rPr>
          <w:color w:val="auto"/>
          <w:sz w:val="24"/>
          <w:highlight w:val="none"/>
        </w:rPr>
      </w:pPr>
      <w:r>
        <w:rPr>
          <w:color w:val="auto"/>
          <w:sz w:val="24"/>
          <w:highlight w:val="none"/>
        </w:rPr>
        <w:t>6.2受事故影响的一方应在不可抗力的事故发生后尽快以电报或电传通知另一方，并在事故发生后14天内，将有关部门出具的证明文件用挂号信航寄给或送给另一方。如果不可抗力影响时间延续120天以上的，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14:paraId="4F6E90A2">
      <w:pPr>
        <w:spacing w:line="440" w:lineRule="exact"/>
        <w:jc w:val="left"/>
        <w:rPr>
          <w:b/>
          <w:color w:val="auto"/>
          <w:sz w:val="24"/>
          <w:highlight w:val="none"/>
        </w:rPr>
      </w:pPr>
      <w:r>
        <w:rPr>
          <w:b/>
          <w:color w:val="auto"/>
          <w:sz w:val="24"/>
          <w:highlight w:val="none"/>
        </w:rPr>
        <w:t>7.解决合同纠纷的方式</w:t>
      </w:r>
    </w:p>
    <w:p w14:paraId="28F3BF17">
      <w:pPr>
        <w:pStyle w:val="6"/>
        <w:numPr>
          <w:ilvl w:val="0"/>
          <w:numId w:val="0"/>
        </w:numPr>
        <w:spacing w:line="440" w:lineRule="exact"/>
        <w:rPr>
          <w:color w:val="auto"/>
          <w:sz w:val="24"/>
          <w:highlight w:val="none"/>
        </w:rPr>
      </w:pPr>
      <w:r>
        <w:rPr>
          <w:color w:val="auto"/>
          <w:sz w:val="24"/>
          <w:highlight w:val="none"/>
        </w:rPr>
        <w:t>7.1凡有关本合同或与本合同中发生的争端，双方应通过友好协商，妥善解决。如通过协商仍不能解决时，可向遴选人当地的人民法院起诉。</w:t>
      </w:r>
    </w:p>
    <w:p w14:paraId="33B79681">
      <w:pPr>
        <w:pStyle w:val="6"/>
        <w:numPr>
          <w:ilvl w:val="0"/>
          <w:numId w:val="0"/>
        </w:numPr>
        <w:spacing w:line="440" w:lineRule="exact"/>
        <w:rPr>
          <w:color w:val="auto"/>
          <w:sz w:val="24"/>
          <w:highlight w:val="none"/>
        </w:rPr>
      </w:pPr>
      <w:r>
        <w:rPr>
          <w:color w:val="auto"/>
          <w:sz w:val="24"/>
          <w:highlight w:val="none"/>
        </w:rPr>
        <w:t>7.2诉讼费用除人民法院另有裁决外，由败诉方承担。</w:t>
      </w:r>
    </w:p>
    <w:p w14:paraId="0DF2BA69">
      <w:pPr>
        <w:pStyle w:val="6"/>
        <w:numPr>
          <w:ilvl w:val="0"/>
          <w:numId w:val="0"/>
        </w:numPr>
        <w:spacing w:line="440" w:lineRule="exact"/>
        <w:rPr>
          <w:color w:val="auto"/>
          <w:sz w:val="24"/>
          <w:highlight w:val="none"/>
        </w:rPr>
      </w:pPr>
      <w:r>
        <w:rPr>
          <w:color w:val="auto"/>
          <w:sz w:val="24"/>
          <w:highlight w:val="none"/>
        </w:rPr>
        <w:t>7.3在诉讼期间，除正在进行裁定的部分外，本合同其他部分应继续执行。</w:t>
      </w:r>
    </w:p>
    <w:p w14:paraId="4684835C">
      <w:pPr>
        <w:spacing w:line="440" w:lineRule="exact"/>
        <w:jc w:val="left"/>
        <w:rPr>
          <w:color w:val="auto"/>
          <w:sz w:val="24"/>
          <w:highlight w:val="none"/>
        </w:rPr>
      </w:pPr>
      <w:r>
        <w:rPr>
          <w:color w:val="auto"/>
          <w:sz w:val="24"/>
          <w:highlight w:val="none"/>
        </w:rPr>
        <w:t>7.4合同应在双方签字盖章后开始生效。</w:t>
      </w:r>
    </w:p>
    <w:p w14:paraId="595A18A7">
      <w:pPr>
        <w:spacing w:line="440" w:lineRule="exact"/>
        <w:rPr>
          <w:color w:val="auto"/>
          <w:sz w:val="24"/>
          <w:highlight w:val="none"/>
        </w:rPr>
      </w:pPr>
      <w:r>
        <w:rPr>
          <w:color w:val="auto"/>
          <w:sz w:val="24"/>
          <w:highlight w:val="none"/>
        </w:rPr>
        <w:t>（注：在正式签约时，根据上述精神应拟就更为详尽的合同书）</w:t>
      </w:r>
    </w:p>
    <w:p w14:paraId="72A26E01">
      <w:pPr>
        <w:ind w:firstLine="723" w:firstLineChars="200"/>
        <w:rPr>
          <w:b/>
          <w:bCs/>
          <w:iCs/>
          <w:color w:val="auto"/>
          <w:sz w:val="24"/>
          <w:highlight w:val="none"/>
        </w:rPr>
      </w:pPr>
      <w:r>
        <w:rPr>
          <w:b/>
          <w:color w:val="auto"/>
          <w:sz w:val="36"/>
          <w:szCs w:val="36"/>
          <w:highlight w:val="none"/>
        </w:rPr>
        <w:br w:type="page"/>
      </w:r>
    </w:p>
    <w:p w14:paraId="0505A243">
      <w:pPr>
        <w:snapToGrid w:val="0"/>
        <w:spacing w:line="360" w:lineRule="auto"/>
        <w:jc w:val="cente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 xml:space="preserve"> </w:t>
      </w:r>
      <w:bookmarkEnd w:id="398"/>
      <w:bookmarkEnd w:id="399"/>
      <w:bookmarkEnd w:id="400"/>
      <w:bookmarkEnd w:id="401"/>
      <w:r>
        <w:rPr>
          <w:rFonts w:hint="eastAsia" w:ascii="仿宋" w:hAnsi="仿宋" w:eastAsia="仿宋" w:cs="仿宋_GB2312"/>
          <w:b/>
          <w:color w:val="auto"/>
          <w:sz w:val="36"/>
          <w:szCs w:val="20"/>
          <w:highlight w:val="none"/>
        </w:rPr>
        <w:t>第六部分 申报文件及其附件格式</w:t>
      </w:r>
    </w:p>
    <w:p w14:paraId="05811735">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112D2AC7">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02B93C36">
      <w:pPr>
        <w:spacing w:line="360" w:lineRule="auto"/>
        <w:jc w:val="center"/>
        <w:outlineLvl w:val="0"/>
        <w:rPr>
          <w:rFonts w:hint="eastAsia" w:ascii="仿宋" w:hAnsi="仿宋" w:eastAsia="仿宋" w:cs="仿宋_GB2312"/>
          <w:b/>
          <w:color w:val="auto"/>
          <w:kern w:val="0"/>
          <w:sz w:val="36"/>
          <w:szCs w:val="36"/>
          <w:highlight w:val="none"/>
        </w:rPr>
      </w:pPr>
    </w:p>
    <w:p w14:paraId="30EE7265">
      <w:pPr>
        <w:spacing w:line="360" w:lineRule="auto"/>
        <w:jc w:val="left"/>
        <w:rPr>
          <w:rFonts w:hint="eastAsia"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1）营业执照(或事业法人登记证或其他工商等登记证明材料)复印件（</w:t>
      </w:r>
      <w:r>
        <w:rPr>
          <w:rFonts w:hint="eastAsia" w:ascii="仿宋" w:hAnsi="仿宋" w:eastAsia="仿宋" w:cs="仿宋_GB2312"/>
          <w:color w:val="auto"/>
          <w:kern w:val="0"/>
          <w:sz w:val="24"/>
          <w:highlight w:val="none"/>
          <w:lang w:eastAsia="zh-CN"/>
        </w:rPr>
        <w:t>遴选响应人</w:t>
      </w:r>
      <w:r>
        <w:rPr>
          <w:rFonts w:hint="eastAsia" w:ascii="仿宋" w:hAnsi="仿宋" w:eastAsia="仿宋" w:cs="仿宋_GB2312"/>
          <w:color w:val="auto"/>
          <w:kern w:val="0"/>
          <w:sz w:val="24"/>
          <w:highlight w:val="none"/>
        </w:rPr>
        <w:t>为自然人的，须提供自然人的身份证明）……………………………………（页码）</w:t>
      </w:r>
    </w:p>
    <w:p w14:paraId="2752D731">
      <w:pPr>
        <w:spacing w:line="360" w:lineRule="auto"/>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（2）投标声明函 ………………………………………………………………（页码）</w:t>
      </w:r>
    </w:p>
    <w:p w14:paraId="0EB2521F">
      <w:pPr>
        <w:spacing w:line="360" w:lineRule="auto"/>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（3）法定代表人授权委托书 …………………………………………………（页码）</w:t>
      </w:r>
    </w:p>
    <w:p w14:paraId="63AD45B9">
      <w:pPr>
        <w:spacing w:line="360" w:lineRule="auto"/>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（4）法定代表人及其授权代表的身份证（复印件） ………………………（页码）</w:t>
      </w:r>
    </w:p>
    <w:p w14:paraId="37547E4F">
      <w:pPr>
        <w:spacing w:line="360" w:lineRule="auto"/>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（5）符合特定资格条件的有关证明材料（复印件）</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lang w:val="en-US" w:eastAsia="zh-CN"/>
        </w:rPr>
        <w:t>如有</w:t>
      </w: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rPr>
        <w:t>………………（页码）</w:t>
      </w:r>
    </w:p>
    <w:p w14:paraId="4535BC24">
      <w:pPr>
        <w:adjustRightInd w:val="0"/>
        <w:snapToGrid w:val="0"/>
        <w:spacing w:line="360" w:lineRule="auto"/>
        <w:jc w:val="center"/>
        <w:rPr>
          <w:rFonts w:hint="eastAsia" w:ascii="仿宋" w:hAnsi="仿宋" w:eastAsia="仿宋" w:cs="仿宋_GB2312"/>
          <w:b w:val="0"/>
          <w:bCs/>
          <w:color w:val="auto"/>
          <w:sz w:val="36"/>
          <w:szCs w:val="20"/>
          <w:highlight w:val="none"/>
        </w:rPr>
      </w:pPr>
    </w:p>
    <w:p w14:paraId="24FEFBC5">
      <w:pPr>
        <w:adjustRightInd w:val="0"/>
        <w:snapToGrid w:val="0"/>
        <w:spacing w:line="360" w:lineRule="auto"/>
        <w:jc w:val="center"/>
        <w:rPr>
          <w:rFonts w:hint="eastAsia" w:ascii="仿宋" w:hAnsi="仿宋" w:eastAsia="仿宋" w:cs="仿宋_GB2312"/>
          <w:b w:val="0"/>
          <w:bCs/>
          <w:color w:val="auto"/>
          <w:sz w:val="36"/>
          <w:szCs w:val="20"/>
          <w:highlight w:val="none"/>
        </w:rPr>
      </w:pPr>
    </w:p>
    <w:p w14:paraId="050BBC44">
      <w:pPr>
        <w:adjustRightInd w:val="0"/>
        <w:snapToGrid w:val="0"/>
        <w:spacing w:line="360" w:lineRule="auto"/>
        <w:jc w:val="center"/>
        <w:rPr>
          <w:rFonts w:hint="eastAsia" w:ascii="仿宋" w:hAnsi="仿宋" w:eastAsia="仿宋" w:cs="仿宋_GB2312"/>
          <w:b w:val="0"/>
          <w:bCs/>
          <w:color w:val="auto"/>
          <w:sz w:val="36"/>
          <w:szCs w:val="20"/>
          <w:highlight w:val="none"/>
        </w:rPr>
      </w:pPr>
    </w:p>
    <w:p w14:paraId="3A567599">
      <w:pPr>
        <w:adjustRightInd w:val="0"/>
        <w:snapToGrid w:val="0"/>
        <w:spacing w:line="360" w:lineRule="auto"/>
        <w:jc w:val="center"/>
        <w:rPr>
          <w:rFonts w:hint="eastAsia" w:ascii="仿宋" w:hAnsi="仿宋" w:eastAsia="仿宋" w:cs="仿宋_GB2312"/>
          <w:b w:val="0"/>
          <w:bCs/>
          <w:color w:val="auto"/>
          <w:sz w:val="36"/>
          <w:szCs w:val="20"/>
          <w:highlight w:val="none"/>
        </w:rPr>
      </w:pPr>
    </w:p>
    <w:p w14:paraId="68FA56F3">
      <w:pPr>
        <w:adjustRightInd w:val="0"/>
        <w:snapToGrid w:val="0"/>
        <w:spacing w:line="360" w:lineRule="auto"/>
        <w:jc w:val="center"/>
        <w:rPr>
          <w:rFonts w:hint="eastAsia" w:ascii="仿宋" w:hAnsi="仿宋" w:eastAsia="仿宋" w:cs="仿宋_GB2312"/>
          <w:b w:val="0"/>
          <w:bCs/>
          <w:color w:val="auto"/>
          <w:sz w:val="36"/>
          <w:szCs w:val="20"/>
          <w:highlight w:val="none"/>
        </w:rPr>
      </w:pPr>
    </w:p>
    <w:p w14:paraId="1572429F">
      <w:pPr>
        <w:adjustRightInd w:val="0"/>
        <w:snapToGrid w:val="0"/>
        <w:spacing w:line="360" w:lineRule="auto"/>
        <w:jc w:val="center"/>
        <w:rPr>
          <w:rFonts w:hint="eastAsia" w:ascii="仿宋" w:hAnsi="仿宋" w:eastAsia="仿宋" w:cs="仿宋_GB2312"/>
          <w:b w:val="0"/>
          <w:bCs/>
          <w:color w:val="auto"/>
          <w:sz w:val="36"/>
          <w:szCs w:val="20"/>
          <w:highlight w:val="none"/>
        </w:rPr>
      </w:pPr>
    </w:p>
    <w:p w14:paraId="02C81F3C">
      <w:pPr>
        <w:adjustRightInd w:val="0"/>
        <w:snapToGrid w:val="0"/>
        <w:spacing w:line="360" w:lineRule="auto"/>
        <w:jc w:val="center"/>
        <w:rPr>
          <w:rFonts w:hint="eastAsia" w:ascii="仿宋" w:hAnsi="仿宋" w:eastAsia="仿宋" w:cs="仿宋_GB2312"/>
          <w:b w:val="0"/>
          <w:bCs/>
          <w:color w:val="auto"/>
          <w:sz w:val="36"/>
          <w:szCs w:val="20"/>
          <w:highlight w:val="none"/>
        </w:rPr>
      </w:pPr>
    </w:p>
    <w:p w14:paraId="5C8A13A4">
      <w:pPr>
        <w:adjustRightInd w:val="0"/>
        <w:snapToGrid w:val="0"/>
        <w:spacing w:line="360" w:lineRule="auto"/>
        <w:jc w:val="center"/>
        <w:rPr>
          <w:rFonts w:hint="eastAsia" w:ascii="仿宋" w:hAnsi="仿宋" w:eastAsia="仿宋" w:cs="仿宋_GB2312"/>
          <w:b w:val="0"/>
          <w:bCs/>
          <w:color w:val="auto"/>
          <w:sz w:val="36"/>
          <w:szCs w:val="20"/>
          <w:highlight w:val="none"/>
        </w:rPr>
      </w:pPr>
    </w:p>
    <w:p w14:paraId="5265CF12">
      <w:pPr>
        <w:adjustRightInd w:val="0"/>
        <w:snapToGrid w:val="0"/>
        <w:spacing w:line="360" w:lineRule="auto"/>
        <w:jc w:val="center"/>
        <w:rPr>
          <w:rFonts w:hint="eastAsia" w:ascii="仿宋" w:hAnsi="仿宋" w:eastAsia="仿宋" w:cs="仿宋_GB2312"/>
          <w:b w:val="0"/>
          <w:bCs/>
          <w:color w:val="auto"/>
          <w:sz w:val="36"/>
          <w:szCs w:val="20"/>
          <w:highlight w:val="none"/>
        </w:rPr>
      </w:pPr>
    </w:p>
    <w:p w14:paraId="09260125">
      <w:pPr>
        <w:adjustRightInd w:val="0"/>
        <w:snapToGrid w:val="0"/>
        <w:spacing w:line="360" w:lineRule="auto"/>
        <w:jc w:val="center"/>
        <w:rPr>
          <w:rFonts w:hint="eastAsia" w:ascii="仿宋" w:hAnsi="仿宋" w:eastAsia="仿宋" w:cs="仿宋_GB2312"/>
          <w:b w:val="0"/>
          <w:bCs/>
          <w:color w:val="auto"/>
          <w:sz w:val="36"/>
          <w:szCs w:val="20"/>
          <w:highlight w:val="none"/>
        </w:rPr>
      </w:pPr>
    </w:p>
    <w:p w14:paraId="357897C3">
      <w:pPr>
        <w:adjustRightInd w:val="0"/>
        <w:snapToGrid w:val="0"/>
        <w:spacing w:line="360" w:lineRule="auto"/>
        <w:jc w:val="center"/>
        <w:rPr>
          <w:rFonts w:hint="eastAsia" w:ascii="仿宋" w:hAnsi="仿宋" w:eastAsia="仿宋" w:cs="仿宋_GB2312"/>
          <w:b w:val="0"/>
          <w:bCs/>
          <w:color w:val="auto"/>
          <w:sz w:val="36"/>
          <w:szCs w:val="20"/>
          <w:highlight w:val="none"/>
        </w:rPr>
      </w:pPr>
    </w:p>
    <w:p w14:paraId="6172CB3A">
      <w:pPr>
        <w:spacing w:line="400" w:lineRule="exact"/>
        <w:jc w:val="center"/>
        <w:rPr>
          <w:color w:val="auto"/>
          <w:sz w:val="32"/>
          <w:szCs w:val="32"/>
          <w:highlight w:val="none"/>
          <w:u w:val="single"/>
        </w:rPr>
      </w:pPr>
    </w:p>
    <w:p w14:paraId="4B38131A">
      <w:pPr>
        <w:pStyle w:val="19"/>
        <w:ind w:left="0" w:leftChars="0" w:firstLine="0" w:firstLineChars="0"/>
        <w:rPr>
          <w:rFonts w:ascii="Times New Roman"/>
          <w:color w:val="auto"/>
          <w:highlight w:val="none"/>
        </w:rPr>
      </w:pPr>
      <w:r>
        <w:rPr>
          <w:rFonts w:hint="eastAsia" w:ascii="仿宋" w:hAnsi="仿宋" w:eastAsia="仿宋" w:cs="仿宋_GB2312"/>
          <w:b/>
          <w:color w:val="auto"/>
          <w:kern w:val="0"/>
          <w:sz w:val="32"/>
          <w:szCs w:val="32"/>
          <w:highlight w:val="none"/>
        </w:rPr>
        <w:t>一、营业执照(或事业法人登记证或其他工商等登记证明材料)复印件（</w:t>
      </w:r>
      <w:r>
        <w:rPr>
          <w:rFonts w:hint="eastAsia" w:ascii="仿宋" w:hAnsi="仿宋" w:eastAsia="仿宋" w:cs="仿宋_GB2312"/>
          <w:b/>
          <w:color w:val="auto"/>
          <w:kern w:val="0"/>
          <w:sz w:val="32"/>
          <w:szCs w:val="32"/>
          <w:highlight w:val="none"/>
          <w:lang w:eastAsia="zh-CN"/>
        </w:rPr>
        <w:t>遴选响应人</w:t>
      </w:r>
      <w:r>
        <w:rPr>
          <w:rFonts w:hint="eastAsia" w:ascii="仿宋" w:hAnsi="仿宋" w:eastAsia="仿宋" w:cs="仿宋_GB2312"/>
          <w:b/>
          <w:color w:val="auto"/>
          <w:kern w:val="0"/>
          <w:sz w:val="32"/>
          <w:szCs w:val="32"/>
          <w:highlight w:val="none"/>
        </w:rPr>
        <w:t>为自然人的，须提供自然人的身份证明）</w:t>
      </w:r>
      <w:r>
        <w:rPr>
          <w:rFonts w:hint="eastAsia" w:ascii="仿宋" w:hAnsi="仿宋" w:eastAsia="仿宋" w:cs="仿宋_GB2312"/>
          <w:b/>
          <w:color w:val="auto"/>
          <w:sz w:val="30"/>
          <w:szCs w:val="30"/>
          <w:highlight w:val="none"/>
        </w:rPr>
        <w:br w:type="page"/>
      </w:r>
    </w:p>
    <w:p w14:paraId="5D42DA4A">
      <w:pPr>
        <w:snapToGrid w:val="0"/>
        <w:spacing w:line="360" w:lineRule="auto"/>
        <w:jc w:val="center"/>
        <w:outlineLvl w:val="0"/>
        <w:rPr>
          <w:rFonts w:hint="eastAsia"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二、投标声明</w:t>
      </w:r>
      <w:r>
        <w:rPr>
          <w:rFonts w:hint="eastAsia" w:ascii="仿宋" w:hAnsi="仿宋" w:eastAsia="仿宋" w:cs="仿宋_GB2312"/>
          <w:b/>
          <w:color w:val="auto"/>
          <w:sz w:val="32"/>
          <w:szCs w:val="32"/>
          <w:highlight w:val="none"/>
        </w:rPr>
        <w:t>函</w:t>
      </w:r>
    </w:p>
    <w:p w14:paraId="50E3C07A">
      <w:pPr>
        <w:snapToGrid w:val="0"/>
        <w:spacing w:line="360" w:lineRule="auto"/>
        <w:rPr>
          <w:rFonts w:hint="eastAsia" w:ascii="仿宋" w:hAnsi="仿宋" w:eastAsia="仿宋" w:cs="仿宋_GB2312"/>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（采购单位或</w:t>
      </w:r>
      <w:r>
        <w:rPr>
          <w:rFonts w:hint="eastAsia" w:ascii="仿宋" w:hAnsi="仿宋" w:eastAsia="仿宋"/>
          <w:color w:val="auto"/>
          <w:sz w:val="24"/>
          <w:highlight w:val="none"/>
          <w:u w:val="single"/>
          <w:lang w:eastAsia="zh-CN"/>
        </w:rPr>
        <w:t>遴选代理单位</w:t>
      </w:r>
      <w:r>
        <w:rPr>
          <w:rFonts w:hint="eastAsia" w:ascii="仿宋" w:hAnsi="仿宋" w:eastAsia="仿宋"/>
          <w:color w:val="auto"/>
          <w:sz w:val="24"/>
          <w:highlight w:val="none"/>
          <w:u w:val="single"/>
        </w:rPr>
        <w:t>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360FFC2C">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eastAsia="仿宋"/>
          <w:color w:val="auto"/>
          <w:sz w:val="24"/>
          <w:highlight w:val="none"/>
          <w:u w:val="single"/>
        </w:rPr>
        <w:t>（</w:t>
      </w:r>
      <w:r>
        <w:rPr>
          <w:rFonts w:hint="eastAsia" w:ascii="仿宋" w:eastAsia="仿宋"/>
          <w:color w:val="auto"/>
          <w:sz w:val="24"/>
          <w:highlight w:val="none"/>
          <w:u w:val="single"/>
          <w:lang w:eastAsia="zh-CN"/>
        </w:rPr>
        <w:t>遴选响应人</w:t>
      </w:r>
      <w:r>
        <w:rPr>
          <w:rFonts w:hint="eastAsia" w:ascii="仿宋" w:eastAsia="仿宋"/>
          <w:color w:val="auto"/>
          <w:sz w:val="24"/>
          <w:highlight w:val="none"/>
          <w:u w:val="single"/>
        </w:rPr>
        <w:t>或联合体牵头人全称）</w:t>
      </w:r>
      <w:r>
        <w:rPr>
          <w:rFonts w:hint="eastAsia" w:ascii="仿宋" w:hAnsi="仿宋" w:eastAsia="仿宋" w:cs="仿宋_GB2312"/>
          <w:color w:val="auto"/>
          <w:sz w:val="24"/>
          <w:highlight w:val="none"/>
        </w:rPr>
        <w:t>愿意参加贵方组织的</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的投标，为此，我方就本次投标有关事项郑重申明如下：</w:t>
      </w:r>
    </w:p>
    <w:p w14:paraId="005603E5">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1、我方已详细审查全部</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，同意</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的各项要求。</w:t>
      </w:r>
    </w:p>
    <w:p w14:paraId="5232CB06">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2、我方承诺已经具备《中华人民共和国政府采购法》第二十二条规定的条件。</w:t>
      </w:r>
    </w:p>
    <w:p w14:paraId="4A850906">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我方参加本次国企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10F171EC">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4、我方向贵方提交的所有</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、资料都是准确、真实的。若贵方需要，我方愿意向贵方提供任何与该项投标有关且合法的数据、情况和技术资料。</w:t>
      </w:r>
    </w:p>
    <w:p w14:paraId="5CA831F5">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5、我方保证所供货物质量符合国家强制性规范和标准，达到</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规定的要求。</w:t>
      </w:r>
    </w:p>
    <w:p w14:paraId="281BF26A">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自开标日起有效期为</w:t>
      </w:r>
      <w:r>
        <w:rPr>
          <w:rFonts w:hint="eastAsia" w:ascii="仿宋" w:hAnsi="仿宋" w:eastAsia="仿宋" w:cs="仿宋_GB2312"/>
          <w:color w:val="auto"/>
          <w:sz w:val="24"/>
          <w:highlight w:val="none"/>
          <w:lang w:val="en-US" w:eastAsia="zh-CN"/>
        </w:rPr>
        <w:t>45</w:t>
      </w:r>
      <w:r>
        <w:rPr>
          <w:rFonts w:hint="eastAsia" w:ascii="仿宋" w:hAnsi="仿宋" w:eastAsia="仿宋" w:cs="仿宋_GB2312"/>
          <w:color w:val="auto"/>
          <w:sz w:val="24"/>
          <w:highlight w:val="none"/>
        </w:rPr>
        <w:t>天。</w:t>
      </w:r>
    </w:p>
    <w:p w14:paraId="5284761D">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7、我方具有履行本项目合同所必需的设备和专业技术能力。如中标，我方将保证合同顺利履行。</w:t>
      </w:r>
    </w:p>
    <w:p w14:paraId="4173FE64">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8、我方中标后拟在中标后将</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工作分包，分包承担主体是</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，我方承诺分包承担主体具备相应资质条件</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，且不再次分包。（不再将工作进行分包或本项目不允许分包的，下划线处填写“/”。）</w:t>
      </w:r>
    </w:p>
    <w:p w14:paraId="13A7BBE7">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eastAsia="仿宋" w:cs="仿宋_GB2312"/>
          <w:color w:val="auto"/>
          <w:sz w:val="24"/>
          <w:highlight w:val="none"/>
        </w:rPr>
        <w:t>9、我方承诺若违反法律、法规规定，愿接受依法处理。</w:t>
      </w:r>
    </w:p>
    <w:p w14:paraId="24992B58">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传真号码：</w:t>
      </w:r>
      <w:r>
        <w:rPr>
          <w:rFonts w:hint="eastAsia" w:ascii="仿宋" w:hAnsi="仿宋" w:eastAsia="仿宋" w:cs="仿宋_GB2312"/>
          <w:color w:val="auto"/>
          <w:kern w:val="0"/>
          <w:sz w:val="24"/>
          <w:highlight w:val="none"/>
          <w:u w:val="single"/>
          <w:lang w:val="zh-CN"/>
        </w:rPr>
        <w:t xml:space="preserve">            </w:t>
      </w:r>
    </w:p>
    <w:p w14:paraId="4B6E05C3">
      <w:pPr>
        <w:snapToGrid w:val="0"/>
        <w:spacing w:line="360" w:lineRule="auto"/>
        <w:ind w:left="420" w:left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邮政编码：</w:t>
      </w:r>
      <w:r>
        <w:rPr>
          <w:rFonts w:hint="eastAsia" w:ascii="仿宋" w:hAnsi="仿宋" w:eastAsia="仿宋" w:cs="仿宋_GB2312"/>
          <w:color w:val="auto"/>
          <w:kern w:val="0"/>
          <w:sz w:val="24"/>
          <w:highlight w:val="none"/>
          <w:u w:val="single"/>
          <w:lang w:val="zh-CN"/>
        </w:rPr>
        <w:t xml:space="preserve">                     </w:t>
      </w:r>
    </w:p>
    <w:p w14:paraId="0AFC11A3">
      <w:pPr>
        <w:snapToGrid w:val="0"/>
        <w:spacing w:line="360" w:lineRule="auto"/>
        <w:ind w:firstLine="5040" w:firstLineChars="2100"/>
        <w:rPr>
          <w:rFonts w:hint="eastAsia" w:ascii="仿宋" w:hAnsi="仿宋" w:eastAsia="仿宋" w:cs="仿宋_GB2312"/>
          <w:color w:val="auto"/>
          <w:kern w:val="0"/>
          <w:sz w:val="24"/>
          <w:highlight w:val="none"/>
          <w:lang w:val="zh-CN"/>
        </w:rPr>
      </w:pPr>
    </w:p>
    <w:p w14:paraId="780CB7FC">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遴选响应人名称(电子签名)：</w:t>
      </w:r>
    </w:p>
    <w:p w14:paraId="5090E2CF">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14:paraId="7912C40D">
      <w:pPr>
        <w:snapToGrid w:val="0"/>
        <w:spacing w:line="360" w:lineRule="auto"/>
        <w:jc w:val="center"/>
        <w:outlineLvl w:val="0"/>
        <w:rPr>
          <w:rFonts w:hint="eastAsia" w:ascii="仿宋" w:hAnsi="仿宋" w:eastAsia="仿宋" w:cs="仿宋_GB2312"/>
          <w:b/>
          <w:color w:val="auto"/>
          <w:kern w:val="0"/>
          <w:sz w:val="32"/>
          <w:szCs w:val="32"/>
          <w:highlight w:val="none"/>
        </w:rPr>
      </w:pPr>
    </w:p>
    <w:p w14:paraId="55CD1E11">
      <w:pPr>
        <w:snapToGrid w:val="0"/>
        <w:spacing w:line="360" w:lineRule="auto"/>
        <w:jc w:val="center"/>
        <w:outlineLvl w:val="0"/>
        <w:rPr>
          <w:rFonts w:hint="eastAsia" w:ascii="仿宋" w:hAnsi="仿宋" w:eastAsia="仿宋" w:cs="仿宋_GB2312"/>
          <w:b/>
          <w:color w:val="auto"/>
          <w:kern w:val="0"/>
          <w:sz w:val="32"/>
          <w:szCs w:val="32"/>
          <w:highlight w:val="none"/>
        </w:rPr>
      </w:pPr>
    </w:p>
    <w:p w14:paraId="1297B599">
      <w:pPr>
        <w:snapToGrid w:val="0"/>
        <w:spacing w:line="360" w:lineRule="auto"/>
        <w:jc w:val="center"/>
        <w:outlineLvl w:val="0"/>
        <w:rPr>
          <w:rFonts w:hint="eastAsia" w:ascii="仿宋" w:hAnsi="仿宋" w:eastAsia="仿宋" w:cs="仿宋_GB2312"/>
          <w:b/>
          <w:color w:val="auto"/>
          <w:kern w:val="0"/>
          <w:sz w:val="32"/>
          <w:szCs w:val="32"/>
          <w:highlight w:val="none"/>
        </w:rPr>
      </w:pPr>
    </w:p>
    <w:p w14:paraId="4B544A0A">
      <w:pPr>
        <w:snapToGrid w:val="0"/>
        <w:spacing w:line="360" w:lineRule="auto"/>
        <w:jc w:val="center"/>
        <w:outlineLvl w:val="0"/>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三、法定代表人授权委托书</w:t>
      </w:r>
    </w:p>
    <w:p w14:paraId="721D0DDB">
      <w:pPr>
        <w:snapToGrid w:val="0"/>
        <w:spacing w:line="360" w:lineRule="auto"/>
        <w:rPr>
          <w:rFonts w:hint="eastAsia" w:ascii="仿宋" w:hAnsi="仿宋" w:eastAsia="仿宋" w:cs="仿宋_GB2312"/>
          <w:color w:val="auto"/>
          <w:sz w:val="24"/>
          <w:highlight w:val="none"/>
        </w:rPr>
      </w:pPr>
      <w:r>
        <w:rPr>
          <w:rFonts w:hint="eastAsia" w:ascii="仿宋" w:hAnsi="仿宋" w:eastAsia="仿宋"/>
          <w:color w:val="auto"/>
          <w:sz w:val="24"/>
          <w:highlight w:val="none"/>
          <w:u w:val="single"/>
        </w:rPr>
        <w:t>（采购单位或</w:t>
      </w:r>
      <w:r>
        <w:rPr>
          <w:rFonts w:hint="eastAsia" w:ascii="仿宋" w:hAnsi="仿宋" w:eastAsia="仿宋"/>
          <w:color w:val="auto"/>
          <w:sz w:val="24"/>
          <w:highlight w:val="none"/>
          <w:u w:val="single"/>
          <w:lang w:eastAsia="zh-CN"/>
        </w:rPr>
        <w:t>遴选代理单位</w:t>
      </w:r>
      <w:r>
        <w:rPr>
          <w:rFonts w:hint="eastAsia" w:ascii="仿宋" w:hAnsi="仿宋" w:eastAsia="仿宋"/>
          <w:color w:val="auto"/>
          <w:sz w:val="24"/>
          <w:highlight w:val="none"/>
          <w:u w:val="single"/>
        </w:rPr>
        <w:t>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0E34335A">
      <w:pPr>
        <w:snapToGrid w:val="0"/>
        <w:spacing w:line="360" w:lineRule="auto"/>
        <w:ind w:firstLine="576"/>
        <w:rPr>
          <w:rFonts w:hint="eastAsia"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 xml:space="preserve">     </w:t>
      </w:r>
      <w:r>
        <w:rPr>
          <w:rFonts w:hint="eastAsia" w:ascii="仿宋" w:eastAsia="仿宋"/>
          <w:color w:val="auto"/>
          <w:sz w:val="24"/>
          <w:highlight w:val="none"/>
          <w:u w:val="single"/>
        </w:rPr>
        <w:t xml:space="preserve"> （</w:t>
      </w:r>
      <w:r>
        <w:rPr>
          <w:color w:val="auto"/>
          <w:sz w:val="24"/>
          <w:highlight w:val="none"/>
        </w:rPr>
        <w:t>遴选响应人名称</w:t>
      </w:r>
      <w:r>
        <w:rPr>
          <w:rFonts w:hint="eastAsia"/>
          <w:color w:val="auto"/>
          <w:sz w:val="24"/>
          <w:highlight w:val="none"/>
          <w:lang w:eastAsia="zh-CN"/>
        </w:rPr>
        <w:t>）</w:t>
      </w:r>
      <w:r>
        <w:rPr>
          <w:rFonts w:hint="eastAsia" w:ascii="仿宋" w:eastAsia="仿宋"/>
          <w:color w:val="auto"/>
          <w:sz w:val="24"/>
          <w:highlight w:val="none"/>
        </w:rPr>
        <w:t>的法定代表人，现授权委托本单位在职职工</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u w:val="single"/>
          <w:lang w:val="en-US" w:eastAsia="zh-CN"/>
        </w:rPr>
        <w:t xml:space="preserve"> </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联系电话：</w:t>
      </w:r>
      <w:r>
        <w:rPr>
          <w:rFonts w:hint="eastAsia" w:ascii="仿宋" w:eastAsia="仿宋"/>
          <w:color w:val="auto"/>
          <w:sz w:val="24"/>
          <w:highlight w:val="none"/>
          <w:u w:val="single"/>
        </w:rPr>
        <w:t xml:space="preserve">       </w:t>
      </w:r>
      <w:r>
        <w:rPr>
          <w:rFonts w:hint="eastAsia" w:ascii="仿宋" w:hAnsi="仿宋" w:eastAsia="仿宋" w:cs="仿宋_GB2312"/>
          <w:color w:val="auto"/>
          <w:kern w:val="0"/>
          <w:sz w:val="24"/>
          <w:highlight w:val="none"/>
          <w:lang w:val="zh-CN"/>
        </w:rPr>
        <w:t>手机：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传真：</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)，以我方的名义参加</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的遴选响应活动，并代表我方全权办理针对上述项目遴选、评选、签约等具体事务和签署相关文件。我方对授权代表的签名事项负全部责任。</w:t>
      </w:r>
    </w:p>
    <w:p w14:paraId="4A64A853">
      <w:pPr>
        <w:snapToGrid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14:paraId="43EC67BB">
      <w:pPr>
        <w:snapToGrid w:val="0"/>
        <w:spacing w:line="360" w:lineRule="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 xml:space="preserve">    授权代表无转委托权。特此委托</w:t>
      </w:r>
    </w:p>
    <w:p w14:paraId="2D0A2301">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遴选响应人名称(电子签名)：</w:t>
      </w:r>
    </w:p>
    <w:p w14:paraId="2EF19550">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14:paraId="442EDA9A">
      <w:pPr>
        <w:spacing w:line="360" w:lineRule="auto"/>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p>
    <w:p w14:paraId="4B84198E">
      <w:pPr>
        <w:snapToGrid w:val="0"/>
        <w:spacing w:line="360" w:lineRule="auto"/>
        <w:ind w:firstLine="576"/>
        <w:jc w:val="center"/>
        <w:rPr>
          <w:rFonts w:ascii="仿宋" w:hAnsi="仿宋" w:eastAsia="仿宋" w:cs="仿宋_GB2312"/>
          <w:color w:val="auto"/>
          <w:kern w:val="0"/>
          <w:sz w:val="24"/>
          <w:highlight w:val="none"/>
          <w:lang w:val="zh-CN"/>
        </w:rPr>
      </w:pPr>
      <w:r>
        <w:rPr>
          <w:rFonts w:hint="eastAsia" w:ascii="仿宋" w:hAnsi="仿宋" w:eastAsia="仿宋" w:cs="仿宋_GB2312"/>
          <w:b/>
          <w:color w:val="auto"/>
          <w:kern w:val="0"/>
          <w:sz w:val="32"/>
          <w:szCs w:val="32"/>
          <w:highlight w:val="none"/>
        </w:rPr>
        <w:t>四、法定代表人及其授权代表的身份证及近三个月社保证明（复印件）</w:t>
      </w:r>
      <w:r>
        <w:rPr>
          <w:rFonts w:hint="eastAsia" w:ascii="仿宋" w:hAnsi="仿宋" w:eastAsia="仿宋" w:cs="仿宋_GB2312"/>
          <w:color w:val="auto"/>
          <w:kern w:val="0"/>
          <w:sz w:val="24"/>
          <w:highlight w:val="none"/>
          <w:lang w:val="zh-CN"/>
        </w:rPr>
        <w:t xml:space="preserve">                </w:t>
      </w:r>
    </w:p>
    <w:p w14:paraId="0F17752B">
      <w:pPr>
        <w:widowControl/>
        <w:spacing w:line="360" w:lineRule="auto"/>
        <w:ind w:firstLine="480" w:firstLineChars="200"/>
        <w:jc w:val="left"/>
        <w:rPr>
          <w:rFonts w:hint="eastAsia" w:ascii="仿宋" w:hAnsi="仿宋" w:eastAsia="仿宋" w:cs="仿宋_GB2312"/>
          <w:color w:val="auto"/>
          <w:sz w:val="24"/>
          <w:highlight w:val="none"/>
        </w:rPr>
      </w:pPr>
    </w:p>
    <w:p w14:paraId="5BB62CA3">
      <w:pPr>
        <w:spacing w:line="360" w:lineRule="auto"/>
        <w:jc w:val="center"/>
        <w:rPr>
          <w:rFonts w:hint="eastAsia" w:ascii="仿宋" w:hAnsi="仿宋" w:eastAsia="仿宋" w:cs="仿宋_GB2312"/>
          <w:b/>
          <w:color w:val="auto"/>
          <w:kern w:val="0"/>
          <w:sz w:val="32"/>
          <w:szCs w:val="32"/>
          <w:highlight w:val="none"/>
        </w:rPr>
      </w:pPr>
    </w:p>
    <w:p w14:paraId="3ED73E3F">
      <w:pPr>
        <w:spacing w:line="240" w:lineRule="auto"/>
        <w:jc w:val="left"/>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14:paraId="14BF977F">
      <w:pPr>
        <w:spacing w:line="360" w:lineRule="auto"/>
        <w:jc w:val="center"/>
        <w:rPr>
          <w:rFonts w:hint="eastAsia" w:ascii="仿宋" w:hAnsi="仿宋" w:eastAsia="仿宋" w:cs="仿宋_GB2312"/>
          <w:b/>
          <w:color w:val="auto"/>
          <w:sz w:val="32"/>
          <w:szCs w:val="32"/>
          <w:highlight w:val="none"/>
          <w:lang w:eastAsia="zh-CN"/>
        </w:rPr>
      </w:pPr>
      <w:r>
        <w:rPr>
          <w:rFonts w:hint="eastAsia" w:ascii="仿宋" w:hAnsi="仿宋" w:eastAsia="仿宋" w:cs="仿宋_GB2312"/>
          <w:b/>
          <w:color w:val="auto"/>
          <w:kern w:val="0"/>
          <w:sz w:val="32"/>
          <w:szCs w:val="32"/>
          <w:highlight w:val="none"/>
        </w:rPr>
        <w:t>五</w:t>
      </w:r>
      <w:r>
        <w:rPr>
          <w:rFonts w:hint="eastAsia" w:ascii="仿宋" w:hAnsi="仿宋" w:eastAsia="仿宋" w:cs="仿宋_GB2312"/>
          <w:b/>
          <w:color w:val="auto"/>
          <w:sz w:val="32"/>
          <w:szCs w:val="32"/>
          <w:highlight w:val="none"/>
        </w:rPr>
        <w:t>、符合特定资格条件的有关证明材料（复印件）</w:t>
      </w:r>
      <w:r>
        <w:rPr>
          <w:rFonts w:hint="eastAsia" w:ascii="仿宋" w:hAnsi="仿宋" w:eastAsia="仿宋" w:cs="仿宋_GB2312"/>
          <w:b/>
          <w:color w:val="auto"/>
          <w:sz w:val="32"/>
          <w:szCs w:val="32"/>
          <w:highlight w:val="none"/>
          <w:lang w:eastAsia="zh-CN"/>
        </w:rPr>
        <w:t>（</w:t>
      </w:r>
      <w:r>
        <w:rPr>
          <w:rFonts w:hint="eastAsia" w:ascii="仿宋" w:hAnsi="仿宋" w:eastAsia="仿宋" w:cs="仿宋_GB2312"/>
          <w:b/>
          <w:color w:val="auto"/>
          <w:sz w:val="32"/>
          <w:szCs w:val="32"/>
          <w:highlight w:val="none"/>
          <w:lang w:val="en-US" w:eastAsia="zh-CN"/>
        </w:rPr>
        <w:t>如有</w:t>
      </w:r>
      <w:r>
        <w:rPr>
          <w:rFonts w:hint="eastAsia" w:ascii="仿宋" w:hAnsi="仿宋" w:eastAsia="仿宋" w:cs="仿宋_GB2312"/>
          <w:b/>
          <w:color w:val="auto"/>
          <w:sz w:val="32"/>
          <w:szCs w:val="32"/>
          <w:highlight w:val="none"/>
          <w:lang w:eastAsia="zh-CN"/>
        </w:rPr>
        <w:t>）</w:t>
      </w:r>
    </w:p>
    <w:p w14:paraId="5009F0FF">
      <w:pPr>
        <w:widowControl/>
        <w:spacing w:line="360" w:lineRule="auto"/>
        <w:ind w:firstLine="480" w:firstLineChars="200"/>
        <w:jc w:val="left"/>
        <w:rPr>
          <w:rFonts w:hint="eastAsia" w:ascii="仿宋" w:hAnsi="仿宋" w:eastAsia="仿宋" w:cs="仿宋_GB2312"/>
          <w:color w:val="auto"/>
          <w:sz w:val="24"/>
          <w:highlight w:val="none"/>
        </w:rPr>
      </w:pPr>
    </w:p>
    <w:p w14:paraId="73A497A0">
      <w:pPr>
        <w:spacing w:line="360" w:lineRule="auto"/>
        <w:outlineLvl w:val="0"/>
        <w:rPr>
          <w:rFonts w:ascii="仿宋" w:hAnsi="仿宋" w:eastAsia="仿宋" w:cs="仿宋_GB2312"/>
          <w:color w:val="auto"/>
          <w:sz w:val="24"/>
          <w:highlight w:val="none"/>
        </w:rPr>
        <w:sectPr>
          <w:headerReference r:id="rId12" w:type="first"/>
          <w:footerReference r:id="rId15" w:type="first"/>
          <w:footerReference r:id="rId13" w:type="default"/>
          <w:headerReference r:id="rId11" w:type="even"/>
          <w:footerReference r:id="rId14" w:type="even"/>
          <w:pgSz w:w="11906" w:h="16838"/>
          <w:pgMar w:top="1247" w:right="1418" w:bottom="1276" w:left="1418" w:header="851" w:footer="992" w:gutter="0"/>
          <w:cols w:space="720" w:num="1"/>
          <w:titlePg/>
          <w:docGrid w:linePitch="312" w:charSpace="0"/>
        </w:sectPr>
      </w:pPr>
    </w:p>
    <w:p w14:paraId="6D634A32">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14:paraId="107E2731">
      <w:pPr>
        <w:spacing w:line="360" w:lineRule="auto"/>
        <w:jc w:val="center"/>
        <w:outlineLvl w:val="0"/>
        <w:rPr>
          <w:rFonts w:hint="eastAsia" w:ascii="仿宋" w:hAnsi="仿宋" w:eastAsia="仿宋" w:cs="仿宋_GB2312"/>
          <w:b/>
          <w:color w:val="auto"/>
          <w:kern w:val="0"/>
          <w:sz w:val="24"/>
          <w:highlight w:val="none"/>
        </w:rPr>
      </w:pPr>
    </w:p>
    <w:p w14:paraId="7B4DF47F">
      <w:pPr>
        <w:spacing w:line="360" w:lineRule="auto"/>
        <w:jc w:val="center"/>
        <w:outlineLvl w:val="0"/>
        <w:rPr>
          <w:rFonts w:hint="eastAsia"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14:paraId="529B9A5B">
      <w:pPr>
        <w:pStyle w:val="41"/>
        <w:spacing w:line="360" w:lineRule="auto"/>
        <w:rPr>
          <w:rFonts w:hint="eastAsia" w:ascii="仿宋" w:eastAsia="仿宋" w:cs="仿宋_GB2312"/>
          <w:color w:val="auto"/>
          <w:highlight w:val="none"/>
        </w:rPr>
      </w:pPr>
      <w:r>
        <w:rPr>
          <w:rFonts w:hint="eastAsia" w:ascii="仿宋" w:eastAsia="仿宋" w:cs="仿宋_GB2312"/>
          <w:color w:val="auto"/>
          <w:highlight w:val="none"/>
        </w:rPr>
        <w:t>（1）</w:t>
      </w:r>
      <w:r>
        <w:rPr>
          <w:rFonts w:hint="eastAsia" w:ascii="仿宋" w:eastAsia="仿宋" w:cs="仿宋_GB2312"/>
          <w:color w:val="auto"/>
          <w:highlight w:val="none"/>
          <w:lang w:val="zh-CN"/>
        </w:rPr>
        <w:t>评分对应表 ……………………………………………………</w:t>
      </w:r>
      <w:r>
        <w:rPr>
          <w:rFonts w:hint="eastAsia" w:ascii="仿宋" w:eastAsia="仿宋" w:cs="仿宋_GB2312"/>
          <w:color w:val="auto"/>
          <w:highlight w:val="none"/>
        </w:rPr>
        <w:t>（页码）</w:t>
      </w:r>
    </w:p>
    <w:p w14:paraId="17DBE907">
      <w:pPr>
        <w:pStyle w:val="41"/>
        <w:spacing w:line="360" w:lineRule="auto"/>
        <w:rPr>
          <w:rFonts w:hint="eastAsia" w:ascii="仿宋" w:eastAsia="仿宋" w:cs="仿宋_GB2312"/>
          <w:color w:val="auto"/>
          <w:highlight w:val="none"/>
        </w:rPr>
      </w:pPr>
      <w:bookmarkStart w:id="402" w:name="OLE_LINK6"/>
      <w:bookmarkStart w:id="403" w:name="OLE_LINK7"/>
      <w:bookmarkStart w:id="404" w:name="OLE_LINK5"/>
      <w:r>
        <w:rPr>
          <w:rFonts w:hint="eastAsia" w:ascii="仿宋" w:eastAsia="仿宋" w:cs="仿宋_GB2312"/>
          <w:color w:val="auto"/>
          <w:highlight w:val="none"/>
        </w:rPr>
        <w:t>（2）技术响应表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02"/>
      <w:bookmarkEnd w:id="403"/>
    </w:p>
    <w:bookmarkEnd w:id="404"/>
    <w:p w14:paraId="1D218FA3">
      <w:pPr>
        <w:pStyle w:val="41"/>
        <w:spacing w:line="360" w:lineRule="auto"/>
        <w:rPr>
          <w:rFonts w:hint="eastAsia" w:ascii="仿宋" w:eastAsia="仿宋" w:cs="仿宋_GB2312"/>
          <w:color w:val="auto"/>
          <w:highlight w:val="none"/>
        </w:rPr>
      </w:pPr>
      <w:r>
        <w:rPr>
          <w:rFonts w:hint="eastAsia" w:ascii="仿宋" w:eastAsia="仿宋" w:cs="仿宋_GB2312"/>
          <w:color w:val="auto"/>
          <w:highlight w:val="none"/>
        </w:rPr>
        <w:t>（3）商务响应表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2CB3B233">
      <w:pPr>
        <w:spacing w:line="360" w:lineRule="auto"/>
        <w:ind w:firstLine="480" w:firstLineChars="200"/>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w:t>
      </w: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eastAsia="zh-CN"/>
        </w:rPr>
        <w:t>承销方案</w:t>
      </w:r>
      <w:r>
        <w:rPr>
          <w:rFonts w:hint="eastAsia" w:ascii="仿宋" w:hAnsi="仿宋" w:eastAsia="仿宋" w:cs="仿宋_GB2312"/>
          <w:color w:val="auto"/>
          <w:kern w:val="0"/>
          <w:sz w:val="24"/>
          <w:highlight w:val="none"/>
        </w:rPr>
        <w:t>………………………………………………………</w:t>
      </w:r>
      <w:r>
        <w:rPr>
          <w:rFonts w:hint="eastAsia" w:ascii="仿宋" w:eastAsia="仿宋" w:cs="仿宋_GB2312"/>
          <w:color w:val="auto"/>
          <w:highlight w:val="none"/>
          <w:lang w:val="zh-CN"/>
        </w:rPr>
        <w:t>…</w:t>
      </w:r>
      <w:r>
        <w:rPr>
          <w:rFonts w:hint="eastAsia" w:ascii="仿宋" w:hAnsi="仿宋" w:eastAsia="仿宋" w:cs="仿宋_GB2312"/>
          <w:color w:val="auto"/>
          <w:kern w:val="0"/>
          <w:sz w:val="24"/>
          <w:highlight w:val="none"/>
        </w:rPr>
        <w:t>（页码）</w:t>
      </w:r>
    </w:p>
    <w:p w14:paraId="52319320">
      <w:pPr>
        <w:spacing w:line="360" w:lineRule="auto"/>
        <w:ind w:firstLine="480" w:firstLineChars="200"/>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（5）项目负责人情况表………………………………………………（页码）</w:t>
      </w:r>
    </w:p>
    <w:p w14:paraId="55BDFAC6">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（6）项目组人员名单…………………………………………………（页码）</w:t>
      </w:r>
    </w:p>
    <w:p w14:paraId="5C81C443">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（7）售后服务方案（如有）…………………………………………（页码）</w:t>
      </w:r>
    </w:p>
    <w:p w14:paraId="40207B9C">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（8）</w:t>
      </w:r>
      <w:r>
        <w:rPr>
          <w:rFonts w:hint="eastAsia" w:ascii="仿宋" w:hAnsi="仿宋" w:eastAsia="仿宋" w:cs="仿宋_GB2312"/>
          <w:color w:val="auto"/>
          <w:kern w:val="0"/>
          <w:sz w:val="24"/>
          <w:highlight w:val="none"/>
          <w:lang w:val="zh-CN"/>
        </w:rPr>
        <w:t>优惠条件及特殊承诺（如有）</w:t>
      </w:r>
      <w:r>
        <w:rPr>
          <w:rFonts w:hint="eastAsia" w:ascii="仿宋" w:hAnsi="仿宋" w:eastAsia="仿宋" w:cs="仿宋_GB2312"/>
          <w:color w:val="auto"/>
          <w:kern w:val="0"/>
          <w:sz w:val="24"/>
          <w:highlight w:val="none"/>
        </w:rPr>
        <w:t>…………………………………（页码）</w:t>
      </w:r>
    </w:p>
    <w:p w14:paraId="65CEAFFC">
      <w:pPr>
        <w:spacing w:line="360" w:lineRule="auto"/>
        <w:ind w:firstLine="480" w:firstLineChars="200"/>
        <w:rPr>
          <w:rFonts w:hint="eastAsia" w:ascii="仿宋" w:hAnsi="仿宋" w:eastAsia="仿宋" w:cs="仿宋_GB2312"/>
          <w:color w:val="auto"/>
          <w:kern w:val="0"/>
          <w:sz w:val="24"/>
          <w:highlight w:val="none"/>
          <w:lang w:eastAsia="zh-CN"/>
        </w:rPr>
      </w:pPr>
      <w:r>
        <w:rPr>
          <w:rFonts w:hint="eastAsia" w:ascii="仿宋" w:hAnsi="仿宋" w:eastAsia="仿宋" w:cs="仿宋_GB2312"/>
          <w:color w:val="auto"/>
          <w:kern w:val="0"/>
          <w:sz w:val="24"/>
          <w:highlight w:val="none"/>
          <w:lang w:eastAsia="zh-CN"/>
        </w:rPr>
        <w:t>（</w:t>
      </w:r>
      <w:r>
        <w:rPr>
          <w:rFonts w:hint="eastAsia" w:ascii="仿宋" w:hAnsi="仿宋" w:eastAsia="仿宋" w:cs="仿宋_GB2312"/>
          <w:color w:val="auto"/>
          <w:kern w:val="0"/>
          <w:sz w:val="24"/>
          <w:highlight w:val="none"/>
          <w:lang w:val="en-US" w:eastAsia="zh-CN"/>
        </w:rPr>
        <w:t>9</w:t>
      </w:r>
      <w:r>
        <w:rPr>
          <w:rFonts w:hint="eastAsia" w:ascii="仿宋" w:hAnsi="仿宋" w:eastAsia="仿宋" w:cs="仿宋_GB2312"/>
          <w:color w:val="auto"/>
          <w:kern w:val="0"/>
          <w:sz w:val="24"/>
          <w:highlight w:val="none"/>
          <w:lang w:eastAsia="zh-CN"/>
        </w:rPr>
        <w:t>）遴选响应承诺书</w:t>
      </w:r>
      <w:r>
        <w:rPr>
          <w:rFonts w:hint="eastAsia" w:ascii="仿宋" w:hAnsi="仿宋" w:eastAsia="仿宋" w:cs="仿宋_GB2312"/>
          <w:color w:val="auto"/>
          <w:kern w:val="0"/>
          <w:sz w:val="24"/>
          <w:highlight w:val="none"/>
        </w:rPr>
        <w:t>…………………………………………………（页码）</w:t>
      </w:r>
    </w:p>
    <w:p w14:paraId="6A981126">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en-US" w:eastAsia="zh-CN"/>
        </w:rPr>
        <w:t>10</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遴选响应人认为需要的其它商务技术文件或说明………………</w:t>
      </w:r>
      <w:r>
        <w:rPr>
          <w:rFonts w:hint="eastAsia" w:ascii="仿宋" w:hAnsi="仿宋" w:eastAsia="仿宋" w:cs="仿宋_GB2312"/>
          <w:color w:val="auto"/>
          <w:kern w:val="0"/>
          <w:sz w:val="24"/>
          <w:highlight w:val="none"/>
        </w:rPr>
        <w:t>（页码）</w:t>
      </w:r>
    </w:p>
    <w:p w14:paraId="4C295607">
      <w:pPr>
        <w:spacing w:line="360" w:lineRule="auto"/>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w:t>
      </w:r>
      <w:r>
        <w:rPr>
          <w:rFonts w:hint="eastAsia" w:ascii="仿宋" w:hAnsi="仿宋" w:eastAsia="仿宋" w:cs="仿宋_GB2312"/>
          <w:b/>
          <w:bCs/>
          <w:color w:val="auto"/>
          <w:sz w:val="24"/>
          <w:highlight w:val="none"/>
          <w:lang w:eastAsia="zh-CN"/>
        </w:rPr>
        <w:t>遴选响应人</w:t>
      </w:r>
      <w:r>
        <w:rPr>
          <w:rFonts w:hint="eastAsia" w:ascii="仿宋" w:hAnsi="仿宋" w:eastAsia="仿宋" w:cs="仿宋_GB2312"/>
          <w:b/>
          <w:bCs/>
          <w:color w:val="auto"/>
          <w:sz w:val="24"/>
          <w:highlight w:val="none"/>
        </w:rPr>
        <w:t>可根据自身情况进一步细化。</w:t>
      </w:r>
    </w:p>
    <w:p w14:paraId="42615BA6">
      <w:pPr>
        <w:spacing w:line="360" w:lineRule="auto"/>
        <w:jc w:val="center"/>
        <w:rPr>
          <w:rFonts w:ascii="仿宋" w:hAnsi="仿宋" w:eastAsia="仿宋"/>
          <w:color w:val="auto"/>
          <w:spacing w:val="6"/>
          <w:sz w:val="32"/>
          <w:szCs w:val="32"/>
          <w:highlight w:val="none"/>
        </w:rPr>
      </w:pPr>
      <w:r>
        <w:rPr>
          <w:color w:val="auto"/>
          <w:highlight w:val="none"/>
        </w:rPr>
        <w:br w:type="page"/>
      </w:r>
      <w:r>
        <w:rPr>
          <w:rFonts w:hint="eastAsia" w:ascii="仿宋" w:hAnsi="仿宋" w:eastAsia="仿宋"/>
          <w:b/>
          <w:bCs/>
          <w:color w:val="auto"/>
          <w:spacing w:val="6"/>
          <w:sz w:val="32"/>
          <w:szCs w:val="32"/>
          <w:highlight w:val="none"/>
        </w:rPr>
        <w:t>一、评分对应表</w:t>
      </w:r>
    </w:p>
    <w:tbl>
      <w:tblPr>
        <w:tblStyle w:val="20"/>
        <w:tblW w:w="88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92"/>
        <w:gridCol w:w="2163"/>
        <w:gridCol w:w="1500"/>
        <w:gridCol w:w="1500"/>
      </w:tblGrid>
      <w:tr w14:paraId="112D1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92" w:type="dxa"/>
            <w:tcBorders>
              <w:top w:val="single" w:color="auto" w:sz="4" w:space="0"/>
              <w:left w:val="single" w:color="auto" w:sz="4" w:space="0"/>
              <w:bottom w:val="single" w:color="auto" w:sz="4" w:space="0"/>
              <w:right w:val="single" w:color="auto" w:sz="4" w:space="0"/>
            </w:tcBorders>
            <w:noWrap w:val="0"/>
            <w:vAlign w:val="center"/>
          </w:tcPr>
          <w:p w14:paraId="40DCC7CE">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30"/>
                <w:szCs w:val="30"/>
                <w:highlight w:val="none"/>
              </w:rPr>
              <w:t xml:space="preserve"> </w:t>
            </w:r>
            <w:r>
              <w:rPr>
                <w:rFonts w:hint="eastAsia" w:ascii="仿宋" w:hAnsi="仿宋" w:eastAsia="仿宋"/>
                <w:color w:val="auto"/>
                <w:sz w:val="24"/>
                <w:highlight w:val="none"/>
              </w:rPr>
              <w:t>评分项目</w:t>
            </w:r>
          </w:p>
        </w:tc>
        <w:tc>
          <w:tcPr>
            <w:tcW w:w="2163" w:type="dxa"/>
            <w:tcBorders>
              <w:top w:val="single" w:color="auto" w:sz="4" w:space="0"/>
              <w:left w:val="single" w:color="auto" w:sz="4" w:space="0"/>
              <w:bottom w:val="single" w:color="auto" w:sz="4" w:space="0"/>
              <w:right w:val="single" w:color="auto" w:sz="4" w:space="0"/>
            </w:tcBorders>
            <w:noWrap w:val="0"/>
            <w:vAlign w:val="center"/>
          </w:tcPr>
          <w:p w14:paraId="1D5875FA">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lang w:eastAsia="zh-CN"/>
              </w:rPr>
              <w:t>申报文件</w:t>
            </w:r>
            <w:r>
              <w:rPr>
                <w:rFonts w:hint="eastAsia" w:ascii="仿宋" w:hAnsi="仿宋" w:eastAsia="仿宋"/>
                <w:color w:val="auto"/>
                <w:sz w:val="24"/>
                <w:highlight w:val="none"/>
              </w:rPr>
              <w:t>对应资料</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578972C">
            <w:pPr>
              <w:snapToGrid w:val="0"/>
              <w:spacing w:before="120" w:beforeLines="50"/>
              <w:jc w:val="center"/>
              <w:rPr>
                <w:rFonts w:ascii="仿宋" w:hAnsi="仿宋" w:eastAsia="仿宋"/>
                <w:color w:val="auto"/>
                <w:sz w:val="24"/>
                <w:highlight w:val="none"/>
              </w:rPr>
            </w:pPr>
            <w:r>
              <w:rPr>
                <w:rFonts w:hint="eastAsia" w:ascii="仿宋" w:hAnsi="仿宋" w:eastAsia="仿宋"/>
                <w:color w:val="auto"/>
                <w:sz w:val="24"/>
                <w:highlight w:val="none"/>
                <w:lang w:eastAsia="zh-CN"/>
              </w:rPr>
              <w:t>申报文件</w:t>
            </w:r>
            <w:r>
              <w:rPr>
                <w:rFonts w:hint="eastAsia" w:ascii="仿宋" w:hAnsi="仿宋" w:eastAsia="仿宋"/>
                <w:color w:val="auto"/>
                <w:sz w:val="24"/>
                <w:highlight w:val="none"/>
              </w:rPr>
              <w:t>页码</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FB42B5D">
            <w:pPr>
              <w:snapToGrid w:val="0"/>
              <w:spacing w:before="120" w:beforeLines="50"/>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自评分</w:t>
            </w:r>
          </w:p>
        </w:tc>
      </w:tr>
      <w:tr w14:paraId="604A3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92" w:type="dxa"/>
            <w:tcBorders>
              <w:top w:val="single" w:color="auto" w:sz="4" w:space="0"/>
              <w:left w:val="single" w:color="auto" w:sz="4" w:space="0"/>
              <w:bottom w:val="single" w:color="auto" w:sz="4" w:space="0"/>
              <w:right w:val="single" w:color="auto" w:sz="4" w:space="0"/>
            </w:tcBorders>
            <w:noWrap w:val="0"/>
            <w:vAlign w:val="top"/>
          </w:tcPr>
          <w:p w14:paraId="0A92035B">
            <w:pPr>
              <w:snapToGrid w:val="0"/>
              <w:rPr>
                <w:rFonts w:ascii="仿宋" w:hAnsi="仿宋" w:eastAsia="仿宋"/>
                <w:color w:val="auto"/>
                <w:sz w:val="24"/>
                <w:highlight w:val="none"/>
              </w:rPr>
            </w:pPr>
            <w:r>
              <w:rPr>
                <w:rFonts w:hint="eastAsia" w:ascii="仿宋" w:hAnsi="仿宋" w:eastAsia="仿宋"/>
                <w:color w:val="auto"/>
                <w:sz w:val="24"/>
                <w:highlight w:val="none"/>
              </w:rPr>
              <w:t>对应第四部分评分办法及评分标准（报价除外）</w:t>
            </w:r>
          </w:p>
        </w:tc>
        <w:tc>
          <w:tcPr>
            <w:tcW w:w="2163" w:type="dxa"/>
            <w:tcBorders>
              <w:top w:val="single" w:color="auto" w:sz="4" w:space="0"/>
              <w:left w:val="single" w:color="auto" w:sz="4" w:space="0"/>
              <w:bottom w:val="single" w:color="auto" w:sz="4" w:space="0"/>
              <w:right w:val="single" w:color="auto" w:sz="4" w:space="0"/>
            </w:tcBorders>
            <w:noWrap w:val="0"/>
            <w:vAlign w:val="top"/>
          </w:tcPr>
          <w:p w14:paraId="42C87EB7">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3DF1B00D">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5C5BF760">
            <w:pPr>
              <w:snapToGrid w:val="0"/>
              <w:spacing w:before="120" w:beforeLines="50"/>
              <w:rPr>
                <w:rFonts w:ascii="仿宋" w:hAnsi="仿宋" w:eastAsia="仿宋"/>
                <w:color w:val="auto"/>
                <w:sz w:val="24"/>
                <w:highlight w:val="none"/>
              </w:rPr>
            </w:pPr>
          </w:p>
        </w:tc>
      </w:tr>
      <w:tr w14:paraId="03B7D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92" w:type="dxa"/>
            <w:tcBorders>
              <w:top w:val="single" w:color="auto" w:sz="4" w:space="0"/>
              <w:left w:val="single" w:color="auto" w:sz="4" w:space="0"/>
              <w:bottom w:val="single" w:color="auto" w:sz="4" w:space="0"/>
              <w:right w:val="single" w:color="auto" w:sz="4" w:space="0"/>
            </w:tcBorders>
            <w:noWrap w:val="0"/>
            <w:vAlign w:val="center"/>
          </w:tcPr>
          <w:p w14:paraId="03D79E2E">
            <w:pPr>
              <w:snapToGrid w:val="0"/>
              <w:rPr>
                <w:rFonts w:ascii="仿宋" w:hAnsi="仿宋" w:eastAsia="仿宋"/>
                <w:color w:val="auto"/>
                <w:sz w:val="24"/>
                <w:highlight w:val="none"/>
              </w:rPr>
            </w:pPr>
            <w:r>
              <w:rPr>
                <w:rFonts w:hint="eastAsia" w:ascii="仿宋" w:hAnsi="仿宋" w:eastAsia="仿宋"/>
                <w:color w:val="auto"/>
                <w:sz w:val="24"/>
                <w:highlight w:val="none"/>
              </w:rPr>
              <w:t>……</w:t>
            </w:r>
          </w:p>
        </w:tc>
        <w:tc>
          <w:tcPr>
            <w:tcW w:w="2163" w:type="dxa"/>
            <w:tcBorders>
              <w:top w:val="single" w:color="auto" w:sz="4" w:space="0"/>
              <w:left w:val="single" w:color="auto" w:sz="4" w:space="0"/>
              <w:bottom w:val="single" w:color="auto" w:sz="4" w:space="0"/>
              <w:right w:val="single" w:color="auto" w:sz="4" w:space="0"/>
            </w:tcBorders>
            <w:noWrap w:val="0"/>
            <w:vAlign w:val="top"/>
          </w:tcPr>
          <w:p w14:paraId="662D02A7">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5AC8DA4D">
            <w:pPr>
              <w:snapToGrid w:val="0"/>
              <w:spacing w:before="120" w:beforeLines="50"/>
              <w:ind w:left="43"/>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00B03A29">
            <w:pPr>
              <w:snapToGrid w:val="0"/>
              <w:spacing w:before="120" w:beforeLines="50"/>
              <w:ind w:left="43"/>
              <w:rPr>
                <w:rFonts w:ascii="仿宋" w:hAnsi="仿宋" w:eastAsia="仿宋"/>
                <w:color w:val="auto"/>
                <w:sz w:val="24"/>
                <w:highlight w:val="none"/>
              </w:rPr>
            </w:pPr>
          </w:p>
        </w:tc>
      </w:tr>
      <w:tr w14:paraId="6984A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92" w:type="dxa"/>
            <w:tcBorders>
              <w:top w:val="single" w:color="auto" w:sz="4" w:space="0"/>
              <w:left w:val="single" w:color="auto" w:sz="4" w:space="0"/>
              <w:bottom w:val="single" w:color="auto" w:sz="4" w:space="0"/>
              <w:right w:val="single" w:color="auto" w:sz="4" w:space="0"/>
            </w:tcBorders>
            <w:noWrap w:val="0"/>
            <w:vAlign w:val="top"/>
          </w:tcPr>
          <w:p w14:paraId="26755D01">
            <w:pPr>
              <w:snapToGrid w:val="0"/>
              <w:rPr>
                <w:rFonts w:ascii="仿宋" w:hAnsi="仿宋" w:eastAsia="仿宋"/>
                <w:color w:val="auto"/>
                <w:sz w:val="24"/>
                <w:highlight w:val="none"/>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38B46614">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02BA6C7F">
            <w:pPr>
              <w:snapToGrid w:val="0"/>
              <w:spacing w:before="120" w:beforeLines="50"/>
              <w:ind w:left="43"/>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3C4E460E">
            <w:pPr>
              <w:snapToGrid w:val="0"/>
              <w:spacing w:before="120" w:beforeLines="50"/>
              <w:ind w:left="43"/>
              <w:rPr>
                <w:rFonts w:ascii="仿宋" w:hAnsi="仿宋" w:eastAsia="仿宋"/>
                <w:color w:val="auto"/>
                <w:sz w:val="24"/>
                <w:highlight w:val="none"/>
              </w:rPr>
            </w:pPr>
          </w:p>
        </w:tc>
      </w:tr>
      <w:tr w14:paraId="48612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92" w:type="dxa"/>
            <w:tcBorders>
              <w:top w:val="single" w:color="auto" w:sz="4" w:space="0"/>
              <w:left w:val="single" w:color="auto" w:sz="4" w:space="0"/>
              <w:bottom w:val="single" w:color="auto" w:sz="4" w:space="0"/>
              <w:right w:val="single" w:color="auto" w:sz="4" w:space="0"/>
            </w:tcBorders>
            <w:noWrap w:val="0"/>
            <w:vAlign w:val="top"/>
          </w:tcPr>
          <w:p w14:paraId="05D5CE0F">
            <w:pPr>
              <w:snapToGrid w:val="0"/>
              <w:rPr>
                <w:rFonts w:ascii="仿宋" w:hAnsi="仿宋" w:eastAsia="仿宋"/>
                <w:color w:val="auto"/>
                <w:sz w:val="24"/>
                <w:highlight w:val="none"/>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1A29A46D">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702F263D">
            <w:pPr>
              <w:snapToGrid w:val="0"/>
              <w:spacing w:before="120" w:beforeLines="50"/>
              <w:ind w:left="43"/>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7BA2F83C">
            <w:pPr>
              <w:snapToGrid w:val="0"/>
              <w:spacing w:before="120" w:beforeLines="50"/>
              <w:ind w:left="43"/>
              <w:rPr>
                <w:rFonts w:ascii="仿宋" w:hAnsi="仿宋" w:eastAsia="仿宋"/>
                <w:color w:val="auto"/>
                <w:sz w:val="24"/>
                <w:highlight w:val="none"/>
              </w:rPr>
            </w:pPr>
          </w:p>
        </w:tc>
      </w:tr>
      <w:tr w14:paraId="6B98E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92" w:type="dxa"/>
            <w:tcBorders>
              <w:top w:val="single" w:color="auto" w:sz="4" w:space="0"/>
              <w:left w:val="single" w:color="auto" w:sz="4" w:space="0"/>
              <w:bottom w:val="single" w:color="auto" w:sz="4" w:space="0"/>
              <w:right w:val="single" w:color="auto" w:sz="4" w:space="0"/>
            </w:tcBorders>
            <w:noWrap w:val="0"/>
            <w:vAlign w:val="top"/>
          </w:tcPr>
          <w:p w14:paraId="70F11BB6">
            <w:pPr>
              <w:snapToGrid w:val="0"/>
              <w:rPr>
                <w:rFonts w:ascii="仿宋" w:hAnsi="仿宋" w:eastAsia="仿宋"/>
                <w:color w:val="auto"/>
                <w:sz w:val="24"/>
                <w:highlight w:val="none"/>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7F9DA4AA">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4F3A416F">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6B46DC04">
            <w:pPr>
              <w:snapToGrid w:val="0"/>
              <w:spacing w:before="120" w:beforeLines="50"/>
              <w:rPr>
                <w:rFonts w:ascii="仿宋" w:hAnsi="仿宋" w:eastAsia="仿宋"/>
                <w:color w:val="auto"/>
                <w:sz w:val="24"/>
                <w:highlight w:val="none"/>
              </w:rPr>
            </w:pPr>
          </w:p>
        </w:tc>
      </w:tr>
      <w:tr w14:paraId="66E1D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92" w:type="dxa"/>
            <w:tcBorders>
              <w:top w:val="single" w:color="auto" w:sz="4" w:space="0"/>
              <w:left w:val="single" w:color="auto" w:sz="4" w:space="0"/>
              <w:bottom w:val="single" w:color="auto" w:sz="4" w:space="0"/>
              <w:right w:val="single" w:color="auto" w:sz="4" w:space="0"/>
            </w:tcBorders>
            <w:noWrap w:val="0"/>
            <w:vAlign w:val="top"/>
          </w:tcPr>
          <w:p w14:paraId="295E7180">
            <w:pPr>
              <w:snapToGrid w:val="0"/>
              <w:rPr>
                <w:rFonts w:ascii="仿宋" w:hAnsi="仿宋" w:eastAsia="仿宋"/>
                <w:color w:val="auto"/>
                <w:sz w:val="24"/>
                <w:highlight w:val="none"/>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017FA22E">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78C29FC2">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3FB413BD">
            <w:pPr>
              <w:snapToGrid w:val="0"/>
              <w:spacing w:before="120" w:beforeLines="50"/>
              <w:rPr>
                <w:rFonts w:ascii="仿宋" w:hAnsi="仿宋" w:eastAsia="仿宋"/>
                <w:color w:val="auto"/>
                <w:sz w:val="24"/>
                <w:highlight w:val="none"/>
              </w:rPr>
            </w:pPr>
          </w:p>
        </w:tc>
      </w:tr>
      <w:tr w14:paraId="3C54B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92" w:type="dxa"/>
            <w:tcBorders>
              <w:top w:val="single" w:color="auto" w:sz="4" w:space="0"/>
              <w:left w:val="single" w:color="auto" w:sz="4" w:space="0"/>
              <w:bottom w:val="single" w:color="auto" w:sz="4" w:space="0"/>
              <w:right w:val="single" w:color="auto" w:sz="4" w:space="0"/>
            </w:tcBorders>
            <w:noWrap w:val="0"/>
            <w:vAlign w:val="top"/>
          </w:tcPr>
          <w:p w14:paraId="732CBB37">
            <w:pPr>
              <w:snapToGrid w:val="0"/>
              <w:rPr>
                <w:rFonts w:ascii="仿宋" w:hAnsi="仿宋" w:eastAsia="仿宋"/>
                <w:color w:val="auto"/>
                <w:sz w:val="24"/>
                <w:highlight w:val="none"/>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20E3076C">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5075E2FE">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0A347147">
            <w:pPr>
              <w:snapToGrid w:val="0"/>
              <w:spacing w:before="120" w:beforeLines="50"/>
              <w:rPr>
                <w:rFonts w:ascii="仿宋" w:hAnsi="仿宋" w:eastAsia="仿宋"/>
                <w:color w:val="auto"/>
                <w:sz w:val="24"/>
                <w:highlight w:val="none"/>
              </w:rPr>
            </w:pPr>
          </w:p>
        </w:tc>
      </w:tr>
      <w:tr w14:paraId="3BA99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92" w:type="dxa"/>
            <w:tcBorders>
              <w:top w:val="single" w:color="auto" w:sz="4" w:space="0"/>
              <w:left w:val="single" w:color="auto" w:sz="4" w:space="0"/>
              <w:bottom w:val="single" w:color="auto" w:sz="4" w:space="0"/>
              <w:right w:val="single" w:color="auto" w:sz="4" w:space="0"/>
            </w:tcBorders>
            <w:noWrap w:val="0"/>
            <w:vAlign w:val="top"/>
          </w:tcPr>
          <w:p w14:paraId="1AC7BBC4">
            <w:pPr>
              <w:snapToGrid w:val="0"/>
              <w:rPr>
                <w:rFonts w:ascii="仿宋" w:hAnsi="仿宋" w:eastAsia="仿宋"/>
                <w:color w:val="auto"/>
                <w:sz w:val="24"/>
                <w:highlight w:val="none"/>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5E062511">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3067C17E">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7D687A48">
            <w:pPr>
              <w:snapToGrid w:val="0"/>
              <w:spacing w:before="120" w:beforeLines="50"/>
              <w:rPr>
                <w:rFonts w:ascii="仿宋" w:hAnsi="仿宋" w:eastAsia="仿宋"/>
                <w:color w:val="auto"/>
                <w:sz w:val="24"/>
                <w:highlight w:val="none"/>
              </w:rPr>
            </w:pPr>
          </w:p>
        </w:tc>
      </w:tr>
      <w:tr w14:paraId="38DE1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92" w:type="dxa"/>
            <w:tcBorders>
              <w:top w:val="single" w:color="auto" w:sz="4" w:space="0"/>
              <w:left w:val="single" w:color="auto" w:sz="4" w:space="0"/>
              <w:bottom w:val="single" w:color="auto" w:sz="4" w:space="0"/>
              <w:right w:val="single" w:color="auto" w:sz="4" w:space="0"/>
            </w:tcBorders>
            <w:noWrap w:val="0"/>
            <w:vAlign w:val="top"/>
          </w:tcPr>
          <w:p w14:paraId="6936D8AB">
            <w:pPr>
              <w:snapToGrid w:val="0"/>
              <w:rPr>
                <w:rFonts w:ascii="仿宋" w:hAnsi="仿宋" w:eastAsia="仿宋"/>
                <w:color w:val="auto"/>
                <w:sz w:val="24"/>
                <w:highlight w:val="none"/>
              </w:rPr>
            </w:pPr>
          </w:p>
        </w:tc>
        <w:tc>
          <w:tcPr>
            <w:tcW w:w="2163" w:type="dxa"/>
            <w:tcBorders>
              <w:top w:val="single" w:color="auto" w:sz="4" w:space="0"/>
              <w:left w:val="single" w:color="auto" w:sz="4" w:space="0"/>
              <w:bottom w:val="single" w:color="auto" w:sz="4" w:space="0"/>
              <w:right w:val="single" w:color="auto" w:sz="4" w:space="0"/>
            </w:tcBorders>
            <w:noWrap w:val="0"/>
            <w:vAlign w:val="top"/>
          </w:tcPr>
          <w:p w14:paraId="6E638012">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1010F2BC">
            <w:pPr>
              <w:snapToGrid w:val="0"/>
              <w:spacing w:before="120" w:beforeLines="50"/>
              <w:rPr>
                <w:rFonts w:ascii="仿宋" w:hAnsi="仿宋" w:eastAsia="仿宋"/>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top"/>
          </w:tcPr>
          <w:p w14:paraId="47E3AFE9">
            <w:pPr>
              <w:snapToGrid w:val="0"/>
              <w:spacing w:before="120" w:beforeLines="50"/>
              <w:rPr>
                <w:rFonts w:ascii="仿宋" w:hAnsi="仿宋" w:eastAsia="仿宋"/>
                <w:color w:val="auto"/>
                <w:sz w:val="24"/>
                <w:highlight w:val="none"/>
              </w:rPr>
            </w:pPr>
          </w:p>
        </w:tc>
      </w:tr>
    </w:tbl>
    <w:p w14:paraId="1C91E30C">
      <w:pPr>
        <w:snapToGrid w:val="0"/>
        <w:spacing w:before="120" w:beforeLines="5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注：如果本项目评标办法采用综合评审法，需在商务技术文件中提供此评分对应表。</w:t>
      </w:r>
      <w:r>
        <w:rPr>
          <w:rFonts w:ascii="仿宋" w:hAnsi="仿宋" w:eastAsia="仿宋" w:cs="仿宋_GB2312"/>
          <w:b/>
          <w:color w:val="auto"/>
          <w:sz w:val="24"/>
          <w:highlight w:val="none"/>
        </w:rPr>
        <w:t xml:space="preserve"> </w:t>
      </w:r>
    </w:p>
    <w:p w14:paraId="41DD753E">
      <w:pPr>
        <w:snapToGrid w:val="0"/>
        <w:spacing w:before="120" w:beforeLines="50"/>
        <w:rPr>
          <w:rFonts w:ascii="仿宋" w:hAnsi="仿宋" w:eastAsia="仿宋"/>
          <w:color w:val="auto"/>
          <w:sz w:val="30"/>
          <w:szCs w:val="30"/>
          <w:highlight w:val="none"/>
        </w:rPr>
      </w:pPr>
    </w:p>
    <w:p w14:paraId="52496ED6">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eastAsia="zh-CN"/>
        </w:rPr>
        <w:t>遴选响应人</w:t>
      </w:r>
      <w:r>
        <w:rPr>
          <w:rFonts w:hint="eastAsia" w:ascii="仿宋" w:hAnsi="仿宋" w:eastAsia="仿宋" w:cs="仿宋_GB2312"/>
          <w:color w:val="auto"/>
          <w:kern w:val="0"/>
          <w:sz w:val="24"/>
          <w:highlight w:val="none"/>
        </w:rPr>
        <w:t>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6B3B77F1">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75A2793D">
      <w:pPr>
        <w:spacing w:line="360" w:lineRule="auto"/>
        <w:jc w:val="center"/>
        <w:rPr>
          <w:rFonts w:hint="eastAsia" w:ascii="仿宋" w:hAnsi="仿宋" w:eastAsia="仿宋"/>
          <w:b/>
          <w:bCs/>
          <w:color w:val="auto"/>
          <w:spacing w:val="6"/>
          <w:sz w:val="32"/>
          <w:szCs w:val="32"/>
          <w:highlight w:val="none"/>
        </w:rPr>
      </w:pPr>
    </w:p>
    <w:p w14:paraId="6CF4D0A5">
      <w:pPr>
        <w:spacing w:line="360" w:lineRule="auto"/>
        <w:jc w:val="center"/>
        <w:rPr>
          <w:rFonts w:hint="eastAsia" w:ascii="仿宋" w:hAnsi="仿宋" w:eastAsia="仿宋"/>
          <w:b/>
          <w:bCs/>
          <w:color w:val="auto"/>
          <w:spacing w:val="6"/>
          <w:sz w:val="32"/>
          <w:szCs w:val="32"/>
          <w:highlight w:val="none"/>
        </w:rPr>
      </w:pPr>
    </w:p>
    <w:p w14:paraId="4A1BEED5">
      <w:pPr>
        <w:spacing w:line="360" w:lineRule="auto"/>
        <w:jc w:val="center"/>
        <w:rPr>
          <w:rFonts w:hint="eastAsia" w:ascii="仿宋" w:hAnsi="仿宋" w:eastAsia="仿宋"/>
          <w:b/>
          <w:bCs/>
          <w:color w:val="auto"/>
          <w:spacing w:val="6"/>
          <w:sz w:val="32"/>
          <w:szCs w:val="32"/>
          <w:highlight w:val="none"/>
        </w:rPr>
      </w:pPr>
    </w:p>
    <w:p w14:paraId="03D87123">
      <w:pPr>
        <w:spacing w:line="360" w:lineRule="auto"/>
        <w:jc w:val="center"/>
        <w:rPr>
          <w:rFonts w:hint="eastAsia" w:ascii="仿宋" w:hAnsi="仿宋" w:eastAsia="仿宋"/>
          <w:b/>
          <w:bCs/>
          <w:color w:val="auto"/>
          <w:spacing w:val="6"/>
          <w:sz w:val="32"/>
          <w:szCs w:val="32"/>
          <w:highlight w:val="none"/>
        </w:rPr>
      </w:pPr>
    </w:p>
    <w:p w14:paraId="3FADB1F7">
      <w:pPr>
        <w:spacing w:line="360" w:lineRule="auto"/>
        <w:jc w:val="center"/>
        <w:rPr>
          <w:rFonts w:hint="eastAsia" w:ascii="仿宋" w:hAnsi="仿宋" w:eastAsia="仿宋"/>
          <w:b/>
          <w:bCs/>
          <w:color w:val="auto"/>
          <w:spacing w:val="6"/>
          <w:sz w:val="32"/>
          <w:szCs w:val="32"/>
          <w:highlight w:val="none"/>
        </w:rPr>
      </w:pPr>
      <w:r>
        <w:rPr>
          <w:rFonts w:hint="eastAsia" w:ascii="仿宋" w:hAnsi="仿宋" w:eastAsia="仿宋"/>
          <w:b/>
          <w:bCs/>
          <w:color w:val="auto"/>
          <w:spacing w:val="6"/>
          <w:sz w:val="32"/>
          <w:szCs w:val="32"/>
          <w:highlight w:val="none"/>
        </w:rPr>
        <w:t>二、技术响应表</w:t>
      </w:r>
    </w:p>
    <w:p w14:paraId="5F380E6F">
      <w:pPr>
        <w:rPr>
          <w:rFonts w:ascii="Arial" w:hAnsi="Arial" w:eastAsia="黑体" w:cs="Arial"/>
          <w:snapToGrid w:val="0"/>
          <w:color w:val="auto"/>
          <w:kern w:val="0"/>
          <w:szCs w:val="21"/>
          <w:highlight w:val="none"/>
        </w:rPr>
      </w:pPr>
    </w:p>
    <w:tbl>
      <w:tblPr>
        <w:tblStyle w:val="2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05988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525E1A6D">
            <w:pPr>
              <w:snapToGrid w:val="0"/>
              <w:spacing w:before="50" w:after="50"/>
              <w:jc w:val="center"/>
              <w:rPr>
                <w:rFonts w:ascii="仿宋" w:hAnsi="仿宋" w:eastAsia="仿宋"/>
                <w:color w:val="auto"/>
                <w:sz w:val="24"/>
                <w:highlight w:val="none"/>
              </w:rPr>
            </w:pPr>
            <w:bookmarkStart w:id="405" w:name="_Toc64369808"/>
            <w:r>
              <w:rPr>
                <w:rFonts w:hint="eastAsia" w:ascii="仿宋" w:hAnsi="仿宋" w:eastAsia="仿宋"/>
                <w:color w:val="auto"/>
                <w:sz w:val="24"/>
                <w:highlight w:val="none"/>
              </w:rPr>
              <w:t>序号</w:t>
            </w:r>
            <w:bookmarkEnd w:id="405"/>
          </w:p>
        </w:tc>
        <w:tc>
          <w:tcPr>
            <w:tcW w:w="1711" w:type="dxa"/>
            <w:tcBorders>
              <w:top w:val="single" w:color="auto" w:sz="4" w:space="0"/>
              <w:left w:val="single" w:color="auto" w:sz="4" w:space="0"/>
              <w:bottom w:val="single" w:color="auto" w:sz="4" w:space="0"/>
              <w:right w:val="single" w:color="auto" w:sz="4" w:space="0"/>
            </w:tcBorders>
            <w:noWrap w:val="0"/>
            <w:vAlign w:val="center"/>
          </w:tcPr>
          <w:p w14:paraId="4480BAC5">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73D1DB10">
            <w:pPr>
              <w:snapToGrid w:val="0"/>
              <w:spacing w:before="50" w:after="50"/>
              <w:jc w:val="center"/>
              <w:rPr>
                <w:rFonts w:hint="eastAsia" w:ascii="仿宋" w:hAnsi="仿宋" w:eastAsia="仿宋"/>
                <w:color w:val="auto"/>
                <w:sz w:val="24"/>
                <w:highlight w:val="none"/>
                <w:lang w:eastAsia="zh-CN"/>
              </w:rPr>
            </w:pPr>
            <w:bookmarkStart w:id="406" w:name="_Toc64369809"/>
            <w:bookmarkStart w:id="407" w:name="_Toc64369810"/>
            <w:r>
              <w:rPr>
                <w:rFonts w:hint="eastAsia" w:ascii="仿宋" w:hAnsi="仿宋" w:eastAsia="仿宋"/>
                <w:color w:val="auto"/>
                <w:sz w:val="24"/>
                <w:highlight w:val="none"/>
                <w:lang w:eastAsia="zh-CN"/>
              </w:rPr>
              <w:t>遴选文件</w:t>
            </w:r>
          </w:p>
          <w:p w14:paraId="171C68DC">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要求</w:t>
            </w:r>
            <w:bookmarkEnd w:id="406"/>
          </w:p>
        </w:tc>
        <w:tc>
          <w:tcPr>
            <w:tcW w:w="2552" w:type="dxa"/>
            <w:tcBorders>
              <w:top w:val="single" w:color="auto" w:sz="4" w:space="0"/>
              <w:left w:val="single" w:color="auto" w:sz="4" w:space="0"/>
              <w:bottom w:val="single" w:color="auto" w:sz="4" w:space="0"/>
              <w:right w:val="single" w:color="auto" w:sz="4" w:space="0"/>
            </w:tcBorders>
            <w:noWrap w:val="0"/>
            <w:vAlign w:val="center"/>
          </w:tcPr>
          <w:p w14:paraId="18BFCCB9">
            <w:pPr>
              <w:snapToGrid w:val="0"/>
              <w:spacing w:before="50" w:after="50"/>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申报文件</w:t>
            </w:r>
          </w:p>
          <w:p w14:paraId="545C3ED6">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响应</w:t>
            </w:r>
            <w:bookmarkEnd w:id="407"/>
          </w:p>
        </w:tc>
        <w:tc>
          <w:tcPr>
            <w:tcW w:w="1275" w:type="dxa"/>
            <w:tcBorders>
              <w:top w:val="single" w:color="auto" w:sz="4" w:space="0"/>
              <w:left w:val="single" w:color="auto" w:sz="4" w:space="0"/>
              <w:bottom w:val="single" w:color="auto" w:sz="4" w:space="0"/>
              <w:right w:val="single" w:color="auto" w:sz="4" w:space="0"/>
            </w:tcBorders>
            <w:noWrap w:val="0"/>
            <w:vAlign w:val="center"/>
          </w:tcPr>
          <w:p w14:paraId="0A8AFCDB">
            <w:pPr>
              <w:snapToGrid w:val="0"/>
              <w:spacing w:before="50" w:after="50"/>
              <w:jc w:val="center"/>
              <w:rPr>
                <w:rFonts w:ascii="仿宋" w:hAnsi="仿宋" w:eastAsia="仿宋"/>
                <w:color w:val="auto"/>
                <w:sz w:val="24"/>
                <w:highlight w:val="none"/>
              </w:rPr>
            </w:pPr>
            <w:bookmarkStart w:id="408" w:name="_Toc64369811"/>
            <w:r>
              <w:rPr>
                <w:rFonts w:hint="eastAsia" w:ascii="仿宋" w:hAnsi="仿宋" w:eastAsia="仿宋"/>
                <w:color w:val="auto"/>
                <w:sz w:val="24"/>
                <w:highlight w:val="none"/>
              </w:rPr>
              <w:t>偏离</w:t>
            </w:r>
          </w:p>
          <w:p w14:paraId="30CCA76D">
            <w:pPr>
              <w:snapToGrid w:val="0"/>
              <w:spacing w:before="50" w:after="50"/>
              <w:jc w:val="center"/>
              <w:rPr>
                <w:rFonts w:ascii="仿宋" w:hAnsi="仿宋" w:eastAsia="仿宋"/>
                <w:color w:val="auto"/>
                <w:sz w:val="24"/>
                <w:highlight w:val="none"/>
              </w:rPr>
            </w:pPr>
            <w:r>
              <w:rPr>
                <w:rFonts w:hint="eastAsia" w:ascii="仿宋" w:hAnsi="仿宋" w:eastAsia="仿宋"/>
                <w:color w:val="auto"/>
                <w:sz w:val="24"/>
                <w:highlight w:val="none"/>
              </w:rPr>
              <w:t>情况</w:t>
            </w:r>
            <w:bookmarkEnd w:id="408"/>
          </w:p>
        </w:tc>
      </w:tr>
      <w:tr w14:paraId="0C3B7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3781992D">
            <w:pPr>
              <w:snapToGrid w:val="0"/>
              <w:spacing w:before="50" w:after="50"/>
              <w:jc w:val="center"/>
              <w:rPr>
                <w:rFonts w:ascii="仿宋" w:hAnsi="仿宋" w:eastAsia="仿宋"/>
                <w:color w:val="auto"/>
                <w:sz w:val="24"/>
                <w:highlight w:val="none"/>
              </w:rPr>
            </w:pPr>
            <w:bookmarkStart w:id="409" w:name="_Toc64369812"/>
            <w:r>
              <w:rPr>
                <w:rFonts w:hint="eastAsia" w:ascii="仿宋" w:hAnsi="仿宋" w:eastAsia="仿宋"/>
                <w:color w:val="auto"/>
                <w:sz w:val="24"/>
                <w:highlight w:val="none"/>
              </w:rPr>
              <w:t>1</w:t>
            </w:r>
            <w:bookmarkEnd w:id="409"/>
          </w:p>
        </w:tc>
        <w:tc>
          <w:tcPr>
            <w:tcW w:w="1711" w:type="dxa"/>
            <w:tcBorders>
              <w:top w:val="single" w:color="auto" w:sz="4" w:space="0"/>
              <w:left w:val="single" w:color="auto" w:sz="4" w:space="0"/>
              <w:bottom w:val="single" w:color="auto" w:sz="4" w:space="0"/>
              <w:right w:val="single" w:color="auto" w:sz="4" w:space="0"/>
            </w:tcBorders>
            <w:noWrap w:val="0"/>
            <w:vAlign w:val="center"/>
          </w:tcPr>
          <w:p w14:paraId="49354883">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7AAB254">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DD0B46E">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FBE7546">
            <w:pPr>
              <w:snapToGrid w:val="0"/>
              <w:spacing w:before="50" w:after="50"/>
              <w:jc w:val="center"/>
              <w:rPr>
                <w:rFonts w:ascii="仿宋" w:hAnsi="仿宋" w:eastAsia="仿宋"/>
                <w:color w:val="auto"/>
                <w:sz w:val="24"/>
                <w:highlight w:val="none"/>
              </w:rPr>
            </w:pPr>
          </w:p>
        </w:tc>
      </w:tr>
      <w:tr w14:paraId="0E6ED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2EF7CB6C">
            <w:pPr>
              <w:snapToGrid w:val="0"/>
              <w:spacing w:before="50" w:after="50"/>
              <w:jc w:val="center"/>
              <w:rPr>
                <w:rFonts w:ascii="仿宋" w:hAnsi="仿宋" w:eastAsia="仿宋"/>
                <w:color w:val="auto"/>
                <w:sz w:val="24"/>
                <w:highlight w:val="none"/>
              </w:rPr>
            </w:pPr>
            <w:bookmarkStart w:id="410" w:name="_Toc64369813"/>
            <w:r>
              <w:rPr>
                <w:rFonts w:hint="eastAsia" w:ascii="仿宋" w:hAnsi="仿宋" w:eastAsia="仿宋"/>
                <w:color w:val="auto"/>
                <w:sz w:val="24"/>
                <w:highlight w:val="none"/>
              </w:rPr>
              <w:t>2</w:t>
            </w:r>
            <w:bookmarkEnd w:id="410"/>
          </w:p>
        </w:tc>
        <w:tc>
          <w:tcPr>
            <w:tcW w:w="1711" w:type="dxa"/>
            <w:tcBorders>
              <w:top w:val="single" w:color="auto" w:sz="4" w:space="0"/>
              <w:left w:val="single" w:color="auto" w:sz="4" w:space="0"/>
              <w:bottom w:val="single" w:color="auto" w:sz="4" w:space="0"/>
              <w:right w:val="single" w:color="auto" w:sz="4" w:space="0"/>
            </w:tcBorders>
            <w:noWrap w:val="0"/>
            <w:vAlign w:val="center"/>
          </w:tcPr>
          <w:p w14:paraId="73409B42">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048BF67A">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AA2697F">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98EC997">
            <w:pPr>
              <w:snapToGrid w:val="0"/>
              <w:spacing w:before="50" w:after="50"/>
              <w:jc w:val="center"/>
              <w:rPr>
                <w:rFonts w:ascii="仿宋" w:hAnsi="仿宋" w:eastAsia="仿宋"/>
                <w:color w:val="auto"/>
                <w:sz w:val="24"/>
                <w:highlight w:val="none"/>
              </w:rPr>
            </w:pPr>
          </w:p>
        </w:tc>
      </w:tr>
      <w:tr w14:paraId="2FC72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1B5D7406">
            <w:pPr>
              <w:snapToGrid w:val="0"/>
              <w:spacing w:before="50" w:after="50"/>
              <w:jc w:val="center"/>
              <w:rPr>
                <w:rFonts w:ascii="仿宋" w:hAnsi="仿宋" w:eastAsia="仿宋"/>
                <w:color w:val="auto"/>
                <w:sz w:val="24"/>
                <w:highlight w:val="none"/>
              </w:rPr>
            </w:pPr>
            <w:bookmarkStart w:id="411" w:name="_Toc64369814"/>
            <w:r>
              <w:rPr>
                <w:rFonts w:hint="eastAsia" w:ascii="仿宋" w:hAnsi="仿宋" w:eastAsia="仿宋"/>
                <w:color w:val="auto"/>
                <w:sz w:val="24"/>
                <w:highlight w:val="none"/>
              </w:rPr>
              <w:t>…</w:t>
            </w:r>
            <w:bookmarkEnd w:id="411"/>
          </w:p>
        </w:tc>
        <w:tc>
          <w:tcPr>
            <w:tcW w:w="1711" w:type="dxa"/>
            <w:tcBorders>
              <w:top w:val="single" w:color="auto" w:sz="4" w:space="0"/>
              <w:left w:val="single" w:color="auto" w:sz="4" w:space="0"/>
              <w:bottom w:val="single" w:color="auto" w:sz="4" w:space="0"/>
              <w:right w:val="single" w:color="auto" w:sz="4" w:space="0"/>
            </w:tcBorders>
            <w:noWrap w:val="0"/>
            <w:vAlign w:val="center"/>
          </w:tcPr>
          <w:p w14:paraId="7071B57E">
            <w:pPr>
              <w:snapToGrid w:val="0"/>
              <w:spacing w:before="50" w:after="50"/>
              <w:jc w:val="center"/>
              <w:rPr>
                <w:rFonts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58E3FD70">
            <w:pPr>
              <w:snapToGrid w:val="0"/>
              <w:spacing w:before="50" w:after="50"/>
              <w:jc w:val="center"/>
              <w:rPr>
                <w:rFonts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5315777">
            <w:pPr>
              <w:snapToGrid w:val="0"/>
              <w:spacing w:before="50" w:after="50"/>
              <w:jc w:val="center"/>
              <w:rPr>
                <w:rFonts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AAB5CE2">
            <w:pPr>
              <w:snapToGrid w:val="0"/>
              <w:spacing w:before="50" w:after="50"/>
              <w:jc w:val="center"/>
              <w:rPr>
                <w:rFonts w:ascii="仿宋" w:hAnsi="仿宋" w:eastAsia="仿宋"/>
                <w:color w:val="auto"/>
                <w:sz w:val="24"/>
                <w:highlight w:val="none"/>
              </w:rPr>
            </w:pPr>
          </w:p>
        </w:tc>
      </w:tr>
    </w:tbl>
    <w:p w14:paraId="6999DAD9">
      <w:pPr>
        <w:snapToGrid w:val="0"/>
        <w:spacing w:before="120" w:beforeLines="5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应对照</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要求和</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响应情况在“偏离情况”栏注明“正偏离”、“负偏离”或“无偏离”。</w:t>
      </w:r>
    </w:p>
    <w:p w14:paraId="6E75BB53">
      <w:pPr>
        <w:snapToGrid w:val="0"/>
        <w:spacing w:before="120" w:beforeLines="50"/>
        <w:rPr>
          <w:rFonts w:ascii="仿宋" w:hAnsi="仿宋" w:eastAsia="仿宋" w:cs="仿宋_GB2312"/>
          <w:color w:val="auto"/>
          <w:sz w:val="24"/>
          <w:highlight w:val="none"/>
        </w:rPr>
      </w:pPr>
    </w:p>
    <w:p w14:paraId="32746F6A">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eastAsia="zh-CN"/>
        </w:rPr>
        <w:t>遴选响应人</w:t>
      </w:r>
      <w:r>
        <w:rPr>
          <w:rFonts w:hint="eastAsia" w:ascii="仿宋" w:hAnsi="仿宋" w:eastAsia="仿宋" w:cs="仿宋_GB2312"/>
          <w:color w:val="auto"/>
          <w:kern w:val="0"/>
          <w:sz w:val="24"/>
          <w:highlight w:val="none"/>
        </w:rPr>
        <w:t>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184E2358">
      <w:pPr>
        <w:snapToGrid w:val="0"/>
        <w:spacing w:before="50" w:after="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w:t>
      </w:r>
    </w:p>
    <w:p w14:paraId="34FACFF4">
      <w:pPr>
        <w:overflowPunct w:val="0"/>
        <w:adjustRightInd w:val="0"/>
        <w:snapToGrid w:val="0"/>
        <w:spacing w:line="580" w:lineRule="exact"/>
        <w:jc w:val="left"/>
        <w:rPr>
          <w:color w:val="auto"/>
          <w:highlight w:val="none"/>
        </w:rPr>
      </w:pPr>
      <w:r>
        <w:rPr>
          <w:color w:val="auto"/>
          <w:highlight w:val="none"/>
        </w:rPr>
        <w:br w:type="page"/>
      </w:r>
    </w:p>
    <w:p w14:paraId="5224FFA2">
      <w:pPr>
        <w:jc w:val="center"/>
        <w:rPr>
          <w:rFonts w:hint="eastAsia" w:ascii="仿宋" w:hAnsi="仿宋" w:eastAsia="仿宋"/>
          <w:b/>
          <w:bCs/>
          <w:color w:val="auto"/>
          <w:spacing w:val="6"/>
          <w:sz w:val="32"/>
          <w:szCs w:val="32"/>
          <w:highlight w:val="none"/>
        </w:rPr>
      </w:pPr>
      <w:r>
        <w:rPr>
          <w:rFonts w:hint="eastAsia" w:ascii="仿宋" w:hAnsi="仿宋" w:eastAsia="仿宋"/>
          <w:b/>
          <w:bCs/>
          <w:color w:val="auto"/>
          <w:spacing w:val="6"/>
          <w:sz w:val="32"/>
          <w:szCs w:val="32"/>
          <w:highlight w:val="none"/>
        </w:rPr>
        <w:t>三、商务响应表</w:t>
      </w:r>
    </w:p>
    <w:p w14:paraId="1E4D8E8F">
      <w:pPr>
        <w:rPr>
          <w:rFonts w:ascii="Arial" w:hAnsi="Arial" w:eastAsia="黑体" w:cs="Arial"/>
          <w:snapToGrid w:val="0"/>
          <w:color w:val="auto"/>
          <w:kern w:val="0"/>
          <w:szCs w:val="21"/>
          <w:highlight w:val="none"/>
        </w:rPr>
      </w:pPr>
    </w:p>
    <w:tbl>
      <w:tblPr>
        <w:tblStyle w:val="2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5EA18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1"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5D6EF588">
            <w:pPr>
              <w:snapToGrid w:val="0"/>
              <w:spacing w:before="50" w:after="50"/>
              <w:jc w:val="center"/>
              <w:rPr>
                <w:rFonts w:ascii="仿宋" w:hAnsi="仿宋" w:eastAsia="仿宋"/>
                <w:color w:val="auto"/>
                <w:sz w:val="24"/>
                <w:highlight w:val="none"/>
              </w:rPr>
            </w:pPr>
            <w:bookmarkStart w:id="412" w:name="_Toc64369815"/>
            <w:r>
              <w:rPr>
                <w:rFonts w:hint="eastAsia" w:ascii="仿宋" w:hAnsi="仿宋" w:eastAsia="仿宋"/>
                <w:color w:val="auto"/>
                <w:sz w:val="24"/>
                <w:highlight w:val="none"/>
              </w:rPr>
              <w:t>类别</w:t>
            </w:r>
            <w:bookmarkEnd w:id="412"/>
          </w:p>
        </w:tc>
        <w:tc>
          <w:tcPr>
            <w:tcW w:w="3299" w:type="dxa"/>
            <w:tcBorders>
              <w:top w:val="single" w:color="auto" w:sz="4" w:space="0"/>
              <w:left w:val="single" w:color="auto" w:sz="4" w:space="0"/>
              <w:bottom w:val="single" w:color="auto" w:sz="4" w:space="0"/>
              <w:right w:val="single" w:color="auto" w:sz="4" w:space="0"/>
            </w:tcBorders>
            <w:noWrap w:val="0"/>
            <w:vAlign w:val="center"/>
          </w:tcPr>
          <w:p w14:paraId="7FF54352">
            <w:pPr>
              <w:snapToGrid w:val="0"/>
              <w:spacing w:before="120" w:beforeLines="50" w:after="50"/>
              <w:jc w:val="center"/>
              <w:rPr>
                <w:rFonts w:ascii="仿宋" w:hAnsi="仿宋" w:eastAsia="仿宋"/>
                <w:color w:val="auto"/>
                <w:sz w:val="24"/>
                <w:highlight w:val="none"/>
              </w:rPr>
            </w:pPr>
            <w:bookmarkStart w:id="413" w:name="_Toc64369816"/>
            <w:r>
              <w:rPr>
                <w:rFonts w:hint="eastAsia" w:ascii="仿宋" w:hAnsi="仿宋" w:eastAsia="仿宋"/>
                <w:color w:val="auto"/>
                <w:sz w:val="24"/>
                <w:highlight w:val="none"/>
                <w:lang w:eastAsia="zh-CN"/>
              </w:rPr>
              <w:t>遴选文件</w:t>
            </w:r>
            <w:r>
              <w:rPr>
                <w:rFonts w:hint="eastAsia" w:ascii="仿宋" w:hAnsi="仿宋" w:eastAsia="仿宋"/>
                <w:color w:val="auto"/>
                <w:sz w:val="24"/>
                <w:highlight w:val="none"/>
              </w:rPr>
              <w:t>要求</w:t>
            </w:r>
            <w:bookmarkEnd w:id="413"/>
          </w:p>
        </w:tc>
        <w:tc>
          <w:tcPr>
            <w:tcW w:w="3261" w:type="dxa"/>
            <w:tcBorders>
              <w:top w:val="single" w:color="auto" w:sz="4" w:space="0"/>
              <w:left w:val="single" w:color="auto" w:sz="4" w:space="0"/>
              <w:bottom w:val="single" w:color="auto" w:sz="4" w:space="0"/>
              <w:right w:val="single" w:color="auto" w:sz="4" w:space="0"/>
            </w:tcBorders>
            <w:noWrap w:val="0"/>
            <w:vAlign w:val="center"/>
          </w:tcPr>
          <w:p w14:paraId="652A5070">
            <w:pPr>
              <w:snapToGrid w:val="0"/>
              <w:spacing w:before="120" w:beforeLines="50" w:after="50"/>
              <w:jc w:val="center"/>
              <w:rPr>
                <w:rFonts w:ascii="仿宋" w:hAnsi="仿宋" w:eastAsia="仿宋"/>
                <w:color w:val="auto"/>
                <w:sz w:val="24"/>
                <w:highlight w:val="none"/>
              </w:rPr>
            </w:pPr>
            <w:bookmarkStart w:id="414" w:name="_Toc64369817"/>
            <w:r>
              <w:rPr>
                <w:rFonts w:hint="eastAsia" w:ascii="仿宋" w:hAnsi="仿宋" w:eastAsia="仿宋"/>
                <w:color w:val="auto"/>
                <w:sz w:val="24"/>
                <w:highlight w:val="none"/>
                <w:lang w:eastAsia="zh-CN"/>
              </w:rPr>
              <w:t>申报文件</w:t>
            </w:r>
            <w:r>
              <w:rPr>
                <w:rFonts w:hint="eastAsia" w:ascii="仿宋" w:hAnsi="仿宋" w:eastAsia="仿宋"/>
                <w:color w:val="auto"/>
                <w:sz w:val="24"/>
                <w:highlight w:val="none"/>
              </w:rPr>
              <w:t>响应</w:t>
            </w:r>
            <w:bookmarkEnd w:id="414"/>
          </w:p>
        </w:tc>
        <w:tc>
          <w:tcPr>
            <w:tcW w:w="1275" w:type="dxa"/>
            <w:tcBorders>
              <w:top w:val="single" w:color="auto" w:sz="4" w:space="0"/>
              <w:left w:val="single" w:color="auto" w:sz="4" w:space="0"/>
              <w:bottom w:val="single" w:color="auto" w:sz="4" w:space="0"/>
              <w:right w:val="single" w:color="auto" w:sz="4" w:space="0"/>
            </w:tcBorders>
            <w:noWrap w:val="0"/>
            <w:vAlign w:val="center"/>
          </w:tcPr>
          <w:p w14:paraId="394272CF">
            <w:pPr>
              <w:snapToGrid w:val="0"/>
              <w:spacing w:before="120" w:beforeLines="50" w:after="50"/>
              <w:jc w:val="center"/>
              <w:rPr>
                <w:rFonts w:ascii="仿宋" w:hAnsi="仿宋" w:eastAsia="仿宋"/>
                <w:color w:val="auto"/>
                <w:sz w:val="24"/>
                <w:highlight w:val="none"/>
              </w:rPr>
            </w:pPr>
            <w:bookmarkStart w:id="415" w:name="_Toc64369818"/>
            <w:r>
              <w:rPr>
                <w:rFonts w:hint="eastAsia" w:ascii="仿宋" w:hAnsi="仿宋" w:eastAsia="仿宋"/>
                <w:color w:val="auto"/>
                <w:sz w:val="24"/>
                <w:highlight w:val="none"/>
              </w:rPr>
              <w:t>偏离情况</w:t>
            </w:r>
            <w:bookmarkEnd w:id="415"/>
          </w:p>
        </w:tc>
      </w:tr>
      <w:tr w14:paraId="5D30D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6994CA6A">
            <w:pPr>
              <w:snapToGrid w:val="0"/>
              <w:spacing w:before="50" w:after="50"/>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4588248B">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5DA5A752">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C213895">
            <w:pPr>
              <w:pStyle w:val="11"/>
              <w:snapToGrid w:val="0"/>
              <w:spacing w:before="120" w:after="120"/>
              <w:jc w:val="center"/>
              <w:outlineLvl w:val="0"/>
              <w:rPr>
                <w:rFonts w:ascii="仿宋" w:hAnsi="仿宋" w:eastAsia="仿宋" w:cs="Times New Roman"/>
                <w:snapToGrid/>
                <w:color w:val="auto"/>
                <w:sz w:val="24"/>
                <w:szCs w:val="24"/>
                <w:highlight w:val="none"/>
              </w:rPr>
            </w:pPr>
          </w:p>
        </w:tc>
      </w:tr>
      <w:tr w14:paraId="7F643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3393F94B">
            <w:pPr>
              <w:snapToGrid w:val="0"/>
              <w:spacing w:before="50" w:after="50"/>
              <w:jc w:val="center"/>
              <w:rPr>
                <w:rFonts w:hint="eastAsia"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17255E9A">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0DECABF8">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8436BCB">
            <w:pPr>
              <w:pStyle w:val="11"/>
              <w:snapToGrid w:val="0"/>
              <w:spacing w:before="120" w:after="120"/>
              <w:jc w:val="center"/>
              <w:outlineLvl w:val="0"/>
              <w:rPr>
                <w:rFonts w:ascii="仿宋" w:hAnsi="仿宋" w:eastAsia="仿宋" w:cs="Times New Roman"/>
                <w:snapToGrid/>
                <w:color w:val="auto"/>
                <w:sz w:val="24"/>
                <w:szCs w:val="24"/>
                <w:highlight w:val="none"/>
              </w:rPr>
            </w:pPr>
          </w:p>
        </w:tc>
      </w:tr>
      <w:tr w14:paraId="549FC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478D04D4">
            <w:pPr>
              <w:snapToGrid w:val="0"/>
              <w:spacing w:before="50" w:after="50"/>
              <w:jc w:val="center"/>
              <w:rPr>
                <w:rFonts w:hint="eastAsia"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56732EF4">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79CBCCCB">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nil"/>
              <w:right w:val="single" w:color="auto" w:sz="4" w:space="0"/>
            </w:tcBorders>
            <w:noWrap w:val="0"/>
            <w:vAlign w:val="top"/>
          </w:tcPr>
          <w:p w14:paraId="678A5270">
            <w:pPr>
              <w:pStyle w:val="11"/>
              <w:snapToGrid w:val="0"/>
              <w:spacing w:before="120" w:after="120"/>
              <w:jc w:val="center"/>
              <w:outlineLvl w:val="0"/>
              <w:rPr>
                <w:rFonts w:ascii="仿宋" w:hAnsi="仿宋" w:eastAsia="仿宋" w:cs="Times New Roman"/>
                <w:snapToGrid/>
                <w:color w:val="auto"/>
                <w:sz w:val="24"/>
                <w:szCs w:val="24"/>
                <w:highlight w:val="none"/>
              </w:rPr>
            </w:pPr>
          </w:p>
        </w:tc>
      </w:tr>
      <w:tr w14:paraId="02DDE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5A1BEF70">
            <w:pPr>
              <w:snapToGrid w:val="0"/>
              <w:spacing w:before="50" w:after="50"/>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0E590C1A">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75C689BC">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16D9BA9">
            <w:pPr>
              <w:pStyle w:val="11"/>
              <w:snapToGrid w:val="0"/>
              <w:spacing w:before="120" w:after="120"/>
              <w:jc w:val="center"/>
              <w:outlineLvl w:val="0"/>
              <w:rPr>
                <w:rFonts w:ascii="仿宋" w:hAnsi="仿宋" w:eastAsia="仿宋" w:cs="Times New Roman"/>
                <w:snapToGrid/>
                <w:color w:val="auto"/>
                <w:sz w:val="24"/>
                <w:szCs w:val="24"/>
                <w:highlight w:val="none"/>
              </w:rPr>
            </w:pPr>
          </w:p>
        </w:tc>
      </w:tr>
      <w:tr w14:paraId="40E02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4A467575">
            <w:pPr>
              <w:snapToGrid w:val="0"/>
              <w:spacing w:before="50" w:after="50"/>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13B613F1">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2A7DA62F">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8D166D">
            <w:pPr>
              <w:pStyle w:val="11"/>
              <w:snapToGrid w:val="0"/>
              <w:spacing w:before="120" w:after="120"/>
              <w:jc w:val="center"/>
              <w:outlineLvl w:val="0"/>
              <w:rPr>
                <w:rFonts w:ascii="仿宋" w:hAnsi="仿宋" w:eastAsia="仿宋" w:cs="Times New Roman"/>
                <w:snapToGrid/>
                <w:color w:val="auto"/>
                <w:sz w:val="24"/>
                <w:szCs w:val="24"/>
                <w:highlight w:val="none"/>
              </w:rPr>
            </w:pPr>
          </w:p>
        </w:tc>
      </w:tr>
      <w:tr w14:paraId="49E0D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5E356736">
            <w:pPr>
              <w:snapToGrid w:val="0"/>
              <w:spacing w:before="50" w:after="50"/>
              <w:jc w:val="center"/>
              <w:rPr>
                <w:rFonts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736AABE0">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18F0DCB1">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82638AE">
            <w:pPr>
              <w:pStyle w:val="11"/>
              <w:snapToGrid w:val="0"/>
              <w:spacing w:before="120" w:after="120"/>
              <w:jc w:val="center"/>
              <w:outlineLvl w:val="0"/>
              <w:rPr>
                <w:rFonts w:ascii="仿宋" w:hAnsi="仿宋" w:eastAsia="仿宋" w:cs="Times New Roman"/>
                <w:snapToGrid/>
                <w:color w:val="auto"/>
                <w:sz w:val="24"/>
                <w:szCs w:val="24"/>
                <w:highlight w:val="none"/>
              </w:rPr>
            </w:pPr>
          </w:p>
        </w:tc>
      </w:tr>
      <w:tr w14:paraId="27AB7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14:paraId="3DA834A2">
            <w:pPr>
              <w:snapToGrid w:val="0"/>
              <w:spacing w:before="50" w:after="50"/>
              <w:jc w:val="center"/>
              <w:rPr>
                <w:rFonts w:hint="eastAsia"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0"/>
            <w:vAlign w:val="center"/>
          </w:tcPr>
          <w:p w14:paraId="564AD73C">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top"/>
          </w:tcPr>
          <w:p w14:paraId="2E006995">
            <w:pPr>
              <w:pStyle w:val="11"/>
              <w:snapToGrid w:val="0"/>
              <w:spacing w:before="120" w:after="120"/>
              <w:jc w:val="center"/>
              <w:outlineLvl w:val="0"/>
              <w:rPr>
                <w:rFonts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7CEC533">
            <w:pPr>
              <w:pStyle w:val="11"/>
              <w:snapToGrid w:val="0"/>
              <w:spacing w:before="120" w:after="120"/>
              <w:jc w:val="center"/>
              <w:outlineLvl w:val="0"/>
              <w:rPr>
                <w:rFonts w:ascii="仿宋" w:hAnsi="仿宋" w:eastAsia="仿宋" w:cs="Times New Roman"/>
                <w:snapToGrid/>
                <w:color w:val="auto"/>
                <w:sz w:val="24"/>
                <w:szCs w:val="24"/>
                <w:highlight w:val="none"/>
              </w:rPr>
            </w:pPr>
          </w:p>
        </w:tc>
      </w:tr>
    </w:tbl>
    <w:p w14:paraId="3D1016E2">
      <w:pPr>
        <w:spacing w:line="360" w:lineRule="auto"/>
        <w:ind w:right="42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w:t>
      </w:r>
    </w:p>
    <w:p w14:paraId="24CAE619">
      <w:pPr>
        <w:spacing w:line="360" w:lineRule="auto"/>
        <w:ind w:right="42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应对照</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要求和</w:t>
      </w:r>
      <w:r>
        <w:rPr>
          <w:rFonts w:hint="eastAsia" w:ascii="仿宋" w:hAnsi="仿宋" w:eastAsia="仿宋" w:cs="仿宋_GB2312"/>
          <w:color w:val="auto"/>
          <w:sz w:val="24"/>
          <w:highlight w:val="none"/>
          <w:lang w:eastAsia="zh-CN"/>
        </w:rPr>
        <w:t>申报文件</w:t>
      </w:r>
      <w:r>
        <w:rPr>
          <w:rFonts w:hint="eastAsia" w:ascii="仿宋" w:hAnsi="仿宋" w:eastAsia="仿宋" w:cs="仿宋_GB2312"/>
          <w:color w:val="auto"/>
          <w:sz w:val="24"/>
          <w:highlight w:val="none"/>
        </w:rPr>
        <w:t>响应情况在“偏离情况”栏注明“正偏离”、“负偏离”或“无偏离”。</w:t>
      </w:r>
    </w:p>
    <w:p w14:paraId="3DADF0CC">
      <w:pPr>
        <w:spacing w:line="360" w:lineRule="auto"/>
        <w:ind w:right="42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2、“类别”一栏按</w:t>
      </w:r>
      <w:r>
        <w:rPr>
          <w:rFonts w:hint="eastAsia" w:ascii="仿宋" w:hAnsi="仿宋" w:eastAsia="仿宋" w:cs="仿宋_GB2312"/>
          <w:b/>
          <w:color w:val="auto"/>
          <w:sz w:val="24"/>
          <w:highlight w:val="none"/>
          <w:lang w:eastAsia="zh-CN"/>
        </w:rPr>
        <w:t>遴选文件</w:t>
      </w:r>
      <w:r>
        <w:rPr>
          <w:rFonts w:hint="eastAsia" w:ascii="仿宋" w:hAnsi="仿宋" w:eastAsia="仿宋" w:cs="仿宋_GB2312"/>
          <w:b/>
          <w:color w:val="auto"/>
          <w:sz w:val="24"/>
          <w:highlight w:val="none"/>
        </w:rPr>
        <w:t>商务要求的分类填写。</w:t>
      </w:r>
    </w:p>
    <w:p w14:paraId="3C4F4DA5">
      <w:pPr>
        <w:spacing w:line="360" w:lineRule="auto"/>
        <w:ind w:right="420"/>
        <w:rPr>
          <w:rFonts w:ascii="仿宋" w:hAnsi="仿宋" w:eastAsia="仿宋" w:cs="仿宋_GB2312"/>
          <w:color w:val="auto"/>
          <w:sz w:val="24"/>
          <w:highlight w:val="none"/>
        </w:rPr>
      </w:pPr>
    </w:p>
    <w:p w14:paraId="04C1FDCF">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eastAsia="zh-CN"/>
        </w:rPr>
        <w:t>遴选响应人</w:t>
      </w:r>
      <w:r>
        <w:rPr>
          <w:rFonts w:hint="eastAsia" w:ascii="仿宋" w:hAnsi="仿宋" w:eastAsia="仿宋" w:cs="仿宋_GB2312"/>
          <w:color w:val="auto"/>
          <w:kern w:val="0"/>
          <w:sz w:val="24"/>
          <w:highlight w:val="none"/>
        </w:rPr>
        <w:t>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5BE70B8A">
      <w:pPr>
        <w:snapToGrid w:val="0"/>
        <w:spacing w:before="50" w:after="5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1514AF34">
      <w:pPr>
        <w:spacing w:line="360" w:lineRule="auto"/>
        <w:jc w:val="center"/>
        <w:rPr>
          <w:rFonts w:hint="eastAsia" w:ascii="仿宋" w:hAnsi="仿宋" w:eastAsia="仿宋" w:cs="仿宋_GB2312"/>
          <w:color w:val="auto"/>
          <w:sz w:val="24"/>
          <w:highlight w:val="none"/>
        </w:rPr>
      </w:pPr>
    </w:p>
    <w:p w14:paraId="75A384FB">
      <w:pPr>
        <w:pStyle w:val="19"/>
        <w:ind w:firstLine="480"/>
        <w:jc w:val="center"/>
        <w:rPr>
          <w:rFonts w:ascii="仿宋" w:hAnsi="仿宋" w:eastAsia="仿宋" w:cs="仿宋_GB2312"/>
          <w:b/>
          <w:bCs/>
          <w:color w:val="auto"/>
          <w:kern w:val="0"/>
          <w:sz w:val="36"/>
          <w:szCs w:val="36"/>
          <w:highlight w:val="none"/>
          <w:lang w:val="zh-CN" w:eastAsia="zh-CN" w:bidi="ar-SA"/>
        </w:rPr>
      </w:pPr>
      <w:r>
        <w:rPr>
          <w:rFonts w:hint="eastAsia" w:ascii="仿宋" w:hAnsi="仿宋" w:eastAsia="仿宋" w:cs="仿宋_GB2312"/>
          <w:b/>
          <w:bCs/>
          <w:color w:val="auto"/>
          <w:kern w:val="0"/>
          <w:sz w:val="36"/>
          <w:szCs w:val="36"/>
          <w:highlight w:val="none"/>
          <w:lang w:val="en-US" w:eastAsia="zh-CN" w:bidi="ar-SA"/>
        </w:rPr>
        <w:t>四</w:t>
      </w:r>
      <w:r>
        <w:rPr>
          <w:rFonts w:hint="eastAsia" w:ascii="仿宋" w:hAnsi="仿宋" w:eastAsia="仿宋" w:cs="仿宋_GB2312"/>
          <w:b/>
          <w:bCs/>
          <w:color w:val="auto"/>
          <w:kern w:val="0"/>
          <w:sz w:val="36"/>
          <w:szCs w:val="36"/>
          <w:highlight w:val="none"/>
          <w:lang w:val="zh-CN" w:eastAsia="zh-CN" w:bidi="ar-SA"/>
        </w:rPr>
        <w:t>、</w:t>
      </w:r>
      <w:r>
        <w:rPr>
          <w:rFonts w:ascii="仿宋" w:hAnsi="仿宋" w:eastAsia="仿宋" w:cs="仿宋_GB2312"/>
          <w:b/>
          <w:bCs/>
          <w:color w:val="auto"/>
          <w:kern w:val="0"/>
          <w:sz w:val="36"/>
          <w:szCs w:val="36"/>
          <w:highlight w:val="none"/>
          <w:lang w:val="zh-CN" w:eastAsia="zh-CN" w:bidi="ar-SA"/>
        </w:rPr>
        <w:t>承销方案</w:t>
      </w:r>
    </w:p>
    <w:p w14:paraId="6935D8F2">
      <w:pPr>
        <w:pStyle w:val="19"/>
        <w:ind w:firstLine="0" w:firstLineChars="0"/>
        <w:rPr>
          <w:rFonts w:ascii="Times New Roman" w:eastAsia="宋体"/>
          <w:color w:val="auto"/>
          <w:highlight w:val="none"/>
        </w:rPr>
      </w:pPr>
    </w:p>
    <w:p w14:paraId="2FEDDD14">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根据采购需求及</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要求编制）</w:t>
      </w:r>
      <w:r>
        <w:rPr>
          <w:rFonts w:hint="eastAsia" w:ascii="仿宋" w:hAnsi="仿宋" w:eastAsia="仿宋" w:cs="仿宋_GB2312"/>
          <w:color w:val="auto"/>
          <w:sz w:val="24"/>
          <w:highlight w:val="none"/>
        </w:rPr>
        <w:br w:type="page"/>
      </w:r>
    </w:p>
    <w:p w14:paraId="7DDA2A34">
      <w:pPr>
        <w:autoSpaceDE w:val="0"/>
        <w:autoSpaceDN w:val="0"/>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lang w:val="en-US" w:eastAsia="zh-CN"/>
        </w:rPr>
        <w:t>五</w:t>
      </w:r>
      <w:r>
        <w:rPr>
          <w:rFonts w:hint="eastAsia" w:ascii="仿宋" w:hAnsi="仿宋" w:eastAsia="仿宋" w:cs="仿宋_GB2312"/>
          <w:b/>
          <w:bCs/>
          <w:color w:val="auto"/>
          <w:sz w:val="32"/>
          <w:szCs w:val="32"/>
          <w:highlight w:val="none"/>
        </w:rPr>
        <w:t>、项目负责人情况表</w:t>
      </w:r>
    </w:p>
    <w:tbl>
      <w:tblPr>
        <w:tblStyle w:val="20"/>
        <w:tblW w:w="8844" w:type="dxa"/>
        <w:jc w:val="center"/>
        <w:tblLayout w:type="fixed"/>
        <w:tblCellMar>
          <w:top w:w="0" w:type="dxa"/>
          <w:left w:w="0" w:type="dxa"/>
          <w:bottom w:w="0" w:type="dxa"/>
          <w:right w:w="0" w:type="dxa"/>
        </w:tblCellMar>
      </w:tblPr>
      <w:tblGrid>
        <w:gridCol w:w="1341"/>
        <w:gridCol w:w="1315"/>
        <w:gridCol w:w="1800"/>
        <w:gridCol w:w="1524"/>
        <w:gridCol w:w="1546"/>
        <w:gridCol w:w="1318"/>
      </w:tblGrid>
      <w:tr w14:paraId="691AC36F">
        <w:tblPrEx>
          <w:tblCellMar>
            <w:top w:w="0" w:type="dxa"/>
            <w:left w:w="0" w:type="dxa"/>
            <w:bottom w:w="0" w:type="dxa"/>
            <w:right w:w="0" w:type="dxa"/>
          </w:tblCellMar>
        </w:tblPrEx>
        <w:trPr>
          <w:trHeight w:val="567" w:hRule="atLeast"/>
          <w:jc w:val="center"/>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B8D78">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    名</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5357A">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0F242">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    别</w:t>
            </w: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60EE2">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125C3">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    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80B8D">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461A264F">
        <w:tblPrEx>
          <w:tblCellMar>
            <w:top w:w="0" w:type="dxa"/>
            <w:left w:w="0" w:type="dxa"/>
            <w:bottom w:w="0" w:type="dxa"/>
            <w:right w:w="0" w:type="dxa"/>
          </w:tblCellMar>
        </w:tblPrEx>
        <w:trPr>
          <w:trHeight w:val="567" w:hRule="atLeast"/>
          <w:jc w:val="center"/>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12781">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拟任职务</w:t>
            </w:r>
          </w:p>
        </w:tc>
        <w:tc>
          <w:tcPr>
            <w:tcW w:w="1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98BE4">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6BF3B">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    称</w:t>
            </w: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FEE9C">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BB084">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    历</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E2C5B">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25B1F204">
        <w:tblPrEx>
          <w:tblCellMar>
            <w:top w:w="0" w:type="dxa"/>
            <w:left w:w="0" w:type="dxa"/>
            <w:bottom w:w="0" w:type="dxa"/>
            <w:right w:w="0" w:type="dxa"/>
          </w:tblCellMar>
        </w:tblPrEx>
        <w:trPr>
          <w:trHeight w:val="567" w:hRule="atLeast"/>
          <w:jc w:val="center"/>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895BE">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参加工作时间</w:t>
            </w:r>
          </w:p>
        </w:tc>
        <w:tc>
          <w:tcPr>
            <w:tcW w:w="3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59D6C">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30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C7C9E">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从事承销工作年限</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FEE50">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5A709025">
        <w:tblPrEx>
          <w:tblCellMar>
            <w:top w:w="0" w:type="dxa"/>
            <w:left w:w="0" w:type="dxa"/>
            <w:bottom w:w="0" w:type="dxa"/>
            <w:right w:w="0" w:type="dxa"/>
          </w:tblCellMar>
        </w:tblPrEx>
        <w:trPr>
          <w:trHeight w:val="567" w:hRule="atLeast"/>
          <w:jc w:val="center"/>
        </w:trPr>
        <w:tc>
          <w:tcPr>
            <w:tcW w:w="884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3D85E">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已完成项目情况</w:t>
            </w:r>
          </w:p>
        </w:tc>
      </w:tr>
      <w:tr w14:paraId="10B88F3E">
        <w:tblPrEx>
          <w:tblCellMar>
            <w:top w:w="0" w:type="dxa"/>
            <w:left w:w="0" w:type="dxa"/>
            <w:bottom w:w="0" w:type="dxa"/>
            <w:right w:w="0" w:type="dxa"/>
          </w:tblCellMar>
        </w:tblPrEx>
        <w:trPr>
          <w:trHeight w:val="567" w:hRule="atLeast"/>
          <w:jc w:val="center"/>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5504F">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3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5351C">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负责过的主要项目</w:t>
            </w: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B03CB">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该项目中的任职</w:t>
            </w:r>
          </w:p>
        </w:tc>
        <w:tc>
          <w:tcPr>
            <w:tcW w:w="28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E3C36">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是否近一年同类发债业绩</w:t>
            </w:r>
          </w:p>
        </w:tc>
      </w:tr>
      <w:tr w14:paraId="5F5942B0">
        <w:tblPrEx>
          <w:tblCellMar>
            <w:top w:w="0" w:type="dxa"/>
            <w:left w:w="0" w:type="dxa"/>
            <w:bottom w:w="0" w:type="dxa"/>
            <w:right w:w="0" w:type="dxa"/>
          </w:tblCellMar>
        </w:tblPrEx>
        <w:trPr>
          <w:trHeight w:val="567" w:hRule="atLeast"/>
          <w:jc w:val="center"/>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0C118">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3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2D955">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8DEAD">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8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E9499">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369D2563">
        <w:tblPrEx>
          <w:tblCellMar>
            <w:top w:w="0" w:type="dxa"/>
            <w:left w:w="0" w:type="dxa"/>
            <w:bottom w:w="0" w:type="dxa"/>
            <w:right w:w="0" w:type="dxa"/>
          </w:tblCellMar>
        </w:tblPrEx>
        <w:trPr>
          <w:trHeight w:val="567" w:hRule="atLeast"/>
          <w:jc w:val="center"/>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C100B">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3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6E552">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1883C">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8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10A8A">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2F72CD15">
        <w:tblPrEx>
          <w:tblCellMar>
            <w:top w:w="0" w:type="dxa"/>
            <w:left w:w="0" w:type="dxa"/>
            <w:bottom w:w="0" w:type="dxa"/>
            <w:right w:w="0" w:type="dxa"/>
          </w:tblCellMar>
        </w:tblPrEx>
        <w:trPr>
          <w:trHeight w:val="567" w:hRule="atLeast"/>
          <w:jc w:val="center"/>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C7C19">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3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F8974">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1D158">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8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F4734">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6644B6D6">
        <w:tblPrEx>
          <w:tblCellMar>
            <w:top w:w="0" w:type="dxa"/>
            <w:left w:w="0" w:type="dxa"/>
            <w:bottom w:w="0" w:type="dxa"/>
            <w:right w:w="0" w:type="dxa"/>
          </w:tblCellMar>
        </w:tblPrEx>
        <w:trPr>
          <w:trHeight w:val="567" w:hRule="atLeast"/>
          <w:jc w:val="center"/>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ABA69">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3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CC870">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F8750">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8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21343">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68EDA060">
        <w:tblPrEx>
          <w:tblCellMar>
            <w:top w:w="0" w:type="dxa"/>
            <w:left w:w="0" w:type="dxa"/>
            <w:bottom w:w="0" w:type="dxa"/>
            <w:right w:w="0" w:type="dxa"/>
          </w:tblCellMar>
        </w:tblPrEx>
        <w:trPr>
          <w:trHeight w:val="567" w:hRule="atLeast"/>
          <w:jc w:val="center"/>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9E490">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3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68E4F">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06C26">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8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58FEC">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06B6726E">
        <w:tblPrEx>
          <w:tblCellMar>
            <w:top w:w="0" w:type="dxa"/>
            <w:left w:w="0" w:type="dxa"/>
            <w:bottom w:w="0" w:type="dxa"/>
            <w:right w:w="0" w:type="dxa"/>
          </w:tblCellMar>
        </w:tblPrEx>
        <w:trPr>
          <w:trHeight w:val="567" w:hRule="atLeast"/>
          <w:jc w:val="center"/>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937CE">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3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CB28C">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7A112">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8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0BF19">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209100C5">
        <w:tblPrEx>
          <w:tblCellMar>
            <w:top w:w="0" w:type="dxa"/>
            <w:left w:w="0" w:type="dxa"/>
            <w:bottom w:w="0" w:type="dxa"/>
            <w:right w:w="0" w:type="dxa"/>
          </w:tblCellMar>
        </w:tblPrEx>
        <w:trPr>
          <w:trHeight w:val="567" w:hRule="atLeast"/>
          <w:jc w:val="center"/>
        </w:trPr>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DBB58">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31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9DE4E">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C72EB">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8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9D578">
            <w:pPr>
              <w:autoSpaceDE w:val="0"/>
              <w:autoSpaceDN w:val="0"/>
              <w:adjustRightInd w:val="0"/>
              <w:spacing w:line="360" w:lineRule="auto"/>
              <w:jc w:val="center"/>
              <w:rPr>
                <w:rFonts w:hint="eastAsia" w:ascii="仿宋" w:hAnsi="仿宋" w:eastAsia="仿宋" w:cs="仿宋_GB2312"/>
                <w:color w:val="auto"/>
                <w:sz w:val="24"/>
                <w:highlight w:val="none"/>
              </w:rPr>
            </w:pPr>
          </w:p>
        </w:tc>
      </w:tr>
    </w:tbl>
    <w:p w14:paraId="42CD0EC5">
      <w:pPr>
        <w:autoSpaceDE w:val="0"/>
        <w:autoSpaceDN w:val="0"/>
        <w:adjustRightInd w:val="0"/>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注：项目负责人近一年</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2024年</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具有同</w:t>
      </w:r>
      <w:r>
        <w:rPr>
          <w:rFonts w:hint="eastAsia" w:ascii="仿宋" w:hAnsi="仿宋" w:eastAsia="仿宋" w:cs="仿宋_GB2312"/>
          <w:color w:val="auto"/>
          <w:sz w:val="24"/>
          <w:highlight w:val="none"/>
          <w:lang w:eastAsia="zh-CN"/>
        </w:rPr>
        <w:t>品种</w:t>
      </w:r>
      <w:r>
        <w:rPr>
          <w:rFonts w:hint="eastAsia" w:ascii="仿宋" w:hAnsi="仿宋" w:eastAsia="仿宋" w:cs="仿宋_GB2312"/>
          <w:color w:val="auto"/>
          <w:sz w:val="24"/>
          <w:highlight w:val="none"/>
        </w:rPr>
        <w:t>发债业绩的需提供Wind资讯系统截图或中国债券信息网依据等相关证明材料</w:t>
      </w:r>
      <w:r>
        <w:rPr>
          <w:rFonts w:hint="eastAsia" w:ascii="仿宋" w:hAnsi="仿宋" w:eastAsia="仿宋" w:cs="仿宋_GB2312"/>
          <w:color w:val="auto"/>
          <w:sz w:val="24"/>
          <w:highlight w:val="none"/>
          <w:lang w:eastAsia="zh-CN"/>
        </w:rPr>
        <w:t>。</w:t>
      </w:r>
    </w:p>
    <w:p w14:paraId="24355877">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w:t>
      </w:r>
    </w:p>
    <w:p w14:paraId="48D649B8">
      <w:pPr>
        <w:overflowPunct w:val="0"/>
        <w:adjustRightInd w:val="0"/>
        <w:snapToGrid w:val="0"/>
        <w:spacing w:line="580" w:lineRule="exact"/>
        <w:jc w:val="both"/>
        <w:rPr>
          <w:color w:val="auto"/>
          <w:sz w:val="32"/>
          <w:szCs w:val="32"/>
          <w:highlight w:val="none"/>
        </w:rPr>
      </w:pPr>
    </w:p>
    <w:p w14:paraId="7B3A5309">
      <w:pPr>
        <w:overflowPunct w:val="0"/>
        <w:adjustRightInd w:val="0"/>
        <w:snapToGrid w:val="0"/>
        <w:spacing w:line="580" w:lineRule="exact"/>
        <w:rPr>
          <w:color w:val="auto"/>
          <w:sz w:val="32"/>
          <w:szCs w:val="32"/>
          <w:highlight w:val="none"/>
        </w:rPr>
      </w:pPr>
    </w:p>
    <w:p w14:paraId="4502F9D8">
      <w:pPr>
        <w:spacing w:line="480" w:lineRule="exact"/>
        <w:jc w:val="right"/>
        <w:rPr>
          <w:color w:val="auto"/>
          <w:sz w:val="24"/>
          <w:highlight w:val="none"/>
        </w:rPr>
      </w:pPr>
      <w:r>
        <w:rPr>
          <w:color w:val="auto"/>
          <w:sz w:val="24"/>
          <w:highlight w:val="none"/>
        </w:rPr>
        <w:t>遴选响应人</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r>
        <w:rPr>
          <w:color w:val="auto"/>
          <w:sz w:val="24"/>
          <w:highlight w:val="none"/>
        </w:rPr>
        <w:t>：</w:t>
      </w:r>
    </w:p>
    <w:p w14:paraId="7D6A7427">
      <w:pPr>
        <w:overflowPunct w:val="0"/>
        <w:adjustRightInd w:val="0"/>
        <w:snapToGrid w:val="0"/>
        <w:spacing w:line="580" w:lineRule="exact"/>
        <w:jc w:val="right"/>
        <w:rPr>
          <w:color w:val="auto"/>
          <w:sz w:val="24"/>
          <w:highlight w:val="none"/>
        </w:rPr>
      </w:pPr>
      <w:r>
        <w:rPr>
          <w:color w:val="auto"/>
          <w:sz w:val="24"/>
          <w:highlight w:val="none"/>
        </w:rPr>
        <w:t>年   月   日</w:t>
      </w:r>
    </w:p>
    <w:p w14:paraId="751E9C6B">
      <w:pPr>
        <w:overflowPunct w:val="0"/>
        <w:adjustRightInd w:val="0"/>
        <w:snapToGrid w:val="0"/>
        <w:spacing w:line="580" w:lineRule="exact"/>
        <w:jc w:val="left"/>
        <w:rPr>
          <w:color w:val="auto"/>
          <w:sz w:val="32"/>
          <w:szCs w:val="32"/>
          <w:highlight w:val="none"/>
        </w:rPr>
      </w:pPr>
    </w:p>
    <w:p w14:paraId="3594CA2B">
      <w:pPr>
        <w:overflowPunct w:val="0"/>
        <w:adjustRightInd w:val="0"/>
        <w:snapToGrid w:val="0"/>
        <w:spacing w:line="580" w:lineRule="exact"/>
        <w:jc w:val="left"/>
        <w:rPr>
          <w:color w:val="auto"/>
          <w:sz w:val="32"/>
          <w:szCs w:val="32"/>
          <w:highlight w:val="none"/>
        </w:rPr>
      </w:pPr>
    </w:p>
    <w:p w14:paraId="63D8FE2B">
      <w:pPr>
        <w:overflowPunct w:val="0"/>
        <w:adjustRightInd w:val="0"/>
        <w:snapToGrid w:val="0"/>
        <w:spacing w:line="580" w:lineRule="exact"/>
        <w:jc w:val="left"/>
        <w:rPr>
          <w:color w:val="auto"/>
          <w:sz w:val="32"/>
          <w:szCs w:val="32"/>
          <w:highlight w:val="none"/>
        </w:rPr>
      </w:pPr>
    </w:p>
    <w:p w14:paraId="4398B032">
      <w:pPr>
        <w:overflowPunct w:val="0"/>
        <w:adjustRightInd w:val="0"/>
        <w:snapToGrid w:val="0"/>
        <w:spacing w:line="580" w:lineRule="exact"/>
        <w:jc w:val="left"/>
        <w:rPr>
          <w:color w:val="auto"/>
          <w:sz w:val="32"/>
          <w:szCs w:val="32"/>
          <w:highlight w:val="none"/>
        </w:rPr>
      </w:pPr>
    </w:p>
    <w:p w14:paraId="29426DFE">
      <w:pPr>
        <w:pStyle w:val="19"/>
        <w:ind w:firstLine="480"/>
        <w:jc w:val="center"/>
        <w:rPr>
          <w:rFonts w:ascii="Times New Roman" w:eastAsia="宋体"/>
          <w:color w:val="auto"/>
          <w:highlight w:val="none"/>
        </w:rPr>
      </w:pPr>
      <w:r>
        <w:rPr>
          <w:rFonts w:hint="eastAsia" w:ascii="仿宋" w:hAnsi="仿宋" w:eastAsia="仿宋" w:cs="仿宋_GB2312"/>
          <w:b/>
          <w:bCs/>
          <w:color w:val="auto"/>
          <w:sz w:val="32"/>
          <w:szCs w:val="32"/>
          <w:highlight w:val="none"/>
          <w:lang w:val="en-US" w:eastAsia="zh-CN"/>
        </w:rPr>
        <w:t>六</w:t>
      </w:r>
      <w:r>
        <w:rPr>
          <w:rFonts w:hint="eastAsia" w:ascii="仿宋" w:hAnsi="仿宋" w:eastAsia="仿宋" w:cs="仿宋_GB2312"/>
          <w:b/>
          <w:bCs/>
          <w:color w:val="auto"/>
          <w:sz w:val="32"/>
          <w:szCs w:val="32"/>
          <w:highlight w:val="none"/>
        </w:rPr>
        <w:t>、项目组人员名单</w:t>
      </w:r>
    </w:p>
    <w:p w14:paraId="7CD4E604">
      <w:pPr>
        <w:widowControl/>
        <w:adjustRightInd w:val="0"/>
        <w:snapToGrid w:val="0"/>
        <w:spacing w:line="300" w:lineRule="exact"/>
        <w:jc w:val="center"/>
        <w:rPr>
          <w:color w:val="auto"/>
          <w:sz w:val="24"/>
          <w:highlight w:val="none"/>
        </w:rPr>
      </w:pPr>
    </w:p>
    <w:tbl>
      <w:tblPr>
        <w:tblStyle w:val="20"/>
        <w:tblW w:w="9348" w:type="dxa"/>
        <w:jc w:val="center"/>
        <w:tblLayout w:type="fixed"/>
        <w:tblCellMar>
          <w:top w:w="0" w:type="dxa"/>
          <w:left w:w="0" w:type="dxa"/>
          <w:bottom w:w="0" w:type="dxa"/>
          <w:right w:w="0" w:type="dxa"/>
        </w:tblCellMar>
      </w:tblPr>
      <w:tblGrid>
        <w:gridCol w:w="674"/>
        <w:gridCol w:w="674"/>
        <w:gridCol w:w="675"/>
        <w:gridCol w:w="674"/>
        <w:gridCol w:w="674"/>
        <w:gridCol w:w="1725"/>
        <w:gridCol w:w="1701"/>
        <w:gridCol w:w="2551"/>
      </w:tblGrid>
      <w:tr w14:paraId="300C4A04">
        <w:tblPrEx>
          <w:tblCellMar>
            <w:top w:w="0" w:type="dxa"/>
            <w:left w:w="0" w:type="dxa"/>
            <w:bottom w:w="0" w:type="dxa"/>
            <w:right w:w="0" w:type="dxa"/>
          </w:tblCellMar>
        </w:tblPrEx>
        <w:trPr>
          <w:trHeight w:val="567" w:hRule="atLeast"/>
          <w:jc w:val="center"/>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EDE1A">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92F8E">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499D1">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EA072">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岗位</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AFD52">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B671A">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拟任本次承销业务的职务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74972">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发债工作经历</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D9602">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律师、CPA相关资格情况</w:t>
            </w:r>
          </w:p>
        </w:tc>
      </w:tr>
      <w:tr w14:paraId="61E65846">
        <w:tblPrEx>
          <w:tblCellMar>
            <w:top w:w="0" w:type="dxa"/>
            <w:left w:w="0" w:type="dxa"/>
            <w:bottom w:w="0" w:type="dxa"/>
            <w:right w:w="0" w:type="dxa"/>
          </w:tblCellMar>
        </w:tblPrEx>
        <w:trPr>
          <w:trHeight w:val="567" w:hRule="atLeast"/>
          <w:jc w:val="center"/>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908A0">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E00A9">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B32F7">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301B9">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FDB5D">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090A4">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EE1EE">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7654A">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1D9BAA1B">
        <w:tblPrEx>
          <w:tblCellMar>
            <w:top w:w="0" w:type="dxa"/>
            <w:left w:w="0" w:type="dxa"/>
            <w:bottom w:w="0" w:type="dxa"/>
            <w:right w:w="0" w:type="dxa"/>
          </w:tblCellMar>
        </w:tblPrEx>
        <w:trPr>
          <w:trHeight w:val="567" w:hRule="atLeast"/>
          <w:jc w:val="center"/>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93BD5">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F9A6B">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39309">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1E337">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D77DA">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DFADF">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C754B">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796D3">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45A4F1CD">
        <w:tblPrEx>
          <w:tblCellMar>
            <w:top w:w="0" w:type="dxa"/>
            <w:left w:w="0" w:type="dxa"/>
            <w:bottom w:w="0" w:type="dxa"/>
            <w:right w:w="0" w:type="dxa"/>
          </w:tblCellMar>
        </w:tblPrEx>
        <w:trPr>
          <w:trHeight w:val="567" w:hRule="atLeast"/>
          <w:jc w:val="center"/>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9A478">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38F7D">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F51B5">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1315D">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4D178">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6CC66">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479FD">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15F5B">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307BFEB9">
        <w:tblPrEx>
          <w:tblCellMar>
            <w:top w:w="0" w:type="dxa"/>
            <w:left w:w="0" w:type="dxa"/>
            <w:bottom w:w="0" w:type="dxa"/>
            <w:right w:w="0" w:type="dxa"/>
          </w:tblCellMar>
        </w:tblPrEx>
        <w:trPr>
          <w:trHeight w:val="567" w:hRule="atLeast"/>
          <w:jc w:val="center"/>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FD9AC">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B5087">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CF073">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26A63">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F0E05">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C2C2C">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7FA75">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53149">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0E36CDDE">
        <w:tblPrEx>
          <w:tblCellMar>
            <w:top w:w="0" w:type="dxa"/>
            <w:left w:w="0" w:type="dxa"/>
            <w:bottom w:w="0" w:type="dxa"/>
            <w:right w:w="0" w:type="dxa"/>
          </w:tblCellMar>
        </w:tblPrEx>
        <w:trPr>
          <w:trHeight w:val="567" w:hRule="atLeast"/>
          <w:jc w:val="center"/>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6F8DA">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9C6B7">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5CBF3">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9BE73">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302B9">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152CD">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6A7D4">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4A0E7">
            <w:pPr>
              <w:autoSpaceDE w:val="0"/>
              <w:autoSpaceDN w:val="0"/>
              <w:adjustRightInd w:val="0"/>
              <w:spacing w:line="360" w:lineRule="auto"/>
              <w:jc w:val="center"/>
              <w:rPr>
                <w:rFonts w:hint="eastAsia" w:ascii="仿宋" w:hAnsi="仿宋" w:eastAsia="仿宋" w:cs="仿宋_GB2312"/>
                <w:color w:val="auto"/>
                <w:sz w:val="24"/>
                <w:highlight w:val="none"/>
              </w:rPr>
            </w:pPr>
          </w:p>
        </w:tc>
      </w:tr>
      <w:tr w14:paraId="65AC88A8">
        <w:tblPrEx>
          <w:tblCellMar>
            <w:top w:w="0" w:type="dxa"/>
            <w:left w:w="0" w:type="dxa"/>
            <w:bottom w:w="0" w:type="dxa"/>
            <w:right w:w="0" w:type="dxa"/>
          </w:tblCellMar>
        </w:tblPrEx>
        <w:trPr>
          <w:trHeight w:val="567" w:hRule="atLeast"/>
          <w:jc w:val="center"/>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6C1CC">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35374">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18451">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F3527">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02C05">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BD637">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CA8D9">
            <w:pPr>
              <w:autoSpaceDE w:val="0"/>
              <w:autoSpaceDN w:val="0"/>
              <w:adjustRightInd w:val="0"/>
              <w:spacing w:line="360" w:lineRule="auto"/>
              <w:jc w:val="center"/>
              <w:rPr>
                <w:rFonts w:hint="eastAsia" w:ascii="仿宋" w:hAnsi="仿宋" w:eastAsia="仿宋" w:cs="仿宋_GB2312"/>
                <w:color w:val="auto"/>
                <w:sz w:val="24"/>
                <w:highlight w:val="none"/>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CD76C">
            <w:pPr>
              <w:autoSpaceDE w:val="0"/>
              <w:autoSpaceDN w:val="0"/>
              <w:adjustRightInd w:val="0"/>
              <w:spacing w:line="360" w:lineRule="auto"/>
              <w:jc w:val="center"/>
              <w:rPr>
                <w:rFonts w:hint="eastAsia" w:ascii="仿宋" w:hAnsi="仿宋" w:eastAsia="仿宋" w:cs="仿宋_GB2312"/>
                <w:color w:val="auto"/>
                <w:sz w:val="24"/>
                <w:highlight w:val="none"/>
              </w:rPr>
            </w:pPr>
          </w:p>
        </w:tc>
      </w:tr>
    </w:tbl>
    <w:p w14:paraId="43130EDC">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注：1.承销商为完成本项目组建的项目组人员名单，每个专业人员的情况和人员数应该明确表示。</w:t>
      </w:r>
    </w:p>
    <w:p w14:paraId="0FD8A722">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    2.公司律师、CPA相关资格情况需附证书复印件证明。</w:t>
      </w:r>
    </w:p>
    <w:p w14:paraId="2733187A">
      <w:pPr>
        <w:autoSpaceDE w:val="0"/>
        <w:autoSpaceDN w:val="0"/>
        <w:adjustRightInd w:val="0"/>
        <w:spacing w:line="360" w:lineRule="auto"/>
        <w:jc w:val="center"/>
        <w:rPr>
          <w:rFonts w:hint="eastAsia" w:ascii="仿宋" w:hAnsi="仿宋" w:eastAsia="仿宋" w:cs="仿宋_GB2312"/>
          <w:color w:val="auto"/>
          <w:sz w:val="24"/>
          <w:highlight w:val="none"/>
        </w:rPr>
      </w:pPr>
    </w:p>
    <w:p w14:paraId="32BC7D2F">
      <w:pPr>
        <w:autoSpaceDE w:val="0"/>
        <w:autoSpaceDN w:val="0"/>
        <w:adjustRightInd w:val="0"/>
        <w:spacing w:line="360" w:lineRule="auto"/>
        <w:jc w:val="center"/>
        <w:rPr>
          <w:rFonts w:hint="eastAsia" w:ascii="仿宋" w:hAnsi="仿宋" w:eastAsia="仿宋" w:cs="仿宋_GB2312"/>
          <w:color w:val="auto"/>
          <w:sz w:val="24"/>
          <w:highlight w:val="none"/>
        </w:rPr>
      </w:pPr>
    </w:p>
    <w:p w14:paraId="21F8B07E">
      <w:pPr>
        <w:autoSpaceDE w:val="0"/>
        <w:autoSpaceDN w:val="0"/>
        <w:adjustRightInd w:val="0"/>
        <w:spacing w:line="360" w:lineRule="auto"/>
        <w:jc w:val="center"/>
        <w:rPr>
          <w:rFonts w:hint="eastAsia" w:ascii="仿宋" w:hAnsi="仿宋" w:eastAsia="仿宋" w:cs="仿宋_GB2312"/>
          <w:color w:val="auto"/>
          <w:sz w:val="24"/>
          <w:highlight w:val="none"/>
        </w:rPr>
      </w:pPr>
    </w:p>
    <w:p w14:paraId="10AB3F42">
      <w:pPr>
        <w:autoSpaceDE w:val="0"/>
        <w:autoSpaceDN w:val="0"/>
        <w:adjustRightInd w:val="0"/>
        <w:spacing w:line="360" w:lineRule="auto"/>
        <w:jc w:val="center"/>
        <w:rPr>
          <w:rFonts w:hint="eastAsia" w:ascii="仿宋" w:hAnsi="仿宋" w:eastAsia="仿宋" w:cs="仿宋_GB2312"/>
          <w:color w:val="auto"/>
          <w:sz w:val="24"/>
          <w:highlight w:val="none"/>
        </w:rPr>
      </w:pPr>
    </w:p>
    <w:p w14:paraId="46A93620">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遴选响应人（电子签名）：</w:t>
      </w:r>
    </w:p>
    <w:p w14:paraId="667189E3">
      <w:pPr>
        <w:autoSpaceDE w:val="0"/>
        <w:autoSpaceDN w:val="0"/>
        <w:adjustRightInd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   月   日</w:t>
      </w:r>
    </w:p>
    <w:p w14:paraId="42BDC3BE">
      <w:pPr>
        <w:autoSpaceDE w:val="0"/>
        <w:autoSpaceDN w:val="0"/>
        <w:adjustRightInd w:val="0"/>
        <w:spacing w:line="360" w:lineRule="auto"/>
        <w:jc w:val="center"/>
        <w:rPr>
          <w:rFonts w:hint="eastAsia" w:ascii="仿宋" w:hAnsi="仿宋" w:eastAsia="仿宋" w:cs="仿宋_GB2312"/>
          <w:color w:val="auto"/>
          <w:sz w:val="24"/>
          <w:highlight w:val="none"/>
        </w:rPr>
      </w:pPr>
    </w:p>
    <w:p w14:paraId="276DA51A">
      <w:pPr>
        <w:overflowPunct w:val="0"/>
        <w:adjustRightInd w:val="0"/>
        <w:snapToGrid w:val="0"/>
        <w:spacing w:line="580" w:lineRule="exact"/>
        <w:jc w:val="left"/>
        <w:rPr>
          <w:b/>
          <w:color w:val="auto"/>
          <w:sz w:val="24"/>
          <w:highlight w:val="none"/>
        </w:rPr>
      </w:pPr>
    </w:p>
    <w:p w14:paraId="11122103">
      <w:pPr>
        <w:overflowPunct w:val="0"/>
        <w:adjustRightInd w:val="0"/>
        <w:snapToGrid w:val="0"/>
        <w:spacing w:line="580" w:lineRule="exact"/>
        <w:jc w:val="left"/>
        <w:rPr>
          <w:b/>
          <w:color w:val="auto"/>
          <w:sz w:val="24"/>
          <w:highlight w:val="none"/>
        </w:rPr>
      </w:pPr>
    </w:p>
    <w:p w14:paraId="5C81E397">
      <w:pPr>
        <w:overflowPunct w:val="0"/>
        <w:adjustRightInd w:val="0"/>
        <w:snapToGrid w:val="0"/>
        <w:spacing w:line="580" w:lineRule="exact"/>
        <w:jc w:val="left"/>
        <w:rPr>
          <w:b/>
          <w:color w:val="auto"/>
          <w:sz w:val="24"/>
          <w:highlight w:val="none"/>
        </w:rPr>
      </w:pPr>
    </w:p>
    <w:p w14:paraId="09AB1168">
      <w:pPr>
        <w:overflowPunct w:val="0"/>
        <w:adjustRightInd w:val="0"/>
        <w:snapToGrid w:val="0"/>
        <w:spacing w:line="580" w:lineRule="exact"/>
        <w:jc w:val="left"/>
        <w:rPr>
          <w:b/>
          <w:color w:val="auto"/>
          <w:sz w:val="24"/>
          <w:highlight w:val="none"/>
        </w:rPr>
      </w:pPr>
    </w:p>
    <w:p w14:paraId="0A8C7E81">
      <w:pPr>
        <w:overflowPunct w:val="0"/>
        <w:adjustRightInd w:val="0"/>
        <w:snapToGrid w:val="0"/>
        <w:spacing w:line="580" w:lineRule="exact"/>
        <w:jc w:val="left"/>
        <w:rPr>
          <w:b/>
          <w:color w:val="auto"/>
          <w:sz w:val="24"/>
          <w:highlight w:val="none"/>
        </w:rPr>
      </w:pPr>
    </w:p>
    <w:p w14:paraId="10CBB6EF">
      <w:pPr>
        <w:overflowPunct w:val="0"/>
        <w:adjustRightInd w:val="0"/>
        <w:snapToGrid w:val="0"/>
        <w:spacing w:line="580" w:lineRule="exact"/>
        <w:jc w:val="left"/>
        <w:rPr>
          <w:b/>
          <w:color w:val="auto"/>
          <w:sz w:val="24"/>
          <w:highlight w:val="none"/>
        </w:rPr>
      </w:pPr>
    </w:p>
    <w:p w14:paraId="483CCE52">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lang w:val="en-US" w:eastAsia="zh-CN"/>
        </w:rPr>
        <w:t>七</w:t>
      </w:r>
      <w:r>
        <w:rPr>
          <w:rFonts w:hint="eastAsia" w:ascii="仿宋" w:hAnsi="仿宋" w:eastAsia="仿宋" w:cs="仿宋_GB2312"/>
          <w:b/>
          <w:bCs/>
          <w:color w:val="auto"/>
          <w:sz w:val="32"/>
          <w:szCs w:val="32"/>
          <w:highlight w:val="none"/>
        </w:rPr>
        <w:t>、售后服务方案（如有）</w:t>
      </w:r>
    </w:p>
    <w:p w14:paraId="1CFAFABA">
      <w:pPr>
        <w:autoSpaceDE w:val="0"/>
        <w:autoSpaceDN w:val="0"/>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根据采购需求及</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要求编制）</w:t>
      </w:r>
    </w:p>
    <w:p w14:paraId="5CA00A82">
      <w:pPr>
        <w:spacing w:line="360" w:lineRule="auto"/>
        <w:rPr>
          <w:rFonts w:hint="eastAsia" w:ascii="仿宋" w:hAnsi="仿宋" w:eastAsia="仿宋" w:cs="仿宋_GB2312"/>
          <w:color w:val="auto"/>
          <w:sz w:val="24"/>
          <w:highlight w:val="none"/>
        </w:rPr>
      </w:pPr>
    </w:p>
    <w:p w14:paraId="71497FB6">
      <w:pPr>
        <w:spacing w:line="360" w:lineRule="auto"/>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br w:type="textWrapping"/>
      </w:r>
    </w:p>
    <w:p w14:paraId="7149F4BF">
      <w:pPr>
        <w:spacing w:line="240" w:lineRule="auto"/>
        <w:jc w:val="left"/>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br w:type="page"/>
      </w:r>
    </w:p>
    <w:p w14:paraId="4EA44374">
      <w:pPr>
        <w:spacing w:line="360" w:lineRule="auto"/>
        <w:jc w:val="cente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lang w:val="en-US" w:eastAsia="zh-CN"/>
        </w:rPr>
        <w:t>八</w:t>
      </w:r>
      <w:r>
        <w:rPr>
          <w:rFonts w:hint="eastAsia" w:ascii="仿宋" w:hAnsi="仿宋" w:eastAsia="仿宋" w:cs="仿宋_GB2312"/>
          <w:b/>
          <w:bCs/>
          <w:color w:val="auto"/>
          <w:sz w:val="32"/>
          <w:szCs w:val="32"/>
          <w:highlight w:val="none"/>
        </w:rPr>
        <w:t>、</w:t>
      </w:r>
      <w:r>
        <w:rPr>
          <w:rFonts w:hint="eastAsia" w:ascii="仿宋" w:hAnsi="仿宋" w:eastAsia="仿宋" w:cs="仿宋_GB2312"/>
          <w:b/>
          <w:color w:val="auto"/>
          <w:kern w:val="0"/>
          <w:sz w:val="32"/>
          <w:szCs w:val="32"/>
          <w:highlight w:val="none"/>
          <w:lang w:val="zh-CN"/>
        </w:rPr>
        <w:t>优惠条件及特殊承诺（如有）</w:t>
      </w:r>
    </w:p>
    <w:p w14:paraId="32CA5FFA">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根据采购需求及</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要求编制）</w:t>
      </w:r>
    </w:p>
    <w:p w14:paraId="6885306B">
      <w:pPr>
        <w:spacing w:line="360" w:lineRule="auto"/>
        <w:rPr>
          <w:rFonts w:ascii="仿宋" w:hAnsi="仿宋" w:eastAsia="仿宋" w:cs="仿宋_GB2312"/>
          <w:b/>
          <w:bCs/>
          <w:color w:val="auto"/>
          <w:sz w:val="32"/>
          <w:szCs w:val="32"/>
          <w:highlight w:val="none"/>
        </w:rPr>
      </w:pPr>
    </w:p>
    <w:p w14:paraId="3538EB79">
      <w:pPr>
        <w:spacing w:line="360" w:lineRule="auto"/>
        <w:rPr>
          <w:rFonts w:ascii="仿宋" w:hAnsi="仿宋" w:eastAsia="仿宋" w:cs="仿宋_GB2312"/>
          <w:b/>
          <w:bCs/>
          <w:color w:val="auto"/>
          <w:sz w:val="32"/>
          <w:szCs w:val="32"/>
          <w:highlight w:val="none"/>
        </w:rPr>
      </w:pPr>
    </w:p>
    <w:p w14:paraId="14A23733">
      <w:pPr>
        <w:spacing w:line="360" w:lineRule="auto"/>
        <w:rPr>
          <w:rFonts w:ascii="仿宋" w:hAnsi="仿宋" w:eastAsia="仿宋" w:cs="仿宋_GB2312"/>
          <w:b/>
          <w:bCs/>
          <w:color w:val="auto"/>
          <w:sz w:val="32"/>
          <w:szCs w:val="32"/>
          <w:highlight w:val="none"/>
        </w:rPr>
      </w:pPr>
    </w:p>
    <w:p w14:paraId="0BE15975">
      <w:pPr>
        <w:spacing w:line="360" w:lineRule="auto"/>
        <w:rPr>
          <w:rFonts w:ascii="仿宋" w:hAnsi="仿宋" w:eastAsia="仿宋" w:cs="仿宋_GB2312"/>
          <w:b/>
          <w:bCs/>
          <w:color w:val="auto"/>
          <w:sz w:val="32"/>
          <w:szCs w:val="32"/>
          <w:highlight w:val="none"/>
        </w:rPr>
      </w:pPr>
    </w:p>
    <w:p w14:paraId="75AC988F">
      <w:pPr>
        <w:spacing w:line="360" w:lineRule="auto"/>
        <w:rPr>
          <w:rFonts w:ascii="仿宋" w:hAnsi="仿宋" w:eastAsia="仿宋" w:cs="仿宋_GB2312"/>
          <w:b/>
          <w:bCs/>
          <w:color w:val="auto"/>
          <w:sz w:val="32"/>
          <w:szCs w:val="32"/>
          <w:highlight w:val="none"/>
        </w:rPr>
      </w:pPr>
    </w:p>
    <w:p w14:paraId="1F2C5CBF">
      <w:pPr>
        <w:spacing w:line="360" w:lineRule="auto"/>
        <w:rPr>
          <w:rFonts w:ascii="仿宋" w:hAnsi="仿宋" w:eastAsia="仿宋" w:cs="仿宋_GB2312"/>
          <w:b/>
          <w:bCs/>
          <w:color w:val="auto"/>
          <w:sz w:val="32"/>
          <w:szCs w:val="32"/>
          <w:highlight w:val="none"/>
        </w:rPr>
      </w:pPr>
    </w:p>
    <w:p w14:paraId="2C2515B1">
      <w:pPr>
        <w:spacing w:line="360" w:lineRule="auto"/>
        <w:rPr>
          <w:rFonts w:ascii="仿宋" w:hAnsi="仿宋" w:eastAsia="仿宋" w:cs="仿宋_GB2312"/>
          <w:b/>
          <w:bCs/>
          <w:color w:val="auto"/>
          <w:sz w:val="32"/>
          <w:szCs w:val="32"/>
          <w:highlight w:val="none"/>
        </w:rPr>
      </w:pPr>
    </w:p>
    <w:p w14:paraId="1D16DDBB">
      <w:pPr>
        <w:spacing w:line="360" w:lineRule="auto"/>
        <w:rPr>
          <w:rFonts w:ascii="仿宋" w:hAnsi="仿宋" w:eastAsia="仿宋" w:cs="仿宋_GB2312"/>
          <w:b/>
          <w:bCs/>
          <w:color w:val="auto"/>
          <w:sz w:val="32"/>
          <w:szCs w:val="32"/>
          <w:highlight w:val="none"/>
        </w:rPr>
      </w:pPr>
    </w:p>
    <w:p w14:paraId="483EFAE9">
      <w:pPr>
        <w:spacing w:line="360" w:lineRule="auto"/>
        <w:rPr>
          <w:rFonts w:ascii="仿宋" w:hAnsi="仿宋" w:eastAsia="仿宋" w:cs="仿宋_GB2312"/>
          <w:b/>
          <w:bCs/>
          <w:color w:val="auto"/>
          <w:sz w:val="32"/>
          <w:szCs w:val="32"/>
          <w:highlight w:val="none"/>
        </w:rPr>
      </w:pPr>
    </w:p>
    <w:p w14:paraId="0BF56548">
      <w:pPr>
        <w:spacing w:line="360" w:lineRule="auto"/>
        <w:rPr>
          <w:rFonts w:ascii="仿宋" w:hAnsi="仿宋" w:eastAsia="仿宋" w:cs="仿宋_GB2312"/>
          <w:b/>
          <w:bCs/>
          <w:color w:val="auto"/>
          <w:sz w:val="32"/>
          <w:szCs w:val="32"/>
          <w:highlight w:val="none"/>
        </w:rPr>
      </w:pPr>
    </w:p>
    <w:p w14:paraId="74492CEA">
      <w:pPr>
        <w:spacing w:line="360" w:lineRule="auto"/>
        <w:rPr>
          <w:rFonts w:ascii="仿宋" w:hAnsi="仿宋" w:eastAsia="仿宋" w:cs="仿宋_GB2312"/>
          <w:b/>
          <w:bCs/>
          <w:color w:val="auto"/>
          <w:sz w:val="32"/>
          <w:szCs w:val="32"/>
          <w:highlight w:val="none"/>
        </w:rPr>
      </w:pPr>
    </w:p>
    <w:p w14:paraId="797D5B7E">
      <w:pPr>
        <w:spacing w:line="360" w:lineRule="auto"/>
        <w:rPr>
          <w:rFonts w:ascii="仿宋" w:hAnsi="仿宋" w:eastAsia="仿宋" w:cs="仿宋_GB2312"/>
          <w:b/>
          <w:bCs/>
          <w:color w:val="auto"/>
          <w:sz w:val="32"/>
          <w:szCs w:val="32"/>
          <w:highlight w:val="none"/>
        </w:rPr>
      </w:pPr>
    </w:p>
    <w:p w14:paraId="490A6276">
      <w:pPr>
        <w:spacing w:line="360" w:lineRule="auto"/>
        <w:rPr>
          <w:rFonts w:ascii="仿宋" w:hAnsi="仿宋" w:eastAsia="仿宋" w:cs="仿宋_GB2312"/>
          <w:b/>
          <w:bCs/>
          <w:color w:val="auto"/>
          <w:sz w:val="32"/>
          <w:szCs w:val="32"/>
          <w:highlight w:val="none"/>
        </w:rPr>
      </w:pPr>
    </w:p>
    <w:p w14:paraId="63E8A02C">
      <w:pPr>
        <w:spacing w:line="360" w:lineRule="auto"/>
        <w:rPr>
          <w:rFonts w:ascii="仿宋" w:hAnsi="仿宋" w:eastAsia="仿宋" w:cs="仿宋_GB2312"/>
          <w:b/>
          <w:bCs/>
          <w:color w:val="auto"/>
          <w:sz w:val="32"/>
          <w:szCs w:val="32"/>
          <w:highlight w:val="none"/>
        </w:rPr>
      </w:pPr>
    </w:p>
    <w:p w14:paraId="59A5183C">
      <w:pPr>
        <w:spacing w:line="360" w:lineRule="auto"/>
        <w:rPr>
          <w:rFonts w:ascii="仿宋" w:hAnsi="仿宋" w:eastAsia="仿宋" w:cs="仿宋_GB2312"/>
          <w:b/>
          <w:bCs/>
          <w:color w:val="auto"/>
          <w:sz w:val="32"/>
          <w:szCs w:val="32"/>
          <w:highlight w:val="none"/>
        </w:rPr>
      </w:pPr>
    </w:p>
    <w:p w14:paraId="327EB011">
      <w:pPr>
        <w:spacing w:line="360" w:lineRule="auto"/>
        <w:rPr>
          <w:rFonts w:ascii="仿宋" w:hAnsi="仿宋" w:eastAsia="仿宋" w:cs="仿宋_GB2312"/>
          <w:b/>
          <w:bCs/>
          <w:color w:val="auto"/>
          <w:sz w:val="32"/>
          <w:szCs w:val="32"/>
          <w:highlight w:val="none"/>
        </w:rPr>
      </w:pPr>
    </w:p>
    <w:p w14:paraId="1EE9AE0D">
      <w:pPr>
        <w:spacing w:line="360" w:lineRule="auto"/>
        <w:rPr>
          <w:rFonts w:ascii="仿宋" w:hAnsi="仿宋" w:eastAsia="仿宋" w:cs="仿宋_GB2312"/>
          <w:b/>
          <w:bCs/>
          <w:color w:val="auto"/>
          <w:sz w:val="32"/>
          <w:szCs w:val="32"/>
          <w:highlight w:val="none"/>
        </w:rPr>
      </w:pPr>
    </w:p>
    <w:p w14:paraId="3E29A5D9">
      <w:pPr>
        <w:jc w:val="center"/>
        <w:rPr>
          <w:rFonts w:hint="eastAsia" w:ascii="仿宋" w:hAnsi="仿宋" w:eastAsia="仿宋" w:cs="仿宋_GB2312"/>
          <w:b/>
          <w:color w:val="auto"/>
          <w:kern w:val="0"/>
          <w:sz w:val="32"/>
          <w:szCs w:val="32"/>
          <w:highlight w:val="none"/>
          <w:lang w:val="en-US" w:eastAsia="zh-CN" w:bidi="ar-SA"/>
        </w:rPr>
      </w:pPr>
      <w:r>
        <w:rPr>
          <w:rFonts w:hint="eastAsia" w:ascii="仿宋" w:hAnsi="仿宋" w:eastAsia="仿宋" w:cs="仿宋_GB2312"/>
          <w:b/>
          <w:color w:val="auto"/>
          <w:kern w:val="0"/>
          <w:sz w:val="32"/>
          <w:szCs w:val="32"/>
          <w:highlight w:val="none"/>
          <w:lang w:val="en-US" w:eastAsia="zh-CN" w:bidi="ar-SA"/>
        </w:rPr>
        <w:br w:type="page"/>
      </w:r>
    </w:p>
    <w:p w14:paraId="6C13C81B">
      <w:pPr>
        <w:pStyle w:val="19"/>
        <w:ind w:firstLine="480"/>
        <w:jc w:val="center"/>
        <w:rPr>
          <w:rFonts w:hint="eastAsia" w:ascii="仿宋" w:hAnsi="仿宋" w:eastAsia="仿宋" w:cs="仿宋_GB2312"/>
          <w:b/>
          <w:color w:val="auto"/>
          <w:kern w:val="0"/>
          <w:sz w:val="32"/>
          <w:szCs w:val="32"/>
          <w:highlight w:val="none"/>
          <w:lang w:val="en-US" w:eastAsia="zh-CN" w:bidi="ar-SA"/>
        </w:rPr>
      </w:pPr>
      <w:r>
        <w:rPr>
          <w:rFonts w:hint="eastAsia" w:ascii="仿宋" w:hAnsi="仿宋" w:eastAsia="仿宋" w:cs="仿宋_GB2312"/>
          <w:b/>
          <w:color w:val="auto"/>
          <w:kern w:val="0"/>
          <w:sz w:val="32"/>
          <w:szCs w:val="32"/>
          <w:highlight w:val="none"/>
          <w:lang w:val="en-US" w:eastAsia="zh-CN" w:bidi="ar-SA"/>
        </w:rPr>
        <w:t>九、遴选响应承诺书</w:t>
      </w:r>
    </w:p>
    <w:p w14:paraId="3A595294">
      <w:pPr>
        <w:spacing w:line="480" w:lineRule="exact"/>
        <w:ind w:firstLine="480" w:firstLineChars="200"/>
        <w:rPr>
          <w:color w:val="auto"/>
          <w:kern w:val="0"/>
          <w:sz w:val="24"/>
          <w:highlight w:val="none"/>
          <w:lang w:val="zh-CN"/>
        </w:rPr>
      </w:pPr>
      <w:r>
        <w:rPr>
          <w:color w:val="auto"/>
          <w:sz w:val="24"/>
          <w:highlight w:val="none"/>
        </w:rPr>
        <w:t>针对本遴选项目，我公司郑重承诺：</w:t>
      </w:r>
      <w:r>
        <w:rPr>
          <w:color w:val="auto"/>
          <w:kern w:val="0"/>
          <w:sz w:val="24"/>
          <w:highlight w:val="none"/>
          <w:lang w:val="zh-CN"/>
        </w:rPr>
        <w:t>本单位自愿参加</w:t>
      </w:r>
      <w:r>
        <w:rPr>
          <w:color w:val="auto"/>
          <w:kern w:val="0"/>
          <w:sz w:val="24"/>
          <w:highlight w:val="none"/>
          <w:u w:val="single"/>
          <w:lang w:val="zh-CN"/>
        </w:rPr>
        <w:t xml:space="preserve">     </w:t>
      </w:r>
      <w:r>
        <w:rPr>
          <w:color w:val="auto"/>
          <w:sz w:val="24"/>
          <w:highlight w:val="none"/>
          <w:u w:val="single"/>
        </w:rPr>
        <w:t xml:space="preserve">           项目</w:t>
      </w:r>
      <w:r>
        <w:rPr>
          <w:color w:val="auto"/>
          <w:kern w:val="0"/>
          <w:sz w:val="24"/>
          <w:highlight w:val="none"/>
          <w:lang w:val="zh-CN"/>
        </w:rPr>
        <w:t>的遴选响应。</w:t>
      </w:r>
    </w:p>
    <w:p w14:paraId="6D0ECF06">
      <w:pPr>
        <w:spacing w:line="480" w:lineRule="exact"/>
        <w:ind w:firstLine="480" w:firstLineChars="200"/>
        <w:rPr>
          <w:color w:val="auto"/>
          <w:sz w:val="24"/>
          <w:highlight w:val="none"/>
        </w:rPr>
      </w:pPr>
      <w:r>
        <w:rPr>
          <w:color w:val="auto"/>
          <w:kern w:val="0"/>
          <w:sz w:val="24"/>
          <w:highlight w:val="none"/>
          <w:lang w:val="zh-CN"/>
        </w:rPr>
        <w:t>1.本公司承诺参加此次遴选活动，</w:t>
      </w:r>
      <w:r>
        <w:rPr>
          <w:color w:val="auto"/>
          <w:kern w:val="0"/>
          <w:sz w:val="24"/>
          <w:highlight w:val="none"/>
        </w:rPr>
        <w:t>不存在影响此次遴选的</w:t>
      </w:r>
      <w:r>
        <w:rPr>
          <w:color w:val="auto"/>
          <w:kern w:val="0"/>
          <w:sz w:val="24"/>
          <w:highlight w:val="none"/>
          <w:lang w:val="zh-CN"/>
        </w:rPr>
        <w:t>重大违法记录。</w:t>
      </w:r>
    </w:p>
    <w:p w14:paraId="7E081BB4">
      <w:pPr>
        <w:spacing w:line="480" w:lineRule="exact"/>
        <w:ind w:firstLine="480" w:firstLineChars="200"/>
        <w:rPr>
          <w:color w:val="auto"/>
          <w:sz w:val="24"/>
          <w:highlight w:val="none"/>
        </w:rPr>
      </w:pPr>
      <w:r>
        <w:rPr>
          <w:color w:val="auto"/>
          <w:sz w:val="24"/>
          <w:highlight w:val="none"/>
        </w:rPr>
        <w:t>2.本公司所遴选响应项填列的技术参数、配置、服务、数量等相关内容都是真实、准确的。</w:t>
      </w:r>
    </w:p>
    <w:p w14:paraId="1A6707C4">
      <w:pPr>
        <w:spacing w:line="480" w:lineRule="exact"/>
        <w:ind w:left="540" w:leftChars="257"/>
        <w:rPr>
          <w:color w:val="auto"/>
          <w:sz w:val="24"/>
          <w:highlight w:val="none"/>
        </w:rPr>
      </w:pPr>
      <w:r>
        <w:rPr>
          <w:color w:val="auto"/>
          <w:sz w:val="24"/>
          <w:highlight w:val="none"/>
        </w:rPr>
        <w:t>3.本公司保证在本次遴选项目中所提供的资料全部真实和合法。</w:t>
      </w:r>
    </w:p>
    <w:p w14:paraId="2DE69F2B">
      <w:pPr>
        <w:spacing w:line="480" w:lineRule="exact"/>
        <w:ind w:left="540" w:leftChars="257"/>
        <w:rPr>
          <w:color w:val="auto"/>
          <w:sz w:val="24"/>
          <w:highlight w:val="none"/>
        </w:rPr>
      </w:pPr>
      <w:r>
        <w:rPr>
          <w:color w:val="auto"/>
          <w:sz w:val="24"/>
          <w:highlight w:val="none"/>
        </w:rPr>
        <w:t>4.本公司保证绝不采取不正当手段诋毁排挤其他遴选响应人。</w:t>
      </w:r>
    </w:p>
    <w:p w14:paraId="62369C96">
      <w:pPr>
        <w:spacing w:line="480" w:lineRule="exact"/>
        <w:ind w:firstLine="540" w:firstLineChars="225"/>
        <w:rPr>
          <w:color w:val="auto"/>
          <w:sz w:val="24"/>
          <w:highlight w:val="none"/>
        </w:rPr>
      </w:pPr>
      <w:r>
        <w:rPr>
          <w:color w:val="auto"/>
          <w:sz w:val="24"/>
          <w:highlight w:val="none"/>
        </w:rPr>
        <w:t>5.本公司保证绝不向遴选人、遴选人有关工作人员提供不正当利益，以影响遴选结果的公正性。</w:t>
      </w:r>
    </w:p>
    <w:p w14:paraId="07DC464C">
      <w:pPr>
        <w:autoSpaceDE w:val="0"/>
        <w:autoSpaceDN w:val="0"/>
        <w:adjustRightInd w:val="0"/>
        <w:spacing w:line="440" w:lineRule="exact"/>
        <w:ind w:firstLine="480"/>
        <w:rPr>
          <w:color w:val="auto"/>
          <w:kern w:val="0"/>
          <w:sz w:val="24"/>
          <w:highlight w:val="none"/>
        </w:rPr>
      </w:pPr>
      <w:r>
        <w:rPr>
          <w:color w:val="auto"/>
          <w:kern w:val="0"/>
          <w:sz w:val="24"/>
          <w:highlight w:val="none"/>
          <w:lang w:val="zh-CN"/>
        </w:rPr>
        <w:t>6.同意此次遴选文件中的各项内容。</w:t>
      </w:r>
    </w:p>
    <w:p w14:paraId="5949BBE1">
      <w:pPr>
        <w:autoSpaceDE w:val="0"/>
        <w:autoSpaceDN w:val="0"/>
        <w:adjustRightInd w:val="0"/>
        <w:spacing w:line="440" w:lineRule="exact"/>
        <w:ind w:firstLine="480"/>
        <w:rPr>
          <w:color w:val="auto"/>
          <w:kern w:val="0"/>
          <w:sz w:val="24"/>
          <w:highlight w:val="none"/>
        </w:rPr>
      </w:pPr>
      <w:r>
        <w:rPr>
          <w:color w:val="auto"/>
          <w:kern w:val="0"/>
          <w:sz w:val="24"/>
          <w:highlight w:val="none"/>
        </w:rPr>
        <w:t>7.</w:t>
      </w:r>
      <w:r>
        <w:rPr>
          <w:color w:val="auto"/>
          <w:kern w:val="0"/>
          <w:sz w:val="24"/>
          <w:highlight w:val="none"/>
          <w:lang w:val="zh-CN"/>
        </w:rPr>
        <w:t>同意提供按照贵方可能要求的与遴选响应有关的一切数据或资料等。</w:t>
      </w:r>
    </w:p>
    <w:p w14:paraId="7A9B02E3">
      <w:pPr>
        <w:autoSpaceDE w:val="0"/>
        <w:autoSpaceDN w:val="0"/>
        <w:adjustRightInd w:val="0"/>
        <w:spacing w:line="440" w:lineRule="exact"/>
        <w:ind w:firstLine="480"/>
        <w:rPr>
          <w:color w:val="auto"/>
          <w:kern w:val="0"/>
          <w:sz w:val="24"/>
          <w:highlight w:val="none"/>
        </w:rPr>
      </w:pPr>
      <w:r>
        <w:rPr>
          <w:color w:val="auto"/>
          <w:kern w:val="0"/>
          <w:sz w:val="24"/>
          <w:highlight w:val="none"/>
        </w:rPr>
        <w:t>8.本单位如为中选人，保证按照申报文件的承诺与贵方签订合同，保证履行合同条款。</w:t>
      </w:r>
    </w:p>
    <w:p w14:paraId="2EA4647E">
      <w:pPr>
        <w:autoSpaceDE w:val="0"/>
        <w:autoSpaceDN w:val="0"/>
        <w:adjustRightInd w:val="0"/>
        <w:spacing w:line="440" w:lineRule="exact"/>
        <w:ind w:firstLine="480"/>
        <w:rPr>
          <w:color w:val="auto"/>
          <w:kern w:val="0"/>
          <w:sz w:val="24"/>
          <w:highlight w:val="none"/>
        </w:rPr>
      </w:pPr>
      <w:r>
        <w:rPr>
          <w:color w:val="auto"/>
          <w:kern w:val="0"/>
          <w:sz w:val="24"/>
          <w:highlight w:val="none"/>
        </w:rPr>
        <w:t>如有违反以上承诺，本公司愿意接受遴选人对申报文件作无效的处理，并承担相关的一切责任及后果。</w:t>
      </w:r>
    </w:p>
    <w:p w14:paraId="64385B52">
      <w:pPr>
        <w:spacing w:line="480" w:lineRule="exact"/>
        <w:rPr>
          <w:color w:val="auto"/>
          <w:sz w:val="24"/>
          <w:highlight w:val="none"/>
        </w:rPr>
      </w:pPr>
    </w:p>
    <w:p w14:paraId="483677D7">
      <w:pPr>
        <w:spacing w:line="480" w:lineRule="exact"/>
        <w:jc w:val="right"/>
        <w:rPr>
          <w:color w:val="auto"/>
          <w:sz w:val="24"/>
          <w:highlight w:val="none"/>
        </w:rPr>
      </w:pPr>
      <w:r>
        <w:rPr>
          <w:color w:val="auto"/>
          <w:sz w:val="24"/>
          <w:highlight w:val="none"/>
        </w:rPr>
        <w:t>遴选响应人（盖章）：</w:t>
      </w:r>
    </w:p>
    <w:p w14:paraId="7DF50689">
      <w:pPr>
        <w:overflowPunct w:val="0"/>
        <w:adjustRightInd w:val="0"/>
        <w:snapToGrid w:val="0"/>
        <w:spacing w:line="580" w:lineRule="exact"/>
        <w:jc w:val="right"/>
        <w:rPr>
          <w:color w:val="auto"/>
          <w:sz w:val="24"/>
          <w:highlight w:val="none"/>
        </w:rPr>
      </w:pPr>
      <w:r>
        <w:rPr>
          <w:color w:val="auto"/>
          <w:sz w:val="24"/>
          <w:highlight w:val="none"/>
        </w:rPr>
        <w:t>年   月   日</w:t>
      </w:r>
    </w:p>
    <w:p w14:paraId="4EFF9783">
      <w:pPr>
        <w:spacing w:line="360" w:lineRule="auto"/>
        <w:jc w:val="center"/>
        <w:rPr>
          <w:rFonts w:hint="eastAsia" w:ascii="仿宋" w:hAnsi="仿宋" w:eastAsia="仿宋" w:cs="仿宋_GB2312"/>
          <w:b/>
          <w:bCs/>
          <w:color w:val="auto"/>
          <w:sz w:val="32"/>
          <w:szCs w:val="32"/>
          <w:highlight w:val="none"/>
        </w:rPr>
      </w:pPr>
      <w:r>
        <w:rPr>
          <w:rFonts w:ascii="Times New Roman" w:eastAsia="宋体"/>
          <w:color w:val="auto"/>
          <w:highlight w:val="none"/>
        </w:rPr>
        <w:br w:type="page"/>
      </w:r>
      <w:r>
        <w:rPr>
          <w:rFonts w:hint="eastAsia" w:ascii="仿宋" w:hAnsi="仿宋" w:eastAsia="仿宋" w:cs="仿宋_GB2312"/>
          <w:b/>
          <w:bCs/>
          <w:color w:val="auto"/>
          <w:sz w:val="32"/>
          <w:szCs w:val="32"/>
          <w:highlight w:val="none"/>
          <w:lang w:val="en-US" w:eastAsia="zh-CN"/>
        </w:rPr>
        <w:t>十</w:t>
      </w:r>
      <w:r>
        <w:rPr>
          <w:rFonts w:hint="eastAsia" w:ascii="仿宋" w:hAnsi="仿宋" w:eastAsia="仿宋" w:cs="仿宋_GB2312"/>
          <w:b/>
          <w:bCs/>
          <w:color w:val="auto"/>
          <w:sz w:val="32"/>
          <w:szCs w:val="32"/>
          <w:highlight w:val="none"/>
        </w:rPr>
        <w:t>、</w:t>
      </w:r>
      <w:r>
        <w:rPr>
          <w:rFonts w:hint="eastAsia" w:ascii="仿宋" w:hAnsi="仿宋" w:eastAsia="仿宋" w:cs="仿宋_GB2312"/>
          <w:b/>
          <w:bCs/>
          <w:color w:val="auto"/>
          <w:sz w:val="32"/>
          <w:szCs w:val="32"/>
          <w:highlight w:val="none"/>
          <w:lang w:eastAsia="zh-CN"/>
        </w:rPr>
        <w:t>遴选响应人</w:t>
      </w:r>
      <w:r>
        <w:rPr>
          <w:rFonts w:hint="eastAsia" w:ascii="仿宋" w:hAnsi="仿宋" w:eastAsia="仿宋" w:cs="仿宋_GB2312"/>
          <w:b/>
          <w:bCs/>
          <w:color w:val="auto"/>
          <w:sz w:val="32"/>
          <w:szCs w:val="32"/>
          <w:highlight w:val="none"/>
        </w:rPr>
        <w:t>认为需要的其他商务技术文件或说明</w:t>
      </w:r>
    </w:p>
    <w:p w14:paraId="523BABD5">
      <w:pPr>
        <w:spacing w:line="360" w:lineRule="auto"/>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w:t>
      </w:r>
      <w:r>
        <w:rPr>
          <w:rFonts w:hint="eastAsia" w:ascii="仿宋" w:hAnsi="仿宋" w:eastAsia="仿宋" w:cs="仿宋_GB2312"/>
          <w:color w:val="auto"/>
          <w:sz w:val="24"/>
          <w:highlight w:val="none"/>
          <w:lang w:eastAsia="zh-CN"/>
        </w:rPr>
        <w:t>遴选响应人</w:t>
      </w:r>
      <w:r>
        <w:rPr>
          <w:rFonts w:hint="eastAsia" w:ascii="仿宋" w:hAnsi="仿宋" w:eastAsia="仿宋" w:cs="仿宋_GB2312"/>
          <w:color w:val="auto"/>
          <w:sz w:val="24"/>
          <w:highlight w:val="none"/>
        </w:rPr>
        <w:t>根据采购需求及</w:t>
      </w:r>
      <w:r>
        <w:rPr>
          <w:rFonts w:hint="eastAsia" w:ascii="仿宋" w:hAnsi="仿宋" w:eastAsia="仿宋" w:cs="仿宋_GB2312"/>
          <w:color w:val="auto"/>
          <w:sz w:val="24"/>
          <w:highlight w:val="none"/>
          <w:lang w:eastAsia="zh-CN"/>
        </w:rPr>
        <w:t>遴选文件</w:t>
      </w:r>
      <w:r>
        <w:rPr>
          <w:rFonts w:hint="eastAsia" w:ascii="仿宋" w:hAnsi="仿宋" w:eastAsia="仿宋" w:cs="仿宋_GB2312"/>
          <w:color w:val="auto"/>
          <w:sz w:val="24"/>
          <w:highlight w:val="none"/>
        </w:rPr>
        <w:t>要求编制）</w:t>
      </w:r>
    </w:p>
    <w:p w14:paraId="05F4BAD0">
      <w:pPr>
        <w:spacing w:line="360" w:lineRule="auto"/>
        <w:jc w:val="center"/>
        <w:rPr>
          <w:rFonts w:hint="eastAsia" w:ascii="仿宋" w:hAnsi="仿宋" w:eastAsia="仿宋" w:cs="仿宋_GB2312"/>
          <w:color w:val="auto"/>
          <w:sz w:val="24"/>
          <w:highlight w:val="none"/>
        </w:rPr>
      </w:pPr>
    </w:p>
    <w:p w14:paraId="0166CD41">
      <w:pPr>
        <w:spacing w:line="360" w:lineRule="auto"/>
        <w:jc w:val="center"/>
        <w:rPr>
          <w:rFonts w:hint="eastAsia" w:ascii="仿宋" w:hAnsi="仿宋" w:eastAsia="仿宋" w:cs="仿宋_GB2312"/>
          <w:color w:val="auto"/>
          <w:sz w:val="24"/>
          <w:highlight w:val="none"/>
        </w:rPr>
      </w:pPr>
    </w:p>
    <w:p w14:paraId="02337594">
      <w:pPr>
        <w:spacing w:line="360" w:lineRule="auto"/>
        <w:jc w:val="center"/>
        <w:rPr>
          <w:rFonts w:hint="eastAsia" w:ascii="仿宋" w:hAnsi="仿宋" w:eastAsia="仿宋" w:cs="仿宋_GB2312"/>
          <w:color w:val="auto"/>
          <w:sz w:val="24"/>
          <w:highlight w:val="none"/>
        </w:rPr>
      </w:pPr>
    </w:p>
    <w:p w14:paraId="77DE77A9">
      <w:pPr>
        <w:spacing w:line="360" w:lineRule="auto"/>
        <w:jc w:val="center"/>
        <w:rPr>
          <w:rFonts w:hint="eastAsia" w:ascii="仿宋" w:hAnsi="仿宋" w:eastAsia="仿宋" w:cs="仿宋_GB2312"/>
          <w:color w:val="auto"/>
          <w:sz w:val="24"/>
          <w:highlight w:val="none"/>
        </w:rPr>
      </w:pPr>
    </w:p>
    <w:p w14:paraId="224CD2CA">
      <w:pPr>
        <w:spacing w:line="360" w:lineRule="auto"/>
        <w:jc w:val="center"/>
        <w:rPr>
          <w:rFonts w:hint="eastAsia" w:ascii="仿宋" w:hAnsi="仿宋" w:eastAsia="仿宋" w:cs="仿宋_GB2312"/>
          <w:color w:val="auto"/>
          <w:sz w:val="24"/>
          <w:highlight w:val="none"/>
        </w:rPr>
      </w:pPr>
    </w:p>
    <w:p w14:paraId="5A9F9417">
      <w:pPr>
        <w:spacing w:line="360" w:lineRule="auto"/>
        <w:jc w:val="center"/>
        <w:rPr>
          <w:rFonts w:hint="eastAsia" w:ascii="仿宋" w:hAnsi="仿宋" w:eastAsia="仿宋" w:cs="仿宋_GB2312"/>
          <w:color w:val="auto"/>
          <w:sz w:val="24"/>
          <w:highlight w:val="none"/>
        </w:rPr>
      </w:pPr>
    </w:p>
    <w:p w14:paraId="5B9DC3F1">
      <w:pPr>
        <w:spacing w:line="360" w:lineRule="auto"/>
        <w:jc w:val="center"/>
        <w:rPr>
          <w:rFonts w:hint="eastAsia" w:ascii="仿宋" w:hAnsi="仿宋" w:eastAsia="仿宋" w:cs="仿宋_GB2312"/>
          <w:color w:val="auto"/>
          <w:sz w:val="24"/>
          <w:highlight w:val="none"/>
        </w:rPr>
      </w:pPr>
    </w:p>
    <w:p w14:paraId="5469E239">
      <w:pPr>
        <w:spacing w:line="360" w:lineRule="auto"/>
        <w:jc w:val="center"/>
        <w:rPr>
          <w:rFonts w:hint="eastAsia" w:ascii="仿宋" w:hAnsi="仿宋" w:eastAsia="仿宋" w:cs="仿宋_GB2312"/>
          <w:color w:val="auto"/>
          <w:sz w:val="24"/>
          <w:highlight w:val="none"/>
        </w:rPr>
      </w:pPr>
    </w:p>
    <w:p w14:paraId="77B532BE">
      <w:pPr>
        <w:spacing w:line="360" w:lineRule="auto"/>
        <w:jc w:val="center"/>
        <w:rPr>
          <w:rFonts w:hint="eastAsia" w:ascii="仿宋" w:hAnsi="仿宋" w:eastAsia="仿宋" w:cs="仿宋_GB2312"/>
          <w:color w:val="auto"/>
          <w:sz w:val="24"/>
          <w:highlight w:val="none"/>
        </w:rPr>
      </w:pPr>
    </w:p>
    <w:p w14:paraId="264A620F">
      <w:pPr>
        <w:spacing w:line="360" w:lineRule="auto"/>
        <w:jc w:val="center"/>
        <w:rPr>
          <w:rFonts w:hint="eastAsia" w:ascii="仿宋" w:hAnsi="仿宋" w:eastAsia="仿宋" w:cs="仿宋_GB2312"/>
          <w:color w:val="auto"/>
          <w:sz w:val="24"/>
          <w:highlight w:val="none"/>
        </w:rPr>
      </w:pPr>
    </w:p>
    <w:p w14:paraId="709A24F3">
      <w:pPr>
        <w:spacing w:line="360" w:lineRule="auto"/>
        <w:jc w:val="center"/>
        <w:rPr>
          <w:rFonts w:hint="eastAsia" w:ascii="仿宋" w:hAnsi="仿宋" w:eastAsia="仿宋" w:cs="仿宋_GB2312"/>
          <w:color w:val="auto"/>
          <w:sz w:val="24"/>
          <w:highlight w:val="none"/>
        </w:rPr>
      </w:pPr>
    </w:p>
    <w:p w14:paraId="3A55BC66">
      <w:pPr>
        <w:spacing w:line="360" w:lineRule="auto"/>
        <w:jc w:val="center"/>
        <w:rPr>
          <w:rFonts w:hint="eastAsia" w:ascii="仿宋" w:hAnsi="仿宋" w:eastAsia="仿宋" w:cs="仿宋_GB2312"/>
          <w:color w:val="auto"/>
          <w:sz w:val="24"/>
          <w:highlight w:val="none"/>
        </w:rPr>
      </w:pPr>
    </w:p>
    <w:p w14:paraId="41851D8A">
      <w:pPr>
        <w:spacing w:line="360" w:lineRule="auto"/>
        <w:jc w:val="center"/>
        <w:rPr>
          <w:rFonts w:hint="eastAsia" w:ascii="仿宋" w:hAnsi="仿宋" w:eastAsia="仿宋" w:cs="仿宋_GB2312"/>
          <w:color w:val="auto"/>
          <w:sz w:val="24"/>
          <w:highlight w:val="none"/>
        </w:rPr>
      </w:pPr>
    </w:p>
    <w:p w14:paraId="62F32B76">
      <w:pPr>
        <w:spacing w:line="360" w:lineRule="auto"/>
        <w:jc w:val="center"/>
        <w:rPr>
          <w:rFonts w:hint="eastAsia" w:ascii="仿宋" w:hAnsi="仿宋" w:eastAsia="仿宋" w:cs="仿宋_GB2312"/>
          <w:color w:val="auto"/>
          <w:sz w:val="24"/>
          <w:highlight w:val="none"/>
        </w:rPr>
      </w:pPr>
    </w:p>
    <w:p w14:paraId="7F5E16E6">
      <w:pPr>
        <w:spacing w:line="360" w:lineRule="auto"/>
        <w:jc w:val="center"/>
        <w:rPr>
          <w:rFonts w:hint="eastAsia" w:ascii="仿宋" w:hAnsi="仿宋" w:eastAsia="仿宋" w:cs="仿宋_GB2312"/>
          <w:color w:val="auto"/>
          <w:sz w:val="24"/>
          <w:highlight w:val="none"/>
        </w:rPr>
      </w:pPr>
    </w:p>
    <w:p w14:paraId="4EEFB18B">
      <w:pPr>
        <w:spacing w:line="360" w:lineRule="auto"/>
        <w:jc w:val="center"/>
        <w:rPr>
          <w:rFonts w:hint="eastAsia" w:ascii="仿宋" w:hAnsi="仿宋" w:eastAsia="仿宋" w:cs="仿宋_GB2312"/>
          <w:color w:val="auto"/>
          <w:sz w:val="24"/>
          <w:highlight w:val="none"/>
        </w:rPr>
      </w:pPr>
    </w:p>
    <w:p w14:paraId="28897AAA">
      <w:pPr>
        <w:spacing w:line="360" w:lineRule="auto"/>
        <w:jc w:val="center"/>
        <w:rPr>
          <w:rFonts w:hint="eastAsia" w:ascii="仿宋" w:hAnsi="仿宋" w:eastAsia="仿宋" w:cs="仿宋_GB2312"/>
          <w:color w:val="auto"/>
          <w:sz w:val="24"/>
          <w:highlight w:val="none"/>
        </w:rPr>
      </w:pPr>
    </w:p>
    <w:p w14:paraId="54E37A6A">
      <w:pPr>
        <w:spacing w:line="360" w:lineRule="auto"/>
        <w:jc w:val="center"/>
        <w:rPr>
          <w:rFonts w:hint="eastAsia" w:ascii="仿宋" w:hAnsi="仿宋" w:eastAsia="仿宋" w:cs="仿宋_GB2312"/>
          <w:color w:val="auto"/>
          <w:sz w:val="24"/>
          <w:highlight w:val="none"/>
        </w:rPr>
      </w:pPr>
    </w:p>
    <w:p w14:paraId="2070314D">
      <w:pPr>
        <w:spacing w:line="360" w:lineRule="auto"/>
        <w:jc w:val="center"/>
        <w:rPr>
          <w:rFonts w:hint="eastAsia" w:ascii="仿宋" w:hAnsi="仿宋" w:eastAsia="仿宋" w:cs="仿宋_GB2312"/>
          <w:color w:val="auto"/>
          <w:sz w:val="24"/>
          <w:highlight w:val="none"/>
        </w:rPr>
      </w:pPr>
    </w:p>
    <w:p w14:paraId="6DF1A616">
      <w:pPr>
        <w:spacing w:line="360" w:lineRule="auto"/>
        <w:jc w:val="center"/>
        <w:rPr>
          <w:rFonts w:hint="eastAsia" w:ascii="仿宋" w:hAnsi="仿宋" w:eastAsia="仿宋" w:cs="仿宋_GB2312"/>
          <w:color w:val="auto"/>
          <w:sz w:val="24"/>
          <w:highlight w:val="none"/>
        </w:rPr>
      </w:pPr>
    </w:p>
    <w:p w14:paraId="5C41E054">
      <w:pPr>
        <w:spacing w:line="360" w:lineRule="auto"/>
        <w:jc w:val="center"/>
        <w:rPr>
          <w:rFonts w:hint="eastAsia" w:ascii="仿宋" w:hAnsi="仿宋" w:eastAsia="仿宋" w:cs="仿宋_GB2312"/>
          <w:color w:val="auto"/>
          <w:sz w:val="24"/>
          <w:highlight w:val="none"/>
        </w:rPr>
      </w:pPr>
    </w:p>
    <w:p w14:paraId="3DB699C6">
      <w:pPr>
        <w:spacing w:line="360" w:lineRule="auto"/>
        <w:jc w:val="center"/>
        <w:rPr>
          <w:rFonts w:hint="eastAsia" w:ascii="仿宋" w:hAnsi="仿宋" w:eastAsia="仿宋" w:cs="仿宋_GB2312"/>
          <w:color w:val="auto"/>
          <w:sz w:val="24"/>
          <w:highlight w:val="none"/>
        </w:rPr>
      </w:pPr>
    </w:p>
    <w:p w14:paraId="27446963">
      <w:pPr>
        <w:spacing w:line="360" w:lineRule="auto"/>
        <w:jc w:val="center"/>
        <w:rPr>
          <w:rFonts w:hint="eastAsia" w:ascii="仿宋" w:hAnsi="仿宋" w:eastAsia="仿宋" w:cs="仿宋_GB2312"/>
          <w:color w:val="auto"/>
          <w:sz w:val="24"/>
          <w:highlight w:val="none"/>
        </w:rPr>
      </w:pPr>
    </w:p>
    <w:p w14:paraId="327774C6">
      <w:pPr>
        <w:spacing w:line="360" w:lineRule="auto"/>
        <w:jc w:val="center"/>
        <w:rPr>
          <w:rFonts w:hint="eastAsia" w:ascii="仿宋" w:hAnsi="仿宋" w:eastAsia="仿宋" w:cs="仿宋_GB2312"/>
          <w:color w:val="auto"/>
          <w:sz w:val="24"/>
          <w:highlight w:val="none"/>
        </w:rPr>
      </w:pPr>
    </w:p>
    <w:p w14:paraId="7C64B104">
      <w:pPr>
        <w:spacing w:line="360" w:lineRule="auto"/>
        <w:jc w:val="center"/>
        <w:rPr>
          <w:rFonts w:hint="eastAsia" w:ascii="仿宋" w:hAnsi="仿宋" w:eastAsia="仿宋" w:cs="仿宋_GB2312"/>
          <w:color w:val="auto"/>
          <w:sz w:val="24"/>
          <w:highlight w:val="none"/>
        </w:rPr>
      </w:pPr>
    </w:p>
    <w:p w14:paraId="76D0D62D">
      <w:pPr>
        <w:spacing w:line="360" w:lineRule="auto"/>
        <w:jc w:val="center"/>
        <w:rPr>
          <w:rFonts w:hint="eastAsia" w:ascii="仿宋" w:hAnsi="仿宋" w:eastAsia="仿宋" w:cs="仿宋_GB2312"/>
          <w:color w:val="auto"/>
          <w:sz w:val="24"/>
          <w:highlight w:val="none"/>
        </w:rPr>
      </w:pPr>
    </w:p>
    <w:p w14:paraId="64A0E517">
      <w:pPr>
        <w:spacing w:line="360" w:lineRule="auto"/>
        <w:jc w:val="center"/>
        <w:rPr>
          <w:rFonts w:hint="eastAsia" w:ascii="仿宋" w:hAnsi="仿宋" w:eastAsia="仿宋" w:cs="仿宋_GB2312"/>
          <w:color w:val="auto"/>
          <w:sz w:val="24"/>
          <w:highlight w:val="none"/>
        </w:rPr>
      </w:pPr>
    </w:p>
    <w:p w14:paraId="16FE59DA">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14:paraId="6E0E764C">
      <w:pPr>
        <w:spacing w:line="360" w:lineRule="auto"/>
        <w:jc w:val="center"/>
        <w:outlineLvl w:val="0"/>
        <w:rPr>
          <w:rFonts w:hint="eastAsia" w:ascii="仿宋" w:hAnsi="仿宋" w:eastAsia="仿宋" w:cs="仿宋_GB2312"/>
          <w:b/>
          <w:color w:val="auto"/>
          <w:kern w:val="0"/>
          <w:sz w:val="24"/>
          <w:highlight w:val="none"/>
        </w:rPr>
      </w:pPr>
    </w:p>
    <w:p w14:paraId="6BFF182E">
      <w:pPr>
        <w:spacing w:line="360" w:lineRule="auto"/>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76004B12">
      <w:pPr>
        <w:spacing w:line="360" w:lineRule="auto"/>
        <w:outlineLvl w:val="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eastAsia="zh-CN"/>
        </w:rPr>
        <w:t>遴选一览表</w:t>
      </w:r>
      <w:r>
        <w:rPr>
          <w:rFonts w:hint="eastAsia" w:ascii="仿宋" w:hAnsi="仿宋" w:eastAsia="仿宋" w:cs="仿宋_GB2312"/>
          <w:color w:val="auto"/>
          <w:kern w:val="0"/>
          <w:sz w:val="24"/>
          <w:highlight w:val="none"/>
        </w:rPr>
        <w:t>………………………………………………（页码）</w:t>
      </w:r>
    </w:p>
    <w:p w14:paraId="4E97680C">
      <w:pPr>
        <w:pStyle w:val="19"/>
        <w:ind w:firstLine="480"/>
        <w:rPr>
          <w:rFonts w:ascii="Times New Roman" w:eastAsia="宋体"/>
          <w:b/>
          <w:color w:val="auto"/>
          <w:highlight w:val="none"/>
        </w:rPr>
      </w:pPr>
    </w:p>
    <w:p w14:paraId="625734F0">
      <w:pPr>
        <w:pStyle w:val="19"/>
        <w:ind w:firstLine="480"/>
        <w:rPr>
          <w:rFonts w:ascii="Times New Roman" w:eastAsia="宋体"/>
          <w:b/>
          <w:color w:val="auto"/>
          <w:highlight w:val="none"/>
        </w:rPr>
      </w:pPr>
    </w:p>
    <w:p w14:paraId="5F68DCAB">
      <w:pPr>
        <w:pStyle w:val="19"/>
        <w:ind w:firstLine="480"/>
        <w:rPr>
          <w:rFonts w:ascii="Times New Roman" w:eastAsia="宋体"/>
          <w:b/>
          <w:color w:val="auto"/>
          <w:highlight w:val="none"/>
        </w:rPr>
      </w:pPr>
    </w:p>
    <w:p w14:paraId="1D77C1F8">
      <w:pPr>
        <w:pStyle w:val="19"/>
        <w:ind w:firstLine="480"/>
        <w:rPr>
          <w:rFonts w:ascii="Times New Roman" w:eastAsia="宋体"/>
          <w:b/>
          <w:color w:val="auto"/>
          <w:highlight w:val="none"/>
        </w:rPr>
      </w:pPr>
    </w:p>
    <w:p w14:paraId="29AF69CB">
      <w:pPr>
        <w:pStyle w:val="19"/>
        <w:ind w:firstLine="480"/>
        <w:rPr>
          <w:rFonts w:ascii="Times New Roman" w:eastAsia="宋体"/>
          <w:b/>
          <w:color w:val="auto"/>
          <w:highlight w:val="none"/>
        </w:rPr>
      </w:pPr>
    </w:p>
    <w:p w14:paraId="7FDC6771">
      <w:pPr>
        <w:pStyle w:val="19"/>
        <w:ind w:firstLine="480"/>
        <w:rPr>
          <w:rFonts w:ascii="Times New Roman" w:eastAsia="宋体"/>
          <w:b/>
          <w:color w:val="auto"/>
          <w:highlight w:val="none"/>
        </w:rPr>
      </w:pPr>
    </w:p>
    <w:p w14:paraId="79927576">
      <w:pPr>
        <w:pStyle w:val="19"/>
        <w:ind w:firstLine="480"/>
        <w:rPr>
          <w:rFonts w:ascii="Times New Roman" w:eastAsia="宋体"/>
          <w:b/>
          <w:color w:val="auto"/>
          <w:highlight w:val="none"/>
        </w:rPr>
      </w:pPr>
    </w:p>
    <w:p w14:paraId="44BFF152">
      <w:pPr>
        <w:pStyle w:val="19"/>
        <w:ind w:firstLine="480"/>
        <w:rPr>
          <w:rFonts w:ascii="Times New Roman" w:eastAsia="宋体"/>
          <w:b/>
          <w:color w:val="auto"/>
          <w:highlight w:val="none"/>
        </w:rPr>
      </w:pPr>
    </w:p>
    <w:p w14:paraId="3F8FECF9">
      <w:pPr>
        <w:pStyle w:val="19"/>
        <w:ind w:firstLine="480"/>
        <w:rPr>
          <w:rFonts w:ascii="Times New Roman" w:eastAsia="宋体"/>
          <w:b/>
          <w:color w:val="auto"/>
          <w:highlight w:val="none"/>
        </w:rPr>
      </w:pPr>
    </w:p>
    <w:p w14:paraId="6C8F2700">
      <w:pPr>
        <w:pStyle w:val="19"/>
        <w:ind w:firstLine="480"/>
        <w:rPr>
          <w:rFonts w:ascii="Times New Roman" w:eastAsia="宋体"/>
          <w:b/>
          <w:color w:val="auto"/>
          <w:highlight w:val="none"/>
        </w:rPr>
      </w:pPr>
    </w:p>
    <w:p w14:paraId="6EAD5540">
      <w:pPr>
        <w:pStyle w:val="19"/>
        <w:ind w:firstLine="480"/>
        <w:rPr>
          <w:rFonts w:ascii="Times New Roman" w:eastAsia="宋体"/>
          <w:b/>
          <w:color w:val="auto"/>
          <w:highlight w:val="none"/>
        </w:rPr>
      </w:pPr>
    </w:p>
    <w:p w14:paraId="77675D0B">
      <w:pPr>
        <w:pStyle w:val="19"/>
        <w:ind w:firstLine="480"/>
        <w:rPr>
          <w:rFonts w:ascii="Times New Roman" w:eastAsia="宋体"/>
          <w:b/>
          <w:color w:val="auto"/>
          <w:highlight w:val="none"/>
        </w:rPr>
      </w:pPr>
    </w:p>
    <w:p w14:paraId="0D19D368">
      <w:pPr>
        <w:pStyle w:val="19"/>
        <w:ind w:firstLine="480"/>
        <w:rPr>
          <w:rFonts w:ascii="Times New Roman" w:eastAsia="宋体"/>
          <w:b/>
          <w:color w:val="auto"/>
          <w:highlight w:val="none"/>
        </w:rPr>
      </w:pPr>
    </w:p>
    <w:p w14:paraId="5C0A55E4">
      <w:pPr>
        <w:pStyle w:val="19"/>
        <w:ind w:firstLine="480"/>
        <w:rPr>
          <w:rFonts w:ascii="Times New Roman" w:eastAsia="宋体"/>
          <w:b/>
          <w:color w:val="auto"/>
          <w:highlight w:val="none"/>
        </w:rPr>
      </w:pPr>
    </w:p>
    <w:p w14:paraId="2FE890E4">
      <w:pPr>
        <w:pStyle w:val="19"/>
        <w:ind w:firstLine="480"/>
        <w:rPr>
          <w:rFonts w:ascii="Times New Roman" w:eastAsia="宋体"/>
          <w:b/>
          <w:color w:val="auto"/>
          <w:highlight w:val="none"/>
        </w:rPr>
      </w:pPr>
    </w:p>
    <w:p w14:paraId="043E82FF">
      <w:pPr>
        <w:pStyle w:val="19"/>
        <w:ind w:firstLine="480"/>
        <w:rPr>
          <w:rFonts w:ascii="Times New Roman" w:eastAsia="宋体"/>
          <w:b/>
          <w:color w:val="auto"/>
          <w:highlight w:val="none"/>
        </w:rPr>
      </w:pPr>
    </w:p>
    <w:p w14:paraId="52259E0A">
      <w:pPr>
        <w:pStyle w:val="19"/>
        <w:ind w:firstLine="480"/>
        <w:rPr>
          <w:rFonts w:ascii="Times New Roman" w:eastAsia="宋体"/>
          <w:b/>
          <w:color w:val="auto"/>
          <w:highlight w:val="none"/>
        </w:rPr>
      </w:pPr>
    </w:p>
    <w:p w14:paraId="62EE5FC4">
      <w:pPr>
        <w:pStyle w:val="19"/>
        <w:ind w:firstLine="480"/>
        <w:rPr>
          <w:rFonts w:ascii="Times New Roman" w:eastAsia="宋体"/>
          <w:b/>
          <w:color w:val="auto"/>
          <w:highlight w:val="none"/>
        </w:rPr>
      </w:pPr>
    </w:p>
    <w:p w14:paraId="14A203F4">
      <w:pPr>
        <w:pStyle w:val="19"/>
        <w:ind w:firstLine="480"/>
        <w:rPr>
          <w:rFonts w:ascii="Times New Roman" w:eastAsia="宋体"/>
          <w:b/>
          <w:color w:val="auto"/>
          <w:highlight w:val="none"/>
        </w:rPr>
      </w:pPr>
    </w:p>
    <w:p w14:paraId="3996DA7C">
      <w:pPr>
        <w:pStyle w:val="19"/>
        <w:ind w:firstLine="480"/>
        <w:rPr>
          <w:rFonts w:ascii="Times New Roman" w:eastAsia="宋体"/>
          <w:b/>
          <w:color w:val="auto"/>
          <w:highlight w:val="none"/>
        </w:rPr>
      </w:pPr>
    </w:p>
    <w:p w14:paraId="7B71AAF4">
      <w:pPr>
        <w:pStyle w:val="19"/>
        <w:ind w:firstLine="480"/>
        <w:rPr>
          <w:rFonts w:ascii="Times New Roman" w:eastAsia="宋体"/>
          <w:b/>
          <w:color w:val="auto"/>
          <w:highlight w:val="none"/>
        </w:rPr>
      </w:pPr>
    </w:p>
    <w:p w14:paraId="675EF629">
      <w:pPr>
        <w:pStyle w:val="19"/>
        <w:ind w:firstLine="480"/>
        <w:rPr>
          <w:rFonts w:ascii="Times New Roman" w:eastAsia="宋体"/>
          <w:b/>
          <w:color w:val="auto"/>
          <w:highlight w:val="none"/>
        </w:rPr>
      </w:pPr>
    </w:p>
    <w:p w14:paraId="061FAFB4">
      <w:pPr>
        <w:pStyle w:val="19"/>
        <w:ind w:firstLine="480"/>
        <w:rPr>
          <w:rFonts w:ascii="Times New Roman" w:eastAsia="宋体"/>
          <w:b/>
          <w:color w:val="auto"/>
          <w:highlight w:val="none"/>
        </w:rPr>
      </w:pPr>
    </w:p>
    <w:p w14:paraId="45B21DA4">
      <w:pPr>
        <w:pStyle w:val="19"/>
        <w:ind w:firstLine="480"/>
        <w:jc w:val="center"/>
        <w:rPr>
          <w:rFonts w:hint="eastAsia" w:ascii="仿宋" w:hAnsi="仿宋" w:eastAsia="仿宋" w:cs="仿宋_GB2312"/>
          <w:b/>
          <w:color w:val="auto"/>
          <w:kern w:val="2"/>
          <w:sz w:val="32"/>
          <w:szCs w:val="32"/>
          <w:highlight w:val="none"/>
          <w:lang w:val="en-US" w:eastAsia="zh-CN" w:bidi="ar-SA"/>
        </w:rPr>
      </w:pPr>
      <w:r>
        <w:rPr>
          <w:rFonts w:hint="eastAsia" w:ascii="仿宋" w:hAnsi="仿宋" w:eastAsia="仿宋" w:cs="仿宋_GB2312"/>
          <w:b/>
          <w:color w:val="auto"/>
          <w:kern w:val="2"/>
          <w:sz w:val="32"/>
          <w:szCs w:val="32"/>
          <w:highlight w:val="none"/>
          <w:lang w:val="en-US" w:eastAsia="zh-CN" w:bidi="ar-SA"/>
        </w:rPr>
        <w:t>一、遴选一览表</w:t>
      </w:r>
    </w:p>
    <w:p w14:paraId="756C754D">
      <w:pPr>
        <w:pStyle w:val="19"/>
        <w:ind w:firstLine="480"/>
        <w:rPr>
          <w:rFonts w:ascii="Times New Roman" w:eastAsia="宋体"/>
          <w:color w:val="auto"/>
          <w:highlight w:val="none"/>
        </w:rPr>
      </w:pPr>
    </w:p>
    <w:p w14:paraId="416E4135">
      <w:pPr>
        <w:spacing w:line="400" w:lineRule="exact"/>
        <w:jc w:val="left"/>
        <w:rPr>
          <w:color w:val="auto"/>
          <w:sz w:val="24"/>
          <w:highlight w:val="none"/>
        </w:rPr>
      </w:pPr>
      <w:r>
        <w:rPr>
          <w:color w:val="auto"/>
          <w:sz w:val="24"/>
          <w:highlight w:val="none"/>
        </w:rPr>
        <w:t>遴选响应人名称：</w:t>
      </w:r>
      <w:r>
        <w:rPr>
          <w:color w:val="auto"/>
          <w:sz w:val="24"/>
          <w:highlight w:val="none"/>
          <w:u w:val="single"/>
        </w:rPr>
        <w:t xml:space="preserve">                                  </w:t>
      </w:r>
      <w:r>
        <w:rPr>
          <w:color w:val="auto"/>
          <w:sz w:val="24"/>
          <w:highlight w:val="none"/>
        </w:rPr>
        <w:t xml:space="preserve">                                                            </w:t>
      </w:r>
    </w:p>
    <w:tbl>
      <w:tblPr>
        <w:tblStyle w:val="20"/>
        <w:tblW w:w="858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2"/>
        <w:gridCol w:w="1957"/>
        <w:gridCol w:w="1993"/>
        <w:gridCol w:w="3619"/>
      </w:tblGrid>
      <w:tr w14:paraId="75BC8C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12" w:type="dxa"/>
            <w:vAlign w:val="center"/>
          </w:tcPr>
          <w:p w14:paraId="3D2B0062">
            <w:pPr>
              <w:adjustRightInd w:val="0"/>
              <w:snapToGrid w:val="0"/>
              <w:ind w:right="172" w:rightChars="82"/>
              <w:jc w:val="center"/>
              <w:rPr>
                <w:color w:val="auto"/>
                <w:sz w:val="24"/>
                <w:highlight w:val="none"/>
              </w:rPr>
            </w:pPr>
            <w:r>
              <w:rPr>
                <w:color w:val="auto"/>
                <w:sz w:val="24"/>
                <w:highlight w:val="none"/>
              </w:rPr>
              <w:t>序号</w:t>
            </w:r>
          </w:p>
        </w:tc>
        <w:tc>
          <w:tcPr>
            <w:tcW w:w="1957" w:type="dxa"/>
            <w:tcBorders>
              <w:right w:val="single" w:color="auto" w:sz="4" w:space="0"/>
            </w:tcBorders>
            <w:vAlign w:val="center"/>
          </w:tcPr>
          <w:p w14:paraId="320B9A89">
            <w:pPr>
              <w:adjustRightInd w:val="0"/>
              <w:snapToGrid w:val="0"/>
              <w:ind w:right="172" w:rightChars="82"/>
              <w:jc w:val="center"/>
              <w:rPr>
                <w:color w:val="auto"/>
                <w:sz w:val="24"/>
                <w:highlight w:val="none"/>
              </w:rPr>
            </w:pPr>
            <w:r>
              <w:rPr>
                <w:color w:val="auto"/>
                <w:sz w:val="24"/>
                <w:highlight w:val="none"/>
              </w:rPr>
              <w:t>报价内容</w:t>
            </w:r>
          </w:p>
        </w:tc>
        <w:tc>
          <w:tcPr>
            <w:tcW w:w="1993" w:type="dxa"/>
            <w:tcBorders>
              <w:left w:val="single" w:color="auto" w:sz="4" w:space="0"/>
            </w:tcBorders>
            <w:vAlign w:val="center"/>
          </w:tcPr>
          <w:p w14:paraId="66085F91">
            <w:pPr>
              <w:adjustRightInd w:val="0"/>
              <w:snapToGrid w:val="0"/>
              <w:ind w:right="172" w:rightChars="82"/>
              <w:jc w:val="center"/>
              <w:rPr>
                <w:color w:val="auto"/>
                <w:sz w:val="24"/>
                <w:highlight w:val="none"/>
              </w:rPr>
            </w:pPr>
            <w:r>
              <w:rPr>
                <w:color w:val="auto"/>
                <w:kern w:val="0"/>
                <w:sz w:val="24"/>
                <w:highlight w:val="none"/>
              </w:rPr>
              <w:t>报价</w:t>
            </w:r>
          </w:p>
        </w:tc>
        <w:tc>
          <w:tcPr>
            <w:tcW w:w="3619" w:type="dxa"/>
            <w:vAlign w:val="center"/>
          </w:tcPr>
          <w:p w14:paraId="1B4ADBC3">
            <w:pPr>
              <w:adjustRightInd w:val="0"/>
              <w:snapToGrid w:val="0"/>
              <w:ind w:right="172" w:rightChars="82"/>
              <w:jc w:val="center"/>
              <w:rPr>
                <w:color w:val="auto"/>
                <w:sz w:val="24"/>
                <w:highlight w:val="none"/>
              </w:rPr>
            </w:pPr>
            <w:r>
              <w:rPr>
                <w:color w:val="auto"/>
                <w:sz w:val="24"/>
                <w:highlight w:val="none"/>
              </w:rPr>
              <w:t>备注</w:t>
            </w:r>
          </w:p>
        </w:tc>
      </w:tr>
      <w:tr w14:paraId="7DCC84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12" w:type="dxa"/>
            <w:vAlign w:val="center"/>
          </w:tcPr>
          <w:p w14:paraId="1563362E">
            <w:pPr>
              <w:adjustRightInd w:val="0"/>
              <w:snapToGrid w:val="0"/>
              <w:jc w:val="center"/>
              <w:rPr>
                <w:color w:val="auto"/>
                <w:sz w:val="24"/>
                <w:highlight w:val="none"/>
              </w:rPr>
            </w:pPr>
            <w:r>
              <w:rPr>
                <w:color w:val="auto"/>
                <w:sz w:val="24"/>
                <w:highlight w:val="none"/>
              </w:rPr>
              <w:t>1</w:t>
            </w:r>
          </w:p>
        </w:tc>
        <w:tc>
          <w:tcPr>
            <w:tcW w:w="1957" w:type="dxa"/>
            <w:tcBorders>
              <w:right w:val="single" w:color="auto" w:sz="4" w:space="0"/>
            </w:tcBorders>
            <w:vAlign w:val="center"/>
          </w:tcPr>
          <w:p w14:paraId="0D1C65A8">
            <w:pPr>
              <w:adjustRightInd w:val="0"/>
              <w:snapToGrid w:val="0"/>
              <w:ind w:right="172" w:rightChars="82"/>
              <w:jc w:val="center"/>
              <w:rPr>
                <w:color w:val="auto"/>
                <w:sz w:val="24"/>
                <w:highlight w:val="none"/>
              </w:rPr>
            </w:pPr>
            <w:r>
              <w:rPr>
                <w:color w:val="auto"/>
                <w:kern w:val="0"/>
                <w:sz w:val="24"/>
                <w:highlight w:val="none"/>
              </w:rPr>
              <w:t>年承销费率</w:t>
            </w:r>
          </w:p>
        </w:tc>
        <w:tc>
          <w:tcPr>
            <w:tcW w:w="1993" w:type="dxa"/>
            <w:tcBorders>
              <w:left w:val="single" w:color="auto" w:sz="4" w:space="0"/>
            </w:tcBorders>
            <w:vAlign w:val="center"/>
          </w:tcPr>
          <w:p w14:paraId="279A3A90">
            <w:pPr>
              <w:adjustRightInd w:val="0"/>
              <w:snapToGrid w:val="0"/>
              <w:ind w:right="172" w:rightChars="82"/>
              <w:jc w:val="center"/>
              <w:rPr>
                <w:color w:val="auto"/>
                <w:kern w:val="0"/>
                <w:sz w:val="24"/>
                <w:highlight w:val="none"/>
              </w:rPr>
            </w:pPr>
            <w:r>
              <w:rPr>
                <w:color w:val="auto"/>
                <w:kern w:val="0"/>
                <w:sz w:val="24"/>
                <w:highlight w:val="none"/>
                <w:u w:val="single"/>
              </w:rPr>
              <w:t xml:space="preserve">      </w:t>
            </w:r>
            <w:r>
              <w:rPr>
                <w:color w:val="auto"/>
                <w:kern w:val="0"/>
                <w:sz w:val="24"/>
                <w:highlight w:val="none"/>
                <w:lang w:bidi="ar"/>
              </w:rPr>
              <w:t>‰</w:t>
            </w:r>
            <w:r>
              <w:rPr>
                <w:rFonts w:hint="eastAsia"/>
                <w:color w:val="auto"/>
                <w:kern w:val="0"/>
                <w:sz w:val="24"/>
                <w:highlight w:val="none"/>
                <w:lang w:bidi="ar"/>
              </w:rPr>
              <w:t>/年</w:t>
            </w:r>
          </w:p>
        </w:tc>
        <w:tc>
          <w:tcPr>
            <w:tcW w:w="3619" w:type="dxa"/>
            <w:vAlign w:val="center"/>
          </w:tcPr>
          <w:p w14:paraId="035682D2">
            <w:pPr>
              <w:adjustRightInd w:val="0"/>
              <w:snapToGrid w:val="0"/>
              <w:ind w:right="172" w:rightChars="82"/>
              <w:rPr>
                <w:color w:val="auto"/>
                <w:kern w:val="0"/>
                <w:sz w:val="24"/>
                <w:highlight w:val="none"/>
                <w:lang w:bidi="ar"/>
              </w:rPr>
            </w:pPr>
            <w:r>
              <w:rPr>
                <w:color w:val="auto"/>
                <w:kern w:val="0"/>
                <w:sz w:val="24"/>
                <w:highlight w:val="none"/>
                <w:lang w:bidi="ar"/>
              </w:rPr>
              <w:t>年承销费率不高于</w:t>
            </w:r>
            <w:r>
              <w:rPr>
                <w:rFonts w:hint="eastAsia"/>
                <w:color w:val="auto"/>
                <w:kern w:val="0"/>
                <w:sz w:val="24"/>
                <w:highlight w:val="none"/>
                <w:lang w:bidi="ar"/>
              </w:rPr>
              <w:t>1.</w:t>
            </w:r>
            <w:r>
              <w:rPr>
                <w:rFonts w:hint="eastAsia"/>
                <w:color w:val="auto"/>
                <w:kern w:val="0"/>
                <w:sz w:val="24"/>
                <w:highlight w:val="none"/>
                <w:lang w:val="en-US" w:eastAsia="zh-CN" w:bidi="ar"/>
              </w:rPr>
              <w:t>2</w:t>
            </w:r>
            <w:r>
              <w:rPr>
                <w:rFonts w:hint="eastAsia"/>
                <w:color w:val="auto"/>
                <w:kern w:val="0"/>
                <w:sz w:val="24"/>
                <w:highlight w:val="none"/>
                <w:lang w:bidi="ar"/>
              </w:rPr>
              <w:t>0</w:t>
            </w:r>
            <w:r>
              <w:rPr>
                <w:color w:val="auto"/>
                <w:kern w:val="0"/>
                <w:sz w:val="24"/>
                <w:highlight w:val="none"/>
                <w:lang w:bidi="ar"/>
              </w:rPr>
              <w:t>‰</w:t>
            </w:r>
          </w:p>
        </w:tc>
      </w:tr>
    </w:tbl>
    <w:p w14:paraId="544C9CE4">
      <w:pPr>
        <w:spacing w:line="400" w:lineRule="exact"/>
        <w:jc w:val="left"/>
        <w:rPr>
          <w:color w:val="auto"/>
          <w:sz w:val="24"/>
          <w:highlight w:val="none"/>
        </w:rPr>
      </w:pPr>
      <w:r>
        <w:rPr>
          <w:color w:val="auto"/>
          <w:sz w:val="24"/>
          <w:highlight w:val="none"/>
        </w:rPr>
        <w:t>注：</w:t>
      </w:r>
    </w:p>
    <w:p w14:paraId="5CF3DD28">
      <w:pPr>
        <w:snapToGrid w:val="0"/>
        <w:spacing w:line="360" w:lineRule="auto"/>
        <w:jc w:val="left"/>
        <w:rPr>
          <w:rFonts w:hint="eastAsia"/>
          <w:color w:val="auto"/>
          <w:sz w:val="24"/>
          <w:highlight w:val="none"/>
        </w:rPr>
      </w:pPr>
      <w:r>
        <w:rPr>
          <w:rFonts w:hint="eastAsia"/>
          <w:color w:val="auto"/>
          <w:sz w:val="24"/>
          <w:highlight w:val="none"/>
        </w:rPr>
        <w:t>1、</w:t>
      </w:r>
      <w:r>
        <w:rPr>
          <w:rFonts w:hint="eastAsia"/>
          <w:color w:val="auto"/>
          <w:sz w:val="24"/>
          <w:highlight w:val="none"/>
          <w:lang w:eastAsia="zh-CN"/>
        </w:rPr>
        <w:t>遴选响应人</w:t>
      </w:r>
      <w:r>
        <w:rPr>
          <w:rFonts w:hint="eastAsia"/>
          <w:color w:val="auto"/>
          <w:sz w:val="24"/>
          <w:highlight w:val="none"/>
        </w:rPr>
        <w:t>需按本表格式填写，不得自行更改，如无对应内容，则填写：“无或/”。</w:t>
      </w:r>
    </w:p>
    <w:p w14:paraId="0B596E77">
      <w:pPr>
        <w:snapToGrid w:val="0"/>
        <w:spacing w:line="360" w:lineRule="auto"/>
        <w:jc w:val="left"/>
        <w:rPr>
          <w:color w:val="auto"/>
          <w:sz w:val="24"/>
          <w:highlight w:val="none"/>
        </w:rPr>
      </w:pPr>
      <w:r>
        <w:rPr>
          <w:rFonts w:hint="eastAsia"/>
          <w:color w:val="auto"/>
          <w:sz w:val="24"/>
          <w:highlight w:val="none"/>
        </w:rPr>
        <w:t>2、有关本项目实施所涉及的一切费用（详见前附表）均计入报价。</w:t>
      </w:r>
    </w:p>
    <w:p w14:paraId="6E623194">
      <w:pPr>
        <w:spacing w:line="360" w:lineRule="auto"/>
        <w:ind w:right="-817" w:rightChars="-389"/>
        <w:jc w:val="left"/>
        <w:rPr>
          <w:color w:val="auto"/>
          <w:sz w:val="24"/>
          <w:highlight w:val="none"/>
        </w:rPr>
      </w:pPr>
      <w:r>
        <w:rPr>
          <w:color w:val="auto"/>
          <w:sz w:val="24"/>
          <w:highlight w:val="none"/>
        </w:rPr>
        <w:t>2.投标报价保留两位小数，如1.</w:t>
      </w:r>
      <w:r>
        <w:rPr>
          <w:rFonts w:hint="eastAsia"/>
          <w:color w:val="auto"/>
          <w:sz w:val="24"/>
          <w:highlight w:val="none"/>
          <w:lang w:val="en-US" w:eastAsia="zh-CN"/>
        </w:rPr>
        <w:t>1</w:t>
      </w:r>
      <w:r>
        <w:rPr>
          <w:color w:val="auto"/>
          <w:sz w:val="24"/>
          <w:highlight w:val="none"/>
        </w:rPr>
        <w:t>0</w:t>
      </w:r>
      <w:r>
        <w:rPr>
          <w:color w:val="auto"/>
          <w:kern w:val="0"/>
          <w:sz w:val="24"/>
          <w:highlight w:val="none"/>
          <w:lang w:bidi="ar"/>
        </w:rPr>
        <w:t>‰。</w:t>
      </w:r>
    </w:p>
    <w:p w14:paraId="62761372">
      <w:pPr>
        <w:spacing w:line="360" w:lineRule="auto"/>
        <w:ind w:left="-3" w:leftChars="-72" w:right="-817" w:rightChars="-389" w:hanging="148" w:hangingChars="62"/>
        <w:jc w:val="left"/>
        <w:rPr>
          <w:color w:val="auto"/>
          <w:sz w:val="24"/>
          <w:highlight w:val="none"/>
        </w:rPr>
      </w:pPr>
    </w:p>
    <w:p w14:paraId="20541F46">
      <w:pPr>
        <w:spacing w:line="360" w:lineRule="auto"/>
        <w:ind w:left="-3" w:leftChars="-72" w:right="-817" w:rightChars="-389" w:hanging="148" w:hangingChars="62"/>
        <w:jc w:val="left"/>
        <w:rPr>
          <w:color w:val="auto"/>
          <w:sz w:val="24"/>
          <w:highlight w:val="none"/>
        </w:rPr>
      </w:pPr>
    </w:p>
    <w:p w14:paraId="724F1A45">
      <w:pPr>
        <w:spacing w:line="360" w:lineRule="auto"/>
        <w:ind w:left="-3" w:leftChars="-72" w:right="-817" w:rightChars="-389" w:hanging="148" w:hangingChars="62"/>
        <w:jc w:val="right"/>
        <w:rPr>
          <w:color w:val="auto"/>
          <w:sz w:val="24"/>
          <w:highlight w:val="none"/>
        </w:rPr>
      </w:pPr>
      <w:r>
        <w:rPr>
          <w:color w:val="auto"/>
          <w:sz w:val="24"/>
          <w:highlight w:val="none"/>
        </w:rPr>
        <w:t>遴选响应人名称（盖章）：</w:t>
      </w:r>
    </w:p>
    <w:p w14:paraId="7604E403">
      <w:pPr>
        <w:spacing w:line="360" w:lineRule="auto"/>
        <w:ind w:left="-3" w:leftChars="-72" w:right="-817" w:rightChars="-389" w:hanging="148" w:hangingChars="62"/>
        <w:jc w:val="right"/>
        <w:rPr>
          <w:color w:val="auto"/>
          <w:sz w:val="24"/>
          <w:highlight w:val="none"/>
        </w:rPr>
      </w:pPr>
      <w:r>
        <w:rPr>
          <w:color w:val="auto"/>
          <w:sz w:val="24"/>
          <w:highlight w:val="none"/>
        </w:rPr>
        <w:t xml:space="preserve">             年   月   日</w:t>
      </w:r>
    </w:p>
    <w:p w14:paraId="095DE140">
      <w:pPr>
        <w:pStyle w:val="19"/>
        <w:ind w:firstLine="480"/>
        <w:rPr>
          <w:rFonts w:ascii="Times New Roman"/>
          <w:color w:val="auto"/>
          <w:highlight w:val="none"/>
        </w:rPr>
      </w:pPr>
    </w:p>
    <w:sectPr>
      <w:pgSz w:w="11906" w:h="16838"/>
      <w:pgMar w:top="1440" w:right="1797" w:bottom="1440" w:left="1797"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Ä¶¦±¨ËÎÌå¼ò">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0000000000000000000"/>
    <w:charset w:val="00"/>
    <w:family w:val="swiss"/>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F5E2">
    <w:pPr>
      <w:pStyle w:val="1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96284">
    <w:pPr>
      <w:pStyle w:val="13"/>
      <w:framePr w:wrap="around" w:vAnchor="text" w:hAnchor="margin" w:xAlign="right" w:y="1"/>
      <w:rPr>
        <w:rStyle w:val="24"/>
      </w:rPr>
    </w:pPr>
    <w:r>
      <w:fldChar w:fldCharType="begin"/>
    </w:r>
    <w:r>
      <w:rPr>
        <w:rStyle w:val="24"/>
      </w:rPr>
      <w:instrText xml:space="preserve">PAGE  </w:instrText>
    </w:r>
    <w:r>
      <w:fldChar w:fldCharType="separate"/>
    </w:r>
    <w:r>
      <w:fldChar w:fldCharType="end"/>
    </w:r>
  </w:p>
  <w:p w14:paraId="7ADA7088">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B0BF">
    <w:pPr>
      <w:pStyle w:val="1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3688F">
    <w:pPr>
      <w:pStyle w:val="13"/>
      <w:jc w:val="center"/>
    </w:pPr>
    <w:r>
      <w:fldChar w:fldCharType="begin"/>
    </w:r>
    <w:r>
      <w:instrText xml:space="preserve"> PAGE  \* Arabic  \* MERGEFORMAT </w:instrText>
    </w:r>
    <w:r>
      <w:fldChar w:fldCharType="separate"/>
    </w:r>
    <w:r>
      <w:t>32</w:t>
    </w:r>
    <w:r>
      <w:fldChar w:fldCharType="end"/>
    </w:r>
  </w:p>
  <w:p w14:paraId="429901B0">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DF0B">
    <w:pPr>
      <w:pStyle w:val="13"/>
      <w:framePr w:wrap="around" w:vAnchor="text" w:hAnchor="margin" w:xAlign="center" w:y="1"/>
      <w:rPr>
        <w:rStyle w:val="24"/>
      </w:rPr>
    </w:pPr>
    <w:r>
      <w:fldChar w:fldCharType="begin"/>
    </w:r>
    <w:r>
      <w:rPr>
        <w:rStyle w:val="24"/>
      </w:rPr>
      <w:instrText xml:space="preserve">PAGE  </w:instrText>
    </w:r>
    <w:r>
      <w:fldChar w:fldCharType="end"/>
    </w:r>
  </w:p>
  <w:p w14:paraId="40AF5054">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88DF9">
    <w:pPr>
      <w:pStyle w:val="1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67622147">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52DB">
    <w:pPr>
      <w:pStyle w:val="13"/>
      <w:framePr w:wrap="around" w:vAnchor="text" w:hAnchor="margin" w:xAlign="right" w:y="1"/>
      <w:rPr>
        <w:rStyle w:val="24"/>
      </w:rPr>
    </w:pPr>
    <w:r>
      <w:fldChar w:fldCharType="begin"/>
    </w:r>
    <w:r>
      <w:rPr>
        <w:rStyle w:val="24"/>
      </w:rPr>
      <w:instrText xml:space="preserve">PAGE  </w:instrText>
    </w:r>
    <w:r>
      <w:fldChar w:fldCharType="separate"/>
    </w:r>
    <w:r>
      <w:fldChar w:fldCharType="end"/>
    </w:r>
  </w:p>
  <w:p w14:paraId="4DC3845D">
    <w:pPr>
      <w:pStyle w:val="13"/>
      <w:ind w:right="360"/>
    </w:pPr>
  </w:p>
  <w:p w14:paraId="78EC95C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D298">
    <w:pPr>
      <w:pStyle w:val="13"/>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5DEB89C9">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BF5F3">
    <w:pPr>
      <w:pStyle w:val="14"/>
      <w:jc w:val="right"/>
    </w:pPr>
    <w:r>
      <w:rPr>
        <w:rFonts w:hint="eastAsia"/>
      </w:rPr>
      <w:t xml:space="preserve">                                                                                                                               绍兴市柯桥区国有企业采购公开招标文件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2467E">
    <w:pPr>
      <w:pStyle w:val="14"/>
      <w:pBdr>
        <w:bottom w:val="single" w:color="auto" w:sz="6" w:space="0"/>
      </w:pBdr>
      <w:tabs>
        <w:tab w:val="center" w:pos="4535"/>
        <w:tab w:val="right" w:pos="9070"/>
        <w:tab w:val="clear" w:pos="4153"/>
        <w:tab w:val="clear" w:pos="8306"/>
      </w:tabs>
      <w:jc w:val="right"/>
    </w:pPr>
    <w:r>
      <w:rPr>
        <w:rFonts w:hint="eastAsia"/>
        <w:lang w:val="zh-CN"/>
      </w:rPr>
      <w:t xml:space="preserve"> 绍兴市柯桥区国有企业采购公开招标文件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4E44B">
    <w:pPr>
      <w:jc w:val="right"/>
      <w:rPr>
        <w:color w:val="000000"/>
      </w:rPr>
    </w:pPr>
    <w:r>
      <w:rPr>
        <w:rFonts w:hint="eastAsia"/>
        <w:color w:val="0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3108">
    <w:pPr>
      <w:pStyle w:val="14"/>
    </w:pPr>
  </w:p>
  <w:p w14:paraId="11A56FC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F60E">
    <w:pPr>
      <w:pStyle w:val="14"/>
      <w:jc w:val="right"/>
    </w:pPr>
    <w:r>
      <w:rPr>
        <w:rFonts w:hint="eastAsia"/>
      </w:rPr>
      <w:t xml:space="preserve">                           绍兴市柯桥区国有企业采购公开招标文件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3EB87"/>
    <w:multiLevelType w:val="singleLevel"/>
    <w:tmpl w:val="AE63EB87"/>
    <w:lvl w:ilvl="0" w:tentative="0">
      <w:start w:val="3"/>
      <w:numFmt w:val="decimal"/>
      <w:lvlText w:val="%1."/>
      <w:lvlJc w:val="left"/>
      <w:pPr>
        <w:tabs>
          <w:tab w:val="left" w:pos="312"/>
        </w:tabs>
        <w:ind w:left="600" w:firstLine="0"/>
      </w:pPr>
    </w:lvl>
  </w:abstractNum>
  <w:abstractNum w:abstractNumId="1">
    <w:nsid w:val="E541C33E"/>
    <w:multiLevelType w:val="singleLevel"/>
    <w:tmpl w:val="E541C33E"/>
    <w:lvl w:ilvl="0" w:tentative="0">
      <w:start w:val="1"/>
      <w:numFmt w:val="decimal"/>
      <w:lvlText w:val="%1."/>
      <w:lvlJc w:val="left"/>
      <w:pPr>
        <w:tabs>
          <w:tab w:val="left" w:pos="312"/>
        </w:tabs>
      </w:pPr>
    </w:lvl>
  </w:abstractNum>
  <w:abstractNum w:abstractNumId="2">
    <w:nsid w:val="F8F30894"/>
    <w:multiLevelType w:val="singleLevel"/>
    <w:tmpl w:val="F8F30894"/>
    <w:lvl w:ilvl="0" w:tentative="0">
      <w:start w:val="2"/>
      <w:numFmt w:val="chineseCounting"/>
      <w:suff w:val="nothing"/>
      <w:lvlText w:val="%1、"/>
      <w:lvlJc w:val="left"/>
      <w:rPr>
        <w:rFonts w:hint="eastAsia"/>
      </w:rPr>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8EA5796"/>
    <w:multiLevelType w:val="multilevel"/>
    <w:tmpl w:val="28EA5796"/>
    <w:lvl w:ilvl="0" w:tentative="0">
      <w:start w:val="1"/>
      <w:numFmt w:val="decimal"/>
      <w:pStyle w:val="2"/>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6">
    <w:nsid w:val="361B7981"/>
    <w:multiLevelType w:val="singleLevel"/>
    <w:tmpl w:val="361B7981"/>
    <w:lvl w:ilvl="0" w:tentative="0">
      <w:start w:val="1"/>
      <w:numFmt w:val="decimal"/>
      <w:pStyle w:val="6"/>
      <w:lvlText w:val="%1."/>
      <w:lvlJc w:val="left"/>
      <w:pPr>
        <w:tabs>
          <w:tab w:val="left" w:pos="780"/>
        </w:tabs>
        <w:ind w:left="780" w:hanging="360"/>
      </w:pPr>
    </w:lvl>
  </w:abstractNum>
  <w:abstractNum w:abstractNumId="7">
    <w:nsid w:val="4898E223"/>
    <w:multiLevelType w:val="singleLevel"/>
    <w:tmpl w:val="4898E223"/>
    <w:lvl w:ilvl="0" w:tentative="0">
      <w:start w:val="20"/>
      <w:numFmt w:val="decimal"/>
      <w:lvlText w:val="%1."/>
      <w:lvlJc w:val="left"/>
      <w:pPr>
        <w:tabs>
          <w:tab w:val="left" w:pos="312"/>
        </w:tabs>
      </w:pPr>
    </w:lvl>
  </w:abstractNum>
  <w:abstractNum w:abstractNumId="8">
    <w:nsid w:val="54FE0432"/>
    <w:multiLevelType w:val="singleLevel"/>
    <w:tmpl w:val="54FE0432"/>
    <w:lvl w:ilvl="0" w:tentative="0">
      <w:start w:val="1"/>
      <w:numFmt w:val="chineseCounting"/>
      <w:suff w:val="nothing"/>
      <w:lvlText w:val="%1、"/>
      <w:lvlJc w:val="left"/>
      <w:rPr>
        <w:rFonts w:hint="eastAsia"/>
      </w:rPr>
    </w:lvl>
  </w:abstractNum>
  <w:abstractNum w:abstractNumId="9">
    <w:nsid w:val="79ABFD40"/>
    <w:multiLevelType w:val="multilevel"/>
    <w:tmpl w:val="79ABFD4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8"/>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MGNlOTdiYmU2MDkyNWJmZTk2MDEyYTZkZGJhZTIifQ=="/>
  </w:docVars>
  <w:rsids>
    <w:rsidRoot w:val="00172A27"/>
    <w:rsid w:val="000021BB"/>
    <w:rsid w:val="000029B1"/>
    <w:rsid w:val="00004CE0"/>
    <w:rsid w:val="00012707"/>
    <w:rsid w:val="00015315"/>
    <w:rsid w:val="00016C70"/>
    <w:rsid w:val="00021053"/>
    <w:rsid w:val="000273CC"/>
    <w:rsid w:val="0005738D"/>
    <w:rsid w:val="00061559"/>
    <w:rsid w:val="00082952"/>
    <w:rsid w:val="000A306D"/>
    <w:rsid w:val="000D111D"/>
    <w:rsid w:val="000E5EE5"/>
    <w:rsid w:val="00106D0C"/>
    <w:rsid w:val="001112DF"/>
    <w:rsid w:val="00130390"/>
    <w:rsid w:val="001541F2"/>
    <w:rsid w:val="001542CD"/>
    <w:rsid w:val="00172A27"/>
    <w:rsid w:val="001773A6"/>
    <w:rsid w:val="0018199A"/>
    <w:rsid w:val="00182BE7"/>
    <w:rsid w:val="001A233D"/>
    <w:rsid w:val="001A6434"/>
    <w:rsid w:val="001A68A5"/>
    <w:rsid w:val="001C3C46"/>
    <w:rsid w:val="001D0116"/>
    <w:rsid w:val="001E702A"/>
    <w:rsid w:val="00210AE7"/>
    <w:rsid w:val="002110F4"/>
    <w:rsid w:val="00233204"/>
    <w:rsid w:val="00240BBF"/>
    <w:rsid w:val="00264BBA"/>
    <w:rsid w:val="00275195"/>
    <w:rsid w:val="002775D4"/>
    <w:rsid w:val="00297667"/>
    <w:rsid w:val="002C24A3"/>
    <w:rsid w:val="002C6C38"/>
    <w:rsid w:val="002C6E39"/>
    <w:rsid w:val="002C78D9"/>
    <w:rsid w:val="002F11E4"/>
    <w:rsid w:val="002F33A9"/>
    <w:rsid w:val="0030024A"/>
    <w:rsid w:val="00303355"/>
    <w:rsid w:val="00312364"/>
    <w:rsid w:val="00335404"/>
    <w:rsid w:val="00363E3D"/>
    <w:rsid w:val="00367584"/>
    <w:rsid w:val="0039355E"/>
    <w:rsid w:val="003B0AC2"/>
    <w:rsid w:val="003F06C1"/>
    <w:rsid w:val="003F0C03"/>
    <w:rsid w:val="003F661A"/>
    <w:rsid w:val="00404247"/>
    <w:rsid w:val="004049D0"/>
    <w:rsid w:val="0043487C"/>
    <w:rsid w:val="00434E74"/>
    <w:rsid w:val="0044062D"/>
    <w:rsid w:val="004447E6"/>
    <w:rsid w:val="004544CE"/>
    <w:rsid w:val="00482A1F"/>
    <w:rsid w:val="00490C17"/>
    <w:rsid w:val="00492AAC"/>
    <w:rsid w:val="004A7A90"/>
    <w:rsid w:val="004D637F"/>
    <w:rsid w:val="00526DA0"/>
    <w:rsid w:val="0054312B"/>
    <w:rsid w:val="0058556E"/>
    <w:rsid w:val="005868C8"/>
    <w:rsid w:val="005920CA"/>
    <w:rsid w:val="005A28F4"/>
    <w:rsid w:val="005B72D9"/>
    <w:rsid w:val="005D2772"/>
    <w:rsid w:val="005D3294"/>
    <w:rsid w:val="005E4B87"/>
    <w:rsid w:val="005F7A83"/>
    <w:rsid w:val="00607EC8"/>
    <w:rsid w:val="00625AFB"/>
    <w:rsid w:val="00627A5B"/>
    <w:rsid w:val="00630D1E"/>
    <w:rsid w:val="0063569F"/>
    <w:rsid w:val="0063623A"/>
    <w:rsid w:val="00655412"/>
    <w:rsid w:val="0066561E"/>
    <w:rsid w:val="00673DE8"/>
    <w:rsid w:val="006859CE"/>
    <w:rsid w:val="00693C6F"/>
    <w:rsid w:val="00694A35"/>
    <w:rsid w:val="0069771D"/>
    <w:rsid w:val="006A2B52"/>
    <w:rsid w:val="006A57B9"/>
    <w:rsid w:val="006A5C75"/>
    <w:rsid w:val="006A6D95"/>
    <w:rsid w:val="006B1068"/>
    <w:rsid w:val="006B3CB2"/>
    <w:rsid w:val="006D1237"/>
    <w:rsid w:val="006D4F39"/>
    <w:rsid w:val="006D6C4D"/>
    <w:rsid w:val="006F1FA2"/>
    <w:rsid w:val="006F2A57"/>
    <w:rsid w:val="0070245F"/>
    <w:rsid w:val="00711033"/>
    <w:rsid w:val="0072765E"/>
    <w:rsid w:val="00733056"/>
    <w:rsid w:val="00735792"/>
    <w:rsid w:val="007C51F3"/>
    <w:rsid w:val="007C5367"/>
    <w:rsid w:val="007E312F"/>
    <w:rsid w:val="007E5521"/>
    <w:rsid w:val="00813661"/>
    <w:rsid w:val="0082443C"/>
    <w:rsid w:val="00825DCE"/>
    <w:rsid w:val="00865F02"/>
    <w:rsid w:val="0087363F"/>
    <w:rsid w:val="0089467F"/>
    <w:rsid w:val="008A3DF8"/>
    <w:rsid w:val="008A4484"/>
    <w:rsid w:val="008C227E"/>
    <w:rsid w:val="008F49A0"/>
    <w:rsid w:val="008F6DC1"/>
    <w:rsid w:val="008F7FEC"/>
    <w:rsid w:val="00906230"/>
    <w:rsid w:val="0091562A"/>
    <w:rsid w:val="00924249"/>
    <w:rsid w:val="00962BEC"/>
    <w:rsid w:val="00976EDF"/>
    <w:rsid w:val="0097785B"/>
    <w:rsid w:val="00984518"/>
    <w:rsid w:val="009B51BE"/>
    <w:rsid w:val="009C33BF"/>
    <w:rsid w:val="009D72F7"/>
    <w:rsid w:val="009E37F8"/>
    <w:rsid w:val="009E75ED"/>
    <w:rsid w:val="009F0DE7"/>
    <w:rsid w:val="00A1436E"/>
    <w:rsid w:val="00A702B0"/>
    <w:rsid w:val="00AA3164"/>
    <w:rsid w:val="00AB27EC"/>
    <w:rsid w:val="00AB75BE"/>
    <w:rsid w:val="00AC7B8A"/>
    <w:rsid w:val="00AE248B"/>
    <w:rsid w:val="00AF0684"/>
    <w:rsid w:val="00AF5E5C"/>
    <w:rsid w:val="00B03F01"/>
    <w:rsid w:val="00B049CC"/>
    <w:rsid w:val="00B0517A"/>
    <w:rsid w:val="00B069D1"/>
    <w:rsid w:val="00B11EDE"/>
    <w:rsid w:val="00B171BF"/>
    <w:rsid w:val="00B34139"/>
    <w:rsid w:val="00B37D51"/>
    <w:rsid w:val="00B706A0"/>
    <w:rsid w:val="00B831FE"/>
    <w:rsid w:val="00B856B6"/>
    <w:rsid w:val="00B96E3F"/>
    <w:rsid w:val="00BA0D04"/>
    <w:rsid w:val="00BB46CC"/>
    <w:rsid w:val="00BB578C"/>
    <w:rsid w:val="00BD6322"/>
    <w:rsid w:val="00BE1603"/>
    <w:rsid w:val="00BF6BF9"/>
    <w:rsid w:val="00C01714"/>
    <w:rsid w:val="00C061E9"/>
    <w:rsid w:val="00C14372"/>
    <w:rsid w:val="00C240E4"/>
    <w:rsid w:val="00C24837"/>
    <w:rsid w:val="00C26417"/>
    <w:rsid w:val="00C27E37"/>
    <w:rsid w:val="00C3745D"/>
    <w:rsid w:val="00C4185F"/>
    <w:rsid w:val="00C473E3"/>
    <w:rsid w:val="00C506E8"/>
    <w:rsid w:val="00C61784"/>
    <w:rsid w:val="00C644E7"/>
    <w:rsid w:val="00C833CF"/>
    <w:rsid w:val="00C929BC"/>
    <w:rsid w:val="00CA4B26"/>
    <w:rsid w:val="00CB1146"/>
    <w:rsid w:val="00CD0DFE"/>
    <w:rsid w:val="00CE6E2E"/>
    <w:rsid w:val="00CF1920"/>
    <w:rsid w:val="00D05CB2"/>
    <w:rsid w:val="00D208B4"/>
    <w:rsid w:val="00D2481E"/>
    <w:rsid w:val="00D24F03"/>
    <w:rsid w:val="00D3467E"/>
    <w:rsid w:val="00D41C57"/>
    <w:rsid w:val="00D52A2D"/>
    <w:rsid w:val="00D561FD"/>
    <w:rsid w:val="00D7049A"/>
    <w:rsid w:val="00D84C01"/>
    <w:rsid w:val="00DD5EED"/>
    <w:rsid w:val="00DE6846"/>
    <w:rsid w:val="00E03E48"/>
    <w:rsid w:val="00E06887"/>
    <w:rsid w:val="00E160C3"/>
    <w:rsid w:val="00E354D6"/>
    <w:rsid w:val="00E411D5"/>
    <w:rsid w:val="00E5510C"/>
    <w:rsid w:val="00E56EA1"/>
    <w:rsid w:val="00E5792A"/>
    <w:rsid w:val="00E7604B"/>
    <w:rsid w:val="00E811DF"/>
    <w:rsid w:val="00EA46A7"/>
    <w:rsid w:val="00EA6F31"/>
    <w:rsid w:val="00EC2F3F"/>
    <w:rsid w:val="00EC3CB4"/>
    <w:rsid w:val="00ED1090"/>
    <w:rsid w:val="00ED11BB"/>
    <w:rsid w:val="00ED120D"/>
    <w:rsid w:val="00ED1ADC"/>
    <w:rsid w:val="00ED51E8"/>
    <w:rsid w:val="00EE1BA2"/>
    <w:rsid w:val="00EF4AD3"/>
    <w:rsid w:val="00F023EB"/>
    <w:rsid w:val="00F131BD"/>
    <w:rsid w:val="00F161A7"/>
    <w:rsid w:val="00F477F9"/>
    <w:rsid w:val="00F63CEE"/>
    <w:rsid w:val="00F6501F"/>
    <w:rsid w:val="00F805CB"/>
    <w:rsid w:val="00F942FF"/>
    <w:rsid w:val="00FA0BDF"/>
    <w:rsid w:val="00FA2807"/>
    <w:rsid w:val="00FB256E"/>
    <w:rsid w:val="00FC1895"/>
    <w:rsid w:val="00FC1CD1"/>
    <w:rsid w:val="00FC5825"/>
    <w:rsid w:val="00FC5D3B"/>
    <w:rsid w:val="00FE2331"/>
    <w:rsid w:val="00FE7219"/>
    <w:rsid w:val="010569BB"/>
    <w:rsid w:val="01057F1E"/>
    <w:rsid w:val="01606A47"/>
    <w:rsid w:val="01610122"/>
    <w:rsid w:val="01676E37"/>
    <w:rsid w:val="01A56261"/>
    <w:rsid w:val="01D408F4"/>
    <w:rsid w:val="022D73F1"/>
    <w:rsid w:val="023D0B8F"/>
    <w:rsid w:val="024D0F2E"/>
    <w:rsid w:val="039C3694"/>
    <w:rsid w:val="03A02986"/>
    <w:rsid w:val="03E272F9"/>
    <w:rsid w:val="04191599"/>
    <w:rsid w:val="04461661"/>
    <w:rsid w:val="05862C3A"/>
    <w:rsid w:val="058732E1"/>
    <w:rsid w:val="059D3E1F"/>
    <w:rsid w:val="05A14F91"/>
    <w:rsid w:val="06113EC5"/>
    <w:rsid w:val="06DB7214"/>
    <w:rsid w:val="07070866"/>
    <w:rsid w:val="07921036"/>
    <w:rsid w:val="07A331FF"/>
    <w:rsid w:val="08B7505D"/>
    <w:rsid w:val="08C416C3"/>
    <w:rsid w:val="0997408D"/>
    <w:rsid w:val="09E905BE"/>
    <w:rsid w:val="09F447E1"/>
    <w:rsid w:val="09F72C90"/>
    <w:rsid w:val="0A332C8A"/>
    <w:rsid w:val="0A6843EF"/>
    <w:rsid w:val="0A96708F"/>
    <w:rsid w:val="0ACA0FDB"/>
    <w:rsid w:val="0AE26690"/>
    <w:rsid w:val="0B0C5DBD"/>
    <w:rsid w:val="0B712105"/>
    <w:rsid w:val="0C5C7E64"/>
    <w:rsid w:val="0CDB667B"/>
    <w:rsid w:val="0CE265BB"/>
    <w:rsid w:val="0CFD33F5"/>
    <w:rsid w:val="0D222E5C"/>
    <w:rsid w:val="0D47220D"/>
    <w:rsid w:val="0D7E7B62"/>
    <w:rsid w:val="0DC229F0"/>
    <w:rsid w:val="0DEF3E23"/>
    <w:rsid w:val="0DF7ABBD"/>
    <w:rsid w:val="0E1E04CD"/>
    <w:rsid w:val="0E1F7FCC"/>
    <w:rsid w:val="0E382AD4"/>
    <w:rsid w:val="0E7476E7"/>
    <w:rsid w:val="0EDC0053"/>
    <w:rsid w:val="0EF34A9B"/>
    <w:rsid w:val="0F442029"/>
    <w:rsid w:val="0FC37DF8"/>
    <w:rsid w:val="10E20F17"/>
    <w:rsid w:val="11525245"/>
    <w:rsid w:val="115E01DA"/>
    <w:rsid w:val="11671309"/>
    <w:rsid w:val="11816503"/>
    <w:rsid w:val="11A37B3F"/>
    <w:rsid w:val="12280AC1"/>
    <w:rsid w:val="12401178"/>
    <w:rsid w:val="12D15E76"/>
    <w:rsid w:val="130925CA"/>
    <w:rsid w:val="131D56A4"/>
    <w:rsid w:val="132411B5"/>
    <w:rsid w:val="13631AD8"/>
    <w:rsid w:val="139576C2"/>
    <w:rsid w:val="13D900D2"/>
    <w:rsid w:val="145C2E78"/>
    <w:rsid w:val="147A00A2"/>
    <w:rsid w:val="148F7029"/>
    <w:rsid w:val="15200B73"/>
    <w:rsid w:val="15770E56"/>
    <w:rsid w:val="15DC2315"/>
    <w:rsid w:val="16327E5E"/>
    <w:rsid w:val="16585B40"/>
    <w:rsid w:val="16777996"/>
    <w:rsid w:val="16BE1E47"/>
    <w:rsid w:val="179228B5"/>
    <w:rsid w:val="189E2F34"/>
    <w:rsid w:val="18BA4D45"/>
    <w:rsid w:val="18E24C39"/>
    <w:rsid w:val="197E066E"/>
    <w:rsid w:val="19B814A2"/>
    <w:rsid w:val="1A030467"/>
    <w:rsid w:val="1AF60C04"/>
    <w:rsid w:val="1B1E4B53"/>
    <w:rsid w:val="1B697EA8"/>
    <w:rsid w:val="1B743DF9"/>
    <w:rsid w:val="1B96115F"/>
    <w:rsid w:val="1BC03F6C"/>
    <w:rsid w:val="1BD87744"/>
    <w:rsid w:val="1C16002F"/>
    <w:rsid w:val="1C6D17D5"/>
    <w:rsid w:val="1C8948DF"/>
    <w:rsid w:val="1CFC69E7"/>
    <w:rsid w:val="1D3C40F5"/>
    <w:rsid w:val="1DAA3337"/>
    <w:rsid w:val="1E65704C"/>
    <w:rsid w:val="1E7D7EB2"/>
    <w:rsid w:val="1F203F12"/>
    <w:rsid w:val="1F42039C"/>
    <w:rsid w:val="1F426B81"/>
    <w:rsid w:val="1F9774BC"/>
    <w:rsid w:val="1FBD4204"/>
    <w:rsid w:val="201F06E7"/>
    <w:rsid w:val="2083583F"/>
    <w:rsid w:val="209C3774"/>
    <w:rsid w:val="20E95D13"/>
    <w:rsid w:val="2109363F"/>
    <w:rsid w:val="2115671A"/>
    <w:rsid w:val="212154AC"/>
    <w:rsid w:val="21222FD3"/>
    <w:rsid w:val="21AD7B84"/>
    <w:rsid w:val="21F039A6"/>
    <w:rsid w:val="21F46E0C"/>
    <w:rsid w:val="2237602F"/>
    <w:rsid w:val="22A71DC2"/>
    <w:rsid w:val="231057D9"/>
    <w:rsid w:val="231F6890"/>
    <w:rsid w:val="23A06AD2"/>
    <w:rsid w:val="24D40A88"/>
    <w:rsid w:val="24DB42CA"/>
    <w:rsid w:val="24FD7BB1"/>
    <w:rsid w:val="252F5CBE"/>
    <w:rsid w:val="25872C96"/>
    <w:rsid w:val="26173BCD"/>
    <w:rsid w:val="261E16F9"/>
    <w:rsid w:val="265A320F"/>
    <w:rsid w:val="26BE379D"/>
    <w:rsid w:val="26E2365E"/>
    <w:rsid w:val="26E74AA2"/>
    <w:rsid w:val="27ED31AC"/>
    <w:rsid w:val="28213610"/>
    <w:rsid w:val="283F16D4"/>
    <w:rsid w:val="28602E42"/>
    <w:rsid w:val="288455AC"/>
    <w:rsid w:val="28F2406D"/>
    <w:rsid w:val="2960467D"/>
    <w:rsid w:val="29C16846"/>
    <w:rsid w:val="29C25353"/>
    <w:rsid w:val="2A2B2EF8"/>
    <w:rsid w:val="2A3B40B0"/>
    <w:rsid w:val="2A5D4D2B"/>
    <w:rsid w:val="2A750617"/>
    <w:rsid w:val="2B0E422E"/>
    <w:rsid w:val="2B604E23"/>
    <w:rsid w:val="2C7F41FC"/>
    <w:rsid w:val="2CC6515A"/>
    <w:rsid w:val="2D0F6B01"/>
    <w:rsid w:val="2D310DF5"/>
    <w:rsid w:val="2D547473"/>
    <w:rsid w:val="2D9A7178"/>
    <w:rsid w:val="2E0C1292"/>
    <w:rsid w:val="2E450300"/>
    <w:rsid w:val="2E7A444E"/>
    <w:rsid w:val="2E8B0B50"/>
    <w:rsid w:val="2EB07FFF"/>
    <w:rsid w:val="2EEC3FC4"/>
    <w:rsid w:val="2F234AE5"/>
    <w:rsid w:val="2F631386"/>
    <w:rsid w:val="302208F9"/>
    <w:rsid w:val="3038011D"/>
    <w:rsid w:val="304271ED"/>
    <w:rsid w:val="30474804"/>
    <w:rsid w:val="308B7CC7"/>
    <w:rsid w:val="30CA0781"/>
    <w:rsid w:val="30EB518F"/>
    <w:rsid w:val="314920DA"/>
    <w:rsid w:val="3199108F"/>
    <w:rsid w:val="319D13D3"/>
    <w:rsid w:val="31A11CF2"/>
    <w:rsid w:val="32370516"/>
    <w:rsid w:val="3242174D"/>
    <w:rsid w:val="32DB431B"/>
    <w:rsid w:val="32EC3440"/>
    <w:rsid w:val="333D3C9C"/>
    <w:rsid w:val="333F5C66"/>
    <w:rsid w:val="334A541B"/>
    <w:rsid w:val="33A80BAD"/>
    <w:rsid w:val="33D52A3A"/>
    <w:rsid w:val="33FB4C9F"/>
    <w:rsid w:val="34357DBB"/>
    <w:rsid w:val="34A001AA"/>
    <w:rsid w:val="34A55F9D"/>
    <w:rsid w:val="34DCEEBE"/>
    <w:rsid w:val="35447564"/>
    <w:rsid w:val="356D7FD7"/>
    <w:rsid w:val="357A6974"/>
    <w:rsid w:val="35B30245"/>
    <w:rsid w:val="362A64C1"/>
    <w:rsid w:val="36BA7A3F"/>
    <w:rsid w:val="371E5AC0"/>
    <w:rsid w:val="37983B97"/>
    <w:rsid w:val="37DC5BEE"/>
    <w:rsid w:val="37ED4490"/>
    <w:rsid w:val="38093155"/>
    <w:rsid w:val="38402B7E"/>
    <w:rsid w:val="388076F2"/>
    <w:rsid w:val="38AD2034"/>
    <w:rsid w:val="39615ED1"/>
    <w:rsid w:val="3A1E36E1"/>
    <w:rsid w:val="3B1D2375"/>
    <w:rsid w:val="3B2768C7"/>
    <w:rsid w:val="3B3616FD"/>
    <w:rsid w:val="3B462D16"/>
    <w:rsid w:val="3B933E2F"/>
    <w:rsid w:val="3BB05953"/>
    <w:rsid w:val="3C060031"/>
    <w:rsid w:val="3C374265"/>
    <w:rsid w:val="3C3F33B4"/>
    <w:rsid w:val="3CA84C67"/>
    <w:rsid w:val="3CB01BCA"/>
    <w:rsid w:val="3CFC3141"/>
    <w:rsid w:val="3D207130"/>
    <w:rsid w:val="3D8E0CCE"/>
    <w:rsid w:val="3DA809A5"/>
    <w:rsid w:val="3DB2141D"/>
    <w:rsid w:val="3E3C4B00"/>
    <w:rsid w:val="3E484F44"/>
    <w:rsid w:val="3E703F0D"/>
    <w:rsid w:val="3E984202"/>
    <w:rsid w:val="3EAA76F3"/>
    <w:rsid w:val="3ECC3927"/>
    <w:rsid w:val="3F0D03A3"/>
    <w:rsid w:val="3F67457A"/>
    <w:rsid w:val="3F980BD8"/>
    <w:rsid w:val="3F9F3D14"/>
    <w:rsid w:val="3FCA25F9"/>
    <w:rsid w:val="3FE77469"/>
    <w:rsid w:val="3FF40807"/>
    <w:rsid w:val="404E573A"/>
    <w:rsid w:val="40D95004"/>
    <w:rsid w:val="40E21916"/>
    <w:rsid w:val="41287D39"/>
    <w:rsid w:val="42093594"/>
    <w:rsid w:val="42957651"/>
    <w:rsid w:val="42FA23ED"/>
    <w:rsid w:val="437B3198"/>
    <w:rsid w:val="44123DA4"/>
    <w:rsid w:val="44211C2A"/>
    <w:rsid w:val="444661CE"/>
    <w:rsid w:val="4472760F"/>
    <w:rsid w:val="44DC51E3"/>
    <w:rsid w:val="457459A7"/>
    <w:rsid w:val="458D2861"/>
    <w:rsid w:val="45942DF0"/>
    <w:rsid w:val="46077A92"/>
    <w:rsid w:val="46B66F43"/>
    <w:rsid w:val="470D188A"/>
    <w:rsid w:val="47280D7A"/>
    <w:rsid w:val="47347A68"/>
    <w:rsid w:val="47817311"/>
    <w:rsid w:val="479C6D8B"/>
    <w:rsid w:val="481D7ECC"/>
    <w:rsid w:val="48280796"/>
    <w:rsid w:val="488251BB"/>
    <w:rsid w:val="48AF377F"/>
    <w:rsid w:val="493F1D95"/>
    <w:rsid w:val="49697D12"/>
    <w:rsid w:val="498B75D8"/>
    <w:rsid w:val="49924E7D"/>
    <w:rsid w:val="49AD1724"/>
    <w:rsid w:val="4A070E34"/>
    <w:rsid w:val="4AA01FD3"/>
    <w:rsid w:val="4AA06B93"/>
    <w:rsid w:val="4AA338B5"/>
    <w:rsid w:val="4BFE2856"/>
    <w:rsid w:val="4C7F7227"/>
    <w:rsid w:val="4C935807"/>
    <w:rsid w:val="4CEB3785"/>
    <w:rsid w:val="4CFD00C6"/>
    <w:rsid w:val="4D5D3C5B"/>
    <w:rsid w:val="4D7C10D8"/>
    <w:rsid w:val="4DF427F7"/>
    <w:rsid w:val="4E0905AD"/>
    <w:rsid w:val="4E4A6CEE"/>
    <w:rsid w:val="4E537D74"/>
    <w:rsid w:val="4EAC1FAA"/>
    <w:rsid w:val="4EB90223"/>
    <w:rsid w:val="4ECE5B28"/>
    <w:rsid w:val="4ED416D0"/>
    <w:rsid w:val="4EFA0F67"/>
    <w:rsid w:val="50C54915"/>
    <w:rsid w:val="50D13F4A"/>
    <w:rsid w:val="50DA694B"/>
    <w:rsid w:val="50DE3837"/>
    <w:rsid w:val="50E13A61"/>
    <w:rsid w:val="51220372"/>
    <w:rsid w:val="52001CB8"/>
    <w:rsid w:val="52200108"/>
    <w:rsid w:val="52313D8D"/>
    <w:rsid w:val="52B20F69"/>
    <w:rsid w:val="52DD4BC4"/>
    <w:rsid w:val="52FE4D9E"/>
    <w:rsid w:val="531972F5"/>
    <w:rsid w:val="531A11E6"/>
    <w:rsid w:val="53291393"/>
    <w:rsid w:val="53B860FA"/>
    <w:rsid w:val="542B3020"/>
    <w:rsid w:val="548016E4"/>
    <w:rsid w:val="554C2E50"/>
    <w:rsid w:val="55567D78"/>
    <w:rsid w:val="55AC3781"/>
    <w:rsid w:val="55D911AB"/>
    <w:rsid w:val="55DB7B0F"/>
    <w:rsid w:val="55EB8762"/>
    <w:rsid w:val="564B4752"/>
    <w:rsid w:val="56BF65F2"/>
    <w:rsid w:val="56E878F7"/>
    <w:rsid w:val="56FB0201"/>
    <w:rsid w:val="57062473"/>
    <w:rsid w:val="579728AC"/>
    <w:rsid w:val="57DD4F82"/>
    <w:rsid w:val="582E3A30"/>
    <w:rsid w:val="582E57DE"/>
    <w:rsid w:val="587D6765"/>
    <w:rsid w:val="59FD00B1"/>
    <w:rsid w:val="5A5E1E7B"/>
    <w:rsid w:val="5A6C083F"/>
    <w:rsid w:val="5B2B06FA"/>
    <w:rsid w:val="5B4875D7"/>
    <w:rsid w:val="5B6F4351"/>
    <w:rsid w:val="5B78631A"/>
    <w:rsid w:val="5B7D73B9"/>
    <w:rsid w:val="5B907C86"/>
    <w:rsid w:val="5C4C0A6F"/>
    <w:rsid w:val="5C4E46A0"/>
    <w:rsid w:val="5D1B684A"/>
    <w:rsid w:val="5DA831CA"/>
    <w:rsid w:val="5DAA5E9F"/>
    <w:rsid w:val="5DC6470A"/>
    <w:rsid w:val="5E5341F0"/>
    <w:rsid w:val="5E91621B"/>
    <w:rsid w:val="5EEA0155"/>
    <w:rsid w:val="5F3559E0"/>
    <w:rsid w:val="5F3E47D0"/>
    <w:rsid w:val="5F506981"/>
    <w:rsid w:val="5FB16B8E"/>
    <w:rsid w:val="60E91794"/>
    <w:rsid w:val="60F160E0"/>
    <w:rsid w:val="61047A23"/>
    <w:rsid w:val="613B2D76"/>
    <w:rsid w:val="61693D2A"/>
    <w:rsid w:val="61A2614F"/>
    <w:rsid w:val="61AD7505"/>
    <w:rsid w:val="61B52ACC"/>
    <w:rsid w:val="62037D1A"/>
    <w:rsid w:val="6220088D"/>
    <w:rsid w:val="62AB28B1"/>
    <w:rsid w:val="63077B85"/>
    <w:rsid w:val="632F3D02"/>
    <w:rsid w:val="634729A5"/>
    <w:rsid w:val="63D00091"/>
    <w:rsid w:val="63E5505D"/>
    <w:rsid w:val="64064612"/>
    <w:rsid w:val="64143CAD"/>
    <w:rsid w:val="64150045"/>
    <w:rsid w:val="64195594"/>
    <w:rsid w:val="641A5121"/>
    <w:rsid w:val="642D7291"/>
    <w:rsid w:val="646F476B"/>
    <w:rsid w:val="64707C9A"/>
    <w:rsid w:val="64FA412C"/>
    <w:rsid w:val="650C334B"/>
    <w:rsid w:val="652C06CC"/>
    <w:rsid w:val="65444240"/>
    <w:rsid w:val="65AC068A"/>
    <w:rsid w:val="65C50B86"/>
    <w:rsid w:val="65E51D7F"/>
    <w:rsid w:val="65F54369"/>
    <w:rsid w:val="66042274"/>
    <w:rsid w:val="66246FBD"/>
    <w:rsid w:val="666D2666"/>
    <w:rsid w:val="66FF5D2C"/>
    <w:rsid w:val="67002A3B"/>
    <w:rsid w:val="671E2DCA"/>
    <w:rsid w:val="6723696C"/>
    <w:rsid w:val="67877C1B"/>
    <w:rsid w:val="678C1FB1"/>
    <w:rsid w:val="67AE41C8"/>
    <w:rsid w:val="688B4586"/>
    <w:rsid w:val="69584481"/>
    <w:rsid w:val="695D23C7"/>
    <w:rsid w:val="697946CC"/>
    <w:rsid w:val="6985191D"/>
    <w:rsid w:val="699F09AF"/>
    <w:rsid w:val="69D07E4B"/>
    <w:rsid w:val="6A2C570F"/>
    <w:rsid w:val="6A6E6DE5"/>
    <w:rsid w:val="6AD40467"/>
    <w:rsid w:val="6B3F3AD6"/>
    <w:rsid w:val="6B610012"/>
    <w:rsid w:val="6B6E2157"/>
    <w:rsid w:val="6BC10F81"/>
    <w:rsid w:val="6BD822CA"/>
    <w:rsid w:val="6C0234D9"/>
    <w:rsid w:val="6C2F085B"/>
    <w:rsid w:val="6C82472F"/>
    <w:rsid w:val="6CCD4D62"/>
    <w:rsid w:val="6CD504C6"/>
    <w:rsid w:val="6D341690"/>
    <w:rsid w:val="6D733BF7"/>
    <w:rsid w:val="6D763A57"/>
    <w:rsid w:val="6DA31C56"/>
    <w:rsid w:val="6DDA2324"/>
    <w:rsid w:val="6DED206F"/>
    <w:rsid w:val="6E0F0989"/>
    <w:rsid w:val="6EAB7730"/>
    <w:rsid w:val="6ED3714A"/>
    <w:rsid w:val="6F232E07"/>
    <w:rsid w:val="6F9D0E79"/>
    <w:rsid w:val="6FAB695D"/>
    <w:rsid w:val="6FD902CD"/>
    <w:rsid w:val="707A385E"/>
    <w:rsid w:val="7183488E"/>
    <w:rsid w:val="71B971C1"/>
    <w:rsid w:val="71FC12E2"/>
    <w:rsid w:val="73195DD3"/>
    <w:rsid w:val="73520AC2"/>
    <w:rsid w:val="73716A1B"/>
    <w:rsid w:val="74B67236"/>
    <w:rsid w:val="75727780"/>
    <w:rsid w:val="758B2144"/>
    <w:rsid w:val="75B5735D"/>
    <w:rsid w:val="75DC28C5"/>
    <w:rsid w:val="76077F4C"/>
    <w:rsid w:val="761C1CCD"/>
    <w:rsid w:val="763C5112"/>
    <w:rsid w:val="766501FD"/>
    <w:rsid w:val="76E130DA"/>
    <w:rsid w:val="76FF686B"/>
    <w:rsid w:val="77343AD7"/>
    <w:rsid w:val="773D7394"/>
    <w:rsid w:val="777E5D17"/>
    <w:rsid w:val="77A51EB0"/>
    <w:rsid w:val="77A954AE"/>
    <w:rsid w:val="77C050CF"/>
    <w:rsid w:val="77F21009"/>
    <w:rsid w:val="77FFE7F7"/>
    <w:rsid w:val="78225B93"/>
    <w:rsid w:val="786642FA"/>
    <w:rsid w:val="78856D17"/>
    <w:rsid w:val="79073671"/>
    <w:rsid w:val="79090469"/>
    <w:rsid w:val="792521C0"/>
    <w:rsid w:val="79DA3B7F"/>
    <w:rsid w:val="7A2B3E1B"/>
    <w:rsid w:val="7A3D4293"/>
    <w:rsid w:val="7A7059D1"/>
    <w:rsid w:val="7A893221"/>
    <w:rsid w:val="7B206A16"/>
    <w:rsid w:val="7BA60AB8"/>
    <w:rsid w:val="7BB5588E"/>
    <w:rsid w:val="7BD863FC"/>
    <w:rsid w:val="7BF50268"/>
    <w:rsid w:val="7C8F3808"/>
    <w:rsid w:val="7CA31EB3"/>
    <w:rsid w:val="7CC9592B"/>
    <w:rsid w:val="7D6A1792"/>
    <w:rsid w:val="7DCC0ED5"/>
    <w:rsid w:val="7DE578C1"/>
    <w:rsid w:val="7DE765A2"/>
    <w:rsid w:val="7E12288B"/>
    <w:rsid w:val="7EAA5BA5"/>
    <w:rsid w:val="7EB64B61"/>
    <w:rsid w:val="7EC00FD6"/>
    <w:rsid w:val="7ED700CE"/>
    <w:rsid w:val="7F376DBE"/>
    <w:rsid w:val="7F517E80"/>
    <w:rsid w:val="7F7B5319"/>
    <w:rsid w:val="9EABE092"/>
    <w:rsid w:val="AB7FB969"/>
    <w:rsid w:val="D8351759"/>
    <w:rsid w:val="E7F71DFF"/>
    <w:rsid w:val="F2C2CFAF"/>
    <w:rsid w:val="FF7984ED"/>
    <w:rsid w:val="FF7F163F"/>
    <w:rsid w:val="FF9FC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numPr>
        <w:ilvl w:val="0"/>
        <w:numId w:val="1"/>
      </w:numPr>
      <w:spacing w:before="240" w:after="60"/>
      <w:jc w:val="left"/>
      <w:outlineLvl w:val="0"/>
    </w:pPr>
    <w:rPr>
      <w:rFonts w:ascii="Arial" w:hAnsi="Arial" w:eastAsia="ÎÄ¶¦±¨ËÎÌå¼ò"/>
      <w:b/>
      <w:kern w:val="28"/>
      <w:sz w:val="28"/>
      <w:szCs w:val="20"/>
    </w:rPr>
  </w:style>
  <w:style w:type="paragraph" w:styleId="3">
    <w:name w:val="heading 2"/>
    <w:basedOn w:val="1"/>
    <w:next w:val="1"/>
    <w:qFormat/>
    <w:uiPriority w:val="9"/>
    <w:pPr>
      <w:keepNext/>
      <w:keepLines/>
      <w:numPr>
        <w:ilvl w:val="0"/>
        <w:numId w:val="2"/>
      </w:numPr>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6"/>
    <w:basedOn w:val="1"/>
    <w:next w:val="1"/>
    <w:qFormat/>
    <w:uiPriority w:val="0"/>
    <w:pPr>
      <w:widowControl/>
      <w:spacing w:before="60" w:after="60" w:line="440" w:lineRule="atLeast"/>
      <w:textAlignment w:val="baseline"/>
      <w:outlineLvl w:val="5"/>
    </w:pPr>
    <w:rPr>
      <w:rFonts w:ascii="宋体" w:hAnsi="Arial"/>
      <w:kern w:val="0"/>
      <w:sz w:val="24"/>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numPr>
        <w:ilvl w:val="0"/>
        <w:numId w:val="3"/>
      </w:numPr>
    </w:pPr>
  </w:style>
  <w:style w:type="paragraph" w:styleId="7">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semiHidden/>
    <w:qFormat/>
    <w:uiPriority w:val="0"/>
    <w:pPr>
      <w:jc w:val="left"/>
    </w:pPr>
  </w:style>
  <w:style w:type="paragraph" w:styleId="9">
    <w:name w:val="Body Text"/>
    <w:basedOn w:val="1"/>
    <w:next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10">
    <w:name w:val="Body Text Indent"/>
    <w:basedOn w:val="1"/>
    <w:qFormat/>
    <w:uiPriority w:val="99"/>
    <w:pPr>
      <w:adjustRightInd w:val="0"/>
      <w:spacing w:line="500" w:lineRule="atLeast"/>
      <w:ind w:firstLine="210"/>
      <w:textAlignment w:val="baseline"/>
    </w:pPr>
    <w:rPr>
      <w:rFonts w:ascii="Arial" w:eastAsia="Arial"/>
      <w:sz w:val="24"/>
    </w:rPr>
  </w:style>
  <w:style w:type="paragraph" w:styleId="11">
    <w:name w:val="Plain Text"/>
    <w:basedOn w:val="1"/>
    <w:qFormat/>
    <w:uiPriority w:val="0"/>
    <w:rPr>
      <w:rFonts w:ascii="宋体" w:hAnsi="Courier New"/>
      <w:szCs w:val="20"/>
    </w:rPr>
  </w:style>
  <w:style w:type="paragraph" w:styleId="12">
    <w:name w:val="Balloon Text"/>
    <w:basedOn w:val="1"/>
    <w:link w:val="27"/>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lang w:val="zh-CN"/>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6">
    <w:name w:val="Title"/>
    <w:basedOn w:val="1"/>
    <w:qFormat/>
    <w:uiPriority w:val="0"/>
    <w:pPr>
      <w:spacing w:before="240" w:after="60"/>
      <w:jc w:val="center"/>
      <w:outlineLvl w:val="0"/>
    </w:pPr>
    <w:rPr>
      <w:rFonts w:ascii="等线 Light" w:hAnsi="等线 Light"/>
      <w:b/>
      <w:bCs/>
      <w:sz w:val="32"/>
      <w:szCs w:val="32"/>
    </w:rPr>
  </w:style>
  <w:style w:type="paragraph" w:styleId="17">
    <w:name w:val="annotation subject"/>
    <w:basedOn w:val="8"/>
    <w:next w:val="8"/>
    <w:qFormat/>
    <w:uiPriority w:val="0"/>
    <w:pPr>
      <w:widowControl/>
      <w:spacing w:after="50" w:afterLines="50"/>
    </w:pPr>
    <w:rPr>
      <w:b/>
      <w:bCs/>
      <w:kern w:val="0"/>
      <w:sz w:val="24"/>
      <w:szCs w:val="20"/>
      <w:lang w:val="zh-CN"/>
    </w:rPr>
  </w:style>
  <w:style w:type="paragraph" w:styleId="18">
    <w:name w:val="Body Text First Indent"/>
    <w:basedOn w:val="9"/>
    <w:next w:val="19"/>
    <w:qFormat/>
    <w:uiPriority w:val="0"/>
    <w:pPr>
      <w:ind w:firstLine="420"/>
    </w:pPr>
    <w:rPr>
      <w:rFonts w:hAnsi="Times New Roman" w:cs="Times New Roman"/>
      <w:snapToGrid/>
      <w:szCs w:val="20"/>
    </w:rPr>
  </w:style>
  <w:style w:type="paragraph" w:styleId="19">
    <w:name w:val="Body Text First Indent 2"/>
    <w:basedOn w:val="10"/>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批注框文本 字符"/>
    <w:link w:val="12"/>
    <w:qFormat/>
    <w:uiPriority w:val="0"/>
    <w:rPr>
      <w:rFonts w:ascii="Times New Roman" w:hAnsi="Times New Roman"/>
      <w:kern w:val="2"/>
      <w:sz w:val="18"/>
      <w:szCs w:val="18"/>
    </w:rPr>
  </w:style>
  <w:style w:type="paragraph" w:customStyle="1" w:styleId="28">
    <w:name w:val="_Style 24"/>
    <w:unhideWhenUsed/>
    <w:qFormat/>
    <w:uiPriority w:val="99"/>
    <w:rPr>
      <w:rFonts w:ascii="Times New Roman" w:hAnsi="Times New Roman" w:eastAsia="宋体" w:cs="Times New Roman"/>
      <w:kern w:val="2"/>
      <w:sz w:val="21"/>
      <w:szCs w:val="24"/>
      <w:lang w:val="en-US" w:eastAsia="zh-CN" w:bidi="ar-SA"/>
    </w:rPr>
  </w:style>
  <w:style w:type="paragraph" w:customStyle="1" w:styleId="29">
    <w:name w:val="正文段"/>
    <w:basedOn w:val="1"/>
    <w:qFormat/>
    <w:uiPriority w:val="0"/>
    <w:pPr>
      <w:widowControl/>
      <w:snapToGrid w:val="0"/>
      <w:spacing w:after="50" w:afterLines="50"/>
      <w:ind w:firstLine="200" w:firstLineChars="200"/>
    </w:pPr>
    <w:rPr>
      <w:kern w:val="0"/>
      <w:sz w:val="24"/>
      <w:szCs w:val="20"/>
    </w:rPr>
  </w:style>
  <w:style w:type="paragraph" w:customStyle="1" w:styleId="30">
    <w:name w:val="表格文字"/>
    <w:basedOn w:val="11"/>
    <w:qFormat/>
    <w:uiPriority w:val="0"/>
    <w:pPr>
      <w:jc w:val="left"/>
    </w:pPr>
    <w:rPr>
      <w:sz w:val="24"/>
    </w:rPr>
  </w:style>
  <w:style w:type="paragraph" w:customStyle="1" w:styleId="31">
    <w:name w:val="标准正文"/>
    <w:basedOn w:val="1"/>
    <w:qFormat/>
    <w:uiPriority w:val="0"/>
    <w:pPr>
      <w:spacing w:after="50" w:afterLines="50"/>
      <w:ind w:firstLine="200" w:firstLineChars="200"/>
    </w:pPr>
    <w:rPr>
      <w:sz w:val="24"/>
      <w:szCs w:val="21"/>
    </w:rPr>
  </w:style>
  <w:style w:type="paragraph" w:customStyle="1" w:styleId="32">
    <w:name w:val="表正文"/>
    <w:basedOn w:val="1"/>
    <w:next w:val="11"/>
    <w:qFormat/>
    <w:uiPriority w:val="0"/>
    <w:rPr>
      <w:rFonts w:ascii="宋体" w:hAnsi="Courier New"/>
      <w:szCs w:val="20"/>
    </w:rPr>
  </w:style>
  <w:style w:type="paragraph" w:customStyle="1" w:styleId="33">
    <w:name w:val="表格标题"/>
    <w:basedOn w:val="30"/>
    <w:qFormat/>
    <w:uiPriority w:val="0"/>
    <w:pPr>
      <w:keepNext/>
      <w:jc w:val="center"/>
    </w:pPr>
    <w:rPr>
      <w:b/>
      <w:bCs/>
    </w:rPr>
  </w:style>
  <w:style w:type="paragraph" w:styleId="34">
    <w:name w:val="List Paragraph"/>
    <w:basedOn w:val="1"/>
    <w:qFormat/>
    <w:uiPriority w:val="34"/>
    <w:pPr>
      <w:ind w:firstLine="420" w:firstLineChars="200"/>
    </w:p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21"/>
    <w:basedOn w:val="22"/>
    <w:qFormat/>
    <w:uiPriority w:val="0"/>
    <w:rPr>
      <w:rFonts w:hint="eastAsia" w:ascii="宋体" w:hAnsi="宋体" w:eastAsia="宋体" w:cs="宋体"/>
      <w:color w:val="FF0000"/>
      <w:sz w:val="22"/>
      <w:szCs w:val="22"/>
      <w:u w:val="none"/>
    </w:rPr>
  </w:style>
  <w:style w:type="paragraph" w:customStyle="1" w:styleId="3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
    <w:name w:val="正文2"/>
    <w:basedOn w:val="1"/>
    <w:qFormat/>
    <w:uiPriority w:val="0"/>
    <w:pPr>
      <w:spacing w:before="156" w:beforeLines="0" w:line="360" w:lineRule="auto"/>
      <w:ind w:firstLine="510" w:firstLineChars="200"/>
    </w:pPr>
    <w:rPr>
      <w:sz w:val="24"/>
      <w:szCs w:val="20"/>
    </w:rPr>
  </w:style>
  <w:style w:type="paragraph" w:customStyle="1" w:styleId="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2">
    <w:name w:val="部分1"/>
    <w:basedOn w:val="1"/>
    <w:qFormat/>
    <w:uiPriority w:val="0"/>
    <w:pPr>
      <w:keepNext/>
      <w:pageBreakBefore/>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8878</Words>
  <Characters>9621</Characters>
  <Lines>141</Lines>
  <Paragraphs>39</Paragraphs>
  <TotalTime>100</TotalTime>
  <ScaleCrop>false</ScaleCrop>
  <LinksUpToDate>false</LinksUpToDate>
  <CharactersWithSpaces>9732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2022-05-27T23:59:00Z</dcterms:created>
  <dc:creator>金丹莹</dc:creator>
  <cp:lastModifiedBy>糖糖</cp:lastModifiedBy>
  <cp:lastPrinted>2024-05-06T09:21:00Z</cp:lastPrinted>
  <dcterms:modified xsi:type="dcterms:W3CDTF">2025-06-20T07:24:45Z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DEBD7B6C6B964929A85599330A97CAAF_13</vt:lpwstr>
  </property>
  <property fmtid="{D5CDD505-2E9C-101B-9397-08002B2CF9AE}" pid="4" name="KSOTemplateDocerSaveRecord">
    <vt:lpwstr>eyJoZGlkIjoiZTZlYzg0MGE2MGQzMGI1ODJmNTI5NjZmOGQ2NGY2NWMiLCJ1c2VySWQiOiI3NDk0MDcxNzYifQ==</vt:lpwstr>
  </property>
</Properties>
</file>