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93C95">
      <w:pPr>
        <w:spacing w:line="360" w:lineRule="auto"/>
        <w:ind w:firstLine="880"/>
        <w:jc w:val="center"/>
        <w:rPr>
          <w:rFonts w:ascii="仿宋" w:hAnsi="仿宋" w:eastAsia="仿宋" w:cs="仿宋"/>
          <w:bCs/>
          <w:color w:val="auto"/>
          <w:sz w:val="44"/>
          <w:szCs w:val="44"/>
        </w:rPr>
      </w:pPr>
    </w:p>
    <w:p w14:paraId="3D302592">
      <w:pPr>
        <w:spacing w:line="360" w:lineRule="auto"/>
        <w:ind w:firstLine="880"/>
        <w:jc w:val="center"/>
        <w:rPr>
          <w:rFonts w:hint="eastAsia" w:ascii="仿宋" w:hAnsi="仿宋" w:eastAsia="仿宋" w:cs="仿宋"/>
          <w:bCs/>
          <w:color w:val="auto"/>
          <w:sz w:val="44"/>
          <w:szCs w:val="44"/>
          <w:lang w:eastAsia="zh-CN"/>
        </w:rPr>
      </w:pPr>
      <w:r>
        <w:rPr>
          <w:rFonts w:hint="eastAsia" w:ascii="仿宋" w:hAnsi="仿宋" w:eastAsia="仿宋" w:cs="仿宋"/>
          <w:bCs/>
          <w:color w:val="auto"/>
          <w:sz w:val="44"/>
          <w:szCs w:val="44"/>
          <w:lang w:eastAsia="zh-CN"/>
        </w:rPr>
        <w:t>浙江现代纺织技术创新中心有限公司</w:t>
      </w:r>
    </w:p>
    <w:p w14:paraId="77D8642E">
      <w:pPr>
        <w:spacing w:line="360" w:lineRule="auto"/>
        <w:ind w:firstLine="880"/>
        <w:jc w:val="center"/>
        <w:rPr>
          <w:rFonts w:hint="eastAsia" w:ascii="仿宋" w:hAnsi="仿宋" w:eastAsia="仿宋" w:cs="仿宋"/>
          <w:bCs/>
          <w:color w:val="auto"/>
          <w:sz w:val="44"/>
          <w:szCs w:val="44"/>
          <w:lang w:eastAsia="zh-CN"/>
        </w:rPr>
      </w:pPr>
      <w:r>
        <w:rPr>
          <w:rFonts w:hint="eastAsia" w:ascii="仿宋" w:hAnsi="仿宋" w:eastAsia="仿宋" w:cs="仿宋"/>
          <w:bCs/>
          <w:color w:val="auto"/>
          <w:sz w:val="44"/>
          <w:szCs w:val="44"/>
          <w:lang w:eastAsia="zh-CN"/>
        </w:rPr>
        <w:t>2025年度公款竞争性存放项目</w:t>
      </w:r>
    </w:p>
    <w:p w14:paraId="77837C43">
      <w:pPr>
        <w:tabs>
          <w:tab w:val="left" w:pos="1380"/>
        </w:tabs>
        <w:spacing w:line="360" w:lineRule="auto"/>
        <w:ind w:firstLine="482"/>
        <w:jc w:val="center"/>
        <w:rPr>
          <w:rFonts w:ascii="仿宋" w:hAnsi="仿宋" w:eastAsia="仿宋" w:cs="仿宋"/>
          <w:b/>
          <w:bCs/>
          <w:color w:val="auto"/>
          <w:sz w:val="24"/>
        </w:rPr>
      </w:pPr>
    </w:p>
    <w:p w14:paraId="0BCCD729">
      <w:pPr>
        <w:tabs>
          <w:tab w:val="left" w:pos="1380"/>
        </w:tabs>
        <w:spacing w:line="360" w:lineRule="auto"/>
        <w:ind w:firstLine="562"/>
        <w:jc w:val="center"/>
        <w:rPr>
          <w:rFonts w:ascii="仿宋" w:hAnsi="仿宋" w:eastAsia="仿宋" w:cs="仿宋"/>
          <w:b/>
          <w:bCs/>
          <w:color w:val="auto"/>
          <w:sz w:val="28"/>
          <w:szCs w:val="28"/>
        </w:rPr>
      </w:pPr>
      <w:r>
        <w:rPr>
          <w:rFonts w:hint="eastAsia" w:ascii="仿宋" w:hAnsi="仿宋" w:eastAsia="仿宋" w:cs="仿宋"/>
          <w:b/>
          <w:bCs/>
          <w:color w:val="auto"/>
          <w:sz w:val="28"/>
          <w:szCs w:val="28"/>
        </w:rPr>
        <w:t>（</w:t>
      </w:r>
      <w:r>
        <w:rPr>
          <w:rFonts w:hint="eastAsia" w:ascii="仿宋" w:hAnsi="仿宋" w:eastAsia="仿宋" w:cs="仿宋"/>
          <w:color w:val="auto"/>
          <w:sz w:val="28"/>
          <w:szCs w:val="28"/>
        </w:rPr>
        <w:t>招标编号：ZJYC-202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0528</w:t>
      </w:r>
      <w:r>
        <w:rPr>
          <w:rFonts w:hint="eastAsia" w:ascii="仿宋" w:hAnsi="仿宋" w:eastAsia="仿宋" w:cs="仿宋"/>
          <w:color w:val="auto"/>
          <w:sz w:val="28"/>
          <w:szCs w:val="28"/>
        </w:rPr>
        <w:t xml:space="preserve"> </w:t>
      </w:r>
      <w:r>
        <w:rPr>
          <w:rFonts w:hint="eastAsia" w:ascii="仿宋" w:hAnsi="仿宋" w:eastAsia="仿宋" w:cs="仿宋"/>
          <w:b/>
          <w:bCs/>
          <w:color w:val="auto"/>
          <w:sz w:val="28"/>
          <w:szCs w:val="28"/>
        </w:rPr>
        <w:t>）</w:t>
      </w:r>
    </w:p>
    <w:p w14:paraId="11D35961">
      <w:pPr>
        <w:tabs>
          <w:tab w:val="left" w:pos="1380"/>
        </w:tabs>
        <w:spacing w:line="360" w:lineRule="auto"/>
        <w:ind w:firstLine="643"/>
        <w:rPr>
          <w:rFonts w:ascii="仿宋" w:hAnsi="仿宋" w:eastAsia="仿宋" w:cs="仿宋"/>
          <w:b/>
          <w:bCs/>
          <w:color w:val="auto"/>
          <w:sz w:val="32"/>
          <w:szCs w:val="32"/>
        </w:rPr>
      </w:pPr>
    </w:p>
    <w:p w14:paraId="2AAD420B">
      <w:pPr>
        <w:pStyle w:val="2"/>
        <w:spacing w:line="800" w:lineRule="exact"/>
        <w:ind w:firstLine="1040"/>
        <w:rPr>
          <w:rFonts w:ascii="仿宋" w:hAnsi="仿宋" w:eastAsia="仿宋" w:cs="仿宋"/>
          <w:b w:val="0"/>
          <w:color w:val="auto"/>
          <w:szCs w:val="52"/>
        </w:rPr>
      </w:pPr>
      <w:r>
        <w:rPr>
          <w:rFonts w:hint="eastAsia" w:ascii="仿宋" w:hAnsi="仿宋" w:eastAsia="仿宋" w:cs="仿宋"/>
          <w:b w:val="0"/>
          <w:color w:val="auto"/>
          <w:szCs w:val="52"/>
        </w:rPr>
        <w:t>招</w:t>
      </w:r>
    </w:p>
    <w:p w14:paraId="677D9DF9">
      <w:pPr>
        <w:pStyle w:val="2"/>
        <w:spacing w:line="800" w:lineRule="exact"/>
        <w:ind w:firstLine="1040"/>
        <w:rPr>
          <w:rFonts w:ascii="仿宋" w:hAnsi="仿宋" w:eastAsia="仿宋" w:cs="仿宋"/>
          <w:b w:val="0"/>
          <w:color w:val="auto"/>
          <w:szCs w:val="52"/>
        </w:rPr>
      </w:pPr>
    </w:p>
    <w:p w14:paraId="74F42198">
      <w:pPr>
        <w:pStyle w:val="2"/>
        <w:spacing w:line="800" w:lineRule="exact"/>
        <w:ind w:firstLine="1040"/>
        <w:rPr>
          <w:rFonts w:ascii="仿宋" w:hAnsi="仿宋" w:eastAsia="仿宋" w:cs="仿宋"/>
          <w:b w:val="0"/>
          <w:color w:val="auto"/>
          <w:szCs w:val="52"/>
        </w:rPr>
      </w:pPr>
      <w:r>
        <w:rPr>
          <w:rFonts w:hint="eastAsia" w:ascii="仿宋" w:hAnsi="仿宋" w:eastAsia="仿宋" w:cs="仿宋"/>
          <w:b w:val="0"/>
          <w:color w:val="auto"/>
          <w:szCs w:val="52"/>
        </w:rPr>
        <w:t>标</w:t>
      </w:r>
    </w:p>
    <w:p w14:paraId="2FC156EA">
      <w:pPr>
        <w:pStyle w:val="2"/>
        <w:spacing w:line="800" w:lineRule="exact"/>
        <w:ind w:firstLine="1040"/>
        <w:rPr>
          <w:rFonts w:ascii="仿宋" w:hAnsi="仿宋" w:eastAsia="仿宋" w:cs="仿宋"/>
          <w:b w:val="0"/>
          <w:color w:val="auto"/>
          <w:szCs w:val="52"/>
        </w:rPr>
      </w:pPr>
    </w:p>
    <w:p w14:paraId="07AC7978">
      <w:pPr>
        <w:pStyle w:val="2"/>
        <w:spacing w:line="800" w:lineRule="exact"/>
        <w:ind w:firstLine="1040"/>
        <w:rPr>
          <w:rFonts w:ascii="仿宋" w:hAnsi="仿宋" w:eastAsia="仿宋" w:cs="仿宋"/>
          <w:b w:val="0"/>
          <w:color w:val="auto"/>
          <w:szCs w:val="52"/>
        </w:rPr>
      </w:pPr>
      <w:r>
        <w:rPr>
          <w:rFonts w:hint="eastAsia" w:ascii="仿宋" w:hAnsi="仿宋" w:eastAsia="仿宋" w:cs="仿宋"/>
          <w:b w:val="0"/>
          <w:color w:val="auto"/>
          <w:szCs w:val="52"/>
        </w:rPr>
        <w:t>文</w:t>
      </w:r>
    </w:p>
    <w:p w14:paraId="257456C1">
      <w:pPr>
        <w:pStyle w:val="2"/>
        <w:spacing w:line="800" w:lineRule="exact"/>
        <w:ind w:firstLine="1040"/>
        <w:rPr>
          <w:rFonts w:ascii="仿宋" w:hAnsi="仿宋" w:eastAsia="仿宋" w:cs="仿宋"/>
          <w:b w:val="0"/>
          <w:color w:val="auto"/>
          <w:szCs w:val="52"/>
        </w:rPr>
      </w:pPr>
    </w:p>
    <w:p w14:paraId="02F12CB4">
      <w:pPr>
        <w:pStyle w:val="2"/>
        <w:spacing w:line="800" w:lineRule="exact"/>
        <w:ind w:firstLine="1040"/>
        <w:rPr>
          <w:rFonts w:ascii="仿宋" w:hAnsi="仿宋" w:eastAsia="仿宋" w:cs="仿宋"/>
          <w:b w:val="0"/>
          <w:color w:val="auto"/>
          <w:szCs w:val="52"/>
        </w:rPr>
      </w:pPr>
      <w:r>
        <w:rPr>
          <w:rFonts w:hint="eastAsia" w:ascii="仿宋" w:hAnsi="仿宋" w:eastAsia="仿宋" w:cs="仿宋"/>
          <w:b w:val="0"/>
          <w:color w:val="auto"/>
          <w:szCs w:val="52"/>
        </w:rPr>
        <w:t>件</w:t>
      </w:r>
    </w:p>
    <w:p w14:paraId="2B6F1F4D">
      <w:pPr>
        <w:spacing w:line="800" w:lineRule="exact"/>
        <w:ind w:firstLine="720"/>
        <w:jc w:val="center"/>
        <w:rPr>
          <w:rFonts w:ascii="仿宋" w:hAnsi="仿宋" w:eastAsia="仿宋" w:cs="仿宋"/>
          <w:bCs/>
          <w:color w:val="auto"/>
          <w:sz w:val="36"/>
        </w:rPr>
      </w:pPr>
    </w:p>
    <w:p w14:paraId="65628393">
      <w:pPr>
        <w:ind w:firstLine="720"/>
        <w:jc w:val="center"/>
        <w:rPr>
          <w:rFonts w:ascii="仿宋" w:hAnsi="仿宋" w:eastAsia="仿宋" w:cs="仿宋"/>
          <w:bCs/>
          <w:color w:val="auto"/>
          <w:sz w:val="36"/>
        </w:rPr>
      </w:pPr>
    </w:p>
    <w:p w14:paraId="5CFD21D5">
      <w:pPr>
        <w:spacing w:line="360" w:lineRule="auto"/>
        <w:ind w:firstLine="758" w:firstLineChars="100"/>
        <w:rPr>
          <w:rFonts w:ascii="仿宋" w:hAnsi="仿宋" w:eastAsia="仿宋" w:cs="仿宋"/>
          <w:color w:val="auto"/>
          <w:kern w:val="0"/>
          <w:sz w:val="28"/>
          <w:szCs w:val="28"/>
        </w:rPr>
      </w:pPr>
      <w:r>
        <w:rPr>
          <w:rFonts w:hint="eastAsia" w:ascii="仿宋" w:hAnsi="仿宋" w:eastAsia="仿宋" w:cs="仿宋"/>
          <w:color w:val="auto"/>
          <w:spacing w:val="239"/>
          <w:kern w:val="0"/>
          <w:sz w:val="28"/>
          <w:szCs w:val="28"/>
          <w:lang w:val="en-US" w:eastAsia="zh-CN"/>
        </w:rPr>
        <w:t>招标人</w:t>
      </w:r>
      <w:r>
        <w:rPr>
          <w:rFonts w:hint="eastAsia" w:ascii="仿宋" w:hAnsi="仿宋" w:eastAsia="仿宋" w:cs="仿宋"/>
          <w:color w:val="auto"/>
          <w:sz w:val="28"/>
          <w:szCs w:val="28"/>
        </w:rPr>
        <w:t>：</w:t>
      </w:r>
      <w:r>
        <w:rPr>
          <w:rFonts w:hint="eastAsia" w:ascii="仿宋" w:hAnsi="仿宋" w:eastAsia="仿宋" w:cs="仿宋"/>
          <w:color w:val="auto"/>
          <w:kern w:val="0"/>
          <w:sz w:val="28"/>
          <w:szCs w:val="28"/>
          <w:u w:val="single"/>
        </w:rPr>
        <w:t>浙江现代纺织技术创新中心有限公司</w:t>
      </w:r>
      <w:r>
        <w:rPr>
          <w:rFonts w:hint="eastAsia" w:ascii="仿宋" w:hAnsi="仿宋" w:eastAsia="仿宋" w:cs="仿宋"/>
          <w:color w:val="auto"/>
          <w:kern w:val="0"/>
          <w:sz w:val="28"/>
          <w:szCs w:val="28"/>
        </w:rPr>
        <w:t>(盖章)</w:t>
      </w:r>
    </w:p>
    <w:p w14:paraId="274C2A87">
      <w:pPr>
        <w:spacing w:line="360" w:lineRule="auto"/>
        <w:ind w:firstLine="1400" w:firstLineChars="500"/>
        <w:rPr>
          <w:rFonts w:ascii="仿宋" w:hAnsi="仿宋" w:eastAsia="仿宋" w:cs="仿宋"/>
          <w:color w:val="auto"/>
          <w:kern w:val="0"/>
          <w:sz w:val="28"/>
          <w:szCs w:val="28"/>
        </w:rPr>
      </w:pPr>
      <w:r>
        <w:rPr>
          <w:rFonts w:hint="eastAsia" w:ascii="仿宋" w:hAnsi="仿宋" w:eastAsia="仿宋" w:cs="仿宋"/>
          <w:color w:val="auto"/>
          <w:kern w:val="0"/>
          <w:sz w:val="28"/>
          <w:szCs w:val="28"/>
        </w:rPr>
        <w:t>采购代理机构：</w:t>
      </w:r>
      <w:r>
        <w:rPr>
          <w:rFonts w:hint="eastAsia" w:ascii="仿宋" w:hAnsi="仿宋" w:eastAsia="仿宋" w:cs="仿宋"/>
          <w:color w:val="auto"/>
          <w:kern w:val="0"/>
          <w:sz w:val="28"/>
          <w:szCs w:val="28"/>
          <w:u w:val="single"/>
        </w:rPr>
        <w:t>浙江益诚工程咨询有限公司</w:t>
      </w:r>
      <w:r>
        <w:rPr>
          <w:rFonts w:hint="eastAsia" w:ascii="仿宋" w:hAnsi="仿宋" w:eastAsia="仿宋" w:cs="仿宋"/>
          <w:color w:val="auto"/>
          <w:kern w:val="0"/>
          <w:sz w:val="28"/>
          <w:szCs w:val="28"/>
        </w:rPr>
        <w:t>（盖章）</w:t>
      </w:r>
    </w:p>
    <w:p w14:paraId="72F34902">
      <w:pPr>
        <w:ind w:firstLine="3472" w:firstLineChars="1240"/>
        <w:rPr>
          <w:rFonts w:ascii="仿宋" w:hAnsi="仿宋" w:eastAsia="仿宋" w:cs="仿宋"/>
          <w:bCs/>
          <w:color w:val="auto"/>
          <w:sz w:val="36"/>
        </w:rPr>
      </w:pPr>
      <w:r>
        <w:rPr>
          <w:rFonts w:hint="eastAsia" w:ascii="仿宋" w:hAnsi="仿宋" w:eastAsia="仿宋" w:cs="仿宋"/>
          <w:bCs/>
          <w:color w:val="auto"/>
          <w:sz w:val="28"/>
          <w:szCs w:val="28"/>
          <w:u w:val="single"/>
          <w:lang w:eastAsia="zh-CN"/>
        </w:rPr>
        <w:t>2025</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lang w:val="en-US" w:eastAsia="zh-CN"/>
        </w:rPr>
        <w:t>6</w:t>
      </w:r>
      <w:r>
        <w:rPr>
          <w:rFonts w:hint="eastAsia" w:ascii="仿宋" w:hAnsi="仿宋" w:eastAsia="仿宋" w:cs="仿宋"/>
          <w:bCs/>
          <w:color w:val="auto"/>
          <w:sz w:val="28"/>
          <w:szCs w:val="28"/>
        </w:rPr>
        <w:t>月</w:t>
      </w:r>
    </w:p>
    <w:p w14:paraId="4C91D243">
      <w:pPr>
        <w:ind w:firstLine="720"/>
        <w:rPr>
          <w:rFonts w:ascii="仿宋" w:hAnsi="仿宋" w:eastAsia="仿宋" w:cs="仿宋"/>
          <w:color w:val="auto"/>
          <w:sz w:val="36"/>
        </w:rPr>
      </w:pPr>
    </w:p>
    <w:p w14:paraId="55B8F474">
      <w:pPr>
        <w:ind w:firstLine="720"/>
        <w:rPr>
          <w:rFonts w:ascii="仿宋" w:hAnsi="仿宋" w:eastAsia="仿宋" w:cs="仿宋"/>
          <w:color w:val="auto"/>
          <w:sz w:val="36"/>
        </w:rPr>
      </w:pPr>
    </w:p>
    <w:p w14:paraId="44B26DFC">
      <w:pPr>
        <w:ind w:firstLine="480"/>
        <w:rPr>
          <w:rFonts w:ascii="仿宋" w:hAnsi="仿宋" w:eastAsia="仿宋" w:cs="仿宋"/>
          <w:color w:val="auto"/>
        </w:rPr>
      </w:pPr>
    </w:p>
    <w:p w14:paraId="3B9C8999">
      <w:pPr>
        <w:ind w:firstLine="480"/>
        <w:rPr>
          <w:color w:val="auto"/>
        </w:rPr>
      </w:pPr>
    </w:p>
    <w:sdt>
      <w:sdtPr>
        <w:rPr>
          <w:rFonts w:ascii="宋体" w:hAnsi="宋体"/>
          <w:b/>
          <w:bCs/>
          <w:color w:val="auto"/>
          <w:sz w:val="36"/>
          <w:szCs w:val="36"/>
        </w:rPr>
        <w:id w:val="147471161"/>
        <w:docPartObj>
          <w:docPartGallery w:val="Table of Contents"/>
          <w:docPartUnique/>
        </w:docPartObj>
      </w:sdtPr>
      <w:sdtEndPr>
        <w:rPr>
          <w:rFonts w:ascii="宋体" w:hAnsi="宋体"/>
          <w:b/>
          <w:bCs/>
          <w:color w:val="auto"/>
          <w:sz w:val="28"/>
          <w:szCs w:val="28"/>
        </w:rPr>
      </w:sdtEndPr>
      <w:sdtContent>
        <w:p w14:paraId="76E0ED7F">
          <w:pPr>
            <w:ind w:firstLine="723"/>
            <w:jc w:val="center"/>
            <w:rPr>
              <w:rFonts w:ascii="仿宋" w:hAnsi="仿宋" w:eastAsia="仿宋" w:cs="仿宋"/>
              <w:b/>
              <w:bCs/>
              <w:color w:val="auto"/>
              <w:sz w:val="36"/>
              <w:szCs w:val="36"/>
            </w:rPr>
          </w:pPr>
          <w:r>
            <w:rPr>
              <w:rFonts w:hint="eastAsia" w:ascii="仿宋" w:hAnsi="仿宋" w:eastAsia="仿宋" w:cs="仿宋"/>
              <w:b/>
              <w:bCs/>
              <w:color w:val="auto"/>
              <w:sz w:val="36"/>
              <w:szCs w:val="36"/>
            </w:rPr>
            <w:t>目录</w:t>
          </w:r>
        </w:p>
        <w:p w14:paraId="5212B802">
          <w:pPr>
            <w:ind w:firstLine="723"/>
            <w:jc w:val="center"/>
            <w:rPr>
              <w:rFonts w:ascii="仿宋" w:hAnsi="仿宋" w:eastAsia="仿宋" w:cs="仿宋"/>
              <w:b/>
              <w:bCs/>
              <w:color w:val="auto"/>
              <w:sz w:val="36"/>
              <w:szCs w:val="36"/>
            </w:rPr>
          </w:pPr>
        </w:p>
        <w:p w14:paraId="0C14B864">
          <w:pPr>
            <w:pStyle w:val="13"/>
            <w:tabs>
              <w:tab w:val="right" w:leader="dot" w:pos="8732"/>
              <w:tab w:val="clear" w:pos="8302"/>
            </w:tabs>
            <w:rPr>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"1-1" \h \u </w:instrText>
          </w:r>
          <w:r>
            <w:rPr>
              <w:rFonts w:hint="eastAsia" w:ascii="仿宋" w:hAnsi="仿宋" w:eastAsia="仿宋" w:cs="仿宋"/>
              <w:color w:val="auto"/>
              <w:sz w:val="28"/>
              <w:szCs w:val="28"/>
            </w:rPr>
            <w:fldChar w:fldCharType="separate"/>
          </w:r>
          <w:r>
            <w:rPr>
              <w:color w:val="auto"/>
            </w:rPr>
            <w:fldChar w:fldCharType="begin"/>
          </w:r>
          <w:r>
            <w:rPr>
              <w:color w:val="auto"/>
            </w:rPr>
            <w:instrText xml:space="preserve"> HYPERLINK \l "_Toc19320" </w:instrText>
          </w:r>
          <w:r>
            <w:rPr>
              <w:color w:val="auto"/>
            </w:rPr>
            <w:fldChar w:fldCharType="separate"/>
          </w:r>
          <w:r>
            <w:rPr>
              <w:rFonts w:hint="eastAsia" w:ascii="仿宋" w:hAnsi="仿宋" w:eastAsia="仿宋" w:cs="仿宋"/>
              <w:color w:val="auto"/>
              <w:sz w:val="28"/>
              <w:szCs w:val="28"/>
            </w:rPr>
            <w:t>第一章招标公告</w:t>
          </w:r>
          <w:r>
            <w:rPr>
              <w:color w:val="auto"/>
              <w:sz w:val="28"/>
              <w:szCs w:val="28"/>
            </w:rPr>
            <w:tab/>
          </w:r>
          <w:r>
            <w:rPr>
              <w:color w:val="auto"/>
              <w:sz w:val="28"/>
              <w:szCs w:val="28"/>
            </w:rPr>
            <w:fldChar w:fldCharType="begin"/>
          </w:r>
          <w:r>
            <w:rPr>
              <w:color w:val="auto"/>
              <w:sz w:val="28"/>
              <w:szCs w:val="28"/>
            </w:rPr>
            <w:instrText xml:space="preserve"> PAGEREF _Toc19320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14:paraId="543CF26D">
          <w:pPr>
            <w:pStyle w:val="13"/>
            <w:tabs>
              <w:tab w:val="right" w:leader="dot" w:pos="8732"/>
              <w:tab w:val="clear" w:pos="8302"/>
            </w:tabs>
            <w:rPr>
              <w:color w:val="auto"/>
              <w:sz w:val="28"/>
              <w:szCs w:val="28"/>
            </w:rPr>
          </w:pPr>
          <w:r>
            <w:rPr>
              <w:color w:val="auto"/>
            </w:rPr>
            <w:fldChar w:fldCharType="begin"/>
          </w:r>
          <w:r>
            <w:rPr>
              <w:color w:val="auto"/>
            </w:rPr>
            <w:instrText xml:space="preserve"> HYPERLINK \l "_Toc15661" </w:instrText>
          </w:r>
          <w:r>
            <w:rPr>
              <w:color w:val="auto"/>
            </w:rPr>
            <w:fldChar w:fldCharType="separate"/>
          </w:r>
          <w:r>
            <w:rPr>
              <w:rFonts w:hint="eastAsia" w:ascii="仿宋" w:hAnsi="仿宋" w:eastAsia="仿宋" w:cs="仿宋"/>
              <w:color w:val="auto"/>
              <w:sz w:val="28"/>
              <w:szCs w:val="28"/>
            </w:rPr>
            <w:t>第二章投标人须知</w:t>
          </w:r>
          <w:r>
            <w:rPr>
              <w:color w:val="auto"/>
              <w:sz w:val="28"/>
              <w:szCs w:val="28"/>
            </w:rPr>
            <w:tab/>
          </w:r>
          <w:r>
            <w:rPr>
              <w:color w:val="auto"/>
              <w:sz w:val="28"/>
              <w:szCs w:val="28"/>
            </w:rPr>
            <w:fldChar w:fldCharType="begin"/>
          </w:r>
          <w:r>
            <w:rPr>
              <w:color w:val="auto"/>
              <w:sz w:val="28"/>
              <w:szCs w:val="28"/>
            </w:rPr>
            <w:instrText xml:space="preserve"> PAGEREF _Toc15661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14:paraId="7C8F3C28">
          <w:pPr>
            <w:pStyle w:val="13"/>
            <w:tabs>
              <w:tab w:val="right" w:leader="dot" w:pos="8732"/>
              <w:tab w:val="clear" w:pos="8302"/>
            </w:tabs>
            <w:rPr>
              <w:color w:val="auto"/>
              <w:sz w:val="28"/>
              <w:szCs w:val="28"/>
            </w:rPr>
          </w:pPr>
          <w:r>
            <w:rPr>
              <w:color w:val="auto"/>
            </w:rPr>
            <w:fldChar w:fldCharType="begin"/>
          </w:r>
          <w:r>
            <w:rPr>
              <w:color w:val="auto"/>
            </w:rPr>
            <w:instrText xml:space="preserve"> HYPERLINK \l "_Toc24683" </w:instrText>
          </w:r>
          <w:r>
            <w:rPr>
              <w:color w:val="auto"/>
            </w:rPr>
            <w:fldChar w:fldCharType="separate"/>
          </w:r>
          <w:r>
            <w:rPr>
              <w:rFonts w:hint="eastAsia" w:ascii="仿宋" w:hAnsi="仿宋" w:eastAsia="仿宋" w:cs="仿宋"/>
              <w:color w:val="auto"/>
              <w:sz w:val="28"/>
              <w:szCs w:val="28"/>
            </w:rPr>
            <w:t>第三章评标方法、评标标准和废标条款</w:t>
          </w:r>
          <w:r>
            <w:rPr>
              <w:color w:val="auto"/>
              <w:sz w:val="28"/>
              <w:szCs w:val="28"/>
            </w:rPr>
            <w:tab/>
          </w:r>
          <w:r>
            <w:rPr>
              <w:color w:val="auto"/>
              <w:sz w:val="28"/>
              <w:szCs w:val="28"/>
            </w:rPr>
            <w:fldChar w:fldCharType="begin"/>
          </w:r>
          <w:r>
            <w:rPr>
              <w:color w:val="auto"/>
              <w:sz w:val="28"/>
              <w:szCs w:val="28"/>
            </w:rPr>
            <w:instrText xml:space="preserve"> PAGEREF _Toc24683 \h </w:instrText>
          </w:r>
          <w:r>
            <w:rPr>
              <w:color w:val="auto"/>
              <w:sz w:val="28"/>
              <w:szCs w:val="28"/>
            </w:rPr>
            <w:fldChar w:fldCharType="separate"/>
          </w:r>
          <w:r>
            <w:rPr>
              <w:color w:val="auto"/>
              <w:sz w:val="28"/>
              <w:szCs w:val="28"/>
            </w:rPr>
            <w:t>8</w:t>
          </w:r>
          <w:r>
            <w:rPr>
              <w:color w:val="auto"/>
              <w:sz w:val="28"/>
              <w:szCs w:val="28"/>
            </w:rPr>
            <w:fldChar w:fldCharType="end"/>
          </w:r>
          <w:r>
            <w:rPr>
              <w:color w:val="auto"/>
              <w:sz w:val="28"/>
              <w:szCs w:val="28"/>
            </w:rPr>
            <w:fldChar w:fldCharType="end"/>
          </w:r>
        </w:p>
        <w:p w14:paraId="663C6E70">
          <w:pPr>
            <w:pStyle w:val="13"/>
            <w:tabs>
              <w:tab w:val="right" w:leader="dot" w:pos="8732"/>
              <w:tab w:val="clear" w:pos="8302"/>
            </w:tabs>
            <w:rPr>
              <w:color w:val="auto"/>
              <w:sz w:val="28"/>
              <w:szCs w:val="28"/>
            </w:rPr>
          </w:pPr>
          <w:r>
            <w:rPr>
              <w:color w:val="auto"/>
            </w:rPr>
            <w:fldChar w:fldCharType="begin"/>
          </w:r>
          <w:r>
            <w:rPr>
              <w:color w:val="auto"/>
            </w:rPr>
            <w:instrText xml:space="preserve"> HYPERLINK \l "_Toc22798" </w:instrText>
          </w:r>
          <w:r>
            <w:rPr>
              <w:color w:val="auto"/>
            </w:rPr>
            <w:fldChar w:fldCharType="separate"/>
          </w:r>
          <w:r>
            <w:rPr>
              <w:rFonts w:hint="eastAsia" w:ascii="仿宋" w:hAnsi="仿宋" w:eastAsia="仿宋" w:cs="仿宋"/>
              <w:color w:val="auto"/>
              <w:sz w:val="28"/>
              <w:szCs w:val="28"/>
            </w:rPr>
            <w:t>第四章投标文件格式</w:t>
          </w:r>
          <w:r>
            <w:rPr>
              <w:color w:val="auto"/>
              <w:sz w:val="28"/>
              <w:szCs w:val="28"/>
            </w:rPr>
            <w:tab/>
          </w:r>
          <w:r>
            <w:rPr>
              <w:color w:val="auto"/>
              <w:sz w:val="28"/>
              <w:szCs w:val="28"/>
            </w:rPr>
            <w:fldChar w:fldCharType="begin"/>
          </w:r>
          <w:r>
            <w:rPr>
              <w:color w:val="auto"/>
              <w:sz w:val="28"/>
              <w:szCs w:val="28"/>
            </w:rPr>
            <w:instrText xml:space="preserve"> PAGEREF _Toc22798 \h </w:instrText>
          </w:r>
          <w:r>
            <w:rPr>
              <w:color w:val="auto"/>
              <w:sz w:val="28"/>
              <w:szCs w:val="28"/>
            </w:rPr>
            <w:fldChar w:fldCharType="separate"/>
          </w:r>
          <w:r>
            <w:rPr>
              <w:color w:val="auto"/>
              <w:sz w:val="28"/>
              <w:szCs w:val="28"/>
            </w:rPr>
            <w:t>9</w:t>
          </w:r>
          <w:r>
            <w:rPr>
              <w:color w:val="auto"/>
              <w:sz w:val="28"/>
              <w:szCs w:val="28"/>
            </w:rPr>
            <w:fldChar w:fldCharType="end"/>
          </w:r>
          <w:r>
            <w:rPr>
              <w:color w:val="auto"/>
              <w:sz w:val="28"/>
              <w:szCs w:val="28"/>
            </w:rPr>
            <w:fldChar w:fldCharType="end"/>
          </w:r>
        </w:p>
        <w:p w14:paraId="1A8AD67F">
          <w:pPr>
            <w:pStyle w:val="13"/>
            <w:tabs>
              <w:tab w:val="right" w:leader="dot" w:pos="8732"/>
              <w:tab w:val="clear" w:pos="8302"/>
            </w:tabs>
            <w:rPr>
              <w:color w:val="auto"/>
              <w:sz w:val="28"/>
              <w:szCs w:val="28"/>
            </w:rPr>
          </w:pPr>
          <w:r>
            <w:rPr>
              <w:color w:val="auto"/>
            </w:rPr>
            <w:fldChar w:fldCharType="begin"/>
          </w:r>
          <w:r>
            <w:rPr>
              <w:color w:val="auto"/>
            </w:rPr>
            <w:instrText xml:space="preserve"> HYPERLINK \l "_Toc9667" </w:instrText>
          </w:r>
          <w:r>
            <w:rPr>
              <w:color w:val="auto"/>
            </w:rPr>
            <w:fldChar w:fldCharType="separate"/>
          </w:r>
          <w:r>
            <w:rPr>
              <w:rFonts w:hint="eastAsia" w:ascii="仿宋" w:hAnsi="仿宋" w:eastAsia="仿宋" w:cs="仿宋"/>
              <w:color w:val="auto"/>
              <w:sz w:val="28"/>
              <w:szCs w:val="28"/>
            </w:rPr>
            <w:t>附件一：投标函</w:t>
          </w:r>
          <w:r>
            <w:rPr>
              <w:color w:val="auto"/>
              <w:sz w:val="28"/>
              <w:szCs w:val="28"/>
            </w:rPr>
            <w:tab/>
          </w:r>
          <w:r>
            <w:rPr>
              <w:color w:val="auto"/>
              <w:sz w:val="28"/>
              <w:szCs w:val="28"/>
            </w:rPr>
            <w:fldChar w:fldCharType="begin"/>
          </w:r>
          <w:r>
            <w:rPr>
              <w:color w:val="auto"/>
              <w:sz w:val="28"/>
              <w:szCs w:val="28"/>
            </w:rPr>
            <w:instrText xml:space="preserve"> PAGEREF _Toc9667 \h </w:instrText>
          </w:r>
          <w:r>
            <w:rPr>
              <w:color w:val="auto"/>
              <w:sz w:val="28"/>
              <w:szCs w:val="28"/>
            </w:rPr>
            <w:fldChar w:fldCharType="separate"/>
          </w:r>
          <w:r>
            <w:rPr>
              <w:color w:val="auto"/>
              <w:sz w:val="28"/>
              <w:szCs w:val="28"/>
            </w:rPr>
            <w:t>10</w:t>
          </w:r>
          <w:r>
            <w:rPr>
              <w:color w:val="auto"/>
              <w:sz w:val="28"/>
              <w:szCs w:val="28"/>
            </w:rPr>
            <w:fldChar w:fldCharType="end"/>
          </w:r>
          <w:r>
            <w:rPr>
              <w:color w:val="auto"/>
              <w:sz w:val="28"/>
              <w:szCs w:val="28"/>
            </w:rPr>
            <w:fldChar w:fldCharType="end"/>
          </w:r>
        </w:p>
        <w:p w14:paraId="0678E25D">
          <w:pPr>
            <w:pStyle w:val="13"/>
            <w:tabs>
              <w:tab w:val="right" w:leader="dot" w:pos="8732"/>
              <w:tab w:val="clear" w:pos="8302"/>
            </w:tabs>
            <w:rPr>
              <w:color w:val="auto"/>
              <w:sz w:val="28"/>
              <w:szCs w:val="28"/>
            </w:rPr>
          </w:pPr>
          <w:r>
            <w:rPr>
              <w:color w:val="auto"/>
            </w:rPr>
            <w:fldChar w:fldCharType="begin"/>
          </w:r>
          <w:r>
            <w:rPr>
              <w:color w:val="auto"/>
            </w:rPr>
            <w:instrText xml:space="preserve"> HYPERLINK \l "_Toc17085" </w:instrText>
          </w:r>
          <w:r>
            <w:rPr>
              <w:color w:val="auto"/>
            </w:rPr>
            <w:fldChar w:fldCharType="separate"/>
          </w:r>
          <w:r>
            <w:rPr>
              <w:rFonts w:hint="eastAsia" w:ascii="仿宋" w:hAnsi="仿宋" w:eastAsia="仿宋" w:cs="仿宋"/>
              <w:color w:val="auto"/>
              <w:sz w:val="28"/>
              <w:szCs w:val="28"/>
            </w:rPr>
            <w:t>附件二：法定代表人/负责人授权书</w:t>
          </w:r>
          <w:r>
            <w:rPr>
              <w:color w:val="auto"/>
              <w:sz w:val="28"/>
              <w:szCs w:val="28"/>
            </w:rPr>
            <w:tab/>
          </w:r>
          <w:r>
            <w:rPr>
              <w:color w:val="auto"/>
              <w:sz w:val="28"/>
              <w:szCs w:val="28"/>
            </w:rPr>
            <w:fldChar w:fldCharType="begin"/>
          </w:r>
          <w:r>
            <w:rPr>
              <w:color w:val="auto"/>
              <w:sz w:val="28"/>
              <w:szCs w:val="28"/>
            </w:rPr>
            <w:instrText xml:space="preserve"> PAGEREF _Toc17085 \h </w:instrText>
          </w:r>
          <w:r>
            <w:rPr>
              <w:color w:val="auto"/>
              <w:sz w:val="28"/>
              <w:szCs w:val="28"/>
            </w:rPr>
            <w:fldChar w:fldCharType="separate"/>
          </w:r>
          <w:r>
            <w:rPr>
              <w:color w:val="auto"/>
              <w:sz w:val="28"/>
              <w:szCs w:val="28"/>
            </w:rPr>
            <w:t>11</w:t>
          </w:r>
          <w:r>
            <w:rPr>
              <w:color w:val="auto"/>
              <w:sz w:val="28"/>
              <w:szCs w:val="28"/>
            </w:rPr>
            <w:fldChar w:fldCharType="end"/>
          </w:r>
          <w:r>
            <w:rPr>
              <w:color w:val="auto"/>
              <w:sz w:val="28"/>
              <w:szCs w:val="28"/>
            </w:rPr>
            <w:fldChar w:fldCharType="end"/>
          </w:r>
        </w:p>
        <w:p w14:paraId="676C662A">
          <w:pPr>
            <w:pStyle w:val="13"/>
            <w:tabs>
              <w:tab w:val="right" w:leader="dot" w:pos="8732"/>
              <w:tab w:val="clear" w:pos="8302"/>
            </w:tabs>
            <w:rPr>
              <w:color w:val="auto"/>
              <w:sz w:val="28"/>
              <w:szCs w:val="28"/>
            </w:rPr>
          </w:pPr>
          <w:r>
            <w:rPr>
              <w:color w:val="auto"/>
            </w:rPr>
            <w:fldChar w:fldCharType="begin"/>
          </w:r>
          <w:r>
            <w:rPr>
              <w:color w:val="auto"/>
            </w:rPr>
            <w:instrText xml:space="preserve"> HYPERLINK \l "_Toc11699" </w:instrText>
          </w:r>
          <w:r>
            <w:rPr>
              <w:color w:val="auto"/>
            </w:rPr>
            <w:fldChar w:fldCharType="separate"/>
          </w:r>
          <w:r>
            <w:rPr>
              <w:rFonts w:hint="eastAsia" w:ascii="仿宋" w:hAnsi="仿宋" w:eastAsia="仿宋" w:cs="仿宋"/>
              <w:color w:val="auto"/>
              <w:sz w:val="28"/>
              <w:szCs w:val="28"/>
            </w:rPr>
            <w:t>附件三：开标一览表（报价表）</w:t>
          </w:r>
          <w:r>
            <w:rPr>
              <w:color w:val="auto"/>
              <w:sz w:val="28"/>
              <w:szCs w:val="28"/>
            </w:rPr>
            <w:tab/>
          </w:r>
          <w:r>
            <w:rPr>
              <w:color w:val="auto"/>
              <w:sz w:val="28"/>
              <w:szCs w:val="28"/>
            </w:rPr>
            <w:fldChar w:fldCharType="begin"/>
          </w:r>
          <w:r>
            <w:rPr>
              <w:color w:val="auto"/>
              <w:sz w:val="28"/>
              <w:szCs w:val="28"/>
            </w:rPr>
            <w:instrText xml:space="preserve"> PAGEREF _Toc11699 \h </w:instrText>
          </w:r>
          <w:r>
            <w:rPr>
              <w:color w:val="auto"/>
              <w:sz w:val="28"/>
              <w:szCs w:val="28"/>
            </w:rPr>
            <w:fldChar w:fldCharType="separate"/>
          </w:r>
          <w:r>
            <w:rPr>
              <w:color w:val="auto"/>
              <w:sz w:val="28"/>
              <w:szCs w:val="28"/>
            </w:rPr>
            <w:t>12</w:t>
          </w:r>
          <w:r>
            <w:rPr>
              <w:color w:val="auto"/>
              <w:sz w:val="28"/>
              <w:szCs w:val="28"/>
            </w:rPr>
            <w:fldChar w:fldCharType="end"/>
          </w:r>
          <w:r>
            <w:rPr>
              <w:color w:val="auto"/>
              <w:sz w:val="28"/>
              <w:szCs w:val="28"/>
            </w:rPr>
            <w:fldChar w:fldCharType="end"/>
          </w:r>
        </w:p>
        <w:p w14:paraId="5A4D7468">
          <w:pPr>
            <w:pStyle w:val="13"/>
            <w:tabs>
              <w:tab w:val="right" w:leader="dot" w:pos="8732"/>
              <w:tab w:val="clear" w:pos="8302"/>
            </w:tabs>
            <w:rPr>
              <w:color w:val="auto"/>
              <w:sz w:val="28"/>
              <w:szCs w:val="28"/>
            </w:rPr>
          </w:pPr>
          <w:r>
            <w:rPr>
              <w:color w:val="auto"/>
            </w:rPr>
            <w:fldChar w:fldCharType="begin"/>
          </w:r>
          <w:r>
            <w:rPr>
              <w:color w:val="auto"/>
            </w:rPr>
            <w:instrText xml:space="preserve"> HYPERLINK \l "_Toc1425" </w:instrText>
          </w:r>
          <w:r>
            <w:rPr>
              <w:color w:val="auto"/>
            </w:rPr>
            <w:fldChar w:fldCharType="separate"/>
          </w:r>
          <w:r>
            <w:rPr>
              <w:rFonts w:hint="eastAsia" w:ascii="仿宋" w:hAnsi="仿宋" w:eastAsia="仿宋" w:cs="仿宋"/>
              <w:color w:val="auto"/>
              <w:sz w:val="28"/>
              <w:szCs w:val="28"/>
            </w:rPr>
            <w:t>附件四：投标承诺书</w:t>
          </w:r>
          <w:r>
            <w:rPr>
              <w:color w:val="auto"/>
              <w:sz w:val="28"/>
              <w:szCs w:val="28"/>
            </w:rPr>
            <w:tab/>
          </w:r>
          <w:r>
            <w:rPr>
              <w:color w:val="auto"/>
              <w:sz w:val="28"/>
              <w:szCs w:val="28"/>
            </w:rPr>
            <w:fldChar w:fldCharType="begin"/>
          </w:r>
          <w:r>
            <w:rPr>
              <w:color w:val="auto"/>
              <w:sz w:val="28"/>
              <w:szCs w:val="28"/>
            </w:rPr>
            <w:instrText xml:space="preserve"> PAGEREF _Toc1425 \h </w:instrText>
          </w:r>
          <w:r>
            <w:rPr>
              <w:color w:val="auto"/>
              <w:sz w:val="28"/>
              <w:szCs w:val="28"/>
            </w:rPr>
            <w:fldChar w:fldCharType="separate"/>
          </w:r>
          <w:r>
            <w:rPr>
              <w:color w:val="auto"/>
              <w:sz w:val="28"/>
              <w:szCs w:val="28"/>
            </w:rPr>
            <w:t>13</w:t>
          </w:r>
          <w:r>
            <w:rPr>
              <w:color w:val="auto"/>
              <w:sz w:val="28"/>
              <w:szCs w:val="28"/>
            </w:rPr>
            <w:fldChar w:fldCharType="end"/>
          </w:r>
          <w:r>
            <w:rPr>
              <w:color w:val="auto"/>
              <w:sz w:val="28"/>
              <w:szCs w:val="28"/>
            </w:rPr>
            <w:fldChar w:fldCharType="end"/>
          </w:r>
        </w:p>
        <w:p w14:paraId="033146BF">
          <w:pPr>
            <w:pStyle w:val="13"/>
            <w:tabs>
              <w:tab w:val="right" w:leader="dot" w:pos="8732"/>
              <w:tab w:val="clear" w:pos="8302"/>
            </w:tabs>
            <w:rPr>
              <w:color w:val="auto"/>
            </w:rPr>
          </w:pPr>
          <w:r>
            <w:rPr>
              <w:color w:val="auto"/>
            </w:rPr>
            <w:fldChar w:fldCharType="begin"/>
          </w:r>
          <w:r>
            <w:rPr>
              <w:color w:val="auto"/>
            </w:rPr>
            <w:instrText xml:space="preserve"> HYPERLINK \l "_Toc22627" </w:instrText>
          </w:r>
          <w:r>
            <w:rPr>
              <w:color w:val="auto"/>
            </w:rPr>
            <w:fldChar w:fldCharType="separate"/>
          </w:r>
          <w:r>
            <w:rPr>
              <w:rFonts w:hint="eastAsia" w:ascii="仿宋" w:hAnsi="仿宋" w:eastAsia="仿宋" w:cs="仿宋"/>
              <w:color w:val="auto"/>
              <w:sz w:val="28"/>
              <w:szCs w:val="28"/>
            </w:rPr>
            <w:t>第五章评标办法</w:t>
          </w:r>
          <w:r>
            <w:rPr>
              <w:color w:val="auto"/>
              <w:sz w:val="28"/>
              <w:szCs w:val="28"/>
            </w:rPr>
            <w:tab/>
          </w:r>
          <w:r>
            <w:rPr>
              <w:color w:val="auto"/>
              <w:sz w:val="28"/>
              <w:szCs w:val="28"/>
            </w:rPr>
            <w:fldChar w:fldCharType="begin"/>
          </w:r>
          <w:r>
            <w:rPr>
              <w:color w:val="auto"/>
              <w:sz w:val="28"/>
              <w:szCs w:val="28"/>
            </w:rPr>
            <w:instrText xml:space="preserve"> PAGEREF _Toc22627 \h </w:instrText>
          </w:r>
          <w:r>
            <w:rPr>
              <w:color w:val="auto"/>
              <w:sz w:val="28"/>
              <w:szCs w:val="28"/>
            </w:rPr>
            <w:fldChar w:fldCharType="separate"/>
          </w:r>
          <w:r>
            <w:rPr>
              <w:color w:val="auto"/>
              <w:sz w:val="28"/>
              <w:szCs w:val="28"/>
            </w:rPr>
            <w:t>14</w:t>
          </w:r>
          <w:r>
            <w:rPr>
              <w:color w:val="auto"/>
              <w:sz w:val="28"/>
              <w:szCs w:val="28"/>
            </w:rPr>
            <w:fldChar w:fldCharType="end"/>
          </w:r>
          <w:r>
            <w:rPr>
              <w:color w:val="auto"/>
              <w:sz w:val="28"/>
              <w:szCs w:val="28"/>
            </w:rPr>
            <w:fldChar w:fldCharType="end"/>
          </w:r>
        </w:p>
        <w:p w14:paraId="1656D971">
          <w:pPr>
            <w:ind w:firstLine="480"/>
            <w:rPr>
              <w:color w:val="auto"/>
              <w:sz w:val="28"/>
              <w:szCs w:val="28"/>
            </w:rPr>
          </w:pPr>
          <w:r>
            <w:rPr>
              <w:rFonts w:hint="eastAsia" w:ascii="仿宋" w:hAnsi="仿宋" w:eastAsia="仿宋" w:cs="仿宋"/>
              <w:color w:val="auto"/>
              <w:szCs w:val="28"/>
            </w:rPr>
            <w:fldChar w:fldCharType="end"/>
          </w:r>
        </w:p>
      </w:sdtContent>
    </w:sdt>
    <w:p w14:paraId="2DB4A5A0">
      <w:pPr>
        <w:spacing w:line="520" w:lineRule="exact"/>
        <w:ind w:firstLine="640"/>
        <w:rPr>
          <w:rFonts w:ascii="仿宋" w:hAnsi="仿宋" w:eastAsia="仿宋" w:cs="仿宋"/>
          <w:color w:val="auto"/>
          <w:sz w:val="32"/>
          <w:szCs w:val="32"/>
        </w:rPr>
      </w:pPr>
    </w:p>
    <w:p w14:paraId="565CECE6">
      <w:pPr>
        <w:spacing w:line="520" w:lineRule="exact"/>
        <w:ind w:firstLine="640"/>
        <w:rPr>
          <w:rFonts w:ascii="仿宋" w:hAnsi="仿宋" w:eastAsia="仿宋" w:cs="仿宋"/>
          <w:color w:val="auto"/>
          <w:sz w:val="32"/>
          <w:szCs w:val="32"/>
        </w:rPr>
      </w:pPr>
    </w:p>
    <w:p w14:paraId="4C83EBCF">
      <w:pPr>
        <w:spacing w:line="520" w:lineRule="exact"/>
        <w:ind w:firstLine="640"/>
        <w:rPr>
          <w:rFonts w:ascii="仿宋" w:hAnsi="仿宋" w:eastAsia="仿宋" w:cs="仿宋"/>
          <w:color w:val="auto"/>
          <w:sz w:val="32"/>
          <w:szCs w:val="32"/>
        </w:rPr>
      </w:pPr>
    </w:p>
    <w:p w14:paraId="45E9C6D3">
      <w:pPr>
        <w:spacing w:line="520" w:lineRule="exact"/>
        <w:ind w:firstLine="640"/>
        <w:rPr>
          <w:rFonts w:ascii="仿宋" w:hAnsi="仿宋" w:eastAsia="仿宋" w:cs="仿宋"/>
          <w:color w:val="auto"/>
          <w:sz w:val="32"/>
          <w:szCs w:val="32"/>
        </w:rPr>
      </w:pPr>
    </w:p>
    <w:p w14:paraId="4B12049F">
      <w:pPr>
        <w:spacing w:line="520" w:lineRule="exact"/>
        <w:ind w:firstLine="640"/>
        <w:rPr>
          <w:rFonts w:ascii="仿宋" w:hAnsi="仿宋" w:eastAsia="仿宋" w:cs="仿宋"/>
          <w:color w:val="auto"/>
          <w:sz w:val="32"/>
          <w:szCs w:val="32"/>
        </w:rPr>
      </w:pPr>
    </w:p>
    <w:p w14:paraId="72DD552B">
      <w:pPr>
        <w:spacing w:line="520" w:lineRule="exact"/>
        <w:ind w:firstLine="640"/>
        <w:rPr>
          <w:rFonts w:ascii="仿宋" w:hAnsi="仿宋" w:eastAsia="仿宋" w:cs="仿宋"/>
          <w:color w:val="auto"/>
          <w:sz w:val="32"/>
          <w:szCs w:val="32"/>
        </w:rPr>
      </w:pPr>
    </w:p>
    <w:p w14:paraId="0461527D">
      <w:pPr>
        <w:spacing w:line="520" w:lineRule="exact"/>
        <w:ind w:firstLine="640"/>
        <w:rPr>
          <w:rFonts w:ascii="仿宋" w:hAnsi="仿宋" w:eastAsia="仿宋" w:cs="仿宋"/>
          <w:color w:val="auto"/>
          <w:sz w:val="32"/>
          <w:szCs w:val="32"/>
        </w:rPr>
      </w:pPr>
    </w:p>
    <w:p w14:paraId="027101E7">
      <w:pPr>
        <w:spacing w:line="520" w:lineRule="exact"/>
        <w:ind w:firstLine="640"/>
        <w:rPr>
          <w:rFonts w:ascii="仿宋" w:hAnsi="仿宋" w:eastAsia="仿宋" w:cs="仿宋"/>
          <w:color w:val="auto"/>
          <w:sz w:val="32"/>
          <w:szCs w:val="32"/>
        </w:rPr>
      </w:pPr>
    </w:p>
    <w:p w14:paraId="04A092E3">
      <w:pPr>
        <w:pStyle w:val="2"/>
        <w:rPr>
          <w:color w:val="auto"/>
        </w:rPr>
      </w:pPr>
    </w:p>
    <w:p w14:paraId="15416842">
      <w:pPr>
        <w:spacing w:line="520" w:lineRule="exact"/>
        <w:ind w:firstLine="640"/>
        <w:rPr>
          <w:rFonts w:ascii="仿宋" w:hAnsi="仿宋" w:eastAsia="仿宋" w:cs="仿宋"/>
          <w:color w:val="auto"/>
          <w:sz w:val="32"/>
          <w:szCs w:val="32"/>
        </w:rPr>
      </w:pPr>
    </w:p>
    <w:p w14:paraId="3181CDC7">
      <w:pPr>
        <w:pStyle w:val="8"/>
        <w:snapToGrid w:val="0"/>
        <w:spacing w:beforeLines="100" w:afterLines="100" w:line="480" w:lineRule="exact"/>
        <w:ind w:firstLine="720"/>
        <w:jc w:val="center"/>
        <w:outlineLvl w:val="0"/>
        <w:rPr>
          <w:rFonts w:ascii="仿宋" w:hAnsi="仿宋" w:eastAsia="仿宋" w:cs="仿宋"/>
          <w:color w:val="auto"/>
          <w:sz w:val="36"/>
          <w:szCs w:val="36"/>
        </w:rPr>
      </w:pPr>
      <w:bookmarkStart w:id="0" w:name="_Toc19320"/>
      <w:r>
        <w:rPr>
          <w:rFonts w:hint="eastAsia" w:ascii="仿宋" w:hAnsi="仿宋" w:eastAsia="仿宋" w:cs="仿宋"/>
          <w:color w:val="auto"/>
          <w:sz w:val="36"/>
          <w:szCs w:val="36"/>
        </w:rPr>
        <w:t>第一章招标公告</w:t>
      </w:r>
      <w:bookmarkEnd w:id="0"/>
    </w:p>
    <w:p w14:paraId="511661EC">
      <w:pPr>
        <w:keepNext w:val="0"/>
        <w:keepLines w:val="0"/>
        <w:pageBreakBefore w:val="0"/>
        <w:kinsoku/>
        <w:wordWrap/>
        <w:overflowPunct/>
        <w:topLinePunct w:val="0"/>
        <w:autoSpaceDE/>
        <w:autoSpaceDN/>
        <w:bidi w:val="0"/>
        <w:adjustRightInd/>
        <w:snapToGrid/>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shd w:val="clear" w:color="auto" w:fill="FFFFFF"/>
        </w:rPr>
        <w:t>根据《关于防止领导干部在公款存放方面发生利益冲突和利益输送的办法》《绍兴市柯桥区行政事业单位公款竞争性存放管理办法》（绍柯财预执〔2021〕218号）规定，决定开展公款存放招标工作，欢迎符合条件的银行机构参加投标。</w:t>
      </w:r>
    </w:p>
    <w:p w14:paraId="7A8E5587">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一、招标</w:t>
      </w:r>
      <w:r>
        <w:rPr>
          <w:rFonts w:hint="eastAsia" w:ascii="仿宋" w:hAnsi="仿宋" w:eastAsia="仿宋" w:cs="仿宋"/>
          <w:color w:val="auto"/>
          <w:kern w:val="0"/>
          <w:sz w:val="24"/>
          <w:lang w:val="en-US" w:eastAsia="zh-CN"/>
        </w:rPr>
        <w:t>人名称：浙江现代纺</w:t>
      </w:r>
      <w:r>
        <w:rPr>
          <w:rFonts w:hint="eastAsia" w:ascii="仿宋" w:hAnsi="仿宋" w:eastAsia="仿宋" w:cs="仿宋"/>
          <w:color w:val="auto"/>
          <w:kern w:val="0"/>
          <w:sz w:val="24"/>
        </w:rPr>
        <w:t>织技术创新中心有限公司</w:t>
      </w:r>
    </w:p>
    <w:p w14:paraId="63353AAA">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二、招标项目名称：浙江现代纺织技术创新中心有限公司2025年度公款竞争性存放项目</w:t>
      </w:r>
    </w:p>
    <w:p w14:paraId="550D25C2">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三、项目编号：ZJYC-2025-0528</w:t>
      </w:r>
    </w:p>
    <w:p w14:paraId="7BF070AC">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四、招标项目内容：浙江现代纺织技术创新中心有限公司2025年度公款</w:t>
      </w:r>
      <w:r>
        <w:rPr>
          <w:rFonts w:hint="eastAsia" w:ascii="仿宋" w:hAnsi="仿宋" w:eastAsia="仿宋" w:cs="仿宋"/>
          <w:color w:val="auto"/>
          <w:kern w:val="0"/>
          <w:sz w:val="24"/>
          <w:lang w:val="en-US" w:eastAsia="zh-CN"/>
        </w:rPr>
        <w:t>定期存放</w:t>
      </w:r>
      <w:r>
        <w:rPr>
          <w:rFonts w:hint="eastAsia" w:ascii="仿宋" w:hAnsi="仿宋" w:eastAsia="仿宋" w:cs="仿宋"/>
          <w:color w:val="auto"/>
          <w:kern w:val="0"/>
          <w:sz w:val="24"/>
        </w:rPr>
        <w:t>，以定期1年期为存款期限。存款资金</w:t>
      </w: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00万元左右。</w:t>
      </w:r>
    </w:p>
    <w:p w14:paraId="37E4F01F">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五、投标人资格要求</w:t>
      </w:r>
    </w:p>
    <w:p w14:paraId="4E30AE3B">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投标人应符合《绍兴市柯桥区行政事业单位公款竞争性存放管理办法》第十四条规定，具备承担招标项目的能力，具体包括：</w:t>
      </w:r>
    </w:p>
    <w:p w14:paraId="403EE0DB">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（一）在绍兴市柯桥区范围内设有分支机构，且成立满一年及以上；</w:t>
      </w:r>
    </w:p>
    <w:p w14:paraId="74BE46C7">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（二）依法开展经营活动，近3年内在经营活动中无重大违法违规记录及重大违约事件；</w:t>
      </w:r>
    </w:p>
    <w:p w14:paraId="1B344E5A">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（三）纳入人民银行综合评价的银行，人民银行上年度综合评价应达到B级及以上，不纳入人民银行综合评价范围的银行不受此限制；</w:t>
      </w:r>
    </w:p>
    <w:p w14:paraId="4F5C3410">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四）本项目不接受联合体投标。不接受被发改委、人民法院等行政主管部门列为失信联合惩戒对象的投标报名。投标人在投标书中只能确定1家在柯桥城区的分支机构作为资金存放银行，不得转移，并由其在柯桥区的主管银行统一投标。同一家银行只接受一家分支机构报名（如有多家报名，以先报名的为准）。投标银行需与存款网点一致，不得转移。</w:t>
      </w:r>
    </w:p>
    <w:p w14:paraId="0E04F8B2">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六、投标报名</w:t>
      </w:r>
    </w:p>
    <w:p w14:paraId="5830401B">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（一）报名时间：202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17</w:t>
      </w:r>
      <w:r>
        <w:rPr>
          <w:rFonts w:hint="eastAsia" w:ascii="仿宋" w:hAnsi="仿宋" w:eastAsia="仿宋" w:cs="仿宋"/>
          <w:color w:val="auto"/>
          <w:kern w:val="0"/>
          <w:sz w:val="24"/>
        </w:rPr>
        <w:t>日至202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23</w:t>
      </w:r>
      <w:r>
        <w:rPr>
          <w:rFonts w:hint="eastAsia" w:ascii="仿宋" w:hAnsi="仿宋" w:eastAsia="仿宋" w:cs="仿宋"/>
          <w:color w:val="auto"/>
          <w:kern w:val="0"/>
          <w:sz w:val="24"/>
        </w:rPr>
        <w:t>日上午8:30- 11:30，下午1:30-4:30（双休日及法定节假日除外）。</w:t>
      </w:r>
    </w:p>
    <w:p w14:paraId="39B747A8">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（二）报名方式：</w:t>
      </w:r>
    </w:p>
    <w:p w14:paraId="4D142882">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1、投标报名时必须提供：授权委托书，企业法人营业执照、金融许可证书、监管评级证明、被授权人身份证等证件。（以上资料均为复印件并需加盖单位公章扫描件形式发至代理机构邮箱，邮箱地址：</w:t>
      </w:r>
      <w:r>
        <w:rPr>
          <w:rFonts w:hint="eastAsia" w:ascii="仿宋" w:hAnsi="仿宋" w:eastAsia="仿宋" w:cs="仿宋"/>
          <w:color w:val="auto"/>
          <w:kern w:val="0"/>
          <w:sz w:val="24"/>
          <w:lang w:val="en-US" w:eastAsia="zh-CN"/>
        </w:rPr>
        <w:t>952804478</w:t>
      </w:r>
      <w:r>
        <w:rPr>
          <w:rFonts w:hint="eastAsia" w:ascii="仿宋" w:hAnsi="仿宋" w:eastAsia="仿宋" w:cs="仿宋"/>
          <w:color w:val="auto"/>
          <w:kern w:val="0"/>
          <w:sz w:val="24"/>
        </w:rPr>
        <w:t>@qq.com并及时电话联系我单位）。</w:t>
      </w:r>
    </w:p>
    <w:p w14:paraId="1A44F7DE">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2、同一机构只能指定唯一单位参与投标，不接受同一机构多家单位报名。</w:t>
      </w:r>
    </w:p>
    <w:p w14:paraId="51922895">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（三）招标文件获取方式：https://zfcg.czt.zj.gov.cn/（公告页面附件招标文件可以下载，仅供浏览使用；）</w:t>
      </w:r>
    </w:p>
    <w:p w14:paraId="4031C8A0">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七、投标截止时间和地点：</w:t>
      </w:r>
    </w:p>
    <w:p w14:paraId="73787F67">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投标人应于202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日12时整之前将投标文件密封以邮寄(采用EMS)的方式送达至浙江省绍兴市绍兴市越城区朝皇路正大综合楼503室，收件人：王工，联系电话：</w:t>
      </w:r>
      <w:r>
        <w:rPr>
          <w:rFonts w:hint="eastAsia" w:ascii="仿宋" w:hAnsi="仿宋" w:eastAsia="仿宋" w:cs="仿宋"/>
          <w:color w:val="auto"/>
          <w:kern w:val="0"/>
          <w:sz w:val="24"/>
          <w:lang w:val="en-US" w:eastAsia="zh-CN"/>
        </w:rPr>
        <w:t>15988275574</w:t>
      </w:r>
      <w:r>
        <w:rPr>
          <w:rFonts w:hint="eastAsia" w:ascii="仿宋" w:hAnsi="仿宋" w:eastAsia="仿宋" w:cs="仿宋"/>
          <w:color w:val="auto"/>
          <w:kern w:val="0"/>
          <w:sz w:val="24"/>
        </w:rPr>
        <w:t>，邮政编码：312000，请寄件人在邮件外包装注明投标项目名称，投标人名称，被授权人姓名及联系电话, 邮寄以签收时间为准， 逾期送达或未按照招标文件要求密封将予以拒收（或作无效标处理）。邮寄过程中投标文件产生任何破损，由投标单位自行承担风险（接收邮寄快递包裹的时间为工作日9:00-16:00）。</w:t>
      </w:r>
    </w:p>
    <w:p w14:paraId="141CB8F5">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也可现场递交标书，投标人应于202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日14时00分至14时30分将投标文件送达至绍兴市柯桥区华舍街道跨境电商产业园7号楼2楼N205室会议室，现场递交，应即交即走，不参与后续开标会。</w:t>
      </w:r>
    </w:p>
    <w:p w14:paraId="4AC5FF3B">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八、开标时间</w:t>
      </w:r>
      <w:r>
        <w:rPr>
          <w:rFonts w:hint="eastAsia" w:ascii="仿宋" w:hAnsi="仿宋" w:eastAsia="仿宋" w:cs="仿宋"/>
          <w:color w:val="auto"/>
          <w:kern w:val="0"/>
          <w:sz w:val="24"/>
          <w:lang w:val="en-US" w:eastAsia="zh-CN"/>
        </w:rPr>
        <w:t>及地点</w:t>
      </w:r>
      <w:r>
        <w:rPr>
          <w:rFonts w:hint="eastAsia" w:ascii="仿宋" w:hAnsi="仿宋" w:eastAsia="仿宋" w:cs="仿宋"/>
          <w:color w:val="auto"/>
          <w:kern w:val="0"/>
          <w:sz w:val="24"/>
        </w:rPr>
        <w:t>：</w:t>
      </w:r>
    </w:p>
    <w:p w14:paraId="2A894FE2">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开标时间：202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日 14 时 30 分。</w:t>
      </w:r>
    </w:p>
    <w:p w14:paraId="75BEE53A">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2.开标地点：</w:t>
      </w:r>
      <w:r>
        <w:rPr>
          <w:rFonts w:hint="eastAsia" w:ascii="仿宋" w:hAnsi="仿宋" w:eastAsia="仿宋" w:cs="仿宋"/>
          <w:color w:val="auto"/>
          <w:kern w:val="0"/>
          <w:sz w:val="24"/>
        </w:rPr>
        <w:t>绍兴市柯桥区华舍街道跨境电商产业园7号楼2楼N205室会议室</w:t>
      </w:r>
    </w:p>
    <w:p w14:paraId="285048B2">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十、联系方式：</w:t>
      </w:r>
    </w:p>
    <w:p w14:paraId="170DF3C2">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采购人：浙江现代纺织技术创新中心有限公司</w:t>
      </w:r>
    </w:p>
    <w:p w14:paraId="2ABD3CDF">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详细地点: 绍兴市柯桥区华舍街道跨境电商产业园7号楼</w:t>
      </w:r>
    </w:p>
    <w:p w14:paraId="29517AF1">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lang w:eastAsia="zh-CN"/>
        </w:rPr>
      </w:pPr>
      <w:r>
        <w:rPr>
          <w:rFonts w:hint="eastAsia" w:ascii="仿宋" w:hAnsi="仿宋" w:eastAsia="仿宋" w:cs="仿宋"/>
          <w:color w:val="auto"/>
          <w:kern w:val="0"/>
          <w:sz w:val="24"/>
        </w:rPr>
        <w:t>联系人：</w:t>
      </w:r>
      <w:r>
        <w:rPr>
          <w:rFonts w:hint="eastAsia" w:ascii="仿宋" w:hAnsi="仿宋" w:eastAsia="仿宋" w:cs="仿宋"/>
          <w:color w:val="auto"/>
          <w:kern w:val="0"/>
          <w:sz w:val="24"/>
          <w:lang w:eastAsia="zh-CN"/>
        </w:rPr>
        <w:t>张诗梦</w:t>
      </w:r>
    </w:p>
    <w:p w14:paraId="2AC16B78">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lang w:eastAsia="zh-CN"/>
        </w:rPr>
      </w:pPr>
      <w:r>
        <w:rPr>
          <w:rFonts w:hint="eastAsia" w:ascii="仿宋" w:hAnsi="仿宋" w:eastAsia="仿宋" w:cs="仿宋"/>
          <w:color w:val="auto"/>
          <w:kern w:val="0"/>
          <w:sz w:val="24"/>
        </w:rPr>
        <w:t>联系电话：</w:t>
      </w:r>
      <w:r>
        <w:rPr>
          <w:rFonts w:hint="eastAsia" w:ascii="仿宋" w:hAnsi="仿宋" w:eastAsia="仿宋" w:cs="仿宋"/>
          <w:color w:val="auto"/>
          <w:kern w:val="0"/>
          <w:sz w:val="24"/>
          <w:lang w:eastAsia="zh-CN"/>
        </w:rPr>
        <w:t>18868806514</w:t>
      </w:r>
    </w:p>
    <w:p w14:paraId="5807217E">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采购代理机构名称：浙江益诚工程咨询有限公司</w:t>
      </w:r>
    </w:p>
    <w:p w14:paraId="623AA458">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详细地点: </w:t>
      </w:r>
      <w:r>
        <w:rPr>
          <w:rFonts w:hint="eastAsia" w:ascii="仿宋" w:hAnsi="仿宋" w:eastAsia="仿宋" w:cs="仿宋"/>
          <w:color w:val="auto"/>
          <w:kern w:val="0"/>
          <w:sz w:val="24"/>
          <w:lang w:val="zh-CN"/>
        </w:rPr>
        <w:t>浙江省绍兴市绍兴市越城区朝皇路正大综合楼503室</w:t>
      </w:r>
    </w:p>
    <w:p w14:paraId="1E26F5CA">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联系人：王</w:t>
      </w:r>
      <w:r>
        <w:rPr>
          <w:rFonts w:hint="eastAsia" w:ascii="仿宋" w:hAnsi="仿宋" w:eastAsia="仿宋" w:cs="仿宋"/>
          <w:color w:val="auto"/>
          <w:kern w:val="0"/>
          <w:sz w:val="24"/>
        </w:rPr>
        <w:t>工</w:t>
      </w:r>
    </w:p>
    <w:p w14:paraId="5F5F19CF">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zh-CN"/>
        </w:rPr>
        <w:t>联系电话：</w:t>
      </w:r>
      <w:r>
        <w:rPr>
          <w:rFonts w:hint="eastAsia" w:ascii="仿宋" w:hAnsi="仿宋" w:eastAsia="仿宋" w:cs="仿宋"/>
          <w:color w:val="auto"/>
          <w:kern w:val="0"/>
          <w:sz w:val="24"/>
          <w:lang w:val="en-US" w:eastAsia="zh-CN"/>
        </w:rPr>
        <w:t>15988275574</w:t>
      </w:r>
    </w:p>
    <w:p w14:paraId="084DADB7">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监督管理部门名称：绍兴市柯桥区财政局</w:t>
      </w:r>
    </w:p>
    <w:p w14:paraId="136CDEE5">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地址：绍兴市柯桥区育才路财税大楼</w:t>
      </w:r>
    </w:p>
    <w:p w14:paraId="4987EDC9">
      <w:pPr>
        <w:widowControl/>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联系人 ：王晖</w:t>
      </w:r>
    </w:p>
    <w:p w14:paraId="3291E44A">
      <w:pPr>
        <w:widowControl/>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监督投诉电话：0575-84125927</w:t>
      </w:r>
    </w:p>
    <w:p w14:paraId="312BB427">
      <w:pPr>
        <w:tabs>
          <w:tab w:val="left" w:pos="5500"/>
        </w:tabs>
        <w:spacing w:line="480" w:lineRule="exact"/>
        <w:ind w:firstLine="720"/>
        <w:jc w:val="center"/>
        <w:outlineLvl w:val="0"/>
        <w:rPr>
          <w:rFonts w:ascii="仿宋" w:hAnsi="仿宋" w:eastAsia="仿宋" w:cs="仿宋"/>
          <w:color w:val="auto"/>
          <w:sz w:val="36"/>
          <w:szCs w:val="36"/>
        </w:rPr>
      </w:pPr>
      <w:bookmarkStart w:id="1" w:name="_Toc15661"/>
    </w:p>
    <w:p w14:paraId="79C5F8FA">
      <w:pPr>
        <w:pStyle w:val="2"/>
        <w:rPr>
          <w:rFonts w:ascii="仿宋" w:hAnsi="仿宋" w:eastAsia="仿宋" w:cs="仿宋"/>
          <w:color w:val="auto"/>
          <w:sz w:val="36"/>
          <w:szCs w:val="36"/>
        </w:rPr>
      </w:pPr>
    </w:p>
    <w:p w14:paraId="56C944B7">
      <w:pPr>
        <w:pStyle w:val="2"/>
        <w:rPr>
          <w:rFonts w:ascii="仿宋" w:hAnsi="仿宋" w:eastAsia="仿宋" w:cs="仿宋"/>
          <w:color w:val="auto"/>
          <w:sz w:val="36"/>
          <w:szCs w:val="36"/>
        </w:rPr>
      </w:pPr>
    </w:p>
    <w:p w14:paraId="01B2F798">
      <w:pPr>
        <w:pStyle w:val="2"/>
        <w:rPr>
          <w:rFonts w:ascii="仿宋" w:hAnsi="仿宋" w:eastAsia="仿宋" w:cs="仿宋"/>
          <w:color w:val="auto"/>
          <w:sz w:val="36"/>
          <w:szCs w:val="36"/>
        </w:rPr>
      </w:pPr>
    </w:p>
    <w:p w14:paraId="12EDC135">
      <w:pPr>
        <w:tabs>
          <w:tab w:val="left" w:pos="5500"/>
        </w:tabs>
        <w:spacing w:line="480" w:lineRule="exact"/>
        <w:ind w:firstLine="720"/>
        <w:jc w:val="center"/>
        <w:outlineLvl w:val="0"/>
        <w:rPr>
          <w:rFonts w:ascii="仿宋" w:hAnsi="仿宋" w:eastAsia="仿宋" w:cs="仿宋"/>
          <w:color w:val="auto"/>
          <w:sz w:val="28"/>
          <w:szCs w:val="28"/>
        </w:rPr>
      </w:pPr>
      <w:r>
        <w:rPr>
          <w:rFonts w:hint="eastAsia" w:ascii="仿宋" w:hAnsi="仿宋" w:eastAsia="仿宋" w:cs="仿宋"/>
          <w:color w:val="auto"/>
          <w:sz w:val="36"/>
          <w:szCs w:val="36"/>
        </w:rPr>
        <w:t>第二章投标人须知</w:t>
      </w:r>
      <w:bookmarkEnd w:id="1"/>
    </w:p>
    <w:p w14:paraId="52E15BC4">
      <w:pPr>
        <w:keepNext w:val="0"/>
        <w:keepLines w:val="0"/>
        <w:pageBreakBefore w:val="0"/>
        <w:kinsoku/>
        <w:wordWrap/>
        <w:overflowPunct/>
        <w:topLinePunct w:val="0"/>
        <w:bidi w:val="0"/>
        <w:adjustRightInd w:val="0"/>
        <w:snapToGrid w:val="0"/>
        <w:spacing w:line="360"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一、招投标费用</w:t>
      </w:r>
    </w:p>
    <w:p w14:paraId="22F0C6C4">
      <w:pPr>
        <w:keepNext w:val="0"/>
        <w:keepLines w:val="0"/>
        <w:pageBreakBefore w:val="0"/>
        <w:kinsoku/>
        <w:wordWrap/>
        <w:overflowPunct/>
        <w:topLinePunct w:val="0"/>
        <w:bidi w:val="0"/>
        <w:spacing w:line="360" w:lineRule="auto"/>
        <w:ind w:right="26" w:firstLine="480" w:firstLineChars="200"/>
        <w:textAlignment w:val="auto"/>
        <w:rPr>
          <w:rFonts w:ascii="仿宋" w:hAnsi="仿宋" w:eastAsia="仿宋" w:cs="仿宋"/>
          <w:bCs/>
          <w:color w:val="auto"/>
          <w:sz w:val="24"/>
        </w:rPr>
      </w:pPr>
      <w:r>
        <w:rPr>
          <w:rFonts w:hint="eastAsia" w:ascii="仿宋" w:hAnsi="仿宋" w:eastAsia="仿宋" w:cs="仿宋"/>
          <w:color w:val="auto"/>
          <w:sz w:val="24"/>
        </w:rPr>
        <w:t>1、本</w:t>
      </w:r>
      <w:r>
        <w:rPr>
          <w:rFonts w:hint="eastAsia" w:ascii="仿宋" w:hAnsi="仿宋" w:eastAsia="仿宋" w:cs="仿宋"/>
          <w:bCs/>
          <w:color w:val="auto"/>
          <w:sz w:val="24"/>
        </w:rPr>
        <w:t>次</w:t>
      </w:r>
      <w:r>
        <w:rPr>
          <w:rFonts w:hint="eastAsia" w:ascii="仿宋" w:hAnsi="仿宋" w:eastAsia="仿宋" w:cs="仿宋"/>
          <w:color w:val="auto"/>
          <w:sz w:val="24"/>
        </w:rPr>
        <w:t>招标采用公开招标方式进行。不论投标结果如何，</w:t>
      </w:r>
      <w:r>
        <w:rPr>
          <w:rFonts w:hint="eastAsia" w:ascii="仿宋" w:hAnsi="仿宋" w:eastAsia="仿宋" w:cs="仿宋"/>
          <w:bCs/>
          <w:color w:val="auto"/>
          <w:sz w:val="24"/>
        </w:rPr>
        <w:t>投标人应承担所有与编写和提交投标文件有关的费用。</w:t>
      </w:r>
    </w:p>
    <w:p w14:paraId="61870262">
      <w:pPr>
        <w:keepNext w:val="0"/>
        <w:keepLines w:val="0"/>
        <w:pageBreakBefore w:val="0"/>
        <w:kinsoku/>
        <w:wordWrap/>
        <w:overflowPunct/>
        <w:topLinePunct w:val="0"/>
        <w:bidi w:val="0"/>
        <w:spacing w:line="360" w:lineRule="auto"/>
        <w:ind w:right="26"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二、关于招标文件的提示</w:t>
      </w:r>
    </w:p>
    <w:p w14:paraId="2583902F">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投标人应认真阅读招标文件中所有的事项、格式、条款和规范要求。如投标人未按照招标文件要求提交全部资料，或投标文件没有对招标文件在各方面作出实质性响应，采购人有权拒绝投标人，其风险由投标人自行承担。</w:t>
      </w:r>
    </w:p>
    <w:p w14:paraId="7160D3B5">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仿宋" w:hAnsi="仿宋" w:eastAsia="仿宋" w:cs="仿宋"/>
          <w:color w:val="auto"/>
          <w:kern w:val="0"/>
          <w:sz w:val="24"/>
        </w:rPr>
      </w:pPr>
      <w:r>
        <w:rPr>
          <w:rFonts w:hint="eastAsia" w:ascii="仿宋" w:hAnsi="仿宋" w:eastAsia="仿宋" w:cs="仿宋"/>
          <w:bCs/>
          <w:color w:val="auto"/>
          <w:sz w:val="24"/>
        </w:rPr>
        <w:t>2、在投标截止期前的任何时候，无论出于何种原因，采购人可主动对招标文件进行修改。招标文件的修改将以书面形式通知所有领取招标文件的投标人，并对其具有约束力。投标人应立即以书面形式确认已收到修改文件。</w:t>
      </w:r>
    </w:p>
    <w:p w14:paraId="45F6A4D1">
      <w:pPr>
        <w:keepNext w:val="0"/>
        <w:keepLines w:val="0"/>
        <w:pageBreakBefore w:val="0"/>
        <w:widowControl/>
        <w:kinsoku/>
        <w:wordWrap/>
        <w:overflowPunct/>
        <w:topLinePunct w:val="0"/>
        <w:bidi w:val="0"/>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color w:val="auto"/>
          <w:kern w:val="0"/>
          <w:sz w:val="24"/>
        </w:rPr>
        <w:t>3、</w:t>
      </w:r>
      <w:r>
        <w:rPr>
          <w:rFonts w:hint="eastAsia" w:ascii="仿宋" w:hAnsi="仿宋" w:eastAsia="仿宋" w:cs="仿宋"/>
          <w:bCs/>
          <w:color w:val="auto"/>
          <w:sz w:val="24"/>
        </w:rPr>
        <w:t>投标人应承担所有与编写和提交投标文件有关的费用。</w:t>
      </w:r>
    </w:p>
    <w:p w14:paraId="0BAE2F5E">
      <w:pPr>
        <w:keepNext w:val="0"/>
        <w:keepLines w:val="0"/>
        <w:pageBreakBefore w:val="0"/>
        <w:widowControl/>
        <w:kinsoku/>
        <w:wordWrap/>
        <w:overflowPunct/>
        <w:topLinePunct w:val="0"/>
        <w:bidi w:val="0"/>
        <w:spacing w:line="360" w:lineRule="auto"/>
        <w:ind w:firstLine="480" w:firstLineChars="200"/>
        <w:jc w:val="left"/>
        <w:textAlignment w:val="auto"/>
        <w:rPr>
          <w:rFonts w:ascii="仿宋" w:hAnsi="仿宋" w:eastAsia="仿宋" w:cs="仿宋"/>
          <w:color w:val="auto"/>
          <w:kern w:val="0"/>
          <w:sz w:val="24"/>
        </w:rPr>
      </w:pPr>
      <w:r>
        <w:rPr>
          <w:rFonts w:hint="eastAsia" w:ascii="仿宋" w:hAnsi="仿宋" w:eastAsia="仿宋" w:cs="仿宋"/>
          <w:bCs/>
          <w:color w:val="auto"/>
          <w:sz w:val="24"/>
        </w:rPr>
        <w:t>4、</w:t>
      </w:r>
      <w:r>
        <w:rPr>
          <w:rFonts w:hint="eastAsia" w:ascii="仿宋" w:hAnsi="仿宋" w:eastAsia="仿宋" w:cs="仿宋"/>
          <w:color w:val="auto"/>
          <w:kern w:val="0"/>
          <w:sz w:val="24"/>
        </w:rPr>
        <w:t>投标提问书提交截止时间为</w:t>
      </w:r>
      <w:r>
        <w:rPr>
          <w:rFonts w:hint="eastAsia" w:ascii="仿宋" w:hAnsi="仿宋" w:eastAsia="仿宋" w:cs="仿宋"/>
          <w:color w:val="auto"/>
          <w:kern w:val="0"/>
          <w:sz w:val="24"/>
          <w:lang w:eastAsia="zh-CN"/>
        </w:rPr>
        <w:t>2025</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24</w:t>
      </w:r>
      <w:r>
        <w:rPr>
          <w:rFonts w:hint="eastAsia" w:ascii="仿宋" w:hAnsi="仿宋" w:eastAsia="仿宋" w:cs="仿宋"/>
          <w:color w:val="auto"/>
          <w:kern w:val="0"/>
          <w:sz w:val="24"/>
        </w:rPr>
        <w:t>日10：00</w:t>
      </w:r>
    </w:p>
    <w:p w14:paraId="18831C98">
      <w:pPr>
        <w:keepNext w:val="0"/>
        <w:keepLines w:val="0"/>
        <w:pageBreakBefore w:val="0"/>
        <w:widowControl/>
        <w:kinsoku/>
        <w:wordWrap/>
        <w:overflowPunct/>
        <w:topLinePunct w:val="0"/>
        <w:bidi w:val="0"/>
        <w:spacing w:line="360" w:lineRule="auto"/>
        <w:ind w:firstLine="480" w:firstLineChars="200"/>
        <w:jc w:val="left"/>
        <w:textAlignment w:val="auto"/>
        <w:rPr>
          <w:rFonts w:ascii="仿宋" w:hAnsi="仿宋" w:eastAsia="仿宋" w:cs="仿宋"/>
          <w:color w:val="auto"/>
          <w:kern w:val="0"/>
          <w:sz w:val="24"/>
        </w:rPr>
      </w:pPr>
      <w:r>
        <w:rPr>
          <w:rFonts w:hint="eastAsia" w:ascii="仿宋" w:hAnsi="仿宋" w:eastAsia="仿宋" w:cs="仿宋"/>
          <w:color w:val="auto"/>
          <w:kern w:val="0"/>
          <w:sz w:val="24"/>
        </w:rPr>
        <w:t>招标答疑书回复截止时间为</w:t>
      </w:r>
      <w:r>
        <w:rPr>
          <w:rFonts w:hint="eastAsia" w:ascii="仿宋" w:hAnsi="仿宋" w:eastAsia="仿宋" w:cs="仿宋"/>
          <w:color w:val="auto"/>
          <w:kern w:val="0"/>
          <w:sz w:val="24"/>
          <w:lang w:eastAsia="zh-CN"/>
        </w:rPr>
        <w:t>2025</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24</w:t>
      </w:r>
      <w:bookmarkStart w:id="19" w:name="_GoBack"/>
      <w:bookmarkEnd w:id="19"/>
      <w:r>
        <w:rPr>
          <w:rFonts w:hint="eastAsia" w:ascii="仿宋" w:hAnsi="仿宋" w:eastAsia="仿宋" w:cs="仿宋"/>
          <w:color w:val="auto"/>
          <w:kern w:val="0"/>
          <w:sz w:val="24"/>
        </w:rPr>
        <w:t>日16：00</w:t>
      </w:r>
    </w:p>
    <w:p w14:paraId="3AA3BF12">
      <w:pPr>
        <w:keepNext w:val="0"/>
        <w:keepLines w:val="0"/>
        <w:pageBreakBefore w:val="0"/>
        <w:widowControl/>
        <w:kinsoku/>
        <w:wordWrap/>
        <w:overflowPunct/>
        <w:topLinePunct w:val="0"/>
        <w:bidi w:val="0"/>
        <w:spacing w:line="360" w:lineRule="auto"/>
        <w:ind w:firstLine="482" w:firstLineChars="200"/>
        <w:textAlignment w:val="auto"/>
        <w:rPr>
          <w:rFonts w:ascii="仿宋" w:hAnsi="仿宋" w:eastAsia="仿宋" w:cs="仿宋"/>
          <w:bCs/>
          <w:color w:val="auto"/>
          <w:sz w:val="24"/>
        </w:rPr>
      </w:pPr>
      <w:r>
        <w:rPr>
          <w:rFonts w:hint="eastAsia" w:ascii="仿宋" w:hAnsi="仿宋" w:eastAsia="仿宋" w:cs="仿宋"/>
          <w:b/>
          <w:bCs/>
          <w:color w:val="auto"/>
          <w:kern w:val="0"/>
          <w:sz w:val="24"/>
        </w:rPr>
        <w:t>如所有投标单位均无疑问，则不发答疑纪要</w:t>
      </w:r>
    </w:p>
    <w:p w14:paraId="18458376">
      <w:pPr>
        <w:keepNext w:val="0"/>
        <w:keepLines w:val="0"/>
        <w:pageBreakBefore w:val="0"/>
        <w:kinsoku/>
        <w:wordWrap/>
        <w:overflowPunct/>
        <w:topLinePunct w:val="0"/>
        <w:bidi w:val="0"/>
        <w:adjustRightInd w:val="0"/>
        <w:snapToGrid w:val="0"/>
        <w:spacing w:line="360" w:lineRule="auto"/>
        <w:ind w:left="44" w:leftChars="21" w:firstLine="472" w:firstLineChars="196"/>
        <w:textAlignment w:val="auto"/>
        <w:rPr>
          <w:rFonts w:ascii="仿宋" w:hAnsi="仿宋" w:eastAsia="仿宋" w:cs="仿宋"/>
          <w:b/>
          <w:bCs/>
          <w:color w:val="auto"/>
          <w:sz w:val="24"/>
        </w:rPr>
      </w:pPr>
      <w:r>
        <w:rPr>
          <w:rFonts w:hint="eastAsia" w:ascii="仿宋" w:hAnsi="仿宋" w:eastAsia="仿宋" w:cs="仿宋"/>
          <w:b/>
          <w:bCs/>
          <w:color w:val="auto"/>
          <w:sz w:val="24"/>
        </w:rPr>
        <w:t>三、投标文件要求</w:t>
      </w:r>
    </w:p>
    <w:p w14:paraId="16F1810A">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1、投标人编写的投标文件应包括：资格（资信）证明文件、商务技术标、价格标共三部分组成。</w:t>
      </w:r>
    </w:p>
    <w:p w14:paraId="27890052">
      <w:pPr>
        <w:keepNext w:val="0"/>
        <w:keepLines w:val="0"/>
        <w:pageBreakBefore w:val="0"/>
        <w:kinsoku/>
        <w:wordWrap/>
        <w:overflowPunct/>
        <w:topLinePunct w:val="0"/>
        <w:bidi w:val="0"/>
        <w:adjustRightInd w:val="0"/>
        <w:snapToGrid w:val="0"/>
        <w:spacing w:line="360" w:lineRule="auto"/>
        <w:ind w:left="44" w:leftChars="21" w:firstLine="482" w:firstLineChars="200"/>
        <w:textAlignment w:val="auto"/>
        <w:rPr>
          <w:rFonts w:ascii="仿宋" w:hAnsi="仿宋" w:eastAsia="仿宋" w:cs="仿宋"/>
          <w:bCs/>
          <w:color w:val="auto"/>
          <w:sz w:val="24"/>
        </w:rPr>
      </w:pPr>
      <w:r>
        <w:rPr>
          <w:rFonts w:hint="eastAsia" w:ascii="仿宋" w:hAnsi="仿宋" w:eastAsia="仿宋" w:cs="仿宋"/>
          <w:b/>
          <w:color w:val="auto"/>
          <w:sz w:val="24"/>
        </w:rPr>
        <w:t>1.1资格（资信）证明文件单独封装，提供正本一份，副本 4 份。应包括下列内容：</w:t>
      </w:r>
    </w:p>
    <w:p w14:paraId="4FDC3AD2">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1.1.1营业执照(文件中装订复印件，需盖投标人公章)；</w:t>
      </w:r>
    </w:p>
    <w:p w14:paraId="0A818C84">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1.1.2法定代表人/负责人的身份证(文件中装订复印件，需盖投标人公章)；</w:t>
      </w:r>
    </w:p>
    <w:p w14:paraId="0C54857F">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1.1.3法定代表人/负责人授权书（附件二）；</w:t>
      </w:r>
    </w:p>
    <w:p w14:paraId="4600CB98">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1.1.4全权代表身份证(文件中装订复印件，需盖投标人公章)；</w:t>
      </w:r>
    </w:p>
    <w:p w14:paraId="0B9D3052">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1.1.5</w:t>
      </w:r>
      <w:r>
        <w:rPr>
          <w:rFonts w:hint="eastAsia" w:ascii="仿宋" w:hAnsi="仿宋" w:eastAsia="仿宋" w:cs="仿宋"/>
          <w:color w:val="auto"/>
          <w:sz w:val="24"/>
        </w:rPr>
        <w:t>金融许可证书</w:t>
      </w:r>
      <w:r>
        <w:rPr>
          <w:rFonts w:hint="eastAsia" w:ascii="仿宋" w:hAnsi="仿宋" w:eastAsia="仿宋" w:cs="仿宋"/>
          <w:bCs/>
          <w:color w:val="auto"/>
          <w:sz w:val="24"/>
        </w:rPr>
        <w:t xml:space="preserve"> (文件中装订复印件，需盖投标人公章)；</w:t>
      </w:r>
    </w:p>
    <w:p w14:paraId="79D216CC">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1.1.6</w:t>
      </w:r>
      <w:r>
        <w:rPr>
          <w:rFonts w:hint="eastAsia" w:ascii="仿宋" w:hAnsi="仿宋" w:eastAsia="仿宋" w:cs="仿宋"/>
          <w:color w:val="auto"/>
          <w:kern w:val="0"/>
          <w:sz w:val="24"/>
        </w:rPr>
        <w:t>综合评价证明</w:t>
      </w:r>
      <w:r>
        <w:rPr>
          <w:rFonts w:hint="eastAsia" w:ascii="仿宋" w:hAnsi="仿宋" w:eastAsia="仿宋" w:cs="仿宋"/>
          <w:bCs/>
          <w:color w:val="auto"/>
          <w:sz w:val="24"/>
        </w:rPr>
        <w:t>(文件中装订复印件，需盖投标人公章)；</w:t>
      </w:r>
    </w:p>
    <w:p w14:paraId="59D9633F">
      <w:pPr>
        <w:keepNext w:val="0"/>
        <w:keepLines w:val="0"/>
        <w:pageBreakBefore w:val="0"/>
        <w:kinsoku/>
        <w:wordWrap/>
        <w:overflowPunct/>
        <w:topLinePunct w:val="0"/>
        <w:bidi w:val="0"/>
        <w:adjustRightInd w:val="0"/>
        <w:snapToGrid w:val="0"/>
        <w:spacing w:line="360" w:lineRule="auto"/>
        <w:ind w:left="44" w:leftChars="21"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1.2商务技术标：</w:t>
      </w:r>
    </w:p>
    <w:p w14:paraId="10375783">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1.2.1投标函（附件一）；</w:t>
      </w:r>
    </w:p>
    <w:p w14:paraId="4B658621">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1.2.2投标承诺书（附件四）；</w:t>
      </w:r>
    </w:p>
    <w:p w14:paraId="6CB2D412">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1.2.3 商务技术标评分材料；</w:t>
      </w:r>
    </w:p>
    <w:p w14:paraId="0EDF16D8">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1.2.4投标人认为需要提供的其他文件。</w:t>
      </w:r>
    </w:p>
    <w:p w14:paraId="083CB1FA">
      <w:pPr>
        <w:keepNext w:val="0"/>
        <w:keepLines w:val="0"/>
        <w:pageBreakBefore w:val="0"/>
        <w:kinsoku/>
        <w:wordWrap/>
        <w:overflowPunct/>
        <w:topLinePunct w:val="0"/>
        <w:bidi w:val="0"/>
        <w:adjustRightInd w:val="0"/>
        <w:snapToGrid w:val="0"/>
        <w:spacing w:line="360" w:lineRule="auto"/>
        <w:ind w:left="44" w:leftChars="21"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1.3价格标：</w:t>
      </w:r>
    </w:p>
    <w:p w14:paraId="69CD5B64">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
          <w:bCs/>
          <w:color w:val="auto"/>
          <w:sz w:val="24"/>
        </w:rPr>
      </w:pPr>
      <w:r>
        <w:rPr>
          <w:rFonts w:hint="eastAsia" w:ascii="仿宋" w:hAnsi="仿宋" w:eastAsia="仿宋" w:cs="仿宋"/>
          <w:color w:val="auto"/>
          <w:sz w:val="24"/>
        </w:rPr>
        <w:t>1.3.1</w:t>
      </w:r>
      <w:r>
        <w:rPr>
          <w:rFonts w:hint="eastAsia" w:ascii="仿宋" w:hAnsi="仿宋" w:eastAsia="仿宋" w:cs="仿宋"/>
          <w:bCs/>
          <w:color w:val="auto"/>
          <w:sz w:val="24"/>
        </w:rPr>
        <w:t>开标一览表（报价表）（附件三）</w:t>
      </w:r>
    </w:p>
    <w:p w14:paraId="2414B113">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2、投标人必须保证投标文件所提供的全部资料真实可靠，并接受采购人的审查和现场核实要求。如果所提供的资料有欺诈和严重失实情况，采购人有权取消其资格。</w:t>
      </w:r>
    </w:p>
    <w:p w14:paraId="4F9DBF7F">
      <w:pPr>
        <w:keepNext w:val="0"/>
        <w:keepLines w:val="0"/>
        <w:pageBreakBefore w:val="0"/>
        <w:kinsoku/>
        <w:wordWrap/>
        <w:overflowPunct/>
        <w:topLinePunct w:val="0"/>
        <w:bidi w:val="0"/>
        <w:adjustRightInd w:val="0"/>
        <w:snapToGrid w:val="0"/>
        <w:spacing w:line="360" w:lineRule="auto"/>
        <w:ind w:left="45"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3、投标人应准备：</w:t>
      </w:r>
      <w:r>
        <w:rPr>
          <w:rFonts w:hint="eastAsia" w:ascii="仿宋" w:hAnsi="仿宋" w:eastAsia="仿宋" w:cs="仿宋"/>
          <w:b/>
          <w:color w:val="auto"/>
          <w:sz w:val="24"/>
        </w:rPr>
        <w:t>商务技术标一式 5 份，其中正本1份，副本 4 份；价格标一式 5 份，其中正本1份，副本 4 份；资格资信证明文件正本1份，副本 4 份</w:t>
      </w:r>
      <w:r>
        <w:rPr>
          <w:rFonts w:hint="eastAsia" w:ascii="仿宋" w:hAnsi="仿宋" w:eastAsia="仿宋" w:cs="仿宋"/>
          <w:bCs/>
          <w:color w:val="auto"/>
          <w:sz w:val="24"/>
        </w:rPr>
        <w:t>。每份投标文件须在封面上清楚地标明“正本”或“副本”的字样，正本同副本必须保持一致。</w:t>
      </w:r>
    </w:p>
    <w:p w14:paraId="1C3DF949">
      <w:pPr>
        <w:keepNext w:val="0"/>
        <w:keepLines w:val="0"/>
        <w:pageBreakBefore w:val="0"/>
        <w:kinsoku/>
        <w:wordWrap/>
        <w:overflowPunct/>
        <w:topLinePunct w:val="0"/>
        <w:bidi w:val="0"/>
        <w:adjustRightInd w:val="0"/>
        <w:snapToGrid w:val="0"/>
        <w:spacing w:line="360" w:lineRule="auto"/>
        <w:ind w:left="45"/>
        <w:textAlignment w:val="auto"/>
        <w:rPr>
          <w:rFonts w:ascii="仿宋" w:hAnsi="仿宋" w:eastAsia="仿宋" w:cs="仿宋"/>
          <w:bCs/>
          <w:color w:val="auto"/>
          <w:sz w:val="24"/>
        </w:rPr>
      </w:pPr>
      <w:r>
        <w:rPr>
          <w:rFonts w:hint="eastAsia" w:ascii="仿宋" w:hAnsi="仿宋" w:eastAsia="仿宋" w:cs="仿宋"/>
          <w:bCs/>
          <w:color w:val="auto"/>
          <w:sz w:val="24"/>
        </w:rPr>
        <w:t xml:space="preserve">    4、投标文件的正本和副本均需打印并装订成册，并由投标人的法定代表人/负责人或被授权的代表签字并加盖公章。投标文件中凡有涂改之处，都应由投标人法定代表人/负责人或其授权委托人签字并加盖公章。</w:t>
      </w:r>
    </w:p>
    <w:p w14:paraId="4DA1778F">
      <w:pPr>
        <w:keepNext w:val="0"/>
        <w:keepLines w:val="0"/>
        <w:pageBreakBefore w:val="0"/>
        <w:kinsoku/>
        <w:wordWrap/>
        <w:overflowPunct/>
        <w:topLinePunct w:val="0"/>
        <w:bidi w:val="0"/>
        <w:adjustRightInd w:val="0"/>
        <w:snapToGrid w:val="0"/>
        <w:spacing w:line="360" w:lineRule="auto"/>
        <w:ind w:left="45"/>
        <w:textAlignment w:val="auto"/>
        <w:rPr>
          <w:rFonts w:ascii="仿宋" w:hAnsi="仿宋" w:eastAsia="仿宋" w:cs="仿宋"/>
          <w:bCs/>
          <w:color w:val="auto"/>
          <w:sz w:val="24"/>
        </w:rPr>
      </w:pPr>
      <w:r>
        <w:rPr>
          <w:rFonts w:hint="eastAsia" w:ascii="仿宋" w:hAnsi="仿宋" w:eastAsia="仿宋" w:cs="仿宋"/>
          <w:bCs/>
          <w:color w:val="auto"/>
          <w:sz w:val="24"/>
        </w:rPr>
        <w:t xml:space="preserve">    5、投标人应将投标文件正本和副本装入封套中加以密封，并在封套上标明采购人名称、项目名称、投标人名称和联系地址。</w:t>
      </w:r>
    </w:p>
    <w:p w14:paraId="4E00282D">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ascii="仿宋" w:hAnsi="仿宋" w:eastAsia="仿宋" w:cs="仿宋"/>
          <w:bCs/>
          <w:color w:val="auto"/>
          <w:sz w:val="24"/>
        </w:rPr>
      </w:pPr>
      <w:r>
        <w:rPr>
          <w:rFonts w:hint="eastAsia" w:ascii="仿宋" w:hAnsi="仿宋" w:eastAsia="仿宋" w:cs="仿宋"/>
          <w:bCs/>
          <w:color w:val="auto"/>
          <w:sz w:val="24"/>
        </w:rPr>
        <w:t>6、投标人在递交投标文件后，可以修改或撤回其投标文件，但修改或撤回的书面通知必须在规定的投标截止时间之前送达采购人。修改或撤回通知书应按以上规定密封、标记和发送，并在封套上加注“修改”或“撤回”字样。投标截止后，投标人不得修改或撤回其投标。</w:t>
      </w:r>
    </w:p>
    <w:p w14:paraId="6C63AE4D">
      <w:pPr>
        <w:keepNext w:val="0"/>
        <w:keepLines w:val="0"/>
        <w:pageBreakBefore w:val="0"/>
        <w:kinsoku/>
        <w:wordWrap/>
        <w:overflowPunct/>
        <w:topLinePunct w:val="0"/>
        <w:bidi w:val="0"/>
        <w:adjustRightInd w:val="0"/>
        <w:snapToGrid w:val="0"/>
        <w:spacing w:line="360" w:lineRule="auto"/>
        <w:ind w:left="44" w:leftChars="21"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四、开标与评标</w:t>
      </w:r>
    </w:p>
    <w:p w14:paraId="6C0F4803">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1、采购人将按规定的时间和地点组织开标。</w:t>
      </w:r>
    </w:p>
    <w:p w14:paraId="45A940BA">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2、开标时，采购人将当众宣读投标人名称、修改和撤回投标的通知、开标一览表以及采购人认为合适的其他内容。按招标文件规定提交了“撤回”通知的投标文件将不予启封。撤回的投标文件将原封退回投标人。</w:t>
      </w:r>
    </w:p>
    <w:p w14:paraId="66ADE22A">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3、开标后，采购人将对投标文件进行初步审查，检查投标文件内容是否完整、编排是否有序、有无计算上的错误、文件签署是否规范以及投标人资格是否符合要求等。</w:t>
      </w:r>
    </w:p>
    <w:p w14:paraId="0529B161">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4、投标文件有下列情况之一者视为无效：</w:t>
      </w:r>
    </w:p>
    <w:p w14:paraId="0BDA4B66">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（1）投标文件未按规定密封。</w:t>
      </w:r>
    </w:p>
    <w:p w14:paraId="6D39C80D">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（2）未按规定格式盖章、填写、装填，内容不全或字迹模糊辨认不清。</w:t>
      </w:r>
    </w:p>
    <w:p w14:paraId="57FAEF19">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（3）投标截止时间以后送达的投标文件。</w:t>
      </w:r>
    </w:p>
    <w:p w14:paraId="266E85DF">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（4）资格证明文件不全的。</w:t>
      </w:r>
    </w:p>
    <w:p w14:paraId="21465E01">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（5）与其他投标人的数据、技术方案雷同。</w:t>
      </w:r>
    </w:p>
    <w:p w14:paraId="24B27ECF">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（6）违反法律法规及有关规定的其他行为。</w:t>
      </w:r>
    </w:p>
    <w:p w14:paraId="0DDFA701">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5、采购人当众宣布核查结果，并宣读有效投标人名称、修改内容、质量及采购人认为适当的其他内容，由记录员作好记录。</w:t>
      </w:r>
    </w:p>
    <w:p w14:paraId="3BD6A561">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6、在详细评标之前，招标评审委员会要审查每份投标文件是否实质上响应了招标文件的要求并对投标人资格进行审核。没有实质上响应招标文件要求的投标文件可以被拒绝，投标人不得通过修正或撤销不符合要求的偏离或保留从而使其投标成为实质上响应的投标。</w:t>
      </w:r>
    </w:p>
    <w:p w14:paraId="759CB86A">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7、招标评审委员会对各投标人的投标文件进行评价和比较，并向采购人提交书面评标报告和推荐中标候选人。</w:t>
      </w:r>
    </w:p>
    <w:p w14:paraId="69288969">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8、采购人和招标评审委员会均无义务向投标人进行任何有关评标的解释。</w:t>
      </w:r>
    </w:p>
    <w:p w14:paraId="0A0AFA76">
      <w:pPr>
        <w:keepNext w:val="0"/>
        <w:keepLines w:val="0"/>
        <w:pageBreakBefore w:val="0"/>
        <w:kinsoku/>
        <w:wordWrap/>
        <w:overflowPunct/>
        <w:topLinePunct w:val="0"/>
        <w:bidi w:val="0"/>
        <w:adjustRightInd w:val="0"/>
        <w:snapToGrid w:val="0"/>
        <w:spacing w:line="360" w:lineRule="auto"/>
        <w:ind w:left="44" w:leftChars="21"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五、授予合同</w:t>
      </w:r>
    </w:p>
    <w:p w14:paraId="527AF936">
      <w:pPr>
        <w:keepNext w:val="0"/>
        <w:keepLines w:val="0"/>
        <w:pageBreakBefore w:val="0"/>
        <w:kinsoku/>
        <w:wordWrap/>
        <w:overflowPunct/>
        <w:topLinePunct w:val="0"/>
        <w:bidi w:val="0"/>
        <w:adjustRightInd w:val="0"/>
        <w:snapToGrid w:val="0"/>
        <w:spacing w:line="360" w:lineRule="auto"/>
        <w:ind w:left="44" w:leftChars="21"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1、采购人将根据招标评审委员会的授标建议，把合同授予能够最大限度地满足招标文件中规定的各项综合评价标准的投标人。采购人将向中标银行发出《中标通知书》通知中标，同时通知其他未中标的投标人。</w:t>
      </w:r>
    </w:p>
    <w:p w14:paraId="7CDA6C5A">
      <w:pPr>
        <w:keepNext w:val="0"/>
        <w:keepLines w:val="0"/>
        <w:pageBreakBefore w:val="0"/>
        <w:widowControl/>
        <w:kinsoku/>
        <w:wordWrap/>
        <w:overflowPunct/>
        <w:topLinePunct w:val="0"/>
        <w:bidi w:val="0"/>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2、中标银行在收到《中标通知书》后，应按照《中标通知书》中规定的时间和地点与采购人签订合同。</w:t>
      </w:r>
    </w:p>
    <w:p w14:paraId="35857510">
      <w:pPr>
        <w:keepNext w:val="0"/>
        <w:keepLines w:val="0"/>
        <w:pageBreakBefore w:val="0"/>
        <w:kinsoku/>
        <w:wordWrap/>
        <w:overflowPunct/>
        <w:topLinePunct w:val="0"/>
        <w:bidi w:val="0"/>
        <w:adjustRightInd w:val="0"/>
        <w:snapToGrid w:val="0"/>
        <w:spacing w:line="360" w:lineRule="auto"/>
        <w:ind w:left="44" w:leftChars="21"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六、相关要求</w:t>
      </w:r>
    </w:p>
    <w:p w14:paraId="6281FE11">
      <w:pPr>
        <w:keepNext w:val="0"/>
        <w:keepLines w:val="0"/>
        <w:pageBreakBefore w:val="0"/>
        <w:widowControl/>
        <w:kinsoku/>
        <w:wordWrap/>
        <w:overflowPunct/>
        <w:topLinePunct w:val="0"/>
        <w:bidi w:val="0"/>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1、服务期限：按相关服务质量等综合考虑。</w:t>
      </w:r>
    </w:p>
    <w:p w14:paraId="403696E2">
      <w:pPr>
        <w:keepNext w:val="0"/>
        <w:keepLines w:val="0"/>
        <w:pageBreakBefore w:val="0"/>
        <w:widowControl/>
        <w:kinsoku/>
        <w:wordWrap/>
        <w:overflowPunct/>
        <w:topLinePunct w:val="0"/>
        <w:bidi w:val="0"/>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2、经招投标确定，甲方在乙方开立定期存款账户，存入定期存款期限为</w:t>
      </w:r>
      <w:r>
        <w:rPr>
          <w:rFonts w:hint="eastAsia" w:ascii="仿宋" w:hAnsi="仿宋" w:eastAsia="仿宋" w:cs="仿宋"/>
          <w:bCs/>
          <w:color w:val="auto"/>
          <w:sz w:val="24"/>
          <w:lang w:eastAsia="zh-CN"/>
        </w:rPr>
        <w:t>一年、六个月</w:t>
      </w:r>
      <w:r>
        <w:rPr>
          <w:rFonts w:hint="eastAsia" w:ascii="仿宋" w:hAnsi="仿宋" w:eastAsia="仿宋" w:cs="仿宋"/>
          <w:bCs/>
          <w:color w:val="auto"/>
          <w:sz w:val="24"/>
        </w:rPr>
        <w:t>和三个月的定期存款，存款利率分别为央行基准+()BP</w:t>
      </w:r>
      <w:r>
        <w:rPr>
          <w:rFonts w:hint="eastAsia" w:ascii="仿宋" w:hAnsi="仿宋" w:eastAsia="仿宋" w:cs="仿宋"/>
          <w:bCs/>
          <w:color w:val="auto"/>
          <w:sz w:val="24"/>
          <w:lang w:eastAsia="zh-CN"/>
        </w:rPr>
        <w:t>、</w:t>
      </w:r>
      <w:r>
        <w:rPr>
          <w:rFonts w:hint="eastAsia" w:ascii="仿宋" w:hAnsi="仿宋" w:eastAsia="仿宋" w:cs="仿宋"/>
          <w:bCs/>
          <w:color w:val="auto"/>
          <w:sz w:val="24"/>
        </w:rPr>
        <w:t>央行基准+()BP和央行基准+()BP。且资金存入时，如人民银行、金融监督管理局、浙江省市场利率定价自律机制对上述存款利率有政策调整的,则按政策调整后可执行最高的存款利率执行。</w:t>
      </w:r>
    </w:p>
    <w:p w14:paraId="6807D8E1">
      <w:pPr>
        <w:keepNext w:val="0"/>
        <w:keepLines w:val="0"/>
        <w:pageBreakBefore w:val="0"/>
        <w:widowControl/>
        <w:kinsoku/>
        <w:wordWrap/>
        <w:overflowPunct/>
        <w:topLinePunct w:val="0"/>
        <w:bidi w:val="0"/>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3、其他要求</w:t>
      </w:r>
    </w:p>
    <w:p w14:paraId="6993312E">
      <w:pPr>
        <w:keepNext w:val="0"/>
        <w:keepLines w:val="0"/>
        <w:pageBreakBefore w:val="0"/>
        <w:widowControl/>
        <w:kinsoku/>
        <w:wordWrap/>
        <w:overflowPunct/>
        <w:topLinePunct w:val="0"/>
        <w:bidi w:val="0"/>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3.1中标投标人即</w:t>
      </w:r>
      <w:r>
        <w:rPr>
          <w:rFonts w:hint="eastAsia" w:ascii="仿宋" w:hAnsi="仿宋" w:eastAsia="仿宋" w:cs="仿宋"/>
          <w:bCs/>
          <w:color w:val="auto"/>
          <w:sz w:val="24"/>
          <w:lang w:val="en-US" w:eastAsia="zh-CN"/>
        </w:rPr>
        <w:t>公款竞争性存放</w:t>
      </w:r>
      <w:r>
        <w:rPr>
          <w:rFonts w:hint="eastAsia" w:ascii="仿宋" w:hAnsi="仿宋" w:eastAsia="仿宋" w:cs="仿宋"/>
          <w:bCs/>
          <w:color w:val="auto"/>
          <w:sz w:val="24"/>
        </w:rPr>
        <w:t>银行，中标人须明确指定提供服务的唯一服务网点；</w:t>
      </w:r>
    </w:p>
    <w:p w14:paraId="5DD7A244">
      <w:pPr>
        <w:keepNext w:val="0"/>
        <w:keepLines w:val="0"/>
        <w:pageBreakBefore w:val="0"/>
        <w:widowControl/>
        <w:kinsoku/>
        <w:wordWrap/>
        <w:overflowPunct/>
        <w:topLinePunct w:val="0"/>
        <w:bidi w:val="0"/>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3.2</w:t>
      </w:r>
      <w:r>
        <w:rPr>
          <w:rFonts w:hint="eastAsia" w:ascii="仿宋" w:hAnsi="仿宋" w:eastAsia="仿宋" w:cs="仿宋"/>
          <w:b/>
          <w:bCs/>
          <w:color w:val="auto"/>
          <w:sz w:val="24"/>
        </w:rPr>
        <w:t>中标银行需提供上门服务，</w:t>
      </w:r>
      <w:r>
        <w:rPr>
          <w:rFonts w:hint="eastAsia" w:ascii="仿宋" w:hAnsi="仿宋" w:eastAsia="仿宋" w:cs="仿宋"/>
          <w:bCs/>
          <w:color w:val="auto"/>
          <w:sz w:val="24"/>
        </w:rPr>
        <w:t>中标投标人设立专人专线为招标人提供帐号的查询及管理工作；</w:t>
      </w:r>
    </w:p>
    <w:p w14:paraId="459D0323">
      <w:pPr>
        <w:keepNext w:val="0"/>
        <w:keepLines w:val="0"/>
        <w:pageBreakBefore w:val="0"/>
        <w:widowControl/>
        <w:kinsoku/>
        <w:wordWrap/>
        <w:overflowPunct/>
        <w:topLinePunct w:val="0"/>
        <w:bidi w:val="0"/>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3.3考虑到资金支付等需求，若政策有变化或招标方另有需要，以招标方要求为准，中标投标人需无条件保证招标人支取存款自由。</w:t>
      </w:r>
    </w:p>
    <w:p w14:paraId="5E9CE84E">
      <w:pPr>
        <w:keepNext w:val="0"/>
        <w:keepLines w:val="0"/>
        <w:pageBreakBefore w:val="0"/>
        <w:widowControl/>
        <w:kinsoku/>
        <w:wordWrap/>
        <w:overflowPunct/>
        <w:topLinePunct w:val="0"/>
        <w:bidi w:val="0"/>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3.4中标单位出现以下情形之一的，招标人有权终止合同且招标人所受一切损失由投标人全权承担。</w:t>
      </w:r>
    </w:p>
    <w:p w14:paraId="239343BD">
      <w:pPr>
        <w:keepNext w:val="0"/>
        <w:keepLines w:val="0"/>
        <w:pageBreakBefore w:val="0"/>
        <w:widowControl/>
        <w:kinsoku/>
        <w:wordWrap/>
        <w:overflowPunct/>
        <w:topLinePunct w:val="0"/>
        <w:bidi w:val="0"/>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① 出现资金安全事故、重大违法违规情况或财务恶化。</w:t>
      </w:r>
    </w:p>
    <w:p w14:paraId="7FD15357">
      <w:pPr>
        <w:keepNext w:val="0"/>
        <w:keepLines w:val="0"/>
        <w:pageBreakBefore w:val="0"/>
        <w:widowControl/>
        <w:kinsoku/>
        <w:wordWrap/>
        <w:overflowPunct/>
        <w:topLinePunct w:val="0"/>
        <w:bidi w:val="0"/>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② 监管评级降低，监管部门认为存在较大运营风险。</w:t>
      </w:r>
    </w:p>
    <w:p w14:paraId="75303E96">
      <w:pPr>
        <w:keepNext w:val="0"/>
        <w:keepLines w:val="0"/>
        <w:pageBreakBefore w:val="0"/>
        <w:widowControl/>
        <w:kinsoku/>
        <w:wordWrap/>
        <w:overflowPunct/>
        <w:topLinePunct w:val="0"/>
        <w:bidi w:val="0"/>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③ 进行严重不正当投标。</w:t>
      </w:r>
    </w:p>
    <w:p w14:paraId="54D02E2A">
      <w:pPr>
        <w:keepNext w:val="0"/>
        <w:keepLines w:val="0"/>
        <w:pageBreakBefore w:val="0"/>
        <w:widowControl/>
        <w:kinsoku/>
        <w:wordWrap/>
        <w:overflowPunct/>
        <w:topLinePunct w:val="0"/>
        <w:bidi w:val="0"/>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④ 未按照中标协议承诺履行相应的责任和义务。</w:t>
      </w:r>
    </w:p>
    <w:p w14:paraId="0CDCAD48">
      <w:pPr>
        <w:keepNext w:val="0"/>
        <w:keepLines w:val="0"/>
        <w:pageBreakBefore w:val="0"/>
        <w:widowControl/>
        <w:kinsoku/>
        <w:wordWrap/>
        <w:overflowPunct/>
        <w:topLinePunct w:val="0"/>
        <w:bidi w:val="0"/>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⑤ 擅自降低服务条件和服务内容的。</w:t>
      </w:r>
    </w:p>
    <w:p w14:paraId="3EB681AA">
      <w:pPr>
        <w:keepNext w:val="0"/>
        <w:keepLines w:val="0"/>
        <w:pageBreakBefore w:val="0"/>
        <w:widowControl/>
        <w:kinsoku/>
        <w:wordWrap/>
        <w:overflowPunct/>
        <w:topLinePunct w:val="0"/>
        <w:bidi w:val="0"/>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⑥ 出现银行挤兑、存款被盗或其他可能妨害公款安全的情况。</w:t>
      </w:r>
    </w:p>
    <w:p w14:paraId="3F88C732">
      <w:pPr>
        <w:pStyle w:val="2"/>
        <w:keepNext w:val="0"/>
        <w:keepLines w:val="0"/>
        <w:pageBreakBefore w:val="0"/>
        <w:kinsoku/>
        <w:wordWrap/>
        <w:overflowPunct/>
        <w:topLinePunct w:val="0"/>
        <w:bidi w:val="0"/>
        <w:spacing w:line="360" w:lineRule="auto"/>
        <w:textAlignment w:val="auto"/>
        <w:rPr>
          <w:color w:val="auto"/>
        </w:rPr>
      </w:pPr>
    </w:p>
    <w:p w14:paraId="41B4397E">
      <w:pPr>
        <w:pStyle w:val="2"/>
        <w:keepNext w:val="0"/>
        <w:keepLines w:val="0"/>
        <w:pageBreakBefore w:val="0"/>
        <w:kinsoku/>
        <w:wordWrap/>
        <w:overflowPunct/>
        <w:topLinePunct w:val="0"/>
        <w:bidi w:val="0"/>
        <w:spacing w:line="360" w:lineRule="auto"/>
        <w:textAlignment w:val="auto"/>
        <w:rPr>
          <w:color w:val="auto"/>
        </w:rPr>
      </w:pPr>
    </w:p>
    <w:p w14:paraId="2875E1DE">
      <w:pPr>
        <w:pStyle w:val="2"/>
        <w:keepNext w:val="0"/>
        <w:keepLines w:val="0"/>
        <w:pageBreakBefore w:val="0"/>
        <w:kinsoku/>
        <w:wordWrap/>
        <w:overflowPunct/>
        <w:topLinePunct w:val="0"/>
        <w:bidi w:val="0"/>
        <w:spacing w:line="360" w:lineRule="auto"/>
        <w:textAlignment w:val="auto"/>
        <w:rPr>
          <w:color w:val="auto"/>
        </w:rPr>
      </w:pPr>
    </w:p>
    <w:p w14:paraId="47D86205">
      <w:pPr>
        <w:pStyle w:val="2"/>
        <w:keepNext w:val="0"/>
        <w:keepLines w:val="0"/>
        <w:pageBreakBefore w:val="0"/>
        <w:kinsoku/>
        <w:wordWrap/>
        <w:overflowPunct/>
        <w:topLinePunct w:val="0"/>
        <w:bidi w:val="0"/>
        <w:spacing w:line="360" w:lineRule="auto"/>
        <w:textAlignment w:val="auto"/>
        <w:rPr>
          <w:color w:val="auto"/>
        </w:rPr>
      </w:pPr>
    </w:p>
    <w:p w14:paraId="62D42C56">
      <w:pPr>
        <w:pStyle w:val="2"/>
        <w:keepNext w:val="0"/>
        <w:keepLines w:val="0"/>
        <w:pageBreakBefore w:val="0"/>
        <w:kinsoku/>
        <w:wordWrap/>
        <w:overflowPunct/>
        <w:topLinePunct w:val="0"/>
        <w:bidi w:val="0"/>
        <w:spacing w:line="360" w:lineRule="auto"/>
        <w:textAlignment w:val="auto"/>
        <w:rPr>
          <w:color w:val="auto"/>
        </w:rPr>
      </w:pPr>
    </w:p>
    <w:p w14:paraId="274E4D34">
      <w:pPr>
        <w:pStyle w:val="2"/>
        <w:keepNext w:val="0"/>
        <w:keepLines w:val="0"/>
        <w:pageBreakBefore w:val="0"/>
        <w:kinsoku/>
        <w:wordWrap/>
        <w:overflowPunct/>
        <w:topLinePunct w:val="0"/>
        <w:bidi w:val="0"/>
        <w:spacing w:line="360" w:lineRule="auto"/>
        <w:textAlignment w:val="auto"/>
        <w:rPr>
          <w:color w:val="auto"/>
        </w:rPr>
      </w:pPr>
    </w:p>
    <w:p w14:paraId="0D10EAAC">
      <w:pPr>
        <w:pStyle w:val="2"/>
        <w:keepNext w:val="0"/>
        <w:keepLines w:val="0"/>
        <w:pageBreakBefore w:val="0"/>
        <w:kinsoku/>
        <w:wordWrap/>
        <w:overflowPunct/>
        <w:topLinePunct w:val="0"/>
        <w:bidi w:val="0"/>
        <w:spacing w:line="360" w:lineRule="auto"/>
        <w:textAlignment w:val="auto"/>
        <w:rPr>
          <w:color w:val="auto"/>
        </w:rPr>
      </w:pPr>
    </w:p>
    <w:p w14:paraId="2DA40D05">
      <w:pPr>
        <w:pStyle w:val="2"/>
        <w:keepNext w:val="0"/>
        <w:keepLines w:val="0"/>
        <w:pageBreakBefore w:val="0"/>
        <w:kinsoku/>
        <w:wordWrap/>
        <w:overflowPunct/>
        <w:topLinePunct w:val="0"/>
        <w:bidi w:val="0"/>
        <w:spacing w:line="360" w:lineRule="auto"/>
        <w:textAlignment w:val="auto"/>
        <w:rPr>
          <w:color w:val="auto"/>
        </w:rPr>
      </w:pPr>
    </w:p>
    <w:p w14:paraId="20CDC589">
      <w:pPr>
        <w:pStyle w:val="2"/>
        <w:keepNext w:val="0"/>
        <w:keepLines w:val="0"/>
        <w:pageBreakBefore w:val="0"/>
        <w:kinsoku/>
        <w:wordWrap/>
        <w:overflowPunct/>
        <w:topLinePunct w:val="0"/>
        <w:bidi w:val="0"/>
        <w:spacing w:line="360" w:lineRule="auto"/>
        <w:textAlignment w:val="auto"/>
        <w:rPr>
          <w:color w:val="auto"/>
        </w:rPr>
      </w:pPr>
    </w:p>
    <w:p w14:paraId="15C17ED2">
      <w:pPr>
        <w:pStyle w:val="2"/>
        <w:keepNext w:val="0"/>
        <w:keepLines w:val="0"/>
        <w:pageBreakBefore w:val="0"/>
        <w:kinsoku/>
        <w:wordWrap/>
        <w:overflowPunct/>
        <w:topLinePunct w:val="0"/>
        <w:bidi w:val="0"/>
        <w:spacing w:line="360" w:lineRule="auto"/>
        <w:textAlignment w:val="auto"/>
        <w:rPr>
          <w:color w:val="auto"/>
        </w:rPr>
      </w:pPr>
    </w:p>
    <w:p w14:paraId="62276182">
      <w:pPr>
        <w:pStyle w:val="2"/>
        <w:keepNext w:val="0"/>
        <w:keepLines w:val="0"/>
        <w:pageBreakBefore w:val="0"/>
        <w:kinsoku/>
        <w:wordWrap/>
        <w:overflowPunct/>
        <w:topLinePunct w:val="0"/>
        <w:bidi w:val="0"/>
        <w:spacing w:line="360" w:lineRule="auto"/>
        <w:textAlignment w:val="auto"/>
        <w:rPr>
          <w:color w:val="auto"/>
        </w:rPr>
      </w:pPr>
    </w:p>
    <w:p w14:paraId="1F8F4265">
      <w:pPr>
        <w:pStyle w:val="2"/>
        <w:keepNext w:val="0"/>
        <w:keepLines w:val="0"/>
        <w:pageBreakBefore w:val="0"/>
        <w:kinsoku/>
        <w:wordWrap/>
        <w:overflowPunct/>
        <w:topLinePunct w:val="0"/>
        <w:bidi w:val="0"/>
        <w:spacing w:line="360" w:lineRule="auto"/>
        <w:textAlignment w:val="auto"/>
        <w:rPr>
          <w:color w:val="auto"/>
        </w:rPr>
      </w:pPr>
    </w:p>
    <w:p w14:paraId="5D6DDE6F">
      <w:pPr>
        <w:pStyle w:val="2"/>
        <w:keepNext w:val="0"/>
        <w:keepLines w:val="0"/>
        <w:pageBreakBefore w:val="0"/>
        <w:kinsoku/>
        <w:wordWrap/>
        <w:overflowPunct/>
        <w:topLinePunct w:val="0"/>
        <w:bidi w:val="0"/>
        <w:spacing w:line="360" w:lineRule="auto"/>
        <w:textAlignment w:val="auto"/>
        <w:rPr>
          <w:color w:val="auto"/>
        </w:rPr>
      </w:pPr>
    </w:p>
    <w:p w14:paraId="0814B691">
      <w:pPr>
        <w:pStyle w:val="2"/>
        <w:keepNext w:val="0"/>
        <w:keepLines w:val="0"/>
        <w:pageBreakBefore w:val="0"/>
        <w:kinsoku/>
        <w:wordWrap/>
        <w:overflowPunct/>
        <w:topLinePunct w:val="0"/>
        <w:bidi w:val="0"/>
        <w:spacing w:line="360" w:lineRule="auto"/>
        <w:textAlignment w:val="auto"/>
        <w:rPr>
          <w:color w:val="auto"/>
        </w:rPr>
      </w:pPr>
    </w:p>
    <w:p w14:paraId="0EB1620B">
      <w:pPr>
        <w:pStyle w:val="2"/>
        <w:keepNext w:val="0"/>
        <w:keepLines w:val="0"/>
        <w:pageBreakBefore w:val="0"/>
        <w:kinsoku/>
        <w:wordWrap/>
        <w:overflowPunct/>
        <w:topLinePunct w:val="0"/>
        <w:bidi w:val="0"/>
        <w:spacing w:line="360" w:lineRule="auto"/>
        <w:textAlignment w:val="auto"/>
        <w:rPr>
          <w:color w:val="auto"/>
        </w:rPr>
      </w:pPr>
    </w:p>
    <w:p w14:paraId="4EFBB9E7">
      <w:pPr>
        <w:pStyle w:val="2"/>
        <w:keepNext w:val="0"/>
        <w:keepLines w:val="0"/>
        <w:pageBreakBefore w:val="0"/>
        <w:kinsoku/>
        <w:wordWrap/>
        <w:overflowPunct/>
        <w:topLinePunct w:val="0"/>
        <w:bidi w:val="0"/>
        <w:spacing w:line="360" w:lineRule="auto"/>
        <w:textAlignment w:val="auto"/>
        <w:rPr>
          <w:color w:val="auto"/>
        </w:rPr>
      </w:pPr>
    </w:p>
    <w:p w14:paraId="76104E9E">
      <w:pPr>
        <w:pStyle w:val="2"/>
        <w:keepNext w:val="0"/>
        <w:keepLines w:val="0"/>
        <w:pageBreakBefore w:val="0"/>
        <w:kinsoku/>
        <w:wordWrap/>
        <w:overflowPunct/>
        <w:topLinePunct w:val="0"/>
        <w:bidi w:val="0"/>
        <w:spacing w:line="360" w:lineRule="auto"/>
        <w:textAlignment w:val="auto"/>
        <w:rPr>
          <w:color w:val="auto"/>
        </w:rPr>
      </w:pPr>
    </w:p>
    <w:p w14:paraId="01B5B4AD">
      <w:pPr>
        <w:keepNext w:val="0"/>
        <w:keepLines w:val="0"/>
        <w:pageBreakBefore w:val="0"/>
        <w:kinsoku/>
        <w:wordWrap/>
        <w:overflowPunct/>
        <w:topLinePunct w:val="0"/>
        <w:bidi w:val="0"/>
        <w:spacing w:line="360" w:lineRule="auto"/>
        <w:ind w:firstLine="720"/>
        <w:jc w:val="center"/>
        <w:textAlignment w:val="auto"/>
        <w:outlineLvl w:val="0"/>
        <w:rPr>
          <w:rFonts w:ascii="仿宋" w:hAnsi="仿宋" w:eastAsia="仿宋" w:cs="仿宋"/>
          <w:color w:val="auto"/>
          <w:sz w:val="36"/>
          <w:szCs w:val="36"/>
        </w:rPr>
      </w:pPr>
      <w:bookmarkStart w:id="2" w:name="_Toc24683"/>
      <w:r>
        <w:rPr>
          <w:rFonts w:hint="eastAsia" w:ascii="仿宋" w:hAnsi="仿宋" w:eastAsia="仿宋" w:cs="仿宋"/>
          <w:color w:val="auto"/>
          <w:sz w:val="36"/>
          <w:szCs w:val="36"/>
        </w:rPr>
        <w:t>第三章评标方法、评标标准和废标条款</w:t>
      </w:r>
      <w:bookmarkEnd w:id="2"/>
    </w:p>
    <w:p w14:paraId="2945C3C4">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1、开标：</w:t>
      </w:r>
    </w:p>
    <w:p w14:paraId="19470D4F">
      <w:pPr>
        <w:keepNext w:val="0"/>
        <w:keepLines w:val="0"/>
        <w:pageBreakBefore w:val="0"/>
        <w:kinsoku/>
        <w:wordWrap/>
        <w:overflowPunct/>
        <w:topLinePunct w:val="0"/>
        <w:bidi w:val="0"/>
        <w:spacing w:line="360" w:lineRule="auto"/>
        <w:ind w:firstLine="472" w:firstLineChars="197"/>
        <w:textAlignment w:val="auto"/>
        <w:rPr>
          <w:rFonts w:ascii="仿宋" w:hAnsi="仿宋" w:eastAsia="仿宋" w:cs="仿宋"/>
          <w:color w:val="auto"/>
          <w:sz w:val="24"/>
        </w:rPr>
      </w:pPr>
      <w:r>
        <w:rPr>
          <w:rFonts w:hint="eastAsia" w:ascii="仿宋" w:hAnsi="仿宋" w:eastAsia="仿宋" w:cs="仿宋"/>
          <w:color w:val="auto"/>
          <w:sz w:val="24"/>
        </w:rPr>
        <w:t>1.1</w:t>
      </w:r>
      <w:r>
        <w:rPr>
          <w:rFonts w:hint="eastAsia" w:ascii="仿宋" w:hAnsi="仿宋" w:eastAsia="仿宋" w:cs="仿宋"/>
          <w:b/>
          <w:color w:val="auto"/>
          <w:sz w:val="24"/>
        </w:rPr>
        <w:t>在投标截止时间前按规定提交投标文件的投标人在</w:t>
      </w:r>
      <w:r>
        <w:rPr>
          <w:rFonts w:hint="eastAsia" w:ascii="仿宋" w:hAnsi="仿宋" w:eastAsia="仿宋" w:cs="仿宋"/>
          <w:b/>
          <w:color w:val="auto"/>
          <w:sz w:val="24"/>
          <w:u w:val="single"/>
        </w:rPr>
        <w:t>三</w:t>
      </w:r>
      <w:r>
        <w:rPr>
          <w:rFonts w:hint="eastAsia" w:ascii="仿宋" w:hAnsi="仿宋" w:eastAsia="仿宋" w:cs="仿宋"/>
          <w:b/>
          <w:color w:val="auto"/>
          <w:sz w:val="24"/>
        </w:rPr>
        <w:t>家及以上的</w:t>
      </w:r>
      <w:r>
        <w:rPr>
          <w:rFonts w:hint="eastAsia" w:ascii="仿宋" w:hAnsi="仿宋" w:eastAsia="仿宋" w:cs="仿宋"/>
          <w:color w:val="auto"/>
          <w:sz w:val="24"/>
        </w:rPr>
        <w:t>，由采购人组织进行开标。</w:t>
      </w:r>
    </w:p>
    <w:p w14:paraId="6376511F">
      <w:pPr>
        <w:keepNext w:val="0"/>
        <w:keepLines w:val="0"/>
        <w:pageBreakBefore w:val="0"/>
        <w:kinsoku/>
        <w:wordWrap/>
        <w:overflowPunct/>
        <w:topLinePunct w:val="0"/>
        <w:bidi w:val="0"/>
        <w:spacing w:line="360" w:lineRule="auto"/>
        <w:ind w:firstLine="472" w:firstLineChars="197"/>
        <w:textAlignment w:val="auto"/>
        <w:rPr>
          <w:rFonts w:ascii="仿宋" w:hAnsi="仿宋" w:eastAsia="仿宋" w:cs="仿宋"/>
          <w:color w:val="auto"/>
          <w:sz w:val="24"/>
        </w:rPr>
      </w:pPr>
      <w:r>
        <w:rPr>
          <w:rFonts w:hint="eastAsia" w:ascii="仿宋" w:hAnsi="仿宋" w:eastAsia="仿宋" w:cs="仿宋"/>
          <w:color w:val="auto"/>
          <w:sz w:val="24"/>
        </w:rPr>
        <w:t>1.2采购人按采购文件规定的时间和地点公开开标。开标会由采购人主持，采购人代表、评委及有关工作人员参加。</w:t>
      </w:r>
    </w:p>
    <w:p w14:paraId="7A7B82D3">
      <w:pPr>
        <w:keepNext w:val="0"/>
        <w:keepLines w:val="0"/>
        <w:pageBreakBefore w:val="0"/>
        <w:kinsoku/>
        <w:wordWrap/>
        <w:overflowPunct/>
        <w:topLinePunct w:val="0"/>
        <w:bidi w:val="0"/>
        <w:spacing w:line="360" w:lineRule="auto"/>
        <w:ind w:firstLine="472" w:firstLineChars="197"/>
        <w:textAlignment w:val="auto"/>
        <w:rPr>
          <w:rFonts w:ascii="仿宋" w:hAnsi="仿宋" w:eastAsia="仿宋" w:cs="仿宋"/>
          <w:color w:val="auto"/>
          <w:sz w:val="24"/>
        </w:rPr>
      </w:pPr>
      <w:r>
        <w:rPr>
          <w:rFonts w:hint="eastAsia" w:ascii="仿宋" w:hAnsi="仿宋" w:eastAsia="仿宋" w:cs="仿宋"/>
          <w:color w:val="auto"/>
          <w:sz w:val="24"/>
        </w:rPr>
        <w:t>1.3开标时，由采购人检查投标文件的密封情况及对投标人资格进行审查。</w:t>
      </w:r>
    </w:p>
    <w:p w14:paraId="7A325B6C">
      <w:pPr>
        <w:keepNext w:val="0"/>
        <w:keepLines w:val="0"/>
        <w:pageBreakBefore w:val="0"/>
        <w:kinsoku/>
        <w:wordWrap/>
        <w:overflowPunct/>
        <w:topLinePunct w:val="0"/>
        <w:bidi w:val="0"/>
        <w:spacing w:line="360" w:lineRule="auto"/>
        <w:ind w:firstLine="475" w:firstLineChars="197"/>
        <w:textAlignment w:val="auto"/>
        <w:rPr>
          <w:rFonts w:ascii="仿宋" w:hAnsi="仿宋" w:eastAsia="仿宋" w:cs="仿宋"/>
          <w:b/>
          <w:color w:val="auto"/>
          <w:sz w:val="24"/>
          <w:u w:val="single"/>
        </w:rPr>
      </w:pPr>
      <w:r>
        <w:rPr>
          <w:rFonts w:hint="eastAsia" w:ascii="仿宋" w:hAnsi="仿宋" w:eastAsia="仿宋" w:cs="仿宋"/>
          <w:b/>
          <w:color w:val="auto"/>
          <w:sz w:val="24"/>
          <w:u w:val="single"/>
        </w:rPr>
        <w:t>1.4开标顺序为：先查验资信证明文件、其次开商务技术标，最后开价格标。资格（资信）证明文件、商务技术标经过评标委员会评审未获通过的，价格标将不再开启。</w:t>
      </w:r>
    </w:p>
    <w:p w14:paraId="710CB459">
      <w:pPr>
        <w:keepNext w:val="0"/>
        <w:keepLines w:val="0"/>
        <w:pageBreakBefore w:val="0"/>
        <w:numPr>
          <w:ilvl w:val="0"/>
          <w:numId w:val="1"/>
        </w:numPr>
        <w:kinsoku/>
        <w:wordWrap/>
        <w:overflowPunct/>
        <w:topLinePunct w:val="0"/>
        <w:autoSpaceDE w:val="0"/>
        <w:autoSpaceDN w:val="0"/>
        <w:bidi w:val="0"/>
        <w:adjustRightIn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评标：由评标委员会根据招标文件评分条款对投标单位编制的投标文件进行评审。</w:t>
      </w:r>
    </w:p>
    <w:p w14:paraId="0E656315">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3、定标方式：综合评分法</w:t>
      </w:r>
    </w:p>
    <w:p w14:paraId="4AA1E187">
      <w:pPr>
        <w:keepNext w:val="0"/>
        <w:keepLines w:val="0"/>
        <w:pageBreakBefore w:val="0"/>
        <w:kinsoku/>
        <w:wordWrap/>
        <w:overflowPunct/>
        <w:topLinePunct w:val="0"/>
        <w:autoSpaceDE w:val="0"/>
        <w:autoSpaceDN w:val="0"/>
        <w:bidi w:val="0"/>
        <w:adjustRightInd w:val="0"/>
        <w:spacing w:line="360" w:lineRule="auto"/>
        <w:ind w:firstLine="480"/>
        <w:textAlignment w:val="auto"/>
        <w:rPr>
          <w:rFonts w:ascii="仿宋" w:hAnsi="仿宋" w:eastAsia="仿宋" w:cs="仿宋"/>
          <w:color w:val="auto"/>
          <w:sz w:val="24"/>
          <w:u w:val="single"/>
          <w:lang w:val="zh-CN"/>
        </w:rPr>
      </w:pPr>
      <w:r>
        <w:rPr>
          <w:rFonts w:hint="eastAsia" w:ascii="仿宋" w:hAnsi="仿宋" w:eastAsia="仿宋" w:cs="仿宋"/>
          <w:color w:val="auto"/>
          <w:sz w:val="24"/>
        </w:rPr>
        <w:t>3.1经评标委员会综合评定后，以总得分最高者为第一中标候选人，若最高总得分出现并列时，以报价高者为第一中标候选人；总得分与报价均相同的，由采购人当场随机抽取产生第一中标候选人。</w:t>
      </w:r>
    </w:p>
    <w:p w14:paraId="0376AADC">
      <w:pPr>
        <w:keepNext w:val="0"/>
        <w:keepLines w:val="0"/>
        <w:pageBreakBefore w:val="0"/>
        <w:kinsoku/>
        <w:wordWrap/>
        <w:overflowPunct/>
        <w:topLinePunct w:val="0"/>
        <w:bidi w:val="0"/>
        <w:spacing w:line="360" w:lineRule="auto"/>
        <w:ind w:firstLine="472" w:firstLineChars="197"/>
        <w:textAlignment w:val="auto"/>
        <w:rPr>
          <w:rFonts w:ascii="仿宋" w:hAnsi="仿宋" w:eastAsia="仿宋" w:cs="仿宋"/>
          <w:color w:val="auto"/>
          <w:sz w:val="24"/>
        </w:rPr>
      </w:pPr>
      <w:r>
        <w:rPr>
          <w:rFonts w:hint="eastAsia" w:ascii="仿宋" w:hAnsi="仿宋" w:eastAsia="仿宋" w:cs="仿宋"/>
          <w:color w:val="auto"/>
          <w:sz w:val="24"/>
        </w:rPr>
        <w:t>4、定标：按本采购文件“定标方式”规定确定中标者。</w:t>
      </w:r>
    </w:p>
    <w:p w14:paraId="19A5CA09">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5、出现下列情形之一的，采购人将予以废标。</w:t>
      </w:r>
    </w:p>
    <w:p w14:paraId="787BB373">
      <w:pPr>
        <w:keepNext w:val="0"/>
        <w:keepLines w:val="0"/>
        <w:pageBreakBefore w:val="0"/>
        <w:kinsoku/>
        <w:wordWrap/>
        <w:overflowPunct/>
        <w:topLinePunct w:val="0"/>
        <w:bidi w:val="0"/>
        <w:spacing w:line="360" w:lineRule="auto"/>
        <w:ind w:firstLine="482" w:firstLineChars="200"/>
        <w:textAlignment w:val="auto"/>
        <w:rPr>
          <w:rFonts w:ascii="仿宋" w:hAnsi="仿宋" w:eastAsia="仿宋" w:cs="仿宋"/>
          <w:b/>
          <w:color w:val="auto"/>
          <w:sz w:val="24"/>
          <w:u w:val="single"/>
        </w:rPr>
      </w:pPr>
      <w:r>
        <w:rPr>
          <w:rFonts w:hint="eastAsia" w:ascii="仿宋" w:hAnsi="仿宋" w:eastAsia="仿宋" w:cs="仿宋"/>
          <w:b/>
          <w:color w:val="auto"/>
          <w:sz w:val="24"/>
          <w:u w:val="single"/>
        </w:rPr>
        <w:t>5.1在投标截止时间前，按规定提交投标文件的投标人不足三家的；</w:t>
      </w:r>
    </w:p>
    <w:p w14:paraId="4F7DA816">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5.2投标人的报价（BP）未按照招标人的要求填写的；</w:t>
      </w:r>
    </w:p>
    <w:p w14:paraId="730DA843">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5.3出现影响采购公正的违法、违规行为的。</w:t>
      </w:r>
    </w:p>
    <w:p w14:paraId="0FC1FAF7">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6、采购人不向投标人解释未中标的原因，不退还投标文件。</w:t>
      </w:r>
    </w:p>
    <w:p w14:paraId="2817B833">
      <w:pPr>
        <w:keepNext w:val="0"/>
        <w:keepLines w:val="0"/>
        <w:pageBreakBefore w:val="0"/>
        <w:kinsoku/>
        <w:wordWrap/>
        <w:overflowPunct/>
        <w:topLinePunct w:val="0"/>
        <w:bidi w:val="0"/>
        <w:spacing w:line="360" w:lineRule="auto"/>
        <w:ind w:firstLine="472" w:firstLineChars="197"/>
        <w:textAlignment w:val="auto"/>
        <w:rPr>
          <w:rFonts w:ascii="仿宋" w:hAnsi="仿宋" w:eastAsia="仿宋" w:cs="仿宋"/>
          <w:color w:val="auto"/>
          <w:sz w:val="24"/>
        </w:rPr>
      </w:pPr>
      <w:r>
        <w:rPr>
          <w:rFonts w:hint="eastAsia" w:ascii="仿宋" w:hAnsi="仿宋" w:eastAsia="仿宋" w:cs="仿宋"/>
          <w:color w:val="auto"/>
          <w:sz w:val="24"/>
        </w:rPr>
        <w:t>7、投标文件有下列情况之一，经认定属未实质性响应采购文件的，将视为无效：</w:t>
      </w:r>
    </w:p>
    <w:p w14:paraId="2A94CD07">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7.1投标文件正本或正本的开标一览表（报价表）未加盖投标人公章的；</w:t>
      </w:r>
    </w:p>
    <w:p w14:paraId="0D89834B">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7.2未按采购文件规定填写，内容不全或关键字迹模糊、无法辨认的；</w:t>
      </w:r>
    </w:p>
    <w:p w14:paraId="543ED71C">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7.3投标人递交两份或多份内容不同的投标文件，或在一份投标文件中对同一招标项目报有两个或多个报价，且未声明哪一个有效；</w:t>
      </w:r>
    </w:p>
    <w:p w14:paraId="64FFD07F">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7.4投标人名称或组织机构与资格预审时不一致的；</w:t>
      </w:r>
    </w:p>
    <w:p w14:paraId="2D66F52F">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7.5未按采购文件要求提交投标保证金的；</w:t>
      </w:r>
    </w:p>
    <w:p w14:paraId="6C49F4E1">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7.6投标文件未按采购文件要求封装、提交的。</w:t>
      </w:r>
    </w:p>
    <w:p w14:paraId="2E172AA3">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7.7</w:t>
      </w:r>
      <w:r>
        <w:rPr>
          <w:rFonts w:hint="eastAsia" w:ascii="仿宋" w:hAnsi="仿宋" w:eastAsia="仿宋" w:cs="仿宋"/>
          <w:color w:val="auto"/>
          <w:sz w:val="24"/>
          <w:lang w:eastAsia="zh-CN"/>
        </w:rPr>
        <w:t>不</w:t>
      </w:r>
      <w:r>
        <w:rPr>
          <w:rFonts w:hint="eastAsia" w:ascii="仿宋" w:hAnsi="仿宋" w:eastAsia="仿宋" w:cs="仿宋"/>
          <w:color w:val="auto"/>
          <w:sz w:val="24"/>
        </w:rPr>
        <w:t>具备采购文件中规定资格要求或未按采购文件要求提供资格、资信证明文件的。</w:t>
      </w:r>
    </w:p>
    <w:p w14:paraId="16DFDD23">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7.8不符合法律、法规和采购文件中规定的其他实质性要求的。</w:t>
      </w:r>
    </w:p>
    <w:p w14:paraId="7AA2B498">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8、采购代理机构应当在评标结束后五个工作日内将评标报告送采购人。</w:t>
      </w:r>
    </w:p>
    <w:p w14:paraId="035BBB7C">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9、中标单位因不可抗力或者自身原因不能履行政府采购合同的，采购人可以重新采购。</w:t>
      </w:r>
    </w:p>
    <w:p w14:paraId="53512807">
      <w:pPr>
        <w:keepNext w:val="0"/>
        <w:keepLines w:val="0"/>
        <w:pageBreakBefore w:val="0"/>
        <w:kinsoku/>
        <w:wordWrap/>
        <w:overflowPunct/>
        <w:topLinePunct w:val="0"/>
        <w:bidi w:val="0"/>
        <w:spacing w:line="360" w:lineRule="auto"/>
        <w:ind w:firstLine="560" w:firstLineChars="200"/>
        <w:textAlignment w:val="auto"/>
        <w:rPr>
          <w:rFonts w:ascii="仿宋" w:hAnsi="仿宋" w:eastAsia="仿宋" w:cs="仿宋"/>
          <w:color w:val="auto"/>
          <w:sz w:val="28"/>
          <w:szCs w:val="28"/>
        </w:rPr>
      </w:pPr>
    </w:p>
    <w:p w14:paraId="63B5F208">
      <w:pPr>
        <w:spacing w:line="520" w:lineRule="exact"/>
        <w:ind w:firstLine="560" w:firstLineChars="200"/>
        <w:rPr>
          <w:rFonts w:ascii="仿宋" w:hAnsi="仿宋" w:eastAsia="仿宋" w:cs="仿宋"/>
          <w:color w:val="auto"/>
          <w:sz w:val="28"/>
          <w:szCs w:val="28"/>
        </w:rPr>
      </w:pPr>
    </w:p>
    <w:p w14:paraId="4008FBE6">
      <w:pPr>
        <w:spacing w:line="520" w:lineRule="exact"/>
        <w:ind w:firstLine="560" w:firstLineChars="200"/>
        <w:rPr>
          <w:rFonts w:ascii="仿宋" w:hAnsi="仿宋" w:eastAsia="仿宋" w:cs="仿宋"/>
          <w:color w:val="auto"/>
          <w:sz w:val="28"/>
          <w:szCs w:val="28"/>
        </w:rPr>
      </w:pPr>
    </w:p>
    <w:p w14:paraId="1BA6C994">
      <w:pPr>
        <w:spacing w:line="520" w:lineRule="exact"/>
        <w:ind w:firstLine="560" w:firstLineChars="200"/>
        <w:rPr>
          <w:rFonts w:ascii="仿宋" w:hAnsi="仿宋" w:eastAsia="仿宋" w:cs="仿宋"/>
          <w:color w:val="auto"/>
          <w:sz w:val="28"/>
          <w:szCs w:val="28"/>
        </w:rPr>
      </w:pPr>
    </w:p>
    <w:p w14:paraId="7AC92821">
      <w:pPr>
        <w:spacing w:line="520" w:lineRule="exact"/>
        <w:ind w:firstLine="560" w:firstLineChars="200"/>
        <w:rPr>
          <w:rFonts w:ascii="仿宋" w:hAnsi="仿宋" w:eastAsia="仿宋" w:cs="仿宋"/>
          <w:color w:val="auto"/>
          <w:sz w:val="28"/>
          <w:szCs w:val="28"/>
        </w:rPr>
      </w:pPr>
    </w:p>
    <w:p w14:paraId="427806A8">
      <w:pPr>
        <w:spacing w:line="520" w:lineRule="exact"/>
        <w:ind w:firstLine="560" w:firstLineChars="200"/>
        <w:rPr>
          <w:rFonts w:ascii="仿宋" w:hAnsi="仿宋" w:eastAsia="仿宋" w:cs="仿宋"/>
          <w:color w:val="auto"/>
          <w:sz w:val="28"/>
          <w:szCs w:val="28"/>
        </w:rPr>
      </w:pPr>
    </w:p>
    <w:p w14:paraId="50AB7206">
      <w:pPr>
        <w:pStyle w:val="2"/>
        <w:rPr>
          <w:rFonts w:ascii="仿宋" w:hAnsi="仿宋" w:eastAsia="仿宋" w:cs="仿宋"/>
          <w:color w:val="auto"/>
          <w:sz w:val="28"/>
          <w:szCs w:val="28"/>
        </w:rPr>
      </w:pPr>
    </w:p>
    <w:p w14:paraId="3B3A9A73">
      <w:pPr>
        <w:pStyle w:val="2"/>
        <w:rPr>
          <w:rFonts w:ascii="仿宋" w:hAnsi="仿宋" w:eastAsia="仿宋" w:cs="仿宋"/>
          <w:color w:val="auto"/>
          <w:sz w:val="28"/>
          <w:szCs w:val="28"/>
        </w:rPr>
      </w:pPr>
    </w:p>
    <w:p w14:paraId="2AFE88B7">
      <w:pPr>
        <w:pStyle w:val="2"/>
        <w:rPr>
          <w:rFonts w:ascii="仿宋" w:hAnsi="仿宋" w:eastAsia="仿宋" w:cs="仿宋"/>
          <w:color w:val="auto"/>
          <w:sz w:val="28"/>
          <w:szCs w:val="28"/>
        </w:rPr>
      </w:pPr>
    </w:p>
    <w:p w14:paraId="78961789">
      <w:pPr>
        <w:pStyle w:val="2"/>
        <w:rPr>
          <w:rFonts w:ascii="仿宋" w:hAnsi="仿宋" w:eastAsia="仿宋" w:cs="仿宋"/>
          <w:color w:val="auto"/>
          <w:sz w:val="28"/>
          <w:szCs w:val="28"/>
        </w:rPr>
      </w:pPr>
    </w:p>
    <w:p w14:paraId="5C0A3EBD">
      <w:pPr>
        <w:pStyle w:val="2"/>
        <w:rPr>
          <w:rFonts w:ascii="仿宋" w:hAnsi="仿宋" w:eastAsia="仿宋" w:cs="仿宋"/>
          <w:color w:val="auto"/>
          <w:sz w:val="28"/>
          <w:szCs w:val="28"/>
        </w:rPr>
      </w:pPr>
    </w:p>
    <w:p w14:paraId="2C850FCE">
      <w:pPr>
        <w:pStyle w:val="2"/>
        <w:rPr>
          <w:rFonts w:ascii="仿宋" w:hAnsi="仿宋" w:eastAsia="仿宋" w:cs="仿宋"/>
          <w:color w:val="auto"/>
          <w:sz w:val="28"/>
          <w:szCs w:val="28"/>
        </w:rPr>
      </w:pPr>
    </w:p>
    <w:p w14:paraId="18F14AC2">
      <w:pPr>
        <w:pStyle w:val="2"/>
        <w:rPr>
          <w:rFonts w:ascii="仿宋" w:hAnsi="仿宋" w:eastAsia="仿宋" w:cs="仿宋"/>
          <w:color w:val="auto"/>
          <w:sz w:val="28"/>
          <w:szCs w:val="28"/>
        </w:rPr>
      </w:pPr>
    </w:p>
    <w:p w14:paraId="6DE67D54">
      <w:pPr>
        <w:pStyle w:val="2"/>
        <w:rPr>
          <w:rFonts w:ascii="仿宋" w:hAnsi="仿宋" w:eastAsia="仿宋" w:cs="仿宋"/>
          <w:color w:val="auto"/>
          <w:sz w:val="28"/>
          <w:szCs w:val="28"/>
        </w:rPr>
      </w:pPr>
    </w:p>
    <w:p w14:paraId="00F91D52">
      <w:pPr>
        <w:pStyle w:val="2"/>
        <w:rPr>
          <w:rFonts w:ascii="仿宋" w:hAnsi="仿宋" w:eastAsia="仿宋" w:cs="仿宋"/>
          <w:color w:val="auto"/>
          <w:sz w:val="28"/>
          <w:szCs w:val="28"/>
        </w:rPr>
      </w:pPr>
    </w:p>
    <w:p w14:paraId="6BA96A59">
      <w:pPr>
        <w:pStyle w:val="2"/>
        <w:rPr>
          <w:rFonts w:ascii="仿宋" w:hAnsi="仿宋" w:eastAsia="仿宋" w:cs="仿宋"/>
          <w:color w:val="auto"/>
          <w:sz w:val="28"/>
          <w:szCs w:val="28"/>
        </w:rPr>
      </w:pPr>
    </w:p>
    <w:p w14:paraId="22F65D8E">
      <w:pPr>
        <w:pStyle w:val="2"/>
        <w:rPr>
          <w:rFonts w:ascii="仿宋" w:hAnsi="仿宋" w:eastAsia="仿宋" w:cs="仿宋"/>
          <w:color w:val="auto"/>
          <w:sz w:val="28"/>
          <w:szCs w:val="28"/>
        </w:rPr>
      </w:pPr>
    </w:p>
    <w:p w14:paraId="606D3157">
      <w:pPr>
        <w:spacing w:line="520" w:lineRule="exact"/>
        <w:ind w:firstLine="560" w:firstLineChars="200"/>
        <w:rPr>
          <w:rFonts w:ascii="仿宋" w:hAnsi="仿宋" w:eastAsia="仿宋" w:cs="仿宋"/>
          <w:color w:val="auto"/>
          <w:sz w:val="28"/>
          <w:szCs w:val="28"/>
        </w:rPr>
      </w:pPr>
    </w:p>
    <w:p w14:paraId="04EFB95B">
      <w:pPr>
        <w:pStyle w:val="2"/>
        <w:ind w:firstLine="1044"/>
        <w:rPr>
          <w:color w:val="auto"/>
        </w:rPr>
      </w:pPr>
    </w:p>
    <w:p w14:paraId="15739334">
      <w:pPr>
        <w:pStyle w:val="2"/>
        <w:ind w:firstLine="1044"/>
        <w:rPr>
          <w:color w:val="auto"/>
        </w:rPr>
      </w:pPr>
    </w:p>
    <w:p w14:paraId="0F1962B8">
      <w:pPr>
        <w:spacing w:beforeLines="100" w:afterLines="50"/>
        <w:ind w:firstLine="720"/>
        <w:jc w:val="center"/>
        <w:outlineLvl w:val="0"/>
        <w:rPr>
          <w:rFonts w:ascii="仿宋" w:hAnsi="仿宋" w:eastAsia="仿宋" w:cs="仿宋"/>
          <w:b/>
          <w:color w:val="auto"/>
          <w:sz w:val="36"/>
          <w:szCs w:val="36"/>
        </w:rPr>
      </w:pPr>
      <w:bookmarkStart w:id="3" w:name="_Toc22798"/>
      <w:r>
        <w:rPr>
          <w:rFonts w:hint="eastAsia" w:ascii="仿宋" w:hAnsi="仿宋" w:eastAsia="仿宋" w:cs="仿宋"/>
          <w:color w:val="auto"/>
          <w:sz w:val="36"/>
          <w:szCs w:val="36"/>
        </w:rPr>
        <w:t>第四章投标文件格式</w:t>
      </w:r>
      <w:bookmarkEnd w:id="3"/>
    </w:p>
    <w:p w14:paraId="3F82AF65">
      <w:pPr>
        <w:snapToGrid w:val="0"/>
        <w:spacing w:line="460" w:lineRule="exact"/>
        <w:ind w:firstLine="880"/>
        <w:jc w:val="center"/>
        <w:rPr>
          <w:rFonts w:ascii="仿宋" w:hAnsi="仿宋" w:eastAsia="仿宋" w:cs="仿宋"/>
          <w:color w:val="auto"/>
          <w:sz w:val="44"/>
          <w:szCs w:val="44"/>
        </w:rPr>
      </w:pPr>
      <w:r>
        <w:rPr>
          <w:rFonts w:hint="eastAsia" w:ascii="仿宋" w:hAnsi="仿宋" w:eastAsia="仿宋" w:cs="仿宋"/>
          <w:color w:val="auto"/>
          <w:sz w:val="44"/>
          <w:szCs w:val="44"/>
        </w:rPr>
        <w:t>目录</w:t>
      </w:r>
    </w:p>
    <w:p w14:paraId="51DDAD02">
      <w:pPr>
        <w:snapToGrid w:val="0"/>
        <w:spacing w:line="460" w:lineRule="exact"/>
        <w:ind w:firstLine="723"/>
        <w:jc w:val="center"/>
        <w:rPr>
          <w:rFonts w:ascii="仿宋" w:hAnsi="仿宋" w:eastAsia="仿宋" w:cs="仿宋"/>
          <w:b/>
          <w:color w:val="auto"/>
          <w:sz w:val="36"/>
          <w:szCs w:val="36"/>
        </w:rPr>
      </w:pPr>
    </w:p>
    <w:p w14:paraId="220ED33B">
      <w:pPr>
        <w:snapToGrid w:val="0"/>
        <w:spacing w:line="460" w:lineRule="exact"/>
        <w:ind w:firstLine="551" w:firstLineChars="197"/>
        <w:rPr>
          <w:rFonts w:ascii="仿宋" w:hAnsi="仿宋" w:eastAsia="仿宋" w:cs="仿宋"/>
          <w:color w:val="auto"/>
          <w:sz w:val="28"/>
          <w:szCs w:val="28"/>
          <w:shd w:val="clear" w:color="auto" w:fill="FFFFFF"/>
        </w:rPr>
      </w:pPr>
    </w:p>
    <w:p w14:paraId="6B47E9E4">
      <w:pPr>
        <w:keepLines w:val="0"/>
        <w:pageBreakBefore w:val="0"/>
        <w:kinsoku/>
        <w:wordWrap/>
        <w:overflowPunct/>
        <w:topLinePunct w:val="0"/>
        <w:autoSpaceDE/>
        <w:autoSpaceDN/>
        <w:bidi w:val="0"/>
        <w:adjustRightInd/>
        <w:snapToGrid w:val="0"/>
        <w:spacing w:line="360" w:lineRule="auto"/>
        <w:ind w:firstLine="551" w:firstLineChars="197"/>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1、附件一：投标函</w:t>
      </w:r>
    </w:p>
    <w:p w14:paraId="1B4FDA2E">
      <w:pPr>
        <w:keepLines w:val="0"/>
        <w:pageBreakBefore w:val="0"/>
        <w:kinsoku/>
        <w:wordWrap/>
        <w:overflowPunct/>
        <w:topLinePunct w:val="0"/>
        <w:autoSpaceDE/>
        <w:autoSpaceDN/>
        <w:bidi w:val="0"/>
        <w:adjustRightInd/>
        <w:snapToGrid w:val="0"/>
        <w:spacing w:line="360" w:lineRule="auto"/>
        <w:ind w:firstLine="551" w:firstLineChars="197"/>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2、附件二：法定代表人/负责人授权书</w:t>
      </w:r>
    </w:p>
    <w:p w14:paraId="50FB5CC5">
      <w:pPr>
        <w:keepLines w:val="0"/>
        <w:pageBreakBefore w:val="0"/>
        <w:kinsoku/>
        <w:wordWrap/>
        <w:overflowPunct/>
        <w:topLinePunct w:val="0"/>
        <w:autoSpaceDE/>
        <w:autoSpaceDN/>
        <w:bidi w:val="0"/>
        <w:adjustRightInd/>
        <w:snapToGrid w:val="0"/>
        <w:spacing w:line="360" w:lineRule="auto"/>
        <w:ind w:firstLine="551" w:firstLineChars="197"/>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3、附件三：开标一览表（报价表）</w:t>
      </w:r>
    </w:p>
    <w:p w14:paraId="18D58B5E">
      <w:pPr>
        <w:keepLines w:val="0"/>
        <w:pageBreakBefore w:val="0"/>
        <w:kinsoku/>
        <w:wordWrap/>
        <w:overflowPunct/>
        <w:topLinePunct w:val="0"/>
        <w:autoSpaceDE/>
        <w:autoSpaceDN/>
        <w:bidi w:val="0"/>
        <w:adjustRightInd/>
        <w:snapToGrid w:val="0"/>
        <w:spacing w:line="360" w:lineRule="auto"/>
        <w:ind w:firstLine="551" w:firstLineChars="197"/>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4、附件四：投标承诺书</w:t>
      </w:r>
    </w:p>
    <w:p w14:paraId="71451CD0">
      <w:pPr>
        <w:keepLines w:val="0"/>
        <w:pageBreakBefore w:val="0"/>
        <w:kinsoku/>
        <w:wordWrap/>
        <w:overflowPunct/>
        <w:topLinePunct w:val="0"/>
        <w:autoSpaceDE/>
        <w:autoSpaceDN/>
        <w:bidi w:val="0"/>
        <w:adjustRightInd/>
        <w:snapToGrid w:val="0"/>
        <w:spacing w:line="360" w:lineRule="auto"/>
        <w:ind w:firstLine="602"/>
        <w:textAlignment w:val="auto"/>
        <w:rPr>
          <w:rFonts w:ascii="仿宋" w:hAnsi="仿宋" w:eastAsia="仿宋" w:cs="仿宋"/>
          <w:b/>
          <w:color w:val="auto"/>
          <w:sz w:val="30"/>
          <w:szCs w:val="30"/>
        </w:rPr>
      </w:pPr>
    </w:p>
    <w:p w14:paraId="4D4CB083">
      <w:pPr>
        <w:keepLines w:val="0"/>
        <w:pageBreakBefore w:val="0"/>
        <w:kinsoku/>
        <w:wordWrap/>
        <w:overflowPunct/>
        <w:topLinePunct w:val="0"/>
        <w:autoSpaceDE/>
        <w:autoSpaceDN/>
        <w:bidi w:val="0"/>
        <w:adjustRightInd/>
        <w:snapToGrid w:val="0"/>
        <w:spacing w:line="360" w:lineRule="auto"/>
        <w:ind w:firstLine="602"/>
        <w:textAlignment w:val="auto"/>
        <w:rPr>
          <w:rFonts w:ascii="仿宋" w:hAnsi="仿宋" w:eastAsia="仿宋" w:cs="仿宋"/>
          <w:b/>
          <w:color w:val="auto"/>
          <w:sz w:val="30"/>
          <w:szCs w:val="30"/>
        </w:rPr>
      </w:pPr>
    </w:p>
    <w:p w14:paraId="7759B111">
      <w:pPr>
        <w:keepLines w:val="0"/>
        <w:pageBreakBefore w:val="0"/>
        <w:kinsoku/>
        <w:wordWrap/>
        <w:overflowPunct/>
        <w:topLinePunct w:val="0"/>
        <w:autoSpaceDE/>
        <w:autoSpaceDN/>
        <w:bidi w:val="0"/>
        <w:adjustRightInd/>
        <w:snapToGrid w:val="0"/>
        <w:spacing w:line="360" w:lineRule="auto"/>
        <w:ind w:firstLine="602"/>
        <w:textAlignment w:val="auto"/>
        <w:rPr>
          <w:rFonts w:ascii="仿宋" w:hAnsi="仿宋" w:eastAsia="仿宋" w:cs="仿宋"/>
          <w:b/>
          <w:color w:val="auto"/>
          <w:sz w:val="30"/>
          <w:szCs w:val="30"/>
        </w:rPr>
      </w:pPr>
    </w:p>
    <w:p w14:paraId="5058A123">
      <w:pPr>
        <w:keepLines w:val="0"/>
        <w:pageBreakBefore w:val="0"/>
        <w:kinsoku/>
        <w:wordWrap/>
        <w:overflowPunct/>
        <w:topLinePunct w:val="0"/>
        <w:autoSpaceDE/>
        <w:autoSpaceDN/>
        <w:bidi w:val="0"/>
        <w:adjustRightInd/>
        <w:snapToGrid w:val="0"/>
        <w:spacing w:line="360" w:lineRule="auto"/>
        <w:ind w:firstLine="602"/>
        <w:textAlignment w:val="auto"/>
        <w:rPr>
          <w:rFonts w:ascii="仿宋" w:hAnsi="仿宋" w:eastAsia="仿宋" w:cs="仿宋"/>
          <w:b/>
          <w:color w:val="auto"/>
          <w:sz w:val="30"/>
          <w:szCs w:val="30"/>
        </w:rPr>
      </w:pPr>
    </w:p>
    <w:p w14:paraId="449CAB68">
      <w:pPr>
        <w:keepLines w:val="0"/>
        <w:pageBreakBefore w:val="0"/>
        <w:kinsoku/>
        <w:wordWrap/>
        <w:overflowPunct/>
        <w:topLinePunct w:val="0"/>
        <w:autoSpaceDE/>
        <w:autoSpaceDN/>
        <w:bidi w:val="0"/>
        <w:adjustRightInd/>
        <w:snapToGrid w:val="0"/>
        <w:spacing w:line="360" w:lineRule="auto"/>
        <w:ind w:firstLine="602"/>
        <w:textAlignment w:val="auto"/>
        <w:rPr>
          <w:rFonts w:ascii="仿宋" w:hAnsi="仿宋" w:eastAsia="仿宋" w:cs="仿宋"/>
          <w:b/>
          <w:color w:val="auto"/>
          <w:sz w:val="30"/>
          <w:szCs w:val="30"/>
        </w:rPr>
      </w:pPr>
    </w:p>
    <w:p w14:paraId="21B7FB0D">
      <w:pPr>
        <w:keepLines w:val="0"/>
        <w:pageBreakBefore w:val="0"/>
        <w:kinsoku/>
        <w:wordWrap/>
        <w:overflowPunct/>
        <w:topLinePunct w:val="0"/>
        <w:autoSpaceDE/>
        <w:autoSpaceDN/>
        <w:bidi w:val="0"/>
        <w:adjustRightInd/>
        <w:snapToGrid w:val="0"/>
        <w:spacing w:line="360" w:lineRule="auto"/>
        <w:ind w:firstLine="602"/>
        <w:textAlignment w:val="auto"/>
        <w:rPr>
          <w:rFonts w:ascii="仿宋" w:hAnsi="仿宋" w:eastAsia="仿宋" w:cs="仿宋"/>
          <w:b/>
          <w:color w:val="auto"/>
          <w:sz w:val="30"/>
          <w:szCs w:val="30"/>
        </w:rPr>
      </w:pPr>
    </w:p>
    <w:p w14:paraId="22FB114D">
      <w:pPr>
        <w:pStyle w:val="2"/>
        <w:keepLines w:val="0"/>
        <w:pageBreakBefore w:val="0"/>
        <w:kinsoku/>
        <w:wordWrap/>
        <w:overflowPunct/>
        <w:topLinePunct w:val="0"/>
        <w:autoSpaceDE/>
        <w:autoSpaceDN/>
        <w:bidi w:val="0"/>
        <w:adjustRightInd/>
        <w:spacing w:line="360" w:lineRule="auto"/>
        <w:textAlignment w:val="auto"/>
        <w:rPr>
          <w:color w:val="auto"/>
        </w:rPr>
      </w:pPr>
    </w:p>
    <w:p w14:paraId="18276E8C">
      <w:pPr>
        <w:pStyle w:val="2"/>
        <w:keepLines w:val="0"/>
        <w:pageBreakBefore w:val="0"/>
        <w:kinsoku/>
        <w:wordWrap/>
        <w:overflowPunct/>
        <w:topLinePunct w:val="0"/>
        <w:autoSpaceDE/>
        <w:autoSpaceDN/>
        <w:bidi w:val="0"/>
        <w:adjustRightInd/>
        <w:spacing w:line="360" w:lineRule="auto"/>
        <w:textAlignment w:val="auto"/>
        <w:rPr>
          <w:color w:val="auto"/>
        </w:rPr>
      </w:pPr>
    </w:p>
    <w:p w14:paraId="6455EF8D">
      <w:pPr>
        <w:pStyle w:val="2"/>
        <w:keepLines w:val="0"/>
        <w:pageBreakBefore w:val="0"/>
        <w:kinsoku/>
        <w:wordWrap/>
        <w:overflowPunct/>
        <w:topLinePunct w:val="0"/>
        <w:autoSpaceDE/>
        <w:autoSpaceDN/>
        <w:bidi w:val="0"/>
        <w:adjustRightInd/>
        <w:spacing w:line="360" w:lineRule="auto"/>
        <w:textAlignment w:val="auto"/>
        <w:rPr>
          <w:color w:val="auto"/>
        </w:rPr>
      </w:pPr>
    </w:p>
    <w:p w14:paraId="1BB5C747">
      <w:pPr>
        <w:pStyle w:val="2"/>
        <w:keepLines w:val="0"/>
        <w:pageBreakBefore w:val="0"/>
        <w:kinsoku/>
        <w:wordWrap/>
        <w:overflowPunct/>
        <w:topLinePunct w:val="0"/>
        <w:autoSpaceDE/>
        <w:autoSpaceDN/>
        <w:bidi w:val="0"/>
        <w:adjustRightInd/>
        <w:spacing w:line="360" w:lineRule="auto"/>
        <w:textAlignment w:val="auto"/>
        <w:rPr>
          <w:color w:val="auto"/>
        </w:rPr>
      </w:pPr>
    </w:p>
    <w:p w14:paraId="1CBB39D5">
      <w:pPr>
        <w:pStyle w:val="2"/>
        <w:keepLines w:val="0"/>
        <w:pageBreakBefore w:val="0"/>
        <w:kinsoku/>
        <w:wordWrap/>
        <w:overflowPunct/>
        <w:topLinePunct w:val="0"/>
        <w:autoSpaceDE/>
        <w:autoSpaceDN/>
        <w:bidi w:val="0"/>
        <w:adjustRightInd/>
        <w:spacing w:line="360" w:lineRule="auto"/>
        <w:textAlignment w:val="auto"/>
        <w:rPr>
          <w:color w:val="auto"/>
        </w:rPr>
      </w:pPr>
    </w:p>
    <w:p w14:paraId="4370F209">
      <w:pPr>
        <w:pStyle w:val="2"/>
        <w:keepLines w:val="0"/>
        <w:pageBreakBefore w:val="0"/>
        <w:kinsoku/>
        <w:wordWrap/>
        <w:overflowPunct/>
        <w:topLinePunct w:val="0"/>
        <w:autoSpaceDE/>
        <w:autoSpaceDN/>
        <w:bidi w:val="0"/>
        <w:adjustRightInd/>
        <w:spacing w:line="360" w:lineRule="auto"/>
        <w:textAlignment w:val="auto"/>
        <w:rPr>
          <w:color w:val="auto"/>
        </w:rPr>
      </w:pPr>
    </w:p>
    <w:p w14:paraId="1B266068">
      <w:pPr>
        <w:pStyle w:val="2"/>
        <w:keepLines w:val="0"/>
        <w:pageBreakBefore w:val="0"/>
        <w:kinsoku/>
        <w:wordWrap/>
        <w:overflowPunct/>
        <w:topLinePunct w:val="0"/>
        <w:autoSpaceDE/>
        <w:autoSpaceDN/>
        <w:bidi w:val="0"/>
        <w:adjustRightInd/>
        <w:spacing w:line="360" w:lineRule="auto"/>
        <w:textAlignment w:val="auto"/>
        <w:rPr>
          <w:color w:val="auto"/>
        </w:rPr>
      </w:pPr>
    </w:p>
    <w:p w14:paraId="4E3B578B">
      <w:pPr>
        <w:pStyle w:val="2"/>
        <w:keepLines w:val="0"/>
        <w:pageBreakBefore w:val="0"/>
        <w:kinsoku/>
        <w:wordWrap/>
        <w:overflowPunct/>
        <w:topLinePunct w:val="0"/>
        <w:autoSpaceDE/>
        <w:autoSpaceDN/>
        <w:bidi w:val="0"/>
        <w:adjustRightInd/>
        <w:spacing w:line="360" w:lineRule="auto"/>
        <w:textAlignment w:val="auto"/>
        <w:rPr>
          <w:color w:val="auto"/>
        </w:rPr>
      </w:pPr>
    </w:p>
    <w:p w14:paraId="4CE3B0E1">
      <w:pPr>
        <w:pStyle w:val="2"/>
        <w:keepLines w:val="0"/>
        <w:pageBreakBefore w:val="0"/>
        <w:kinsoku/>
        <w:wordWrap/>
        <w:overflowPunct/>
        <w:topLinePunct w:val="0"/>
        <w:autoSpaceDE/>
        <w:autoSpaceDN/>
        <w:bidi w:val="0"/>
        <w:adjustRightInd/>
        <w:spacing w:line="360" w:lineRule="auto"/>
        <w:textAlignment w:val="auto"/>
        <w:rPr>
          <w:color w:val="auto"/>
        </w:rPr>
      </w:pPr>
    </w:p>
    <w:p w14:paraId="4C70E36F">
      <w:pPr>
        <w:pStyle w:val="3"/>
        <w:keepLines w:val="0"/>
        <w:pageBreakBefore w:val="0"/>
        <w:kinsoku/>
        <w:wordWrap/>
        <w:overflowPunct/>
        <w:topLinePunct w:val="0"/>
        <w:autoSpaceDE/>
        <w:autoSpaceDN/>
        <w:bidi w:val="0"/>
        <w:adjustRightInd/>
        <w:spacing w:after="0" w:line="360" w:lineRule="auto"/>
        <w:ind w:firstLine="880"/>
        <w:jc w:val="center"/>
        <w:textAlignment w:val="auto"/>
        <w:rPr>
          <w:rFonts w:ascii="仿宋" w:hAnsi="仿宋" w:eastAsia="仿宋" w:cs="仿宋"/>
          <w:b w:val="0"/>
          <w:color w:val="auto"/>
          <w:sz w:val="44"/>
          <w:szCs w:val="44"/>
        </w:rPr>
      </w:pPr>
      <w:bookmarkStart w:id="4" w:name="_Toc401824713"/>
      <w:bookmarkStart w:id="5" w:name="_Toc9667"/>
      <w:bookmarkStart w:id="6" w:name="_Toc414434996"/>
      <w:bookmarkStart w:id="7" w:name="_Toc264116921"/>
      <w:r>
        <w:rPr>
          <w:rFonts w:hint="eastAsia" w:ascii="仿宋" w:hAnsi="仿宋" w:eastAsia="仿宋" w:cs="仿宋"/>
          <w:b w:val="0"/>
          <w:color w:val="auto"/>
          <w:sz w:val="44"/>
          <w:szCs w:val="44"/>
        </w:rPr>
        <w:t>附件一：投标函</w:t>
      </w:r>
      <w:bookmarkEnd w:id="4"/>
      <w:bookmarkEnd w:id="5"/>
      <w:bookmarkEnd w:id="6"/>
      <w:bookmarkEnd w:id="7"/>
    </w:p>
    <w:p w14:paraId="7E667E37">
      <w:pPr>
        <w:keepLines w:val="0"/>
        <w:pageBreakBefore w:val="0"/>
        <w:kinsoku/>
        <w:wordWrap/>
        <w:overflowPunct/>
        <w:topLinePunct w:val="0"/>
        <w:autoSpaceDE/>
        <w:autoSpaceDN/>
        <w:bidi w:val="0"/>
        <w:adjustRightInd/>
        <w:spacing w:line="360" w:lineRule="auto"/>
        <w:textAlignment w:val="auto"/>
        <w:rPr>
          <w:rFonts w:ascii="仿宋" w:hAnsi="仿宋" w:eastAsia="仿宋" w:cs="仿宋"/>
          <w:color w:val="auto"/>
          <w:sz w:val="24"/>
        </w:rPr>
      </w:pPr>
    </w:p>
    <w:p w14:paraId="195BB3CB">
      <w:pPr>
        <w:keepLines w:val="0"/>
        <w:pageBreakBefore w:val="0"/>
        <w:kinsoku/>
        <w:wordWrap/>
        <w:overflowPunct/>
        <w:topLinePunct w:val="0"/>
        <w:autoSpaceDE/>
        <w:autoSpaceDN/>
        <w:bidi w:val="0"/>
        <w:adjustRightInd/>
        <w:spacing w:line="360" w:lineRule="auto"/>
        <w:textAlignment w:val="auto"/>
        <w:rPr>
          <w:rFonts w:ascii="仿宋" w:hAnsi="仿宋" w:eastAsia="仿宋" w:cs="仿宋"/>
          <w:color w:val="auto"/>
        </w:rPr>
      </w:pPr>
      <w:r>
        <w:rPr>
          <w:rFonts w:hint="eastAsia" w:ascii="仿宋" w:hAnsi="仿宋" w:eastAsia="仿宋" w:cs="仿宋"/>
          <w:color w:val="auto"/>
          <w:kern w:val="0"/>
          <w:sz w:val="24"/>
          <w:u w:val="single"/>
        </w:rPr>
        <w:t>浙江现代纺织技术创新中心有限公司</w:t>
      </w:r>
      <w:r>
        <w:rPr>
          <w:rFonts w:hint="eastAsia" w:ascii="仿宋" w:hAnsi="仿宋" w:eastAsia="仿宋" w:cs="仿宋"/>
          <w:color w:val="auto"/>
          <w:sz w:val="24"/>
          <w:u w:val="single"/>
        </w:rPr>
        <w:t xml:space="preserve"> (采购人）</w:t>
      </w:r>
      <w:r>
        <w:rPr>
          <w:rFonts w:hint="eastAsia" w:ascii="仿宋" w:hAnsi="仿宋" w:eastAsia="仿宋" w:cs="仿宋"/>
          <w:color w:val="auto"/>
          <w:sz w:val="24"/>
        </w:rPr>
        <w:t>：</w:t>
      </w:r>
      <w:r>
        <w:rPr>
          <w:rFonts w:hint="eastAsia" w:ascii="仿宋" w:hAnsi="仿宋" w:eastAsia="仿宋" w:cs="仿宋"/>
          <w:color w:val="auto"/>
        </w:rPr>
        <w:tab/>
      </w:r>
    </w:p>
    <w:p w14:paraId="08B0A1BC">
      <w:pPr>
        <w:keepLines w:val="0"/>
        <w:pageBreakBefore w:val="0"/>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我单位认真研究了编号的关于的采购文件，愿意遵守采购文件的所有要求，承担采购文件规定的中标人的全部责任和义务。我单位承诺：</w:t>
      </w:r>
    </w:p>
    <w:p w14:paraId="7E9714FA">
      <w:pPr>
        <w:keepLines w:val="0"/>
        <w:pageBreakBefore w:val="0"/>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1、我单位愿意以开标一览表（报价表）所填报的报价承接本采购项目的</w:t>
      </w:r>
      <w:r>
        <w:rPr>
          <w:rFonts w:hint="eastAsia" w:ascii="仿宋" w:hAnsi="仿宋" w:eastAsia="仿宋" w:cs="仿宋"/>
          <w:color w:val="auto"/>
          <w:sz w:val="24"/>
          <w:u w:val="single"/>
          <w:lang w:eastAsia="zh-CN"/>
        </w:rPr>
        <w:t>浙江现代纺织技术创新中心有限公司2025年度公款竞争性存放项目</w:t>
      </w:r>
      <w:r>
        <w:rPr>
          <w:rFonts w:hint="eastAsia" w:ascii="仿宋" w:hAnsi="仿宋" w:eastAsia="仿宋" w:cs="仿宋"/>
          <w:color w:val="auto"/>
          <w:sz w:val="24"/>
        </w:rPr>
        <w:t>的任务。</w:t>
      </w:r>
    </w:p>
    <w:p w14:paraId="562A486D">
      <w:pPr>
        <w:keepLines w:val="0"/>
        <w:pageBreakBefore w:val="0"/>
        <w:kinsoku/>
        <w:wordWrap/>
        <w:overflowPunct/>
        <w:topLinePunct w:val="0"/>
        <w:autoSpaceDE/>
        <w:autoSpaceDN/>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 xml:space="preserve">    2、一旦我单位中标，</w:t>
      </w:r>
      <w:r>
        <w:rPr>
          <w:rFonts w:hint="eastAsia" w:ascii="仿宋" w:hAnsi="仿宋" w:eastAsia="仿宋" w:cs="仿宋"/>
          <w:color w:val="auto"/>
          <w:sz w:val="24"/>
          <w:u w:val="single"/>
        </w:rPr>
        <w:t>我们保证按照采购文件的要求，指定专人负责相关工作，力争使相关工作达到规定的要求</w:t>
      </w:r>
      <w:r>
        <w:rPr>
          <w:rFonts w:hint="eastAsia" w:ascii="仿宋" w:hAnsi="仿宋" w:eastAsia="仿宋" w:cs="仿宋"/>
          <w:color w:val="auto"/>
          <w:sz w:val="24"/>
        </w:rPr>
        <w:t>。</w:t>
      </w:r>
    </w:p>
    <w:p w14:paraId="2289AD3E">
      <w:pPr>
        <w:keepLines w:val="0"/>
        <w:pageBreakBefore w:val="0"/>
        <w:kinsoku/>
        <w:wordWrap/>
        <w:overflowPunct/>
        <w:topLinePunct w:val="0"/>
        <w:autoSpaceDE/>
        <w:autoSpaceDN/>
        <w:bidi w:val="0"/>
        <w:adjustRightIn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3、我单位同意提供按照采购人可能要求的与其投标有关的一切数据或资料，完全理解和接受不一定按最高通知存款基准利率中标。</w:t>
      </w:r>
    </w:p>
    <w:p w14:paraId="699A1619">
      <w:pPr>
        <w:keepLines w:val="0"/>
        <w:pageBreakBefore w:val="0"/>
        <w:kinsoku/>
        <w:wordWrap/>
        <w:overflowPunct/>
        <w:topLinePunct w:val="0"/>
        <w:autoSpaceDE/>
        <w:autoSpaceDN/>
        <w:bidi w:val="0"/>
        <w:adjustRightIn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4、如果我单位中标，我方将严格履行合同义务。</w:t>
      </w:r>
    </w:p>
    <w:p w14:paraId="3F15B160">
      <w:pPr>
        <w:keepLines w:val="0"/>
        <w:pageBreakBefore w:val="0"/>
        <w:kinsoku/>
        <w:wordWrap/>
        <w:overflowPunct/>
        <w:topLinePunct w:val="0"/>
        <w:autoSpaceDE/>
        <w:autoSpaceDN/>
        <w:bidi w:val="0"/>
        <w:adjustRightInd/>
        <w:spacing w:line="360" w:lineRule="auto"/>
        <w:ind w:firstLine="480"/>
        <w:textAlignment w:val="auto"/>
        <w:rPr>
          <w:rFonts w:ascii="仿宋" w:hAnsi="仿宋" w:eastAsia="仿宋" w:cs="仿宋"/>
          <w:color w:val="auto"/>
          <w:sz w:val="24"/>
        </w:rPr>
      </w:pPr>
      <w:r>
        <w:rPr>
          <w:rFonts w:hint="eastAsia" w:ascii="仿宋" w:hAnsi="仿宋" w:eastAsia="仿宋" w:cs="仿宋"/>
          <w:color w:val="auto"/>
          <w:sz w:val="24"/>
        </w:rPr>
        <w:t>5、除非另行达成协议并生效，你方的中标通知书和本投标函将构成约束你我双方的合同。</w:t>
      </w:r>
    </w:p>
    <w:p w14:paraId="595060F6">
      <w:pPr>
        <w:keepLines w:val="0"/>
        <w:pageBreakBefore w:val="0"/>
        <w:kinsoku/>
        <w:wordWrap/>
        <w:overflowPunct/>
        <w:topLinePunct w:val="0"/>
        <w:autoSpaceDE/>
        <w:autoSpaceDN/>
        <w:bidi w:val="0"/>
        <w:adjustRightInd/>
        <w:spacing w:line="360" w:lineRule="auto"/>
        <w:ind w:firstLine="480"/>
        <w:textAlignment w:val="auto"/>
        <w:rPr>
          <w:rFonts w:ascii="仿宋" w:hAnsi="仿宋" w:eastAsia="仿宋" w:cs="仿宋"/>
          <w:color w:val="auto"/>
          <w:sz w:val="24"/>
        </w:rPr>
      </w:pPr>
      <w:r>
        <w:rPr>
          <w:rFonts w:hint="eastAsia" w:ascii="仿宋" w:hAnsi="仿宋" w:eastAsia="仿宋" w:cs="仿宋"/>
          <w:color w:val="auto"/>
          <w:sz w:val="24"/>
        </w:rPr>
        <w:t>6、本次服务质量承诺为</w:t>
      </w:r>
      <w:r>
        <w:rPr>
          <w:rFonts w:hint="eastAsia" w:ascii="仿宋" w:hAnsi="仿宋" w:eastAsia="仿宋" w:cs="仿宋"/>
          <w:color w:val="auto"/>
          <w:sz w:val="24"/>
          <w:u w:val="single"/>
        </w:rPr>
        <w:t>优质</w:t>
      </w:r>
      <w:r>
        <w:rPr>
          <w:rFonts w:hint="eastAsia" w:ascii="仿宋" w:hAnsi="仿宋" w:eastAsia="仿宋" w:cs="仿宋"/>
          <w:color w:val="auto"/>
          <w:sz w:val="24"/>
        </w:rPr>
        <w:t>。</w:t>
      </w:r>
    </w:p>
    <w:p w14:paraId="39284FCC">
      <w:pPr>
        <w:keepLines w:val="0"/>
        <w:pageBreakBefore w:val="0"/>
        <w:kinsoku/>
        <w:wordWrap/>
        <w:overflowPunct/>
        <w:topLinePunct w:val="0"/>
        <w:autoSpaceDE/>
        <w:autoSpaceDN/>
        <w:bidi w:val="0"/>
        <w:adjustRightInd/>
        <w:spacing w:line="360" w:lineRule="auto"/>
        <w:ind w:firstLine="480"/>
        <w:textAlignment w:val="auto"/>
        <w:rPr>
          <w:rFonts w:ascii="仿宋" w:hAnsi="仿宋" w:eastAsia="仿宋" w:cs="仿宋"/>
          <w:color w:val="auto"/>
          <w:sz w:val="24"/>
        </w:rPr>
      </w:pPr>
    </w:p>
    <w:p w14:paraId="3C4486A7">
      <w:pPr>
        <w:spacing w:line="360" w:lineRule="auto"/>
        <w:ind w:firstLine="480"/>
        <w:rPr>
          <w:rFonts w:ascii="仿宋" w:hAnsi="仿宋" w:eastAsia="仿宋" w:cs="仿宋"/>
          <w:color w:val="auto"/>
          <w:sz w:val="24"/>
        </w:rPr>
      </w:pPr>
    </w:p>
    <w:p w14:paraId="499C3FF4">
      <w:pPr>
        <w:spacing w:line="360" w:lineRule="auto"/>
        <w:ind w:firstLine="480"/>
        <w:rPr>
          <w:rFonts w:ascii="仿宋" w:hAnsi="仿宋" w:eastAsia="仿宋" w:cs="仿宋"/>
          <w:color w:val="auto"/>
          <w:sz w:val="24"/>
        </w:rPr>
      </w:pPr>
    </w:p>
    <w:p w14:paraId="7CF7C1FE">
      <w:pPr>
        <w:spacing w:line="360" w:lineRule="auto"/>
        <w:ind w:firstLine="480"/>
        <w:rPr>
          <w:rFonts w:ascii="仿宋" w:hAnsi="仿宋" w:eastAsia="仿宋" w:cs="仿宋"/>
          <w:color w:val="auto"/>
          <w:sz w:val="24"/>
        </w:rPr>
      </w:pPr>
    </w:p>
    <w:p w14:paraId="36654E5C">
      <w:pPr>
        <w:spacing w:line="360" w:lineRule="auto"/>
        <w:ind w:firstLine="480"/>
        <w:rPr>
          <w:rFonts w:ascii="仿宋" w:hAnsi="仿宋" w:eastAsia="仿宋" w:cs="仿宋"/>
          <w:color w:val="auto"/>
          <w:sz w:val="24"/>
        </w:rPr>
      </w:pPr>
    </w:p>
    <w:p w14:paraId="74F0E179">
      <w:pPr>
        <w:spacing w:line="360" w:lineRule="auto"/>
        <w:ind w:firstLine="480"/>
        <w:rPr>
          <w:rFonts w:ascii="仿宋" w:hAnsi="仿宋" w:eastAsia="仿宋" w:cs="仿宋"/>
          <w:color w:val="auto"/>
          <w:sz w:val="24"/>
        </w:rPr>
      </w:pPr>
    </w:p>
    <w:p w14:paraId="03E92C52">
      <w:pPr>
        <w:spacing w:line="500" w:lineRule="exact"/>
        <w:ind w:firstLine="2640" w:firstLineChars="1100"/>
        <w:rPr>
          <w:rFonts w:ascii="仿宋" w:hAnsi="仿宋" w:eastAsia="仿宋" w:cs="仿宋"/>
          <w:color w:val="auto"/>
          <w:sz w:val="24"/>
          <w:u w:val="single"/>
        </w:rPr>
      </w:pPr>
      <w:r>
        <w:rPr>
          <w:rFonts w:hint="eastAsia" w:ascii="仿宋" w:hAnsi="仿宋" w:eastAsia="仿宋" w:cs="仿宋"/>
          <w:color w:val="auto"/>
          <w:sz w:val="24"/>
        </w:rPr>
        <w:t>投标人：</w:t>
      </w:r>
      <w:r>
        <w:rPr>
          <w:rFonts w:hint="eastAsia" w:ascii="仿宋" w:hAnsi="仿宋" w:eastAsia="仿宋" w:cs="仿宋"/>
          <w:color w:val="auto"/>
          <w:sz w:val="24"/>
          <w:u w:val="single"/>
        </w:rPr>
        <w:t>（盖章）</w:t>
      </w:r>
    </w:p>
    <w:p w14:paraId="1AFA4966">
      <w:pPr>
        <w:spacing w:line="500" w:lineRule="exact"/>
        <w:ind w:firstLine="2640" w:firstLineChars="1100"/>
        <w:rPr>
          <w:rFonts w:ascii="仿宋" w:hAnsi="仿宋" w:eastAsia="仿宋" w:cs="仿宋"/>
          <w:color w:val="auto"/>
          <w:sz w:val="24"/>
          <w:u w:val="single"/>
        </w:rPr>
      </w:pPr>
      <w:r>
        <w:rPr>
          <w:rFonts w:hint="eastAsia" w:ascii="仿宋" w:hAnsi="仿宋" w:eastAsia="仿宋" w:cs="仿宋"/>
          <w:color w:val="auto"/>
          <w:sz w:val="24"/>
        </w:rPr>
        <w:t>法定代表人/负责人或其委托代理人：</w:t>
      </w:r>
      <w:r>
        <w:rPr>
          <w:rFonts w:hint="eastAsia" w:ascii="仿宋" w:hAnsi="仿宋" w:eastAsia="仿宋" w:cs="仿宋"/>
          <w:color w:val="auto"/>
          <w:sz w:val="24"/>
          <w:u w:val="single"/>
        </w:rPr>
        <w:t>（签字或盖章）</w:t>
      </w:r>
    </w:p>
    <w:p w14:paraId="652EEADB">
      <w:pPr>
        <w:spacing w:line="500" w:lineRule="exact"/>
        <w:ind w:firstLine="2640" w:firstLineChars="1100"/>
        <w:rPr>
          <w:rFonts w:ascii="仿宋" w:hAnsi="仿宋" w:eastAsia="仿宋" w:cs="仿宋"/>
          <w:color w:val="auto"/>
          <w:sz w:val="24"/>
        </w:rPr>
      </w:pPr>
      <w:r>
        <w:rPr>
          <w:rFonts w:hint="eastAsia" w:ascii="仿宋" w:hAnsi="仿宋" w:eastAsia="仿宋" w:cs="仿宋"/>
          <w:color w:val="auto"/>
          <w:sz w:val="24"/>
        </w:rPr>
        <w:t>地址：</w:t>
      </w:r>
    </w:p>
    <w:p w14:paraId="2643DB1B">
      <w:pPr>
        <w:spacing w:line="500" w:lineRule="exact"/>
        <w:ind w:firstLine="2640" w:firstLineChars="1100"/>
        <w:rPr>
          <w:rFonts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w:t>
      </w:r>
    </w:p>
    <w:p w14:paraId="5E0C928E">
      <w:pPr>
        <w:spacing w:line="500" w:lineRule="exact"/>
        <w:ind w:firstLine="3720" w:firstLineChars="1550"/>
        <w:rPr>
          <w:rFonts w:ascii="仿宋" w:hAnsi="仿宋" w:eastAsia="仿宋" w:cs="仿宋"/>
          <w:color w:val="auto"/>
          <w:sz w:val="24"/>
        </w:rPr>
      </w:pPr>
    </w:p>
    <w:p w14:paraId="114A4B35">
      <w:pPr>
        <w:pStyle w:val="2"/>
        <w:ind w:firstLine="1044"/>
        <w:rPr>
          <w:color w:val="auto"/>
        </w:rPr>
      </w:pPr>
    </w:p>
    <w:p w14:paraId="0DF199B5">
      <w:pPr>
        <w:pStyle w:val="2"/>
        <w:ind w:firstLine="1044"/>
        <w:rPr>
          <w:color w:val="auto"/>
        </w:rPr>
      </w:pPr>
    </w:p>
    <w:p w14:paraId="30C14274">
      <w:pPr>
        <w:pStyle w:val="3"/>
        <w:spacing w:after="0"/>
        <w:ind w:firstLine="880"/>
        <w:jc w:val="center"/>
        <w:rPr>
          <w:rFonts w:ascii="仿宋" w:hAnsi="仿宋" w:eastAsia="仿宋" w:cs="仿宋"/>
          <w:b w:val="0"/>
          <w:color w:val="auto"/>
          <w:sz w:val="44"/>
          <w:szCs w:val="44"/>
        </w:rPr>
      </w:pPr>
      <w:bookmarkStart w:id="8" w:name="_Toc401824714"/>
      <w:bookmarkStart w:id="9" w:name="_Toc414434997"/>
      <w:bookmarkStart w:id="10" w:name="_Toc17085"/>
      <w:r>
        <w:rPr>
          <w:rFonts w:hint="eastAsia" w:ascii="仿宋" w:hAnsi="仿宋" w:eastAsia="仿宋" w:cs="仿宋"/>
          <w:b w:val="0"/>
          <w:color w:val="auto"/>
          <w:sz w:val="44"/>
          <w:szCs w:val="44"/>
        </w:rPr>
        <w:t>附件二：法定代表人/负责人授权书</w:t>
      </w:r>
      <w:bookmarkEnd w:id="8"/>
      <w:bookmarkEnd w:id="9"/>
      <w:bookmarkEnd w:id="10"/>
    </w:p>
    <w:p w14:paraId="2291DAB8">
      <w:pPr>
        <w:spacing w:line="800" w:lineRule="exact"/>
        <w:jc w:val="left"/>
        <w:rPr>
          <w:rFonts w:ascii="仿宋" w:hAnsi="仿宋" w:eastAsia="仿宋" w:cs="仿宋"/>
          <w:color w:val="auto"/>
          <w:sz w:val="24"/>
          <w:u w:val="single"/>
        </w:rPr>
      </w:pPr>
    </w:p>
    <w:p w14:paraId="1F0D5A40">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24"/>
        </w:rPr>
      </w:pPr>
      <w:r>
        <w:rPr>
          <w:rFonts w:hint="eastAsia" w:ascii="仿宋" w:hAnsi="仿宋" w:eastAsia="仿宋" w:cs="仿宋"/>
          <w:color w:val="auto"/>
          <w:kern w:val="0"/>
          <w:sz w:val="24"/>
          <w:u w:val="single"/>
        </w:rPr>
        <w:t>浙江现代纺织技术创新中心有限公司</w:t>
      </w:r>
      <w:r>
        <w:rPr>
          <w:rFonts w:hint="eastAsia" w:ascii="仿宋" w:hAnsi="仿宋" w:eastAsia="仿宋" w:cs="仿宋"/>
          <w:color w:val="auto"/>
          <w:sz w:val="24"/>
          <w:u w:val="single"/>
        </w:rPr>
        <w:t xml:space="preserve"> (采购人）</w:t>
      </w:r>
      <w:r>
        <w:rPr>
          <w:rFonts w:hint="eastAsia" w:ascii="仿宋" w:hAnsi="仿宋" w:eastAsia="仿宋" w:cs="仿宋"/>
          <w:color w:val="auto"/>
          <w:sz w:val="24"/>
        </w:rPr>
        <w:t>：</w:t>
      </w:r>
    </w:p>
    <w:p w14:paraId="135F0D6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（姓名）</w:t>
      </w:r>
      <w:r>
        <w:rPr>
          <w:rFonts w:hint="eastAsia" w:ascii="仿宋" w:hAnsi="仿宋" w:eastAsia="仿宋" w:cs="仿宋"/>
          <w:color w:val="auto"/>
          <w:sz w:val="24"/>
        </w:rPr>
        <w:t>系</w:t>
      </w:r>
      <w:r>
        <w:rPr>
          <w:rFonts w:hint="eastAsia" w:ascii="仿宋" w:hAnsi="仿宋" w:eastAsia="仿宋" w:cs="仿宋"/>
          <w:color w:val="auto"/>
          <w:sz w:val="24"/>
          <w:u w:val="single"/>
        </w:rPr>
        <w:t>（投标人名称）</w:t>
      </w:r>
      <w:r>
        <w:rPr>
          <w:rFonts w:hint="eastAsia" w:ascii="仿宋" w:hAnsi="仿宋" w:eastAsia="仿宋" w:cs="仿宋"/>
          <w:color w:val="auto"/>
          <w:sz w:val="24"/>
        </w:rPr>
        <w:t>的法定代表人/负责人，现授权委托</w:t>
      </w:r>
      <w:r>
        <w:rPr>
          <w:rFonts w:hint="eastAsia" w:ascii="仿宋" w:hAnsi="仿宋" w:eastAsia="仿宋" w:cs="仿宋"/>
          <w:color w:val="auto"/>
          <w:sz w:val="24"/>
          <w:u w:val="single"/>
        </w:rPr>
        <w:t>（姓名）</w:t>
      </w:r>
      <w:r>
        <w:rPr>
          <w:rFonts w:hint="eastAsia" w:ascii="仿宋" w:hAnsi="仿宋" w:eastAsia="仿宋" w:cs="仿宋"/>
          <w:color w:val="auto"/>
          <w:sz w:val="24"/>
        </w:rPr>
        <w:t>为我公司唯一代理人，以本公司的名义参加贵中心组织的</w:t>
      </w:r>
      <w:r>
        <w:rPr>
          <w:rFonts w:hint="eastAsia" w:ascii="仿宋" w:hAnsi="仿宋" w:eastAsia="仿宋" w:cs="仿宋"/>
          <w:color w:val="auto"/>
          <w:sz w:val="24"/>
          <w:u w:val="single"/>
        </w:rPr>
        <w:t>（项目名称）</w:t>
      </w:r>
      <w:r>
        <w:rPr>
          <w:rFonts w:hint="eastAsia" w:ascii="仿宋" w:hAnsi="仿宋" w:eastAsia="仿宋" w:cs="仿宋"/>
          <w:color w:val="auto"/>
          <w:sz w:val="24"/>
        </w:rPr>
        <w:t>采购的招标活动。代理人在投标、开标、评标、合同谈判过程中所签署的一切文件和处理与之有关的一切事务，我均予以承认。</w:t>
      </w:r>
    </w:p>
    <w:p w14:paraId="529A0BD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p>
    <w:p w14:paraId="7B8D01B0">
      <w:pPr>
        <w:pStyle w:val="2"/>
        <w:rPr>
          <w:rFonts w:hint="eastAsia" w:ascii="仿宋" w:hAnsi="仿宋" w:eastAsia="仿宋" w:cs="仿宋"/>
          <w:color w:val="auto"/>
          <w:sz w:val="24"/>
          <w:lang w:val="en-US" w:eastAsia="zh-CN"/>
        </w:rPr>
      </w:pPr>
    </w:p>
    <w:p w14:paraId="327D907B">
      <w:pPr>
        <w:pStyle w:val="2"/>
        <w:rPr>
          <w:rFonts w:hint="eastAsia" w:ascii="仿宋" w:hAnsi="仿宋" w:eastAsia="仿宋" w:cs="仿宋"/>
          <w:color w:val="auto"/>
          <w:sz w:val="24"/>
          <w:lang w:val="en-US" w:eastAsia="zh-CN"/>
        </w:rPr>
      </w:pPr>
    </w:p>
    <w:p w14:paraId="2CD43904">
      <w:pPr>
        <w:pStyle w:val="2"/>
        <w:rPr>
          <w:rFonts w:hint="default" w:ascii="仿宋" w:hAnsi="仿宋" w:eastAsia="仿宋" w:cs="仿宋"/>
          <w:color w:val="auto"/>
          <w:sz w:val="24"/>
          <w:lang w:val="en-US" w:eastAsia="zh-CN"/>
        </w:rPr>
      </w:pPr>
    </w:p>
    <w:p w14:paraId="3D14A02E">
      <w:pPr>
        <w:spacing w:line="800" w:lineRule="exact"/>
        <w:ind w:firstLine="480"/>
        <w:rPr>
          <w:rFonts w:ascii="仿宋" w:hAnsi="仿宋" w:eastAsia="仿宋" w:cs="仿宋"/>
          <w:color w:val="auto"/>
          <w:sz w:val="24"/>
        </w:rPr>
      </w:pPr>
      <w:r>
        <w:rPr>
          <w:rFonts w:hint="eastAsia" w:ascii="仿宋" w:hAnsi="仿宋" w:eastAsia="仿宋" w:cs="仿宋"/>
          <w:color w:val="auto"/>
          <w:sz w:val="24"/>
        </w:rPr>
        <w:t>代理人无转委权。特此委托。</w:t>
      </w:r>
    </w:p>
    <w:p w14:paraId="6EECAFEE">
      <w:pPr>
        <w:spacing w:line="800" w:lineRule="exact"/>
        <w:ind w:firstLine="480"/>
        <w:rPr>
          <w:rFonts w:ascii="仿宋" w:hAnsi="仿宋" w:eastAsia="仿宋" w:cs="仿宋"/>
          <w:color w:val="auto"/>
          <w:sz w:val="24"/>
        </w:rPr>
      </w:pPr>
    </w:p>
    <w:p w14:paraId="348CF6BE">
      <w:pPr>
        <w:spacing w:line="800" w:lineRule="exact"/>
        <w:ind w:firstLine="4600" w:firstLineChars="1917"/>
        <w:rPr>
          <w:rFonts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（盖章）</w:t>
      </w:r>
    </w:p>
    <w:p w14:paraId="0B158677">
      <w:pPr>
        <w:spacing w:line="800" w:lineRule="exact"/>
        <w:ind w:firstLine="4600" w:firstLineChars="1917"/>
        <w:rPr>
          <w:rFonts w:ascii="仿宋" w:hAnsi="仿宋" w:eastAsia="仿宋" w:cs="仿宋"/>
          <w:color w:val="auto"/>
          <w:sz w:val="24"/>
        </w:rPr>
      </w:pPr>
      <w:r>
        <w:rPr>
          <w:rFonts w:hint="eastAsia" w:ascii="仿宋" w:hAnsi="仿宋" w:eastAsia="仿宋" w:cs="仿宋"/>
          <w:color w:val="auto"/>
          <w:sz w:val="24"/>
        </w:rPr>
        <w:t>授权人：</w:t>
      </w:r>
      <w:r>
        <w:rPr>
          <w:rFonts w:hint="eastAsia" w:ascii="仿宋" w:hAnsi="仿宋" w:eastAsia="仿宋" w:cs="仿宋"/>
          <w:color w:val="auto"/>
          <w:sz w:val="24"/>
          <w:u w:val="single"/>
        </w:rPr>
        <w:t>（签字或盖章）</w:t>
      </w:r>
    </w:p>
    <w:p w14:paraId="163B4559">
      <w:pPr>
        <w:spacing w:line="800" w:lineRule="exact"/>
        <w:ind w:firstLine="4600" w:firstLineChars="1917"/>
        <w:rPr>
          <w:rFonts w:ascii="仿宋" w:hAnsi="仿宋" w:eastAsia="仿宋" w:cs="仿宋"/>
          <w:color w:val="auto"/>
          <w:sz w:val="24"/>
        </w:rPr>
      </w:pPr>
      <w:r>
        <w:rPr>
          <w:rFonts w:hint="eastAsia" w:ascii="仿宋" w:hAnsi="仿宋" w:eastAsia="仿宋" w:cs="仿宋"/>
          <w:color w:val="auto"/>
          <w:sz w:val="24"/>
        </w:rPr>
        <w:t>被授权的代理人：</w:t>
      </w:r>
      <w:r>
        <w:rPr>
          <w:rFonts w:hint="eastAsia" w:ascii="仿宋" w:hAnsi="仿宋" w:eastAsia="仿宋" w:cs="仿宋"/>
          <w:color w:val="auto"/>
          <w:sz w:val="24"/>
          <w:u w:val="single"/>
        </w:rPr>
        <w:t>（签字或盖章）</w:t>
      </w:r>
    </w:p>
    <w:p w14:paraId="1C8CBFF8">
      <w:pPr>
        <w:spacing w:line="600" w:lineRule="exact"/>
        <w:ind w:right="240" w:firstLine="5280" w:firstLineChars="2200"/>
        <w:jc w:val="right"/>
        <w:rPr>
          <w:rFonts w:ascii="仿宋" w:hAnsi="仿宋" w:eastAsia="仿宋" w:cs="仿宋"/>
          <w:color w:val="auto"/>
          <w:sz w:val="24"/>
        </w:rPr>
      </w:pPr>
      <w:r>
        <w:rPr>
          <w:rFonts w:hint="eastAsia" w:ascii="仿宋" w:hAnsi="仿宋" w:eastAsia="仿宋" w:cs="仿宋"/>
          <w:color w:val="auto"/>
          <w:sz w:val="24"/>
        </w:rPr>
        <w:t>年</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w:t>
      </w:r>
    </w:p>
    <w:p w14:paraId="497C0781">
      <w:pPr>
        <w:spacing w:line="600" w:lineRule="exact"/>
        <w:ind w:firstLine="2880" w:firstLineChars="1200"/>
        <w:rPr>
          <w:rFonts w:ascii="仿宋" w:hAnsi="仿宋" w:eastAsia="仿宋" w:cs="仿宋"/>
          <w:color w:val="auto"/>
          <w:sz w:val="24"/>
        </w:rPr>
      </w:pPr>
    </w:p>
    <w:p w14:paraId="2F826527">
      <w:pPr>
        <w:pStyle w:val="2"/>
        <w:rPr>
          <w:color w:val="auto"/>
        </w:rPr>
      </w:pPr>
    </w:p>
    <w:p w14:paraId="74C854BE">
      <w:pPr>
        <w:pStyle w:val="2"/>
        <w:rPr>
          <w:color w:val="auto"/>
        </w:rPr>
      </w:pPr>
    </w:p>
    <w:p w14:paraId="5950EC72">
      <w:pPr>
        <w:pStyle w:val="2"/>
        <w:rPr>
          <w:color w:val="auto"/>
        </w:rPr>
      </w:pPr>
    </w:p>
    <w:p w14:paraId="682F176D">
      <w:pPr>
        <w:pStyle w:val="2"/>
        <w:rPr>
          <w:color w:val="auto"/>
        </w:rPr>
      </w:pPr>
    </w:p>
    <w:p w14:paraId="25ABFAEA">
      <w:pPr>
        <w:pStyle w:val="3"/>
        <w:spacing w:after="0"/>
        <w:ind w:firstLine="880"/>
        <w:jc w:val="center"/>
        <w:rPr>
          <w:rFonts w:ascii="仿宋" w:hAnsi="仿宋" w:eastAsia="仿宋" w:cs="仿宋"/>
          <w:b w:val="0"/>
          <w:color w:val="auto"/>
          <w:sz w:val="44"/>
          <w:szCs w:val="44"/>
        </w:rPr>
      </w:pPr>
      <w:bookmarkStart w:id="11" w:name="_Toc414434998"/>
      <w:bookmarkStart w:id="12" w:name="_Toc11699"/>
      <w:bookmarkStart w:id="13" w:name="_Toc401824715"/>
      <w:r>
        <w:rPr>
          <w:rFonts w:hint="eastAsia" w:ascii="仿宋" w:hAnsi="仿宋" w:eastAsia="仿宋" w:cs="仿宋"/>
          <w:b w:val="0"/>
          <w:color w:val="auto"/>
          <w:sz w:val="44"/>
          <w:szCs w:val="44"/>
        </w:rPr>
        <w:t>附件三：开标一览表</w:t>
      </w:r>
      <w:bookmarkEnd w:id="11"/>
      <w:bookmarkEnd w:id="12"/>
      <w:bookmarkEnd w:id="13"/>
    </w:p>
    <w:p w14:paraId="1E5B5EEF">
      <w:pPr>
        <w:spacing w:line="440" w:lineRule="exact"/>
        <w:ind w:firstLine="240" w:firstLineChars="100"/>
        <w:rPr>
          <w:rFonts w:hint="eastAsia" w:ascii="仿宋" w:hAnsi="仿宋" w:eastAsia="仿宋" w:cs="仿宋"/>
          <w:color w:val="auto"/>
          <w:sz w:val="24"/>
          <w:lang w:eastAsia="zh-CN"/>
        </w:rPr>
      </w:pPr>
      <w:r>
        <w:rPr>
          <w:rFonts w:hint="eastAsia" w:ascii="仿宋" w:hAnsi="仿宋" w:eastAsia="仿宋" w:cs="仿宋"/>
          <w:color w:val="auto"/>
          <w:sz w:val="24"/>
        </w:rPr>
        <w:t>项目名称：</w:t>
      </w:r>
      <w:r>
        <w:rPr>
          <w:rFonts w:hint="eastAsia" w:ascii="仿宋" w:hAnsi="仿宋" w:eastAsia="仿宋" w:cs="仿宋"/>
          <w:color w:val="auto"/>
          <w:sz w:val="24"/>
          <w:lang w:eastAsia="zh-CN"/>
        </w:rPr>
        <w:t>浙江现代纺织技术创新中心有限公司2025年度公款竞争性存放项目</w:t>
      </w:r>
    </w:p>
    <w:tbl>
      <w:tblPr>
        <w:tblStyle w:val="15"/>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101"/>
        <w:gridCol w:w="4186"/>
        <w:gridCol w:w="2275"/>
        <w:gridCol w:w="1414"/>
      </w:tblGrid>
      <w:tr w14:paraId="67A0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23" w:type="dxa"/>
            <w:noWrap/>
            <w:vAlign w:val="center"/>
          </w:tcPr>
          <w:p w14:paraId="1CE632DD">
            <w:pPr>
              <w:rPr>
                <w:rFonts w:ascii="仿宋" w:hAnsi="仿宋" w:eastAsia="仿宋" w:cs="仿宋"/>
                <w:color w:val="auto"/>
                <w:kern w:val="0"/>
                <w:sz w:val="24"/>
              </w:rPr>
            </w:pPr>
            <w:r>
              <w:rPr>
                <w:rFonts w:hint="eastAsia" w:ascii="仿宋" w:hAnsi="仿宋" w:eastAsia="仿宋" w:cs="仿宋"/>
                <w:color w:val="auto"/>
                <w:kern w:val="0"/>
                <w:sz w:val="24"/>
              </w:rPr>
              <w:t>序号</w:t>
            </w:r>
          </w:p>
        </w:tc>
        <w:tc>
          <w:tcPr>
            <w:tcW w:w="1101" w:type="dxa"/>
            <w:noWrap/>
            <w:vAlign w:val="center"/>
          </w:tcPr>
          <w:p w14:paraId="04C02207">
            <w:pPr>
              <w:rPr>
                <w:rFonts w:ascii="仿宋" w:hAnsi="仿宋" w:eastAsia="仿宋" w:cs="仿宋"/>
                <w:color w:val="auto"/>
                <w:kern w:val="0"/>
                <w:sz w:val="24"/>
              </w:rPr>
            </w:pPr>
            <w:r>
              <w:rPr>
                <w:rFonts w:hint="eastAsia" w:ascii="仿宋" w:hAnsi="仿宋" w:eastAsia="仿宋" w:cs="仿宋"/>
                <w:color w:val="auto"/>
                <w:kern w:val="0"/>
                <w:sz w:val="24"/>
              </w:rPr>
              <w:t>项目</w:t>
            </w:r>
          </w:p>
        </w:tc>
        <w:tc>
          <w:tcPr>
            <w:tcW w:w="4186" w:type="dxa"/>
            <w:noWrap/>
            <w:vAlign w:val="center"/>
          </w:tcPr>
          <w:p w14:paraId="7D1CFD39">
            <w:pPr>
              <w:rPr>
                <w:rFonts w:ascii="仿宋" w:hAnsi="仿宋" w:eastAsia="仿宋" w:cs="仿宋"/>
                <w:color w:val="auto"/>
                <w:kern w:val="0"/>
                <w:sz w:val="24"/>
              </w:rPr>
            </w:pPr>
            <w:r>
              <w:rPr>
                <w:rFonts w:hint="eastAsia" w:ascii="仿宋" w:hAnsi="仿宋" w:eastAsia="仿宋" w:cs="仿宋"/>
                <w:color w:val="auto"/>
                <w:kern w:val="0"/>
                <w:sz w:val="24"/>
              </w:rPr>
              <w:t>详细说明</w:t>
            </w:r>
          </w:p>
        </w:tc>
        <w:tc>
          <w:tcPr>
            <w:tcW w:w="2275" w:type="dxa"/>
            <w:noWrap/>
            <w:vAlign w:val="center"/>
          </w:tcPr>
          <w:p w14:paraId="49754F11">
            <w:pPr>
              <w:rPr>
                <w:rFonts w:ascii="仿宋" w:hAnsi="仿宋" w:eastAsia="仿宋" w:cs="仿宋"/>
                <w:color w:val="auto"/>
                <w:kern w:val="0"/>
                <w:sz w:val="24"/>
              </w:rPr>
            </w:pPr>
            <w:r>
              <w:rPr>
                <w:rFonts w:hint="eastAsia" w:ascii="仿宋" w:hAnsi="仿宋" w:eastAsia="仿宋" w:cs="仿宋"/>
                <w:color w:val="auto"/>
                <w:kern w:val="0"/>
                <w:sz w:val="24"/>
              </w:rPr>
              <w:t>以中国人民银行公布的同期基准利率为基础上浮或下浮的BP</w:t>
            </w:r>
          </w:p>
        </w:tc>
        <w:tc>
          <w:tcPr>
            <w:tcW w:w="1414" w:type="dxa"/>
            <w:noWrap/>
            <w:vAlign w:val="center"/>
          </w:tcPr>
          <w:p w14:paraId="2327B3E8">
            <w:pPr>
              <w:rPr>
                <w:rFonts w:ascii="仿宋" w:hAnsi="仿宋" w:eastAsia="仿宋" w:cs="仿宋"/>
                <w:color w:val="auto"/>
                <w:kern w:val="0"/>
                <w:sz w:val="24"/>
              </w:rPr>
            </w:pPr>
            <w:r>
              <w:rPr>
                <w:rFonts w:hint="eastAsia" w:ascii="仿宋" w:hAnsi="仿宋" w:eastAsia="仿宋" w:cs="仿宋"/>
                <w:color w:val="auto"/>
                <w:kern w:val="0"/>
                <w:sz w:val="24"/>
              </w:rPr>
              <w:t>最终利率报价（%）</w:t>
            </w:r>
          </w:p>
        </w:tc>
      </w:tr>
      <w:tr w14:paraId="6F7E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823" w:type="dxa"/>
            <w:noWrap/>
            <w:vAlign w:val="center"/>
          </w:tcPr>
          <w:p w14:paraId="68853672">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w:t>
            </w:r>
          </w:p>
        </w:tc>
        <w:tc>
          <w:tcPr>
            <w:tcW w:w="1101" w:type="dxa"/>
            <w:noWrap/>
            <w:vAlign w:val="center"/>
          </w:tcPr>
          <w:p w14:paraId="64DC47EA">
            <w:pPr>
              <w:jc w:val="center"/>
              <w:rPr>
                <w:rFonts w:ascii="仿宋" w:hAnsi="仿宋" w:eastAsia="仿宋" w:cs="仿宋"/>
                <w:color w:val="auto"/>
                <w:sz w:val="24"/>
              </w:rPr>
            </w:pPr>
            <w:r>
              <w:rPr>
                <w:rFonts w:hint="eastAsia" w:ascii="仿宋" w:hAnsi="仿宋" w:eastAsia="仿宋" w:cs="仿宋"/>
                <w:color w:val="auto"/>
                <w:sz w:val="24"/>
              </w:rPr>
              <w:t>三个月存款利率水平</w:t>
            </w:r>
          </w:p>
        </w:tc>
        <w:tc>
          <w:tcPr>
            <w:tcW w:w="4186" w:type="dxa"/>
            <w:noWrap/>
            <w:vAlign w:val="center"/>
          </w:tcPr>
          <w:p w14:paraId="5704280F">
            <w:pPr>
              <w:jc w:val="left"/>
              <w:rPr>
                <w:rFonts w:ascii="仿宋" w:hAnsi="仿宋" w:eastAsia="仿宋" w:cs="仿宋"/>
                <w:color w:val="auto"/>
                <w:kern w:val="0"/>
                <w:sz w:val="24"/>
              </w:rPr>
            </w:pPr>
            <w:r>
              <w:rPr>
                <w:rFonts w:hint="eastAsia" w:ascii="仿宋" w:hAnsi="仿宋" w:eastAsia="仿宋" w:cs="仿宋"/>
                <w:color w:val="auto"/>
                <w:kern w:val="0"/>
                <w:sz w:val="24"/>
              </w:rPr>
              <w:t>投标银行按中国人民银行</w:t>
            </w:r>
            <w:r>
              <w:rPr>
                <w:rFonts w:hint="eastAsia" w:ascii="仿宋" w:hAnsi="仿宋" w:eastAsia="仿宋" w:cs="仿宋"/>
                <w:color w:val="auto"/>
                <w:sz w:val="24"/>
              </w:rPr>
              <w:t>三个月</w:t>
            </w:r>
            <w:r>
              <w:rPr>
                <w:rFonts w:hint="eastAsia" w:ascii="仿宋" w:hAnsi="仿宋" w:eastAsia="仿宋" w:cs="仿宋"/>
                <w:color w:val="auto"/>
                <w:kern w:val="0"/>
                <w:sz w:val="24"/>
              </w:rPr>
              <w:t>存款基准利率执行标准。投标银行按中国人民银行</w:t>
            </w:r>
            <w:r>
              <w:rPr>
                <w:rFonts w:hint="eastAsia" w:ascii="仿宋" w:hAnsi="仿宋" w:eastAsia="仿宋" w:cs="仿宋"/>
                <w:color w:val="auto"/>
                <w:sz w:val="24"/>
              </w:rPr>
              <w:t>三个月</w:t>
            </w:r>
            <w:r>
              <w:rPr>
                <w:rFonts w:hint="eastAsia" w:ascii="仿宋" w:hAnsi="仿宋" w:eastAsia="仿宋" w:cs="仿宋"/>
                <w:color w:val="auto"/>
                <w:kern w:val="0"/>
                <w:sz w:val="24"/>
              </w:rPr>
              <w:t>存款基准利率上浮基点。</w:t>
            </w:r>
          </w:p>
        </w:tc>
        <w:tc>
          <w:tcPr>
            <w:tcW w:w="2275" w:type="dxa"/>
            <w:noWrap/>
            <w:vAlign w:val="center"/>
          </w:tcPr>
          <w:p w14:paraId="1998483D">
            <w:pPr>
              <w:jc w:val="center"/>
              <w:rPr>
                <w:rFonts w:ascii="仿宋" w:hAnsi="仿宋" w:eastAsia="仿宋" w:cs="仿宋"/>
                <w:color w:val="auto"/>
                <w:sz w:val="24"/>
              </w:rPr>
            </w:pPr>
          </w:p>
        </w:tc>
        <w:tc>
          <w:tcPr>
            <w:tcW w:w="1414" w:type="dxa"/>
            <w:noWrap/>
            <w:vAlign w:val="center"/>
          </w:tcPr>
          <w:p w14:paraId="28C8721F">
            <w:pPr>
              <w:ind w:firstLine="482"/>
              <w:jc w:val="center"/>
              <w:rPr>
                <w:rFonts w:ascii="仿宋" w:hAnsi="仿宋" w:eastAsia="仿宋" w:cs="仿宋"/>
                <w:color w:val="auto"/>
                <w:sz w:val="24"/>
              </w:rPr>
            </w:pPr>
          </w:p>
        </w:tc>
      </w:tr>
      <w:tr w14:paraId="2AE9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823" w:type="dxa"/>
            <w:noWrap/>
            <w:vAlign w:val="center"/>
          </w:tcPr>
          <w:p w14:paraId="043CEDA1">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1101" w:type="dxa"/>
            <w:noWrap/>
            <w:vAlign w:val="center"/>
          </w:tcPr>
          <w:p w14:paraId="7446E02A">
            <w:pPr>
              <w:jc w:val="center"/>
              <w:rPr>
                <w:rFonts w:ascii="仿宋" w:hAnsi="仿宋" w:eastAsia="仿宋" w:cs="仿宋"/>
                <w:color w:val="auto"/>
                <w:sz w:val="24"/>
              </w:rPr>
            </w:pPr>
            <w:r>
              <w:rPr>
                <w:rFonts w:hint="eastAsia" w:ascii="仿宋" w:hAnsi="仿宋" w:eastAsia="仿宋" w:cs="仿宋"/>
                <w:color w:val="auto"/>
                <w:sz w:val="24"/>
              </w:rPr>
              <w:t>六个月存款利率水平</w:t>
            </w:r>
          </w:p>
        </w:tc>
        <w:tc>
          <w:tcPr>
            <w:tcW w:w="4186" w:type="dxa"/>
            <w:noWrap/>
            <w:vAlign w:val="center"/>
          </w:tcPr>
          <w:p w14:paraId="2BE6EE83">
            <w:pPr>
              <w:jc w:val="left"/>
              <w:rPr>
                <w:rFonts w:ascii="仿宋" w:hAnsi="仿宋" w:eastAsia="仿宋" w:cs="仿宋"/>
                <w:color w:val="auto"/>
                <w:kern w:val="0"/>
                <w:sz w:val="24"/>
              </w:rPr>
            </w:pPr>
            <w:r>
              <w:rPr>
                <w:rFonts w:hint="eastAsia" w:ascii="仿宋" w:hAnsi="仿宋" w:eastAsia="仿宋" w:cs="仿宋"/>
                <w:color w:val="auto"/>
                <w:kern w:val="0"/>
                <w:sz w:val="24"/>
              </w:rPr>
              <w:t>投标银行按中国人民银行</w:t>
            </w:r>
            <w:r>
              <w:rPr>
                <w:rFonts w:hint="eastAsia" w:ascii="仿宋" w:hAnsi="仿宋" w:eastAsia="仿宋" w:cs="仿宋"/>
                <w:color w:val="auto"/>
                <w:sz w:val="24"/>
              </w:rPr>
              <w:t>六个月</w:t>
            </w:r>
            <w:r>
              <w:rPr>
                <w:rFonts w:hint="eastAsia" w:ascii="仿宋" w:hAnsi="仿宋" w:eastAsia="仿宋" w:cs="仿宋"/>
                <w:color w:val="auto"/>
                <w:kern w:val="0"/>
                <w:sz w:val="24"/>
              </w:rPr>
              <w:t>存款基准利率执行标准。投标银行按中国人民银行</w:t>
            </w:r>
            <w:r>
              <w:rPr>
                <w:rFonts w:hint="eastAsia" w:ascii="仿宋" w:hAnsi="仿宋" w:eastAsia="仿宋" w:cs="仿宋"/>
                <w:color w:val="auto"/>
                <w:sz w:val="24"/>
              </w:rPr>
              <w:t>三个月</w:t>
            </w:r>
            <w:r>
              <w:rPr>
                <w:rFonts w:hint="eastAsia" w:ascii="仿宋" w:hAnsi="仿宋" w:eastAsia="仿宋" w:cs="仿宋"/>
                <w:color w:val="auto"/>
                <w:kern w:val="0"/>
                <w:sz w:val="24"/>
              </w:rPr>
              <w:t>存款基准利率上浮基点。</w:t>
            </w:r>
          </w:p>
        </w:tc>
        <w:tc>
          <w:tcPr>
            <w:tcW w:w="2275" w:type="dxa"/>
            <w:noWrap/>
            <w:vAlign w:val="center"/>
          </w:tcPr>
          <w:p w14:paraId="4AB66CA6">
            <w:pPr>
              <w:jc w:val="center"/>
              <w:rPr>
                <w:rFonts w:ascii="仿宋" w:hAnsi="仿宋" w:eastAsia="仿宋" w:cs="仿宋"/>
                <w:color w:val="auto"/>
                <w:sz w:val="24"/>
              </w:rPr>
            </w:pPr>
          </w:p>
        </w:tc>
        <w:tc>
          <w:tcPr>
            <w:tcW w:w="1414" w:type="dxa"/>
            <w:noWrap/>
            <w:vAlign w:val="center"/>
          </w:tcPr>
          <w:p w14:paraId="67FE8A78">
            <w:pPr>
              <w:ind w:firstLine="482"/>
              <w:jc w:val="center"/>
              <w:rPr>
                <w:rFonts w:ascii="仿宋" w:hAnsi="仿宋" w:eastAsia="仿宋" w:cs="仿宋"/>
                <w:color w:val="auto"/>
                <w:sz w:val="24"/>
              </w:rPr>
            </w:pPr>
          </w:p>
        </w:tc>
      </w:tr>
      <w:tr w14:paraId="18A4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jc w:val="center"/>
        </w:trPr>
        <w:tc>
          <w:tcPr>
            <w:tcW w:w="823" w:type="dxa"/>
            <w:noWrap/>
            <w:vAlign w:val="center"/>
          </w:tcPr>
          <w:p w14:paraId="1ACA7337">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1101" w:type="dxa"/>
            <w:noWrap/>
            <w:vAlign w:val="center"/>
          </w:tcPr>
          <w:p w14:paraId="28E46642">
            <w:pPr>
              <w:jc w:val="center"/>
              <w:rPr>
                <w:rFonts w:ascii="仿宋" w:hAnsi="仿宋" w:eastAsia="仿宋" w:cs="仿宋"/>
                <w:color w:val="auto"/>
                <w:sz w:val="24"/>
              </w:rPr>
            </w:pPr>
            <w:r>
              <w:rPr>
                <w:rFonts w:hint="eastAsia" w:ascii="仿宋" w:hAnsi="仿宋" w:eastAsia="仿宋" w:cs="仿宋"/>
                <w:color w:val="auto"/>
                <w:sz w:val="24"/>
              </w:rPr>
              <w:t>一年存款存款利率水平</w:t>
            </w:r>
          </w:p>
        </w:tc>
        <w:tc>
          <w:tcPr>
            <w:tcW w:w="4186" w:type="dxa"/>
            <w:noWrap/>
            <w:vAlign w:val="center"/>
          </w:tcPr>
          <w:p w14:paraId="18B3268D">
            <w:pPr>
              <w:jc w:val="left"/>
              <w:rPr>
                <w:rFonts w:ascii="仿宋" w:hAnsi="仿宋" w:eastAsia="仿宋" w:cs="仿宋"/>
                <w:color w:val="auto"/>
                <w:kern w:val="0"/>
                <w:sz w:val="24"/>
              </w:rPr>
            </w:pPr>
            <w:r>
              <w:rPr>
                <w:rFonts w:hint="eastAsia" w:ascii="仿宋" w:hAnsi="仿宋" w:eastAsia="仿宋" w:cs="仿宋"/>
                <w:color w:val="auto"/>
                <w:kern w:val="0"/>
                <w:sz w:val="24"/>
              </w:rPr>
              <w:t>投标银行按中国人民银行一年定期存款基准利率执行标准。投标银行按中国人民银行一年定期存款基准利率上浮基点。</w:t>
            </w:r>
          </w:p>
        </w:tc>
        <w:tc>
          <w:tcPr>
            <w:tcW w:w="2275" w:type="dxa"/>
            <w:noWrap/>
            <w:vAlign w:val="center"/>
          </w:tcPr>
          <w:p w14:paraId="360C516B">
            <w:pPr>
              <w:jc w:val="center"/>
              <w:rPr>
                <w:rFonts w:ascii="仿宋" w:hAnsi="仿宋" w:eastAsia="仿宋" w:cs="仿宋"/>
                <w:color w:val="auto"/>
                <w:sz w:val="24"/>
              </w:rPr>
            </w:pPr>
          </w:p>
        </w:tc>
        <w:tc>
          <w:tcPr>
            <w:tcW w:w="1414" w:type="dxa"/>
            <w:noWrap/>
            <w:vAlign w:val="center"/>
          </w:tcPr>
          <w:p w14:paraId="54CFC11F">
            <w:pPr>
              <w:ind w:firstLine="482"/>
              <w:jc w:val="center"/>
              <w:rPr>
                <w:rFonts w:ascii="仿宋" w:hAnsi="仿宋" w:eastAsia="仿宋" w:cs="仿宋"/>
                <w:color w:val="auto"/>
                <w:sz w:val="24"/>
              </w:rPr>
            </w:pPr>
          </w:p>
        </w:tc>
      </w:tr>
    </w:tbl>
    <w:p w14:paraId="652E83C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rPr>
      </w:pPr>
      <w:r>
        <w:rPr>
          <w:rFonts w:hint="eastAsia" w:ascii="仿宋" w:hAnsi="仿宋" w:eastAsia="仿宋" w:cs="仿宋"/>
          <w:color w:val="auto"/>
          <w:sz w:val="24"/>
        </w:rPr>
        <w:t>注：1、报价一经涂改，应在涂改处加盖单位公章或者由法定代表人或其委托代理人签字或盖章，否则其投标作无效标处理。</w:t>
      </w:r>
    </w:p>
    <w:p w14:paraId="781211A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rPr>
      </w:pPr>
      <w:r>
        <w:rPr>
          <w:rFonts w:hint="eastAsia" w:ascii="仿宋" w:hAnsi="仿宋" w:eastAsia="仿宋" w:cs="仿宋"/>
          <w:color w:val="auto"/>
          <w:sz w:val="24"/>
        </w:rPr>
        <w:t>2、不符合浙江省市场利率定价自律机制要求的，作无效标处理。</w:t>
      </w:r>
    </w:p>
    <w:p w14:paraId="7F7178EB">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rPr>
      </w:pPr>
      <w:r>
        <w:rPr>
          <w:rFonts w:hint="eastAsia" w:ascii="仿宋" w:hAnsi="仿宋" w:eastAsia="仿宋" w:cs="仿宋"/>
          <w:color w:val="auto"/>
          <w:sz w:val="24"/>
        </w:rPr>
        <w:t>3、上述表格格式不得修改，如填写有误的将作无效标处理。</w:t>
      </w:r>
    </w:p>
    <w:p w14:paraId="5D6C4D3A">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color w:val="auto"/>
          <w:sz w:val="24"/>
        </w:rPr>
      </w:pPr>
      <w:r>
        <w:rPr>
          <w:rFonts w:hint="eastAsia" w:ascii="仿宋" w:hAnsi="仿宋" w:eastAsia="仿宋" w:cs="仿宋"/>
          <w:color w:val="auto"/>
          <w:sz w:val="24"/>
        </w:rPr>
        <w:t>投标人（盖章）：</w:t>
      </w:r>
    </w:p>
    <w:p w14:paraId="236B3424">
      <w:pPr>
        <w:keepNext w:val="0"/>
        <w:keepLines w:val="0"/>
        <w:pageBreakBefore w:val="0"/>
        <w:widowControl w:val="0"/>
        <w:kinsoku/>
        <w:wordWrap/>
        <w:overflowPunct/>
        <w:topLinePunct w:val="0"/>
        <w:autoSpaceDE/>
        <w:autoSpaceDN/>
        <w:bidi w:val="0"/>
        <w:adjustRightInd/>
        <w:snapToGrid w:val="0"/>
        <w:spacing w:line="360" w:lineRule="auto"/>
        <w:ind w:right="480"/>
        <w:textAlignment w:val="auto"/>
        <w:rPr>
          <w:rFonts w:hint="eastAsia" w:ascii="仿宋" w:hAnsi="仿宋" w:eastAsia="仿宋" w:cs="仿宋"/>
          <w:color w:val="auto"/>
          <w:sz w:val="24"/>
        </w:rPr>
      </w:pPr>
      <w:r>
        <w:rPr>
          <w:rFonts w:hint="eastAsia" w:ascii="仿宋" w:hAnsi="仿宋" w:eastAsia="仿宋" w:cs="仿宋"/>
          <w:color w:val="auto"/>
          <w:sz w:val="24"/>
        </w:rPr>
        <w:t>法定代表人/负责人或其委托代理人（签字或盖章）：            年</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w:t>
      </w:r>
    </w:p>
    <w:p w14:paraId="1784A0D7">
      <w:pPr>
        <w:pStyle w:val="2"/>
        <w:rPr>
          <w:color w:val="auto"/>
        </w:rPr>
      </w:pPr>
    </w:p>
    <w:p w14:paraId="46AB399C">
      <w:pPr>
        <w:pStyle w:val="3"/>
        <w:spacing w:after="0"/>
        <w:ind w:firstLine="880"/>
        <w:jc w:val="center"/>
        <w:rPr>
          <w:rFonts w:ascii="仿宋" w:hAnsi="仿宋" w:eastAsia="仿宋" w:cs="仿宋"/>
          <w:b w:val="0"/>
          <w:color w:val="auto"/>
          <w:sz w:val="44"/>
          <w:szCs w:val="44"/>
        </w:rPr>
      </w:pPr>
      <w:bookmarkStart w:id="14" w:name="_Toc414434999"/>
      <w:bookmarkStart w:id="15" w:name="_Toc1425"/>
      <w:r>
        <w:rPr>
          <w:rFonts w:hint="eastAsia" w:ascii="仿宋" w:hAnsi="仿宋" w:eastAsia="仿宋" w:cs="仿宋"/>
          <w:b w:val="0"/>
          <w:color w:val="auto"/>
          <w:sz w:val="44"/>
          <w:szCs w:val="44"/>
        </w:rPr>
        <w:t>附件四：投标承诺书</w:t>
      </w:r>
      <w:bookmarkEnd w:id="14"/>
      <w:bookmarkEnd w:id="15"/>
    </w:p>
    <w:p w14:paraId="03179309">
      <w:pPr>
        <w:spacing w:line="600" w:lineRule="exact"/>
        <w:rPr>
          <w:rFonts w:ascii="仿宋" w:hAnsi="仿宋" w:eastAsia="仿宋" w:cs="仿宋"/>
          <w:color w:val="auto"/>
          <w:sz w:val="24"/>
          <w:u w:val="single"/>
        </w:rPr>
      </w:pPr>
    </w:p>
    <w:p w14:paraId="79E04967">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(采购人）：</w:t>
      </w:r>
      <w:r>
        <w:rPr>
          <w:rFonts w:hint="eastAsia" w:ascii="仿宋" w:hAnsi="仿宋" w:eastAsia="仿宋" w:cs="仿宋"/>
          <w:color w:val="auto"/>
          <w:kern w:val="0"/>
          <w:sz w:val="24"/>
          <w:szCs w:val="24"/>
        </w:rPr>
        <w:t>浙江现代纺织技术创新中心有限公司</w:t>
      </w:r>
    </w:p>
    <w:p w14:paraId="616964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我公司自愿参加</w:t>
      </w:r>
      <w:r>
        <w:rPr>
          <w:rFonts w:hint="eastAsia" w:ascii="仿宋" w:hAnsi="仿宋" w:eastAsia="仿宋" w:cs="仿宋"/>
          <w:color w:val="auto"/>
          <w:sz w:val="24"/>
          <w:szCs w:val="24"/>
          <w:u w:val="single"/>
          <w:lang w:eastAsia="zh-CN"/>
        </w:rPr>
        <w:t>浙江现代纺织技术创新中心有限公司2025年度公款竞争性存放项目</w:t>
      </w:r>
      <w:r>
        <w:rPr>
          <w:rFonts w:hint="eastAsia" w:ascii="仿宋" w:hAnsi="仿宋" w:eastAsia="仿宋" w:cs="仿宋"/>
          <w:color w:val="auto"/>
          <w:sz w:val="24"/>
          <w:szCs w:val="24"/>
        </w:rPr>
        <w:t>（项目名称）的采购招标活动，完全遵守采购文件的所有要求，并作如下承诺：</w:t>
      </w:r>
    </w:p>
    <w:p w14:paraId="6766C8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1、本公司保证在本次招标项目中所提供的资料全部真实和合法。        </w:t>
      </w:r>
    </w:p>
    <w:p w14:paraId="218CBD11">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 xml:space="preserve">、本公司保证绝不采取不正当手段诋毁排挤其他投标人。                                             </w:t>
      </w:r>
    </w:p>
    <w:p w14:paraId="108A8580">
      <w:pPr>
        <w:keepNext w:val="0"/>
        <w:keepLines w:val="0"/>
        <w:pageBreakBefore w:val="0"/>
        <w:widowControl w:val="0"/>
        <w:kinsoku/>
        <w:wordWrap/>
        <w:overflowPunct/>
        <w:topLinePunct w:val="0"/>
        <w:autoSpaceDE/>
        <w:autoSpaceDN/>
        <w:bidi w:val="0"/>
        <w:adjustRightInd/>
        <w:snapToGrid/>
        <w:spacing w:line="360" w:lineRule="auto"/>
        <w:ind w:left="980" w:hanging="840" w:hangingChars="350"/>
        <w:textAlignment w:val="auto"/>
        <w:rPr>
          <w:rFonts w:ascii="仿宋" w:hAnsi="仿宋" w:eastAsia="仿宋" w:cs="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、本公司保证绝不向招标人有关工作人员提供不正当利益，以影响招</w:t>
      </w:r>
    </w:p>
    <w:p w14:paraId="1E73D92B">
      <w:pPr>
        <w:keepNext w:val="0"/>
        <w:keepLines w:val="0"/>
        <w:pageBreakBefore w:val="0"/>
        <w:widowControl w:val="0"/>
        <w:kinsoku/>
        <w:wordWrap/>
        <w:overflowPunct/>
        <w:topLinePunct w:val="0"/>
        <w:autoSpaceDE/>
        <w:autoSpaceDN/>
        <w:bidi w:val="0"/>
        <w:adjustRightInd/>
        <w:snapToGrid/>
        <w:spacing w:line="360" w:lineRule="auto"/>
        <w:ind w:left="900" w:leftChars="200" w:hanging="480" w:hangingChars="200"/>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标结果的公正性 。                                                           </w:t>
      </w:r>
    </w:p>
    <w:p w14:paraId="13F0F7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p>
    <w:p w14:paraId="343810BF">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仿宋" w:hAnsi="仿宋" w:eastAsia="仿宋" w:cs="仿宋"/>
          <w:color w:val="auto"/>
          <w:sz w:val="24"/>
          <w:szCs w:val="24"/>
          <w:u w:val="single"/>
        </w:rPr>
      </w:pPr>
    </w:p>
    <w:p w14:paraId="1E766579">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仿宋" w:hAnsi="仿宋" w:eastAsia="仿宋" w:cs="仿宋"/>
          <w:color w:val="auto"/>
          <w:sz w:val="24"/>
          <w:szCs w:val="24"/>
          <w:u w:val="single"/>
        </w:rPr>
      </w:pPr>
    </w:p>
    <w:p w14:paraId="34E4BD0E">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仿宋" w:hAnsi="仿宋" w:eastAsia="仿宋" w:cs="仿宋"/>
          <w:color w:val="auto"/>
          <w:sz w:val="24"/>
          <w:szCs w:val="24"/>
          <w:u w:val="single"/>
        </w:rPr>
      </w:pPr>
    </w:p>
    <w:p w14:paraId="4E6F4B1D">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投标人（盖章）：</w:t>
      </w:r>
    </w:p>
    <w:p w14:paraId="4E361EBA">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法定代表人/负责人或其委托代理人（签字或盖章）：</w:t>
      </w:r>
    </w:p>
    <w:p w14:paraId="67C38ADF">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仿宋" w:hAnsi="仿宋" w:eastAsia="仿宋" w:cs="仿宋"/>
          <w:color w:val="auto"/>
          <w:sz w:val="24"/>
          <w:szCs w:val="24"/>
        </w:rPr>
      </w:pPr>
    </w:p>
    <w:p w14:paraId="492A741E">
      <w:pPr>
        <w:keepNext w:val="0"/>
        <w:keepLines w:val="0"/>
        <w:pageBreakBefore w:val="0"/>
        <w:widowControl w:val="0"/>
        <w:kinsoku/>
        <w:wordWrap/>
        <w:overflowPunct/>
        <w:topLinePunct w:val="0"/>
        <w:autoSpaceDE/>
        <w:autoSpaceDN/>
        <w:bidi w:val="0"/>
        <w:adjustRightInd/>
        <w:snapToGrid/>
        <w:spacing w:line="360" w:lineRule="auto"/>
        <w:ind w:right="480" w:firstLine="1200" w:firstLineChars="500"/>
        <w:jc w:val="center"/>
        <w:textAlignment w:val="auto"/>
        <w:rPr>
          <w:rFonts w:ascii="仿宋" w:hAnsi="仿宋" w:eastAsia="仿宋" w:cs="仿宋"/>
          <w:color w:val="auto"/>
          <w:sz w:val="24"/>
          <w:szCs w:val="24"/>
        </w:rPr>
      </w:pPr>
    </w:p>
    <w:p w14:paraId="44F0E769">
      <w:pPr>
        <w:keepNext w:val="0"/>
        <w:keepLines w:val="0"/>
        <w:pageBreakBefore w:val="0"/>
        <w:widowControl w:val="0"/>
        <w:kinsoku/>
        <w:wordWrap/>
        <w:overflowPunct/>
        <w:topLinePunct w:val="0"/>
        <w:autoSpaceDE/>
        <w:autoSpaceDN/>
        <w:bidi w:val="0"/>
        <w:adjustRightInd/>
        <w:snapToGrid/>
        <w:spacing w:line="360" w:lineRule="auto"/>
        <w:ind w:right="480" w:firstLine="1200" w:firstLineChars="50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bookmarkStart w:id="16" w:name="_Toc477856805"/>
      <w:bookmarkStart w:id="17" w:name="_Toc512346029"/>
    </w:p>
    <w:p w14:paraId="4CA3BFE2">
      <w:pPr>
        <w:pStyle w:val="2"/>
        <w:keepNext w:val="0"/>
        <w:keepLines w:val="0"/>
        <w:pageBreakBefore w:val="0"/>
        <w:widowControl w:val="0"/>
        <w:kinsoku/>
        <w:wordWrap/>
        <w:overflowPunct/>
        <w:topLinePunct w:val="0"/>
        <w:autoSpaceDE/>
        <w:autoSpaceDN/>
        <w:bidi w:val="0"/>
        <w:adjustRightInd/>
        <w:snapToGrid/>
        <w:spacing w:line="360" w:lineRule="auto"/>
        <w:ind w:firstLine="1044"/>
        <w:textAlignment w:val="auto"/>
        <w:rPr>
          <w:color w:val="auto"/>
          <w:sz w:val="24"/>
          <w:szCs w:val="24"/>
        </w:rPr>
      </w:pPr>
    </w:p>
    <w:p w14:paraId="42A98038">
      <w:pPr>
        <w:pStyle w:val="2"/>
        <w:ind w:firstLine="1044"/>
        <w:rPr>
          <w:color w:val="auto"/>
        </w:rPr>
      </w:pPr>
    </w:p>
    <w:p w14:paraId="7D99C13E">
      <w:pPr>
        <w:pStyle w:val="2"/>
        <w:ind w:firstLine="1044"/>
        <w:rPr>
          <w:color w:val="auto"/>
        </w:rPr>
      </w:pPr>
    </w:p>
    <w:p w14:paraId="2F80CD34">
      <w:pPr>
        <w:pStyle w:val="2"/>
        <w:ind w:firstLine="1044"/>
        <w:rPr>
          <w:color w:val="auto"/>
        </w:rPr>
      </w:pPr>
    </w:p>
    <w:p w14:paraId="2747E7AB">
      <w:pPr>
        <w:pStyle w:val="2"/>
        <w:ind w:firstLine="1044"/>
        <w:rPr>
          <w:color w:val="auto"/>
        </w:rPr>
      </w:pPr>
    </w:p>
    <w:p w14:paraId="3AAEDD52">
      <w:pPr>
        <w:pStyle w:val="2"/>
        <w:ind w:firstLine="1044"/>
        <w:rPr>
          <w:color w:val="auto"/>
        </w:rPr>
      </w:pPr>
    </w:p>
    <w:p w14:paraId="2BB05D0F">
      <w:pPr>
        <w:pStyle w:val="2"/>
        <w:ind w:firstLine="1044"/>
        <w:rPr>
          <w:color w:val="auto"/>
        </w:rPr>
      </w:pPr>
    </w:p>
    <w:p w14:paraId="58E31B0B">
      <w:pPr>
        <w:pStyle w:val="2"/>
        <w:ind w:firstLine="1044"/>
        <w:rPr>
          <w:color w:val="auto"/>
        </w:rPr>
      </w:pPr>
    </w:p>
    <w:p w14:paraId="17A1AC2D">
      <w:pPr>
        <w:pStyle w:val="3"/>
        <w:ind w:left="931" w:leftChars="39" w:hanging="849" w:hangingChars="193"/>
        <w:jc w:val="center"/>
        <w:rPr>
          <w:rFonts w:ascii="仿宋" w:hAnsi="仿宋" w:eastAsia="仿宋" w:cs="仿宋"/>
          <w:b w:val="0"/>
          <w:color w:val="auto"/>
          <w:sz w:val="44"/>
          <w:szCs w:val="44"/>
        </w:rPr>
      </w:pPr>
      <w:bookmarkStart w:id="18" w:name="_Toc22627"/>
      <w:r>
        <w:rPr>
          <w:rFonts w:hint="eastAsia" w:ascii="仿宋" w:hAnsi="仿宋" w:eastAsia="仿宋" w:cs="仿宋"/>
          <w:b w:val="0"/>
          <w:color w:val="auto"/>
          <w:sz w:val="44"/>
          <w:szCs w:val="44"/>
        </w:rPr>
        <w:t>第五章评标办法</w:t>
      </w:r>
      <w:bookmarkEnd w:id="16"/>
      <w:bookmarkEnd w:id="17"/>
      <w:bookmarkEnd w:id="18"/>
    </w:p>
    <w:p w14:paraId="429745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根据《中华人民共和国政府招标投标法》等有关法律法规，结合本项目的实际，按照公正、公平、科学的原则择优选择中标人，特制定本评标办法。</w:t>
      </w:r>
    </w:p>
    <w:p w14:paraId="1A0F3B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一、总则</w:t>
      </w:r>
    </w:p>
    <w:p w14:paraId="2B6A4A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评标工作必须遵循公平、公正的竞争原则。最大限度地保护当事人的权益，评标委员会应严格按照招标文件要求，对投标文件进行综合分析评价。评标人员必须严格遵守保密规定，不得泄露评标有关的情况，不得索贿，不得参加影响评标的任何活动。</w:t>
      </w:r>
    </w:p>
    <w:p w14:paraId="036BC2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二、评标组织</w:t>
      </w:r>
    </w:p>
    <w:p w14:paraId="0D610F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评标委员会：评标委员会按相关规定共由5人及以上单数组成。</w:t>
      </w:r>
    </w:p>
    <w:p w14:paraId="2057A2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三、评标程序</w:t>
      </w:r>
    </w:p>
    <w:p w14:paraId="038C06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开标后，首先验证投标人资格，评标委员会对投标书进行符合性审查。再对投标人资质、资信及方案进行评审；凡投标书实质性内容严重不符合招标文件规定或不响应招标文件要求者，经评标委员会及采购人认定，作为无效投标予以废除。</w:t>
      </w:r>
    </w:p>
    <w:p w14:paraId="05A4EF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2、采用综合评分法，评标委员会委员将根据投标人的商务技术标等内容对投标文件进行分析、评议、打分，如有疑问，将对投标人进行询标，投标人要向评标委员会澄清有关问题，并最终以书面形式进行答复。商务技术标评审结束后，依次开价格标，评标委员会委员审核价格标，并计算分值。</w:t>
      </w:r>
    </w:p>
    <w:p w14:paraId="400C62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3、具体评审步骤和方法：</w:t>
      </w:r>
    </w:p>
    <w:p w14:paraId="095BEE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①第一步，由评标委员会对通过资格审查的投标人的商务技术标进行评审打分。评审打分完成后向投标人公布商务技术标分值。</w:t>
      </w:r>
    </w:p>
    <w:p w14:paraId="67FF82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②第二步，开启价格标，对各投标人的价格标由评标委员会统一评审进行计算评分。</w:t>
      </w:r>
    </w:p>
    <w:p w14:paraId="2AA748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③第三步，计算出各投标人的总得分。根据中标结果在指定的媒体上公示三天。</w:t>
      </w:r>
    </w:p>
    <w:p w14:paraId="55AB0C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四、评分项目说明</w:t>
      </w:r>
    </w:p>
    <w:p w14:paraId="461AAA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1、商务技术分价格分总分为100分，评标委员会成员评分在得分栏中填上分值。</w:t>
      </w:r>
    </w:p>
    <w:p w14:paraId="7D7F0E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2、商务技术标</w:t>
      </w:r>
      <w:r>
        <w:rPr>
          <w:rFonts w:hint="eastAsia" w:ascii="仿宋" w:hAnsi="仿宋" w:eastAsia="仿宋" w:cs="仿宋"/>
          <w:color w:val="auto"/>
          <w:sz w:val="24"/>
          <w:lang w:val="en-US" w:eastAsia="zh-CN"/>
        </w:rPr>
        <w:t>8</w:t>
      </w:r>
      <w:r>
        <w:rPr>
          <w:rFonts w:hint="eastAsia" w:ascii="仿宋" w:hAnsi="仿宋" w:eastAsia="仿宋" w:cs="仿宋"/>
          <w:color w:val="auto"/>
          <w:sz w:val="24"/>
        </w:rPr>
        <w:t>0%，即满分</w:t>
      </w:r>
      <w:r>
        <w:rPr>
          <w:rFonts w:hint="eastAsia" w:ascii="仿宋" w:hAnsi="仿宋" w:eastAsia="仿宋" w:cs="仿宋"/>
          <w:color w:val="auto"/>
          <w:sz w:val="24"/>
          <w:lang w:val="en-US" w:eastAsia="zh-CN"/>
        </w:rPr>
        <w:t>8</w:t>
      </w:r>
      <w:r>
        <w:rPr>
          <w:rFonts w:hint="eastAsia" w:ascii="仿宋" w:hAnsi="仿宋" w:eastAsia="仿宋" w:cs="仿宋"/>
          <w:color w:val="auto"/>
          <w:sz w:val="24"/>
        </w:rPr>
        <w:t>0分。评标委员会成员按各投标人的商务技术标内容充分审核、讨论、评议后，按评分细则进行独立评判、打分。各投标人商务技术标的最终评分值为评标委员会各成员评分值的算术平均值。</w:t>
      </w:r>
    </w:p>
    <w:p w14:paraId="1264C1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3、价格标</w:t>
      </w:r>
      <w:r>
        <w:rPr>
          <w:rFonts w:hint="eastAsia" w:ascii="仿宋" w:hAnsi="仿宋" w:eastAsia="仿宋" w:cs="仿宋"/>
          <w:color w:val="auto"/>
          <w:sz w:val="24"/>
          <w:lang w:val="en-US" w:eastAsia="zh-CN"/>
        </w:rPr>
        <w:t>2</w:t>
      </w:r>
      <w:r>
        <w:rPr>
          <w:rFonts w:hint="eastAsia" w:ascii="仿宋" w:hAnsi="仿宋" w:eastAsia="仿宋" w:cs="仿宋"/>
          <w:color w:val="auto"/>
          <w:sz w:val="24"/>
        </w:rPr>
        <w:t>0%，即满分</w:t>
      </w:r>
      <w:r>
        <w:rPr>
          <w:rFonts w:hint="eastAsia" w:ascii="仿宋" w:hAnsi="仿宋" w:eastAsia="仿宋" w:cs="仿宋"/>
          <w:color w:val="auto"/>
          <w:sz w:val="24"/>
          <w:lang w:val="en-US" w:eastAsia="zh-CN"/>
        </w:rPr>
        <w:t>2</w:t>
      </w:r>
      <w:r>
        <w:rPr>
          <w:rFonts w:hint="eastAsia" w:ascii="仿宋" w:hAnsi="仿宋" w:eastAsia="仿宋" w:cs="仿宋"/>
          <w:color w:val="auto"/>
          <w:sz w:val="24"/>
        </w:rPr>
        <w:t>0分。评标委员会成员按评分细则对各投标人的报价进行统一计算评分。</w:t>
      </w:r>
    </w:p>
    <w:p w14:paraId="063CAC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4、专家打分分值保留小数点后1位。统计或计算分值时的精度最终精确到小数点后2位。</w:t>
      </w:r>
    </w:p>
    <w:p w14:paraId="48A093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五、评分细则</w:t>
      </w:r>
    </w:p>
    <w:p w14:paraId="52721A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1、商务技术标评分标准（</w:t>
      </w:r>
      <w:r>
        <w:rPr>
          <w:rFonts w:hint="eastAsia" w:ascii="仿宋" w:hAnsi="仿宋" w:eastAsia="仿宋" w:cs="仿宋"/>
          <w:color w:val="auto"/>
          <w:sz w:val="24"/>
          <w:lang w:val="en-US" w:eastAsia="zh-CN"/>
        </w:rPr>
        <w:t>8</w:t>
      </w:r>
      <w:r>
        <w:rPr>
          <w:rFonts w:hint="eastAsia" w:ascii="仿宋" w:hAnsi="仿宋" w:eastAsia="仿宋" w:cs="仿宋"/>
          <w:color w:val="auto"/>
          <w:sz w:val="24"/>
        </w:rPr>
        <w:t xml:space="preserve">0分） </w:t>
      </w:r>
    </w:p>
    <w:tbl>
      <w:tblPr>
        <w:tblStyle w:val="15"/>
        <w:tblpPr w:leftFromText="180" w:rightFromText="180" w:vertAnchor="text" w:horzAnchor="page" w:tblpXSpec="center" w:tblpY="432"/>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843"/>
        <w:gridCol w:w="884"/>
        <w:gridCol w:w="5319"/>
        <w:gridCol w:w="993"/>
      </w:tblGrid>
      <w:tr w14:paraId="3BD4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977" w:type="dxa"/>
            <w:gridSpan w:val="2"/>
            <w:vAlign w:val="center"/>
          </w:tcPr>
          <w:p w14:paraId="7A7542FF">
            <w:pPr>
              <w:ind w:firstLine="482"/>
              <w:jc w:val="center"/>
              <w:rPr>
                <w:rFonts w:ascii="仿宋" w:hAnsi="仿宋" w:eastAsia="仿宋" w:cs="仿宋"/>
                <w:bCs/>
                <w:color w:val="auto"/>
                <w:sz w:val="24"/>
              </w:rPr>
            </w:pPr>
            <w:r>
              <w:rPr>
                <w:rFonts w:hint="eastAsia" w:ascii="仿宋" w:hAnsi="仿宋" w:eastAsia="仿宋" w:cs="仿宋"/>
                <w:bCs/>
                <w:color w:val="auto"/>
                <w:sz w:val="24"/>
              </w:rPr>
              <w:t>项目</w:t>
            </w:r>
          </w:p>
        </w:tc>
        <w:tc>
          <w:tcPr>
            <w:tcW w:w="884" w:type="dxa"/>
            <w:vAlign w:val="center"/>
          </w:tcPr>
          <w:p w14:paraId="4A1AAD20">
            <w:pPr>
              <w:rPr>
                <w:rFonts w:ascii="仿宋" w:hAnsi="仿宋" w:eastAsia="仿宋" w:cs="仿宋"/>
                <w:bCs/>
                <w:color w:val="auto"/>
                <w:sz w:val="24"/>
              </w:rPr>
            </w:pPr>
            <w:r>
              <w:rPr>
                <w:rFonts w:hint="eastAsia" w:ascii="仿宋" w:hAnsi="仿宋" w:eastAsia="仿宋" w:cs="仿宋"/>
                <w:bCs/>
                <w:color w:val="auto"/>
                <w:sz w:val="24"/>
              </w:rPr>
              <w:t>分值</w:t>
            </w:r>
          </w:p>
        </w:tc>
        <w:tc>
          <w:tcPr>
            <w:tcW w:w="5319" w:type="dxa"/>
            <w:vAlign w:val="center"/>
          </w:tcPr>
          <w:p w14:paraId="03F575E1">
            <w:pPr>
              <w:ind w:firstLine="482"/>
              <w:jc w:val="center"/>
              <w:rPr>
                <w:rFonts w:ascii="仿宋" w:hAnsi="仿宋" w:eastAsia="仿宋" w:cs="仿宋"/>
                <w:bCs/>
                <w:color w:val="auto"/>
                <w:sz w:val="24"/>
              </w:rPr>
            </w:pPr>
            <w:r>
              <w:rPr>
                <w:rFonts w:hint="eastAsia" w:ascii="仿宋" w:hAnsi="仿宋" w:eastAsia="仿宋" w:cs="仿宋"/>
                <w:bCs/>
                <w:color w:val="auto"/>
                <w:sz w:val="24"/>
              </w:rPr>
              <w:t>评分标准</w:t>
            </w:r>
          </w:p>
        </w:tc>
        <w:tc>
          <w:tcPr>
            <w:tcW w:w="993" w:type="dxa"/>
            <w:vAlign w:val="center"/>
          </w:tcPr>
          <w:p w14:paraId="2E62AC69">
            <w:pPr>
              <w:rPr>
                <w:rFonts w:ascii="仿宋" w:hAnsi="仿宋" w:eastAsia="仿宋" w:cs="仿宋"/>
                <w:bCs/>
                <w:color w:val="auto"/>
                <w:sz w:val="24"/>
              </w:rPr>
            </w:pPr>
            <w:r>
              <w:rPr>
                <w:rFonts w:hint="eastAsia" w:ascii="仿宋" w:hAnsi="仿宋" w:eastAsia="仿宋" w:cs="仿宋"/>
                <w:bCs/>
                <w:color w:val="auto"/>
                <w:sz w:val="24"/>
              </w:rPr>
              <w:t>指标来源</w:t>
            </w:r>
          </w:p>
        </w:tc>
      </w:tr>
      <w:tr w14:paraId="78DE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134" w:type="dxa"/>
            <w:vMerge w:val="restart"/>
            <w:vAlign w:val="center"/>
          </w:tcPr>
          <w:p w14:paraId="4BB2EB69">
            <w:pPr>
              <w:rPr>
                <w:rFonts w:hint="eastAsia" w:ascii="仿宋" w:hAnsi="仿宋" w:eastAsia="仿宋"/>
                <w:color w:val="auto"/>
                <w:lang w:eastAsia="zh-CN"/>
              </w:rPr>
            </w:pPr>
            <w:r>
              <w:rPr>
                <w:rFonts w:hint="eastAsia" w:ascii="仿宋" w:hAnsi="仿宋" w:eastAsia="仿宋"/>
                <w:color w:val="auto"/>
                <w:lang w:eastAsia="zh-CN"/>
              </w:rPr>
              <w:t>经营状况（</w:t>
            </w:r>
            <w:r>
              <w:rPr>
                <w:rFonts w:hint="eastAsia" w:ascii="仿宋" w:hAnsi="仿宋" w:eastAsia="仿宋"/>
                <w:color w:val="auto"/>
                <w:lang w:val="en-US" w:eastAsia="zh-CN"/>
              </w:rPr>
              <w:t>30</w:t>
            </w:r>
            <w:r>
              <w:rPr>
                <w:rFonts w:hint="eastAsia" w:ascii="仿宋" w:hAnsi="仿宋" w:eastAsia="仿宋"/>
                <w:color w:val="auto"/>
              </w:rPr>
              <w:t>分</w:t>
            </w:r>
            <w:r>
              <w:rPr>
                <w:rFonts w:hint="eastAsia" w:ascii="仿宋" w:hAnsi="仿宋" w:eastAsia="仿宋"/>
                <w:color w:val="auto"/>
                <w:lang w:eastAsia="zh-CN"/>
              </w:rPr>
              <w:t>）</w:t>
            </w:r>
          </w:p>
        </w:tc>
        <w:tc>
          <w:tcPr>
            <w:tcW w:w="1843" w:type="dxa"/>
            <w:vAlign w:val="center"/>
          </w:tcPr>
          <w:p w14:paraId="61477365">
            <w:pPr>
              <w:jc w:val="center"/>
              <w:rPr>
                <w:rFonts w:hint="eastAsia" w:ascii="仿宋" w:hAnsi="仿宋" w:eastAsia="仿宋"/>
                <w:color w:val="auto"/>
                <w:lang w:eastAsia="zh-CN"/>
              </w:rPr>
            </w:pPr>
            <w:r>
              <w:rPr>
                <w:rFonts w:hint="eastAsia" w:ascii="仿宋" w:hAnsi="仿宋" w:eastAsia="仿宋" w:cs="仿宋"/>
                <w:color w:val="auto"/>
                <w:szCs w:val="21"/>
                <w:lang w:eastAsia="zh-CN"/>
              </w:rPr>
              <w:t>资产质量</w:t>
            </w:r>
          </w:p>
        </w:tc>
        <w:tc>
          <w:tcPr>
            <w:tcW w:w="884" w:type="dxa"/>
            <w:vAlign w:val="center"/>
          </w:tcPr>
          <w:p w14:paraId="32FFCB3F">
            <w:pPr>
              <w:rPr>
                <w:rFonts w:ascii="仿宋" w:hAnsi="仿宋" w:eastAsia="仿宋"/>
                <w:color w:val="auto"/>
              </w:rPr>
            </w:pPr>
            <w:r>
              <w:rPr>
                <w:rFonts w:hint="eastAsia" w:ascii="仿宋" w:hAnsi="仿宋" w:eastAsia="仿宋"/>
                <w:color w:val="auto"/>
                <w:lang w:val="en-US" w:eastAsia="zh-CN"/>
              </w:rPr>
              <w:t>6</w:t>
            </w:r>
            <w:r>
              <w:rPr>
                <w:rFonts w:hint="eastAsia" w:ascii="仿宋" w:hAnsi="仿宋" w:eastAsia="仿宋"/>
                <w:color w:val="auto"/>
              </w:rPr>
              <w:t>分</w:t>
            </w:r>
          </w:p>
        </w:tc>
        <w:tc>
          <w:tcPr>
            <w:tcW w:w="5319" w:type="dxa"/>
            <w:vAlign w:val="center"/>
          </w:tcPr>
          <w:p w14:paraId="0911146C">
            <w:pPr>
              <w:rPr>
                <w:rFonts w:hint="eastAsia" w:ascii="仿宋" w:hAnsi="仿宋" w:eastAsia="仿宋" w:cs="仿宋"/>
                <w:color w:val="auto"/>
                <w:szCs w:val="21"/>
              </w:rPr>
            </w:pPr>
            <w:r>
              <w:rPr>
                <w:rFonts w:hint="eastAsia" w:ascii="仿宋" w:hAnsi="仿宋" w:eastAsia="仿宋" w:cs="仿宋"/>
                <w:color w:val="auto"/>
                <w:szCs w:val="21"/>
              </w:rPr>
              <w:t>202</w:t>
            </w:r>
            <w:r>
              <w:rPr>
                <w:rFonts w:hint="eastAsia" w:ascii="仿宋" w:hAnsi="仿宋" w:eastAsia="仿宋" w:cs="仿宋"/>
                <w:color w:val="auto"/>
                <w:szCs w:val="21"/>
                <w:lang w:val="en-US" w:eastAsia="zh-CN"/>
              </w:rPr>
              <w:t>5</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3</w:t>
            </w:r>
            <w:r>
              <w:rPr>
                <w:rFonts w:hint="eastAsia" w:ascii="仿宋" w:hAnsi="仿宋" w:eastAsia="仿宋" w:cs="仿宋"/>
                <w:color w:val="auto"/>
                <w:szCs w:val="21"/>
              </w:rPr>
              <w:t>月末不良贷款率排名:</w:t>
            </w:r>
          </w:p>
          <w:p w14:paraId="0EEEA82C">
            <w:pPr>
              <w:rPr>
                <w:rFonts w:ascii="仿宋" w:hAnsi="仿宋" w:eastAsia="仿宋"/>
                <w:color w:val="auto"/>
              </w:rPr>
            </w:pPr>
            <w:r>
              <w:rPr>
                <w:rFonts w:hint="eastAsia" w:ascii="仿宋" w:hAnsi="仿宋" w:eastAsia="仿宋" w:cs="仿宋"/>
                <w:color w:val="auto"/>
                <w:szCs w:val="21"/>
              </w:rPr>
              <w:t xml:space="preserve">第1得 </w:t>
            </w:r>
            <w:r>
              <w:rPr>
                <w:rFonts w:hint="eastAsia" w:ascii="仿宋" w:hAnsi="仿宋" w:eastAsia="仿宋" w:cs="仿宋"/>
                <w:color w:val="auto"/>
                <w:szCs w:val="21"/>
                <w:lang w:val="en-US" w:eastAsia="zh-CN"/>
              </w:rPr>
              <w:t>6</w:t>
            </w:r>
            <w:r>
              <w:rPr>
                <w:rFonts w:hint="eastAsia" w:ascii="仿宋" w:hAnsi="仿宋" w:eastAsia="仿宋" w:cs="仿宋"/>
                <w:color w:val="auto"/>
                <w:szCs w:val="21"/>
              </w:rPr>
              <w:t xml:space="preserve"> 分，每递减一名扣减的分值为 0.1分，最低得0分。(按四舍五入，保留2位小数点)</w:t>
            </w:r>
          </w:p>
        </w:tc>
        <w:tc>
          <w:tcPr>
            <w:tcW w:w="993" w:type="dxa"/>
            <w:vAlign w:val="center"/>
          </w:tcPr>
          <w:p w14:paraId="6B0D3A06">
            <w:pPr>
              <w:rPr>
                <w:rFonts w:hint="eastAsia" w:ascii="仿宋" w:hAnsi="仿宋" w:eastAsia="仿宋"/>
                <w:color w:val="auto"/>
                <w:lang w:eastAsia="zh-CN"/>
              </w:rPr>
            </w:pPr>
            <w:r>
              <w:rPr>
                <w:rFonts w:hint="eastAsia" w:ascii="仿宋" w:hAnsi="仿宋" w:eastAsia="仿宋"/>
                <w:color w:val="auto"/>
              </w:rPr>
              <w:t>区</w:t>
            </w:r>
            <w:r>
              <w:rPr>
                <w:rFonts w:hint="eastAsia" w:ascii="仿宋" w:hAnsi="仿宋" w:eastAsia="仿宋"/>
                <w:color w:val="auto"/>
                <w:lang w:eastAsia="zh-CN"/>
              </w:rPr>
              <w:t>金融服务中心</w:t>
            </w:r>
          </w:p>
        </w:tc>
      </w:tr>
      <w:tr w14:paraId="3287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134" w:type="dxa"/>
            <w:vMerge w:val="continue"/>
            <w:vAlign w:val="center"/>
          </w:tcPr>
          <w:p w14:paraId="2791F693">
            <w:pPr>
              <w:rPr>
                <w:rFonts w:ascii="仿宋" w:hAnsi="仿宋" w:eastAsia="仿宋"/>
                <w:color w:val="auto"/>
              </w:rPr>
            </w:pPr>
          </w:p>
        </w:tc>
        <w:tc>
          <w:tcPr>
            <w:tcW w:w="1843" w:type="dxa"/>
            <w:vAlign w:val="center"/>
          </w:tcPr>
          <w:p w14:paraId="6AB65C09">
            <w:pPr>
              <w:jc w:val="center"/>
              <w:rPr>
                <w:rFonts w:hint="eastAsia" w:ascii="仿宋" w:hAnsi="仿宋" w:eastAsia="仿宋"/>
                <w:color w:val="auto"/>
                <w:lang w:eastAsia="zh-CN"/>
              </w:rPr>
            </w:pPr>
            <w:r>
              <w:rPr>
                <w:rFonts w:hint="eastAsia" w:ascii="仿宋" w:hAnsi="仿宋" w:eastAsia="仿宋"/>
                <w:color w:val="auto"/>
                <w:lang w:eastAsia="zh-CN"/>
              </w:rPr>
              <w:t>利润增长</w:t>
            </w:r>
          </w:p>
        </w:tc>
        <w:tc>
          <w:tcPr>
            <w:tcW w:w="884" w:type="dxa"/>
            <w:vAlign w:val="center"/>
          </w:tcPr>
          <w:p w14:paraId="54357649">
            <w:pPr>
              <w:rPr>
                <w:rFonts w:ascii="仿宋" w:hAnsi="仿宋" w:eastAsia="仿宋"/>
                <w:color w:val="auto"/>
              </w:rPr>
            </w:pPr>
            <w:r>
              <w:rPr>
                <w:rFonts w:hint="eastAsia" w:ascii="仿宋" w:hAnsi="仿宋" w:eastAsia="仿宋"/>
                <w:color w:val="auto"/>
                <w:lang w:val="en-US" w:eastAsia="zh-CN"/>
              </w:rPr>
              <w:t>6</w:t>
            </w:r>
            <w:r>
              <w:rPr>
                <w:rFonts w:hint="eastAsia" w:ascii="仿宋" w:hAnsi="仿宋" w:eastAsia="仿宋"/>
                <w:color w:val="auto"/>
              </w:rPr>
              <w:t>分</w:t>
            </w:r>
          </w:p>
        </w:tc>
        <w:tc>
          <w:tcPr>
            <w:tcW w:w="5319" w:type="dxa"/>
            <w:vAlign w:val="center"/>
          </w:tcPr>
          <w:p w14:paraId="2348CE2C">
            <w:pPr>
              <w:rPr>
                <w:rFonts w:ascii="仿宋" w:hAnsi="仿宋" w:eastAsia="仿宋"/>
                <w:color w:val="auto"/>
              </w:rPr>
            </w:pPr>
            <w:r>
              <w:rPr>
                <w:rFonts w:hint="eastAsia" w:ascii="仿宋" w:hAnsi="仿宋" w:eastAsia="仿宋"/>
                <w:color w:val="auto"/>
              </w:rPr>
              <w:t>按照 202</w:t>
            </w:r>
            <w:r>
              <w:rPr>
                <w:rFonts w:hint="eastAsia" w:ascii="仿宋" w:hAnsi="仿宋" w:eastAsia="仿宋"/>
                <w:color w:val="auto"/>
                <w:lang w:val="en-US" w:eastAsia="zh-CN"/>
              </w:rPr>
              <w:t>5</w:t>
            </w:r>
            <w:r>
              <w:rPr>
                <w:rFonts w:hint="eastAsia" w:ascii="仿宋" w:hAnsi="仿宋" w:eastAsia="仿宋"/>
                <w:color w:val="auto"/>
              </w:rPr>
              <w:t xml:space="preserve"> 年第</w:t>
            </w:r>
            <w:r>
              <w:rPr>
                <w:rFonts w:hint="eastAsia" w:ascii="仿宋" w:hAnsi="仿宋" w:eastAsia="仿宋"/>
                <w:color w:val="auto"/>
                <w:lang w:val="en-US" w:eastAsia="zh-CN"/>
              </w:rPr>
              <w:t>1</w:t>
            </w:r>
            <w:r>
              <w:rPr>
                <w:rFonts w:hint="eastAsia" w:ascii="仿宋" w:hAnsi="仿宋" w:eastAsia="仿宋"/>
                <w:color w:val="auto"/>
              </w:rPr>
              <w:t xml:space="preserve">季度利润同比增长率由高到低排名，第1得 </w:t>
            </w:r>
            <w:r>
              <w:rPr>
                <w:rFonts w:hint="eastAsia" w:ascii="仿宋" w:hAnsi="仿宋" w:eastAsia="仿宋"/>
                <w:color w:val="auto"/>
                <w:lang w:val="en-US" w:eastAsia="zh-CN"/>
              </w:rPr>
              <w:t>6</w:t>
            </w:r>
            <w:r>
              <w:rPr>
                <w:rFonts w:hint="eastAsia" w:ascii="仿宋" w:hAnsi="仿宋" w:eastAsia="仿宋"/>
                <w:color w:val="auto"/>
              </w:rPr>
              <w:t xml:space="preserve"> 分，每递减一名扣减的分值为 0.1分，最低得0分。(按四舍五入，保留2位小数点)</w:t>
            </w:r>
          </w:p>
        </w:tc>
        <w:tc>
          <w:tcPr>
            <w:tcW w:w="993" w:type="dxa"/>
            <w:vAlign w:val="center"/>
          </w:tcPr>
          <w:p w14:paraId="501E1ED1">
            <w:pPr>
              <w:rPr>
                <w:rFonts w:ascii="仿宋" w:hAnsi="仿宋" w:eastAsia="仿宋"/>
                <w:color w:val="auto"/>
              </w:rPr>
            </w:pPr>
            <w:r>
              <w:rPr>
                <w:rFonts w:hint="eastAsia" w:ascii="仿宋" w:hAnsi="仿宋" w:eastAsia="仿宋"/>
                <w:color w:val="auto"/>
              </w:rPr>
              <w:t>区财政局</w:t>
            </w:r>
          </w:p>
        </w:tc>
      </w:tr>
      <w:tr w14:paraId="7B10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134" w:type="dxa"/>
            <w:vMerge w:val="continue"/>
            <w:vAlign w:val="center"/>
          </w:tcPr>
          <w:p w14:paraId="556B0DDD">
            <w:pPr>
              <w:rPr>
                <w:rFonts w:hint="eastAsia" w:ascii="仿宋" w:hAnsi="仿宋" w:eastAsia="仿宋"/>
                <w:color w:val="auto"/>
                <w:lang w:eastAsia="zh-CN"/>
              </w:rPr>
            </w:pPr>
          </w:p>
        </w:tc>
        <w:tc>
          <w:tcPr>
            <w:tcW w:w="1843" w:type="dxa"/>
            <w:vAlign w:val="center"/>
          </w:tcPr>
          <w:p w14:paraId="002E786A">
            <w:pPr>
              <w:jc w:val="center"/>
              <w:rPr>
                <w:rFonts w:hint="eastAsia" w:ascii="仿宋" w:hAnsi="仿宋" w:eastAsia="仿宋"/>
                <w:color w:val="auto"/>
                <w:lang w:eastAsia="zh-CN"/>
              </w:rPr>
            </w:pPr>
            <w:r>
              <w:rPr>
                <w:rFonts w:hint="eastAsia" w:ascii="仿宋" w:hAnsi="仿宋" w:eastAsia="仿宋"/>
                <w:color w:val="auto"/>
                <w:lang w:eastAsia="zh-CN"/>
              </w:rPr>
              <w:t>两项净收入</w:t>
            </w:r>
          </w:p>
          <w:p w14:paraId="20423D06">
            <w:pPr>
              <w:jc w:val="center"/>
              <w:rPr>
                <w:rFonts w:hint="eastAsia" w:ascii="仿宋" w:hAnsi="仿宋" w:eastAsia="仿宋"/>
                <w:color w:val="auto"/>
                <w:lang w:eastAsia="zh-CN"/>
              </w:rPr>
            </w:pPr>
            <w:r>
              <w:rPr>
                <w:rFonts w:hint="eastAsia" w:ascii="仿宋" w:hAnsi="仿宋" w:eastAsia="仿宋"/>
                <w:color w:val="auto"/>
                <w:lang w:eastAsia="zh-CN"/>
              </w:rPr>
              <w:t>（利息净收入、手续费及佣金净收入）当年金额</w:t>
            </w:r>
          </w:p>
        </w:tc>
        <w:tc>
          <w:tcPr>
            <w:tcW w:w="884" w:type="dxa"/>
            <w:vAlign w:val="center"/>
          </w:tcPr>
          <w:p w14:paraId="1B41212B">
            <w:pPr>
              <w:rPr>
                <w:rFonts w:hint="eastAsia" w:ascii="仿宋" w:hAnsi="仿宋" w:eastAsia="仿宋"/>
                <w:color w:val="auto"/>
              </w:rPr>
            </w:pPr>
            <w:r>
              <w:rPr>
                <w:rFonts w:hint="eastAsia" w:ascii="仿宋" w:hAnsi="仿宋" w:eastAsia="仿宋"/>
                <w:color w:val="auto"/>
                <w:lang w:val="en-US" w:eastAsia="zh-CN"/>
              </w:rPr>
              <w:t>6</w:t>
            </w:r>
            <w:r>
              <w:rPr>
                <w:rFonts w:hint="eastAsia" w:ascii="仿宋" w:hAnsi="仿宋" w:eastAsia="仿宋"/>
                <w:color w:val="auto"/>
              </w:rPr>
              <w:t>分</w:t>
            </w:r>
          </w:p>
        </w:tc>
        <w:tc>
          <w:tcPr>
            <w:tcW w:w="5319" w:type="dxa"/>
            <w:vAlign w:val="center"/>
          </w:tcPr>
          <w:p w14:paraId="5F29D561">
            <w:pPr>
              <w:rPr>
                <w:rFonts w:hint="eastAsia" w:ascii="仿宋" w:hAnsi="仿宋" w:eastAsia="仿宋"/>
                <w:color w:val="auto"/>
                <w:lang w:val="en-US" w:eastAsia="zh-CN"/>
              </w:rPr>
            </w:pPr>
            <w:r>
              <w:rPr>
                <w:rFonts w:hint="eastAsia" w:ascii="仿宋" w:hAnsi="仿宋" w:eastAsia="仿宋"/>
                <w:color w:val="auto"/>
                <w:lang w:val="en-US" w:eastAsia="zh-CN"/>
              </w:rPr>
              <w:t>2025年3月末两项净收入当年金额排名：</w:t>
            </w:r>
          </w:p>
          <w:p w14:paraId="05E35732">
            <w:pPr>
              <w:rPr>
                <w:rFonts w:hint="default"/>
                <w:color w:val="auto"/>
                <w:lang w:val="en-US" w:eastAsia="zh-CN"/>
              </w:rPr>
            </w:pPr>
            <w:r>
              <w:rPr>
                <w:rFonts w:hint="default" w:ascii="仿宋" w:hAnsi="仿宋" w:eastAsia="仿宋"/>
                <w:color w:val="auto"/>
                <w:lang w:val="en-US" w:eastAsia="zh-CN"/>
              </w:rPr>
              <w:t xml:space="preserve">第1得 </w:t>
            </w:r>
            <w:r>
              <w:rPr>
                <w:rFonts w:hint="eastAsia" w:ascii="仿宋" w:hAnsi="仿宋" w:eastAsia="仿宋"/>
                <w:color w:val="auto"/>
                <w:lang w:val="en-US" w:eastAsia="zh-CN"/>
              </w:rPr>
              <w:t>6</w:t>
            </w:r>
            <w:r>
              <w:rPr>
                <w:rFonts w:hint="default" w:ascii="仿宋" w:hAnsi="仿宋" w:eastAsia="仿宋"/>
                <w:color w:val="auto"/>
                <w:lang w:val="en-US" w:eastAsia="zh-CN"/>
              </w:rPr>
              <w:t xml:space="preserve"> 分，每递减一名扣减的分值为 0.1分，最低得0分。(按四舍五入，保留2位小数点)</w:t>
            </w:r>
          </w:p>
        </w:tc>
        <w:tc>
          <w:tcPr>
            <w:tcW w:w="993" w:type="dxa"/>
            <w:vAlign w:val="center"/>
          </w:tcPr>
          <w:p w14:paraId="736475F0">
            <w:pPr>
              <w:rPr>
                <w:rFonts w:hint="eastAsia" w:ascii="仿宋" w:hAnsi="仿宋" w:eastAsia="仿宋"/>
                <w:color w:val="auto"/>
              </w:rPr>
            </w:pPr>
            <w:r>
              <w:rPr>
                <w:rFonts w:hint="eastAsia" w:ascii="仿宋" w:hAnsi="仿宋" w:eastAsia="仿宋"/>
                <w:color w:val="auto"/>
              </w:rPr>
              <w:t>区</w:t>
            </w:r>
            <w:r>
              <w:rPr>
                <w:rFonts w:hint="eastAsia" w:ascii="仿宋" w:hAnsi="仿宋" w:eastAsia="仿宋"/>
                <w:color w:val="auto"/>
                <w:lang w:eastAsia="zh-CN"/>
              </w:rPr>
              <w:t>金融服务中心</w:t>
            </w:r>
          </w:p>
        </w:tc>
      </w:tr>
      <w:tr w14:paraId="5E48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134" w:type="dxa"/>
            <w:vMerge w:val="continue"/>
            <w:vAlign w:val="center"/>
          </w:tcPr>
          <w:p w14:paraId="52CD8B2C">
            <w:pPr>
              <w:rPr>
                <w:rFonts w:hint="eastAsia" w:ascii="仿宋" w:hAnsi="仿宋" w:eastAsia="仿宋"/>
                <w:color w:val="auto"/>
                <w:lang w:eastAsia="zh-CN"/>
              </w:rPr>
            </w:pPr>
          </w:p>
        </w:tc>
        <w:tc>
          <w:tcPr>
            <w:tcW w:w="1843" w:type="dxa"/>
            <w:vAlign w:val="center"/>
          </w:tcPr>
          <w:p w14:paraId="0F7281CA">
            <w:pPr>
              <w:jc w:val="center"/>
              <w:rPr>
                <w:rFonts w:hint="eastAsia" w:ascii="仿宋" w:hAnsi="仿宋" w:eastAsia="仿宋"/>
                <w:color w:val="auto"/>
                <w:lang w:eastAsia="zh-CN"/>
              </w:rPr>
            </w:pPr>
            <w:r>
              <w:rPr>
                <w:rFonts w:hint="eastAsia" w:ascii="仿宋" w:hAnsi="仿宋" w:eastAsia="仿宋"/>
                <w:color w:val="auto"/>
                <w:lang w:eastAsia="zh-CN"/>
              </w:rPr>
              <w:t>两项净收入</w:t>
            </w:r>
          </w:p>
          <w:p w14:paraId="4C33C4BC">
            <w:pPr>
              <w:jc w:val="center"/>
              <w:rPr>
                <w:rFonts w:hint="eastAsia" w:ascii="仿宋" w:hAnsi="仿宋" w:eastAsia="仿宋"/>
                <w:color w:val="auto"/>
                <w:lang w:eastAsia="zh-CN"/>
              </w:rPr>
            </w:pPr>
            <w:r>
              <w:rPr>
                <w:rFonts w:hint="eastAsia" w:ascii="仿宋" w:hAnsi="仿宋" w:eastAsia="仿宋"/>
                <w:color w:val="auto"/>
                <w:lang w:eastAsia="zh-CN"/>
              </w:rPr>
              <w:t>（利息净收入、手续费及佣金净收入）同比增量</w:t>
            </w:r>
          </w:p>
        </w:tc>
        <w:tc>
          <w:tcPr>
            <w:tcW w:w="884" w:type="dxa"/>
            <w:vAlign w:val="center"/>
          </w:tcPr>
          <w:p w14:paraId="6DF081F6">
            <w:pPr>
              <w:rPr>
                <w:rFonts w:hint="eastAsia" w:ascii="仿宋" w:hAnsi="仿宋" w:eastAsia="仿宋"/>
                <w:color w:val="auto"/>
              </w:rPr>
            </w:pPr>
            <w:r>
              <w:rPr>
                <w:rFonts w:hint="eastAsia" w:ascii="仿宋" w:hAnsi="仿宋" w:eastAsia="仿宋"/>
                <w:color w:val="auto"/>
                <w:lang w:val="en-US" w:eastAsia="zh-CN"/>
              </w:rPr>
              <w:t>6</w:t>
            </w:r>
            <w:r>
              <w:rPr>
                <w:rFonts w:hint="eastAsia" w:ascii="仿宋" w:hAnsi="仿宋" w:eastAsia="仿宋"/>
                <w:color w:val="auto"/>
              </w:rPr>
              <w:t>分</w:t>
            </w:r>
          </w:p>
        </w:tc>
        <w:tc>
          <w:tcPr>
            <w:tcW w:w="5319" w:type="dxa"/>
            <w:vAlign w:val="center"/>
          </w:tcPr>
          <w:p w14:paraId="364511B6">
            <w:pPr>
              <w:rPr>
                <w:rFonts w:hint="eastAsia" w:ascii="仿宋" w:hAnsi="仿宋" w:eastAsia="仿宋"/>
                <w:color w:val="auto"/>
                <w:lang w:val="en-US" w:eastAsia="zh-CN"/>
              </w:rPr>
            </w:pPr>
            <w:r>
              <w:rPr>
                <w:rFonts w:hint="eastAsia" w:ascii="仿宋" w:hAnsi="仿宋" w:eastAsia="仿宋"/>
                <w:color w:val="auto"/>
                <w:lang w:val="en-US" w:eastAsia="zh-CN"/>
              </w:rPr>
              <w:t>2025年3月末两项净收入同比增量排名：</w:t>
            </w:r>
          </w:p>
          <w:p w14:paraId="6C1D1909">
            <w:pPr>
              <w:rPr>
                <w:rFonts w:hint="default" w:ascii="仿宋" w:hAnsi="仿宋" w:eastAsia="仿宋"/>
                <w:color w:val="auto"/>
                <w:lang w:val="en-US" w:eastAsia="zh-CN"/>
              </w:rPr>
            </w:pPr>
            <w:r>
              <w:rPr>
                <w:rFonts w:hint="default" w:ascii="仿宋" w:hAnsi="仿宋" w:eastAsia="仿宋"/>
                <w:color w:val="auto"/>
                <w:lang w:val="en-US" w:eastAsia="zh-CN"/>
              </w:rPr>
              <w:t xml:space="preserve">第1得 </w:t>
            </w:r>
            <w:r>
              <w:rPr>
                <w:rFonts w:hint="eastAsia" w:ascii="仿宋" w:hAnsi="仿宋" w:eastAsia="仿宋"/>
                <w:color w:val="auto"/>
                <w:lang w:val="en-US" w:eastAsia="zh-CN"/>
              </w:rPr>
              <w:t>6</w:t>
            </w:r>
            <w:r>
              <w:rPr>
                <w:rFonts w:hint="default" w:ascii="仿宋" w:hAnsi="仿宋" w:eastAsia="仿宋"/>
                <w:color w:val="auto"/>
                <w:lang w:val="en-US" w:eastAsia="zh-CN"/>
              </w:rPr>
              <w:t xml:space="preserve"> 分，每递减一名扣减的分值为 0.1分，最低得0分。(按四舍五入，保留2位小数点)</w:t>
            </w:r>
          </w:p>
        </w:tc>
        <w:tc>
          <w:tcPr>
            <w:tcW w:w="993" w:type="dxa"/>
            <w:vAlign w:val="center"/>
          </w:tcPr>
          <w:p w14:paraId="4277DAE8">
            <w:pPr>
              <w:rPr>
                <w:rFonts w:hint="eastAsia" w:ascii="仿宋" w:hAnsi="仿宋" w:eastAsia="仿宋"/>
                <w:color w:val="auto"/>
              </w:rPr>
            </w:pPr>
            <w:r>
              <w:rPr>
                <w:rFonts w:hint="eastAsia" w:ascii="仿宋" w:hAnsi="仿宋" w:eastAsia="仿宋"/>
                <w:color w:val="auto"/>
              </w:rPr>
              <w:t>区</w:t>
            </w:r>
            <w:r>
              <w:rPr>
                <w:rFonts w:hint="eastAsia" w:ascii="仿宋" w:hAnsi="仿宋" w:eastAsia="仿宋"/>
                <w:color w:val="auto"/>
                <w:lang w:eastAsia="zh-CN"/>
              </w:rPr>
              <w:t>金融服务中心</w:t>
            </w:r>
          </w:p>
        </w:tc>
      </w:tr>
      <w:tr w14:paraId="22D3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134" w:type="dxa"/>
            <w:vMerge w:val="continue"/>
            <w:vAlign w:val="center"/>
          </w:tcPr>
          <w:p w14:paraId="7AD16FFD">
            <w:pPr>
              <w:rPr>
                <w:rFonts w:hint="eastAsia" w:ascii="仿宋" w:hAnsi="仿宋" w:eastAsia="仿宋"/>
                <w:color w:val="auto"/>
                <w:lang w:eastAsia="zh-CN"/>
              </w:rPr>
            </w:pPr>
          </w:p>
        </w:tc>
        <w:tc>
          <w:tcPr>
            <w:tcW w:w="1843" w:type="dxa"/>
            <w:vAlign w:val="center"/>
          </w:tcPr>
          <w:p w14:paraId="6F2DA8CA">
            <w:pPr>
              <w:jc w:val="center"/>
              <w:rPr>
                <w:rFonts w:hint="eastAsia" w:ascii="仿宋" w:hAnsi="仿宋" w:eastAsia="仿宋"/>
                <w:color w:val="auto"/>
                <w:lang w:eastAsia="zh-CN"/>
              </w:rPr>
            </w:pPr>
            <w:r>
              <w:rPr>
                <w:rFonts w:hint="eastAsia" w:ascii="仿宋" w:hAnsi="仿宋" w:eastAsia="仿宋"/>
                <w:color w:val="auto"/>
                <w:lang w:eastAsia="zh-CN"/>
              </w:rPr>
              <w:t>两项净收入</w:t>
            </w:r>
          </w:p>
          <w:p w14:paraId="06D67D41">
            <w:pPr>
              <w:jc w:val="center"/>
              <w:rPr>
                <w:rFonts w:hint="eastAsia" w:ascii="仿宋" w:hAnsi="仿宋" w:eastAsia="仿宋"/>
                <w:color w:val="auto"/>
                <w:lang w:eastAsia="zh-CN"/>
              </w:rPr>
            </w:pPr>
            <w:r>
              <w:rPr>
                <w:rFonts w:hint="eastAsia" w:ascii="仿宋" w:hAnsi="仿宋" w:eastAsia="仿宋"/>
                <w:color w:val="auto"/>
                <w:lang w:eastAsia="zh-CN"/>
              </w:rPr>
              <w:t>（利息净收入、手续费及佣金净收入）同比增速</w:t>
            </w:r>
          </w:p>
        </w:tc>
        <w:tc>
          <w:tcPr>
            <w:tcW w:w="884" w:type="dxa"/>
            <w:vAlign w:val="center"/>
          </w:tcPr>
          <w:p w14:paraId="360DDCB9">
            <w:pPr>
              <w:rPr>
                <w:rFonts w:hint="eastAsia" w:ascii="仿宋" w:hAnsi="仿宋" w:eastAsia="仿宋"/>
                <w:color w:val="auto"/>
              </w:rPr>
            </w:pPr>
            <w:r>
              <w:rPr>
                <w:rFonts w:hint="eastAsia" w:ascii="仿宋" w:hAnsi="仿宋" w:eastAsia="仿宋"/>
                <w:color w:val="auto"/>
                <w:lang w:val="en-US" w:eastAsia="zh-CN"/>
              </w:rPr>
              <w:t>6</w:t>
            </w:r>
            <w:r>
              <w:rPr>
                <w:rFonts w:hint="eastAsia" w:ascii="仿宋" w:hAnsi="仿宋" w:eastAsia="仿宋"/>
                <w:color w:val="auto"/>
              </w:rPr>
              <w:t>分</w:t>
            </w:r>
          </w:p>
        </w:tc>
        <w:tc>
          <w:tcPr>
            <w:tcW w:w="5319" w:type="dxa"/>
            <w:vAlign w:val="center"/>
          </w:tcPr>
          <w:p w14:paraId="1B1CB487">
            <w:pPr>
              <w:rPr>
                <w:rFonts w:hint="eastAsia" w:ascii="仿宋" w:hAnsi="仿宋" w:eastAsia="仿宋"/>
                <w:color w:val="auto"/>
                <w:lang w:val="en-US" w:eastAsia="zh-CN"/>
              </w:rPr>
            </w:pPr>
            <w:r>
              <w:rPr>
                <w:rFonts w:hint="eastAsia" w:ascii="仿宋" w:hAnsi="仿宋" w:eastAsia="仿宋"/>
                <w:color w:val="auto"/>
                <w:lang w:val="en-US" w:eastAsia="zh-CN"/>
              </w:rPr>
              <w:t>2025年3月末两项净收入同比增速排名：</w:t>
            </w:r>
          </w:p>
          <w:p w14:paraId="1A658162">
            <w:pPr>
              <w:rPr>
                <w:rFonts w:hint="default" w:ascii="仿宋" w:hAnsi="仿宋" w:eastAsia="仿宋"/>
                <w:color w:val="auto"/>
                <w:lang w:val="en-US" w:eastAsia="zh-CN"/>
              </w:rPr>
            </w:pPr>
            <w:r>
              <w:rPr>
                <w:rFonts w:hint="default" w:ascii="仿宋" w:hAnsi="仿宋" w:eastAsia="仿宋"/>
                <w:color w:val="auto"/>
                <w:lang w:val="en-US" w:eastAsia="zh-CN"/>
              </w:rPr>
              <w:t xml:space="preserve">第1得 </w:t>
            </w:r>
            <w:r>
              <w:rPr>
                <w:rFonts w:hint="eastAsia" w:ascii="仿宋" w:hAnsi="仿宋" w:eastAsia="仿宋"/>
                <w:color w:val="auto"/>
                <w:lang w:val="en-US" w:eastAsia="zh-CN"/>
              </w:rPr>
              <w:t>6</w:t>
            </w:r>
            <w:r>
              <w:rPr>
                <w:rFonts w:hint="default" w:ascii="仿宋" w:hAnsi="仿宋" w:eastAsia="仿宋"/>
                <w:color w:val="auto"/>
                <w:lang w:val="en-US" w:eastAsia="zh-CN"/>
              </w:rPr>
              <w:t xml:space="preserve"> 分，每递减一名扣减的分值为 0.1分，最低得0分。(按四舍五入，保留2位小数点)</w:t>
            </w:r>
          </w:p>
        </w:tc>
        <w:tc>
          <w:tcPr>
            <w:tcW w:w="993" w:type="dxa"/>
            <w:vAlign w:val="center"/>
          </w:tcPr>
          <w:p w14:paraId="17899075">
            <w:pPr>
              <w:rPr>
                <w:rFonts w:hint="eastAsia" w:ascii="仿宋" w:hAnsi="仿宋" w:eastAsia="仿宋"/>
                <w:color w:val="auto"/>
              </w:rPr>
            </w:pPr>
            <w:r>
              <w:rPr>
                <w:rFonts w:hint="eastAsia" w:ascii="仿宋" w:hAnsi="仿宋" w:eastAsia="仿宋"/>
                <w:color w:val="auto"/>
              </w:rPr>
              <w:t>区</w:t>
            </w:r>
            <w:r>
              <w:rPr>
                <w:rFonts w:hint="eastAsia" w:ascii="仿宋" w:hAnsi="仿宋" w:eastAsia="仿宋"/>
                <w:color w:val="auto"/>
                <w:lang w:eastAsia="zh-CN"/>
              </w:rPr>
              <w:t>金融服务中心</w:t>
            </w:r>
          </w:p>
        </w:tc>
      </w:tr>
      <w:tr w14:paraId="1ACD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134" w:type="dxa"/>
            <w:vMerge w:val="restart"/>
            <w:vAlign w:val="center"/>
          </w:tcPr>
          <w:p w14:paraId="1A005472">
            <w:pPr>
              <w:rPr>
                <w:rFonts w:hint="eastAsia" w:ascii="仿宋" w:hAnsi="仿宋" w:eastAsia="仿宋"/>
                <w:color w:val="auto"/>
                <w:lang w:eastAsia="zh-CN"/>
              </w:rPr>
            </w:pPr>
            <w:r>
              <w:rPr>
                <w:rFonts w:hint="eastAsia" w:ascii="仿宋" w:hAnsi="仿宋" w:eastAsia="仿宋"/>
                <w:color w:val="auto"/>
                <w:lang w:eastAsia="zh-CN"/>
              </w:rPr>
              <w:t>支持地方经济发展贡献（</w:t>
            </w:r>
            <w:r>
              <w:rPr>
                <w:rFonts w:hint="eastAsia" w:ascii="仿宋" w:hAnsi="仿宋" w:eastAsia="仿宋"/>
                <w:color w:val="auto"/>
                <w:lang w:val="en-US" w:eastAsia="zh-CN"/>
              </w:rPr>
              <w:t>3</w:t>
            </w:r>
            <w:r>
              <w:rPr>
                <w:rFonts w:hint="eastAsia" w:ascii="仿宋" w:hAnsi="仿宋" w:eastAsia="仿宋"/>
                <w:color w:val="auto"/>
              </w:rPr>
              <w:t>0分</w:t>
            </w:r>
            <w:r>
              <w:rPr>
                <w:rFonts w:hint="eastAsia" w:ascii="仿宋" w:hAnsi="仿宋" w:eastAsia="仿宋"/>
                <w:color w:val="auto"/>
                <w:lang w:eastAsia="zh-CN"/>
              </w:rPr>
              <w:t>）</w:t>
            </w:r>
          </w:p>
        </w:tc>
        <w:tc>
          <w:tcPr>
            <w:tcW w:w="1843" w:type="dxa"/>
            <w:vAlign w:val="center"/>
          </w:tcPr>
          <w:p w14:paraId="7542F7A0">
            <w:pPr>
              <w:jc w:val="center"/>
              <w:rPr>
                <w:rFonts w:hint="eastAsia" w:ascii="仿宋" w:hAnsi="仿宋" w:eastAsia="仿宋"/>
                <w:color w:val="auto"/>
                <w:lang w:eastAsia="zh-CN"/>
              </w:rPr>
            </w:pPr>
            <w:r>
              <w:rPr>
                <w:rFonts w:hint="eastAsia" w:ascii="仿宋" w:hAnsi="仿宋" w:eastAsia="仿宋"/>
                <w:color w:val="auto"/>
                <w:lang w:eastAsia="zh-CN"/>
              </w:rPr>
              <w:t>纳税费额</w:t>
            </w:r>
          </w:p>
        </w:tc>
        <w:tc>
          <w:tcPr>
            <w:tcW w:w="884" w:type="dxa"/>
            <w:vAlign w:val="center"/>
          </w:tcPr>
          <w:p w14:paraId="199C28F9">
            <w:pPr>
              <w:rPr>
                <w:rFonts w:ascii="仿宋" w:hAnsi="仿宋" w:eastAsia="仿宋"/>
                <w:color w:val="auto"/>
              </w:rPr>
            </w:pPr>
            <w:r>
              <w:rPr>
                <w:rFonts w:hint="eastAsia" w:ascii="仿宋" w:hAnsi="仿宋" w:eastAsia="仿宋"/>
                <w:color w:val="auto"/>
              </w:rPr>
              <w:t>1</w:t>
            </w:r>
            <w:r>
              <w:rPr>
                <w:rFonts w:hint="eastAsia" w:ascii="仿宋" w:hAnsi="仿宋" w:eastAsia="仿宋"/>
                <w:color w:val="auto"/>
                <w:lang w:val="en-US" w:eastAsia="zh-CN"/>
              </w:rPr>
              <w:t>5</w:t>
            </w:r>
            <w:r>
              <w:rPr>
                <w:rFonts w:hint="eastAsia" w:ascii="仿宋" w:hAnsi="仿宋" w:eastAsia="仿宋"/>
                <w:color w:val="auto"/>
              </w:rPr>
              <w:t>分</w:t>
            </w:r>
          </w:p>
        </w:tc>
        <w:tc>
          <w:tcPr>
            <w:tcW w:w="5319" w:type="dxa"/>
            <w:vAlign w:val="center"/>
          </w:tcPr>
          <w:p w14:paraId="0C4E16AF">
            <w:pPr>
              <w:rPr>
                <w:rFonts w:ascii="仿宋" w:hAnsi="仿宋" w:eastAsia="仿宋"/>
                <w:color w:val="auto"/>
              </w:rPr>
            </w:pPr>
            <w:r>
              <w:rPr>
                <w:rFonts w:hint="eastAsia" w:ascii="仿宋" w:hAnsi="仿宋" w:eastAsia="仿宋"/>
                <w:color w:val="auto"/>
              </w:rPr>
              <w:t>按202</w:t>
            </w:r>
            <w:r>
              <w:rPr>
                <w:rFonts w:hint="eastAsia" w:ascii="仿宋" w:hAnsi="仿宋" w:eastAsia="仿宋"/>
                <w:color w:val="auto"/>
                <w:lang w:val="en-US" w:eastAsia="zh-CN"/>
              </w:rPr>
              <w:t>5</w:t>
            </w:r>
            <w:r>
              <w:rPr>
                <w:rFonts w:hint="eastAsia" w:ascii="仿宋" w:hAnsi="仿宋" w:eastAsia="仿宋"/>
                <w:color w:val="auto"/>
              </w:rPr>
              <w:t>年第</w:t>
            </w:r>
            <w:r>
              <w:rPr>
                <w:rFonts w:hint="eastAsia" w:ascii="仿宋" w:hAnsi="仿宋" w:eastAsia="仿宋"/>
                <w:color w:val="auto"/>
                <w:lang w:val="en-US" w:eastAsia="zh-CN"/>
              </w:rPr>
              <w:t>1</w:t>
            </w:r>
            <w:r>
              <w:rPr>
                <w:rFonts w:hint="eastAsia" w:ascii="仿宋" w:hAnsi="仿宋" w:eastAsia="仿宋"/>
                <w:color w:val="auto"/>
              </w:rPr>
              <w:t>季度在柯桥区纳税费金额由大到小排名，第1得 15 分，每递减一名扣减的分值为 0.1分，最低得0分。(按四舍五入，保留2位小数点)</w:t>
            </w:r>
          </w:p>
        </w:tc>
        <w:tc>
          <w:tcPr>
            <w:tcW w:w="993" w:type="dxa"/>
            <w:vAlign w:val="center"/>
          </w:tcPr>
          <w:p w14:paraId="1406C884">
            <w:pPr>
              <w:rPr>
                <w:rFonts w:ascii="仿宋" w:hAnsi="仿宋" w:eastAsia="仿宋"/>
                <w:color w:val="auto"/>
              </w:rPr>
            </w:pPr>
            <w:r>
              <w:rPr>
                <w:rFonts w:hint="eastAsia" w:ascii="仿宋" w:hAnsi="仿宋" w:eastAsia="仿宋"/>
                <w:color w:val="auto"/>
              </w:rPr>
              <w:t>区财政局</w:t>
            </w:r>
          </w:p>
        </w:tc>
      </w:tr>
      <w:tr w14:paraId="5897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134" w:type="dxa"/>
            <w:vMerge w:val="continue"/>
            <w:vAlign w:val="center"/>
          </w:tcPr>
          <w:p w14:paraId="772FA70F">
            <w:pPr>
              <w:rPr>
                <w:rFonts w:ascii="仿宋" w:hAnsi="仿宋" w:eastAsia="仿宋"/>
                <w:color w:val="auto"/>
              </w:rPr>
            </w:pPr>
          </w:p>
        </w:tc>
        <w:tc>
          <w:tcPr>
            <w:tcW w:w="1843" w:type="dxa"/>
            <w:vAlign w:val="center"/>
          </w:tcPr>
          <w:p w14:paraId="00282676">
            <w:pPr>
              <w:jc w:val="center"/>
              <w:rPr>
                <w:rFonts w:hint="eastAsia" w:ascii="仿宋" w:hAnsi="仿宋" w:eastAsia="仿宋"/>
                <w:color w:val="auto"/>
                <w:lang w:eastAsia="zh-CN"/>
              </w:rPr>
            </w:pPr>
            <w:r>
              <w:rPr>
                <w:rFonts w:hint="eastAsia" w:ascii="仿宋" w:hAnsi="仿宋" w:eastAsia="仿宋"/>
                <w:color w:val="auto"/>
                <w:lang w:eastAsia="zh-CN"/>
              </w:rPr>
              <w:t>综合排名</w:t>
            </w:r>
          </w:p>
        </w:tc>
        <w:tc>
          <w:tcPr>
            <w:tcW w:w="884" w:type="dxa"/>
            <w:vAlign w:val="center"/>
          </w:tcPr>
          <w:p w14:paraId="68DD693D">
            <w:pPr>
              <w:rPr>
                <w:rFonts w:ascii="仿宋" w:hAnsi="仿宋" w:eastAsia="仿宋"/>
                <w:color w:val="auto"/>
              </w:rPr>
            </w:pPr>
            <w:r>
              <w:rPr>
                <w:rFonts w:hint="eastAsia" w:ascii="仿宋" w:hAnsi="仿宋" w:eastAsia="仿宋"/>
                <w:color w:val="auto"/>
                <w:lang w:val="en-US" w:eastAsia="zh-CN"/>
              </w:rPr>
              <w:t>1</w:t>
            </w:r>
            <w:r>
              <w:rPr>
                <w:rFonts w:hint="eastAsia" w:ascii="仿宋" w:hAnsi="仿宋" w:eastAsia="仿宋"/>
                <w:color w:val="auto"/>
              </w:rPr>
              <w:t>5分</w:t>
            </w:r>
          </w:p>
        </w:tc>
        <w:tc>
          <w:tcPr>
            <w:tcW w:w="5319" w:type="dxa"/>
            <w:vAlign w:val="center"/>
          </w:tcPr>
          <w:p w14:paraId="61619094">
            <w:pPr>
              <w:rPr>
                <w:rFonts w:ascii="仿宋" w:hAnsi="仿宋" w:eastAsia="仿宋"/>
                <w:color w:val="auto"/>
              </w:rPr>
            </w:pPr>
            <w:r>
              <w:rPr>
                <w:rFonts w:hint="eastAsia" w:ascii="仿宋" w:hAnsi="仿宋" w:eastAsia="仿宋"/>
                <w:color w:val="auto"/>
              </w:rPr>
              <w:t>按 202</w:t>
            </w:r>
            <w:r>
              <w:rPr>
                <w:rFonts w:hint="eastAsia" w:ascii="仿宋" w:hAnsi="仿宋" w:eastAsia="仿宋"/>
                <w:color w:val="auto"/>
                <w:lang w:val="en-US" w:eastAsia="zh-CN"/>
              </w:rPr>
              <w:t>5</w:t>
            </w:r>
            <w:r>
              <w:rPr>
                <w:rFonts w:hint="eastAsia" w:ascii="仿宋" w:hAnsi="仿宋" w:eastAsia="仿宋"/>
                <w:color w:val="auto"/>
              </w:rPr>
              <w:t>年</w:t>
            </w:r>
            <w:r>
              <w:rPr>
                <w:rFonts w:hint="eastAsia" w:ascii="仿宋" w:hAnsi="仿宋" w:eastAsia="仿宋"/>
                <w:color w:val="auto"/>
                <w:lang w:val="en-US" w:eastAsia="zh-CN"/>
              </w:rPr>
              <w:t>4月</w:t>
            </w:r>
            <w:r>
              <w:rPr>
                <w:rFonts w:hint="eastAsia" w:ascii="仿宋" w:hAnsi="仿宋" w:eastAsia="仿宋"/>
                <w:color w:val="auto"/>
              </w:rPr>
              <w:t>末有效</w:t>
            </w:r>
            <w:r>
              <w:rPr>
                <w:rFonts w:hint="eastAsia" w:ascii="仿宋" w:hAnsi="仿宋" w:eastAsia="仿宋"/>
                <w:color w:val="auto"/>
                <w:lang w:eastAsia="zh-CN"/>
              </w:rPr>
              <w:t>竞</w:t>
            </w:r>
            <w:r>
              <w:rPr>
                <w:rFonts w:hint="eastAsia" w:ascii="仿宋" w:hAnsi="仿宋" w:eastAsia="仿宋"/>
                <w:color w:val="auto"/>
              </w:rPr>
              <w:t>标行的贷款余额由高到低排名，第1得 15 分，每递减一名扣减的分值为0.1分，最低得0分。(按四舍五入，保留2 位小数点)</w:t>
            </w:r>
          </w:p>
        </w:tc>
        <w:tc>
          <w:tcPr>
            <w:tcW w:w="993" w:type="dxa"/>
            <w:vAlign w:val="center"/>
          </w:tcPr>
          <w:p w14:paraId="136F067A">
            <w:pPr>
              <w:rPr>
                <w:rFonts w:ascii="仿宋" w:hAnsi="仿宋" w:eastAsia="仿宋"/>
                <w:color w:val="auto"/>
              </w:rPr>
            </w:pPr>
            <w:r>
              <w:rPr>
                <w:rFonts w:hint="eastAsia" w:ascii="仿宋" w:hAnsi="仿宋" w:eastAsia="仿宋"/>
                <w:color w:val="auto"/>
              </w:rPr>
              <w:t>区</w:t>
            </w:r>
            <w:r>
              <w:rPr>
                <w:rFonts w:hint="eastAsia" w:ascii="仿宋" w:hAnsi="仿宋" w:eastAsia="仿宋"/>
                <w:color w:val="auto"/>
                <w:lang w:eastAsia="zh-CN"/>
              </w:rPr>
              <w:t>金融服务中心</w:t>
            </w:r>
          </w:p>
        </w:tc>
      </w:tr>
      <w:tr w14:paraId="447E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134" w:type="dxa"/>
            <w:vMerge w:val="restart"/>
            <w:vAlign w:val="center"/>
          </w:tcPr>
          <w:p w14:paraId="4EE03019">
            <w:pPr>
              <w:rPr>
                <w:rFonts w:ascii="仿宋" w:hAnsi="仿宋" w:eastAsia="仿宋"/>
                <w:color w:val="auto"/>
              </w:rPr>
            </w:pPr>
            <w:r>
              <w:rPr>
                <w:rFonts w:hint="eastAsia" w:ascii="仿宋" w:hAnsi="仿宋" w:eastAsia="仿宋"/>
                <w:color w:val="auto"/>
              </w:rPr>
              <w:t>服务水平</w:t>
            </w:r>
            <w:r>
              <w:rPr>
                <w:rFonts w:hint="eastAsia" w:ascii="仿宋" w:hAnsi="仿宋" w:eastAsia="仿宋"/>
                <w:color w:val="auto"/>
                <w:lang w:val="en-US" w:eastAsia="zh-CN"/>
              </w:rPr>
              <w:t>2</w:t>
            </w:r>
            <w:r>
              <w:rPr>
                <w:rFonts w:hint="eastAsia" w:ascii="仿宋" w:hAnsi="仿宋" w:eastAsia="仿宋"/>
                <w:color w:val="auto"/>
              </w:rPr>
              <w:t>0分</w:t>
            </w:r>
          </w:p>
        </w:tc>
        <w:tc>
          <w:tcPr>
            <w:tcW w:w="1843" w:type="dxa"/>
            <w:vAlign w:val="center"/>
          </w:tcPr>
          <w:p w14:paraId="2D79C783">
            <w:pPr>
              <w:jc w:val="center"/>
              <w:rPr>
                <w:rFonts w:ascii="仿宋" w:hAnsi="仿宋" w:eastAsia="仿宋"/>
                <w:color w:val="auto"/>
              </w:rPr>
            </w:pPr>
            <w:r>
              <w:rPr>
                <w:rFonts w:hint="eastAsia" w:ascii="仿宋" w:hAnsi="仿宋" w:eastAsia="仿宋"/>
                <w:color w:val="auto"/>
              </w:rPr>
              <w:t>优质服务</w:t>
            </w:r>
          </w:p>
        </w:tc>
        <w:tc>
          <w:tcPr>
            <w:tcW w:w="884" w:type="dxa"/>
            <w:vAlign w:val="center"/>
          </w:tcPr>
          <w:p w14:paraId="56A68A97">
            <w:pPr>
              <w:rPr>
                <w:rFonts w:ascii="仿宋" w:hAnsi="仿宋" w:eastAsia="仿宋"/>
                <w:color w:val="auto"/>
              </w:rPr>
            </w:pPr>
            <w:r>
              <w:rPr>
                <w:rFonts w:hint="eastAsia" w:ascii="仿宋" w:hAnsi="仿宋" w:eastAsia="仿宋"/>
                <w:color w:val="auto"/>
                <w:lang w:val="en-US" w:eastAsia="zh-CN"/>
              </w:rPr>
              <w:t>10</w:t>
            </w:r>
            <w:r>
              <w:rPr>
                <w:rFonts w:hint="eastAsia" w:ascii="仿宋" w:hAnsi="仿宋" w:eastAsia="仿宋"/>
                <w:color w:val="auto"/>
              </w:rPr>
              <w:t>分</w:t>
            </w:r>
          </w:p>
        </w:tc>
        <w:tc>
          <w:tcPr>
            <w:tcW w:w="5319" w:type="dxa"/>
            <w:vAlign w:val="center"/>
          </w:tcPr>
          <w:p w14:paraId="459F4F9A">
            <w:pPr>
              <w:rPr>
                <w:rFonts w:hint="eastAsia" w:ascii="仿宋" w:hAnsi="仿宋" w:eastAsia="仿宋"/>
                <w:color w:val="auto"/>
              </w:rPr>
            </w:pPr>
            <w:r>
              <w:rPr>
                <w:rFonts w:hint="eastAsia" w:ascii="仿宋" w:hAnsi="仿宋" w:eastAsia="仿宋"/>
                <w:color w:val="auto"/>
              </w:rPr>
              <w:t>(1)相关业务派专人上门服务;(2)及时提供结算账户银行对帐单;(3)协助办理相关手续，服务费用承诺全免;(4)及时告知银行出现的重大安全事项:(5)开通绿色通道办理业务，到期日及时汇划本息。</w:t>
            </w:r>
          </w:p>
          <w:p w14:paraId="2247F7CB">
            <w:pPr>
              <w:rPr>
                <w:rFonts w:ascii="仿宋" w:hAnsi="仿宋" w:eastAsia="仿宋"/>
                <w:color w:val="auto"/>
              </w:rPr>
            </w:pPr>
            <w:r>
              <w:rPr>
                <w:rFonts w:hint="eastAsia" w:ascii="仿宋" w:hAnsi="仿宋" w:eastAsia="仿宋"/>
                <w:color w:val="auto"/>
              </w:rPr>
              <w:t>(提供相应承诺并加盖公章作为证明，每少一项扣2分)</w:t>
            </w:r>
          </w:p>
        </w:tc>
        <w:tc>
          <w:tcPr>
            <w:tcW w:w="993" w:type="dxa"/>
            <w:vAlign w:val="center"/>
          </w:tcPr>
          <w:p w14:paraId="7F044E88">
            <w:pPr>
              <w:rPr>
                <w:rFonts w:hint="eastAsia" w:ascii="仿宋" w:hAnsi="仿宋" w:eastAsia="仿宋"/>
                <w:color w:val="auto"/>
                <w:lang w:eastAsia="zh-CN"/>
              </w:rPr>
            </w:pPr>
            <w:r>
              <w:rPr>
                <w:rFonts w:hint="eastAsia" w:ascii="仿宋" w:hAnsi="仿宋" w:eastAsia="仿宋"/>
                <w:color w:val="auto"/>
                <w:lang w:eastAsia="zh-CN"/>
              </w:rPr>
              <w:t>由投标人提供，格式自拟</w:t>
            </w:r>
          </w:p>
        </w:tc>
      </w:tr>
      <w:tr w14:paraId="6B50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1134" w:type="dxa"/>
            <w:vMerge w:val="continue"/>
            <w:vAlign w:val="center"/>
          </w:tcPr>
          <w:p w14:paraId="2DF82DAD">
            <w:pPr>
              <w:rPr>
                <w:rFonts w:ascii="仿宋" w:hAnsi="仿宋" w:eastAsia="仿宋"/>
                <w:color w:val="auto"/>
              </w:rPr>
            </w:pPr>
          </w:p>
        </w:tc>
        <w:tc>
          <w:tcPr>
            <w:tcW w:w="1843" w:type="dxa"/>
            <w:vAlign w:val="center"/>
          </w:tcPr>
          <w:p w14:paraId="7A68B65B">
            <w:pPr>
              <w:jc w:val="center"/>
              <w:rPr>
                <w:rFonts w:hint="eastAsia" w:ascii="仿宋" w:hAnsi="仿宋" w:eastAsia="仿宋"/>
                <w:color w:val="auto"/>
                <w:lang w:eastAsia="zh-CN"/>
              </w:rPr>
            </w:pPr>
            <w:r>
              <w:rPr>
                <w:rFonts w:hint="eastAsia" w:ascii="仿宋" w:hAnsi="仿宋" w:eastAsia="仿宋"/>
                <w:color w:val="auto"/>
                <w:lang w:eastAsia="zh-CN"/>
              </w:rPr>
              <w:t>发展服务方案承诺</w:t>
            </w:r>
          </w:p>
        </w:tc>
        <w:tc>
          <w:tcPr>
            <w:tcW w:w="884" w:type="dxa"/>
            <w:vAlign w:val="center"/>
          </w:tcPr>
          <w:p w14:paraId="02466AE5">
            <w:pPr>
              <w:rPr>
                <w:rFonts w:ascii="仿宋" w:hAnsi="仿宋" w:eastAsia="仿宋"/>
                <w:color w:val="auto"/>
              </w:rPr>
            </w:pPr>
            <w:r>
              <w:rPr>
                <w:rFonts w:hint="eastAsia" w:ascii="仿宋" w:hAnsi="仿宋" w:eastAsia="仿宋"/>
                <w:color w:val="auto"/>
                <w:lang w:val="en-US" w:eastAsia="zh-CN"/>
              </w:rPr>
              <w:t>10</w:t>
            </w:r>
            <w:r>
              <w:rPr>
                <w:rFonts w:hint="eastAsia" w:ascii="仿宋" w:hAnsi="仿宋" w:eastAsia="仿宋"/>
                <w:color w:val="auto"/>
              </w:rPr>
              <w:t>分</w:t>
            </w:r>
          </w:p>
        </w:tc>
        <w:tc>
          <w:tcPr>
            <w:tcW w:w="5319" w:type="dxa"/>
            <w:vAlign w:val="center"/>
          </w:tcPr>
          <w:p w14:paraId="20E7C660">
            <w:pPr>
              <w:rPr>
                <w:rFonts w:hint="eastAsia" w:ascii="仿宋" w:hAnsi="仿宋" w:eastAsia="仿宋"/>
                <w:color w:val="auto"/>
              </w:rPr>
            </w:pPr>
            <w:r>
              <w:rPr>
                <w:rFonts w:hint="eastAsia" w:ascii="仿宋" w:hAnsi="仿宋" w:eastAsia="仿宋"/>
                <w:color w:val="auto"/>
              </w:rPr>
              <w:t>投标银行对</w:t>
            </w:r>
            <w:r>
              <w:rPr>
                <w:rFonts w:hint="eastAsia" w:ascii="仿宋" w:hAnsi="仿宋" w:eastAsia="仿宋"/>
                <w:color w:val="auto"/>
                <w:lang w:eastAsia="zh-CN"/>
              </w:rPr>
              <w:t>招标人</w:t>
            </w:r>
            <w:r>
              <w:rPr>
                <w:rFonts w:hint="eastAsia" w:ascii="仿宋" w:hAnsi="仿宋" w:eastAsia="仿宋"/>
                <w:color w:val="auto"/>
              </w:rPr>
              <w:t>金融服务的具体方案及承诺，包括未来对</w:t>
            </w:r>
            <w:r>
              <w:rPr>
                <w:rFonts w:hint="eastAsia" w:ascii="仿宋" w:hAnsi="仿宋" w:eastAsia="仿宋"/>
                <w:color w:val="auto"/>
                <w:lang w:eastAsia="zh-CN"/>
              </w:rPr>
              <w:t>招标人</w:t>
            </w:r>
            <w:r>
              <w:rPr>
                <w:rFonts w:hint="eastAsia" w:ascii="仿宋" w:hAnsi="仿宋" w:eastAsia="仿宋"/>
                <w:color w:val="auto"/>
              </w:rPr>
              <w:t>科研支持、助力现代纺织技术创新事业发展的方案与承诺等。根据投标银行提供的实质性承诺情况及具体方案的可行性进行综合比较打分。</w:t>
            </w:r>
          </w:p>
          <w:p w14:paraId="1046F873">
            <w:pPr>
              <w:rPr>
                <w:rFonts w:ascii="仿宋" w:hAnsi="仿宋" w:eastAsia="仿宋"/>
                <w:color w:val="auto"/>
              </w:rPr>
            </w:pPr>
            <w:r>
              <w:rPr>
                <w:rFonts w:hint="eastAsia" w:ascii="仿宋" w:hAnsi="仿宋" w:eastAsia="仿宋"/>
                <w:color w:val="auto"/>
              </w:rPr>
              <w:t>实用性、针对性、操作性强的得7.1-10分;实用性、针对性、操作性比较强的得 5.1-7;实用性、针对性、操作性一般的得 2.1-5 分;</w:t>
            </w:r>
          </w:p>
        </w:tc>
        <w:tc>
          <w:tcPr>
            <w:tcW w:w="993" w:type="dxa"/>
            <w:vAlign w:val="center"/>
          </w:tcPr>
          <w:p w14:paraId="476A1488">
            <w:pPr>
              <w:rPr>
                <w:rFonts w:ascii="仿宋" w:hAnsi="仿宋" w:eastAsia="仿宋"/>
                <w:color w:val="auto"/>
              </w:rPr>
            </w:pPr>
            <w:r>
              <w:rPr>
                <w:rFonts w:hint="eastAsia" w:ascii="仿宋" w:hAnsi="仿宋" w:eastAsia="仿宋"/>
                <w:color w:val="auto"/>
                <w:lang w:eastAsia="zh-CN"/>
              </w:rPr>
              <w:t>由投标人提供，格式自拟</w:t>
            </w:r>
          </w:p>
        </w:tc>
      </w:tr>
    </w:tbl>
    <w:p w14:paraId="3580FB83">
      <w:pPr>
        <w:spacing w:line="440" w:lineRule="exact"/>
        <w:rPr>
          <w:rFonts w:ascii="仿宋" w:hAnsi="仿宋" w:eastAsia="仿宋" w:cs="仿宋"/>
          <w:color w:val="auto"/>
          <w:sz w:val="24"/>
          <w:szCs w:val="24"/>
        </w:rPr>
      </w:pPr>
      <w:r>
        <w:rPr>
          <w:rFonts w:hint="eastAsia" w:ascii="仿宋" w:hAnsi="仿宋" w:eastAsia="仿宋" w:cs="仿宋"/>
          <w:color w:val="auto"/>
          <w:sz w:val="24"/>
        </w:rPr>
        <w:t xml:space="preserve"> 2、</w:t>
      </w:r>
      <w:r>
        <w:rPr>
          <w:rFonts w:hint="eastAsia" w:ascii="仿宋" w:hAnsi="仿宋" w:eastAsia="仿宋" w:cs="仿宋"/>
          <w:color w:val="auto"/>
          <w:sz w:val="24"/>
          <w:szCs w:val="24"/>
        </w:rPr>
        <w:t>价格标评分标准</w:t>
      </w:r>
    </w:p>
    <w:p w14:paraId="09739235">
      <w:pPr>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本次投标利率水平指标设置最低利率水平为中国人民银行公布的同期基准利率，低于最低利率水平作无效标处理。</w:t>
      </w:r>
    </w:p>
    <w:p w14:paraId="24FF0589">
      <w:pPr>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本次投标的账户内存款将以三个月、六个月、一年存款形式进行存放。本次投标三个月存款价格分</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分，六个月通知存款价格分</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分，一年存款价格分</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w:t>
      </w:r>
    </w:p>
    <w:p w14:paraId="4B54CCD1">
      <w:pPr>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三个月、六个月、一年存款价格标采用最高价优先法计算，即在有效报价中，满足招标文件要求且以LPR上浮最高基点（BP)报价为基准报价，每下降1个BP减0.1分。</w:t>
      </w:r>
    </w:p>
    <w:p w14:paraId="7E99C557">
      <w:pPr>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3、综合得分（满分100分）=商务技术分+价格分。</w:t>
      </w:r>
    </w:p>
    <w:sectPr>
      <w:foot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ò">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DD085">
    <w:pPr>
      <w:pStyle w:val="11"/>
      <w:ind w:firstLine="360"/>
      <w:jc w:val="center"/>
    </w:pPr>
    <w:r>
      <w:fldChar w:fldCharType="begin"/>
    </w:r>
    <w:r>
      <w:instrText xml:space="preserve"> PAGE   \* MERGEFORMAT </w:instrText>
    </w:r>
    <w:r>
      <w:fldChar w:fldCharType="separate"/>
    </w:r>
    <w:r>
      <w:rPr>
        <w:lang w:val="zh-CN"/>
      </w:rPr>
      <w:t>15</w:t>
    </w:r>
    <w:r>
      <w:rPr>
        <w:lang w:val="zh-CN"/>
      </w:rPr>
      <w:fldChar w:fldCharType="end"/>
    </w:r>
  </w:p>
  <w:p w14:paraId="0D5D7E04">
    <w:pPr>
      <w:pStyle w:val="11"/>
      <w:ind w:firstLine="360"/>
    </w:pPr>
  </w:p>
  <w:p w14:paraId="60C30950"/>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9471F"/>
    <w:multiLevelType w:val="singleLevel"/>
    <w:tmpl w:val="1EB9471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2NWExNTU5NTEwNTZhNTBiYzg3NWI3YTkwNDZmZDgifQ=="/>
  </w:docVars>
  <w:rsids>
    <w:rsidRoot w:val="004F7067"/>
    <w:rsid w:val="00021095"/>
    <w:rsid w:val="00022F7D"/>
    <w:rsid w:val="000239EF"/>
    <w:rsid w:val="00027826"/>
    <w:rsid w:val="00035571"/>
    <w:rsid w:val="00046439"/>
    <w:rsid w:val="000473D3"/>
    <w:rsid w:val="000513B1"/>
    <w:rsid w:val="00054EBC"/>
    <w:rsid w:val="00062C46"/>
    <w:rsid w:val="00062F51"/>
    <w:rsid w:val="0006447C"/>
    <w:rsid w:val="0007364D"/>
    <w:rsid w:val="0008039B"/>
    <w:rsid w:val="000847E2"/>
    <w:rsid w:val="0008695C"/>
    <w:rsid w:val="000875D6"/>
    <w:rsid w:val="000876C3"/>
    <w:rsid w:val="000A6F34"/>
    <w:rsid w:val="000B56AF"/>
    <w:rsid w:val="000C12C3"/>
    <w:rsid w:val="000C3672"/>
    <w:rsid w:val="000D2263"/>
    <w:rsid w:val="000D6434"/>
    <w:rsid w:val="000D64F9"/>
    <w:rsid w:val="000D7930"/>
    <w:rsid w:val="000E7AD8"/>
    <w:rsid w:val="000F0DCA"/>
    <w:rsid w:val="001041F1"/>
    <w:rsid w:val="001303DE"/>
    <w:rsid w:val="00141D94"/>
    <w:rsid w:val="00151E34"/>
    <w:rsid w:val="001649AC"/>
    <w:rsid w:val="00171230"/>
    <w:rsid w:val="001720D9"/>
    <w:rsid w:val="00176211"/>
    <w:rsid w:val="001833A8"/>
    <w:rsid w:val="00184D2E"/>
    <w:rsid w:val="00185F25"/>
    <w:rsid w:val="00194408"/>
    <w:rsid w:val="001A63FE"/>
    <w:rsid w:val="001B055E"/>
    <w:rsid w:val="001B4430"/>
    <w:rsid w:val="001C4A28"/>
    <w:rsid w:val="001C4BDA"/>
    <w:rsid w:val="001C6990"/>
    <w:rsid w:val="001D66B4"/>
    <w:rsid w:val="001F52D3"/>
    <w:rsid w:val="00203CBB"/>
    <w:rsid w:val="002260B9"/>
    <w:rsid w:val="0025621F"/>
    <w:rsid w:val="00266649"/>
    <w:rsid w:val="002B5DC4"/>
    <w:rsid w:val="002C0F9F"/>
    <w:rsid w:val="002C1E09"/>
    <w:rsid w:val="002D0390"/>
    <w:rsid w:val="002E3A43"/>
    <w:rsid w:val="002E3EF1"/>
    <w:rsid w:val="002E5C4B"/>
    <w:rsid w:val="00307BC6"/>
    <w:rsid w:val="00331A6D"/>
    <w:rsid w:val="00347B67"/>
    <w:rsid w:val="00351C60"/>
    <w:rsid w:val="00374F1A"/>
    <w:rsid w:val="00375B18"/>
    <w:rsid w:val="00391B05"/>
    <w:rsid w:val="003B20E8"/>
    <w:rsid w:val="003B388F"/>
    <w:rsid w:val="003B601C"/>
    <w:rsid w:val="003D1320"/>
    <w:rsid w:val="003D2F2F"/>
    <w:rsid w:val="003E2C66"/>
    <w:rsid w:val="003E43B3"/>
    <w:rsid w:val="003F1E15"/>
    <w:rsid w:val="003F4A0B"/>
    <w:rsid w:val="003F74A0"/>
    <w:rsid w:val="00411A97"/>
    <w:rsid w:val="00412437"/>
    <w:rsid w:val="00431140"/>
    <w:rsid w:val="00432025"/>
    <w:rsid w:val="0046592B"/>
    <w:rsid w:val="00465B48"/>
    <w:rsid w:val="00470CB5"/>
    <w:rsid w:val="00481D83"/>
    <w:rsid w:val="00483CCA"/>
    <w:rsid w:val="00491AB3"/>
    <w:rsid w:val="00492F66"/>
    <w:rsid w:val="004F7067"/>
    <w:rsid w:val="0050008A"/>
    <w:rsid w:val="00522A41"/>
    <w:rsid w:val="005257A2"/>
    <w:rsid w:val="00526E33"/>
    <w:rsid w:val="005344AA"/>
    <w:rsid w:val="00562E42"/>
    <w:rsid w:val="0059567F"/>
    <w:rsid w:val="005B3F42"/>
    <w:rsid w:val="005C5D11"/>
    <w:rsid w:val="005D6DB9"/>
    <w:rsid w:val="005E06D7"/>
    <w:rsid w:val="005E3FE5"/>
    <w:rsid w:val="00612381"/>
    <w:rsid w:val="00616FAF"/>
    <w:rsid w:val="006209AC"/>
    <w:rsid w:val="00623FCE"/>
    <w:rsid w:val="00654FE4"/>
    <w:rsid w:val="00657BF1"/>
    <w:rsid w:val="00663E4B"/>
    <w:rsid w:val="00677562"/>
    <w:rsid w:val="006779C5"/>
    <w:rsid w:val="00692D90"/>
    <w:rsid w:val="00693721"/>
    <w:rsid w:val="006965A9"/>
    <w:rsid w:val="006A31B4"/>
    <w:rsid w:val="006A7157"/>
    <w:rsid w:val="006A7B78"/>
    <w:rsid w:val="006C0A66"/>
    <w:rsid w:val="00713996"/>
    <w:rsid w:val="00715BD4"/>
    <w:rsid w:val="00741B01"/>
    <w:rsid w:val="00760805"/>
    <w:rsid w:val="00762D7C"/>
    <w:rsid w:val="0077347B"/>
    <w:rsid w:val="007852AD"/>
    <w:rsid w:val="00790E93"/>
    <w:rsid w:val="007B1070"/>
    <w:rsid w:val="007B6E0F"/>
    <w:rsid w:val="007C5EB7"/>
    <w:rsid w:val="007D0161"/>
    <w:rsid w:val="007D414F"/>
    <w:rsid w:val="007D752C"/>
    <w:rsid w:val="007F2AD6"/>
    <w:rsid w:val="007F387D"/>
    <w:rsid w:val="008126B4"/>
    <w:rsid w:val="008126EA"/>
    <w:rsid w:val="00820682"/>
    <w:rsid w:val="00834681"/>
    <w:rsid w:val="008448BA"/>
    <w:rsid w:val="0085441A"/>
    <w:rsid w:val="0085600B"/>
    <w:rsid w:val="008616CC"/>
    <w:rsid w:val="00861E07"/>
    <w:rsid w:val="00861E25"/>
    <w:rsid w:val="00870460"/>
    <w:rsid w:val="008779D8"/>
    <w:rsid w:val="00884DA8"/>
    <w:rsid w:val="00895638"/>
    <w:rsid w:val="008F6A4F"/>
    <w:rsid w:val="00903DBA"/>
    <w:rsid w:val="00912A15"/>
    <w:rsid w:val="009146FF"/>
    <w:rsid w:val="00937A10"/>
    <w:rsid w:val="009402A8"/>
    <w:rsid w:val="0094366C"/>
    <w:rsid w:val="0099121B"/>
    <w:rsid w:val="00992DDD"/>
    <w:rsid w:val="009A2D5A"/>
    <w:rsid w:val="009B6AA9"/>
    <w:rsid w:val="009C2AC5"/>
    <w:rsid w:val="009D3AC3"/>
    <w:rsid w:val="00A0081F"/>
    <w:rsid w:val="00A0421E"/>
    <w:rsid w:val="00A14ED0"/>
    <w:rsid w:val="00A33030"/>
    <w:rsid w:val="00A362E2"/>
    <w:rsid w:val="00A36438"/>
    <w:rsid w:val="00A40792"/>
    <w:rsid w:val="00A46BE4"/>
    <w:rsid w:val="00A5005B"/>
    <w:rsid w:val="00A54E63"/>
    <w:rsid w:val="00A61C88"/>
    <w:rsid w:val="00A76B53"/>
    <w:rsid w:val="00A76FB7"/>
    <w:rsid w:val="00A83F79"/>
    <w:rsid w:val="00A86E61"/>
    <w:rsid w:val="00A87FB5"/>
    <w:rsid w:val="00A92B86"/>
    <w:rsid w:val="00A95123"/>
    <w:rsid w:val="00AB4F67"/>
    <w:rsid w:val="00AB5C35"/>
    <w:rsid w:val="00AB6626"/>
    <w:rsid w:val="00AC09BB"/>
    <w:rsid w:val="00AD11D2"/>
    <w:rsid w:val="00AD2F55"/>
    <w:rsid w:val="00AE2500"/>
    <w:rsid w:val="00AE2BE8"/>
    <w:rsid w:val="00AF7E3A"/>
    <w:rsid w:val="00B074FE"/>
    <w:rsid w:val="00B12208"/>
    <w:rsid w:val="00B2069B"/>
    <w:rsid w:val="00B351F4"/>
    <w:rsid w:val="00B51295"/>
    <w:rsid w:val="00B57A74"/>
    <w:rsid w:val="00B634B3"/>
    <w:rsid w:val="00B7358A"/>
    <w:rsid w:val="00B859B0"/>
    <w:rsid w:val="00B9040C"/>
    <w:rsid w:val="00BA172C"/>
    <w:rsid w:val="00BE324A"/>
    <w:rsid w:val="00BF429B"/>
    <w:rsid w:val="00C13C3E"/>
    <w:rsid w:val="00C55CDA"/>
    <w:rsid w:val="00C907B8"/>
    <w:rsid w:val="00C93D54"/>
    <w:rsid w:val="00CA17DE"/>
    <w:rsid w:val="00CB7DC6"/>
    <w:rsid w:val="00CD35BB"/>
    <w:rsid w:val="00CD757B"/>
    <w:rsid w:val="00CF68AE"/>
    <w:rsid w:val="00CF6DDB"/>
    <w:rsid w:val="00D0757F"/>
    <w:rsid w:val="00D1282C"/>
    <w:rsid w:val="00D12849"/>
    <w:rsid w:val="00D177C1"/>
    <w:rsid w:val="00D40158"/>
    <w:rsid w:val="00D41924"/>
    <w:rsid w:val="00D52B02"/>
    <w:rsid w:val="00D533C4"/>
    <w:rsid w:val="00D639C2"/>
    <w:rsid w:val="00D649E8"/>
    <w:rsid w:val="00D66A2E"/>
    <w:rsid w:val="00D95BED"/>
    <w:rsid w:val="00DA317C"/>
    <w:rsid w:val="00DA3B01"/>
    <w:rsid w:val="00DA5CE4"/>
    <w:rsid w:val="00DB373E"/>
    <w:rsid w:val="00DD745B"/>
    <w:rsid w:val="00DF04CA"/>
    <w:rsid w:val="00DF7409"/>
    <w:rsid w:val="00E05670"/>
    <w:rsid w:val="00E22A48"/>
    <w:rsid w:val="00E56B88"/>
    <w:rsid w:val="00E77729"/>
    <w:rsid w:val="00E863A5"/>
    <w:rsid w:val="00E96CEA"/>
    <w:rsid w:val="00EA379D"/>
    <w:rsid w:val="00EC3B9F"/>
    <w:rsid w:val="00ED7ABB"/>
    <w:rsid w:val="00EE171E"/>
    <w:rsid w:val="00EE35DC"/>
    <w:rsid w:val="00F04883"/>
    <w:rsid w:val="00F53D09"/>
    <w:rsid w:val="00F60F78"/>
    <w:rsid w:val="00F67997"/>
    <w:rsid w:val="00F7743E"/>
    <w:rsid w:val="00FB23D4"/>
    <w:rsid w:val="00FC72CB"/>
    <w:rsid w:val="022A1418"/>
    <w:rsid w:val="02694860"/>
    <w:rsid w:val="04634CB2"/>
    <w:rsid w:val="049037D8"/>
    <w:rsid w:val="05243D06"/>
    <w:rsid w:val="05780751"/>
    <w:rsid w:val="072A7B3C"/>
    <w:rsid w:val="074C6E04"/>
    <w:rsid w:val="086A1D84"/>
    <w:rsid w:val="09AF7805"/>
    <w:rsid w:val="0B5F5906"/>
    <w:rsid w:val="0B981910"/>
    <w:rsid w:val="0C2F71EE"/>
    <w:rsid w:val="121316C9"/>
    <w:rsid w:val="135E4F5F"/>
    <w:rsid w:val="15E5619D"/>
    <w:rsid w:val="15F157B9"/>
    <w:rsid w:val="175C5BC1"/>
    <w:rsid w:val="19432EE2"/>
    <w:rsid w:val="1A3A1904"/>
    <w:rsid w:val="1AE144CE"/>
    <w:rsid w:val="1AF71E2C"/>
    <w:rsid w:val="1C4A4C57"/>
    <w:rsid w:val="1CBC767C"/>
    <w:rsid w:val="1D6800E0"/>
    <w:rsid w:val="1EBE45D7"/>
    <w:rsid w:val="1F7668B7"/>
    <w:rsid w:val="1FE57B97"/>
    <w:rsid w:val="1FFA6A60"/>
    <w:rsid w:val="21127608"/>
    <w:rsid w:val="23503C35"/>
    <w:rsid w:val="24980E9B"/>
    <w:rsid w:val="2556749B"/>
    <w:rsid w:val="27632DBD"/>
    <w:rsid w:val="2BE81CCE"/>
    <w:rsid w:val="2D567511"/>
    <w:rsid w:val="2D8A7EDD"/>
    <w:rsid w:val="2E876EF6"/>
    <w:rsid w:val="2EBC4210"/>
    <w:rsid w:val="2F356383"/>
    <w:rsid w:val="2F3F5B5C"/>
    <w:rsid w:val="2F7E433D"/>
    <w:rsid w:val="30507CDF"/>
    <w:rsid w:val="321D7CBB"/>
    <w:rsid w:val="32FF29BC"/>
    <w:rsid w:val="33035495"/>
    <w:rsid w:val="33CE592B"/>
    <w:rsid w:val="34092906"/>
    <w:rsid w:val="349413EA"/>
    <w:rsid w:val="36FC7A75"/>
    <w:rsid w:val="385E0723"/>
    <w:rsid w:val="39B41D8C"/>
    <w:rsid w:val="3A7B57D6"/>
    <w:rsid w:val="3AB87B54"/>
    <w:rsid w:val="3AD703CF"/>
    <w:rsid w:val="3B192EB7"/>
    <w:rsid w:val="3BA04E95"/>
    <w:rsid w:val="3DFD18C0"/>
    <w:rsid w:val="3F793BA4"/>
    <w:rsid w:val="3FA87B4A"/>
    <w:rsid w:val="41E30F33"/>
    <w:rsid w:val="43F154DE"/>
    <w:rsid w:val="44415834"/>
    <w:rsid w:val="457556F4"/>
    <w:rsid w:val="46E252F5"/>
    <w:rsid w:val="486A6553"/>
    <w:rsid w:val="48D814AF"/>
    <w:rsid w:val="490F3C17"/>
    <w:rsid w:val="4A580150"/>
    <w:rsid w:val="4ABE526B"/>
    <w:rsid w:val="4DF831E7"/>
    <w:rsid w:val="4E3B4A67"/>
    <w:rsid w:val="4EA95DEB"/>
    <w:rsid w:val="4F4526AD"/>
    <w:rsid w:val="50017E08"/>
    <w:rsid w:val="51CE2237"/>
    <w:rsid w:val="5262551F"/>
    <w:rsid w:val="53865129"/>
    <w:rsid w:val="56015E1C"/>
    <w:rsid w:val="56196DFE"/>
    <w:rsid w:val="57247615"/>
    <w:rsid w:val="5AD80F95"/>
    <w:rsid w:val="5B881BB8"/>
    <w:rsid w:val="5BBB7CD3"/>
    <w:rsid w:val="5C176154"/>
    <w:rsid w:val="5CF563A5"/>
    <w:rsid w:val="5D462572"/>
    <w:rsid w:val="61897E70"/>
    <w:rsid w:val="61DF5EBD"/>
    <w:rsid w:val="61E729A0"/>
    <w:rsid w:val="62D231D9"/>
    <w:rsid w:val="638B6587"/>
    <w:rsid w:val="66310B16"/>
    <w:rsid w:val="68906CCB"/>
    <w:rsid w:val="69252C2D"/>
    <w:rsid w:val="6ABC2BCC"/>
    <w:rsid w:val="6D386112"/>
    <w:rsid w:val="6DA20ACE"/>
    <w:rsid w:val="6EC73901"/>
    <w:rsid w:val="6F232AC5"/>
    <w:rsid w:val="71181FA5"/>
    <w:rsid w:val="74AB0DCC"/>
    <w:rsid w:val="75D37ADE"/>
    <w:rsid w:val="77960C5C"/>
    <w:rsid w:val="77C02EEE"/>
    <w:rsid w:val="78020F61"/>
    <w:rsid w:val="7894770D"/>
    <w:rsid w:val="79441D94"/>
    <w:rsid w:val="7A1D28A0"/>
    <w:rsid w:val="7AAA734D"/>
    <w:rsid w:val="7BC54CF5"/>
    <w:rsid w:val="7BF2233A"/>
    <w:rsid w:val="7C1818F2"/>
    <w:rsid w:val="7CB92EF2"/>
    <w:rsid w:val="7DE962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99" w:semiHidden="0" w:name="Normal Indent"/>
    <w:lsdException w:uiPriority="0"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0" w:name="index heading" w:locked="1"/>
    <w:lsdException w:qFormat="1" w:unhideWhenUsed="0" w:uiPriority="99" w:semiHidden="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qFormat="1" w:unhideWhenUsed="0" w:uiPriority="99" w:semiHidden="0" w:name="List 2"/>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name="Default Paragraph Font"/>
    <w:lsdException w:qFormat="1" w:unhideWhenUsed="0" w:uiPriority="99" w:semiHidden="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qFormat="1" w:uiPriority="0" w:name="FollowedHyperlink" w:locked="1"/>
    <w:lsdException w:qFormat="1" w:unhideWhenUsed="0" w:uiPriority="0" w:semiHidden="0" w:name="Strong"/>
    <w:lsdException w:qFormat="1" w:unhideWhenUsed="0" w:uiPriority="0" w:semiHidden="0" w:name="Emphasis"/>
    <w:lsdException w:uiPriority="0" w:name="Document Map" w:locked="1"/>
    <w:lsdException w:qFormat="1" w:unhideWhenUsed="0" w:uiPriority="99" w:semiHidden="0" w:name="Plain Text"/>
    <w:lsdException w:uiPriority="0" w:name="E-mail Signature" w:locked="1"/>
    <w:lsdException w:qFormat="1"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name="Table Web 2"/>
    <w:lsdException w:unhideWhenUsed="0" w:uiPriority="99" w:name="Table Web 3"/>
    <w:lsdException w:qFormat="1" w:uiPriority="99" w:name="Balloon Text" w:locked="1"/>
    <w:lsdException w:unhideWhenUsed="0" w:uiPriority="99" w:name="Table Grid"/>
    <w:lsdException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9"/>
    <w:pPr>
      <w:keepNext/>
      <w:widowControl/>
      <w:tabs>
        <w:tab w:val="left" w:pos="851"/>
      </w:tabs>
      <w:spacing w:before="240" w:after="60"/>
      <w:jc w:val="left"/>
      <w:outlineLvl w:val="0"/>
    </w:pPr>
    <w:rPr>
      <w:rFonts w:ascii="Arial" w:hAnsi="Arial" w:eastAsia="???|±¨??ì??ò"/>
      <w:b/>
      <w:kern w:val="28"/>
      <w:sz w:val="28"/>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jc w:val="center"/>
    </w:pPr>
    <w:rPr>
      <w:b/>
      <w:bCs/>
      <w:sz w:val="52"/>
    </w:rPr>
  </w:style>
  <w:style w:type="paragraph" w:styleId="4">
    <w:name w:val="Normal Indent"/>
    <w:basedOn w:val="1"/>
    <w:link w:val="33"/>
    <w:qFormat/>
    <w:uiPriority w:val="99"/>
    <w:pPr>
      <w:ind w:firstLine="420"/>
    </w:pPr>
    <w:rPr>
      <w:kern w:val="0"/>
      <w:sz w:val="20"/>
      <w:szCs w:val="20"/>
    </w:rPr>
  </w:style>
  <w:style w:type="paragraph" w:styleId="5">
    <w:name w:val="caption"/>
    <w:basedOn w:val="1"/>
    <w:next w:val="1"/>
    <w:link w:val="34"/>
    <w:qFormat/>
    <w:uiPriority w:val="99"/>
    <w:pPr>
      <w:spacing w:before="152" w:after="160"/>
    </w:pPr>
    <w:rPr>
      <w:rFonts w:ascii="Arial" w:hAnsi="Arial" w:eastAsia="黑体"/>
      <w:kern w:val="0"/>
      <w:sz w:val="20"/>
      <w:szCs w:val="20"/>
    </w:rPr>
  </w:style>
  <w:style w:type="paragraph" w:styleId="6">
    <w:name w:val="annotation text"/>
    <w:basedOn w:val="1"/>
    <w:semiHidden/>
    <w:unhideWhenUsed/>
    <w:qFormat/>
    <w:locked/>
    <w:uiPriority w:val="99"/>
    <w:pPr>
      <w:jc w:val="left"/>
    </w:pPr>
  </w:style>
  <w:style w:type="paragraph" w:styleId="7">
    <w:name w:val="List 2"/>
    <w:basedOn w:val="1"/>
    <w:qFormat/>
    <w:uiPriority w:val="99"/>
    <w:pPr>
      <w:ind w:left="100" w:leftChars="200" w:hanging="200" w:hangingChars="200"/>
    </w:pPr>
    <w:rPr>
      <w:sz w:val="28"/>
    </w:rPr>
  </w:style>
  <w:style w:type="paragraph" w:styleId="8">
    <w:name w:val="Plain Text"/>
    <w:basedOn w:val="1"/>
    <w:link w:val="28"/>
    <w:qFormat/>
    <w:uiPriority w:val="99"/>
    <w:pPr>
      <w:spacing w:beforeLines="50" w:afterLines="50" w:line="400" w:lineRule="exact"/>
    </w:pPr>
    <w:rPr>
      <w:rFonts w:ascii="宋体" w:hAnsi="Courier New"/>
      <w:kern w:val="0"/>
      <w:sz w:val="24"/>
    </w:rPr>
  </w:style>
  <w:style w:type="paragraph" w:styleId="9">
    <w:name w:val="Date"/>
    <w:basedOn w:val="1"/>
    <w:next w:val="1"/>
    <w:link w:val="29"/>
    <w:qFormat/>
    <w:uiPriority w:val="99"/>
    <w:pPr>
      <w:ind w:left="100" w:leftChars="2500"/>
    </w:pPr>
  </w:style>
  <w:style w:type="paragraph" w:styleId="10">
    <w:name w:val="Balloon Text"/>
    <w:basedOn w:val="1"/>
    <w:link w:val="35"/>
    <w:semiHidden/>
    <w:unhideWhenUsed/>
    <w:qFormat/>
    <w:locked/>
    <w:uiPriority w:val="99"/>
    <w:rPr>
      <w:sz w:val="18"/>
      <w:szCs w:val="18"/>
    </w:r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pPr>
      <w:tabs>
        <w:tab w:val="right" w:leader="hyphen" w:pos="8302"/>
      </w:tabs>
      <w:spacing w:line="600" w:lineRule="exact"/>
    </w:pPr>
    <w:rPr>
      <w:sz w:val="24"/>
    </w:rPr>
  </w:style>
  <w:style w:type="paragraph" w:styleId="14">
    <w:name w:val="Normal (Web)"/>
    <w:basedOn w:val="1"/>
    <w:semiHidden/>
    <w:unhideWhenUsed/>
    <w:qFormat/>
    <w:locked/>
    <w:uiPriority w:val="0"/>
    <w:pPr>
      <w:spacing w:before="0" w:beforeAutospacing="1" w:after="0" w:afterAutospacing="1"/>
      <w:ind w:left="0" w:right="0"/>
      <w:jc w:val="left"/>
    </w:pPr>
    <w:rPr>
      <w:kern w:val="0"/>
      <w:sz w:val="24"/>
      <w:lang w:val="en-US" w:eastAsia="zh-CN" w:bidi="ar"/>
    </w:rPr>
  </w:style>
  <w:style w:type="character" w:styleId="17">
    <w:name w:val="Strong"/>
    <w:basedOn w:val="16"/>
    <w:qFormat/>
    <w:uiPriority w:val="0"/>
    <w:rPr>
      <w:b/>
      <w:color w:val="000000"/>
    </w:rPr>
  </w:style>
  <w:style w:type="character" w:styleId="18">
    <w:name w:val="page number"/>
    <w:basedOn w:val="16"/>
    <w:qFormat/>
    <w:uiPriority w:val="99"/>
    <w:rPr>
      <w:rFonts w:cs="Times New Roman"/>
    </w:rPr>
  </w:style>
  <w:style w:type="character" w:styleId="19">
    <w:name w:val="FollowedHyperlink"/>
    <w:basedOn w:val="16"/>
    <w:semiHidden/>
    <w:unhideWhenUsed/>
    <w:qFormat/>
    <w:locked/>
    <w:uiPriority w:val="0"/>
    <w:rPr>
      <w:color w:val="000000"/>
      <w:spacing w:val="21"/>
      <w:u w:val="none"/>
    </w:rPr>
  </w:style>
  <w:style w:type="character" w:styleId="20">
    <w:name w:val="Hyperlink"/>
    <w:basedOn w:val="16"/>
    <w:qFormat/>
    <w:uiPriority w:val="99"/>
    <w:rPr>
      <w:rFonts w:cs="Times New Roman"/>
      <w:color w:val="0000FF"/>
      <w:u w:val="single"/>
    </w:rPr>
  </w:style>
  <w:style w:type="paragraph" w:customStyle="1" w:styleId="21">
    <w:name w:val="Char Char Char Char Char Char"/>
    <w:basedOn w:val="1"/>
    <w:qFormat/>
    <w:uiPriority w:val="99"/>
    <w:pPr>
      <w:jc w:val="center"/>
    </w:pPr>
    <w:rPr>
      <w:rFonts w:ascii="Tahoma" w:hAnsi="Tahoma"/>
      <w:sz w:val="24"/>
      <w:szCs w:val="20"/>
    </w:rPr>
  </w:style>
  <w:style w:type="paragraph" w:customStyle="1" w:styleId="22">
    <w:name w:val="列出段落1"/>
    <w:basedOn w:val="1"/>
    <w:qFormat/>
    <w:uiPriority w:val="99"/>
    <w:pPr>
      <w:ind w:firstLine="420" w:firstLineChars="200"/>
    </w:pPr>
  </w:style>
  <w:style w:type="paragraph" w:customStyle="1" w:styleId="23">
    <w:name w:val="Char Char Char2 Char"/>
    <w:basedOn w:val="1"/>
    <w:qFormat/>
    <w:uiPriority w:val="99"/>
    <w:pPr>
      <w:ind w:left="720" w:hanging="720"/>
    </w:pPr>
  </w:style>
  <w:style w:type="paragraph" w:customStyle="1" w:styleId="24">
    <w:name w:val="表格文字"/>
    <w:qFormat/>
    <w:uiPriority w:val="99"/>
    <w:rPr>
      <w:rFonts w:ascii="Times New Roman" w:hAnsi="Times New Roman" w:eastAsia="宋体" w:cs="Times New Roman"/>
      <w:sz w:val="24"/>
      <w:lang w:val="en-US" w:eastAsia="zh-CN" w:bidi="ar-SA"/>
    </w:rPr>
  </w:style>
  <w:style w:type="paragraph" w:customStyle="1" w:styleId="25">
    <w:name w:val="标准正文"/>
    <w:basedOn w:val="1"/>
    <w:qFormat/>
    <w:uiPriority w:val="0"/>
    <w:pPr>
      <w:spacing w:afterLines="50"/>
      <w:ind w:firstLine="200" w:firstLineChars="200"/>
    </w:pPr>
    <w:rPr>
      <w:sz w:val="24"/>
      <w:szCs w:val="21"/>
    </w:rPr>
  </w:style>
  <w:style w:type="character" w:customStyle="1" w:styleId="26">
    <w:name w:val="标题 1 Char"/>
    <w:basedOn w:val="16"/>
    <w:link w:val="3"/>
    <w:qFormat/>
    <w:uiPriority w:val="99"/>
    <w:rPr>
      <w:rFonts w:cs="Times New Roman"/>
      <w:b/>
      <w:bCs/>
      <w:kern w:val="44"/>
      <w:sz w:val="44"/>
      <w:szCs w:val="44"/>
    </w:rPr>
  </w:style>
  <w:style w:type="character" w:customStyle="1" w:styleId="27">
    <w:name w:val="正文文本 Char"/>
    <w:basedOn w:val="16"/>
    <w:link w:val="2"/>
    <w:qFormat/>
    <w:uiPriority w:val="99"/>
    <w:rPr>
      <w:rFonts w:ascii="Times New Roman" w:hAnsi="Times New Roman" w:eastAsia="宋体" w:cs="Times New Roman"/>
      <w:b/>
      <w:bCs/>
      <w:sz w:val="24"/>
      <w:szCs w:val="24"/>
    </w:rPr>
  </w:style>
  <w:style w:type="character" w:customStyle="1" w:styleId="28">
    <w:name w:val="纯文本 Char"/>
    <w:basedOn w:val="16"/>
    <w:link w:val="8"/>
    <w:qFormat/>
    <w:uiPriority w:val="99"/>
    <w:rPr>
      <w:rFonts w:ascii="宋体" w:hAnsi="Courier New" w:eastAsia="宋体" w:cs="Times New Roman"/>
      <w:sz w:val="24"/>
    </w:rPr>
  </w:style>
  <w:style w:type="character" w:customStyle="1" w:styleId="29">
    <w:name w:val="日期 Char"/>
    <w:basedOn w:val="16"/>
    <w:link w:val="9"/>
    <w:qFormat/>
    <w:uiPriority w:val="99"/>
    <w:rPr>
      <w:rFonts w:ascii="Times New Roman" w:hAnsi="Times New Roman" w:eastAsia="宋体" w:cs="Times New Roman"/>
      <w:sz w:val="24"/>
      <w:szCs w:val="24"/>
    </w:rPr>
  </w:style>
  <w:style w:type="character" w:customStyle="1" w:styleId="30">
    <w:name w:val="页脚 Char"/>
    <w:basedOn w:val="16"/>
    <w:link w:val="11"/>
    <w:qFormat/>
    <w:uiPriority w:val="99"/>
    <w:rPr>
      <w:rFonts w:ascii="Times New Roman" w:hAnsi="Times New Roman" w:eastAsia="宋体" w:cs="Times New Roman"/>
      <w:sz w:val="18"/>
      <w:szCs w:val="18"/>
    </w:rPr>
  </w:style>
  <w:style w:type="character" w:customStyle="1" w:styleId="31">
    <w:name w:val="页眉 Char"/>
    <w:basedOn w:val="16"/>
    <w:link w:val="12"/>
    <w:qFormat/>
    <w:uiPriority w:val="99"/>
    <w:rPr>
      <w:rFonts w:ascii="Times New Roman" w:hAnsi="Times New Roman" w:eastAsia="宋体" w:cs="Times New Roman"/>
      <w:sz w:val="18"/>
      <w:szCs w:val="18"/>
    </w:rPr>
  </w:style>
  <w:style w:type="character" w:customStyle="1" w:styleId="32">
    <w:name w:val="纯文本 Char Char"/>
    <w:basedOn w:val="16"/>
    <w:qFormat/>
    <w:uiPriority w:val="99"/>
    <w:rPr>
      <w:rFonts w:ascii="宋体" w:hAnsi="Courier New" w:eastAsia="宋体" w:cs="Courier New"/>
      <w:sz w:val="21"/>
      <w:szCs w:val="21"/>
    </w:rPr>
  </w:style>
  <w:style w:type="character" w:customStyle="1" w:styleId="33">
    <w:name w:val="正文缩进 Char"/>
    <w:link w:val="4"/>
    <w:qFormat/>
    <w:uiPriority w:val="99"/>
    <w:rPr>
      <w:rFonts w:eastAsia="宋体"/>
    </w:rPr>
  </w:style>
  <w:style w:type="character" w:customStyle="1" w:styleId="34">
    <w:name w:val="题注 Char"/>
    <w:link w:val="5"/>
    <w:qFormat/>
    <w:uiPriority w:val="99"/>
    <w:rPr>
      <w:rFonts w:ascii="Arial" w:hAnsi="Arial" w:eastAsia="黑体"/>
    </w:rPr>
  </w:style>
  <w:style w:type="character" w:customStyle="1" w:styleId="35">
    <w:name w:val="批注框文本 Char"/>
    <w:basedOn w:val="16"/>
    <w:link w:val="10"/>
    <w:qFormat/>
    <w:uiPriority w:val="99"/>
    <w:rPr>
      <w:sz w:val="18"/>
      <w:szCs w:val="18"/>
    </w:rPr>
  </w:style>
  <w:style w:type="character" w:customStyle="1" w:styleId="36">
    <w:name w:val="l-btn-empty"/>
    <w:basedOn w:val="16"/>
    <w:qFormat/>
    <w:uiPriority w:val="0"/>
  </w:style>
  <w:style w:type="character" w:customStyle="1" w:styleId="37">
    <w:name w:val="l-btn-text"/>
    <w:basedOn w:val="16"/>
    <w:qFormat/>
    <w:uiPriority w:val="0"/>
  </w:style>
  <w:style w:type="character" w:customStyle="1" w:styleId="38">
    <w:name w:val="l-btn-left"/>
    <w:basedOn w:val="16"/>
    <w:qFormat/>
    <w:uiPriority w:val="0"/>
  </w:style>
  <w:style w:type="character" w:customStyle="1" w:styleId="39">
    <w:name w:val="l-btn-left1"/>
    <w:basedOn w:val="16"/>
    <w:qFormat/>
    <w:uiPriority w:val="0"/>
  </w:style>
  <w:style w:type="character" w:customStyle="1" w:styleId="40">
    <w:name w:val="l-btn-left2"/>
    <w:basedOn w:val="16"/>
    <w:qFormat/>
    <w:uiPriority w:val="0"/>
  </w:style>
  <w:style w:type="character" w:customStyle="1" w:styleId="41">
    <w:name w:val="l-btn-left3"/>
    <w:basedOn w:val="16"/>
    <w:qFormat/>
    <w:uiPriority w:val="0"/>
  </w:style>
  <w:style w:type="paragraph" w:customStyle="1" w:styleId="4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7992</Words>
  <Characters>8412</Characters>
  <Lines>67</Lines>
  <Paragraphs>19</Paragraphs>
  <TotalTime>12</TotalTime>
  <ScaleCrop>false</ScaleCrop>
  <LinksUpToDate>false</LinksUpToDate>
  <CharactersWithSpaces>8663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2018-12-17T08:49:00Z</dcterms:created>
  <dc:creator>CurUserName</dc:creator>
  <cp:lastModifiedBy>林果</cp:lastModifiedBy>
  <cp:lastPrinted>2024-05-09T08:22:00Z</cp:lastPrinted>
  <dcterms:modified xsi:type="dcterms:W3CDTF">2025-06-16T05:40:07Z</dcterms:modified>
  <dc:title>绍兴市柯桥区交通投资服务中心银行基建账户开户招标</dc:title>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1F93C86267454128A6EFD88B9123D273_13</vt:lpwstr>
  </property>
  <property fmtid="{D5CDD505-2E9C-101B-9397-08002B2CF9AE}" pid="4" name="KSOTemplateDocerSaveRecord">
    <vt:lpwstr>eyJoZGlkIjoiMTRiZGU4YjUyZjUxYmIwMjNjODk1N2ZjYjMyOGY0Y2MiLCJ1c2VySWQiOiI3NDI0OTY3ODEifQ==</vt:lpwstr>
  </property>
</Properties>
</file>