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C1F02">
      <w:pPr>
        <w:shd w:val="clear"/>
        <w:ind w:left="0" w:leftChars="0" w:firstLine="0" w:firstLineChars="0"/>
        <w:jc w:val="center"/>
        <w:rPr>
          <w:rFonts w:hint="eastAsia" w:ascii="宋体" w:hAnsi="宋体"/>
          <w:b/>
          <w:color w:val="auto"/>
          <w:sz w:val="44"/>
          <w:szCs w:val="44"/>
          <w:highlight w:val="none"/>
          <w:lang w:val="zh-CN" w:eastAsia="zh-CN"/>
        </w:rPr>
      </w:pPr>
      <w:bookmarkStart w:id="0" w:name="OLE_LINK1"/>
      <w:bookmarkStart w:id="1" w:name="_Toc24121"/>
      <w:bookmarkStart w:id="2" w:name="_Toc241"/>
      <w:bookmarkStart w:id="3" w:name="_Toc9884"/>
      <w:bookmarkStart w:id="4" w:name="_Toc14791"/>
      <w:bookmarkStart w:id="5" w:name="_Toc46"/>
      <w:bookmarkStart w:id="6" w:name="_Toc20694"/>
      <w:bookmarkStart w:id="7" w:name="_Toc30271"/>
      <w:bookmarkStart w:id="8" w:name="_Toc12141"/>
      <w:bookmarkStart w:id="9" w:name="_Toc279"/>
      <w:bookmarkStart w:id="10" w:name="_Toc16896"/>
      <w:bookmarkStart w:id="11" w:name="_Toc15028"/>
      <w:bookmarkStart w:id="12" w:name="_Toc21045"/>
      <w:bookmarkStart w:id="13" w:name="_Toc20976"/>
      <w:bookmarkStart w:id="14" w:name="_Toc16590"/>
      <w:bookmarkStart w:id="15" w:name="_Toc9263"/>
      <w:bookmarkStart w:id="16" w:name="_Toc10243"/>
      <w:bookmarkStart w:id="17" w:name="_Toc29343"/>
      <w:bookmarkStart w:id="18" w:name="_Toc10184"/>
      <w:bookmarkStart w:id="19" w:name="_Toc29090"/>
      <w:bookmarkStart w:id="20" w:name="_Toc23450"/>
      <w:bookmarkStart w:id="21" w:name="_Toc2010"/>
      <w:bookmarkStart w:id="22" w:name="_Toc32254"/>
      <w:bookmarkStart w:id="23" w:name="_Toc18472"/>
      <w:bookmarkStart w:id="24" w:name="_Toc25883"/>
      <w:bookmarkStart w:id="25" w:name="_Toc26190"/>
      <w:bookmarkStart w:id="26" w:name="_Toc26522"/>
      <w:bookmarkStart w:id="27" w:name="_Toc25928"/>
      <w:bookmarkStart w:id="28" w:name="_Toc24196"/>
      <w:bookmarkStart w:id="29" w:name="_Toc29689"/>
      <w:bookmarkStart w:id="30" w:name="_Toc23468"/>
      <w:bookmarkStart w:id="31" w:name="_Toc7617"/>
      <w:bookmarkStart w:id="32" w:name="_Toc356371442"/>
      <w:bookmarkStart w:id="33" w:name="_Toc20217"/>
      <w:bookmarkStart w:id="34" w:name="_Toc366144042"/>
      <w:bookmarkStart w:id="35" w:name="_Toc8943"/>
      <w:bookmarkStart w:id="36" w:name="_Toc12991"/>
      <w:bookmarkStart w:id="37" w:name="_Toc11086"/>
      <w:bookmarkStart w:id="38" w:name="_Toc8958"/>
      <w:bookmarkStart w:id="39" w:name="_Toc22519"/>
      <w:bookmarkStart w:id="40" w:name="_Toc11576"/>
      <w:bookmarkStart w:id="41" w:name="_Toc22501"/>
      <w:bookmarkStart w:id="42" w:name="_Toc30533"/>
      <w:bookmarkStart w:id="43" w:name="_Toc12922"/>
      <w:bookmarkStart w:id="44" w:name="_Toc22345"/>
      <w:bookmarkStart w:id="45" w:name="_Toc23051"/>
      <w:bookmarkStart w:id="46" w:name="_Toc11060"/>
      <w:bookmarkStart w:id="47" w:name="_Toc22286"/>
      <w:bookmarkStart w:id="48" w:name="_Toc27766"/>
      <w:bookmarkStart w:id="49" w:name="_Toc5668"/>
      <w:bookmarkStart w:id="50" w:name="_Toc26773"/>
      <w:bookmarkStart w:id="51" w:name="_Toc8256"/>
      <w:bookmarkStart w:id="52" w:name="_Toc5733"/>
      <w:bookmarkStart w:id="53" w:name="_Toc84"/>
      <w:bookmarkStart w:id="54" w:name="_Toc2501"/>
      <w:bookmarkStart w:id="55" w:name="_Toc2512"/>
      <w:bookmarkStart w:id="56" w:name="_Toc20598"/>
      <w:bookmarkStart w:id="57" w:name="_Toc22223"/>
      <w:bookmarkStart w:id="58" w:name="_Toc23367"/>
      <w:bookmarkStart w:id="59" w:name="_Toc25686"/>
      <w:bookmarkStart w:id="60" w:name="_Toc17532"/>
      <w:bookmarkStart w:id="61" w:name="_Toc6276"/>
      <w:bookmarkStart w:id="62" w:name="_Toc31011"/>
      <w:bookmarkStart w:id="63" w:name="_Toc31117"/>
      <w:bookmarkStart w:id="64" w:name="_Toc11102"/>
      <w:bookmarkStart w:id="65" w:name="_Toc20782"/>
      <w:bookmarkStart w:id="66" w:name="_Toc3582"/>
      <w:bookmarkStart w:id="67" w:name="_Toc9566"/>
      <w:bookmarkStart w:id="68" w:name="_Toc16318"/>
      <w:bookmarkStart w:id="69" w:name="_Toc18234"/>
      <w:bookmarkStart w:id="70" w:name="_Toc7744"/>
      <w:bookmarkStart w:id="71" w:name="_Toc3748"/>
      <w:bookmarkStart w:id="72" w:name="_Toc26121"/>
      <w:bookmarkStart w:id="73" w:name="_Toc391298961"/>
      <w:bookmarkStart w:id="74" w:name="_Toc22953"/>
      <w:bookmarkStart w:id="75" w:name="_Toc27582"/>
      <w:bookmarkStart w:id="76" w:name="_Toc26738"/>
      <w:bookmarkStart w:id="77" w:name="_Toc24148"/>
      <w:bookmarkStart w:id="78" w:name="_Toc27206"/>
      <w:bookmarkStart w:id="79" w:name="_Toc15513"/>
      <w:bookmarkStart w:id="80" w:name="_Toc8570"/>
    </w:p>
    <w:p w14:paraId="50D428C5">
      <w:pPr>
        <w:shd w:val="clear"/>
        <w:ind w:left="0" w:leftChars="0" w:firstLine="0" w:firstLineChars="0"/>
        <w:jc w:val="center"/>
        <w:rPr>
          <w:rFonts w:hint="eastAsia" w:ascii="宋体" w:hAnsi="宋体"/>
          <w:b/>
          <w:color w:val="auto"/>
          <w:sz w:val="44"/>
          <w:szCs w:val="44"/>
          <w:highlight w:val="none"/>
          <w:lang w:val="zh-CN" w:eastAsia="zh-CN"/>
        </w:rPr>
      </w:pPr>
    </w:p>
    <w:p w14:paraId="14965DCD">
      <w:pPr>
        <w:shd w:val="clear"/>
        <w:ind w:left="0" w:leftChars="0" w:firstLine="0" w:firstLineChars="0"/>
        <w:jc w:val="center"/>
        <w:rPr>
          <w:rFonts w:hint="eastAsia" w:ascii="宋体" w:hAnsi="宋体"/>
          <w:b/>
          <w:color w:val="auto"/>
          <w:sz w:val="36"/>
          <w:szCs w:val="36"/>
          <w:highlight w:val="none"/>
          <w:lang w:val="zh-CN" w:eastAsia="zh-CN"/>
        </w:rPr>
      </w:pPr>
      <w:r>
        <w:rPr>
          <w:rFonts w:hint="eastAsia" w:ascii="宋体" w:hAnsi="宋体"/>
          <w:b/>
          <w:color w:val="auto"/>
          <w:sz w:val="36"/>
          <w:szCs w:val="36"/>
          <w:highlight w:val="none"/>
          <w:lang w:val="zh-CN" w:eastAsia="zh-CN"/>
        </w:rPr>
        <w:t>龙游县湖镇镇张家埠村未来乡村生活馆亮化采购项目</w:t>
      </w:r>
    </w:p>
    <w:bookmarkEnd w:id="0"/>
    <w:p w14:paraId="6E46B304">
      <w:pPr>
        <w:shd w:val="clear"/>
        <w:snapToGrid w:val="0"/>
        <w:ind w:firstLine="0" w:firstLineChars="0"/>
        <w:jc w:val="center"/>
        <w:outlineLvl w:val="0"/>
        <w:rPr>
          <w:rFonts w:hint="eastAsia" w:ascii="宋体" w:hAnsi="宋体"/>
          <w:b/>
          <w:bCs/>
          <w:color w:val="auto"/>
          <w:sz w:val="36"/>
          <w:szCs w:val="36"/>
          <w:highlight w:val="none"/>
          <w:lang w:val="zh-CN"/>
        </w:rPr>
      </w:pPr>
    </w:p>
    <w:p w14:paraId="37742052">
      <w:pPr>
        <w:shd w:val="clear"/>
        <w:ind w:left="0" w:leftChars="0" w:firstLine="0" w:firstLineChars="0"/>
        <w:jc w:val="center"/>
        <w:rPr>
          <w:rFonts w:hint="eastAsia" w:ascii="宋体" w:hAnsi="宋体"/>
          <w:b/>
          <w:color w:val="auto"/>
          <w:sz w:val="44"/>
          <w:szCs w:val="44"/>
          <w:highlight w:val="none"/>
          <w:lang w:val="zh-CN" w:eastAsia="zh-CN"/>
        </w:rPr>
      </w:pPr>
    </w:p>
    <w:p w14:paraId="62C5A510">
      <w:pPr>
        <w:shd w:val="clear"/>
        <w:ind w:left="0" w:leftChars="0" w:firstLine="0" w:firstLineChars="0"/>
        <w:jc w:val="center"/>
        <w:rPr>
          <w:rFonts w:hint="eastAsia" w:ascii="宋体" w:hAnsi="宋体"/>
          <w:b/>
          <w:color w:val="auto"/>
          <w:sz w:val="44"/>
          <w:szCs w:val="44"/>
          <w:highlight w:val="none"/>
          <w:lang w:val="zh-CN" w:eastAsia="zh-CN"/>
        </w:rPr>
      </w:pPr>
    </w:p>
    <w:p w14:paraId="573BEF05">
      <w:pPr>
        <w:shd w:val="clear"/>
        <w:ind w:left="0" w:leftChars="0" w:firstLine="0" w:firstLineChars="0"/>
        <w:jc w:val="center"/>
        <w:rPr>
          <w:rFonts w:hint="eastAsia" w:ascii="宋体" w:hAnsi="宋体"/>
          <w:b/>
          <w:color w:val="auto"/>
          <w:sz w:val="44"/>
          <w:szCs w:val="44"/>
          <w:highlight w:val="none"/>
          <w:lang w:val="zh-CN" w:eastAsia="zh-CN"/>
        </w:rPr>
      </w:pPr>
      <w:r>
        <w:rPr>
          <w:rFonts w:hint="eastAsia" w:ascii="宋体" w:hAnsi="宋体"/>
          <w:b/>
          <w:color w:val="auto"/>
          <w:sz w:val="44"/>
          <w:szCs w:val="44"/>
          <w:highlight w:val="none"/>
          <w:lang w:val="zh-CN" w:eastAsia="zh-CN"/>
        </w:rPr>
        <w:t>项目编号：</w:t>
      </w:r>
      <w:bookmarkEnd w:id="1"/>
      <w:bookmarkEnd w:id="2"/>
      <w:bookmarkEnd w:id="3"/>
      <w:bookmarkEnd w:id="4"/>
      <w:bookmarkStart w:id="81" w:name="_Toc598"/>
      <w:bookmarkStart w:id="82" w:name="_Toc12263"/>
      <w:bookmarkStart w:id="83" w:name="_Toc23460"/>
      <w:bookmarkStart w:id="84" w:name="_Toc32351"/>
      <w:bookmarkStart w:id="85" w:name="_Toc4181"/>
      <w:bookmarkStart w:id="86" w:name="_Toc19031"/>
      <w:bookmarkStart w:id="87" w:name="_Toc21731"/>
      <w:bookmarkStart w:id="88" w:name="_Toc20262"/>
      <w:bookmarkStart w:id="89" w:name="_Toc1151"/>
      <w:bookmarkStart w:id="90" w:name="_Toc30278"/>
      <w:bookmarkStart w:id="91" w:name="_Toc9322"/>
      <w:bookmarkStart w:id="92" w:name="_Toc25868"/>
      <w:bookmarkStart w:id="93" w:name="_Toc23620"/>
      <w:bookmarkStart w:id="94" w:name="_Toc23353"/>
      <w:bookmarkStart w:id="95" w:name="_Toc21940"/>
      <w:bookmarkStart w:id="96" w:name="_Toc24101"/>
      <w:bookmarkStart w:id="97" w:name="_Toc13192"/>
      <w:bookmarkStart w:id="98" w:name="_Toc18186"/>
      <w:bookmarkStart w:id="99" w:name="_Toc21710"/>
      <w:bookmarkStart w:id="100" w:name="_Toc6952"/>
      <w:bookmarkStart w:id="101" w:name="_Toc14202"/>
      <w:bookmarkStart w:id="102" w:name="_Toc17601"/>
      <w:r>
        <w:rPr>
          <w:rFonts w:hint="eastAsia" w:ascii="宋体" w:hAnsi="宋体"/>
          <w:b/>
          <w:color w:val="auto"/>
          <w:sz w:val="44"/>
          <w:szCs w:val="44"/>
          <w:highlight w:val="none"/>
          <w:lang w:val="zh-CN" w:eastAsia="zh-CN"/>
        </w:rPr>
        <w:t>LYHZCG2025-021</w:t>
      </w:r>
    </w:p>
    <w:p w14:paraId="4C1B379A">
      <w:pPr>
        <w:pStyle w:val="37"/>
        <w:shd w:val="clear"/>
        <w:rPr>
          <w:color w:val="auto"/>
          <w:highlight w:val="none"/>
        </w:rPr>
      </w:pPr>
    </w:p>
    <w:p w14:paraId="57ED2C3A">
      <w:pPr>
        <w:pStyle w:val="52"/>
        <w:shd w:val="clear"/>
        <w:ind w:left="0" w:leftChars="0" w:firstLine="0" w:firstLineChars="0"/>
        <w:rPr>
          <w:color w:val="auto"/>
          <w:highlight w:val="none"/>
        </w:rPr>
      </w:pPr>
      <w:bookmarkStart w:id="103" w:name="_Toc10105"/>
    </w:p>
    <w:p w14:paraId="2A62383D">
      <w:pPr>
        <w:pStyle w:val="52"/>
        <w:shd w:val="clear"/>
        <w:tabs>
          <w:tab w:val="left" w:pos="6223"/>
        </w:tabs>
        <w:ind w:left="0" w:leftChars="0" w:firstLine="0" w:firstLineChars="0"/>
        <w:rPr>
          <w:rFonts w:hint="eastAsia" w:eastAsia="宋体"/>
          <w:color w:val="auto"/>
          <w:highlight w:val="none"/>
          <w:lang w:eastAsia="zh-CN"/>
        </w:rPr>
      </w:pPr>
    </w:p>
    <w:p w14:paraId="6B0A9EEC">
      <w:pPr>
        <w:pStyle w:val="6"/>
        <w:shd w:val="clear"/>
        <w:ind w:left="0" w:leftChars="0" w:firstLine="0" w:firstLineChars="0"/>
        <w:rPr>
          <w:color w:val="auto"/>
          <w:highlight w:val="none"/>
        </w:rPr>
      </w:pPr>
    </w:p>
    <w:p w14:paraId="7B90F6A0">
      <w:pPr>
        <w:pStyle w:val="3"/>
        <w:keepNext w:val="0"/>
        <w:shd w:val="clear"/>
        <w:spacing w:before="312" w:after="312" w:line="360" w:lineRule="auto"/>
        <w:ind w:firstLine="0" w:firstLineChars="0"/>
        <w:jc w:val="center"/>
        <w:rPr>
          <w:rFonts w:hint="eastAsia" w:ascii="宋体" w:hAnsi="宋体" w:cs="宋体"/>
          <w:color w:val="auto"/>
          <w:sz w:val="84"/>
          <w:szCs w:val="84"/>
          <w:highlight w:val="none"/>
        </w:rPr>
      </w:pPr>
      <w:bookmarkStart w:id="104" w:name="_Toc7487"/>
      <w:bookmarkStart w:id="105" w:name="_Toc24253"/>
      <w:bookmarkStart w:id="106" w:name="_Toc9221"/>
      <w:bookmarkStart w:id="107" w:name="_Toc15593"/>
      <w:bookmarkStart w:id="108" w:name="_Toc18878"/>
      <w:bookmarkStart w:id="109" w:name="_Toc7265"/>
      <w:bookmarkStart w:id="110" w:name="_Toc17807"/>
      <w:bookmarkStart w:id="111" w:name="_Toc6121"/>
      <w:bookmarkStart w:id="112" w:name="_Toc7482"/>
      <w:bookmarkStart w:id="113" w:name="_Toc28329"/>
      <w:bookmarkStart w:id="114" w:name="_Toc13874"/>
      <w:bookmarkStart w:id="115" w:name="_Toc25379"/>
      <w:bookmarkStart w:id="116" w:name="_Toc22329"/>
      <w:bookmarkStart w:id="117" w:name="_Toc3461"/>
      <w:bookmarkStart w:id="118" w:name="_Toc6896"/>
      <w:bookmarkStart w:id="119" w:name="_Toc19883"/>
      <w:bookmarkStart w:id="120" w:name="_Toc15623"/>
      <w:bookmarkStart w:id="121" w:name="_Toc28900"/>
      <w:r>
        <w:rPr>
          <w:rFonts w:hint="eastAsia" w:ascii="宋体" w:hAnsi="宋体" w:cs="宋体"/>
          <w:color w:val="auto"/>
          <w:sz w:val="84"/>
          <w:szCs w:val="84"/>
          <w:highlight w:val="none"/>
        </w:rPr>
        <w:t>竞争性磋商文件</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F5E7E99">
      <w:pPr>
        <w:pStyle w:val="51"/>
        <w:shd w:val="clear"/>
        <w:rPr>
          <w:rFonts w:hint="eastAsia"/>
          <w:color w:val="auto"/>
          <w:highlight w:val="none"/>
          <w:lang w:val="zh-CN"/>
        </w:rPr>
      </w:pPr>
    </w:p>
    <w:p w14:paraId="02366D8E">
      <w:pPr>
        <w:pStyle w:val="51"/>
        <w:shd w:val="clear"/>
        <w:rPr>
          <w:rFonts w:hint="eastAsia"/>
          <w:color w:val="auto"/>
          <w:highlight w:val="none"/>
          <w:lang w:val="zh-CN"/>
        </w:rPr>
      </w:pPr>
    </w:p>
    <w:p w14:paraId="0A4E94EB">
      <w:pPr>
        <w:pStyle w:val="51"/>
        <w:shd w:val="clear"/>
        <w:rPr>
          <w:rFonts w:hint="eastAsia"/>
          <w:color w:val="auto"/>
          <w:highlight w:val="none"/>
          <w:lang w:val="zh-CN"/>
        </w:rPr>
      </w:pPr>
    </w:p>
    <w:p w14:paraId="3FED5717">
      <w:pPr>
        <w:pStyle w:val="51"/>
        <w:shd w:val="clear"/>
        <w:rPr>
          <w:rFonts w:hint="eastAsia"/>
          <w:color w:val="auto"/>
          <w:highlight w:val="none"/>
          <w:lang w:val="zh-CN"/>
        </w:rPr>
      </w:pPr>
    </w:p>
    <w:p w14:paraId="3A008ACA">
      <w:pPr>
        <w:pStyle w:val="51"/>
        <w:shd w:val="clear"/>
        <w:rPr>
          <w:rFonts w:hint="eastAsia"/>
          <w:color w:val="auto"/>
          <w:highlight w:val="none"/>
          <w:lang w:val="zh-CN"/>
        </w:rPr>
      </w:pPr>
    </w:p>
    <w:p w14:paraId="719736D8">
      <w:pPr>
        <w:pStyle w:val="51"/>
        <w:shd w:val="clear"/>
        <w:rPr>
          <w:rFonts w:hint="eastAsia"/>
          <w:color w:val="auto"/>
          <w:highlight w:val="none"/>
          <w:lang w:val="zh-CN"/>
        </w:rPr>
      </w:pPr>
    </w:p>
    <w:p w14:paraId="38A915DC">
      <w:pPr>
        <w:pStyle w:val="51"/>
        <w:shd w:val="clear"/>
        <w:rPr>
          <w:rFonts w:hint="eastAsia"/>
          <w:color w:val="auto"/>
          <w:highlight w:val="none"/>
          <w:lang w:val="zh-CN"/>
        </w:rPr>
      </w:pPr>
    </w:p>
    <w:p w14:paraId="107F2E3D">
      <w:pPr>
        <w:pStyle w:val="51"/>
        <w:shd w:val="clear"/>
        <w:rPr>
          <w:rFonts w:hint="eastAsia"/>
          <w:color w:val="auto"/>
          <w:highlight w:val="none"/>
          <w:lang w:val="zh-CN"/>
        </w:rPr>
      </w:pPr>
    </w:p>
    <w:p w14:paraId="0A095402">
      <w:pPr>
        <w:pStyle w:val="51"/>
        <w:shd w:val="clear"/>
        <w:rPr>
          <w:rFonts w:hint="eastAsia"/>
          <w:color w:val="auto"/>
          <w:highlight w:val="none"/>
          <w:lang w:val="zh-CN"/>
        </w:rPr>
      </w:pPr>
    </w:p>
    <w:p w14:paraId="61AB04D1">
      <w:pPr>
        <w:pStyle w:val="51"/>
        <w:shd w:val="clear"/>
        <w:rPr>
          <w:rFonts w:hint="eastAsia"/>
          <w:color w:val="auto"/>
          <w:highlight w:val="none"/>
          <w:lang w:val="zh-CN"/>
        </w:rPr>
      </w:pPr>
    </w:p>
    <w:p w14:paraId="3935D4D4">
      <w:pPr>
        <w:keepNext w:val="0"/>
        <w:keepLines w:val="0"/>
        <w:pageBreakBefore w:val="0"/>
        <w:widowControl w:val="0"/>
        <w:shd w:val="clear"/>
        <w:kinsoku/>
        <w:wordWrap/>
        <w:overflowPunct/>
        <w:topLinePunct w:val="0"/>
        <w:autoSpaceDE/>
        <w:autoSpaceDN/>
        <w:bidi w:val="0"/>
        <w:adjustRightInd w:val="0"/>
        <w:snapToGrid w:val="0"/>
        <w:spacing w:line="800" w:lineRule="exact"/>
        <w:ind w:left="-480" w:leftChars="-200" w:right="-480" w:rightChars="-200"/>
        <w:jc w:val="both"/>
        <w:textAlignment w:val="auto"/>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采</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rPr>
        <w:t>购</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rPr>
        <w:t>人：</w:t>
      </w:r>
      <w:r>
        <w:rPr>
          <w:rFonts w:hint="eastAsia" w:ascii="宋体" w:hAnsi="宋体" w:cs="宋体"/>
          <w:b/>
          <w:color w:val="auto"/>
          <w:sz w:val="36"/>
          <w:szCs w:val="36"/>
          <w:highlight w:val="none"/>
          <w:lang w:val="zh-CN"/>
        </w:rPr>
        <w:t xml:space="preserve">龙游县湖镇镇张家埠村股份经济合作社（盖章） </w:t>
      </w:r>
    </w:p>
    <w:p w14:paraId="42A4F746">
      <w:pPr>
        <w:keepNext w:val="0"/>
        <w:keepLines w:val="0"/>
        <w:pageBreakBefore w:val="0"/>
        <w:widowControl w:val="0"/>
        <w:shd w:val="clear"/>
        <w:kinsoku/>
        <w:wordWrap/>
        <w:overflowPunct/>
        <w:topLinePunct w:val="0"/>
        <w:autoSpaceDE/>
        <w:autoSpaceDN/>
        <w:bidi w:val="0"/>
        <w:adjustRightInd w:val="0"/>
        <w:spacing w:line="800" w:lineRule="exact"/>
        <w:ind w:left="-480" w:leftChars="-200" w:right="-480" w:rightChars="-200"/>
        <w:jc w:val="both"/>
        <w:textAlignment w:val="auto"/>
        <w:outlineLvl w:val="0"/>
        <w:rPr>
          <w:rFonts w:hint="eastAsia" w:ascii="宋体" w:hAnsi="宋体" w:cs="宋体"/>
          <w:b/>
          <w:bCs/>
          <w:color w:val="auto"/>
          <w:sz w:val="36"/>
          <w:szCs w:val="36"/>
          <w:highlight w:val="none"/>
          <w:lang w:val="zh-CN"/>
        </w:rPr>
      </w:pPr>
      <w:bookmarkStart w:id="122" w:name="_Toc16157"/>
      <w:r>
        <w:rPr>
          <w:rFonts w:hint="eastAsia" w:ascii="宋体" w:hAnsi="宋体" w:cs="宋体"/>
          <w:b/>
          <w:bCs/>
          <w:color w:val="auto"/>
          <w:sz w:val="36"/>
          <w:szCs w:val="36"/>
          <w:highlight w:val="none"/>
          <w:lang w:val="en-US" w:eastAsia="zh-CN"/>
        </w:rPr>
        <w:t>采购</w:t>
      </w:r>
      <w:r>
        <w:rPr>
          <w:rFonts w:hint="eastAsia" w:ascii="宋体" w:hAnsi="宋体" w:cs="宋体"/>
          <w:b/>
          <w:bCs/>
          <w:color w:val="auto"/>
          <w:sz w:val="36"/>
          <w:szCs w:val="36"/>
          <w:highlight w:val="none"/>
          <w:lang w:val="zh-CN"/>
        </w:rPr>
        <w:t>代理机构：浙江万兴工程管理有限公司</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rPr>
        <w:t>（盖章）</w:t>
      </w:r>
      <w:bookmarkEnd w:id="122"/>
    </w:p>
    <w:p w14:paraId="72C1103E">
      <w:pPr>
        <w:pStyle w:val="37"/>
        <w:widowControl w:val="0"/>
        <w:shd w:val="clear"/>
        <w:ind w:left="0" w:leftChars="0" w:firstLine="0" w:firstLineChars="0"/>
        <w:jc w:val="center"/>
        <w:rPr>
          <w:rFonts w:hint="eastAsia" w:ascii="宋体" w:hAnsi="宋体" w:eastAsia="宋体" w:cs="宋体"/>
          <w:b/>
          <w:bCs/>
          <w:color w:val="auto"/>
          <w:kern w:val="2"/>
          <w:sz w:val="36"/>
          <w:szCs w:val="36"/>
          <w:highlight w:val="none"/>
          <w:lang w:val="zh-CN" w:eastAsia="zh-CN" w:bidi="ar-SA"/>
        </w:rPr>
      </w:pPr>
    </w:p>
    <w:p w14:paraId="0D047DD1">
      <w:pPr>
        <w:pStyle w:val="37"/>
        <w:widowControl w:val="0"/>
        <w:shd w:val="clear"/>
        <w:ind w:left="0" w:leftChars="0" w:firstLine="0" w:firstLineChars="0"/>
        <w:jc w:val="center"/>
        <w:rPr>
          <w:rFonts w:hint="eastAsia" w:ascii="宋体" w:hAnsi="宋体" w:eastAsia="宋体" w:cs="宋体"/>
          <w:b/>
          <w:bCs/>
          <w:color w:val="auto"/>
          <w:kern w:val="2"/>
          <w:sz w:val="36"/>
          <w:szCs w:val="36"/>
          <w:highlight w:val="none"/>
          <w:lang w:val="zh-CN" w:eastAsia="zh-CN" w:bidi="ar-SA"/>
        </w:rPr>
      </w:pPr>
    </w:p>
    <w:p w14:paraId="0FA300B0">
      <w:pPr>
        <w:pStyle w:val="37"/>
        <w:widowControl w:val="0"/>
        <w:shd w:val="clear"/>
        <w:ind w:left="0" w:leftChars="0" w:firstLine="0" w:firstLineChars="0"/>
        <w:jc w:val="center"/>
        <w:rPr>
          <w:rFonts w:hint="eastAsia" w:ascii="宋体" w:hAnsi="宋体"/>
          <w:b/>
          <w:color w:val="auto"/>
          <w:sz w:val="44"/>
          <w:szCs w:val="44"/>
          <w:highlight w:val="none"/>
        </w:rPr>
      </w:pPr>
      <w:r>
        <w:rPr>
          <w:rFonts w:hint="eastAsia" w:ascii="宋体" w:hAnsi="宋体" w:eastAsia="宋体" w:cs="宋体"/>
          <w:b/>
          <w:bCs/>
          <w:color w:val="auto"/>
          <w:kern w:val="2"/>
          <w:sz w:val="36"/>
          <w:szCs w:val="36"/>
          <w:highlight w:val="none"/>
          <w:lang w:val="zh-CN" w:eastAsia="zh-CN" w:bidi="ar-SA"/>
        </w:rPr>
        <w:t>二〇二</w:t>
      </w:r>
      <w:r>
        <w:rPr>
          <w:rFonts w:hint="eastAsia" w:hAnsi="宋体" w:cs="宋体"/>
          <w:b/>
          <w:bCs/>
          <w:color w:val="auto"/>
          <w:kern w:val="2"/>
          <w:sz w:val="36"/>
          <w:szCs w:val="36"/>
          <w:highlight w:val="none"/>
          <w:lang w:val="en-US" w:eastAsia="zh-CN" w:bidi="ar-SA"/>
        </w:rPr>
        <w:t>五</w:t>
      </w:r>
      <w:r>
        <w:rPr>
          <w:rFonts w:hint="eastAsia" w:ascii="宋体" w:hAnsi="宋体" w:eastAsia="宋体" w:cs="宋体"/>
          <w:b/>
          <w:bCs/>
          <w:color w:val="auto"/>
          <w:kern w:val="2"/>
          <w:sz w:val="36"/>
          <w:szCs w:val="36"/>
          <w:highlight w:val="none"/>
          <w:lang w:val="zh-CN" w:eastAsia="zh-CN" w:bidi="ar-SA"/>
        </w:rPr>
        <w:t>年</w:t>
      </w:r>
      <w:r>
        <w:rPr>
          <w:rFonts w:hint="eastAsia" w:hAnsi="宋体" w:cs="宋体"/>
          <w:b/>
          <w:bCs/>
          <w:color w:val="auto"/>
          <w:kern w:val="2"/>
          <w:sz w:val="36"/>
          <w:szCs w:val="36"/>
          <w:highlight w:val="none"/>
          <w:lang w:val="en-US" w:eastAsia="zh-CN" w:bidi="ar-SA"/>
        </w:rPr>
        <w:t>六</w:t>
      </w:r>
      <w:r>
        <w:rPr>
          <w:rFonts w:hint="eastAsia" w:ascii="宋体" w:hAnsi="宋体" w:eastAsia="宋体" w:cs="宋体"/>
          <w:b/>
          <w:bCs/>
          <w:color w:val="auto"/>
          <w:kern w:val="2"/>
          <w:sz w:val="36"/>
          <w:szCs w:val="36"/>
          <w:highlight w:val="none"/>
          <w:lang w:val="zh-CN" w:eastAsia="zh-CN" w:bidi="ar-SA"/>
        </w:rPr>
        <w:t>月</w:t>
      </w:r>
    </w:p>
    <w:p w14:paraId="61F1114D">
      <w:pPr>
        <w:pBdr>
          <w:left w:val="single" w:color="auto" w:sz="4" w:space="0"/>
        </w:pBdr>
        <w:shd w:val="clear"/>
        <w:tabs>
          <w:tab w:val="center" w:pos="4934"/>
          <w:tab w:val="left" w:pos="6344"/>
          <w:tab w:val="left" w:pos="7256"/>
        </w:tabs>
        <w:ind w:firstLine="0" w:firstLineChars="0"/>
        <w:jc w:val="center"/>
        <w:rPr>
          <w:rFonts w:ascii="宋体" w:hAnsi="宋体"/>
          <w:b/>
          <w:color w:val="auto"/>
          <w:sz w:val="44"/>
          <w:szCs w:val="44"/>
          <w:highlight w:val="none"/>
        </w:rPr>
      </w:pPr>
      <w:r>
        <w:rPr>
          <w:rFonts w:hint="eastAsia" w:ascii="宋体" w:hAnsi="宋体"/>
          <w:b/>
          <w:color w:val="auto"/>
          <w:sz w:val="44"/>
          <w:szCs w:val="44"/>
          <w:highlight w:val="none"/>
        </w:rPr>
        <w:t>目  录</w:t>
      </w:r>
    </w:p>
    <w:sdt>
      <w:sdtPr>
        <w:rPr>
          <w:rFonts w:ascii="宋体" w:hAnsi="宋体" w:eastAsia="宋体" w:cs="宋体"/>
          <w:color w:val="auto"/>
          <w:kern w:val="2"/>
          <w:sz w:val="21"/>
          <w:szCs w:val="24"/>
          <w:highlight w:val="none"/>
          <w:lang w:val="en-US" w:eastAsia="zh-CN" w:bidi="ar-SA"/>
        </w:rPr>
        <w:id w:val="147451045"/>
        <w15:color w:val="DBDBDB"/>
        <w:docPartObj>
          <w:docPartGallery w:val="Table of Contents"/>
          <w:docPartUnique/>
        </w:docPartObj>
      </w:sdtPr>
      <w:sdtEndPr>
        <w:rPr>
          <w:rFonts w:ascii="Times New Roman" w:hAnsi="Times New Roman" w:eastAsia="宋体" w:cs="宋体"/>
          <w:b/>
          <w:color w:val="auto"/>
          <w:kern w:val="2"/>
          <w:sz w:val="16"/>
          <w:szCs w:val="16"/>
          <w:highlight w:val="none"/>
          <w:lang w:val="en-US" w:eastAsia="zh-CN" w:bidi="ar-SA"/>
        </w:rPr>
      </w:sdtEndPr>
      <w:sdtContent>
        <w:p w14:paraId="7D513F93">
          <w:pPr>
            <w:shd w:val="clear"/>
            <w:spacing w:before="0" w:beforeLines="0" w:after="0" w:afterLines="0" w:line="240" w:lineRule="auto"/>
            <w:ind w:left="0" w:leftChars="0" w:right="0" w:rightChars="0" w:firstLine="0" w:firstLineChars="0"/>
            <w:jc w:val="center"/>
            <w:rPr>
              <w:color w:val="auto"/>
              <w:highlight w:val="none"/>
            </w:rPr>
          </w:pPr>
          <w:bookmarkStart w:id="123" w:name="_Toc16134"/>
        </w:p>
        <w:p w14:paraId="2E068625">
          <w:pPr>
            <w:pStyle w:val="86"/>
            <w:shd w:val="clear"/>
            <w:tabs>
              <w:tab w:val="right" w:leader="dot" w:pos="9746"/>
            </w:tabs>
            <w:rPr>
              <w:b/>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7BECE544">
          <w:pPr>
            <w:pStyle w:val="86"/>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_Toc17951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第一章 磋商公告</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_Toc17951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3</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732DDDF9">
          <w:pPr>
            <w:pStyle w:val="86"/>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_Toc18478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第二章 供应商须知</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_Toc18478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6</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45983D5D">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_Toc19935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供应商须知前附表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_Toc19935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8A48E0C">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_Toc11668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val="en-US" w:eastAsia="zh-CN"/>
            </w:rPr>
            <w:t>二</w:t>
          </w:r>
          <w:r>
            <w:rPr>
              <w:rFonts w:hint="eastAsia" w:ascii="宋体" w:hAnsi="宋体" w:eastAsia="宋体" w:cs="宋体"/>
              <w:bCs w:val="0"/>
              <w:color w:val="auto"/>
              <w:sz w:val="22"/>
              <w:szCs w:val="22"/>
              <w:highlight w:val="none"/>
              <w:lang w:val="en-US"/>
            </w:rPr>
            <w:t>、说明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_Toc11668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3599145">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_Toc30926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val="en-US" w:eastAsia="zh-CN"/>
            </w:rPr>
            <w:t>三</w:t>
          </w:r>
          <w:r>
            <w:rPr>
              <w:rFonts w:hint="eastAsia" w:ascii="宋体" w:hAnsi="宋体" w:eastAsia="宋体" w:cs="宋体"/>
              <w:bCs w:val="0"/>
              <w:color w:val="auto"/>
              <w:sz w:val="22"/>
              <w:szCs w:val="22"/>
              <w:highlight w:val="none"/>
            </w:rPr>
            <w:t>、竞争性磋商文件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_Toc30926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D35C72D">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_Toc25089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val="en-US" w:eastAsia="zh-CN"/>
            </w:rPr>
            <w:t>四</w:t>
          </w:r>
          <w:r>
            <w:rPr>
              <w:rFonts w:hint="eastAsia" w:ascii="宋体" w:hAnsi="宋体" w:eastAsia="宋体" w:cs="宋体"/>
              <w:bCs w:val="0"/>
              <w:color w:val="auto"/>
              <w:sz w:val="22"/>
              <w:szCs w:val="22"/>
              <w:highlight w:val="none"/>
            </w:rPr>
            <w:t>、竞争性磋商响应文件的编写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_Toc25089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E898D69">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_Toc26610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val="en-US" w:eastAsia="zh-CN"/>
            </w:rPr>
            <w:t>五</w:t>
          </w:r>
          <w:r>
            <w:rPr>
              <w:rFonts w:hint="eastAsia" w:ascii="宋体" w:hAnsi="宋体" w:eastAsia="宋体" w:cs="宋体"/>
              <w:bCs w:val="0"/>
              <w:color w:val="auto"/>
              <w:sz w:val="22"/>
              <w:szCs w:val="22"/>
              <w:highlight w:val="none"/>
              <w:lang w:val="en-US"/>
            </w:rPr>
            <w:t>、竞争性磋商响应文件的提交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_Toc26610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A2F98CE">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_Toc22611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val="en-US" w:eastAsia="zh-CN"/>
            </w:rPr>
            <w:t>六</w:t>
          </w:r>
          <w:r>
            <w:rPr>
              <w:rFonts w:hint="eastAsia" w:ascii="宋体" w:hAnsi="宋体" w:eastAsia="宋体" w:cs="宋体"/>
              <w:bCs w:val="0"/>
              <w:color w:val="auto"/>
              <w:sz w:val="22"/>
              <w:szCs w:val="22"/>
              <w:highlight w:val="none"/>
              <w:lang w:val="en-US"/>
            </w:rPr>
            <w:t>、竞争性磋商响应文件的评审</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_Toc22611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7E03BDD">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_Toc10537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lang w:val="en-US" w:eastAsia="zh-CN"/>
            </w:rPr>
            <w:t>七</w:t>
          </w:r>
          <w:r>
            <w:rPr>
              <w:rFonts w:hint="eastAsia" w:ascii="宋体" w:hAnsi="宋体" w:eastAsia="宋体" w:cs="宋体"/>
              <w:bCs w:val="0"/>
              <w:color w:val="auto"/>
              <w:sz w:val="22"/>
              <w:szCs w:val="22"/>
              <w:highlight w:val="none"/>
            </w:rPr>
            <w:t>、磋商无效的情形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_Toc10537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2E0BD04">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_Toc10340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val="en-US" w:eastAsia="zh-CN"/>
            </w:rPr>
            <w:t>八</w:t>
          </w:r>
          <w:r>
            <w:rPr>
              <w:rFonts w:hint="eastAsia" w:ascii="宋体" w:hAnsi="宋体" w:eastAsia="宋体" w:cs="宋体"/>
              <w:bCs w:val="0"/>
              <w:color w:val="auto"/>
              <w:sz w:val="22"/>
              <w:szCs w:val="22"/>
              <w:highlight w:val="none"/>
            </w:rPr>
            <w:t>、废标的情形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_Toc10340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6E3D22F">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_Toc26818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val="en-US" w:eastAsia="zh-CN"/>
            </w:rPr>
            <w:t>九</w:t>
          </w:r>
          <w:r>
            <w:rPr>
              <w:rFonts w:hint="eastAsia" w:ascii="宋体" w:hAnsi="宋体" w:eastAsia="宋体" w:cs="宋体"/>
              <w:bCs w:val="0"/>
              <w:color w:val="auto"/>
              <w:sz w:val="22"/>
              <w:szCs w:val="22"/>
              <w:highlight w:val="none"/>
            </w:rPr>
            <w:t>、确定成交供应商与签订合同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_Toc26818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3A1B83E">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_Toc7596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lang w:val="en-US" w:eastAsia="zh-CN"/>
            </w:rPr>
            <w:t>十</w:t>
          </w:r>
          <w:r>
            <w:rPr>
              <w:rFonts w:hint="eastAsia" w:ascii="宋体" w:hAnsi="宋体" w:eastAsia="宋体" w:cs="宋体"/>
              <w:bCs w:val="0"/>
              <w:color w:val="auto"/>
              <w:sz w:val="22"/>
              <w:szCs w:val="22"/>
              <w:highlight w:val="none"/>
            </w:rPr>
            <w:t>、法律责任</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_Toc7596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4633FCD">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_Toc19533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rPr>
            <w:t>十</w:t>
          </w:r>
          <w:r>
            <w:rPr>
              <w:rFonts w:hint="eastAsia" w:ascii="宋体" w:hAnsi="宋体" w:eastAsia="宋体" w:cs="宋体"/>
              <w:bCs w:val="0"/>
              <w:color w:val="auto"/>
              <w:sz w:val="22"/>
              <w:szCs w:val="22"/>
              <w:highlight w:val="none"/>
              <w:lang w:val="en-US" w:eastAsia="zh-CN"/>
            </w:rPr>
            <w:t>一</w:t>
          </w:r>
          <w:r>
            <w:rPr>
              <w:rFonts w:hint="eastAsia" w:ascii="宋体" w:hAnsi="宋体" w:eastAsia="宋体" w:cs="宋体"/>
              <w:bCs w:val="0"/>
              <w:color w:val="auto"/>
              <w:sz w:val="22"/>
              <w:szCs w:val="22"/>
              <w:highlight w:val="none"/>
            </w:rPr>
            <w:t>、诚信管理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_Toc19533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E0D6E4D">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_Toc2553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rPr>
            <w:t>十</w:t>
          </w:r>
          <w:r>
            <w:rPr>
              <w:rFonts w:hint="eastAsia" w:ascii="宋体" w:hAnsi="宋体" w:eastAsia="宋体" w:cs="宋体"/>
              <w:bCs w:val="0"/>
              <w:color w:val="auto"/>
              <w:sz w:val="22"/>
              <w:szCs w:val="22"/>
              <w:highlight w:val="none"/>
              <w:lang w:val="en-US" w:eastAsia="zh-CN"/>
            </w:rPr>
            <w:t>二</w:t>
          </w:r>
          <w:r>
            <w:rPr>
              <w:rFonts w:hint="eastAsia" w:ascii="宋体" w:hAnsi="宋体" w:eastAsia="宋体" w:cs="宋体"/>
              <w:bCs w:val="0"/>
              <w:color w:val="auto"/>
              <w:sz w:val="22"/>
              <w:szCs w:val="22"/>
              <w:highlight w:val="none"/>
            </w:rPr>
            <w:t>、质疑与投诉</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_Toc2553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359AF0C">
          <w:pPr>
            <w:pStyle w:val="87"/>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_Toc31588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rPr>
            <w:t>十</w:t>
          </w:r>
          <w:r>
            <w:rPr>
              <w:rFonts w:hint="eastAsia" w:ascii="宋体" w:hAnsi="宋体" w:eastAsia="宋体" w:cs="宋体"/>
              <w:bCs w:val="0"/>
              <w:color w:val="auto"/>
              <w:sz w:val="22"/>
              <w:szCs w:val="22"/>
              <w:highlight w:val="none"/>
              <w:lang w:val="en-US" w:eastAsia="zh-CN"/>
            </w:rPr>
            <w:t>三</w:t>
          </w:r>
          <w:r>
            <w:rPr>
              <w:rFonts w:hint="eastAsia" w:ascii="宋体" w:hAnsi="宋体" w:eastAsia="宋体" w:cs="宋体"/>
              <w:bCs w:val="0"/>
              <w:color w:val="auto"/>
              <w:sz w:val="22"/>
              <w:szCs w:val="22"/>
              <w:highlight w:val="none"/>
            </w:rPr>
            <w:t>、其他</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_Toc31588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7047E05">
          <w:pPr>
            <w:pStyle w:val="86"/>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_Toc19802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lang w:val="en-US" w:eastAsia="zh-CN"/>
            </w:rPr>
            <w:t xml:space="preserve">第三章 </w:t>
          </w:r>
          <w:r>
            <w:rPr>
              <w:rFonts w:hint="eastAsia" w:ascii="宋体" w:hAnsi="宋体" w:eastAsia="宋体" w:cs="宋体"/>
              <w:b/>
              <w:color w:val="auto"/>
              <w:sz w:val="22"/>
              <w:szCs w:val="22"/>
              <w:highlight w:val="none"/>
            </w:rPr>
            <w:t>采购内容及要求</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_Toc19802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21</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2BCDB602">
          <w:pPr>
            <w:pStyle w:val="86"/>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_Toc11194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lang w:val="en-US" w:eastAsia="zh-CN"/>
            </w:rPr>
            <w:t>第四章 磋商原则和磋商方法</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_Toc11194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25</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1D93677D">
          <w:pPr>
            <w:pStyle w:val="86"/>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_Toc17422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第五章 合同主要条款及格式</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_Toc17422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29</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4FF687F2">
          <w:pPr>
            <w:pStyle w:val="86"/>
            <w:keepNext w:val="0"/>
            <w:keepLines w:val="0"/>
            <w:pageBreakBefore w:val="0"/>
            <w:widowControl/>
            <w:shd w:val="clear"/>
            <w:tabs>
              <w:tab w:val="right" w:leader="dot" w:pos="9746"/>
            </w:tabs>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_Toc18976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第六章 竞争性磋商响应文件格式</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_Toc18976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34</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2F1C080D">
          <w:pPr>
            <w:pStyle w:val="52"/>
            <w:shd w:val="clear"/>
            <w:ind w:left="0" w:leftChars="0" w:firstLine="0" w:firstLineChars="0"/>
            <w:rPr>
              <w:rFonts w:ascii="Times New Roman" w:hAnsi="Times New Roman" w:eastAsia="宋体" w:cs="宋体"/>
              <w:b/>
              <w:color w:val="auto"/>
              <w:kern w:val="2"/>
              <w:sz w:val="16"/>
              <w:szCs w:val="16"/>
              <w:highlight w:val="none"/>
              <w:lang w:val="en-US" w:eastAsia="zh-CN" w:bidi="ar-SA"/>
            </w:rPr>
          </w:pPr>
          <w:r>
            <w:rPr>
              <w:b/>
              <w:color w:val="auto"/>
              <w:highlight w:val="none"/>
            </w:rPr>
            <w:fldChar w:fldCharType="end"/>
          </w:r>
        </w:p>
      </w:sdtContent>
    </w:sdt>
    <w:p w14:paraId="139D1B60">
      <w:pPr>
        <w:pStyle w:val="52"/>
        <w:shd w:val="clear"/>
        <w:ind w:left="0" w:leftChars="0" w:firstLine="0" w:firstLineChars="0"/>
        <w:rPr>
          <w:rFonts w:ascii="Times New Roman" w:hAnsi="Times New Roman" w:eastAsia="宋体" w:cs="宋体"/>
          <w:b/>
          <w:color w:val="auto"/>
          <w:kern w:val="2"/>
          <w:sz w:val="16"/>
          <w:szCs w:val="16"/>
          <w:highlight w:val="none"/>
          <w:lang w:val="en-US" w:eastAsia="zh-CN" w:bidi="ar-SA"/>
        </w:rPr>
      </w:pPr>
    </w:p>
    <w:p w14:paraId="0F7190EC">
      <w:pPr>
        <w:pStyle w:val="52"/>
        <w:shd w:val="clear"/>
        <w:ind w:left="0" w:leftChars="0" w:firstLine="0" w:firstLineChars="0"/>
        <w:rPr>
          <w:color w:val="auto"/>
          <w:highlight w:val="none"/>
        </w:rPr>
      </w:pPr>
    </w:p>
    <w:p w14:paraId="3B7691FF">
      <w:pPr>
        <w:pStyle w:val="52"/>
        <w:shd w:val="clear"/>
        <w:ind w:left="0" w:leftChars="0" w:firstLine="0" w:firstLineChars="0"/>
        <w:rPr>
          <w:color w:val="auto"/>
          <w:highlight w:val="none"/>
        </w:rPr>
      </w:pPr>
    </w:p>
    <w:p w14:paraId="0FFB960B">
      <w:pPr>
        <w:pStyle w:val="52"/>
        <w:shd w:val="clear"/>
        <w:ind w:left="0" w:leftChars="0" w:firstLine="0" w:firstLineChars="0"/>
        <w:rPr>
          <w:color w:val="auto"/>
          <w:highlight w:val="none"/>
        </w:rPr>
      </w:pPr>
    </w:p>
    <w:p w14:paraId="2BD18795">
      <w:pPr>
        <w:pStyle w:val="52"/>
        <w:shd w:val="clear"/>
        <w:ind w:left="0" w:leftChars="0" w:firstLine="0" w:firstLineChars="0"/>
        <w:rPr>
          <w:color w:val="auto"/>
          <w:highlight w:val="none"/>
        </w:rPr>
      </w:pPr>
    </w:p>
    <w:p w14:paraId="4FF9B177">
      <w:pPr>
        <w:pStyle w:val="52"/>
        <w:shd w:val="clear"/>
        <w:ind w:left="0" w:leftChars="0" w:firstLine="0" w:firstLineChars="0"/>
        <w:rPr>
          <w:color w:val="auto"/>
          <w:highlight w:val="none"/>
        </w:rPr>
      </w:pPr>
    </w:p>
    <w:p w14:paraId="2C413E50">
      <w:pPr>
        <w:pStyle w:val="3"/>
        <w:shd w:val="clear"/>
        <w:ind w:firstLine="0" w:firstLineChars="0"/>
        <w:jc w:val="center"/>
        <w:rPr>
          <w:color w:val="auto"/>
          <w:highlight w:val="none"/>
        </w:rPr>
      </w:pPr>
      <w:bookmarkStart w:id="124" w:name="_Toc16678"/>
      <w:bookmarkStart w:id="125" w:name="_Toc11631"/>
      <w:bookmarkStart w:id="126" w:name="_Toc17951"/>
      <w:r>
        <w:rPr>
          <w:color w:val="auto"/>
          <w:highlight w:val="none"/>
        </w:rPr>
        <w:t>第一章  磋商公告</w:t>
      </w:r>
      <w:bookmarkEnd w:id="123"/>
      <w:bookmarkEnd w:id="124"/>
      <w:bookmarkEnd w:id="125"/>
      <w:bookmarkEnd w:id="126"/>
    </w:p>
    <w:p w14:paraId="69D67954">
      <w:pPr>
        <w:keepNext w:val="0"/>
        <w:keepLines w:val="0"/>
        <w:pageBreakBefore w:val="0"/>
        <w:widowControl/>
        <w:numPr>
          <w:ilvl w:val="-1"/>
          <w:numId w:val="0"/>
        </w:numPr>
        <w:shd w:val="clear"/>
        <w:tabs>
          <w:tab w:val="left" w:pos="0"/>
        </w:tabs>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color w:val="auto"/>
          <w:sz w:val="24"/>
          <w:szCs w:val="24"/>
          <w:highlight w:val="none"/>
        </w:rPr>
      </w:pPr>
      <w:bookmarkStart w:id="127" w:name="_Toc5181"/>
      <w:bookmarkStart w:id="128" w:name="_Toc19434"/>
      <w:bookmarkStart w:id="129" w:name="_Toc28678"/>
      <w:bookmarkStart w:id="130" w:name="_Toc3098"/>
      <w:bookmarkStart w:id="131" w:name="_Toc18383"/>
      <w:bookmarkStart w:id="132" w:name="_Toc16407"/>
      <w:bookmarkStart w:id="133" w:name="_Toc6244"/>
      <w:bookmarkStart w:id="134" w:name="_Toc13995"/>
      <w:bookmarkStart w:id="135" w:name="_Toc28359002"/>
      <w:bookmarkStart w:id="136" w:name="_Toc29546"/>
      <w:bookmarkStart w:id="137" w:name="_Toc21065"/>
      <w:bookmarkStart w:id="138" w:name="_Toc2440"/>
      <w:bookmarkStart w:id="139" w:name="_Toc27703"/>
      <w:bookmarkStart w:id="140" w:name="_Toc28359079"/>
      <w:bookmarkStart w:id="141" w:name="_Toc23483"/>
      <w:bookmarkStart w:id="142" w:name="_Toc26645"/>
      <w:bookmarkStart w:id="143" w:name="_Toc28447"/>
      <w:bookmarkStart w:id="144" w:name="_Toc3151"/>
      <w:bookmarkStart w:id="145" w:name="_Toc15482"/>
      <w:bookmarkStart w:id="146" w:name="_Toc1441"/>
      <w:bookmarkStart w:id="147" w:name="_Toc704"/>
      <w:bookmarkStart w:id="148" w:name="_Hlk24379207"/>
      <w:r>
        <w:rPr>
          <w:rFonts w:hint="eastAsia" w:ascii="宋体" w:hAnsi="宋体" w:eastAsia="宋体" w:cs="宋体"/>
          <w:color w:val="auto"/>
          <w:sz w:val="24"/>
          <w:szCs w:val="24"/>
          <w:highlight w:val="none"/>
        </w:rPr>
        <w:t>参照《中华人民共和国政府采购法》《中华人民共和国政府采购法实施条例》以及</w:t>
      </w:r>
      <w:r>
        <w:rPr>
          <w:rFonts w:hint="eastAsia" w:ascii="宋体" w:hAnsi="宋体" w:eastAsia="宋体" w:cs="宋体"/>
          <w:color w:val="auto"/>
          <w:highlight w:val="none"/>
        </w:rPr>
        <w:t>《政府采购货物和服务招标投标管理办法》（财政部令第87号令）</w:t>
      </w:r>
      <w:r>
        <w:rPr>
          <w:rFonts w:hint="eastAsia" w:ascii="宋体" w:hAnsi="宋体" w:eastAsia="宋体" w:cs="宋体"/>
          <w:color w:val="auto"/>
          <w:highlight w:val="none"/>
          <w:lang w:val="en-US" w:eastAsia="zh-CN"/>
        </w:rPr>
        <w:t>等</w:t>
      </w:r>
      <w:r>
        <w:rPr>
          <w:rFonts w:hint="eastAsia" w:ascii="宋体" w:hAnsi="宋体" w:eastAsia="宋体" w:cs="宋体"/>
          <w:color w:val="auto"/>
          <w:sz w:val="24"/>
          <w:szCs w:val="24"/>
          <w:highlight w:val="none"/>
        </w:rPr>
        <w:t>有关规定，</w:t>
      </w:r>
      <w:r>
        <w:rPr>
          <w:rFonts w:hint="eastAsia" w:ascii="宋体" w:hAnsi="宋体" w:eastAsia="宋体" w:cs="宋体"/>
          <w:color w:val="auto"/>
          <w:sz w:val="24"/>
          <w:szCs w:val="24"/>
          <w:highlight w:val="none"/>
          <w:lang w:eastAsia="zh-CN"/>
        </w:rPr>
        <w:t>浙江万兴工程管理有限公司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lang w:eastAsia="zh-CN"/>
        </w:rPr>
        <w:t>龙游县湖镇镇张家埠村股份经济合作社</w:t>
      </w:r>
      <w:r>
        <w:rPr>
          <w:rFonts w:hint="eastAsia" w:ascii="宋体" w:hAnsi="宋体" w:eastAsia="宋体" w:cs="宋体"/>
          <w:color w:val="auto"/>
          <w:sz w:val="24"/>
          <w:szCs w:val="24"/>
          <w:highlight w:val="none"/>
        </w:rPr>
        <w:t>委托，现就</w:t>
      </w:r>
      <w:r>
        <w:rPr>
          <w:rFonts w:hint="eastAsia" w:ascii="宋体" w:hAnsi="宋体" w:eastAsia="宋体" w:cs="宋体"/>
          <w:color w:val="auto"/>
          <w:sz w:val="24"/>
          <w:szCs w:val="24"/>
          <w:highlight w:val="none"/>
          <w:lang w:eastAsia="zh-CN"/>
        </w:rPr>
        <w:t>龙游县湖镇镇张家埠村未来乡村生活馆亮化采购项目</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，欢迎有意向的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参加本次采购活动。</w:t>
      </w:r>
    </w:p>
    <w:p w14:paraId="41EA6654">
      <w:pPr>
        <w:keepNext w:val="0"/>
        <w:keepLines w:val="0"/>
        <w:pageBreakBefore w:val="0"/>
        <w:widowControl w:val="0"/>
        <w:numPr>
          <w:ilvl w:val="255"/>
          <w:numId w:val="0"/>
        </w:numPr>
        <w:shd w:val="clear"/>
        <w:kinsoku/>
        <w:wordWrap/>
        <w:overflowPunct/>
        <w:topLinePunct w:val="0"/>
        <w:autoSpaceDE/>
        <w:autoSpaceDN/>
        <w:bidi w:val="0"/>
        <w:adjustRightInd/>
        <w:snapToGrid w:val="0"/>
        <w:spacing w:line="520" w:lineRule="exact"/>
        <w:ind w:left="0" w:leftChars="0" w:firstLine="482" w:firstLineChars="200"/>
        <w:textAlignment w:val="auto"/>
        <w:outlineLvl w:val="1"/>
        <w:rPr>
          <w:rFonts w:hint="eastAsia" w:ascii="宋体" w:hAnsi="宋体" w:eastAsia="宋体" w:cs="宋体"/>
          <w:b/>
          <w:bCs/>
          <w:color w:val="auto"/>
          <w:sz w:val="24"/>
          <w:szCs w:val="24"/>
          <w:highlight w:val="none"/>
          <w:lang w:val="zh-CN"/>
        </w:rPr>
      </w:pPr>
      <w:bookmarkStart w:id="149" w:name="_Toc12662"/>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项目基本情况</w:t>
      </w:r>
      <w:bookmarkEnd w:id="127"/>
      <w:bookmarkEnd w:id="128"/>
      <w:bookmarkEnd w:id="129"/>
      <w:bookmarkEnd w:id="149"/>
    </w:p>
    <w:p w14:paraId="7BDA5794">
      <w:pPr>
        <w:keepNext w:val="0"/>
        <w:keepLines w:val="0"/>
        <w:pageBreakBefore w:val="0"/>
        <w:numPr>
          <w:ilvl w:val="0"/>
          <w:numId w:val="3"/>
        </w:numPr>
        <w:shd w:val="clear"/>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r>
        <w:rPr>
          <w:rFonts w:hint="eastAsia" w:ascii="宋体" w:hAnsi="宋体" w:cs="宋体"/>
          <w:color w:val="auto"/>
          <w:sz w:val="24"/>
          <w:szCs w:val="24"/>
          <w:highlight w:val="none"/>
          <w:lang w:val="en-US" w:eastAsia="zh-CN"/>
        </w:rPr>
        <w:t>LYHZCG2025-021</w:t>
      </w:r>
    </w:p>
    <w:p w14:paraId="5140FFD6">
      <w:pPr>
        <w:keepNext w:val="0"/>
        <w:keepLines w:val="0"/>
        <w:pageBreakBefore w:val="0"/>
        <w:numPr>
          <w:ilvl w:val="0"/>
          <w:numId w:val="3"/>
        </w:numPr>
        <w:shd w:val="clear"/>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项目名称：龙游县湖镇镇张家埠村未来乡村生活馆亮化采购项目</w:t>
      </w:r>
    </w:p>
    <w:p w14:paraId="00470B14">
      <w:pPr>
        <w:keepNext w:val="0"/>
        <w:keepLines w:val="0"/>
        <w:pageBreakBefore w:val="0"/>
        <w:numPr>
          <w:ilvl w:val="0"/>
          <w:numId w:val="3"/>
        </w:numPr>
        <w:shd w:val="clear"/>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采购方式：竞争性磋商</w:t>
      </w:r>
    </w:p>
    <w:p w14:paraId="0BAA11A3">
      <w:pPr>
        <w:keepNext w:val="0"/>
        <w:keepLines w:val="0"/>
        <w:pageBreakBefore w:val="0"/>
        <w:numPr>
          <w:ilvl w:val="0"/>
          <w:numId w:val="3"/>
        </w:numPr>
        <w:shd w:val="clear"/>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预算金额（元）：270940元；</w:t>
      </w:r>
    </w:p>
    <w:p w14:paraId="70B96BCB">
      <w:pPr>
        <w:keepNext w:val="0"/>
        <w:keepLines w:val="0"/>
        <w:pageBreakBefore w:val="0"/>
        <w:numPr>
          <w:ilvl w:val="0"/>
          <w:numId w:val="3"/>
        </w:numPr>
        <w:shd w:val="clear"/>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最高</w:t>
      </w:r>
      <w:r>
        <w:rPr>
          <w:rFonts w:hint="eastAsia" w:ascii="宋体" w:hAnsi="宋体" w:eastAsia="宋体" w:cs="宋体"/>
          <w:color w:val="auto"/>
          <w:sz w:val="24"/>
          <w:szCs w:val="24"/>
          <w:highlight w:val="none"/>
          <w:lang w:val="en-US" w:eastAsia="zh-CN"/>
        </w:rPr>
        <w:t>限价（元）：270940元；</w:t>
      </w:r>
    </w:p>
    <w:p w14:paraId="7387DBD7">
      <w:pPr>
        <w:keepNext w:val="0"/>
        <w:keepLines w:val="0"/>
        <w:pageBreakBefore w:val="0"/>
        <w:numPr>
          <w:ilvl w:val="0"/>
          <w:numId w:val="3"/>
        </w:numPr>
        <w:shd w:val="clear"/>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采购需求：详见磋商文件“第三章 采购内容及要求”（包括但不限于标的的名称、数量、简要技术需求或服务要求等）。</w:t>
      </w:r>
    </w:p>
    <w:p w14:paraId="67D5E13C">
      <w:pPr>
        <w:keepNext w:val="0"/>
        <w:keepLines w:val="0"/>
        <w:pageBreakBefore w:val="0"/>
        <w:numPr>
          <w:ilvl w:val="0"/>
          <w:numId w:val="3"/>
        </w:numPr>
        <w:shd w:val="clear"/>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合同签订后，接采购人通知后的30日历天内完成项目所有工作并通过验收合格。</w:t>
      </w:r>
    </w:p>
    <w:p w14:paraId="62B781BB">
      <w:pPr>
        <w:keepNext w:val="0"/>
        <w:keepLines w:val="0"/>
        <w:pageBreakBefore w:val="0"/>
        <w:numPr>
          <w:ilvl w:val="0"/>
          <w:numId w:val="3"/>
        </w:numPr>
        <w:shd w:val="clear"/>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本项目不接受联合体投标。</w:t>
      </w:r>
    </w:p>
    <w:p w14:paraId="71AD8558">
      <w:pPr>
        <w:keepNext w:val="0"/>
        <w:keepLines w:val="0"/>
        <w:pageBreakBefore w:val="0"/>
        <w:numPr>
          <w:ilvl w:val="255"/>
          <w:numId w:val="0"/>
        </w:numPr>
        <w:shd w:val="clear"/>
        <w:kinsoku/>
        <w:wordWrap/>
        <w:overflowPunct/>
        <w:topLinePunct w:val="0"/>
        <w:autoSpaceDE/>
        <w:autoSpaceDN/>
        <w:bidi w:val="0"/>
        <w:adjustRightInd/>
        <w:snapToGrid w:val="0"/>
        <w:spacing w:line="520" w:lineRule="exact"/>
        <w:ind w:firstLine="482" w:firstLineChars="200"/>
        <w:textAlignment w:val="auto"/>
        <w:outlineLvl w:val="1"/>
        <w:rPr>
          <w:rFonts w:hint="eastAsia" w:ascii="宋体" w:hAnsi="宋体" w:eastAsia="宋体" w:cs="宋体"/>
          <w:b/>
          <w:bCs/>
          <w:color w:val="auto"/>
          <w:highlight w:val="none"/>
        </w:rPr>
      </w:pPr>
      <w:bookmarkStart w:id="150" w:name="_Toc5004"/>
      <w:bookmarkStart w:id="151" w:name="_Toc23499"/>
      <w:r>
        <w:rPr>
          <w:rFonts w:hint="eastAsia" w:ascii="宋体" w:hAnsi="宋体" w:eastAsia="宋体" w:cs="宋体"/>
          <w:b/>
          <w:bCs/>
          <w:color w:val="auto"/>
          <w:highlight w:val="none"/>
        </w:rPr>
        <w:t>二、申请人的资格要求</w:t>
      </w:r>
      <w:bookmarkEnd w:id="150"/>
      <w:bookmarkEnd w:id="151"/>
    </w:p>
    <w:p w14:paraId="490FD4ED">
      <w:pPr>
        <w:keepNext w:val="0"/>
        <w:keepLines w:val="0"/>
        <w:pageBreakBefore w:val="0"/>
        <w:shd w:val="clear"/>
        <w:kinsoku/>
        <w:wordWrap/>
        <w:overflowPunct/>
        <w:topLinePunct w:val="0"/>
        <w:autoSpaceDE/>
        <w:autoSpaceDN/>
        <w:bidi w:val="0"/>
        <w:adjustRightInd/>
        <w:spacing w:line="520" w:lineRule="exact"/>
        <w:ind w:firstLine="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1.满足《</w:t>
      </w:r>
      <w:r>
        <w:rPr>
          <w:rFonts w:hint="eastAsia" w:ascii="宋体" w:hAnsi="宋体" w:eastAsia="宋体" w:cs="宋体"/>
          <w:color w:val="auto"/>
          <w:highlight w:val="none"/>
          <w:lang w:eastAsia="zh-CN"/>
        </w:rPr>
        <w:t>中华人民共和国政府采购法</w:t>
      </w:r>
      <w:r>
        <w:rPr>
          <w:rFonts w:hint="eastAsia" w:ascii="宋体" w:hAnsi="宋体" w:eastAsia="宋体" w:cs="宋体"/>
          <w:color w:val="auto"/>
          <w:highlight w:val="none"/>
        </w:rPr>
        <w:t>》第二十二条规定</w:t>
      </w:r>
      <w:r>
        <w:rPr>
          <w:rFonts w:hint="eastAsia" w:ascii="宋体" w:hAnsi="宋体" w:eastAsia="宋体" w:cs="宋体"/>
          <w:color w:val="auto"/>
          <w:highlight w:val="none"/>
          <w:lang w:eastAsia="zh-CN"/>
        </w:rPr>
        <w:t>：</w:t>
      </w:r>
    </w:p>
    <w:p w14:paraId="5D55C70A">
      <w:pPr>
        <w:keepNext w:val="0"/>
        <w:keepLines w:val="0"/>
        <w:pageBreakBefore w:val="0"/>
        <w:shd w:val="clear"/>
        <w:kinsoku/>
        <w:wordWrap/>
        <w:overflowPunct/>
        <w:topLinePunct w:val="0"/>
        <w:autoSpaceDE/>
        <w:autoSpaceDN/>
        <w:bidi w:val="0"/>
        <w:adjustRightInd/>
        <w:spacing w:line="520" w:lineRule="exact"/>
        <w:ind w:firstLine="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1.1具有独立承担民事责任的能力</w:t>
      </w:r>
      <w:r>
        <w:rPr>
          <w:rFonts w:hint="eastAsia" w:ascii="宋体" w:hAnsi="宋体" w:eastAsia="宋体" w:cs="宋体"/>
          <w:color w:val="auto"/>
          <w:highlight w:val="none"/>
          <w:lang w:eastAsia="zh-CN"/>
        </w:rPr>
        <w:t>；</w:t>
      </w:r>
    </w:p>
    <w:p w14:paraId="7DF389AB">
      <w:pPr>
        <w:keepNext w:val="0"/>
        <w:keepLines w:val="0"/>
        <w:pageBreakBefore w:val="0"/>
        <w:shd w:val="clear"/>
        <w:kinsoku/>
        <w:wordWrap/>
        <w:overflowPunct/>
        <w:topLinePunct w:val="0"/>
        <w:autoSpaceDE/>
        <w:autoSpaceDN/>
        <w:bidi w:val="0"/>
        <w:adjustRightInd/>
        <w:spacing w:line="520" w:lineRule="exact"/>
        <w:ind w:firstLine="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1.2具有良好的商业信誉和健全的财务会计制度</w:t>
      </w:r>
      <w:r>
        <w:rPr>
          <w:rFonts w:hint="eastAsia" w:ascii="宋体" w:hAnsi="宋体" w:eastAsia="宋体" w:cs="宋体"/>
          <w:color w:val="auto"/>
          <w:highlight w:val="none"/>
          <w:lang w:eastAsia="zh-CN"/>
        </w:rPr>
        <w:t>；</w:t>
      </w:r>
    </w:p>
    <w:p w14:paraId="3ED78665">
      <w:pPr>
        <w:keepNext w:val="0"/>
        <w:keepLines w:val="0"/>
        <w:pageBreakBefore w:val="0"/>
        <w:shd w:val="clear"/>
        <w:kinsoku/>
        <w:wordWrap/>
        <w:overflowPunct/>
        <w:topLinePunct w:val="0"/>
        <w:autoSpaceDE/>
        <w:autoSpaceDN/>
        <w:bidi w:val="0"/>
        <w:adjustRightInd/>
        <w:spacing w:line="520" w:lineRule="exact"/>
        <w:ind w:firstLine="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1.3具有履行合同所必需的设备和专业技术能力</w:t>
      </w:r>
      <w:r>
        <w:rPr>
          <w:rFonts w:hint="eastAsia" w:ascii="宋体" w:hAnsi="宋体" w:eastAsia="宋体" w:cs="宋体"/>
          <w:color w:val="auto"/>
          <w:highlight w:val="none"/>
          <w:lang w:eastAsia="zh-CN"/>
        </w:rPr>
        <w:t>；</w:t>
      </w:r>
    </w:p>
    <w:p w14:paraId="6E9C0DC7">
      <w:pPr>
        <w:keepNext w:val="0"/>
        <w:keepLines w:val="0"/>
        <w:pageBreakBefore w:val="0"/>
        <w:shd w:val="clear"/>
        <w:kinsoku/>
        <w:wordWrap/>
        <w:overflowPunct/>
        <w:topLinePunct w:val="0"/>
        <w:autoSpaceDE/>
        <w:autoSpaceDN/>
        <w:bidi w:val="0"/>
        <w:adjustRightInd/>
        <w:spacing w:line="520" w:lineRule="exact"/>
        <w:ind w:firstLine="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1.4有依法缴纳税收和社会保障资金的良好记录</w:t>
      </w:r>
      <w:r>
        <w:rPr>
          <w:rFonts w:hint="eastAsia" w:ascii="宋体" w:hAnsi="宋体" w:eastAsia="宋体" w:cs="宋体"/>
          <w:color w:val="auto"/>
          <w:highlight w:val="none"/>
          <w:lang w:eastAsia="zh-CN"/>
        </w:rPr>
        <w:t>；</w:t>
      </w:r>
    </w:p>
    <w:p w14:paraId="6217674A">
      <w:pPr>
        <w:keepNext w:val="0"/>
        <w:keepLines w:val="0"/>
        <w:pageBreakBefore w:val="0"/>
        <w:shd w:val="clear"/>
        <w:kinsoku/>
        <w:wordWrap/>
        <w:overflowPunct/>
        <w:topLinePunct w:val="0"/>
        <w:autoSpaceDE/>
        <w:autoSpaceDN/>
        <w:bidi w:val="0"/>
        <w:adjustRightInd/>
        <w:spacing w:line="520" w:lineRule="exact"/>
        <w:ind w:firstLine="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1.5参加采购活动前三年内，在经营活动中没有重大违法记录；</w:t>
      </w:r>
    </w:p>
    <w:p w14:paraId="62FD7220">
      <w:pPr>
        <w:keepNext w:val="0"/>
        <w:keepLines w:val="0"/>
        <w:pageBreakBefore w:val="0"/>
        <w:shd w:val="clear"/>
        <w:kinsoku/>
        <w:wordWrap/>
        <w:overflowPunct/>
        <w:topLinePunct w:val="0"/>
        <w:autoSpaceDE/>
        <w:autoSpaceDN/>
        <w:bidi w:val="0"/>
        <w:adjustRightInd/>
        <w:spacing w:line="520" w:lineRule="exact"/>
        <w:ind w:firstLine="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1.6法律、行政法规规定的其他条件。</w:t>
      </w:r>
    </w:p>
    <w:p w14:paraId="3BA7874B">
      <w:pPr>
        <w:pStyle w:val="32"/>
        <w:keepNext w:val="0"/>
        <w:keepLines w:val="0"/>
        <w:pageBreakBefore w:val="0"/>
        <w:widowControl/>
        <w:shd w:val="clear" w:color="auto" w:fill="auto"/>
        <w:kinsoku/>
        <w:wordWrap/>
        <w:overflowPunct/>
        <w:topLinePunct w:val="0"/>
        <w:autoSpaceDE/>
        <w:autoSpaceDN/>
        <w:bidi w:val="0"/>
        <w:adjustRightInd/>
        <w:snapToGrid/>
        <w:spacing w:line="520" w:lineRule="exact"/>
        <w:ind w:firstLine="482"/>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highlight w:val="none"/>
          <w:lang w:val="en-US" w:eastAsia="zh-CN"/>
        </w:rPr>
        <w:t>2.落实采购政策需满足的资格要求：</w:t>
      </w:r>
      <w:r>
        <w:rPr>
          <w:rFonts w:hint="eastAsia" w:ascii="宋体" w:hAnsi="宋体" w:eastAsia="宋体" w:cs="宋体"/>
          <w:b/>
          <w:bCs/>
          <w:color w:val="auto"/>
          <w:kern w:val="2"/>
          <w:sz w:val="24"/>
          <w:szCs w:val="24"/>
          <w:highlight w:val="none"/>
          <w:lang w:val="en-US" w:eastAsia="zh-CN" w:bidi="ar-SA"/>
        </w:rPr>
        <w:t>本项目专门面向中小企业采购，供应商应为中小微企业/监狱企业/残疾人福利性单位。</w:t>
      </w:r>
    </w:p>
    <w:p w14:paraId="4933DD27">
      <w:pPr>
        <w:keepNext w:val="0"/>
        <w:keepLines w:val="0"/>
        <w:pageBreakBefore w:val="0"/>
        <w:shd w:val="clear"/>
        <w:kinsoku/>
        <w:wordWrap/>
        <w:overflowPunct/>
        <w:topLinePunct w:val="0"/>
        <w:autoSpaceDE/>
        <w:autoSpaceDN/>
        <w:bidi w:val="0"/>
        <w:adjustRightInd/>
        <w:spacing w:line="520" w:lineRule="exact"/>
        <w:ind w:firstLine="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3.本项目的特定资格要求：无。</w:t>
      </w:r>
    </w:p>
    <w:p w14:paraId="0327D09A">
      <w:pPr>
        <w:keepNext w:val="0"/>
        <w:keepLines w:val="0"/>
        <w:pageBreakBefore w:val="0"/>
        <w:numPr>
          <w:ilvl w:val="255"/>
          <w:numId w:val="0"/>
        </w:numPr>
        <w:shd w:val="clear"/>
        <w:kinsoku/>
        <w:wordWrap/>
        <w:overflowPunct/>
        <w:topLinePunct w:val="0"/>
        <w:autoSpaceDE/>
        <w:autoSpaceDN/>
        <w:bidi w:val="0"/>
        <w:adjustRightInd/>
        <w:snapToGrid w:val="0"/>
        <w:spacing w:line="520" w:lineRule="exact"/>
        <w:ind w:firstLine="482" w:firstLineChars="200"/>
        <w:textAlignment w:val="auto"/>
        <w:outlineLvl w:val="1"/>
        <w:rPr>
          <w:rFonts w:hint="eastAsia" w:ascii="宋体" w:hAnsi="宋体" w:eastAsia="宋体" w:cs="宋体"/>
          <w:b/>
          <w:bCs/>
          <w:color w:val="auto"/>
          <w:highlight w:val="none"/>
        </w:rPr>
      </w:pPr>
      <w:bookmarkStart w:id="152" w:name="_Toc3950"/>
      <w:bookmarkStart w:id="153" w:name="_Toc23303"/>
      <w:bookmarkStart w:id="154" w:name="_Toc17491"/>
      <w:r>
        <w:rPr>
          <w:rFonts w:hint="eastAsia" w:ascii="宋体" w:hAnsi="宋体" w:eastAsia="宋体" w:cs="宋体"/>
          <w:b/>
          <w:bCs/>
          <w:color w:val="auto"/>
          <w:highlight w:val="none"/>
        </w:rPr>
        <w:t>三、禁止参加本次采购活动的申请人</w:t>
      </w:r>
      <w:bookmarkEnd w:id="152"/>
      <w:bookmarkEnd w:id="153"/>
    </w:p>
    <w:p w14:paraId="01DC58EA">
      <w:pPr>
        <w:pStyle w:val="38"/>
        <w:keepNext w:val="0"/>
        <w:keepLines w:val="0"/>
        <w:pageBreakBefore w:val="0"/>
        <w:numPr>
          <w:ilvl w:val="0"/>
          <w:numId w:val="4"/>
        </w:numPr>
        <w:shd w:val="clear"/>
        <w:tabs>
          <w:tab w:val="left" w:pos="397"/>
          <w:tab w:val="left" w:pos="420"/>
          <w:tab w:val="clear" w:pos="0"/>
        </w:tabs>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color w:val="auto"/>
          <w:sz w:val="24"/>
          <w:szCs w:val="24"/>
          <w:highlight w:val="none"/>
        </w:rPr>
      </w:pPr>
      <w:bookmarkStart w:id="155" w:name="_Toc728"/>
      <w:bookmarkStart w:id="156" w:name="_Toc21923"/>
      <w:bookmarkStart w:id="157" w:name="_Toc29791"/>
      <w:bookmarkStart w:id="158" w:name="_Toc13512"/>
      <w:bookmarkStart w:id="159" w:name="_Toc20310"/>
      <w:bookmarkStart w:id="160" w:name="_Toc1399"/>
      <w:bookmarkStart w:id="161" w:name="_Toc17769"/>
      <w:bookmarkStart w:id="162" w:name="_Toc5447"/>
      <w:r>
        <w:rPr>
          <w:rFonts w:hint="eastAsia" w:ascii="宋体" w:hAnsi="宋体" w:eastAsia="宋体" w:cs="宋体"/>
          <w:color w:val="auto"/>
          <w:sz w:val="24"/>
          <w:szCs w:val="24"/>
          <w:highlight w:val="none"/>
        </w:rPr>
        <w:t>被“信用中国”网站（https://www.creditchina.gov.cn/home</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FFFFFF"/>
        </w:rPr>
        <w:t>列入失信被执行人、重</w:t>
      </w:r>
      <w:r>
        <w:rPr>
          <w:rFonts w:hint="eastAsia" w:ascii="宋体" w:hAnsi="宋体" w:eastAsia="宋体" w:cs="宋体"/>
          <w:color w:val="auto"/>
          <w:sz w:val="24"/>
          <w:szCs w:val="24"/>
          <w:highlight w:val="none"/>
          <w:shd w:val="clear"/>
        </w:rPr>
        <w:t>大税收违法案件当事人名单、采购严重违法失信名单，且在处罚公示期内；</w:t>
      </w:r>
    </w:p>
    <w:bookmarkEnd w:id="155"/>
    <w:bookmarkEnd w:id="156"/>
    <w:bookmarkEnd w:id="157"/>
    <w:bookmarkEnd w:id="158"/>
    <w:bookmarkEnd w:id="159"/>
    <w:bookmarkEnd w:id="160"/>
    <w:bookmarkEnd w:id="161"/>
    <w:bookmarkEnd w:id="162"/>
    <w:p w14:paraId="65BD19E0">
      <w:pPr>
        <w:keepNext w:val="0"/>
        <w:keepLines w:val="0"/>
        <w:pageBreakBefore w:val="0"/>
        <w:shd w:val="clear"/>
        <w:kinsoku/>
        <w:wordWrap/>
        <w:overflowPunct/>
        <w:topLinePunct w:val="0"/>
        <w:autoSpaceDE/>
        <w:autoSpaceDN/>
        <w:bidi w:val="0"/>
        <w:adjustRightInd/>
        <w:spacing w:line="520" w:lineRule="exact"/>
        <w:ind w:firstLine="0"/>
        <w:textAlignment w:val="auto"/>
        <w:rPr>
          <w:rFonts w:hint="eastAsia" w:ascii="宋体" w:hAnsi="宋体" w:eastAsia="宋体" w:cs="宋体"/>
          <w:color w:val="auto"/>
          <w:highlight w:val="none"/>
          <w:lang w:val="en-US" w:eastAsia="zh-CN"/>
        </w:rPr>
      </w:pPr>
      <w:bookmarkStart w:id="163" w:name="_Toc5391"/>
      <w:bookmarkStart w:id="164" w:name="_Toc13713"/>
      <w:r>
        <w:rPr>
          <w:rFonts w:hint="eastAsia" w:ascii="宋体" w:hAnsi="宋体" w:eastAsia="宋体" w:cs="宋体"/>
          <w:color w:val="auto"/>
          <w:highlight w:val="none"/>
          <w:lang w:val="en-US" w:eastAsia="zh-CN"/>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FDE074">
      <w:pPr>
        <w:keepNext w:val="0"/>
        <w:keepLines w:val="0"/>
        <w:pageBreakBefore w:val="0"/>
        <w:widowControl w:val="0"/>
        <w:numPr>
          <w:ilvl w:val="255"/>
          <w:numId w:val="0"/>
        </w:numPr>
        <w:shd w:val="clear"/>
        <w:kinsoku/>
        <w:wordWrap/>
        <w:overflowPunct/>
        <w:topLinePunct w:val="0"/>
        <w:autoSpaceDE/>
        <w:autoSpaceDN/>
        <w:bidi w:val="0"/>
        <w:adjustRightInd/>
        <w:snapToGrid w:val="0"/>
        <w:spacing w:line="520" w:lineRule="exact"/>
        <w:ind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四、获取竞争性磋商文件</w:t>
      </w:r>
      <w:bookmarkEnd w:id="163"/>
      <w:bookmarkEnd w:id="164"/>
    </w:p>
    <w:p w14:paraId="1A35BC42">
      <w:pPr>
        <w:keepNext w:val="0"/>
        <w:keepLines w:val="0"/>
        <w:pageBreakBefore w:val="0"/>
        <w:widowControl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kern w:val="2"/>
          <w:sz w:val="24"/>
          <w:szCs w:val="24"/>
          <w:highlight w:val="none"/>
          <w:u w:val="none" w:color="000000"/>
          <w:lang w:val="zh-Hans" w:eastAsia="zh-Hans"/>
        </w:rPr>
        <w:t>获取</w:t>
      </w:r>
      <w:r>
        <w:rPr>
          <w:rFonts w:hint="eastAsia" w:ascii="宋体" w:hAnsi="宋体" w:eastAsia="宋体" w:cs="宋体"/>
          <w:color w:val="auto"/>
          <w:kern w:val="2"/>
          <w:sz w:val="24"/>
          <w:szCs w:val="24"/>
          <w:highlight w:val="none"/>
          <w:u w:val="none" w:color="000000"/>
          <w:lang w:val="zh-Hans" w:eastAsia="zh-CN"/>
        </w:rPr>
        <w:t>（</w:t>
      </w:r>
      <w:r>
        <w:rPr>
          <w:rFonts w:hint="eastAsia" w:ascii="宋体" w:hAnsi="宋体" w:eastAsia="宋体" w:cs="宋体"/>
          <w:color w:val="auto"/>
          <w:kern w:val="2"/>
          <w:sz w:val="24"/>
          <w:szCs w:val="24"/>
          <w:highlight w:val="none"/>
          <w:u w:val="none" w:color="000000"/>
          <w:lang w:val="en-US" w:eastAsia="zh-CN"/>
        </w:rPr>
        <w:t>下载）磋商</w:t>
      </w:r>
      <w:r>
        <w:rPr>
          <w:rFonts w:hint="eastAsia" w:ascii="宋体" w:hAnsi="宋体" w:eastAsia="宋体" w:cs="宋体"/>
          <w:color w:val="auto"/>
          <w:kern w:val="2"/>
          <w:sz w:val="24"/>
          <w:szCs w:val="24"/>
          <w:highlight w:val="none"/>
          <w:u w:val="none" w:color="000000"/>
          <w:lang w:val="zh-Hans" w:eastAsia="zh-Hans"/>
        </w:rPr>
        <w:t>文件时间</w:t>
      </w:r>
      <w:r>
        <w:rPr>
          <w:rFonts w:hint="eastAsia" w:ascii="宋体" w:hAnsi="宋体" w:eastAsia="宋体" w:cs="宋体"/>
          <w:color w:val="auto"/>
          <w:highlight w:val="none"/>
          <w:lang w:eastAsia="zh-CN"/>
        </w:rPr>
        <w:t>：</w:t>
      </w:r>
      <w:r>
        <w:rPr>
          <w:rFonts w:hint="eastAsia" w:ascii="宋体" w:hAnsi="宋体" w:eastAsia="宋体" w:cs="宋体"/>
          <w:snapToGrid/>
          <w:color w:val="auto"/>
          <w:kern w:val="2"/>
          <w:sz w:val="24"/>
          <w:szCs w:val="24"/>
          <w:highlight w:val="none"/>
          <w:lang w:val="en-US" w:eastAsia="zh-CN" w:bidi="ar-SA"/>
        </w:rPr>
        <w:t>自本公告发布之日起</w:t>
      </w:r>
      <w:r>
        <w:rPr>
          <w:rFonts w:hint="eastAsia" w:ascii="宋体" w:hAnsi="宋体" w:eastAsia="宋体" w:cs="宋体"/>
          <w:color w:val="auto"/>
          <w:kern w:val="2"/>
          <w:sz w:val="24"/>
          <w:szCs w:val="24"/>
          <w:highlight w:val="none"/>
          <w:u w:val="none" w:color="000000"/>
          <w:lang w:val="zh-Hans" w:eastAsia="zh-Hans"/>
        </w:rPr>
        <w:t>至202</w:t>
      </w:r>
      <w:r>
        <w:rPr>
          <w:rFonts w:hint="eastAsia" w:ascii="宋体" w:hAnsi="宋体" w:eastAsia="宋体" w:cs="宋体"/>
          <w:color w:val="auto"/>
          <w:kern w:val="2"/>
          <w:sz w:val="24"/>
          <w:szCs w:val="24"/>
          <w:highlight w:val="none"/>
          <w:u w:val="none" w:color="000000"/>
          <w:lang w:val="en-US" w:eastAsia="zh-CN"/>
        </w:rPr>
        <w:t>5</w:t>
      </w:r>
      <w:r>
        <w:rPr>
          <w:rFonts w:hint="eastAsia" w:ascii="宋体" w:hAnsi="宋体" w:eastAsia="宋体" w:cs="宋体"/>
          <w:color w:val="auto"/>
          <w:kern w:val="2"/>
          <w:sz w:val="24"/>
          <w:szCs w:val="24"/>
          <w:highlight w:val="none"/>
          <w:u w:val="none" w:color="000000"/>
          <w:lang w:val="zh-Hans" w:eastAsia="zh-Hans"/>
        </w:rPr>
        <w:t>年</w:t>
      </w:r>
      <w:r>
        <w:rPr>
          <w:rFonts w:hint="eastAsia" w:ascii="宋体" w:hAnsi="宋体" w:cs="宋体"/>
          <w:color w:val="auto"/>
          <w:kern w:val="2"/>
          <w:sz w:val="24"/>
          <w:szCs w:val="24"/>
          <w:highlight w:val="none"/>
          <w:u w:val="none" w:color="000000"/>
          <w:lang w:val="en-US" w:eastAsia="zh-CN"/>
        </w:rPr>
        <w:t>6</w:t>
      </w:r>
      <w:r>
        <w:rPr>
          <w:rFonts w:hint="eastAsia" w:ascii="宋体" w:hAnsi="宋体" w:eastAsia="宋体" w:cs="宋体"/>
          <w:color w:val="auto"/>
          <w:kern w:val="2"/>
          <w:sz w:val="24"/>
          <w:szCs w:val="24"/>
          <w:highlight w:val="none"/>
          <w:u w:val="none" w:color="000000"/>
          <w:lang w:val="zh-Hans" w:eastAsia="zh-Hans"/>
        </w:rPr>
        <w:t>月</w:t>
      </w:r>
      <w:r>
        <w:rPr>
          <w:rFonts w:hint="eastAsia" w:ascii="宋体" w:hAnsi="宋体" w:cs="宋体"/>
          <w:color w:val="auto"/>
          <w:kern w:val="2"/>
          <w:sz w:val="24"/>
          <w:szCs w:val="24"/>
          <w:highlight w:val="none"/>
          <w:u w:val="none" w:color="000000"/>
          <w:lang w:val="en-US" w:eastAsia="zh-CN"/>
        </w:rPr>
        <w:t>30</w:t>
      </w:r>
      <w:r>
        <w:rPr>
          <w:rFonts w:hint="eastAsia" w:ascii="宋体" w:hAnsi="宋体" w:eastAsia="宋体" w:cs="宋体"/>
          <w:color w:val="auto"/>
          <w:kern w:val="2"/>
          <w:sz w:val="24"/>
          <w:szCs w:val="24"/>
          <w:highlight w:val="none"/>
          <w:u w:val="none" w:color="000000"/>
          <w:lang w:val="zh-Hans" w:eastAsia="zh-Hans"/>
        </w:rPr>
        <w:t>日，每天上午00:00至12:00，下午12:00至23:59（北京时间</w:t>
      </w:r>
      <w:r>
        <w:rPr>
          <w:rFonts w:hint="eastAsia" w:ascii="宋体" w:hAnsi="宋体" w:eastAsia="宋体" w:cs="宋体"/>
          <w:color w:val="auto"/>
          <w:kern w:val="2"/>
          <w:sz w:val="24"/>
          <w:szCs w:val="24"/>
          <w:highlight w:val="none"/>
          <w:u w:val="none" w:color="000000"/>
          <w:lang w:val="zh-Hans" w:eastAsia="zh-CN"/>
        </w:rPr>
        <w:t>）</w:t>
      </w:r>
    </w:p>
    <w:p w14:paraId="52B8CCF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u w:val="none" w:color="000000"/>
          <w:lang w:val="en-US" w:eastAsia="zh-CN"/>
        </w:rPr>
        <w:t>2.磋商</w:t>
      </w:r>
      <w:r>
        <w:rPr>
          <w:rFonts w:hint="eastAsia" w:ascii="宋体" w:hAnsi="宋体" w:eastAsia="宋体" w:cs="宋体"/>
          <w:color w:val="auto"/>
          <w:kern w:val="2"/>
          <w:sz w:val="24"/>
          <w:szCs w:val="24"/>
          <w:highlight w:val="none"/>
          <w:u w:val="none" w:color="000000"/>
          <w:lang w:val="zh-Hans" w:eastAsia="zh-Hans"/>
        </w:rPr>
        <w:t>文件获取方式及</w:t>
      </w:r>
      <w:r>
        <w:rPr>
          <w:rFonts w:hint="eastAsia" w:ascii="宋体" w:hAnsi="宋体" w:eastAsia="宋体" w:cs="宋体"/>
          <w:color w:val="auto"/>
          <w:kern w:val="2"/>
          <w:sz w:val="24"/>
          <w:szCs w:val="24"/>
          <w:highlight w:val="none"/>
          <w:u w:val="none" w:color="000000"/>
          <w:lang w:val="en-US" w:eastAsia="zh-CN"/>
        </w:rPr>
        <w:t>注意事项</w:t>
      </w:r>
      <w:r>
        <w:rPr>
          <w:rFonts w:hint="eastAsia" w:ascii="宋体" w:hAnsi="宋体" w:eastAsia="宋体" w:cs="宋体"/>
          <w:color w:val="auto"/>
          <w:kern w:val="2"/>
          <w:sz w:val="24"/>
          <w:szCs w:val="24"/>
          <w:highlight w:val="none"/>
          <w:u w:val="none" w:color="000000"/>
          <w:lang w:val="zh-Hans" w:eastAsia="zh-Hans"/>
        </w:rPr>
        <w:t>：</w:t>
      </w:r>
    </w:p>
    <w:p w14:paraId="2406D3F7">
      <w:pPr>
        <w:keepNext w:val="0"/>
        <w:keepLines w:val="0"/>
        <w:pageBreakBefore w:val="0"/>
        <w:widowControl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.1</w:t>
      </w:r>
      <w:r>
        <w:rPr>
          <w:rFonts w:hint="eastAsia" w:ascii="宋体" w:hAnsi="宋体" w:eastAsia="宋体" w:cs="宋体"/>
          <w:color w:val="auto"/>
          <w:highlight w:val="none"/>
        </w:rPr>
        <w:t>.获取方式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申请人在浙江政府采购网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其他非政府</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公告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附件处自行下载。</w:t>
      </w:r>
    </w:p>
    <w:p w14:paraId="33D1EA5A">
      <w:pPr>
        <w:numPr>
          <w:ilvl w:val="0"/>
          <w:numId w:val="0"/>
        </w:num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highlight w:val="none"/>
          <w:lang w:val="en-US" w:eastAsia="zh-CN"/>
        </w:rPr>
        <w:t>2.2</w:t>
      </w:r>
      <w:r>
        <w:rPr>
          <w:rFonts w:hint="eastAsia" w:ascii="宋体" w:hAnsi="宋体" w:eastAsia="宋体" w:cs="宋体"/>
          <w:color w:val="auto"/>
          <w:highlight w:val="none"/>
        </w:rPr>
        <w:t>.</w:t>
      </w:r>
      <w:r>
        <w:rPr>
          <w:rFonts w:hint="eastAsia" w:ascii="华文中宋" w:hAnsi="华文中宋" w:eastAsia="华文中宋" w:cs="Times New Roman"/>
          <w:color w:val="auto"/>
          <w:sz w:val="24"/>
          <w:highlight w:val="none"/>
          <w:lang w:val="en-US" w:eastAsia="zh-CN"/>
        </w:rPr>
        <w:t>报名</w:t>
      </w:r>
      <w:r>
        <w:rPr>
          <w:rFonts w:hint="eastAsia" w:ascii="宋体" w:hAnsi="宋体" w:eastAsia="宋体" w:cs="宋体"/>
          <w:color w:val="auto"/>
          <w:sz w:val="24"/>
          <w:szCs w:val="24"/>
          <w:highlight w:val="none"/>
          <w:lang w:val="en-US" w:eastAsia="zh-CN"/>
        </w:rPr>
        <w:t>方式：自本公告发布之日起至2025年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日17:00时止(逾期不予受理），将报名资料发送至403100105@qq.com。</w:t>
      </w:r>
    </w:p>
    <w:p w14:paraId="32424CA0">
      <w:pPr>
        <w:keepNext w:val="0"/>
        <w:keepLines w:val="0"/>
        <w:pageBreakBefore w:val="0"/>
        <w:widowControl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2.2.1</w:t>
      </w:r>
      <w:r>
        <w:rPr>
          <w:rFonts w:hint="eastAsia" w:ascii="宋体" w:hAnsi="宋体" w:eastAsia="宋体" w:cs="宋体"/>
          <w:color w:val="auto"/>
          <w:highlight w:val="none"/>
        </w:rPr>
        <w:t>提供有效</w:t>
      </w:r>
      <w:r>
        <w:rPr>
          <w:rFonts w:hint="eastAsia" w:ascii="宋体" w:hAnsi="宋体" w:cs="宋体"/>
          <w:color w:val="auto"/>
          <w:highlight w:val="none"/>
          <w:lang w:val="en-US" w:eastAsia="zh-CN"/>
        </w:rPr>
        <w:t>的</w:t>
      </w:r>
      <w:r>
        <w:rPr>
          <w:rFonts w:hint="eastAsia" w:ascii="宋体" w:hAnsi="宋体" w:eastAsia="宋体" w:cs="宋体"/>
          <w:color w:val="auto"/>
          <w:highlight w:val="none"/>
        </w:rPr>
        <w:t>《营业执照》</w:t>
      </w:r>
      <w:r>
        <w:rPr>
          <w:rFonts w:hint="eastAsia" w:ascii="宋体" w:hAnsi="宋体" w:cs="宋体"/>
          <w:color w:val="auto"/>
          <w:highlight w:val="none"/>
          <w:lang w:val="en-US" w:eastAsia="zh-CN"/>
        </w:rPr>
        <w:t>复印件并加盖投标人公章</w:t>
      </w:r>
      <w:r>
        <w:rPr>
          <w:rFonts w:hint="eastAsia" w:ascii="宋体" w:hAnsi="宋体" w:eastAsia="宋体" w:cs="宋体"/>
          <w:color w:val="auto"/>
          <w:highlight w:val="none"/>
          <w:lang w:eastAsia="zh-CN"/>
        </w:rPr>
        <w:t>；</w:t>
      </w:r>
    </w:p>
    <w:p w14:paraId="134D7573">
      <w:pPr>
        <w:numPr>
          <w:ilvl w:val="0"/>
          <w:numId w:val="0"/>
        </w:numPr>
        <w:snapToGrid w:val="0"/>
        <w:spacing w:line="480" w:lineRule="exact"/>
        <w:ind w:firstLine="480" w:firstLineChars="200"/>
        <w:rPr>
          <w:rFonts w:hint="eastAsia" w:ascii="华文中宋" w:hAnsi="华文中宋" w:eastAsia="华文中宋" w:cs="Times New Roman"/>
          <w:color w:val="auto"/>
          <w:sz w:val="24"/>
          <w:highlight w:val="none"/>
          <w:lang w:val="en-US" w:eastAsia="zh-CN"/>
        </w:rPr>
      </w:pPr>
      <w:r>
        <w:rPr>
          <w:rFonts w:hint="eastAsia" w:ascii="华文中宋" w:hAnsi="华文中宋" w:eastAsia="华文中宋" w:cs="Times New Roman"/>
          <w:color w:val="auto"/>
          <w:sz w:val="24"/>
          <w:highlight w:val="none"/>
          <w:lang w:val="en-US" w:eastAsia="zh-CN"/>
        </w:rPr>
        <w:t>2.2.2</w:t>
      </w:r>
      <w:r>
        <w:rPr>
          <w:rFonts w:hint="eastAsia" w:ascii="宋体" w:hAnsi="宋体" w:cs="宋体"/>
          <w:color w:val="auto"/>
          <w:highlight w:val="none"/>
          <w:lang w:val="en-US" w:eastAsia="zh-CN"/>
        </w:rPr>
        <w:t>法定代表人身份</w:t>
      </w:r>
      <w:r>
        <w:rPr>
          <w:rFonts w:hint="eastAsia" w:ascii="宋体" w:hAnsi="宋体" w:eastAsia="宋体" w:cs="宋体"/>
          <w:color w:val="auto"/>
          <w:highlight w:val="none"/>
        </w:rPr>
        <w:t>证明或</w:t>
      </w:r>
      <w:r>
        <w:rPr>
          <w:rFonts w:hint="eastAsia" w:ascii="宋体" w:hAnsi="宋体" w:cs="宋体"/>
          <w:color w:val="auto"/>
          <w:highlight w:val="none"/>
          <w:lang w:val="en-US" w:eastAsia="zh-CN"/>
        </w:rPr>
        <w:t>法定代表人</w:t>
      </w:r>
      <w:r>
        <w:rPr>
          <w:rFonts w:hint="eastAsia" w:ascii="宋体" w:hAnsi="宋体" w:eastAsia="宋体" w:cs="宋体"/>
          <w:color w:val="auto"/>
          <w:highlight w:val="none"/>
        </w:rPr>
        <w:t>授权委托书</w:t>
      </w:r>
      <w:r>
        <w:rPr>
          <w:rFonts w:hint="eastAsia" w:ascii="宋体" w:hAnsi="宋体" w:cs="宋体"/>
          <w:color w:val="auto"/>
          <w:highlight w:val="none"/>
          <w:lang w:val="en-US" w:eastAsia="zh-CN"/>
        </w:rPr>
        <w:t>原件</w:t>
      </w:r>
      <w:r>
        <w:rPr>
          <w:rFonts w:hint="eastAsia" w:ascii="宋体" w:hAnsi="宋体" w:eastAsia="宋体" w:cs="宋体"/>
          <w:color w:val="auto"/>
          <w:highlight w:val="none"/>
          <w:lang w:val="en-US" w:eastAsia="zh-CN"/>
        </w:rPr>
        <w:t>扫描件</w:t>
      </w:r>
      <w:r>
        <w:rPr>
          <w:rFonts w:hint="eastAsia" w:ascii="华文中宋" w:hAnsi="华文中宋" w:eastAsia="华文中宋" w:cs="Times New Roman"/>
          <w:color w:val="auto"/>
          <w:sz w:val="24"/>
          <w:highlight w:val="none"/>
          <w:lang w:val="en-US" w:eastAsia="zh-CN"/>
        </w:rPr>
        <w:t>（格式参照附件5）；</w:t>
      </w:r>
    </w:p>
    <w:p w14:paraId="4C75F3B8">
      <w:pPr>
        <w:numPr>
          <w:ilvl w:val="0"/>
          <w:numId w:val="0"/>
        </w:numPr>
        <w:snapToGrid w:val="0"/>
        <w:spacing w:line="480" w:lineRule="exact"/>
        <w:ind w:firstLine="480" w:firstLineChars="200"/>
        <w:rPr>
          <w:rFonts w:hint="eastAsia" w:ascii="华文中宋" w:hAnsi="华文中宋" w:eastAsia="华文中宋" w:cs="Times New Roman"/>
          <w:color w:val="auto"/>
          <w:sz w:val="24"/>
          <w:highlight w:val="none"/>
          <w:lang w:val="en-US" w:eastAsia="zh-CN"/>
        </w:rPr>
      </w:pPr>
      <w:r>
        <w:rPr>
          <w:rFonts w:hint="eastAsia" w:ascii="华文中宋" w:hAnsi="华文中宋" w:eastAsia="华文中宋" w:cs="Times New Roman"/>
          <w:color w:val="auto"/>
          <w:sz w:val="24"/>
          <w:highlight w:val="none"/>
          <w:lang w:val="en-US" w:eastAsia="zh-CN"/>
        </w:rPr>
        <w:t>3.未提交上述报名资料进行报名登记的供应商参与本项目磋商活动的，采购人有权拒绝。</w:t>
      </w:r>
    </w:p>
    <w:p w14:paraId="5941163F">
      <w:pPr>
        <w:keepNext w:val="0"/>
        <w:keepLines w:val="0"/>
        <w:pageBreakBefore w:val="0"/>
        <w:widowControl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.售价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免费。</w:t>
      </w:r>
      <w:bookmarkStart w:id="1584" w:name="_GoBack"/>
      <w:bookmarkEnd w:id="1584"/>
    </w:p>
    <w:p w14:paraId="05A724DB">
      <w:pPr>
        <w:keepNext w:val="0"/>
        <w:keepLines w:val="0"/>
        <w:pageBreakBefore w:val="0"/>
        <w:widowControl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提示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潜在供应商须按规定时间、</w:t>
      </w:r>
      <w:r>
        <w:rPr>
          <w:rFonts w:hint="eastAsia" w:ascii="宋体" w:hAnsi="宋体" w:cs="宋体"/>
          <w:color w:val="auto"/>
          <w:highlight w:val="none"/>
          <w:lang w:val="en-US" w:eastAsia="zh-CN"/>
        </w:rPr>
        <w:t>方式</w:t>
      </w:r>
      <w:r>
        <w:rPr>
          <w:rFonts w:hint="eastAsia" w:ascii="宋体" w:hAnsi="宋体" w:eastAsia="宋体" w:cs="宋体"/>
          <w:color w:val="auto"/>
          <w:highlight w:val="none"/>
        </w:rPr>
        <w:t>获取磋商文件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视为依法获取磋商文件。本次招标采用资格后审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获取磋商文件的供应商不一定为合格的供应商。</w:t>
      </w:r>
    </w:p>
    <w:p w14:paraId="0A72A719">
      <w:pPr>
        <w:keepNext w:val="0"/>
        <w:keepLines w:val="0"/>
        <w:pageBreakBefore w:val="0"/>
        <w:widowControl w:val="0"/>
        <w:numPr>
          <w:ilvl w:val="255"/>
          <w:numId w:val="0"/>
        </w:numPr>
        <w:shd w:val="clear"/>
        <w:kinsoku/>
        <w:wordWrap/>
        <w:overflowPunct/>
        <w:topLinePunct w:val="0"/>
        <w:autoSpaceDE/>
        <w:autoSpaceDN/>
        <w:bidi w:val="0"/>
        <w:adjustRightInd/>
        <w:snapToGrid w:val="0"/>
        <w:spacing w:line="520" w:lineRule="exact"/>
        <w:ind w:firstLine="482" w:firstLineChars="200"/>
        <w:textAlignment w:val="auto"/>
        <w:outlineLvl w:val="1"/>
        <w:rPr>
          <w:rFonts w:hint="eastAsia" w:ascii="宋体" w:hAnsi="宋体" w:eastAsia="宋体" w:cs="宋体"/>
          <w:b/>
          <w:bCs/>
          <w:color w:val="auto"/>
          <w:highlight w:val="none"/>
        </w:rPr>
      </w:pPr>
      <w:bookmarkStart w:id="165" w:name="_Toc22447"/>
      <w:bookmarkStart w:id="166" w:name="_Toc13621"/>
      <w:r>
        <w:rPr>
          <w:rFonts w:hint="eastAsia" w:ascii="宋体" w:hAnsi="宋体" w:eastAsia="宋体" w:cs="宋体"/>
          <w:b/>
          <w:bCs/>
          <w:color w:val="auto"/>
          <w:highlight w:val="none"/>
        </w:rPr>
        <w:t>五、提交</w:t>
      </w:r>
      <w:r>
        <w:rPr>
          <w:rFonts w:hint="eastAsia" w:ascii="宋体" w:hAnsi="宋体" w:eastAsia="宋体" w:cs="宋体"/>
          <w:b/>
          <w:bCs/>
          <w:color w:val="auto"/>
          <w:highlight w:val="none"/>
          <w:lang w:val="en-US" w:eastAsia="zh-CN"/>
        </w:rPr>
        <w:t>磋商</w:t>
      </w:r>
      <w:r>
        <w:rPr>
          <w:rFonts w:hint="eastAsia" w:ascii="宋体" w:hAnsi="宋体" w:eastAsia="宋体" w:cs="宋体"/>
          <w:b/>
          <w:bCs/>
          <w:color w:val="auto"/>
          <w:highlight w:val="none"/>
        </w:rPr>
        <w:t>响应文件时间、开启时间和地址</w:t>
      </w:r>
      <w:bookmarkEnd w:id="165"/>
      <w:bookmarkEnd w:id="166"/>
    </w:p>
    <w:p w14:paraId="641419DA">
      <w:pPr>
        <w:keepNext w:val="0"/>
        <w:keepLines w:val="0"/>
        <w:pageBreakBefore w:val="0"/>
        <w:widowControl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1.时间</w:t>
      </w:r>
      <w:r>
        <w:rPr>
          <w:rFonts w:hint="eastAsia" w:ascii="宋体" w:hAnsi="宋体" w:eastAsia="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lang w:val="en-US" w:eastAsia="zh-CN"/>
        </w:rPr>
        <w:t>30</w:t>
      </w:r>
      <w:r>
        <w:rPr>
          <w:rFonts w:hint="eastAsia" w:ascii="宋体" w:hAnsi="宋体" w:eastAsia="宋体" w:cs="宋体"/>
          <w:color w:val="auto"/>
          <w:highlight w:val="none"/>
        </w:rPr>
        <w:t>日</w:t>
      </w:r>
      <w:r>
        <w:rPr>
          <w:rFonts w:hint="eastAsia" w:ascii="宋体" w:hAnsi="宋体" w:cs="宋体"/>
          <w:color w:val="auto"/>
          <w:highlight w:val="none"/>
          <w:lang w:val="en-US" w:eastAsia="zh-CN"/>
        </w:rPr>
        <w:t>9:30</w:t>
      </w:r>
      <w:r>
        <w:rPr>
          <w:rFonts w:hint="eastAsia" w:ascii="宋体" w:hAnsi="宋体" w:eastAsia="宋体" w:cs="宋体"/>
          <w:color w:val="auto"/>
          <w:highlight w:val="none"/>
        </w:rPr>
        <w:t>时(北京时间)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逾期送达的拒收。</w:t>
      </w:r>
    </w:p>
    <w:p w14:paraId="68DD7821">
      <w:pPr>
        <w:keepNext w:val="0"/>
        <w:keepLines w:val="0"/>
        <w:pageBreakBefore w:val="0"/>
        <w:shd w:val="clear"/>
        <w:tabs>
          <w:tab w:val="left" w:pos="0"/>
        </w:tabs>
        <w:kinsoku/>
        <w:wordWrap/>
        <w:overflowPunct/>
        <w:topLinePunct w:val="0"/>
        <w:autoSpaceDE/>
        <w:autoSpaceDN/>
        <w:bidi w:val="0"/>
        <w:adjustRightInd/>
        <w:snapToGrid w:val="0"/>
        <w:spacing w:line="520" w:lineRule="exact"/>
        <w:ind w:firstLine="0"/>
        <w:textAlignment w:val="auto"/>
        <w:outlineLvl w:val="1"/>
        <w:rPr>
          <w:rFonts w:hint="eastAsia" w:ascii="宋体" w:hAnsi="宋体" w:eastAsia="宋体" w:cs="宋体"/>
          <w:color w:val="auto"/>
          <w:highlight w:val="none"/>
        </w:rPr>
      </w:pPr>
      <w:bookmarkStart w:id="167" w:name="_Toc144"/>
      <w:r>
        <w:rPr>
          <w:rFonts w:hint="eastAsia" w:ascii="宋体" w:hAnsi="宋体" w:eastAsia="宋体" w:cs="宋体"/>
          <w:color w:val="auto"/>
          <w:highlight w:val="none"/>
        </w:rPr>
        <w:t>2.</w:t>
      </w:r>
      <w:r>
        <w:rPr>
          <w:rFonts w:hint="eastAsia" w:ascii="宋体" w:hAnsi="宋体" w:eastAsia="宋体" w:cs="宋体"/>
          <w:color w:val="auto"/>
          <w:highlight w:val="none"/>
          <w:lang w:eastAsia="zh-CN"/>
        </w:rPr>
        <w:t>地址：</w:t>
      </w:r>
      <w:r>
        <w:rPr>
          <w:rFonts w:hint="eastAsia" w:ascii="宋体" w:hAnsi="宋体" w:cs="宋体"/>
          <w:color w:val="auto"/>
          <w:highlight w:val="none"/>
          <w:lang w:val="zh-CN" w:eastAsia="zh-CN"/>
        </w:rPr>
        <w:t>龙游县湖镇镇人民政府3楼开标室</w:t>
      </w:r>
      <w:r>
        <w:rPr>
          <w:rFonts w:hint="eastAsia" w:ascii="宋体" w:hAnsi="宋体" w:eastAsia="宋体" w:cs="宋体"/>
          <w:color w:val="auto"/>
          <w:highlight w:val="none"/>
          <w:lang w:eastAsia="zh-CN"/>
        </w:rPr>
        <w:t>。</w:t>
      </w:r>
      <w:bookmarkEnd w:id="167"/>
    </w:p>
    <w:p w14:paraId="3AC6E02A">
      <w:pPr>
        <w:keepNext w:val="0"/>
        <w:keepLines w:val="0"/>
        <w:pageBreakBefore w:val="0"/>
        <w:widowControl w:val="0"/>
        <w:numPr>
          <w:ilvl w:val="255"/>
          <w:numId w:val="0"/>
        </w:numPr>
        <w:shd w:val="clear"/>
        <w:kinsoku/>
        <w:wordWrap/>
        <w:overflowPunct/>
        <w:topLinePunct w:val="0"/>
        <w:autoSpaceDE/>
        <w:autoSpaceDN/>
        <w:bidi w:val="0"/>
        <w:adjustRightInd/>
        <w:snapToGrid w:val="0"/>
        <w:spacing w:line="520" w:lineRule="exact"/>
        <w:ind w:firstLine="482" w:firstLineChars="200"/>
        <w:textAlignment w:val="auto"/>
        <w:outlineLvl w:val="1"/>
        <w:rPr>
          <w:rFonts w:hint="eastAsia" w:ascii="宋体" w:hAnsi="宋体" w:eastAsia="宋体" w:cs="宋体"/>
          <w:b/>
          <w:bCs/>
          <w:color w:val="auto"/>
          <w:highlight w:val="none"/>
        </w:rPr>
      </w:pPr>
      <w:bookmarkStart w:id="168" w:name="_Toc7767"/>
      <w:bookmarkStart w:id="169" w:name="_Toc8484"/>
      <w:r>
        <w:rPr>
          <w:rFonts w:hint="eastAsia" w:ascii="宋体" w:hAnsi="宋体" w:eastAsia="宋体" w:cs="宋体"/>
          <w:b/>
          <w:bCs/>
          <w:color w:val="auto"/>
          <w:highlight w:val="none"/>
        </w:rPr>
        <w:t>六、公告期限</w:t>
      </w:r>
      <w:bookmarkEnd w:id="168"/>
      <w:bookmarkEnd w:id="169"/>
    </w:p>
    <w:p w14:paraId="06B4CBA3">
      <w:pPr>
        <w:keepNext w:val="0"/>
        <w:keepLines w:val="0"/>
        <w:pageBreakBefore w:val="0"/>
        <w:widowControl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自本磋商公告发布之日起3个工作日。</w:t>
      </w:r>
    </w:p>
    <w:p w14:paraId="414826A1">
      <w:pPr>
        <w:keepNext w:val="0"/>
        <w:keepLines w:val="0"/>
        <w:pageBreakBefore w:val="0"/>
        <w:widowControl w:val="0"/>
        <w:numPr>
          <w:ilvl w:val="255"/>
          <w:numId w:val="0"/>
        </w:numPr>
        <w:shd w:val="clear"/>
        <w:kinsoku/>
        <w:wordWrap/>
        <w:overflowPunct/>
        <w:topLinePunct w:val="0"/>
        <w:autoSpaceDE/>
        <w:autoSpaceDN/>
        <w:bidi w:val="0"/>
        <w:adjustRightInd/>
        <w:snapToGrid w:val="0"/>
        <w:spacing w:line="520" w:lineRule="exact"/>
        <w:ind w:firstLine="482" w:firstLineChars="200"/>
        <w:textAlignment w:val="auto"/>
        <w:outlineLvl w:val="1"/>
        <w:rPr>
          <w:rFonts w:hint="eastAsia" w:ascii="宋体" w:hAnsi="宋体" w:eastAsia="宋体" w:cs="宋体"/>
          <w:b/>
          <w:bCs/>
          <w:color w:val="auto"/>
          <w:highlight w:val="none"/>
        </w:rPr>
      </w:pPr>
      <w:bookmarkStart w:id="170" w:name="_Toc26987"/>
      <w:bookmarkStart w:id="171" w:name="_Toc17403"/>
      <w:r>
        <w:rPr>
          <w:rFonts w:hint="eastAsia" w:ascii="宋体" w:hAnsi="宋体" w:eastAsia="宋体" w:cs="宋体"/>
          <w:b/>
          <w:bCs/>
          <w:color w:val="auto"/>
          <w:highlight w:val="none"/>
        </w:rPr>
        <w:t>七、其他补充事宜</w:t>
      </w:r>
      <w:bookmarkEnd w:id="170"/>
      <w:bookmarkEnd w:id="171"/>
    </w:p>
    <w:p w14:paraId="4B10B86C">
      <w:pPr>
        <w:keepNext w:val="0"/>
        <w:keepLines w:val="0"/>
        <w:pageBreakBefore w:val="0"/>
        <w:widowControl w:val="0"/>
        <w:shd w:val="clear"/>
        <w:tabs>
          <w:tab w:val="left" w:pos="567"/>
        </w:tabs>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i w:val="0"/>
          <w:iCs w:val="0"/>
          <w:caps w:val="0"/>
          <w:color w:val="auto"/>
          <w:spacing w:val="0"/>
          <w:sz w:val="24"/>
          <w:szCs w:val="24"/>
          <w:highlight w:val="none"/>
        </w:rPr>
      </w:pPr>
      <w:bookmarkStart w:id="172" w:name="_Toc14089"/>
      <w:bookmarkStart w:id="173" w:name="_Toc20308"/>
      <w:bookmarkStart w:id="174" w:name="_Toc12664"/>
      <w:bookmarkStart w:id="175" w:name="_Toc1289"/>
      <w:bookmarkStart w:id="176" w:name="_Toc27751"/>
      <w:r>
        <w:rPr>
          <w:rFonts w:hint="eastAsia" w:ascii="宋体" w:hAnsi="宋体" w:eastAsia="宋体" w:cs="宋体"/>
          <w:i w:val="0"/>
          <w:iCs w:val="0"/>
          <w:caps w:val="0"/>
          <w:color w:val="auto"/>
          <w:spacing w:val="0"/>
          <w:sz w:val="24"/>
          <w:szCs w:val="24"/>
          <w:highlight w:val="none"/>
        </w:rPr>
        <w:t>潜在</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对</w:t>
      </w:r>
      <w:r>
        <w:rPr>
          <w:rFonts w:hint="eastAsia" w:ascii="宋体" w:hAnsi="宋体" w:eastAsia="宋体" w:cs="宋体"/>
          <w:i w:val="0"/>
          <w:iCs w:val="0"/>
          <w:caps w:val="0"/>
          <w:color w:val="auto"/>
          <w:spacing w:val="0"/>
          <w:sz w:val="24"/>
          <w:szCs w:val="24"/>
          <w:highlight w:val="none"/>
          <w:lang w:eastAsia="zh-CN"/>
        </w:rPr>
        <w:t>磋商公告</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磋商文件</w:t>
      </w:r>
      <w:r>
        <w:rPr>
          <w:rFonts w:hint="eastAsia" w:ascii="宋体" w:hAnsi="宋体" w:eastAsia="宋体" w:cs="宋体"/>
          <w:i w:val="0"/>
          <w:iCs w:val="0"/>
          <w:caps w:val="0"/>
          <w:color w:val="auto"/>
          <w:spacing w:val="0"/>
          <w:sz w:val="24"/>
          <w:szCs w:val="24"/>
          <w:highlight w:val="none"/>
        </w:rPr>
        <w:t>有疑问的，在</w:t>
      </w:r>
      <w:r>
        <w:rPr>
          <w:rFonts w:hint="eastAsia" w:ascii="宋体" w:hAnsi="宋体" w:eastAsia="宋体" w:cs="宋体"/>
          <w:i w:val="0"/>
          <w:iCs w:val="0"/>
          <w:caps w:val="0"/>
          <w:color w:val="auto"/>
          <w:spacing w:val="0"/>
          <w:sz w:val="24"/>
          <w:szCs w:val="24"/>
          <w:highlight w:val="none"/>
          <w:lang w:eastAsia="zh-CN"/>
        </w:rPr>
        <w:t>2025</w:t>
      </w:r>
      <w:r>
        <w:rPr>
          <w:rFonts w:hint="eastAsia" w:ascii="宋体" w:hAnsi="宋体" w:eastAsia="宋体" w:cs="宋体"/>
          <w:i w:val="0"/>
          <w:iCs w:val="0"/>
          <w:caps w:val="0"/>
          <w:color w:val="auto"/>
          <w:spacing w:val="0"/>
          <w:sz w:val="24"/>
          <w:szCs w:val="24"/>
          <w:highlight w:val="none"/>
        </w:rPr>
        <w:t>年</w:t>
      </w:r>
      <w:r>
        <w:rPr>
          <w:rFonts w:hint="eastAsia" w:ascii="宋体" w:hAnsi="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月</w:t>
      </w:r>
      <w:r>
        <w:rPr>
          <w:rFonts w:hint="eastAsia" w:ascii="宋体" w:hAnsi="宋体" w:cs="宋体"/>
          <w:i w:val="0"/>
          <w:iCs w:val="0"/>
          <w:caps w:val="0"/>
          <w:color w:val="auto"/>
          <w:spacing w:val="0"/>
          <w:sz w:val="24"/>
          <w:szCs w:val="24"/>
          <w:highlight w:val="none"/>
          <w:lang w:val="en-US" w:eastAsia="zh-CN"/>
        </w:rPr>
        <w:t>27</w:t>
      </w:r>
      <w:r>
        <w:rPr>
          <w:rFonts w:hint="eastAsia" w:ascii="宋体" w:hAnsi="宋体" w:eastAsia="宋体" w:cs="宋体"/>
          <w:i w:val="0"/>
          <w:iCs w:val="0"/>
          <w:caps w:val="0"/>
          <w:color w:val="auto"/>
          <w:spacing w:val="0"/>
          <w:sz w:val="24"/>
          <w:szCs w:val="24"/>
          <w:highlight w:val="none"/>
        </w:rPr>
        <w:t>日1</w:t>
      </w:r>
      <w:r>
        <w:rPr>
          <w:rFonts w:hint="eastAsia" w:ascii="宋体" w:hAnsi="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:00时前以书面形式向采购人和采购代理机构提出询问，逾期提出不予受理。如需修改或补充的，采购代理机构以补充公告形式于</w:t>
      </w:r>
      <w:r>
        <w:rPr>
          <w:rFonts w:hint="eastAsia" w:ascii="宋体" w:hAnsi="宋体" w:eastAsia="宋体" w:cs="宋体"/>
          <w:i w:val="0"/>
          <w:iCs w:val="0"/>
          <w:caps w:val="0"/>
          <w:color w:val="auto"/>
          <w:spacing w:val="0"/>
          <w:sz w:val="24"/>
          <w:szCs w:val="24"/>
          <w:highlight w:val="none"/>
          <w:lang w:eastAsia="zh-CN"/>
        </w:rPr>
        <w:t>2025</w:t>
      </w:r>
      <w:r>
        <w:rPr>
          <w:rFonts w:hint="eastAsia" w:ascii="宋体" w:hAnsi="宋体" w:eastAsia="宋体" w:cs="宋体"/>
          <w:i w:val="0"/>
          <w:iCs w:val="0"/>
          <w:caps w:val="0"/>
          <w:color w:val="auto"/>
          <w:spacing w:val="0"/>
          <w:sz w:val="24"/>
          <w:szCs w:val="24"/>
          <w:highlight w:val="none"/>
        </w:rPr>
        <w:t>年</w:t>
      </w:r>
      <w:r>
        <w:rPr>
          <w:rFonts w:hint="eastAsia" w:ascii="宋体" w:hAnsi="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lang w:val="en-US" w:eastAsia="zh-CN"/>
        </w:rPr>
        <w:t>月</w:t>
      </w:r>
      <w:r>
        <w:rPr>
          <w:rFonts w:hint="eastAsia" w:ascii="宋体" w:hAnsi="宋体" w:cs="宋体"/>
          <w:i w:val="0"/>
          <w:iCs w:val="0"/>
          <w:caps w:val="0"/>
          <w:color w:val="auto"/>
          <w:spacing w:val="0"/>
          <w:sz w:val="24"/>
          <w:szCs w:val="24"/>
          <w:highlight w:val="none"/>
          <w:lang w:val="en-US" w:eastAsia="zh-CN"/>
        </w:rPr>
        <w:t>27</w:t>
      </w:r>
      <w:r>
        <w:rPr>
          <w:rFonts w:hint="eastAsia" w:ascii="宋体" w:hAnsi="宋体" w:eastAsia="宋体" w:cs="宋体"/>
          <w:i w:val="0"/>
          <w:iCs w:val="0"/>
          <w:caps w:val="0"/>
          <w:color w:val="auto"/>
          <w:spacing w:val="0"/>
          <w:sz w:val="24"/>
          <w:szCs w:val="24"/>
          <w:highlight w:val="none"/>
        </w:rPr>
        <w:t>日17:00时前在浙江政府采购网</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其他非政府采购公告</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公告。</w:t>
      </w:r>
    </w:p>
    <w:bookmarkEnd w:id="172"/>
    <w:bookmarkEnd w:id="173"/>
    <w:bookmarkEnd w:id="174"/>
    <w:bookmarkEnd w:id="175"/>
    <w:bookmarkEnd w:id="176"/>
    <w:p w14:paraId="04B83054">
      <w:pPr>
        <w:keepNext w:val="0"/>
        <w:keepLines w:val="0"/>
        <w:pageBreakBefore w:val="0"/>
        <w:widowControl w:val="0"/>
        <w:numPr>
          <w:ilvl w:val="255"/>
          <w:numId w:val="0"/>
        </w:numPr>
        <w:shd w:val="clear"/>
        <w:kinsoku/>
        <w:wordWrap/>
        <w:overflowPunct/>
        <w:topLinePunct w:val="0"/>
        <w:autoSpaceDE/>
        <w:autoSpaceDN/>
        <w:bidi w:val="0"/>
        <w:adjustRightInd/>
        <w:snapToGrid w:val="0"/>
        <w:spacing w:line="520" w:lineRule="exact"/>
        <w:ind w:left="0" w:leftChars="0" w:firstLine="482" w:firstLineChars="200"/>
        <w:textAlignment w:val="auto"/>
        <w:outlineLvl w:val="1"/>
        <w:rPr>
          <w:rFonts w:hint="eastAsia" w:ascii="宋体" w:hAnsi="宋体" w:eastAsia="宋体" w:cs="宋体"/>
          <w:b/>
          <w:bCs/>
          <w:color w:val="auto"/>
          <w:sz w:val="24"/>
          <w:szCs w:val="24"/>
          <w:highlight w:val="none"/>
          <w:lang w:val="zh-CN" w:eastAsia="zh-CN"/>
        </w:rPr>
      </w:pPr>
      <w:bookmarkStart w:id="177" w:name="_Toc16092"/>
      <w:bookmarkStart w:id="178" w:name="_Toc1089"/>
      <w:bookmarkStart w:id="179" w:name="_Toc20405"/>
      <w:bookmarkStart w:id="180" w:name="_Toc28134"/>
      <w:bookmarkStart w:id="181" w:name="_Toc11334"/>
      <w:bookmarkStart w:id="182" w:name="_Toc11525"/>
      <w:bookmarkStart w:id="183" w:name="_Toc20184"/>
      <w:bookmarkStart w:id="184" w:name="_Toc16026"/>
      <w:bookmarkStart w:id="185" w:name="_Toc30108"/>
      <w:bookmarkStart w:id="186" w:name="_Toc28457"/>
      <w:r>
        <w:rPr>
          <w:rFonts w:hint="eastAsia" w:ascii="宋体" w:hAnsi="宋体" w:eastAsia="宋体" w:cs="宋体"/>
          <w:b/>
          <w:bCs/>
          <w:color w:val="auto"/>
          <w:sz w:val="24"/>
          <w:szCs w:val="24"/>
          <w:highlight w:val="none"/>
          <w:lang w:val="en-US" w:eastAsia="zh-CN"/>
        </w:rPr>
        <w:t>八、磋商</w:t>
      </w:r>
      <w:r>
        <w:rPr>
          <w:rFonts w:hint="eastAsia" w:ascii="宋体" w:hAnsi="宋体" w:eastAsia="宋体" w:cs="宋体"/>
          <w:b/>
          <w:bCs/>
          <w:color w:val="auto"/>
          <w:sz w:val="24"/>
          <w:szCs w:val="24"/>
          <w:highlight w:val="none"/>
          <w:lang w:val="zh-CN" w:eastAsia="zh-CN"/>
        </w:rPr>
        <w:t>文件发布及下载地址</w:t>
      </w:r>
      <w:bookmarkEnd w:id="177"/>
      <w:bookmarkEnd w:id="178"/>
      <w:bookmarkEnd w:id="179"/>
      <w:bookmarkEnd w:id="180"/>
      <w:bookmarkEnd w:id="181"/>
      <w:bookmarkEnd w:id="182"/>
      <w:bookmarkEnd w:id="183"/>
      <w:bookmarkEnd w:id="184"/>
      <w:bookmarkEnd w:id="185"/>
      <w:bookmarkEnd w:id="186"/>
    </w:p>
    <w:p w14:paraId="3FC8CFD9">
      <w:pPr>
        <w:keepNext w:val="0"/>
        <w:keepLines w:val="0"/>
        <w:pageBreakBefore w:val="0"/>
        <w:widowControl w:val="0"/>
        <w:numPr>
          <w:ilvl w:val="0"/>
          <w:numId w:val="0"/>
        </w:numPr>
        <w:shd w:val="clear"/>
        <w:kinsoku/>
        <w:wordWrap/>
        <w:overflowPunct/>
        <w:topLinePunct w:val="0"/>
        <w:autoSpaceDE/>
        <w:autoSpaceDN/>
        <w:bidi w:val="0"/>
        <w:adjustRightInd/>
        <w:snapToGrid w:val="0"/>
        <w:spacing w:line="520" w:lineRule="exact"/>
        <w:ind w:left="0" w:leftChars="0" w:firstLine="480" w:firstLineChars="200"/>
        <w:textAlignment w:val="auto"/>
        <w:outlineLvl w:val="1"/>
        <w:rPr>
          <w:rFonts w:hint="eastAsia" w:ascii="宋体" w:hAnsi="宋体" w:eastAsia="宋体" w:cs="宋体"/>
          <w:snapToGrid/>
          <w:color w:val="auto"/>
          <w:kern w:val="2"/>
          <w:sz w:val="24"/>
          <w:szCs w:val="24"/>
          <w:highlight w:val="none"/>
          <w:lang w:val="en-US" w:eastAsia="zh-CN" w:bidi="ar-SA"/>
        </w:rPr>
      </w:pPr>
      <w:bookmarkStart w:id="187" w:name="_Toc15036"/>
      <w:bookmarkStart w:id="188" w:name="_Toc1840"/>
      <w:bookmarkStart w:id="189" w:name="_Toc22361"/>
      <w:bookmarkStart w:id="190" w:name="_Toc5564"/>
      <w:bookmarkStart w:id="191" w:name="_Toc3481"/>
      <w:bookmarkStart w:id="192" w:name="_Toc27759"/>
      <w:bookmarkStart w:id="193" w:name="_Toc9899"/>
      <w:bookmarkStart w:id="194" w:name="_Toc12455"/>
      <w:r>
        <w:rPr>
          <w:rFonts w:hint="eastAsia" w:ascii="宋体" w:hAnsi="宋体" w:eastAsia="宋体" w:cs="宋体"/>
          <w:snapToGrid/>
          <w:color w:val="auto"/>
          <w:kern w:val="2"/>
          <w:sz w:val="24"/>
          <w:szCs w:val="24"/>
          <w:highlight w:val="none"/>
          <w:lang w:val="en-US" w:eastAsia="zh-CN" w:bidi="ar-SA"/>
        </w:rPr>
        <w:t>浙江政府采购网（</w:t>
      </w:r>
      <w:r>
        <w:rPr>
          <w:rFonts w:hint="eastAsia" w:ascii="宋体" w:hAnsi="宋体" w:eastAsia="宋体" w:cs="宋体"/>
          <w:i w:val="0"/>
          <w:iCs w:val="0"/>
          <w:caps w:val="0"/>
          <w:color w:val="auto"/>
          <w:spacing w:val="0"/>
          <w:sz w:val="24"/>
          <w:szCs w:val="24"/>
          <w:highlight w:val="none"/>
          <w:lang w:val="en-US" w:eastAsia="zh-CN"/>
        </w:rPr>
        <w:t>其他非政府采购公告</w:t>
      </w:r>
      <w:r>
        <w:rPr>
          <w:rFonts w:hint="eastAsia" w:ascii="宋体" w:hAnsi="宋体" w:eastAsia="宋体" w:cs="宋体"/>
          <w:snapToGrid/>
          <w:color w:val="auto"/>
          <w:kern w:val="2"/>
          <w:sz w:val="24"/>
          <w:szCs w:val="24"/>
          <w:highlight w:val="none"/>
          <w:lang w:val="en-US" w:eastAsia="zh-CN" w:bidi="ar-SA"/>
        </w:rPr>
        <w:t>）</w:t>
      </w:r>
      <w:bookmarkEnd w:id="187"/>
      <w:bookmarkEnd w:id="188"/>
      <w:bookmarkEnd w:id="189"/>
      <w:bookmarkEnd w:id="190"/>
      <w:bookmarkEnd w:id="191"/>
      <w:bookmarkEnd w:id="192"/>
      <w:bookmarkEnd w:id="193"/>
      <w:bookmarkEnd w:id="194"/>
    </w:p>
    <w:p w14:paraId="40065F47">
      <w:pPr>
        <w:keepNext w:val="0"/>
        <w:keepLines w:val="0"/>
        <w:pageBreakBefore w:val="0"/>
        <w:widowControl w:val="0"/>
        <w:numPr>
          <w:ilvl w:val="255"/>
          <w:numId w:val="0"/>
        </w:numPr>
        <w:shd w:val="clear"/>
        <w:kinsoku/>
        <w:wordWrap/>
        <w:overflowPunct/>
        <w:topLinePunct w:val="0"/>
        <w:autoSpaceDE/>
        <w:autoSpaceDN/>
        <w:bidi w:val="0"/>
        <w:adjustRightInd/>
        <w:snapToGrid w:val="0"/>
        <w:spacing w:line="520" w:lineRule="exact"/>
        <w:ind w:firstLine="482" w:firstLineChars="200"/>
        <w:textAlignment w:val="auto"/>
        <w:outlineLvl w:val="1"/>
        <w:rPr>
          <w:rFonts w:hint="eastAsia" w:ascii="宋体" w:hAnsi="宋体" w:eastAsia="宋体" w:cs="宋体"/>
          <w:b/>
          <w:bCs/>
          <w:color w:val="auto"/>
          <w:highlight w:val="none"/>
        </w:rPr>
      </w:pPr>
      <w:bookmarkStart w:id="195" w:name="_Toc16072"/>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、对本次采购提出询问</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请按以下方式联系</w:t>
      </w:r>
      <w:bookmarkEnd w:id="154"/>
      <w:bookmarkEnd w:id="195"/>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52AFC864">
      <w:pPr>
        <w:keepNext w:val="0"/>
        <w:keepLines w:val="0"/>
        <w:pageBreakBefore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Cs/>
          <w:color w:val="auto"/>
          <w:sz w:val="24"/>
          <w:szCs w:val="24"/>
          <w:highlight w:val="none"/>
          <w:lang w:val="en-US" w:eastAsia="zh-CN"/>
        </w:rPr>
      </w:pPr>
      <w:bookmarkStart w:id="196" w:name="_Toc12686"/>
      <w:bookmarkStart w:id="197" w:name="_Toc21280"/>
      <w:bookmarkStart w:id="198" w:name="_Toc23630"/>
      <w:bookmarkStart w:id="199" w:name="_Toc24117"/>
      <w:bookmarkStart w:id="200" w:name="_Toc20787"/>
      <w:bookmarkStart w:id="201" w:name="_Toc16957"/>
      <w:bookmarkStart w:id="202" w:name="_Toc6015"/>
      <w:bookmarkStart w:id="203" w:name="_Toc12500"/>
      <w:bookmarkStart w:id="204" w:name="_Toc2619"/>
      <w:bookmarkStart w:id="205" w:name="_Toc5940"/>
      <w:bookmarkStart w:id="206" w:name="_Toc20710"/>
      <w:bookmarkStart w:id="207" w:name="_Toc9281"/>
      <w:bookmarkStart w:id="208" w:name="_Toc23457"/>
      <w:bookmarkStart w:id="209" w:name="_Toc4390"/>
      <w:bookmarkStart w:id="210" w:name="_Toc16652"/>
      <w:bookmarkStart w:id="211" w:name="_Toc17699"/>
      <w:bookmarkStart w:id="212" w:name="_Toc6056"/>
      <w:bookmarkStart w:id="213" w:name="_Toc24594"/>
      <w:bookmarkStart w:id="214" w:name="_Toc2504"/>
      <w:bookmarkStart w:id="215" w:name="_Toc14188"/>
      <w:bookmarkStart w:id="216" w:name="_Toc2759"/>
      <w:bookmarkStart w:id="217" w:name="_Toc27348"/>
      <w:bookmarkStart w:id="218" w:name="_Toc18814"/>
      <w:bookmarkStart w:id="219" w:name="_Toc14630"/>
      <w:bookmarkStart w:id="220" w:name="_Toc6325"/>
      <w:bookmarkStart w:id="221" w:name="_Toc24829"/>
      <w:bookmarkStart w:id="222" w:name="_Toc30817"/>
      <w:bookmarkStart w:id="223" w:name="_Toc8894"/>
      <w:bookmarkStart w:id="224" w:name="_Toc26049"/>
      <w:bookmarkStart w:id="225" w:name="_Toc26647"/>
      <w:bookmarkStart w:id="226" w:name="_Toc17873"/>
      <w:bookmarkStart w:id="227" w:name="_Toc14948"/>
      <w:bookmarkStart w:id="228" w:name="_Toc16230"/>
      <w:bookmarkStart w:id="229" w:name="_Toc10896"/>
      <w:bookmarkStart w:id="230" w:name="_Toc13762"/>
      <w:bookmarkStart w:id="231" w:name="_Toc12646"/>
      <w:bookmarkStart w:id="232" w:name="_Toc9562"/>
      <w:bookmarkStart w:id="233" w:name="_Toc8830"/>
      <w:bookmarkStart w:id="234" w:name="_Toc22916"/>
      <w:bookmarkStart w:id="235" w:name="_Toc3742"/>
      <w:bookmarkStart w:id="236" w:name="_Toc27038"/>
      <w:bookmarkStart w:id="237" w:name="_Toc21210"/>
      <w:bookmarkStart w:id="238" w:name="_Toc25049"/>
      <w:bookmarkStart w:id="239" w:name="_Toc24226"/>
      <w:bookmarkStart w:id="240" w:name="_Toc7054"/>
      <w:r>
        <w:rPr>
          <w:rFonts w:hint="eastAsia" w:ascii="宋体" w:hAnsi="宋体" w:eastAsia="宋体" w:cs="宋体"/>
          <w:bCs/>
          <w:color w:val="auto"/>
          <w:sz w:val="24"/>
          <w:szCs w:val="24"/>
          <w:highlight w:val="none"/>
          <w:lang w:val="en-US" w:eastAsia="zh-CN"/>
        </w:rPr>
        <w:t>1.采购人信息</w:t>
      </w:r>
    </w:p>
    <w:p w14:paraId="0E27AB23">
      <w:pPr>
        <w:keepNext w:val="0"/>
        <w:keepLines w:val="0"/>
        <w:pageBreakBefore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名称：</w:t>
      </w:r>
      <w:r>
        <w:rPr>
          <w:rFonts w:hint="eastAsia" w:ascii="宋体" w:hAnsi="宋体" w:cs="宋体"/>
          <w:bCs/>
          <w:color w:val="auto"/>
          <w:sz w:val="24"/>
          <w:szCs w:val="24"/>
          <w:highlight w:val="none"/>
          <w:lang w:eastAsia="zh-CN"/>
        </w:rPr>
        <w:t>龙游县湖镇镇张家埠村股份经济合作社</w:t>
      </w:r>
      <w:r>
        <w:rPr>
          <w:rFonts w:hint="eastAsia" w:ascii="宋体" w:hAnsi="宋体" w:eastAsia="宋体" w:cs="宋体"/>
          <w:bCs/>
          <w:color w:val="auto"/>
          <w:sz w:val="24"/>
          <w:szCs w:val="24"/>
          <w:highlight w:val="none"/>
          <w:lang w:eastAsia="zh-CN"/>
        </w:rPr>
        <w:t xml:space="preserve">  </w:t>
      </w:r>
    </w:p>
    <w:p w14:paraId="4B6338F3">
      <w:pPr>
        <w:keepNext w:val="0"/>
        <w:keepLines w:val="0"/>
        <w:pageBreakBefore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地址：</w:t>
      </w:r>
      <w:r>
        <w:rPr>
          <w:rFonts w:hint="eastAsia" w:ascii="宋体" w:hAnsi="宋体" w:eastAsia="宋体" w:cs="宋体"/>
          <w:bCs/>
          <w:color w:val="auto"/>
          <w:sz w:val="24"/>
          <w:szCs w:val="24"/>
          <w:highlight w:val="none"/>
          <w:lang w:eastAsia="zh-CN"/>
        </w:rPr>
        <w:t>龙游县湖镇镇张家埠村</w:t>
      </w:r>
    </w:p>
    <w:p w14:paraId="408E671A">
      <w:pPr>
        <w:keepNext w:val="0"/>
        <w:keepLines w:val="0"/>
        <w:pageBreakBefore w:val="0"/>
        <w:shd w:val="clear"/>
        <w:kinsoku/>
        <w:wordWrap/>
        <w:overflowPunct/>
        <w:topLinePunct w:val="0"/>
        <w:autoSpaceDE/>
        <w:autoSpaceDN/>
        <w:bidi w:val="0"/>
        <w:adjustRightInd/>
        <w:spacing w:line="52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联系人：</w:t>
      </w:r>
      <w:r>
        <w:rPr>
          <w:rFonts w:hint="eastAsia" w:ascii="宋体" w:hAnsi="宋体" w:cs="宋体"/>
          <w:bCs/>
          <w:color w:val="auto"/>
          <w:sz w:val="24"/>
          <w:szCs w:val="24"/>
          <w:highlight w:val="none"/>
          <w:lang w:val="en-US" w:eastAsia="zh-CN"/>
        </w:rPr>
        <w:t>尹先生</w:t>
      </w:r>
    </w:p>
    <w:p w14:paraId="76D61D75">
      <w:pPr>
        <w:keepNext w:val="0"/>
        <w:keepLines w:val="0"/>
        <w:pageBreakBefore w:val="0"/>
        <w:shd w:val="clear"/>
        <w:kinsoku/>
        <w:wordWrap/>
        <w:overflowPunct/>
        <w:topLinePunct w:val="0"/>
        <w:autoSpaceDE/>
        <w:autoSpaceDN/>
        <w:bidi w:val="0"/>
        <w:adjustRightInd/>
        <w:spacing w:line="52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联系方式：</w:t>
      </w:r>
      <w:r>
        <w:rPr>
          <w:rFonts w:hint="eastAsia" w:ascii="宋体" w:hAnsi="宋体" w:cs="宋体"/>
          <w:bCs/>
          <w:color w:val="auto"/>
          <w:sz w:val="24"/>
          <w:szCs w:val="24"/>
          <w:highlight w:val="none"/>
          <w:lang w:val="en-US" w:eastAsia="zh-CN"/>
        </w:rPr>
        <w:t>13867038999</w:t>
      </w:r>
    </w:p>
    <w:bookmarkEnd w:id="196"/>
    <w:bookmarkEnd w:id="197"/>
    <w:bookmarkEnd w:id="198"/>
    <w:bookmarkEnd w:id="199"/>
    <w:bookmarkEnd w:id="200"/>
    <w:bookmarkEnd w:id="201"/>
    <w:bookmarkEnd w:id="202"/>
    <w:bookmarkEnd w:id="203"/>
    <w:bookmarkEnd w:id="204"/>
    <w:p w14:paraId="047A0042">
      <w:pPr>
        <w:keepNext w:val="0"/>
        <w:keepLines w:val="0"/>
        <w:pageBreakBefore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Cs/>
          <w:color w:val="auto"/>
          <w:sz w:val="24"/>
          <w:szCs w:val="24"/>
          <w:highlight w:val="none"/>
          <w:lang w:val="en-US" w:eastAsia="zh-CN"/>
        </w:rPr>
      </w:pPr>
      <w:bookmarkStart w:id="241" w:name="_Toc3771"/>
      <w:bookmarkStart w:id="242" w:name="_Toc7056"/>
      <w:bookmarkStart w:id="243" w:name="_Toc27396"/>
      <w:bookmarkStart w:id="244" w:name="_Toc19489"/>
      <w:bookmarkStart w:id="245" w:name="_Toc13096"/>
      <w:bookmarkStart w:id="246" w:name="_Toc26503"/>
      <w:bookmarkStart w:id="247" w:name="_Toc10341"/>
      <w:bookmarkStart w:id="248" w:name="_Toc16453"/>
      <w:bookmarkStart w:id="249" w:name="_Toc20365"/>
      <w:bookmarkStart w:id="250" w:name="_Toc32228"/>
      <w:r>
        <w:rPr>
          <w:rFonts w:hint="eastAsia" w:ascii="宋体" w:hAnsi="宋体" w:eastAsia="宋体" w:cs="宋体"/>
          <w:bCs/>
          <w:color w:val="auto"/>
          <w:sz w:val="24"/>
          <w:szCs w:val="24"/>
          <w:highlight w:val="none"/>
          <w:lang w:val="en-US" w:eastAsia="zh-CN"/>
        </w:rPr>
        <w:t>质疑</w:t>
      </w:r>
      <w:r>
        <w:rPr>
          <w:rFonts w:hint="eastAsia" w:ascii="宋体" w:hAnsi="宋体" w:eastAsia="宋体" w:cs="宋体"/>
          <w:bCs/>
          <w:color w:val="auto"/>
          <w:sz w:val="24"/>
          <w:szCs w:val="24"/>
          <w:highlight w:val="none"/>
          <w:lang w:eastAsia="zh-CN"/>
        </w:rPr>
        <w:t>联系人：</w:t>
      </w:r>
      <w:r>
        <w:rPr>
          <w:rFonts w:hint="eastAsia" w:ascii="宋体" w:hAnsi="宋体" w:cs="宋体"/>
          <w:bCs/>
          <w:color w:val="auto"/>
          <w:sz w:val="24"/>
          <w:szCs w:val="24"/>
          <w:highlight w:val="none"/>
          <w:lang w:val="en-US" w:eastAsia="zh-CN"/>
        </w:rPr>
        <w:t>尹先生</w:t>
      </w:r>
    </w:p>
    <w:p w14:paraId="4F6C3290">
      <w:pPr>
        <w:keepNext w:val="0"/>
        <w:keepLines w:val="0"/>
        <w:pageBreakBefore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质疑</w:t>
      </w:r>
      <w:r>
        <w:rPr>
          <w:rFonts w:hint="eastAsia" w:ascii="宋体" w:hAnsi="宋体" w:eastAsia="宋体" w:cs="宋体"/>
          <w:bCs/>
          <w:color w:val="auto"/>
          <w:sz w:val="24"/>
          <w:szCs w:val="24"/>
          <w:highlight w:val="none"/>
          <w:lang w:eastAsia="zh-CN"/>
        </w:rPr>
        <w:t>联系方式：</w:t>
      </w:r>
      <w:r>
        <w:rPr>
          <w:rFonts w:hint="eastAsia" w:ascii="宋体" w:hAnsi="宋体" w:cs="宋体"/>
          <w:bCs/>
          <w:color w:val="auto"/>
          <w:sz w:val="24"/>
          <w:szCs w:val="24"/>
          <w:highlight w:val="none"/>
          <w:lang w:val="en-US" w:eastAsia="zh-CN"/>
        </w:rPr>
        <w:t>13867038999</w:t>
      </w:r>
    </w:p>
    <w:p w14:paraId="50149326">
      <w:pPr>
        <w:pStyle w:val="38"/>
        <w:keepNext w:val="0"/>
        <w:keepLines w:val="0"/>
        <w:pageBreakBefore w:val="0"/>
        <w:shd w:val="clear"/>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color w:val="auto"/>
          <w:highlight w:val="none"/>
          <w:lang w:val="en-US" w:eastAsia="zh-CN"/>
        </w:rPr>
      </w:pPr>
    </w:p>
    <w:p w14:paraId="410D5DE5">
      <w:pPr>
        <w:keepNext w:val="0"/>
        <w:keepLines w:val="0"/>
        <w:pageBreakBefore w:val="0"/>
        <w:widowControl/>
        <w:numPr>
          <w:ilvl w:val="0"/>
          <w:numId w:val="0"/>
        </w:numPr>
        <w:shd w:val="clear"/>
        <w:kinsoku/>
        <w:wordWrap/>
        <w:overflowPunct/>
        <w:topLinePunct w:val="0"/>
        <w:autoSpaceDE/>
        <w:autoSpaceDN/>
        <w:bidi w:val="0"/>
        <w:adjustRightInd/>
        <w:snapToGrid/>
        <w:spacing w:line="520" w:lineRule="exact"/>
        <w:ind w:left="0" w:leftChars="0" w:firstLine="480" w:firstLineChars="200"/>
        <w:jc w:val="left"/>
        <w:textAlignment w:val="auto"/>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zh-CN" w:eastAsia="zh-CN" w:bidi="ar-SA"/>
        </w:rPr>
        <w:t>采购代理机构</w:t>
      </w:r>
      <w:r>
        <w:rPr>
          <w:rFonts w:hint="eastAsia" w:ascii="宋体" w:hAnsi="宋体" w:eastAsia="宋体" w:cs="宋体"/>
          <w:bCs/>
          <w:color w:val="auto"/>
          <w:kern w:val="2"/>
          <w:sz w:val="24"/>
          <w:szCs w:val="24"/>
          <w:highlight w:val="none"/>
          <w:lang w:val="en-US" w:eastAsia="zh-CN" w:bidi="ar-SA"/>
        </w:rPr>
        <w:t>信息</w:t>
      </w:r>
      <w:bookmarkEnd w:id="241"/>
      <w:bookmarkEnd w:id="242"/>
      <w:bookmarkEnd w:id="243"/>
      <w:bookmarkEnd w:id="244"/>
      <w:bookmarkEnd w:id="245"/>
    </w:p>
    <w:p w14:paraId="630BD2C7">
      <w:pPr>
        <w:keepNext w:val="0"/>
        <w:keepLines w:val="0"/>
        <w:pageBreakBefore w:val="0"/>
        <w:numPr>
          <w:ilvl w:val="0"/>
          <w:numId w:val="0"/>
        </w:numPr>
        <w:shd w:val="clear"/>
        <w:kinsoku/>
        <w:wordWrap/>
        <w:overflowPunct/>
        <w:topLinePunct w:val="0"/>
        <w:autoSpaceDE/>
        <w:autoSpaceDN/>
        <w:bidi w:val="0"/>
        <w:adjustRightInd/>
        <w:spacing w:line="520" w:lineRule="exact"/>
        <w:ind w:leftChars="0" w:firstLine="480" w:firstLineChars="200"/>
        <w:textAlignment w:val="auto"/>
        <w:outlineLvl w:val="2"/>
        <w:rPr>
          <w:rFonts w:hint="eastAsia" w:ascii="宋体" w:hAnsi="宋体" w:eastAsia="宋体" w:cs="宋体"/>
          <w:color w:val="auto"/>
          <w:sz w:val="24"/>
          <w:szCs w:val="24"/>
          <w:highlight w:val="none"/>
          <w:lang w:eastAsia="zh-CN"/>
        </w:rPr>
      </w:pPr>
      <w:bookmarkStart w:id="251" w:name="_Toc2087"/>
      <w:bookmarkStart w:id="252" w:name="_Toc6045"/>
      <w:bookmarkStart w:id="253" w:name="_Toc297"/>
      <w:bookmarkStart w:id="254" w:name="_Toc1130"/>
      <w:bookmarkStart w:id="255" w:name="_Toc28684"/>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浙江万兴工程管理有限公司</w:t>
      </w:r>
    </w:p>
    <w:p w14:paraId="7D418933">
      <w:pPr>
        <w:keepNext w:val="0"/>
        <w:keepLines w:val="0"/>
        <w:pageBreakBefore w:val="0"/>
        <w:numPr>
          <w:ilvl w:val="0"/>
          <w:numId w:val="0"/>
        </w:numPr>
        <w:shd w:val="clear"/>
        <w:kinsoku/>
        <w:wordWrap/>
        <w:overflowPunct/>
        <w:topLinePunct w:val="0"/>
        <w:autoSpaceDE/>
        <w:autoSpaceDN/>
        <w:bidi w:val="0"/>
        <w:adjustRightInd/>
        <w:spacing w:line="520" w:lineRule="exact"/>
        <w:ind w:leftChars="0"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龙游中星国际汽车城5幢210室</w:t>
      </w:r>
    </w:p>
    <w:p w14:paraId="629FA04A">
      <w:pPr>
        <w:keepNext w:val="0"/>
        <w:keepLines w:val="0"/>
        <w:pageBreakBefore w:val="0"/>
        <w:numPr>
          <w:ilvl w:val="0"/>
          <w:numId w:val="0"/>
        </w:numPr>
        <w:shd w:val="clear"/>
        <w:kinsoku/>
        <w:wordWrap/>
        <w:overflowPunct/>
        <w:topLinePunct w:val="0"/>
        <w:autoSpaceDE/>
        <w:autoSpaceDN/>
        <w:bidi w:val="0"/>
        <w:adjustRightInd/>
        <w:spacing w:line="520" w:lineRule="exact"/>
        <w:ind w:leftChars="0"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联系人：</w:t>
      </w:r>
      <w:r>
        <w:rPr>
          <w:rFonts w:hint="eastAsia" w:ascii="宋体" w:hAnsi="宋体" w:cs="宋体"/>
          <w:bCs/>
          <w:color w:val="auto"/>
          <w:sz w:val="24"/>
          <w:szCs w:val="24"/>
          <w:highlight w:val="none"/>
          <w:lang w:val="en-US" w:eastAsia="zh-CN"/>
        </w:rPr>
        <w:t>孙先生</w:t>
      </w:r>
    </w:p>
    <w:p w14:paraId="38AA5977">
      <w:pPr>
        <w:keepNext w:val="0"/>
        <w:keepLines w:val="0"/>
        <w:pageBreakBefore w:val="0"/>
        <w:shd w:val="clear"/>
        <w:kinsoku/>
        <w:wordWrap/>
        <w:overflowPunct/>
        <w:topLinePunct w:val="0"/>
        <w:autoSpaceDE/>
        <w:autoSpaceDN/>
        <w:bidi w:val="0"/>
        <w:adjustRightInd/>
        <w:spacing w:line="52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联系方式：</w:t>
      </w:r>
      <w:r>
        <w:rPr>
          <w:rFonts w:hint="eastAsia" w:ascii="宋体" w:hAnsi="宋体" w:cs="宋体"/>
          <w:bCs/>
          <w:color w:val="auto"/>
          <w:sz w:val="24"/>
          <w:szCs w:val="24"/>
          <w:highlight w:val="none"/>
          <w:lang w:val="en-US" w:eastAsia="zh-CN"/>
        </w:rPr>
        <w:t>17205701999</w:t>
      </w:r>
    </w:p>
    <w:bookmarkEnd w:id="246"/>
    <w:bookmarkEnd w:id="247"/>
    <w:bookmarkEnd w:id="248"/>
    <w:bookmarkEnd w:id="249"/>
    <w:bookmarkEnd w:id="250"/>
    <w:bookmarkEnd w:id="251"/>
    <w:bookmarkEnd w:id="252"/>
    <w:bookmarkEnd w:id="253"/>
    <w:bookmarkEnd w:id="254"/>
    <w:bookmarkEnd w:id="255"/>
    <w:p w14:paraId="367C76B0">
      <w:pPr>
        <w:keepNext w:val="0"/>
        <w:keepLines w:val="0"/>
        <w:pageBreakBefore w:val="0"/>
        <w:shd w:val="clear"/>
        <w:kinsoku/>
        <w:wordWrap/>
        <w:overflowPunct/>
        <w:topLinePunct w:val="0"/>
        <w:autoSpaceDE/>
        <w:autoSpaceDN/>
        <w:bidi w:val="0"/>
        <w:adjustRightInd/>
        <w:spacing w:line="520" w:lineRule="exact"/>
        <w:ind w:firstLine="480"/>
        <w:textAlignment w:val="auto"/>
        <w:outlineLvl w:val="2"/>
        <w:rPr>
          <w:rFonts w:hint="eastAsia" w:ascii="宋体" w:hAnsi="宋体" w:eastAsia="宋体" w:cs="宋体"/>
          <w:color w:val="auto"/>
          <w:highlight w:val="none"/>
        </w:rPr>
      </w:pPr>
      <w:bookmarkStart w:id="256" w:name="_Toc2610"/>
      <w:bookmarkStart w:id="257" w:name="_Toc5624"/>
      <w:bookmarkStart w:id="258" w:name="_Toc11202"/>
      <w:bookmarkStart w:id="259" w:name="_Toc13990"/>
      <w:bookmarkStart w:id="260" w:name="_Toc21743"/>
      <w:bookmarkStart w:id="261" w:name="_Toc8831"/>
      <w:bookmarkStart w:id="262" w:name="_Toc5589"/>
      <w:bookmarkStart w:id="263" w:name="_Toc23576"/>
      <w:bookmarkStart w:id="264" w:name="_Toc7454"/>
      <w:bookmarkStart w:id="265" w:name="_Toc13617"/>
      <w:bookmarkStart w:id="266" w:name="_Toc31921"/>
      <w:bookmarkStart w:id="267" w:name="_Toc5031"/>
      <w:bookmarkStart w:id="268" w:name="_Toc11036"/>
      <w:bookmarkStart w:id="269" w:name="_Toc82"/>
      <w:r>
        <w:rPr>
          <w:rFonts w:hint="eastAsia" w:ascii="宋体" w:hAnsi="宋体" w:eastAsia="宋体" w:cs="宋体"/>
          <w:color w:val="auto"/>
          <w:highlight w:val="none"/>
        </w:rPr>
        <w:t>质疑联系人：</w:t>
      </w:r>
      <w:r>
        <w:rPr>
          <w:rFonts w:hint="eastAsia" w:ascii="宋体" w:hAnsi="宋体" w:cs="宋体"/>
          <w:color w:val="auto"/>
          <w:highlight w:val="none"/>
          <w:lang w:val="en-US" w:eastAsia="zh-CN"/>
        </w:rPr>
        <w:t>傅女士</w:t>
      </w:r>
      <w:r>
        <w:rPr>
          <w:rFonts w:hint="eastAsia" w:ascii="宋体" w:hAnsi="宋体" w:eastAsia="宋体" w:cs="宋体"/>
          <w:color w:val="auto"/>
          <w:highlight w:val="none"/>
        </w:rPr>
        <w:t>         </w:t>
      </w:r>
    </w:p>
    <w:p w14:paraId="5FE201D2">
      <w:pPr>
        <w:keepNext w:val="0"/>
        <w:keepLines w:val="0"/>
        <w:pageBreakBefore w:val="0"/>
        <w:shd w:val="clear"/>
        <w:kinsoku/>
        <w:wordWrap/>
        <w:overflowPunct/>
        <w:topLinePunct w:val="0"/>
        <w:autoSpaceDE/>
        <w:autoSpaceDN/>
        <w:bidi w:val="0"/>
        <w:adjustRightInd/>
        <w:spacing w:line="520" w:lineRule="exact"/>
        <w:ind w:firstLine="480"/>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质疑联系方式：</w:t>
      </w:r>
      <w:r>
        <w:rPr>
          <w:rFonts w:hint="eastAsia" w:ascii="宋体" w:hAnsi="宋体" w:cs="宋体"/>
          <w:color w:val="auto"/>
          <w:highlight w:val="none"/>
          <w:lang w:val="en-US" w:eastAsia="zh-CN"/>
        </w:rPr>
        <w:t>13867031427</w:t>
      </w:r>
      <w:r>
        <w:rPr>
          <w:rFonts w:hint="eastAsia" w:ascii="宋体" w:hAnsi="宋体" w:eastAsia="宋体" w:cs="宋体"/>
          <w:color w:val="auto"/>
          <w:highlight w:val="none"/>
        </w:rPr>
        <w:t>　</w:t>
      </w:r>
    </w:p>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2080E450">
      <w:pPr>
        <w:keepNext w:val="0"/>
        <w:keepLines w:val="0"/>
        <w:pageBreakBefore w:val="0"/>
        <w:shd w:val="clear"/>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Cs/>
          <w:color w:val="auto"/>
          <w:sz w:val="24"/>
          <w:szCs w:val="24"/>
          <w:highlight w:val="none"/>
          <w:lang w:val="zh-CN" w:eastAsia="zh-CN"/>
        </w:rPr>
      </w:pPr>
    </w:p>
    <w:p w14:paraId="1286AC5E">
      <w:pPr>
        <w:keepNext w:val="0"/>
        <w:keepLines w:val="0"/>
        <w:pageBreakBefore w:val="0"/>
        <w:shd w:val="clea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2025年</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zh-CN" w:eastAsia="zh-CN"/>
        </w:rPr>
        <w:t>月</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val="zh-CN" w:eastAsia="zh-CN"/>
        </w:rPr>
        <w:t>日</w:t>
      </w:r>
    </w:p>
    <w:p w14:paraId="272C0EFB">
      <w:pPr>
        <w:pStyle w:val="36"/>
        <w:rPr>
          <w:rFonts w:hint="eastAsia" w:ascii="宋体" w:hAnsi="宋体" w:eastAsia="宋体" w:cs="宋体"/>
          <w:bCs/>
          <w:color w:val="auto"/>
          <w:sz w:val="24"/>
          <w:szCs w:val="24"/>
          <w:highlight w:val="none"/>
          <w:lang w:val="zh-CN" w:eastAsia="zh-CN"/>
        </w:rPr>
      </w:pPr>
    </w:p>
    <w:p w14:paraId="4E04E48F">
      <w:pPr>
        <w:rPr>
          <w:rFonts w:hint="eastAsia" w:ascii="宋体" w:hAnsi="宋体" w:eastAsia="宋体" w:cs="宋体"/>
          <w:bCs/>
          <w:color w:val="auto"/>
          <w:sz w:val="24"/>
          <w:szCs w:val="24"/>
          <w:highlight w:val="none"/>
          <w:lang w:val="zh-CN" w:eastAsia="zh-CN"/>
        </w:rPr>
      </w:pPr>
    </w:p>
    <w:p w14:paraId="7114BE89">
      <w:pPr>
        <w:pStyle w:val="36"/>
        <w:rPr>
          <w:rFonts w:hint="eastAsia" w:ascii="宋体" w:hAnsi="宋体" w:eastAsia="宋体" w:cs="宋体"/>
          <w:bCs/>
          <w:color w:val="auto"/>
          <w:sz w:val="24"/>
          <w:szCs w:val="24"/>
          <w:highlight w:val="none"/>
          <w:lang w:val="zh-CN" w:eastAsia="zh-CN"/>
        </w:rPr>
      </w:pPr>
    </w:p>
    <w:p w14:paraId="223A19AC">
      <w:pPr>
        <w:ind w:left="0" w:leftChars="0" w:firstLine="0" w:firstLineChars="0"/>
        <w:rPr>
          <w:rFonts w:hint="eastAsia"/>
          <w:lang w:val="zh-CN" w:eastAsia="zh-CN"/>
        </w:rPr>
      </w:pPr>
    </w:p>
    <w:p w14:paraId="0F899C84">
      <w:pPr>
        <w:pStyle w:val="3"/>
        <w:numPr>
          <w:ilvl w:val="0"/>
          <w:numId w:val="5"/>
        </w:numPr>
        <w:shd w:val="clear"/>
        <w:spacing w:before="0" w:beforeLines="0" w:after="0" w:afterLines="0"/>
        <w:ind w:firstLine="0" w:firstLineChars="0"/>
        <w:jc w:val="center"/>
        <w:rPr>
          <w:rFonts w:hint="eastAsia" w:ascii="宋体" w:hAnsi="宋体" w:cs="宋体"/>
          <w:color w:val="auto"/>
          <w:highlight w:val="none"/>
        </w:rPr>
      </w:pPr>
      <w:bookmarkStart w:id="270" w:name="_Toc19725"/>
      <w:r>
        <w:rPr>
          <w:rFonts w:hint="eastAsia" w:ascii="宋体" w:hAnsi="宋体" w:cs="宋体"/>
          <w:color w:val="auto"/>
          <w:highlight w:val="none"/>
        </w:rPr>
        <w:t xml:space="preserve"> </w:t>
      </w:r>
      <w:bookmarkStart w:id="271" w:name="_Toc16810"/>
      <w:bookmarkStart w:id="272" w:name="_Toc18478"/>
      <w:r>
        <w:rPr>
          <w:rFonts w:hint="eastAsia" w:ascii="宋体" w:hAnsi="宋体" w:cs="宋体"/>
          <w:color w:val="auto"/>
          <w:highlight w:val="none"/>
        </w:rPr>
        <w:t>供应商须知</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70"/>
      <w:bookmarkEnd w:id="271"/>
      <w:bookmarkEnd w:id="272"/>
    </w:p>
    <w:p w14:paraId="0711AC26">
      <w:pPr>
        <w:pStyle w:val="3"/>
        <w:shd w:val="clear"/>
        <w:spacing w:before="0" w:beforeLines="0" w:after="0" w:afterLines="0"/>
        <w:ind w:firstLine="0" w:firstLineChars="0"/>
        <w:jc w:val="center"/>
        <w:outlineLvl w:val="1"/>
        <w:rPr>
          <w:color w:val="auto"/>
          <w:sz w:val="28"/>
          <w:szCs w:val="28"/>
          <w:highlight w:val="none"/>
        </w:rPr>
      </w:pPr>
      <w:bookmarkStart w:id="273" w:name="_Toc14941"/>
      <w:bookmarkStart w:id="274" w:name="_Toc2683"/>
      <w:bookmarkStart w:id="275" w:name="_Toc18954"/>
      <w:bookmarkStart w:id="276" w:name="_Toc29439"/>
      <w:bookmarkStart w:id="277" w:name="_Toc22528"/>
      <w:bookmarkStart w:id="278" w:name="_Toc5125"/>
      <w:bookmarkStart w:id="279" w:name="_Toc9420"/>
      <w:bookmarkStart w:id="280" w:name="_Toc29631"/>
      <w:bookmarkStart w:id="281" w:name="_Toc14238"/>
      <w:bookmarkStart w:id="282" w:name="_Toc2093"/>
      <w:bookmarkStart w:id="283" w:name="_Toc29871"/>
      <w:bookmarkStart w:id="284" w:name="_Toc9216"/>
      <w:bookmarkStart w:id="285" w:name="_Toc2286"/>
      <w:bookmarkStart w:id="286" w:name="_Toc20037"/>
      <w:bookmarkStart w:id="287" w:name="_Toc16227"/>
      <w:bookmarkStart w:id="288" w:name="_Toc22467"/>
      <w:bookmarkStart w:id="289" w:name="_Toc24970"/>
      <w:bookmarkStart w:id="290" w:name="_Toc1237"/>
      <w:bookmarkStart w:id="291" w:name="_Toc6862"/>
      <w:bookmarkStart w:id="292" w:name="_Toc23368"/>
      <w:bookmarkStart w:id="293" w:name="_Toc14813"/>
      <w:bookmarkStart w:id="294" w:name="_Toc26287"/>
      <w:bookmarkStart w:id="295" w:name="_Toc29109"/>
      <w:bookmarkStart w:id="296" w:name="_Toc26033"/>
      <w:bookmarkStart w:id="297" w:name="_Toc1898"/>
      <w:bookmarkStart w:id="298" w:name="_Toc14307"/>
      <w:bookmarkStart w:id="299" w:name="_Toc26378"/>
      <w:bookmarkStart w:id="300" w:name="_Toc3467"/>
      <w:bookmarkStart w:id="301" w:name="_Toc5731"/>
      <w:bookmarkStart w:id="302" w:name="_Toc14335"/>
      <w:bookmarkStart w:id="303" w:name="_Toc25611"/>
      <w:bookmarkStart w:id="304" w:name="_Toc19935"/>
      <w:bookmarkStart w:id="305" w:name="_Toc16050"/>
      <w:bookmarkStart w:id="306" w:name="_Toc25506"/>
      <w:bookmarkStart w:id="307" w:name="_Toc13830"/>
      <w:bookmarkStart w:id="308" w:name="_Toc7175"/>
      <w:bookmarkStart w:id="309" w:name="_Toc18330"/>
      <w:bookmarkStart w:id="310" w:name="_Toc30180"/>
      <w:bookmarkStart w:id="311" w:name="_Toc24474"/>
      <w:bookmarkStart w:id="312" w:name="_Toc1709"/>
      <w:bookmarkStart w:id="313" w:name="_Toc31532"/>
      <w:r>
        <w:rPr>
          <w:rFonts w:hint="default"/>
          <w:color w:val="auto"/>
          <w:sz w:val="28"/>
          <w:szCs w:val="28"/>
          <w:highlight w:val="none"/>
          <w:lang w:val="en-US" w:eastAsia="zh-CN"/>
        </w:rPr>
        <w:t>一、</w:t>
      </w:r>
      <w:r>
        <w:rPr>
          <w:rFonts w:hint="default"/>
          <w:color w:val="auto"/>
          <w:sz w:val="28"/>
          <w:szCs w:val="28"/>
          <w:highlight w:val="none"/>
        </w:rPr>
        <w:t>供应商须知前附表</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tbl>
      <w:tblPr>
        <w:tblStyle w:val="40"/>
        <w:tblW w:w="1023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147"/>
        <w:gridCol w:w="7332"/>
      </w:tblGrid>
      <w:tr w14:paraId="6ED5884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58" w:type="dxa"/>
            <w:tcBorders>
              <w:top w:val="thinThickSmallGap" w:color="auto" w:sz="12" w:space="0"/>
            </w:tcBorders>
            <w:vAlign w:val="center"/>
          </w:tcPr>
          <w:p w14:paraId="02EACD70">
            <w:pPr>
              <w:keepNext w:val="0"/>
              <w:keepLines w:val="0"/>
              <w:pageBreakBefore w:val="0"/>
              <w:widowControl w:val="0"/>
              <w:suppressLineNumbers w:val="0"/>
              <w:shd w:val="clear"/>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2147" w:type="dxa"/>
            <w:tcBorders>
              <w:top w:val="thinThickSmallGap" w:color="auto" w:sz="12" w:space="0"/>
            </w:tcBorders>
            <w:vAlign w:val="center"/>
          </w:tcPr>
          <w:p w14:paraId="1157959E">
            <w:pPr>
              <w:keepNext w:val="0"/>
              <w:keepLines w:val="0"/>
              <w:pageBreakBefore w:val="0"/>
              <w:widowControl w:val="0"/>
              <w:suppressLineNumbers w:val="0"/>
              <w:shd w:val="clear"/>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内  容</w:t>
            </w:r>
          </w:p>
        </w:tc>
        <w:tc>
          <w:tcPr>
            <w:tcW w:w="7332" w:type="dxa"/>
            <w:tcBorders>
              <w:top w:val="thinThickSmallGap" w:color="auto" w:sz="12" w:space="0"/>
            </w:tcBorders>
            <w:vAlign w:val="center"/>
          </w:tcPr>
          <w:p w14:paraId="78E1B767">
            <w:pPr>
              <w:keepNext w:val="0"/>
              <w:keepLines w:val="0"/>
              <w:pageBreakBefore w:val="0"/>
              <w:widowControl w:val="0"/>
              <w:suppressLineNumbers w:val="0"/>
              <w:shd w:val="clear"/>
              <w:tabs>
                <w:tab w:val="left" w:pos="0"/>
              </w:tabs>
              <w:kinsoku/>
              <w:wordWrap/>
              <w:overflowPunct/>
              <w:topLinePunct w:val="0"/>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说明与要求</w:t>
            </w:r>
          </w:p>
        </w:tc>
      </w:tr>
      <w:tr w14:paraId="58F503C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Align w:val="center"/>
          </w:tcPr>
          <w:p w14:paraId="7F04023E">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cs="宋体"/>
                <w:color w:val="auto"/>
                <w:highlight w:val="none"/>
              </w:rPr>
              <w:t>1</w:t>
            </w:r>
          </w:p>
        </w:tc>
        <w:tc>
          <w:tcPr>
            <w:tcW w:w="2147" w:type="dxa"/>
            <w:vAlign w:val="center"/>
          </w:tcPr>
          <w:p w14:paraId="26980635">
            <w:pPr>
              <w:keepNext w:val="0"/>
              <w:keepLines w:val="0"/>
              <w:pageBreakBefore w:val="0"/>
              <w:widowControl/>
              <w:suppressLineNumbers w:val="0"/>
              <w:shd w:val="clear"/>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采购人</w:t>
            </w:r>
          </w:p>
        </w:tc>
        <w:tc>
          <w:tcPr>
            <w:tcW w:w="7332" w:type="dxa"/>
            <w:vAlign w:val="center"/>
          </w:tcPr>
          <w:p w14:paraId="461B5F11">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 xml:space="preserve">名称：龙游县湖镇镇张家埠村股份经济合作社  </w:t>
            </w:r>
          </w:p>
          <w:p w14:paraId="433430D5">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联系人：</w:t>
            </w:r>
            <w:r>
              <w:rPr>
                <w:rFonts w:hint="eastAsia" w:ascii="宋体" w:hAnsi="宋体" w:cs="宋体"/>
                <w:bCs/>
                <w:color w:val="auto"/>
                <w:sz w:val="24"/>
                <w:szCs w:val="24"/>
                <w:highlight w:val="none"/>
                <w:lang w:val="en-US" w:eastAsia="zh-CN"/>
              </w:rPr>
              <w:t>尹先生</w:t>
            </w:r>
          </w:p>
          <w:p w14:paraId="0B6A8796">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联系方式：</w:t>
            </w:r>
            <w:r>
              <w:rPr>
                <w:rFonts w:hint="eastAsia" w:ascii="宋体" w:hAnsi="宋体" w:cs="宋体"/>
                <w:bCs/>
                <w:color w:val="auto"/>
                <w:sz w:val="24"/>
                <w:szCs w:val="24"/>
                <w:highlight w:val="none"/>
                <w:lang w:val="en-US" w:eastAsia="zh-CN"/>
              </w:rPr>
              <w:t>13867038999</w:t>
            </w:r>
          </w:p>
          <w:p w14:paraId="68569645">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lang w:val="zh-CN" w:eastAsia="zh-CN" w:bidi="ar-SA"/>
              </w:rPr>
            </w:pPr>
            <w:r>
              <w:rPr>
                <w:rFonts w:hint="eastAsia" w:ascii="宋体" w:hAnsi="宋体" w:cs="宋体"/>
                <w:bCs/>
                <w:color w:val="auto"/>
                <w:sz w:val="24"/>
                <w:szCs w:val="24"/>
                <w:highlight w:val="none"/>
                <w:lang w:val="zh-CN" w:eastAsia="zh-CN"/>
              </w:rPr>
              <w:t>地址：</w:t>
            </w:r>
            <w:r>
              <w:rPr>
                <w:rFonts w:hint="eastAsia" w:ascii="宋体" w:hAnsi="宋体" w:cs="宋体"/>
                <w:bCs/>
                <w:color w:val="auto"/>
                <w:sz w:val="24"/>
                <w:szCs w:val="24"/>
                <w:highlight w:val="none"/>
                <w:lang w:val="en-US" w:eastAsia="zh-CN"/>
              </w:rPr>
              <w:t>龙游县湖镇镇张家埠村</w:t>
            </w:r>
          </w:p>
        </w:tc>
      </w:tr>
      <w:tr w14:paraId="63D5249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Align w:val="center"/>
          </w:tcPr>
          <w:p w14:paraId="701A3DD0">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eastAsia="zh-CN"/>
              </w:rPr>
            </w:pPr>
            <w:r>
              <w:rPr>
                <w:rFonts w:hint="eastAsia" w:ascii="宋体" w:hAnsi="宋体" w:cs="宋体"/>
                <w:color w:val="auto"/>
                <w:highlight w:val="none"/>
              </w:rPr>
              <w:t>2</w:t>
            </w:r>
          </w:p>
        </w:tc>
        <w:tc>
          <w:tcPr>
            <w:tcW w:w="2147" w:type="dxa"/>
            <w:vAlign w:val="center"/>
          </w:tcPr>
          <w:p w14:paraId="0D0105EE">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采购代理机构</w:t>
            </w:r>
          </w:p>
        </w:tc>
        <w:tc>
          <w:tcPr>
            <w:tcW w:w="7332" w:type="dxa"/>
            <w:vAlign w:val="center"/>
          </w:tcPr>
          <w:p w14:paraId="624F5BC4">
            <w:pPr>
              <w:keepNext w:val="0"/>
              <w:keepLines w:val="0"/>
              <w:suppressLineNumbers w:val="0"/>
              <w:shd w:val="clear"/>
              <w:spacing w:before="0" w:beforeAutospacing="0" w:after="0" w:afterAutospacing="0" w:line="240" w:lineRule="auto"/>
              <w:ind w:left="0" w:right="0" w:firstLine="0" w:firstLineChars="0"/>
              <w:jc w:val="both"/>
              <w:rPr>
                <w:rFonts w:hint="default" w:ascii="宋体" w:hAnsi="宋体" w:cs="宋体"/>
                <w:color w:val="auto"/>
                <w:highlight w:val="none"/>
                <w:lang w:val="zh-CN"/>
              </w:rPr>
            </w:pPr>
            <w:r>
              <w:rPr>
                <w:rFonts w:hint="eastAsia" w:ascii="宋体" w:hAnsi="宋体" w:cs="宋体"/>
                <w:color w:val="auto"/>
                <w:highlight w:val="none"/>
                <w:lang w:val="zh-CN"/>
              </w:rPr>
              <w:t>名称：浙江万兴工程管理有限公司</w:t>
            </w:r>
          </w:p>
          <w:p w14:paraId="3BE02A1E">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eastAsia="宋体" w:cs="宋体"/>
                <w:color w:val="auto"/>
                <w:highlight w:val="none"/>
                <w:lang w:val="zh-CN" w:eastAsia="zh-CN"/>
              </w:rPr>
            </w:pPr>
            <w:r>
              <w:rPr>
                <w:rFonts w:hint="eastAsia" w:ascii="宋体" w:hAnsi="宋体" w:cs="宋体"/>
                <w:color w:val="auto"/>
                <w:highlight w:val="none"/>
                <w:lang w:val="zh-CN"/>
              </w:rPr>
              <w:t>联系人：</w:t>
            </w:r>
            <w:r>
              <w:rPr>
                <w:rFonts w:hint="eastAsia" w:ascii="宋体" w:hAnsi="宋体" w:cs="宋体"/>
                <w:bCs/>
                <w:color w:val="auto"/>
                <w:sz w:val="24"/>
                <w:szCs w:val="24"/>
                <w:highlight w:val="none"/>
                <w:lang w:val="en-US" w:eastAsia="zh-CN"/>
              </w:rPr>
              <w:t>孙先生</w:t>
            </w:r>
          </w:p>
          <w:p w14:paraId="3A9BA8A3">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eastAsia="宋体" w:cs="宋体"/>
                <w:color w:val="auto"/>
                <w:highlight w:val="none"/>
                <w:lang w:val="zh-CN" w:eastAsia="zh-CN"/>
              </w:rPr>
            </w:pPr>
            <w:r>
              <w:rPr>
                <w:rFonts w:hint="eastAsia" w:ascii="宋体" w:hAnsi="宋体" w:cs="宋体"/>
                <w:color w:val="auto"/>
                <w:highlight w:val="none"/>
                <w:lang w:val="zh-CN"/>
              </w:rPr>
              <w:t>联系方式：</w:t>
            </w:r>
            <w:r>
              <w:rPr>
                <w:rFonts w:hint="eastAsia" w:ascii="宋体" w:hAnsi="宋体" w:cs="宋体"/>
                <w:bCs/>
                <w:color w:val="auto"/>
                <w:sz w:val="24"/>
                <w:szCs w:val="24"/>
                <w:highlight w:val="none"/>
                <w:lang w:val="en-US" w:eastAsia="zh-CN"/>
              </w:rPr>
              <w:t>17205701999</w:t>
            </w:r>
          </w:p>
          <w:p w14:paraId="60CC378D">
            <w:pPr>
              <w:keepNext w:val="0"/>
              <w:keepLines w:val="0"/>
              <w:widowControl/>
              <w:suppressLineNumbers w:val="0"/>
              <w:shd w:val="clear"/>
              <w:wordWrap/>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地址：</w:t>
            </w:r>
            <w:r>
              <w:rPr>
                <w:rFonts w:hint="eastAsia" w:ascii="宋体" w:hAnsi="宋体" w:cs="宋体"/>
                <w:color w:val="auto"/>
                <w:highlight w:val="none"/>
                <w:lang w:eastAsia="zh-CN"/>
              </w:rPr>
              <w:t>龙游中星国际汽车城5幢210室</w:t>
            </w:r>
          </w:p>
        </w:tc>
      </w:tr>
      <w:tr w14:paraId="3362C5F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58" w:type="dxa"/>
            <w:vAlign w:val="center"/>
          </w:tcPr>
          <w:p w14:paraId="274C9A72">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rPr>
              <w:t>3</w:t>
            </w:r>
          </w:p>
        </w:tc>
        <w:tc>
          <w:tcPr>
            <w:tcW w:w="2147" w:type="dxa"/>
            <w:vAlign w:val="center"/>
          </w:tcPr>
          <w:p w14:paraId="4A1890F1">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项目名称及编号</w:t>
            </w:r>
          </w:p>
        </w:tc>
        <w:tc>
          <w:tcPr>
            <w:tcW w:w="7332" w:type="dxa"/>
            <w:vAlign w:val="center"/>
          </w:tcPr>
          <w:p w14:paraId="628FA163">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龙游县湖镇镇张家埠村未来乡村生活馆亮化采购项目</w:t>
            </w:r>
            <w:r>
              <w:rPr>
                <w:rFonts w:hint="eastAsia" w:ascii="宋体" w:hAnsi="宋体" w:eastAsia="宋体" w:cs="宋体"/>
                <w:color w:val="auto"/>
                <w:kern w:val="2"/>
                <w:sz w:val="24"/>
                <w:szCs w:val="24"/>
                <w:highlight w:val="none"/>
                <w:lang w:val="zh-CN" w:eastAsia="zh-CN" w:bidi="ar-SA"/>
              </w:rPr>
              <w:t>（项目编号：</w:t>
            </w:r>
            <w:r>
              <w:rPr>
                <w:rFonts w:hint="eastAsia" w:ascii="宋体" w:hAnsi="宋体" w:cs="宋体"/>
                <w:color w:val="auto"/>
                <w:kern w:val="2"/>
                <w:sz w:val="24"/>
                <w:szCs w:val="24"/>
                <w:highlight w:val="none"/>
                <w:lang w:val="zh-CN" w:eastAsia="zh-CN" w:bidi="ar-SA"/>
              </w:rPr>
              <w:t>LYHZCG2025-021</w:t>
            </w:r>
            <w:r>
              <w:rPr>
                <w:rFonts w:hint="eastAsia" w:ascii="宋体" w:hAnsi="宋体" w:eastAsia="宋体" w:cs="宋体"/>
                <w:color w:val="auto"/>
                <w:kern w:val="2"/>
                <w:sz w:val="24"/>
                <w:szCs w:val="24"/>
                <w:highlight w:val="none"/>
                <w:lang w:val="zh-CN" w:eastAsia="zh-CN" w:bidi="ar-SA"/>
              </w:rPr>
              <w:t>)</w:t>
            </w:r>
          </w:p>
        </w:tc>
      </w:tr>
      <w:tr w14:paraId="211639B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58" w:type="dxa"/>
            <w:vAlign w:val="center"/>
          </w:tcPr>
          <w:p w14:paraId="5352019D">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rPr>
              <w:t>4</w:t>
            </w:r>
          </w:p>
        </w:tc>
        <w:tc>
          <w:tcPr>
            <w:tcW w:w="2147" w:type="dxa"/>
            <w:vAlign w:val="center"/>
          </w:tcPr>
          <w:p w14:paraId="106760E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预算价</w:t>
            </w:r>
          </w:p>
        </w:tc>
        <w:tc>
          <w:tcPr>
            <w:tcW w:w="7332" w:type="dxa"/>
            <w:vAlign w:val="center"/>
          </w:tcPr>
          <w:p w14:paraId="65A2CA69">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eastAsia="宋体" w:cs="宋体"/>
                <w:color w:val="auto"/>
                <w:highlight w:val="none"/>
                <w:lang w:val="zh-CN" w:eastAsia="zh-CN"/>
              </w:rPr>
            </w:pPr>
            <w:r>
              <w:rPr>
                <w:rFonts w:hint="eastAsia" w:ascii="宋体" w:hAnsi="宋体" w:cs="宋体"/>
                <w:color w:val="auto"/>
                <w:highlight w:val="none"/>
                <w:lang w:val="en-US" w:eastAsia="zh-CN"/>
              </w:rPr>
              <w:t>270940</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lang w:val="zh-CN" w:eastAsia="zh-CN"/>
              </w:rPr>
              <w:t>；</w:t>
            </w:r>
          </w:p>
        </w:tc>
      </w:tr>
      <w:tr w14:paraId="7FF83B3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Align w:val="center"/>
          </w:tcPr>
          <w:p w14:paraId="1E3C9866">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rPr>
              <w:t>5</w:t>
            </w:r>
          </w:p>
        </w:tc>
        <w:tc>
          <w:tcPr>
            <w:tcW w:w="2147" w:type="dxa"/>
            <w:vAlign w:val="center"/>
          </w:tcPr>
          <w:p w14:paraId="214ADCBD">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最高限价</w:t>
            </w:r>
          </w:p>
        </w:tc>
        <w:tc>
          <w:tcPr>
            <w:tcW w:w="7332" w:type="dxa"/>
            <w:vAlign w:val="center"/>
          </w:tcPr>
          <w:p w14:paraId="58C9D222">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eastAsia="宋体" w:cs="宋体"/>
                <w:color w:val="auto"/>
                <w:highlight w:val="none"/>
                <w:lang w:val="zh-CN" w:eastAsia="zh-CN"/>
              </w:rPr>
            </w:pPr>
            <w:r>
              <w:rPr>
                <w:rFonts w:hint="eastAsia" w:ascii="宋体" w:hAnsi="宋体" w:cs="宋体"/>
                <w:color w:val="auto"/>
                <w:highlight w:val="none"/>
                <w:lang w:val="en-US" w:eastAsia="zh-CN"/>
              </w:rPr>
              <w:t>270940</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lang w:val="zh-CN" w:eastAsia="zh-CN"/>
              </w:rPr>
              <w:t>应按此最高限价并结合企业自身情况及管理经验自主报价，</w:t>
            </w:r>
            <w:r>
              <w:rPr>
                <w:rFonts w:hint="eastAsia" w:ascii="宋体" w:hAnsi="宋体" w:eastAsia="宋体" w:cs="宋体"/>
                <w:color w:val="auto"/>
                <w:highlight w:val="none"/>
                <w:lang w:val="en-US" w:eastAsia="zh-CN"/>
              </w:rPr>
              <w:t>磋商响应</w:t>
            </w:r>
            <w:r>
              <w:rPr>
                <w:rFonts w:hint="eastAsia" w:ascii="宋体" w:hAnsi="宋体" w:eastAsia="宋体" w:cs="宋体"/>
                <w:color w:val="auto"/>
                <w:highlight w:val="none"/>
                <w:lang w:val="zh-CN" w:eastAsia="zh-CN"/>
              </w:rPr>
              <w:t>报价不得超过最高限价，否则作废标处理。</w:t>
            </w:r>
          </w:p>
        </w:tc>
      </w:tr>
      <w:tr w14:paraId="57ED477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58" w:type="dxa"/>
            <w:vAlign w:val="center"/>
          </w:tcPr>
          <w:p w14:paraId="7C602280">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rPr>
              <w:t>6</w:t>
            </w:r>
          </w:p>
        </w:tc>
        <w:tc>
          <w:tcPr>
            <w:tcW w:w="2147" w:type="dxa"/>
            <w:vAlign w:val="center"/>
          </w:tcPr>
          <w:p w14:paraId="1B9373A6">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zh-CN" w:eastAsia="zh-CN" w:bidi="ar-SA"/>
              </w:rPr>
              <w:t>范围</w:t>
            </w:r>
          </w:p>
        </w:tc>
        <w:tc>
          <w:tcPr>
            <w:tcW w:w="7332" w:type="dxa"/>
            <w:vAlign w:val="center"/>
          </w:tcPr>
          <w:p w14:paraId="0B5DCADC">
            <w:pPr>
              <w:keepNext w:val="0"/>
              <w:keepLines w:val="0"/>
              <w:pageBreakBefore w:val="0"/>
              <w:widowControl w:val="0"/>
              <w:numPr>
                <w:ilvl w:val="-1"/>
                <w:numId w:val="0"/>
              </w:numPr>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详见磋商文件“第三章 采购</w:t>
            </w:r>
            <w:r>
              <w:rPr>
                <w:rFonts w:hint="eastAsia" w:ascii="宋体" w:hAnsi="宋体" w:cs="宋体"/>
                <w:color w:val="auto"/>
                <w:sz w:val="24"/>
                <w:szCs w:val="24"/>
                <w:highlight w:val="none"/>
                <w:lang w:val="zh-CN" w:eastAsia="zh-CN"/>
              </w:rPr>
              <w:t>内容及要</w:t>
            </w:r>
            <w:r>
              <w:rPr>
                <w:rFonts w:hint="eastAsia" w:ascii="宋体" w:hAnsi="宋体" w:eastAsia="宋体" w:cs="宋体"/>
                <w:color w:val="auto"/>
                <w:sz w:val="24"/>
                <w:szCs w:val="24"/>
                <w:highlight w:val="none"/>
                <w:lang w:val="zh-CN"/>
              </w:rPr>
              <w:t>求”</w:t>
            </w:r>
            <w:r>
              <w:rPr>
                <w:rFonts w:hint="eastAsia" w:ascii="宋体" w:hAnsi="宋体" w:eastAsia="宋体" w:cs="宋体"/>
                <w:color w:val="auto"/>
                <w:sz w:val="24"/>
                <w:szCs w:val="24"/>
                <w:highlight w:val="none"/>
                <w:lang w:val="zh-CN" w:eastAsia="zh-CN"/>
              </w:rPr>
              <w:t>。</w:t>
            </w:r>
          </w:p>
        </w:tc>
      </w:tr>
      <w:tr w14:paraId="186BC7B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Align w:val="center"/>
          </w:tcPr>
          <w:p w14:paraId="579E10C7">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rPr>
              <w:t>7</w:t>
            </w:r>
          </w:p>
        </w:tc>
        <w:tc>
          <w:tcPr>
            <w:tcW w:w="2147" w:type="dxa"/>
            <w:vAlign w:val="center"/>
          </w:tcPr>
          <w:p w14:paraId="4D0380A2">
            <w:pPr>
              <w:keepNext w:val="0"/>
              <w:keepLines w:val="0"/>
              <w:pageBreakBefore w:val="0"/>
              <w:widowControl w:val="0"/>
              <w:suppressLineNumbers w:val="0"/>
              <w:shd w:val="clear"/>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磋商响应报价</w:t>
            </w:r>
            <w:r>
              <w:rPr>
                <w:rFonts w:hint="eastAsia" w:ascii="宋体" w:hAnsi="宋体" w:eastAsia="宋体" w:cs="宋体"/>
                <w:color w:val="auto"/>
                <w:kern w:val="2"/>
                <w:sz w:val="24"/>
                <w:szCs w:val="24"/>
                <w:highlight w:val="none"/>
                <w:lang w:val="en-US" w:eastAsia="zh-CN" w:bidi="ar-SA"/>
              </w:rPr>
              <w:t>范围</w:t>
            </w:r>
          </w:p>
        </w:tc>
        <w:tc>
          <w:tcPr>
            <w:tcW w:w="7332" w:type="dxa"/>
            <w:vAlign w:val="center"/>
          </w:tcPr>
          <w:p w14:paraId="38EE32AB">
            <w:pPr>
              <w:keepNext w:val="0"/>
              <w:keepLines w:val="0"/>
              <w:pageBreakBefore w:val="0"/>
              <w:widowControl w:val="0"/>
              <w:numPr>
                <w:ilvl w:val="0"/>
                <w:numId w:val="0"/>
              </w:numPr>
              <w:suppressLineNumbers w:val="0"/>
              <w:shd w:val="clear"/>
              <w:kinsoku/>
              <w:wordWrap/>
              <w:overflowPunct/>
              <w:topLinePunct w:val="0"/>
              <w:bidi w:val="0"/>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eastAsia="zh-CN"/>
              </w:rPr>
              <w:t>磋商报价</w:t>
            </w:r>
            <w:r>
              <w:rPr>
                <w:rFonts w:hint="eastAsia" w:ascii="宋体" w:hAnsi="宋体" w:cs="宋体"/>
                <w:color w:val="auto"/>
                <w:highlight w:val="none"/>
              </w:rPr>
              <w:t>应以人民币为结算货币。</w:t>
            </w:r>
            <w:r>
              <w:rPr>
                <w:rFonts w:hint="eastAsia" w:ascii="宋体" w:hAnsi="宋体" w:eastAsia="宋体" w:cs="宋体"/>
                <w:color w:val="auto"/>
                <w:highlight w:val="none"/>
                <w:lang w:eastAsia="zh-CN"/>
              </w:rPr>
              <w:t>磋商报价</w:t>
            </w:r>
            <w:r>
              <w:rPr>
                <w:rFonts w:hint="eastAsia" w:ascii="宋体" w:hAnsi="宋体" w:eastAsia="宋体" w:cs="宋体"/>
                <w:color w:val="auto"/>
                <w:highlight w:val="none"/>
              </w:rPr>
              <w:t>应为供应商在正确地完全履行合同义务后采购人应支付的全部价款，</w:t>
            </w:r>
            <w:r>
              <w:rPr>
                <w:rFonts w:hint="eastAsia" w:ascii="宋体" w:hAnsi="宋体" w:cs="宋体"/>
                <w:color w:val="auto"/>
                <w:highlight w:val="none"/>
                <w:lang w:eastAsia="zh-CN"/>
              </w:rPr>
              <w:t>包括但不限于货物、随配附件、材料、备品备件、工具、运输费、保险费、装卸费（含二次搬运）、安装调试费、设计费、现场施工配合费、采购代理费、售后服务、培训费、税金和利润等完成合同所需的一切本身和不可或缺的所有工作开支、政策性文件规定及合同包含的所有风险、责任等各项全部费用。如有漏项，视同已包含在其他项目中，单价不作调整。</w:t>
            </w:r>
          </w:p>
        </w:tc>
      </w:tr>
      <w:tr w14:paraId="05D9700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8" w:type="dxa"/>
            <w:vAlign w:val="center"/>
          </w:tcPr>
          <w:p w14:paraId="2AE2E7D7">
            <w:pPr>
              <w:keepNext w:val="0"/>
              <w:keepLines w:val="0"/>
              <w:suppressLineNumbers w:val="0"/>
              <w:shd w:val="clear"/>
              <w:spacing w:before="0" w:beforeAutospacing="0" w:after="0" w:afterAutospacing="0" w:line="240" w:lineRule="auto"/>
              <w:ind w:left="0" w:right="0" w:firstLine="0" w:firstLineChars="0"/>
              <w:jc w:val="center"/>
              <w:rPr>
                <w:rFonts w:hint="eastAsia"/>
                <w:color w:val="auto"/>
                <w:highlight w:val="none"/>
                <w:lang w:val="zh-CN" w:eastAsia="zh-CN"/>
              </w:rPr>
            </w:pPr>
            <w:r>
              <w:rPr>
                <w:rFonts w:hint="eastAsia" w:ascii="宋体" w:hAnsi="宋体" w:cs="宋体"/>
                <w:color w:val="auto"/>
                <w:highlight w:val="none"/>
                <w:lang w:val="en-US" w:eastAsia="zh-CN"/>
              </w:rPr>
              <w:t>8</w:t>
            </w:r>
          </w:p>
        </w:tc>
        <w:tc>
          <w:tcPr>
            <w:tcW w:w="2147" w:type="dxa"/>
            <w:vAlign w:val="center"/>
          </w:tcPr>
          <w:p w14:paraId="4E8E4CFE">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申请人资格要求</w:t>
            </w:r>
          </w:p>
        </w:tc>
        <w:tc>
          <w:tcPr>
            <w:tcW w:w="7332" w:type="dxa"/>
            <w:vAlign w:val="center"/>
          </w:tcPr>
          <w:p w14:paraId="1B43257F">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详见“第一章 </w:t>
            </w:r>
            <w:r>
              <w:rPr>
                <w:rFonts w:hint="eastAsia" w:ascii="宋体"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zh-CN" w:eastAsia="zh-CN" w:bidi="ar-SA"/>
              </w:rPr>
              <w:t>公告”</w:t>
            </w:r>
            <w:r>
              <w:rPr>
                <w:rFonts w:hint="eastAsia" w:ascii="宋体" w:hAnsi="宋体" w:cs="宋体"/>
                <w:color w:val="auto"/>
                <w:kern w:val="2"/>
                <w:sz w:val="24"/>
                <w:szCs w:val="24"/>
                <w:highlight w:val="none"/>
                <w:lang w:val="zh-CN" w:eastAsia="zh-CN" w:bidi="ar-SA"/>
              </w:rPr>
              <w:t>。</w:t>
            </w:r>
          </w:p>
        </w:tc>
      </w:tr>
      <w:tr w14:paraId="215D4DD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58" w:type="dxa"/>
            <w:vAlign w:val="center"/>
          </w:tcPr>
          <w:p w14:paraId="3AB28058">
            <w:pPr>
              <w:keepNext w:val="0"/>
              <w:keepLines w:val="0"/>
              <w:suppressLineNumbers w:val="0"/>
              <w:shd w:val="clear"/>
              <w:spacing w:before="0" w:beforeAutospacing="0" w:after="0" w:afterAutospacing="0" w:line="240" w:lineRule="auto"/>
              <w:ind w:left="0" w:right="0" w:firstLine="0" w:firstLineChars="0"/>
              <w:jc w:val="center"/>
              <w:rPr>
                <w:rFonts w:hint="eastAsia"/>
                <w:color w:val="auto"/>
                <w:highlight w:val="none"/>
                <w:lang w:val="zh-CN" w:eastAsia="zh-CN"/>
              </w:rPr>
            </w:pPr>
            <w:r>
              <w:rPr>
                <w:rFonts w:hint="eastAsia" w:ascii="宋体" w:hAnsi="宋体" w:cs="宋体"/>
                <w:color w:val="auto"/>
                <w:highlight w:val="none"/>
                <w:lang w:val="en-US" w:eastAsia="zh-CN"/>
              </w:rPr>
              <w:t>9</w:t>
            </w:r>
          </w:p>
        </w:tc>
        <w:tc>
          <w:tcPr>
            <w:tcW w:w="2147" w:type="dxa"/>
            <w:vAlign w:val="center"/>
          </w:tcPr>
          <w:p w14:paraId="60F9FDC8">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获取</w:t>
            </w:r>
            <w:r>
              <w:rPr>
                <w:rFonts w:hint="eastAsia" w:ascii="宋体" w:hAnsi="宋体" w:eastAsia="宋体" w:cs="宋体"/>
                <w:color w:val="auto"/>
                <w:highlight w:val="none"/>
                <w:lang w:val="en-US" w:eastAsia="zh-CN"/>
              </w:rPr>
              <w:t>磋商</w:t>
            </w:r>
            <w:r>
              <w:rPr>
                <w:rFonts w:hint="eastAsia" w:ascii="宋体" w:hAnsi="宋体" w:eastAsia="宋体" w:cs="宋体"/>
                <w:color w:val="auto"/>
                <w:kern w:val="2"/>
                <w:sz w:val="24"/>
                <w:szCs w:val="24"/>
                <w:highlight w:val="none"/>
                <w:lang w:val="zh-CN" w:eastAsia="zh-CN" w:bidi="ar-SA"/>
              </w:rPr>
              <w:t>文件</w:t>
            </w:r>
          </w:p>
        </w:tc>
        <w:tc>
          <w:tcPr>
            <w:tcW w:w="7332" w:type="dxa"/>
            <w:vAlign w:val="center"/>
          </w:tcPr>
          <w:p w14:paraId="27A3DAAE">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详见“第一章 </w:t>
            </w:r>
            <w:r>
              <w:rPr>
                <w:rFonts w:hint="eastAsia" w:ascii="宋体"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zh-CN" w:eastAsia="zh-CN" w:bidi="ar-SA"/>
              </w:rPr>
              <w:t>公告”</w:t>
            </w:r>
            <w:r>
              <w:rPr>
                <w:rFonts w:hint="eastAsia" w:ascii="宋体" w:hAnsi="宋体" w:cs="宋体"/>
                <w:color w:val="auto"/>
                <w:kern w:val="2"/>
                <w:sz w:val="24"/>
                <w:szCs w:val="24"/>
                <w:highlight w:val="none"/>
                <w:lang w:val="zh-CN" w:eastAsia="zh-CN" w:bidi="ar-SA"/>
              </w:rPr>
              <w:t>。</w:t>
            </w:r>
          </w:p>
        </w:tc>
      </w:tr>
      <w:tr w14:paraId="3404B2B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8" w:type="dxa"/>
            <w:vAlign w:val="center"/>
          </w:tcPr>
          <w:p w14:paraId="7D30835A">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10</w:t>
            </w:r>
          </w:p>
        </w:tc>
        <w:tc>
          <w:tcPr>
            <w:tcW w:w="2147" w:type="dxa"/>
            <w:vAlign w:val="center"/>
          </w:tcPr>
          <w:p w14:paraId="35E5C5D8">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eastAsia="zh-CN"/>
              </w:rPr>
              <w:t>磋商</w:t>
            </w:r>
            <w:r>
              <w:rPr>
                <w:rFonts w:hint="eastAsia" w:ascii="宋体" w:hAnsi="宋体" w:eastAsia="宋体" w:cs="宋体"/>
                <w:color w:val="auto"/>
                <w:highlight w:val="none"/>
                <w:lang w:val="zh-CN"/>
              </w:rPr>
              <w:t>语言</w:t>
            </w:r>
          </w:p>
        </w:tc>
        <w:tc>
          <w:tcPr>
            <w:tcW w:w="7332" w:type="dxa"/>
            <w:vAlign w:val="center"/>
          </w:tcPr>
          <w:p w14:paraId="5FD9326E">
            <w:pPr>
              <w:keepNext w:val="0"/>
              <w:keepLines w:val="0"/>
              <w:suppressLineNumbers w:val="0"/>
              <w:shd w:val="clear"/>
              <w:spacing w:before="0" w:beforeAutospacing="0" w:after="0" w:afterAutospacing="0" w:line="240" w:lineRule="auto"/>
              <w:ind w:left="0" w:leftChars="0" w:right="0" w:rightChars="0"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中文</w:t>
            </w:r>
            <w:r>
              <w:rPr>
                <w:rFonts w:hint="eastAsia" w:ascii="宋体" w:hAnsi="宋体" w:eastAsia="宋体" w:cs="宋体"/>
                <w:color w:val="auto"/>
                <w:highlight w:val="none"/>
                <w:lang w:val="zh-CN" w:eastAsia="zh-CN"/>
              </w:rPr>
              <w:t>。</w:t>
            </w:r>
          </w:p>
        </w:tc>
      </w:tr>
      <w:tr w14:paraId="08E0DE5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58" w:type="dxa"/>
            <w:vAlign w:val="center"/>
          </w:tcPr>
          <w:p w14:paraId="5DC99176">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11</w:t>
            </w:r>
          </w:p>
        </w:tc>
        <w:tc>
          <w:tcPr>
            <w:tcW w:w="2147" w:type="dxa"/>
            <w:vAlign w:val="center"/>
          </w:tcPr>
          <w:p w14:paraId="236AB807">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en-US" w:eastAsia="zh-CN"/>
              </w:rPr>
              <w:t>磋商</w:t>
            </w:r>
            <w:r>
              <w:rPr>
                <w:rFonts w:hint="eastAsia" w:ascii="宋体" w:hAnsi="宋体" w:eastAsia="宋体" w:cs="宋体"/>
                <w:color w:val="auto"/>
                <w:kern w:val="2"/>
                <w:sz w:val="24"/>
                <w:szCs w:val="24"/>
                <w:highlight w:val="none"/>
                <w:lang w:val="zh-CN" w:eastAsia="zh-CN" w:bidi="ar-SA"/>
              </w:rPr>
              <w:t>有效期</w:t>
            </w:r>
          </w:p>
        </w:tc>
        <w:tc>
          <w:tcPr>
            <w:tcW w:w="7332" w:type="dxa"/>
            <w:vAlign w:val="center"/>
          </w:tcPr>
          <w:p w14:paraId="7D0F766A">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自投标截止之日起90日历天。</w:t>
            </w:r>
          </w:p>
        </w:tc>
      </w:tr>
      <w:tr w14:paraId="47033B6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8" w:type="dxa"/>
            <w:vAlign w:val="center"/>
          </w:tcPr>
          <w:p w14:paraId="680ED5B9">
            <w:pPr>
              <w:keepNext w:val="0"/>
              <w:keepLines w:val="0"/>
              <w:suppressLineNumbers w:val="0"/>
              <w:shd w:val="clear"/>
              <w:spacing w:before="0" w:beforeAutospacing="0" w:after="0" w:afterAutospacing="0" w:line="240" w:lineRule="auto"/>
              <w:ind w:left="0" w:right="0" w:firstLine="0" w:firstLineChars="0"/>
              <w:jc w:val="center"/>
              <w:rPr>
                <w:rFonts w:hint="eastAsia"/>
                <w:color w:val="auto"/>
                <w:highlight w:val="none"/>
                <w:lang w:val="zh-CN" w:eastAsia="zh-CN"/>
              </w:rPr>
            </w:pPr>
            <w:r>
              <w:rPr>
                <w:rFonts w:hint="eastAsia" w:ascii="宋体" w:hAnsi="宋体" w:cs="宋体"/>
                <w:color w:val="auto"/>
                <w:highlight w:val="none"/>
              </w:rPr>
              <w:t>12</w:t>
            </w:r>
          </w:p>
        </w:tc>
        <w:tc>
          <w:tcPr>
            <w:tcW w:w="2147" w:type="dxa"/>
            <w:vAlign w:val="center"/>
          </w:tcPr>
          <w:p w14:paraId="76C82CE6">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资格审查</w:t>
            </w:r>
          </w:p>
        </w:tc>
        <w:tc>
          <w:tcPr>
            <w:tcW w:w="7332" w:type="dxa"/>
            <w:vAlign w:val="center"/>
          </w:tcPr>
          <w:p w14:paraId="07AE4F9A">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资格后审。</w:t>
            </w:r>
          </w:p>
        </w:tc>
      </w:tr>
      <w:tr w14:paraId="4D4602A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Align w:val="center"/>
          </w:tcPr>
          <w:p w14:paraId="59CDD66C">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highlight w:val="none"/>
              </w:rPr>
              <w:t>13</w:t>
            </w:r>
          </w:p>
        </w:tc>
        <w:tc>
          <w:tcPr>
            <w:tcW w:w="2147" w:type="dxa"/>
            <w:vAlign w:val="center"/>
          </w:tcPr>
          <w:p w14:paraId="763D5D5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构成磋商文件的其他材料</w:t>
            </w:r>
          </w:p>
        </w:tc>
        <w:tc>
          <w:tcPr>
            <w:tcW w:w="7332" w:type="dxa"/>
            <w:vAlign w:val="center"/>
          </w:tcPr>
          <w:p w14:paraId="3A5D0AF2">
            <w:pPr>
              <w:pStyle w:val="112"/>
              <w:keepNext w:val="0"/>
              <w:keepLines w:val="0"/>
              <w:pageBreakBefore w:val="0"/>
              <w:widowControl w:val="0"/>
              <w:suppressLineNumbers w:val="0"/>
              <w:shd w:val="clear"/>
              <w:tabs>
                <w:tab w:val="left" w:pos="768"/>
              </w:tabs>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eastAsia="zh-CN"/>
              </w:rPr>
              <w:t>补充、更正公告</w:t>
            </w:r>
            <w:r>
              <w:rPr>
                <w:rFonts w:hint="eastAsia" w:cs="宋体"/>
                <w:color w:val="auto"/>
                <w:highlight w:val="none"/>
                <w:lang w:eastAsia="zh-CN"/>
              </w:rPr>
              <w:t>。</w:t>
            </w:r>
          </w:p>
        </w:tc>
      </w:tr>
      <w:tr w14:paraId="00E1C63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Align w:val="center"/>
          </w:tcPr>
          <w:p w14:paraId="103BB1B8">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highlight w:val="none"/>
              </w:rPr>
              <w:t>14</w:t>
            </w:r>
          </w:p>
        </w:tc>
        <w:tc>
          <w:tcPr>
            <w:tcW w:w="2147" w:type="dxa"/>
            <w:vAlign w:val="center"/>
          </w:tcPr>
          <w:p w14:paraId="3092E9EC">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询问与答复</w:t>
            </w:r>
          </w:p>
        </w:tc>
        <w:tc>
          <w:tcPr>
            <w:tcW w:w="7332" w:type="dxa"/>
            <w:vAlign w:val="center"/>
          </w:tcPr>
          <w:p w14:paraId="4DAB155D">
            <w:pPr>
              <w:keepNext w:val="0"/>
              <w:keepLines w:val="0"/>
              <w:suppressLineNumbers w:val="0"/>
              <w:shd w:val="clear"/>
              <w:spacing w:before="0" w:beforeAutospacing="0" w:after="0" w:afterAutospacing="0" w:line="240" w:lineRule="auto"/>
              <w:ind w:left="0" w:leftChars="0" w:right="0" w:rightChars="0" w:firstLine="0" w:firstLineChars="0"/>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rPr>
              <w:t>潜在</w:t>
            </w: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val="en-US" w:eastAsia="zh-CN"/>
              </w:rPr>
              <w:t>磋商</w:t>
            </w:r>
            <w:r>
              <w:rPr>
                <w:rFonts w:hint="eastAsia" w:ascii="宋体" w:hAnsi="宋体" w:cs="宋体"/>
                <w:color w:val="auto"/>
                <w:highlight w:val="none"/>
              </w:rPr>
              <w:t>公告、</w:t>
            </w:r>
            <w:r>
              <w:rPr>
                <w:rFonts w:hint="eastAsia" w:ascii="宋体" w:hAnsi="宋体" w:cs="宋体"/>
                <w:color w:val="auto"/>
                <w:highlight w:val="none"/>
                <w:lang w:val="en-US" w:eastAsia="zh-CN"/>
              </w:rPr>
              <w:t>磋商</w:t>
            </w:r>
            <w:r>
              <w:rPr>
                <w:rFonts w:hint="eastAsia" w:ascii="宋体" w:hAnsi="宋体" w:cs="宋体"/>
                <w:color w:val="auto"/>
                <w:highlight w:val="none"/>
              </w:rPr>
              <w:t>文件有疑问的</w:t>
            </w:r>
            <w:r>
              <w:rPr>
                <w:rFonts w:hint="eastAsia" w:ascii="宋体" w:hAnsi="宋体" w:cs="宋体"/>
                <w:color w:val="auto"/>
                <w:highlight w:val="none"/>
                <w:lang w:eastAsia="zh-CN"/>
              </w:rPr>
              <w:t>，</w:t>
            </w:r>
            <w:r>
              <w:rPr>
                <w:rFonts w:hint="eastAsia" w:ascii="宋体" w:hAnsi="宋体" w:cs="宋体"/>
                <w:color w:val="auto"/>
                <w:highlight w:val="none"/>
              </w:rPr>
              <w:t>在</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6</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日1</w:t>
            </w:r>
            <w:r>
              <w:rPr>
                <w:rFonts w:hint="eastAsia" w:ascii="宋体" w:hAnsi="宋体" w:cs="宋体"/>
                <w:color w:val="auto"/>
                <w:highlight w:val="none"/>
                <w:lang w:val="en-US" w:eastAsia="zh-CN"/>
              </w:rPr>
              <w:t>2</w:t>
            </w:r>
            <w:r>
              <w:rPr>
                <w:rFonts w:hint="eastAsia" w:ascii="宋体" w:hAnsi="宋体" w:cs="宋体"/>
                <w:color w:val="auto"/>
                <w:highlight w:val="none"/>
              </w:rPr>
              <w:t>:00时前以书面形式向采购人和采购代理机构提出询问</w:t>
            </w:r>
            <w:r>
              <w:rPr>
                <w:rFonts w:hint="eastAsia" w:ascii="宋体" w:hAnsi="宋体" w:cs="宋体"/>
                <w:color w:val="auto"/>
                <w:highlight w:val="none"/>
                <w:lang w:eastAsia="zh-CN"/>
              </w:rPr>
              <w:t>，</w:t>
            </w:r>
            <w:r>
              <w:rPr>
                <w:rFonts w:hint="eastAsia" w:ascii="宋体" w:hAnsi="宋体" w:cs="宋体"/>
                <w:color w:val="auto"/>
                <w:highlight w:val="none"/>
              </w:rPr>
              <w:t>逾期提出不予受理。如需修改或补充的</w:t>
            </w:r>
            <w:r>
              <w:rPr>
                <w:rFonts w:hint="eastAsia" w:ascii="宋体" w:hAnsi="宋体" w:cs="宋体"/>
                <w:color w:val="auto"/>
                <w:highlight w:val="none"/>
                <w:lang w:eastAsia="zh-CN"/>
              </w:rPr>
              <w:t>，</w:t>
            </w:r>
            <w:r>
              <w:rPr>
                <w:rFonts w:hint="eastAsia" w:ascii="宋体" w:hAnsi="宋体" w:cs="宋体"/>
                <w:color w:val="auto"/>
                <w:highlight w:val="none"/>
              </w:rPr>
              <w:t>采购代理机构以补充公告形式于</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6</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日17:00时前在浙江政府采购网公告。</w:t>
            </w:r>
          </w:p>
        </w:tc>
      </w:tr>
      <w:tr w14:paraId="44A217D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8" w:type="dxa"/>
            <w:vAlign w:val="center"/>
          </w:tcPr>
          <w:p w14:paraId="20AFAC36">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highlight w:val="none"/>
              </w:rPr>
              <w:t>15</w:t>
            </w:r>
          </w:p>
        </w:tc>
        <w:tc>
          <w:tcPr>
            <w:tcW w:w="2147" w:type="dxa"/>
            <w:vAlign w:val="center"/>
          </w:tcPr>
          <w:p w14:paraId="3B28E278">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开标时间和地点</w:t>
            </w:r>
          </w:p>
        </w:tc>
        <w:tc>
          <w:tcPr>
            <w:tcW w:w="7332" w:type="dxa"/>
            <w:vAlign w:val="center"/>
          </w:tcPr>
          <w:p w14:paraId="6AE5DF44">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详见“第一章 </w:t>
            </w:r>
            <w:r>
              <w:rPr>
                <w:rFonts w:hint="eastAsia" w:ascii="宋体"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zh-CN" w:eastAsia="zh-CN" w:bidi="ar-SA"/>
              </w:rPr>
              <w:t>公告”</w:t>
            </w:r>
            <w:r>
              <w:rPr>
                <w:rFonts w:hint="eastAsia" w:ascii="宋体" w:hAnsi="宋体" w:cs="宋体"/>
                <w:color w:val="auto"/>
                <w:kern w:val="2"/>
                <w:sz w:val="24"/>
                <w:szCs w:val="24"/>
                <w:highlight w:val="none"/>
                <w:lang w:val="zh-CN" w:eastAsia="zh-CN" w:bidi="ar-SA"/>
              </w:rPr>
              <w:t>。</w:t>
            </w:r>
          </w:p>
        </w:tc>
      </w:tr>
      <w:tr w14:paraId="01D7C1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8" w:type="dxa"/>
            <w:vAlign w:val="center"/>
          </w:tcPr>
          <w:p w14:paraId="05327293">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2147" w:type="dxa"/>
            <w:vAlign w:val="center"/>
          </w:tcPr>
          <w:p w14:paraId="35C01B45">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是否需要提供样品</w:t>
            </w:r>
          </w:p>
        </w:tc>
        <w:tc>
          <w:tcPr>
            <w:tcW w:w="7332" w:type="dxa"/>
            <w:vAlign w:val="center"/>
          </w:tcPr>
          <w:p w14:paraId="67E02512">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val="en-US" w:eastAsia="zh-CN"/>
              </w:rPr>
              <w:t>需要</w:t>
            </w:r>
          </w:p>
          <w:p w14:paraId="2DFA7E3A">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需要</w:t>
            </w:r>
          </w:p>
        </w:tc>
      </w:tr>
      <w:tr w14:paraId="5C8D4A1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58" w:type="dxa"/>
            <w:vAlign w:val="center"/>
          </w:tcPr>
          <w:p w14:paraId="3EA99950">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2147" w:type="dxa"/>
            <w:vAlign w:val="center"/>
          </w:tcPr>
          <w:p w14:paraId="5F8069FD">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是否接受联合体</w:t>
            </w:r>
            <w:r>
              <w:rPr>
                <w:rFonts w:hint="eastAsia" w:ascii="宋体" w:hAnsi="宋体" w:eastAsia="宋体" w:cs="宋体"/>
                <w:color w:val="auto"/>
                <w:highlight w:val="none"/>
                <w:lang w:val="en-US" w:eastAsia="zh-CN"/>
              </w:rPr>
              <w:t>磋商</w:t>
            </w:r>
          </w:p>
        </w:tc>
        <w:tc>
          <w:tcPr>
            <w:tcW w:w="7332" w:type="dxa"/>
            <w:vAlign w:val="center"/>
          </w:tcPr>
          <w:p w14:paraId="56D2CE99">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不接受</w:t>
            </w:r>
          </w:p>
          <w:p w14:paraId="69533616">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□接受，应满足下列要求：</w:t>
            </w:r>
          </w:p>
        </w:tc>
      </w:tr>
      <w:tr w14:paraId="1CC6EA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8" w:type="dxa"/>
            <w:vAlign w:val="center"/>
          </w:tcPr>
          <w:p w14:paraId="5F696FED">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2147" w:type="dxa"/>
            <w:vAlign w:val="center"/>
          </w:tcPr>
          <w:p w14:paraId="27CB0B0C">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lang w:val="en-US" w:eastAsia="zh-CN"/>
              </w:rPr>
              <w:t>是否允许</w:t>
            </w:r>
            <w:r>
              <w:rPr>
                <w:rFonts w:hint="eastAsia" w:ascii="宋体" w:hAnsi="宋体" w:eastAsia="宋体" w:cs="宋体"/>
                <w:color w:val="auto"/>
                <w:sz w:val="24"/>
                <w:szCs w:val="24"/>
                <w:highlight w:val="none"/>
              </w:rPr>
              <w:t>转包与分包</w:t>
            </w:r>
          </w:p>
        </w:tc>
        <w:tc>
          <w:tcPr>
            <w:tcW w:w="7332" w:type="dxa"/>
            <w:vAlign w:val="center"/>
          </w:tcPr>
          <w:p w14:paraId="177DC14D">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不允许</w:t>
            </w:r>
          </w:p>
          <w:p w14:paraId="54D09133">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允许</w:t>
            </w:r>
          </w:p>
        </w:tc>
      </w:tr>
      <w:tr w14:paraId="003D84A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8" w:type="dxa"/>
            <w:vAlign w:val="center"/>
          </w:tcPr>
          <w:p w14:paraId="1DFFBB9F">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2147" w:type="dxa"/>
            <w:vAlign w:val="center"/>
          </w:tcPr>
          <w:p w14:paraId="348F5A45">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是否允许进口产品</w:t>
            </w:r>
          </w:p>
        </w:tc>
        <w:tc>
          <w:tcPr>
            <w:tcW w:w="7332" w:type="dxa"/>
            <w:vAlign w:val="center"/>
          </w:tcPr>
          <w:p w14:paraId="357AF30B">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不允许</w:t>
            </w:r>
          </w:p>
          <w:p w14:paraId="01657980">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允许</w:t>
            </w:r>
          </w:p>
        </w:tc>
      </w:tr>
      <w:tr w14:paraId="166F487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8" w:type="dxa"/>
            <w:vAlign w:val="center"/>
          </w:tcPr>
          <w:p w14:paraId="378B1F54">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2147" w:type="dxa"/>
            <w:vAlign w:val="center"/>
          </w:tcPr>
          <w:p w14:paraId="52F071C7">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踏勘现场</w:t>
            </w:r>
          </w:p>
        </w:tc>
        <w:tc>
          <w:tcPr>
            <w:tcW w:w="7332" w:type="dxa"/>
            <w:vAlign w:val="center"/>
          </w:tcPr>
          <w:p w14:paraId="2839591C">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不组织【请自行踏勘，不统一组织】</w:t>
            </w:r>
          </w:p>
          <w:p w14:paraId="7B2A72AB">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组织</w:t>
            </w:r>
          </w:p>
        </w:tc>
      </w:tr>
      <w:tr w14:paraId="31A29BC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8" w:type="dxa"/>
            <w:vAlign w:val="center"/>
          </w:tcPr>
          <w:p w14:paraId="14697106">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2147" w:type="dxa"/>
            <w:vAlign w:val="center"/>
          </w:tcPr>
          <w:p w14:paraId="2F8F5E72">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是否允许递交备选</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案</w:t>
            </w:r>
          </w:p>
        </w:tc>
        <w:tc>
          <w:tcPr>
            <w:tcW w:w="7332" w:type="dxa"/>
            <w:vAlign w:val="center"/>
          </w:tcPr>
          <w:p w14:paraId="2F1F51C5">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不允许</w:t>
            </w:r>
          </w:p>
          <w:p w14:paraId="41716695">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允许</w:t>
            </w:r>
          </w:p>
        </w:tc>
      </w:tr>
      <w:tr w14:paraId="278CADC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8" w:type="dxa"/>
            <w:vAlign w:val="center"/>
          </w:tcPr>
          <w:p w14:paraId="52D07A88">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22</w:t>
            </w:r>
          </w:p>
        </w:tc>
        <w:tc>
          <w:tcPr>
            <w:tcW w:w="2147" w:type="dxa"/>
            <w:vAlign w:val="center"/>
          </w:tcPr>
          <w:p w14:paraId="185749A3">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投标保证金</w:t>
            </w:r>
          </w:p>
        </w:tc>
        <w:tc>
          <w:tcPr>
            <w:tcW w:w="7332" w:type="dxa"/>
            <w:vAlign w:val="center"/>
          </w:tcPr>
          <w:p w14:paraId="1BBAF6A7">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不需要</w:t>
            </w:r>
          </w:p>
          <w:p w14:paraId="074B2C41">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 xml:space="preserve">□需要  </w:t>
            </w:r>
          </w:p>
        </w:tc>
      </w:tr>
      <w:tr w14:paraId="34AED3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8" w:type="dxa"/>
            <w:vAlign w:val="center"/>
          </w:tcPr>
          <w:p w14:paraId="63310CC3">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23</w:t>
            </w:r>
          </w:p>
        </w:tc>
        <w:tc>
          <w:tcPr>
            <w:tcW w:w="2147" w:type="dxa"/>
            <w:vAlign w:val="center"/>
          </w:tcPr>
          <w:p w14:paraId="61C798EA">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履约保证金</w:t>
            </w:r>
          </w:p>
        </w:tc>
        <w:tc>
          <w:tcPr>
            <w:tcW w:w="7332" w:type="dxa"/>
            <w:vAlign w:val="center"/>
          </w:tcPr>
          <w:p w14:paraId="45282914">
            <w:pPr>
              <w:keepNext w:val="0"/>
              <w:keepLines w:val="0"/>
              <w:pageBreakBefore w:val="0"/>
              <w:widowControl w:val="0"/>
              <w:suppressLineNumbers w:val="0"/>
              <w:shd w:val="clear"/>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不需要</w:t>
            </w:r>
          </w:p>
          <w:p w14:paraId="6695EE3C">
            <w:pPr>
              <w:keepNext w:val="0"/>
              <w:keepLines w:val="0"/>
              <w:pageBreakBefore w:val="0"/>
              <w:widowControl w:val="0"/>
              <w:suppressLineNumbers w:val="0"/>
              <w:shd w:val="clear"/>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righ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需要</w:t>
            </w:r>
          </w:p>
          <w:p w14:paraId="3092A6CC">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default" w:ascii="宋体" w:hAnsi="宋体" w:eastAsia="宋体" w:cs="宋体"/>
                <w:color w:val="auto"/>
                <w:highlight w:val="none"/>
                <w:lang w:val="zh-CN"/>
              </w:rPr>
              <w:t>1.缴纳金额：</w:t>
            </w:r>
            <w:r>
              <w:rPr>
                <w:rFonts w:hint="eastAsia" w:ascii="宋体" w:hAnsi="宋体" w:cs="宋体"/>
                <w:color w:val="auto"/>
                <w:highlight w:val="none"/>
                <w:lang w:val="zh-CN"/>
              </w:rPr>
              <w:t>成交供应商</w:t>
            </w:r>
            <w:r>
              <w:rPr>
                <w:rFonts w:hint="default" w:ascii="宋体" w:hAnsi="宋体" w:eastAsia="宋体" w:cs="宋体"/>
                <w:color w:val="auto"/>
                <w:highlight w:val="none"/>
                <w:lang w:val="zh-CN"/>
              </w:rPr>
              <w:t>须向采购人缴纳，为合同价格的1.0%</w:t>
            </w:r>
            <w:r>
              <w:rPr>
                <w:rFonts w:hint="eastAsia" w:ascii="宋体" w:hAnsi="宋体" w:cs="宋体"/>
                <w:color w:val="auto"/>
                <w:highlight w:val="none"/>
                <w:lang w:val="zh-CN"/>
              </w:rPr>
              <w:t>；</w:t>
            </w:r>
          </w:p>
          <w:p w14:paraId="09108C42">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 xml:space="preserve">2.缴纳方式：汇票/支票/银行转账/银行保函/保险公司保函； </w:t>
            </w:r>
          </w:p>
          <w:p w14:paraId="474F92AB">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3.缴纳时间：本项目中标通知书发出后合同签订前缴纳</w:t>
            </w:r>
            <w:r>
              <w:rPr>
                <w:rFonts w:hint="eastAsia" w:ascii="宋体" w:hAnsi="宋体" w:cs="宋体"/>
                <w:color w:val="auto"/>
                <w:highlight w:val="none"/>
                <w:lang w:val="zh-CN"/>
              </w:rPr>
              <w:t>；</w:t>
            </w:r>
          </w:p>
          <w:p w14:paraId="1DCA650E">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color w:val="auto"/>
                <w:highlight w:val="none"/>
                <w:lang w:val="zh-CN" w:eastAsia="zh-CN"/>
              </w:rPr>
            </w:pPr>
            <w:r>
              <w:rPr>
                <w:rFonts w:hint="eastAsia" w:ascii="宋体" w:hAnsi="宋体" w:eastAsia="宋体" w:cs="宋体"/>
                <w:color w:val="auto"/>
                <w:highlight w:val="none"/>
                <w:lang w:val="zh-CN"/>
              </w:rPr>
              <w:t>4.退还条件：</w:t>
            </w:r>
            <w:r>
              <w:rPr>
                <w:rFonts w:hint="eastAsia" w:ascii="宋体" w:hAnsi="宋体" w:cs="宋体"/>
                <w:color w:val="auto"/>
                <w:kern w:val="2"/>
                <w:sz w:val="24"/>
                <w:szCs w:val="24"/>
                <w:highlight w:val="none"/>
                <w:lang w:val="en-US" w:eastAsia="zh-CN" w:bidi="ar"/>
              </w:rPr>
              <w:t>验收合格通过后7个工作日无息退还。</w:t>
            </w:r>
          </w:p>
        </w:tc>
      </w:tr>
      <w:tr w14:paraId="4102A03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Align w:val="center"/>
          </w:tcPr>
          <w:p w14:paraId="2657B0DE">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bookmarkStart w:id="314" w:name="OLE_LINK9" w:colFirst="1" w:colLast="2"/>
            <w:r>
              <w:rPr>
                <w:rFonts w:hint="eastAsia" w:ascii="宋体" w:hAnsi="宋体" w:eastAsia="宋体" w:cs="宋体"/>
                <w:color w:val="auto"/>
                <w:sz w:val="24"/>
                <w:szCs w:val="24"/>
                <w:highlight w:val="none"/>
              </w:rPr>
              <w:t>24</w:t>
            </w:r>
          </w:p>
        </w:tc>
        <w:tc>
          <w:tcPr>
            <w:tcW w:w="2147" w:type="dxa"/>
            <w:vAlign w:val="center"/>
          </w:tcPr>
          <w:p w14:paraId="15B1BF77">
            <w:pPr>
              <w:keepNext w:val="0"/>
              <w:keepLines w:val="0"/>
              <w:suppressLineNumbers w:val="0"/>
              <w:shd w:val="clear"/>
              <w:topLinePunct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t>▲响应文件份数</w:t>
            </w:r>
          </w:p>
        </w:tc>
        <w:tc>
          <w:tcPr>
            <w:tcW w:w="7332" w:type="dxa"/>
            <w:vAlign w:val="center"/>
          </w:tcPr>
          <w:p w14:paraId="33005FDD">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bookmarkStart w:id="315" w:name="OLE_LINK14"/>
            <w:r>
              <w:rPr>
                <w:rFonts w:hint="eastAsia" w:ascii="宋体" w:hAnsi="宋体" w:eastAsia="宋体" w:cs="宋体"/>
                <w:color w:val="auto"/>
                <w:highlight w:val="none"/>
                <w:lang w:val="en-US" w:eastAsia="zh-CN"/>
              </w:rPr>
              <w:t>1.</w:t>
            </w:r>
            <w:r>
              <w:rPr>
                <w:rFonts w:hint="eastAsia" w:ascii="宋体" w:hAnsi="宋体" w:eastAsia="宋体" w:cs="宋体"/>
                <w:b/>
                <w:bCs/>
                <w:color w:val="auto"/>
                <w:highlight w:val="none"/>
                <w:lang w:val="zh-CN"/>
              </w:rPr>
              <w:t>竞争性磋商响应文件一式3份，其中正本1份、副本2份（三份密封一袋）；</w:t>
            </w:r>
            <w:r>
              <w:rPr>
                <w:rFonts w:hint="eastAsia" w:ascii="宋体" w:hAnsi="宋体" w:eastAsia="宋体" w:cs="宋体"/>
                <w:color w:val="auto"/>
                <w:highlight w:val="none"/>
                <w:lang w:val="zh-CN"/>
              </w:rPr>
              <w:t>竞争性磋商响应文件由资格、商务技术和报价部分组成</w:t>
            </w:r>
            <w:r>
              <w:rPr>
                <w:rFonts w:hint="eastAsia" w:ascii="宋体" w:hAnsi="宋体" w:cs="宋体"/>
                <w:color w:val="auto"/>
                <w:highlight w:val="none"/>
                <w:lang w:val="zh-CN"/>
              </w:rPr>
              <w:t>，</w:t>
            </w:r>
            <w:r>
              <w:rPr>
                <w:rFonts w:hint="eastAsia" w:ascii="宋体" w:hAnsi="宋体" w:eastAsia="宋体" w:cs="宋体"/>
                <w:b/>
                <w:bCs/>
                <w:color w:val="auto"/>
                <w:highlight w:val="none"/>
                <w:lang w:val="zh-CN"/>
              </w:rPr>
              <w:t>合订成一册，</w:t>
            </w:r>
            <w:r>
              <w:rPr>
                <w:rFonts w:hint="eastAsia" w:ascii="宋体" w:hAnsi="宋体" w:eastAsia="宋体" w:cs="宋体"/>
                <w:color w:val="auto"/>
                <w:highlight w:val="none"/>
                <w:lang w:val="zh-CN"/>
              </w:rPr>
              <w:t>采用A4幅面纸张打印装订，密封一袋；并在封面标明“正本”、“副本”字样。正本与副本如有不一致，以正本为准。</w:t>
            </w:r>
          </w:p>
          <w:p w14:paraId="267CA05D">
            <w:pPr>
              <w:keepNext w:val="0"/>
              <w:keepLines w:val="0"/>
              <w:suppressLineNumbers w:val="0"/>
              <w:shd w:val="clear"/>
              <w:tabs>
                <w:tab w:val="left" w:pos="0"/>
              </w:tabs>
              <w:adjustRightInd w:val="0"/>
              <w:spacing w:before="0" w:beforeAutospacing="0" w:after="0" w:afterAutospacing="0" w:line="240" w:lineRule="auto"/>
              <w:ind w:left="0" w:right="0" w:firstLine="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竞争性磋商响应文件采用活页装订的按无效标处理。（活页装订是指用卡条、抽杆夹等形式装订，使标书可以拆卸或者在翻动过程</w:t>
            </w:r>
            <w:r>
              <w:rPr>
                <w:rFonts w:hint="eastAsia" w:ascii="宋体" w:hAnsi="宋体" w:eastAsia="宋体" w:cs="宋体"/>
                <w:color w:val="auto"/>
                <w:highlight w:val="none"/>
                <w:lang w:val="zh-CN" w:eastAsia="zh-CN"/>
              </w:rPr>
              <w:t>中</w:t>
            </w:r>
            <w:r>
              <w:rPr>
                <w:rFonts w:hint="eastAsia" w:ascii="宋体" w:hAnsi="宋体" w:eastAsia="宋体" w:cs="宋体"/>
                <w:color w:val="auto"/>
                <w:highlight w:val="none"/>
                <w:lang w:val="zh-CN"/>
              </w:rPr>
              <w:t>易脱落的一种装订方式）。</w:t>
            </w:r>
            <w:bookmarkEnd w:id="315"/>
          </w:p>
        </w:tc>
      </w:tr>
      <w:bookmarkEnd w:id="314"/>
      <w:tr w14:paraId="2369AE9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8" w:type="dxa"/>
            <w:vAlign w:val="center"/>
          </w:tcPr>
          <w:p w14:paraId="35976D8A">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w:t>
            </w:r>
          </w:p>
        </w:tc>
        <w:tc>
          <w:tcPr>
            <w:tcW w:w="2147" w:type="dxa"/>
            <w:vAlign w:val="center"/>
          </w:tcPr>
          <w:p w14:paraId="611FE072">
            <w:pPr>
              <w:keepNext w:val="0"/>
              <w:keepLines w:val="0"/>
              <w:suppressLineNumbers w:val="0"/>
              <w:shd w:val="clear"/>
              <w:topLinePunct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响应文件密封件</w:t>
            </w:r>
          </w:p>
        </w:tc>
        <w:tc>
          <w:tcPr>
            <w:tcW w:w="7332" w:type="dxa"/>
            <w:vAlign w:val="center"/>
          </w:tcPr>
          <w:p w14:paraId="0D810C38">
            <w:pPr>
              <w:keepNext w:val="0"/>
              <w:keepLines w:val="0"/>
              <w:suppressLineNumbers w:val="0"/>
              <w:shd w:val="clear"/>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密封件1个。</w:t>
            </w:r>
            <w:r>
              <w:rPr>
                <w:rFonts w:hint="eastAsia" w:ascii="宋体" w:hAnsi="宋体" w:eastAsia="宋体" w:cs="宋体"/>
                <w:color w:val="auto"/>
                <w:sz w:val="24"/>
                <w:szCs w:val="24"/>
                <w:highlight w:val="none"/>
              </w:rPr>
              <w:t>【响应文件所附原件单独装袋无需密封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55712B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8" w:type="dxa"/>
            <w:vAlign w:val="center"/>
          </w:tcPr>
          <w:p w14:paraId="745715D0">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26</w:t>
            </w:r>
          </w:p>
        </w:tc>
        <w:tc>
          <w:tcPr>
            <w:tcW w:w="2147" w:type="dxa"/>
            <w:vAlign w:val="center"/>
          </w:tcPr>
          <w:p w14:paraId="287BF525">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签字或盖章要求</w:t>
            </w:r>
          </w:p>
        </w:tc>
        <w:tc>
          <w:tcPr>
            <w:tcW w:w="7332" w:type="dxa"/>
            <w:vAlign w:val="center"/>
          </w:tcPr>
          <w:p w14:paraId="67EAEAAE">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en-US" w:eastAsia="zh-CN"/>
              </w:rPr>
              <w:t>磋商响应</w:t>
            </w:r>
            <w:r>
              <w:rPr>
                <w:rFonts w:hint="eastAsia" w:ascii="宋体" w:hAnsi="宋体" w:cs="宋体"/>
                <w:color w:val="auto"/>
                <w:highlight w:val="none"/>
              </w:rPr>
              <w:t>文件封面按</w:t>
            </w:r>
            <w:r>
              <w:rPr>
                <w:rFonts w:hint="eastAsia" w:ascii="宋体" w:hAnsi="宋体" w:cs="宋体"/>
                <w:color w:val="auto"/>
                <w:highlight w:val="none"/>
                <w:lang w:val="en-US" w:eastAsia="zh-CN"/>
              </w:rPr>
              <w:t>磋商</w:t>
            </w:r>
            <w:r>
              <w:rPr>
                <w:rFonts w:hint="eastAsia" w:ascii="宋体" w:hAnsi="宋体" w:cs="宋体"/>
                <w:color w:val="auto"/>
                <w:highlight w:val="none"/>
              </w:rPr>
              <w:t>文件第六章“</w:t>
            </w:r>
            <w:r>
              <w:rPr>
                <w:rFonts w:hint="eastAsia" w:ascii="宋体" w:hAnsi="宋体" w:eastAsia="宋体" w:cs="宋体"/>
                <w:b w:val="0"/>
                <w:bCs/>
                <w:color w:val="auto"/>
                <w:highlight w:val="none"/>
              </w:rPr>
              <w:t>竞争性磋商响应文件格式</w:t>
            </w:r>
            <w:r>
              <w:rPr>
                <w:rFonts w:hint="eastAsia" w:ascii="宋体" w:hAnsi="宋体" w:cs="宋体"/>
                <w:color w:val="auto"/>
                <w:highlight w:val="none"/>
              </w:rPr>
              <w:t>”规定处格式要求签字或盖章。</w:t>
            </w:r>
          </w:p>
        </w:tc>
      </w:tr>
      <w:tr w14:paraId="7DCC354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58" w:type="dxa"/>
            <w:vAlign w:val="center"/>
          </w:tcPr>
          <w:p w14:paraId="6D9E5CA1">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27</w:t>
            </w:r>
          </w:p>
        </w:tc>
        <w:tc>
          <w:tcPr>
            <w:tcW w:w="2147" w:type="dxa"/>
            <w:vAlign w:val="center"/>
          </w:tcPr>
          <w:p w14:paraId="46B7791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采购方式</w:t>
            </w:r>
          </w:p>
        </w:tc>
        <w:tc>
          <w:tcPr>
            <w:tcW w:w="7332" w:type="dxa"/>
            <w:vAlign w:val="center"/>
          </w:tcPr>
          <w:p w14:paraId="732FCC5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竞争性磋商。</w:t>
            </w:r>
          </w:p>
        </w:tc>
      </w:tr>
      <w:tr w14:paraId="60803EA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58" w:type="dxa"/>
            <w:vAlign w:val="center"/>
          </w:tcPr>
          <w:p w14:paraId="4B76062D">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28</w:t>
            </w:r>
          </w:p>
        </w:tc>
        <w:tc>
          <w:tcPr>
            <w:tcW w:w="2147" w:type="dxa"/>
            <w:vAlign w:val="center"/>
          </w:tcPr>
          <w:p w14:paraId="01B0DBC6">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w:t>
            </w:r>
          </w:p>
          <w:p w14:paraId="151A6DEE">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组建</w:t>
            </w:r>
          </w:p>
        </w:tc>
        <w:tc>
          <w:tcPr>
            <w:tcW w:w="7332" w:type="dxa"/>
            <w:vAlign w:val="center"/>
          </w:tcPr>
          <w:p w14:paraId="59B8A4EC">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构成：成员为</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人及以上单数，评审专家不得少于总人数的2/3；评标专家确定方式：按相关规定抽取。</w:t>
            </w:r>
          </w:p>
        </w:tc>
      </w:tr>
      <w:tr w14:paraId="1543DB0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8" w:type="dxa"/>
            <w:vAlign w:val="center"/>
          </w:tcPr>
          <w:p w14:paraId="42A1C148">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29</w:t>
            </w:r>
          </w:p>
        </w:tc>
        <w:tc>
          <w:tcPr>
            <w:tcW w:w="2147" w:type="dxa"/>
            <w:vAlign w:val="center"/>
          </w:tcPr>
          <w:p w14:paraId="2F3FBBC1">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评审办法</w:t>
            </w:r>
          </w:p>
        </w:tc>
        <w:tc>
          <w:tcPr>
            <w:tcW w:w="7332" w:type="dxa"/>
            <w:vAlign w:val="center"/>
          </w:tcPr>
          <w:p w14:paraId="2D78DF05">
            <w:pPr>
              <w:keepNext w:val="0"/>
              <w:keepLines w:val="0"/>
              <w:pageBreakBefore w:val="0"/>
              <w:widowControl w:val="0"/>
              <w:suppressLineNumbers w:val="0"/>
              <w:shd w:val="clear"/>
              <w:kinsoku/>
              <w:wordWrap/>
              <w:overflowPunct/>
              <w:topLinePunct w:val="0"/>
              <w:bidi w:val="0"/>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综合评分法</w:t>
            </w:r>
          </w:p>
        </w:tc>
      </w:tr>
      <w:tr w14:paraId="758A9F6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Align w:val="center"/>
          </w:tcPr>
          <w:p w14:paraId="72AC6A29">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2147" w:type="dxa"/>
            <w:vAlign w:val="center"/>
          </w:tcPr>
          <w:p w14:paraId="0DF4D771">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highlight w:val="none"/>
              </w:rPr>
              <w:t>面向中小企业预留情况及小微企业报价扣除标准</w:t>
            </w:r>
          </w:p>
        </w:tc>
        <w:tc>
          <w:tcPr>
            <w:tcW w:w="7332" w:type="dxa"/>
            <w:vAlign w:val="center"/>
          </w:tcPr>
          <w:p w14:paraId="644F6778">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本项目为专门面向中小企业采购，小微企业不享受价格折扣优惠。</w:t>
            </w:r>
          </w:p>
          <w:p w14:paraId="15498926">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rPr>
              <w:t>非专门面向中小企业采购项目，小微企业报价给予</w:t>
            </w:r>
            <w:r>
              <w:rPr>
                <w:rFonts w:hint="eastAsia" w:ascii="宋体" w:hAnsi="宋体" w:cs="宋体"/>
                <w:color w:val="auto"/>
                <w:highlight w:val="none"/>
                <w:lang w:val="en-US" w:eastAsia="zh-CN"/>
              </w:rPr>
              <w:t>1</w:t>
            </w:r>
            <w:r>
              <w:rPr>
                <w:rFonts w:hint="eastAsia" w:ascii="宋体" w:hAnsi="宋体" w:cs="宋体"/>
                <w:color w:val="auto"/>
                <w:highlight w:val="none"/>
              </w:rPr>
              <w:t>0%（工程项目为5%)的扣除，用扣除后的价格参与评审。</w:t>
            </w:r>
          </w:p>
        </w:tc>
      </w:tr>
      <w:tr w14:paraId="2F248E8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Align w:val="center"/>
          </w:tcPr>
          <w:p w14:paraId="527E699B">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2147" w:type="dxa"/>
            <w:vAlign w:val="center"/>
          </w:tcPr>
          <w:p w14:paraId="13E57BFC">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highlight w:val="none"/>
              </w:rPr>
              <w:t>行业划分标准和对应所属行业</w:t>
            </w:r>
          </w:p>
        </w:tc>
        <w:tc>
          <w:tcPr>
            <w:tcW w:w="7332" w:type="dxa"/>
            <w:vAlign w:val="center"/>
          </w:tcPr>
          <w:p w14:paraId="6A655D05">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b/>
                <w:bCs/>
                <w:color w:val="auto"/>
                <w:highlight w:val="none"/>
              </w:rPr>
            </w:pPr>
            <w:r>
              <w:rPr>
                <w:rFonts w:hint="eastAsia" w:ascii="宋体" w:hAnsi="宋体" w:cs="宋体"/>
                <w:b/>
                <w:bCs/>
                <w:color w:val="auto"/>
                <w:highlight w:val="none"/>
              </w:rPr>
              <w:t>1.</w:t>
            </w:r>
            <w:r>
              <w:rPr>
                <w:rFonts w:hint="eastAsia" w:ascii="宋体" w:hAnsi="宋体" w:eastAsia="宋体" w:cs="宋体"/>
                <w:b/>
                <w:bCs/>
                <w:color w:val="auto"/>
                <w:highlight w:val="none"/>
                <w:lang w:val="zh-CN" w:eastAsia="zh-CN"/>
              </w:rPr>
              <w:t>项目属性：</w:t>
            </w:r>
            <w:r>
              <w:rPr>
                <w:rFonts w:hint="eastAsia" w:ascii="宋体" w:hAnsi="宋体" w:eastAsia="宋体" w:cs="宋体"/>
                <w:b/>
                <w:bCs/>
                <w:color w:val="auto"/>
                <w:highlight w:val="none"/>
                <w:lang w:val="en-US" w:eastAsia="zh-CN"/>
              </w:rPr>
              <w:t>服务</w:t>
            </w:r>
            <w:r>
              <w:rPr>
                <w:rFonts w:hint="eastAsia" w:ascii="宋体" w:hAnsi="宋体" w:eastAsia="宋体" w:cs="宋体"/>
                <w:b/>
                <w:bCs/>
                <w:color w:val="auto"/>
                <w:highlight w:val="none"/>
                <w:lang w:val="zh-CN" w:eastAsia="zh-CN"/>
              </w:rPr>
              <w:t>类；</w:t>
            </w:r>
            <w:r>
              <w:rPr>
                <w:rFonts w:hint="eastAsia" w:ascii="宋体" w:hAnsi="宋体" w:cs="宋体"/>
                <w:b/>
                <w:bCs/>
                <w:color w:val="auto"/>
                <w:highlight w:val="none"/>
              </w:rPr>
              <w:t>采购标的对应所属行业：</w:t>
            </w:r>
            <w:r>
              <w:rPr>
                <w:rFonts w:hint="eastAsia" w:ascii="宋体" w:hAnsi="宋体" w:cs="宋体"/>
                <w:b/>
                <w:bCs/>
                <w:color w:val="auto"/>
                <w:highlight w:val="none"/>
                <w:lang w:val="en-US" w:eastAsia="zh-CN"/>
              </w:rPr>
              <w:t>建筑业</w:t>
            </w:r>
            <w:r>
              <w:rPr>
                <w:rFonts w:hint="eastAsia" w:ascii="宋体" w:hAnsi="宋体" w:cs="宋体"/>
                <w:b/>
                <w:bCs/>
                <w:color w:val="auto"/>
                <w:highlight w:val="none"/>
              </w:rPr>
              <w:t>。</w:t>
            </w:r>
          </w:p>
          <w:p w14:paraId="693B5CE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rPr>
            </w:pPr>
            <w:r>
              <w:rPr>
                <w:rFonts w:hint="eastAsia" w:ascii="宋体" w:hAnsi="宋体" w:cs="宋体"/>
                <w:color w:val="auto"/>
                <w:highlight w:val="none"/>
              </w:rPr>
              <w:t>2.中小企业行业划分标准：</w:t>
            </w:r>
            <w:r>
              <w:rPr>
                <w:rFonts w:hint="eastAsia" w:ascii="宋体" w:hAnsi="宋体" w:cs="宋体"/>
                <w:color w:val="auto"/>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5672EC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58" w:type="dxa"/>
            <w:vAlign w:val="center"/>
          </w:tcPr>
          <w:p w14:paraId="473EE494">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32</w:t>
            </w:r>
          </w:p>
        </w:tc>
        <w:tc>
          <w:tcPr>
            <w:tcW w:w="2147" w:type="dxa"/>
            <w:vAlign w:val="center"/>
          </w:tcPr>
          <w:p w14:paraId="6E58AEEA">
            <w:pPr>
              <w:keepNext w:val="0"/>
              <w:keepLines w:val="0"/>
              <w:suppressLineNumbers w:val="0"/>
              <w:shd w:val="clear"/>
              <w:autoSpaceDE/>
              <w:autoSpaceDN/>
              <w:adjustRightIn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rPr>
              <w:t>确定供应商</w:t>
            </w:r>
          </w:p>
        </w:tc>
        <w:tc>
          <w:tcPr>
            <w:tcW w:w="7332" w:type="dxa"/>
            <w:vAlign w:val="center"/>
          </w:tcPr>
          <w:p w14:paraId="155E7AC3">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lang w:val="zh-CN" w:eastAsia="zh-CN"/>
              </w:rPr>
            </w:pPr>
            <w:r>
              <w:rPr>
                <w:rFonts w:hint="eastAsia" w:ascii="宋体" w:hAnsi="宋体"/>
                <w:color w:val="auto"/>
                <w:highlight w:val="none"/>
                <w:lang w:val="zh-CN"/>
              </w:rPr>
              <w:t>确定</w:t>
            </w:r>
            <w:r>
              <w:rPr>
                <w:rFonts w:hint="eastAsia" w:ascii="宋体" w:hAnsi="宋体"/>
                <w:color w:val="auto"/>
                <w:highlight w:val="none"/>
              </w:rPr>
              <w:t>1</w:t>
            </w:r>
            <w:r>
              <w:rPr>
                <w:rFonts w:hint="eastAsia" w:ascii="宋体" w:hAnsi="宋体"/>
                <w:color w:val="auto"/>
                <w:highlight w:val="none"/>
                <w:lang w:val="zh-CN"/>
              </w:rPr>
              <w:t>个</w:t>
            </w:r>
            <w:r>
              <w:rPr>
                <w:rFonts w:hint="eastAsia" w:ascii="宋体" w:hAnsi="宋体"/>
                <w:color w:val="auto"/>
                <w:highlight w:val="none"/>
              </w:rPr>
              <w:t>成交</w:t>
            </w:r>
            <w:r>
              <w:rPr>
                <w:rFonts w:hint="eastAsia" w:ascii="宋体" w:hAnsi="宋体"/>
                <w:color w:val="auto"/>
                <w:highlight w:val="none"/>
                <w:lang w:val="zh-CN"/>
              </w:rPr>
              <w:t>供应商，</w:t>
            </w:r>
            <w:r>
              <w:rPr>
                <w:rFonts w:hint="eastAsia" w:ascii="宋体" w:hAnsi="宋体"/>
                <w:color w:val="auto"/>
                <w:highlight w:val="none"/>
              </w:rPr>
              <w:t>成交</w:t>
            </w:r>
            <w:r>
              <w:rPr>
                <w:rFonts w:hint="eastAsia" w:ascii="宋体" w:hAnsi="宋体"/>
                <w:color w:val="auto"/>
                <w:highlight w:val="none"/>
                <w:lang w:val="zh-CN"/>
              </w:rPr>
              <w:t>结果在浙江政府采购网公告，公告期限为 1 个工作日</w:t>
            </w:r>
          </w:p>
        </w:tc>
      </w:tr>
      <w:tr w14:paraId="676962D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2C55AFD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33</w:t>
            </w:r>
          </w:p>
        </w:tc>
        <w:tc>
          <w:tcPr>
            <w:tcW w:w="2147" w:type="dxa"/>
            <w:vAlign w:val="center"/>
          </w:tcPr>
          <w:p w14:paraId="6948739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是否退还</w:t>
            </w:r>
            <w:r>
              <w:rPr>
                <w:rFonts w:hint="eastAsia" w:ascii="宋体" w:hAnsi="宋体" w:cs="宋体"/>
                <w:color w:val="auto"/>
                <w:kern w:val="2"/>
                <w:sz w:val="24"/>
                <w:szCs w:val="24"/>
                <w:highlight w:val="none"/>
                <w:lang w:val="en-US" w:eastAsia="zh-CN" w:bidi="ar-SA"/>
              </w:rPr>
              <w:t>响应文件</w:t>
            </w:r>
          </w:p>
        </w:tc>
        <w:tc>
          <w:tcPr>
            <w:tcW w:w="7332" w:type="dxa"/>
            <w:vAlign w:val="center"/>
          </w:tcPr>
          <w:p w14:paraId="3CBA0769">
            <w:pPr>
              <w:keepNext w:val="0"/>
              <w:keepLines w:val="0"/>
              <w:pageBreakBefore w:val="0"/>
              <w:widowControl w:val="0"/>
              <w:suppressLineNumbers w:val="0"/>
              <w:shd w:val="clear"/>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已拆封的</w:t>
            </w:r>
            <w:r>
              <w:rPr>
                <w:rFonts w:hint="eastAsia" w:ascii="宋体" w:hAnsi="宋体" w:cs="宋体"/>
                <w:color w:val="auto"/>
                <w:kern w:val="2"/>
                <w:sz w:val="24"/>
                <w:szCs w:val="24"/>
                <w:highlight w:val="none"/>
                <w:lang w:val="zh-CN" w:eastAsia="zh-CN" w:bidi="ar-SA"/>
              </w:rPr>
              <w:t>响应文件</w:t>
            </w:r>
            <w:r>
              <w:rPr>
                <w:rFonts w:hint="eastAsia" w:ascii="宋体" w:hAnsi="宋体" w:eastAsia="宋体" w:cs="宋体"/>
                <w:color w:val="auto"/>
                <w:kern w:val="2"/>
                <w:sz w:val="24"/>
                <w:szCs w:val="24"/>
                <w:highlight w:val="none"/>
                <w:lang w:val="zh-CN" w:eastAsia="zh-CN" w:bidi="ar-SA"/>
              </w:rPr>
              <w:t>概不退还，未拆封的</w:t>
            </w:r>
            <w:r>
              <w:rPr>
                <w:rFonts w:hint="eastAsia" w:ascii="宋体" w:hAnsi="宋体" w:cs="宋体"/>
                <w:color w:val="auto"/>
                <w:kern w:val="2"/>
                <w:sz w:val="24"/>
                <w:szCs w:val="24"/>
                <w:highlight w:val="none"/>
                <w:lang w:val="zh-CN" w:eastAsia="zh-CN" w:bidi="ar-SA"/>
              </w:rPr>
              <w:t>响应文件供应商</w:t>
            </w:r>
            <w:r>
              <w:rPr>
                <w:rFonts w:hint="eastAsia" w:ascii="宋体" w:hAnsi="宋体" w:eastAsia="宋体" w:cs="宋体"/>
                <w:color w:val="auto"/>
                <w:kern w:val="2"/>
                <w:sz w:val="24"/>
                <w:szCs w:val="24"/>
                <w:highlight w:val="none"/>
                <w:lang w:val="zh-CN" w:eastAsia="zh-CN" w:bidi="ar-SA"/>
              </w:rPr>
              <w:t>可收回。</w:t>
            </w:r>
          </w:p>
        </w:tc>
      </w:tr>
      <w:tr w14:paraId="2FC2F6E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58" w:type="dxa"/>
            <w:vAlign w:val="center"/>
          </w:tcPr>
          <w:p w14:paraId="57A376B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34</w:t>
            </w:r>
          </w:p>
        </w:tc>
        <w:tc>
          <w:tcPr>
            <w:tcW w:w="2147" w:type="dxa"/>
            <w:vAlign w:val="center"/>
          </w:tcPr>
          <w:p w14:paraId="0A24D19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签订合同时间</w:t>
            </w:r>
          </w:p>
        </w:tc>
        <w:tc>
          <w:tcPr>
            <w:tcW w:w="7332" w:type="dxa"/>
            <w:vAlign w:val="center"/>
          </w:tcPr>
          <w:p w14:paraId="1C51E011">
            <w:pPr>
              <w:keepNext w:val="0"/>
              <w:keepLines w:val="0"/>
              <w:pageBreakBefore w:val="0"/>
              <w:widowControl w:val="0"/>
              <w:suppressLineNumbers w:val="0"/>
              <w:shd w:val="clear"/>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成交</w:t>
            </w:r>
            <w:r>
              <w:rPr>
                <w:rFonts w:hint="eastAsia" w:ascii="宋体" w:hAnsi="宋体" w:eastAsia="宋体" w:cs="宋体"/>
                <w:color w:val="auto"/>
                <w:kern w:val="2"/>
                <w:sz w:val="24"/>
                <w:szCs w:val="24"/>
                <w:highlight w:val="none"/>
                <w:lang w:val="zh-CN" w:eastAsia="zh-CN" w:bidi="ar-SA"/>
              </w:rPr>
              <w:t>通知书发出后30日内</w:t>
            </w:r>
            <w:r>
              <w:rPr>
                <w:rFonts w:hint="eastAsia" w:ascii="宋体" w:hAnsi="宋体" w:cs="宋体"/>
                <w:color w:val="auto"/>
                <w:kern w:val="2"/>
                <w:sz w:val="24"/>
                <w:szCs w:val="24"/>
                <w:highlight w:val="none"/>
                <w:lang w:val="zh-CN" w:eastAsia="zh-CN" w:bidi="ar-SA"/>
              </w:rPr>
              <w:t>。</w:t>
            </w:r>
          </w:p>
        </w:tc>
      </w:tr>
      <w:tr w14:paraId="458CDC2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8" w:type="dxa"/>
            <w:vAlign w:val="center"/>
          </w:tcPr>
          <w:p w14:paraId="44F5F521">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35</w:t>
            </w:r>
          </w:p>
        </w:tc>
        <w:tc>
          <w:tcPr>
            <w:tcW w:w="2147" w:type="dxa"/>
            <w:vAlign w:val="center"/>
          </w:tcPr>
          <w:p w14:paraId="130B97F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采购信息发布媒体</w:t>
            </w:r>
          </w:p>
        </w:tc>
        <w:tc>
          <w:tcPr>
            <w:tcW w:w="7332" w:type="dxa"/>
            <w:vAlign w:val="center"/>
          </w:tcPr>
          <w:p w14:paraId="5B70065B">
            <w:pPr>
              <w:keepNext w:val="0"/>
              <w:keepLines w:val="0"/>
              <w:pageBreakBefore w:val="0"/>
              <w:widowControl w:val="0"/>
              <w:suppressLineNumbers w:val="0"/>
              <w:shd w:val="clear"/>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浙江省政府采购网</w:t>
            </w:r>
          </w:p>
        </w:tc>
      </w:tr>
      <w:tr w14:paraId="12ECFC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58" w:type="dxa"/>
            <w:tcBorders>
              <w:bottom w:val="thinThickSmallGap" w:color="auto" w:sz="12" w:space="0"/>
            </w:tcBorders>
            <w:vAlign w:val="center"/>
          </w:tcPr>
          <w:p w14:paraId="725AD50F">
            <w:pPr>
              <w:keepNext w:val="0"/>
              <w:keepLines w:val="0"/>
              <w:pageBreakBefore w:val="0"/>
              <w:suppressLineNumbers w:val="0"/>
              <w:shd w:val="clear"/>
              <w:kinsoku/>
              <w:wordWrap/>
              <w:overflowPunct/>
              <w:topLinePunct w:val="0"/>
              <w:bidi w:val="0"/>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36</w:t>
            </w:r>
          </w:p>
        </w:tc>
        <w:tc>
          <w:tcPr>
            <w:tcW w:w="2147" w:type="dxa"/>
            <w:tcBorders>
              <w:bottom w:val="thinThickSmallGap" w:color="auto" w:sz="12" w:space="0"/>
            </w:tcBorders>
            <w:vAlign w:val="center"/>
          </w:tcPr>
          <w:p w14:paraId="5282029B">
            <w:pPr>
              <w:keepNext w:val="0"/>
              <w:keepLines w:val="0"/>
              <w:pageBreakBefore w:val="0"/>
              <w:widowControl w:val="0"/>
              <w:suppressLineNumbers w:val="0"/>
              <w:shd w:val="clear"/>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解释权</w:t>
            </w:r>
          </w:p>
        </w:tc>
        <w:tc>
          <w:tcPr>
            <w:tcW w:w="7332" w:type="dxa"/>
            <w:tcBorders>
              <w:bottom w:val="thinThickSmallGap" w:color="auto" w:sz="12" w:space="0"/>
            </w:tcBorders>
            <w:vAlign w:val="center"/>
          </w:tcPr>
          <w:p w14:paraId="7E7BCB03">
            <w:pPr>
              <w:pStyle w:val="112"/>
              <w:keepNext w:val="0"/>
              <w:keepLines w:val="0"/>
              <w:pageBreakBefore w:val="0"/>
              <w:widowControl w:val="0"/>
              <w:suppressLineNumbers w:val="0"/>
              <w:shd w:val="clear"/>
              <w:tabs>
                <w:tab w:val="left" w:pos="768"/>
              </w:tabs>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本文件的解释权属于采购人</w:t>
            </w:r>
          </w:p>
        </w:tc>
      </w:tr>
    </w:tbl>
    <w:p w14:paraId="61BD5E19">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eastAsia="zh-CN"/>
        </w:rPr>
      </w:pPr>
      <w:bookmarkStart w:id="316" w:name="_Toc11179"/>
      <w:bookmarkStart w:id="317" w:name="_Toc27407"/>
      <w:bookmarkStart w:id="318" w:name="_Toc22305"/>
      <w:bookmarkStart w:id="319" w:name="_Toc12958"/>
      <w:bookmarkStart w:id="320" w:name="_Toc5699"/>
      <w:bookmarkStart w:id="321" w:name="_Toc31099"/>
      <w:bookmarkStart w:id="322" w:name="_Toc1621"/>
      <w:bookmarkStart w:id="323" w:name="_Toc391298955"/>
      <w:bookmarkStart w:id="324" w:name="_Toc19659"/>
      <w:bookmarkStart w:id="325" w:name="_Toc15313"/>
      <w:bookmarkStart w:id="326" w:name="_Toc27367"/>
      <w:bookmarkStart w:id="327" w:name="_Toc25730"/>
      <w:bookmarkStart w:id="328" w:name="_Toc6094"/>
      <w:bookmarkStart w:id="329" w:name="_Toc28742"/>
      <w:bookmarkStart w:id="330" w:name="_Toc11668"/>
      <w:bookmarkStart w:id="331" w:name="_Toc21903"/>
      <w:bookmarkStart w:id="332" w:name="_Toc4113"/>
      <w:bookmarkStart w:id="333" w:name="_Toc12381"/>
      <w:bookmarkStart w:id="334" w:name="_Toc29625"/>
      <w:bookmarkStart w:id="335" w:name="_Toc26063"/>
      <w:bookmarkStart w:id="336" w:name="_Toc4630"/>
      <w:bookmarkStart w:id="337" w:name="_Toc30126"/>
      <w:bookmarkStart w:id="338" w:name="_Toc12403"/>
      <w:bookmarkStart w:id="339" w:name="_Toc17098"/>
      <w:bookmarkStart w:id="340" w:name="_Toc11984"/>
      <w:bookmarkStart w:id="341" w:name="_Toc16257"/>
      <w:bookmarkStart w:id="342" w:name="_Toc30408"/>
      <w:bookmarkStart w:id="343" w:name="_Toc11023"/>
      <w:bookmarkStart w:id="344" w:name="_Toc20312"/>
      <w:bookmarkStart w:id="345" w:name="_Toc331"/>
      <w:bookmarkStart w:id="346" w:name="_Toc19715"/>
      <w:bookmarkStart w:id="347" w:name="_Toc32668"/>
      <w:bookmarkStart w:id="348" w:name="_Toc24478"/>
      <w:bookmarkStart w:id="349" w:name="_Toc27241"/>
      <w:bookmarkStart w:id="350" w:name="_Toc18666"/>
      <w:bookmarkStart w:id="351" w:name="_Toc5481"/>
      <w:bookmarkStart w:id="352" w:name="_Toc19731"/>
      <w:bookmarkStart w:id="353" w:name="_Toc27406"/>
      <w:bookmarkStart w:id="354" w:name="_Toc3923"/>
    </w:p>
    <w:p w14:paraId="6EC7DC55">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eastAsia="zh-CN"/>
        </w:rPr>
      </w:pPr>
    </w:p>
    <w:p w14:paraId="7082F8FE">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eastAsia="zh-CN"/>
        </w:rPr>
      </w:pPr>
    </w:p>
    <w:p w14:paraId="47BCD769">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eastAsia="zh-CN"/>
        </w:rPr>
      </w:pPr>
    </w:p>
    <w:p w14:paraId="3180CCDB">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eastAsia="zh-CN"/>
        </w:rPr>
      </w:pPr>
    </w:p>
    <w:p w14:paraId="04CE5B2B">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eastAsia="zh-CN"/>
        </w:rPr>
      </w:pPr>
    </w:p>
    <w:p w14:paraId="0986B7BB">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eastAsia="zh-CN"/>
        </w:rPr>
      </w:pPr>
    </w:p>
    <w:p w14:paraId="29B3699F">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eastAsia="zh-CN"/>
        </w:rPr>
      </w:pPr>
    </w:p>
    <w:p w14:paraId="764FB125">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eastAsia="zh-CN"/>
        </w:rPr>
      </w:pPr>
    </w:p>
    <w:p w14:paraId="18E292D8">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eastAsia="zh-CN"/>
        </w:rPr>
      </w:pPr>
    </w:p>
    <w:p w14:paraId="5CA21757">
      <w:pPr>
        <w:rPr>
          <w:rFonts w:hint="eastAsia" w:ascii="宋体" w:hAnsi="宋体" w:eastAsia="宋体" w:cs="宋体"/>
          <w:b/>
          <w:bCs w:val="0"/>
          <w:color w:val="auto"/>
          <w:sz w:val="28"/>
          <w:szCs w:val="28"/>
          <w:highlight w:val="none"/>
          <w:lang w:val="en-US" w:eastAsia="zh-CN"/>
        </w:rPr>
      </w:pPr>
    </w:p>
    <w:p w14:paraId="0DFCE2F7">
      <w:pPr>
        <w:pStyle w:val="48"/>
        <w:rPr>
          <w:rFonts w:hint="eastAsia" w:ascii="宋体" w:hAnsi="宋体" w:eastAsia="宋体" w:cs="宋体"/>
          <w:b/>
          <w:bCs w:val="0"/>
          <w:color w:val="auto"/>
          <w:sz w:val="28"/>
          <w:szCs w:val="28"/>
          <w:highlight w:val="none"/>
          <w:lang w:val="en-US" w:eastAsia="zh-CN"/>
        </w:rPr>
      </w:pPr>
    </w:p>
    <w:p w14:paraId="74FCA9CA">
      <w:pPr>
        <w:pStyle w:val="48"/>
        <w:rPr>
          <w:rFonts w:hint="eastAsia" w:ascii="宋体" w:hAnsi="宋体" w:eastAsia="宋体" w:cs="宋体"/>
          <w:b/>
          <w:bCs w:val="0"/>
          <w:color w:val="auto"/>
          <w:sz w:val="28"/>
          <w:szCs w:val="28"/>
          <w:highlight w:val="none"/>
          <w:lang w:val="en-US" w:eastAsia="zh-CN"/>
        </w:rPr>
      </w:pPr>
    </w:p>
    <w:p w14:paraId="567D8456">
      <w:pPr>
        <w:ind w:left="0" w:leftChars="0" w:firstLine="0" w:firstLineChars="0"/>
        <w:rPr>
          <w:rFonts w:hint="eastAsia"/>
          <w:lang w:val="en-US" w:eastAsia="zh-CN"/>
        </w:rPr>
      </w:pPr>
    </w:p>
    <w:p w14:paraId="073EA0AC">
      <w:pPr>
        <w:ind w:left="0" w:leftChars="0" w:firstLine="0" w:firstLineChars="0"/>
        <w:rPr>
          <w:rFonts w:hint="eastAsia"/>
          <w:lang w:val="en-US" w:eastAsia="zh-CN"/>
        </w:rPr>
      </w:pPr>
    </w:p>
    <w:p w14:paraId="465F3DE8">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sz w:val="28"/>
          <w:szCs w:val="28"/>
          <w:highlight w:val="none"/>
          <w:lang w:val="en-US" w:eastAsia="zh-CN"/>
        </w:rPr>
        <w:t>二</w:t>
      </w:r>
      <w:r>
        <w:rPr>
          <w:rFonts w:hint="eastAsia" w:ascii="宋体" w:hAnsi="宋体" w:eastAsia="宋体" w:cs="宋体"/>
          <w:b/>
          <w:bCs w:val="0"/>
          <w:color w:val="auto"/>
          <w:sz w:val="28"/>
          <w:szCs w:val="28"/>
          <w:highlight w:val="none"/>
          <w:lang w:val="en-US"/>
        </w:rPr>
        <w:t>、说明</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A96DC4E">
      <w:pPr>
        <w:pStyle w:val="32"/>
        <w:keepNext w:val="0"/>
        <w:keepLines w:val="0"/>
        <w:pageBreakBefore w:val="0"/>
        <w:widowControl w:val="0"/>
        <w:numPr>
          <w:ilvl w:val="0"/>
          <w:numId w:val="6"/>
        </w:numPr>
        <w:shd w:val="clea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编制依据</w:t>
      </w:r>
    </w:p>
    <w:p w14:paraId="666F06BD">
      <w:pPr>
        <w:pStyle w:val="32"/>
        <w:keepNext w:val="0"/>
        <w:keepLines w:val="0"/>
        <w:pageBreakBefore w:val="0"/>
        <w:widowControl w:val="0"/>
        <w:shd w:val="clear"/>
        <w:kinsoku/>
        <w:wordWrap/>
        <w:overflowPunct/>
        <w:topLinePunct w:val="0"/>
        <w:autoSpaceDE/>
        <w:autoSpaceDN/>
        <w:bidi w:val="0"/>
        <w:adjustRightInd w:val="0"/>
        <w:snapToGrid w:val="0"/>
        <w:spacing w:line="312" w:lineRule="auto"/>
        <w:ind w:left="0"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《中华人民共和国政府采购法》《中华人民共和国政府采购法</w:t>
      </w:r>
      <w:r>
        <w:rPr>
          <w:rFonts w:hint="eastAsia" w:ascii="宋体" w:hAnsi="宋体" w:eastAsia="宋体" w:cs="宋体"/>
          <w:color w:val="auto"/>
          <w:sz w:val="24"/>
          <w:szCs w:val="24"/>
          <w:highlight w:val="none"/>
          <w:lang w:eastAsia="zh-CN"/>
        </w:rPr>
        <w:t>实施条例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政府采购货物和服务招标投标管理办法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财政部令第87号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有关采购</w:t>
      </w:r>
      <w:r>
        <w:rPr>
          <w:rFonts w:hint="eastAsia" w:ascii="宋体" w:hAnsi="宋体" w:eastAsia="宋体" w:cs="宋体"/>
          <w:color w:val="auto"/>
          <w:sz w:val="24"/>
          <w:szCs w:val="24"/>
          <w:highlight w:val="none"/>
          <w:lang w:val="en-US" w:eastAsia="zh-CN"/>
        </w:rPr>
        <w:t>管理的</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，编制本</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文件。</w:t>
      </w:r>
    </w:p>
    <w:p w14:paraId="571C5C05">
      <w:pPr>
        <w:pageBreakBefore w:val="0"/>
        <w:shd w:val="clear"/>
        <w:kinsoku/>
        <w:wordWrap/>
        <w:overflowPunct/>
        <w:topLinePunct w:val="0"/>
        <w:autoSpaceDE/>
        <w:autoSpaceDN/>
        <w:bidi w:val="0"/>
        <w:snapToGrid w:val="0"/>
        <w:spacing w:line="312" w:lineRule="auto"/>
        <w:ind w:firstLine="56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51319B33">
      <w:pPr>
        <w:pageBreakBefore w:val="0"/>
        <w:shd w:val="clear"/>
        <w:kinsoku/>
        <w:wordWrap/>
        <w:overflowPunct/>
        <w:topLinePunct w:val="0"/>
        <w:autoSpaceDE/>
        <w:autoSpaceDN/>
        <w:bidi w:val="0"/>
        <w:snapToGrid w:val="0"/>
        <w:spacing w:line="312" w:lineRule="auto"/>
        <w:ind w:firstLine="562"/>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采购人”系指“</w:t>
      </w:r>
      <w:r>
        <w:rPr>
          <w:rFonts w:hint="eastAsia" w:ascii="宋体" w:hAnsi="宋体" w:cs="宋体"/>
          <w:color w:val="auto"/>
          <w:sz w:val="24"/>
          <w:szCs w:val="24"/>
          <w:highlight w:val="none"/>
          <w:lang w:eastAsia="zh-CN"/>
        </w:rPr>
        <w:t>龙游县湖镇镇张家埠村股份经济合作社</w:t>
      </w:r>
      <w:r>
        <w:rPr>
          <w:rFonts w:hint="eastAsia" w:ascii="宋体" w:hAnsi="宋体" w:eastAsia="宋体" w:cs="宋体"/>
          <w:color w:val="auto"/>
          <w:sz w:val="24"/>
          <w:szCs w:val="24"/>
          <w:highlight w:val="none"/>
          <w:lang w:val="zh-CN"/>
        </w:rPr>
        <w:t>”。</w:t>
      </w:r>
    </w:p>
    <w:p w14:paraId="0C059F8A">
      <w:pPr>
        <w:pageBreakBefore w:val="0"/>
        <w:shd w:val="clear"/>
        <w:kinsoku/>
        <w:wordWrap/>
        <w:overflowPunct/>
        <w:topLinePunct w:val="0"/>
        <w:autoSpaceDE/>
        <w:autoSpaceDN/>
        <w:bidi w:val="0"/>
        <w:snapToGrid w:val="0"/>
        <w:spacing w:line="312" w:lineRule="auto"/>
        <w:ind w:firstLine="56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rPr>
        <w:t>”系指向</w:t>
      </w:r>
      <w:r>
        <w:rPr>
          <w:rFonts w:hint="eastAsia" w:ascii="宋体" w:hAnsi="宋体" w:eastAsia="宋体" w:cs="宋体"/>
          <w:color w:val="auto"/>
          <w:sz w:val="24"/>
          <w:szCs w:val="24"/>
          <w:highlight w:val="none"/>
          <w:lang w:val="zh-CN"/>
        </w:rPr>
        <w:t>采购人</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val="zh-CN"/>
        </w:rPr>
        <w:t>磋商响应</w:t>
      </w:r>
      <w:r>
        <w:rPr>
          <w:rFonts w:hint="eastAsia" w:ascii="宋体" w:hAnsi="宋体" w:eastAsia="宋体" w:cs="宋体"/>
          <w:color w:val="auto"/>
          <w:sz w:val="24"/>
          <w:szCs w:val="24"/>
          <w:highlight w:val="none"/>
        </w:rPr>
        <w:t>文件的供应商。</w:t>
      </w:r>
    </w:p>
    <w:p w14:paraId="56319B88">
      <w:pPr>
        <w:pageBreakBefore w:val="0"/>
        <w:shd w:val="clear"/>
        <w:kinsoku/>
        <w:wordWrap/>
        <w:overflowPunct/>
        <w:topLinePunct w:val="0"/>
        <w:autoSpaceDE/>
        <w:autoSpaceDN/>
        <w:bidi w:val="0"/>
        <w:snapToGrid w:val="0"/>
        <w:spacing w:line="312" w:lineRule="auto"/>
        <w:ind w:firstLine="56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zh-CN"/>
        </w:rPr>
        <w:t>采购代理机构</w:t>
      </w:r>
      <w:r>
        <w:rPr>
          <w:rFonts w:hint="eastAsia" w:ascii="宋体" w:hAnsi="宋体" w:eastAsia="宋体" w:cs="宋体"/>
          <w:color w:val="auto"/>
          <w:sz w:val="24"/>
          <w:szCs w:val="24"/>
          <w:highlight w:val="none"/>
          <w:lang w:val="zh-CN"/>
        </w:rPr>
        <w:t>”系指“</w:t>
      </w:r>
      <w:r>
        <w:rPr>
          <w:rFonts w:hint="eastAsia" w:ascii="宋体" w:hAnsi="宋体" w:cs="宋体"/>
          <w:color w:val="auto"/>
          <w:sz w:val="24"/>
          <w:szCs w:val="24"/>
          <w:highlight w:val="none"/>
          <w:lang w:eastAsia="zh-CN"/>
        </w:rPr>
        <w:t>浙江万兴工程管理有限公司</w:t>
      </w:r>
      <w:r>
        <w:rPr>
          <w:rFonts w:hint="eastAsia" w:ascii="宋体" w:hAnsi="宋体" w:eastAsia="宋体" w:cs="宋体"/>
          <w:color w:val="auto"/>
          <w:sz w:val="24"/>
          <w:szCs w:val="24"/>
          <w:highlight w:val="none"/>
          <w:lang w:val="zh-CN"/>
        </w:rPr>
        <w:t>”。</w:t>
      </w:r>
    </w:p>
    <w:p w14:paraId="5D38C275">
      <w:pPr>
        <w:pageBreakBefore w:val="0"/>
        <w:shd w:val="clear"/>
        <w:kinsoku/>
        <w:wordWrap/>
        <w:overflowPunct/>
        <w:topLinePunct w:val="0"/>
        <w:autoSpaceDE/>
        <w:autoSpaceDN/>
        <w:bidi w:val="0"/>
        <w:snapToGrid w:val="0"/>
        <w:spacing w:line="312" w:lineRule="auto"/>
        <w:ind w:firstLine="56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zh-CN"/>
        </w:rPr>
        <w:t>“货物”系指按本磋商文件中采购人所要求的</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zh-CN"/>
        </w:rPr>
        <w:t>。</w:t>
      </w:r>
    </w:p>
    <w:p w14:paraId="3CEBE61D">
      <w:pPr>
        <w:pageBreakBefore w:val="0"/>
        <w:shd w:val="clear"/>
        <w:kinsoku/>
        <w:wordWrap/>
        <w:overflowPunct/>
        <w:topLinePunct w:val="0"/>
        <w:autoSpaceDE/>
        <w:autoSpaceDN/>
        <w:bidi w:val="0"/>
        <w:snapToGrid w:val="0"/>
        <w:spacing w:line="312" w:lineRule="auto"/>
        <w:ind w:firstLine="562"/>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zh-CN"/>
        </w:rPr>
        <w:t>“服务”系指供应商按磋商文件规定为采购人提供货物的相关服务。</w:t>
      </w:r>
    </w:p>
    <w:p w14:paraId="6A0DF3C0">
      <w:pPr>
        <w:pageBreakBefore w:val="0"/>
        <w:shd w:val="clear"/>
        <w:kinsoku/>
        <w:wordWrap/>
        <w:overflowPunct/>
        <w:topLinePunct w:val="0"/>
        <w:autoSpaceDE/>
        <w:autoSpaceDN/>
        <w:bidi w:val="0"/>
        <w:snapToGrid w:val="0"/>
        <w:spacing w:line="312" w:lineRule="auto"/>
        <w:ind w:firstLine="562"/>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2.6“产品”系指供应商按磋商文件规定，须向采购人（使用单位或买方）提供一切仪器仪表、备品备件、工具、手册及其他有关技术资料和材料。</w:t>
      </w:r>
    </w:p>
    <w:p w14:paraId="46588C2C">
      <w:pPr>
        <w:pageBreakBefore w:val="0"/>
        <w:shd w:val="clear"/>
        <w:kinsoku/>
        <w:wordWrap/>
        <w:overflowPunct/>
        <w:topLinePunct w:val="0"/>
        <w:autoSpaceDE/>
        <w:autoSpaceDN/>
        <w:bidi w:val="0"/>
        <w:snapToGrid w:val="0"/>
        <w:spacing w:line="31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lang w:val="zh-CN"/>
        </w:rPr>
        <w:t>“▲”系指按本磋商文件要求供应商必须实质性响应的条款，有任何一项缺失或非实质性响应即刻取消其磋商资格。供应商自行承担其参加磋商所涉及的一切费用。</w:t>
      </w:r>
    </w:p>
    <w:p w14:paraId="5E4E7E9C">
      <w:pPr>
        <w:pageBreakBefore w:val="0"/>
        <w:shd w:val="clear"/>
        <w:kinsoku/>
        <w:wordWrap/>
        <w:overflowPunct/>
        <w:topLinePunct w:val="0"/>
        <w:autoSpaceDE/>
        <w:autoSpaceDN/>
        <w:bidi w:val="0"/>
        <w:snapToGrid w:val="0"/>
        <w:spacing w:line="312" w:lineRule="auto"/>
        <w:ind w:firstLine="562"/>
        <w:jc w:val="left"/>
        <w:textAlignment w:val="auto"/>
        <w:rPr>
          <w:rFonts w:hint="eastAsia" w:ascii="宋体" w:hAnsi="宋体" w:eastAsia="宋体" w:cs="宋体"/>
          <w:color w:val="auto"/>
          <w:sz w:val="24"/>
          <w:szCs w:val="24"/>
          <w:highlight w:val="none"/>
          <w:lang w:val="en-US" w:eastAsia="zh-CN"/>
        </w:rPr>
      </w:pPr>
      <w:bookmarkStart w:id="355" w:name="_Toc16235"/>
      <w:bookmarkStart w:id="356" w:name="_Toc22382"/>
      <w:bookmarkStart w:id="357" w:name="_Toc31767"/>
      <w:bookmarkStart w:id="358" w:name="_Toc24670"/>
      <w:bookmarkStart w:id="359" w:name="_Toc28373"/>
      <w:bookmarkStart w:id="360" w:name="_Toc26128"/>
      <w:bookmarkStart w:id="361" w:name="_Toc4520"/>
      <w:r>
        <w:rPr>
          <w:rFonts w:hint="eastAsia" w:ascii="宋体" w:hAnsi="宋体" w:eastAsia="宋体" w:cs="宋体"/>
          <w:color w:val="auto"/>
          <w:sz w:val="24"/>
          <w:szCs w:val="24"/>
          <w:highlight w:val="none"/>
          <w:lang w:val="en-US" w:eastAsia="zh-CN"/>
        </w:rPr>
        <w:t>3.采购方式</w:t>
      </w:r>
    </w:p>
    <w:p w14:paraId="08E8BDDA">
      <w:pPr>
        <w:pageBreakBefore w:val="0"/>
        <w:shd w:val="clear"/>
        <w:kinsoku/>
        <w:wordWrap/>
        <w:overflowPunct/>
        <w:topLinePunct w:val="0"/>
        <w:autoSpaceDE/>
        <w:autoSpaceDN/>
        <w:bidi w:val="0"/>
        <w:spacing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.1采购组织形式</w:t>
      </w:r>
      <w:r>
        <w:rPr>
          <w:rFonts w:hint="eastAsia" w:ascii="宋体" w:hAnsi="宋体" w:cs="宋体"/>
          <w:color w:val="auto"/>
          <w:sz w:val="24"/>
          <w:szCs w:val="24"/>
          <w:highlight w:val="none"/>
          <w:lang w:val="en-US" w:eastAsia="zh-CN"/>
        </w:rPr>
        <w:t>自行采购</w:t>
      </w:r>
      <w:r>
        <w:rPr>
          <w:rFonts w:hint="eastAsia" w:ascii="宋体" w:hAnsi="宋体" w:eastAsia="宋体" w:cs="宋体"/>
          <w:color w:val="auto"/>
          <w:sz w:val="24"/>
          <w:szCs w:val="24"/>
          <w:highlight w:val="none"/>
        </w:rPr>
        <w:t>委托代理。</w:t>
      </w:r>
    </w:p>
    <w:p w14:paraId="4506D744">
      <w:pPr>
        <w:pageBreakBefore w:val="0"/>
        <w:shd w:val="clear"/>
        <w:kinsoku/>
        <w:wordWrap/>
        <w:overflowPunct/>
        <w:topLinePunct w:val="0"/>
        <w:autoSpaceDE/>
        <w:autoSpaceDN/>
        <w:bidi w:val="0"/>
        <w:spacing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.2采用</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lang w:eastAsia="zh-CN"/>
        </w:rPr>
        <w:t>采购方式</w:t>
      </w:r>
      <w:r>
        <w:rPr>
          <w:rFonts w:hint="eastAsia" w:ascii="宋体" w:hAnsi="宋体" w:eastAsia="宋体" w:cs="宋体"/>
          <w:color w:val="auto"/>
          <w:sz w:val="24"/>
          <w:szCs w:val="24"/>
          <w:highlight w:val="none"/>
        </w:rPr>
        <w:t>。</w:t>
      </w:r>
    </w:p>
    <w:p w14:paraId="1A5035A8">
      <w:pPr>
        <w:pageBreakBefore w:val="0"/>
        <w:shd w:val="clear"/>
        <w:kinsoku/>
        <w:wordWrap/>
        <w:overflowPunct/>
        <w:topLinePunct w:val="0"/>
        <w:autoSpaceDE/>
        <w:autoSpaceDN/>
        <w:bidi w:val="0"/>
        <w:snapToGrid w:val="0"/>
        <w:spacing w:line="312" w:lineRule="auto"/>
        <w:ind w:firstLine="56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4.联合体</w:t>
      </w:r>
    </w:p>
    <w:p w14:paraId="7BAFBAFC">
      <w:pPr>
        <w:pageBreakBefore w:val="0"/>
        <w:shd w:val="clear"/>
        <w:kinsoku/>
        <w:wordWrap/>
        <w:overflowPunct/>
        <w:topLinePunct w:val="0"/>
        <w:autoSpaceDE/>
        <w:autoSpaceDN/>
        <w:bidi w:val="0"/>
        <w:snapToGrid w:val="0"/>
        <w:spacing w:line="312"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w:t>
      </w:r>
    </w:p>
    <w:p w14:paraId="598F4C05">
      <w:pPr>
        <w:pageBreakBefore w:val="0"/>
        <w:shd w:val="clear"/>
        <w:kinsoku/>
        <w:wordWrap/>
        <w:overflowPunct/>
        <w:topLinePunct w:val="0"/>
        <w:autoSpaceDE/>
        <w:autoSpaceDN/>
        <w:bidi w:val="0"/>
        <w:snapToGrid w:val="0"/>
        <w:spacing w:line="312" w:lineRule="auto"/>
        <w:ind w:firstLine="56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5.转包与分包</w:t>
      </w:r>
    </w:p>
    <w:p w14:paraId="53ED33E9">
      <w:pPr>
        <w:pageBreakBefore w:val="0"/>
        <w:shd w:val="clear"/>
        <w:kinsoku/>
        <w:wordWrap/>
        <w:overflowPunct/>
        <w:topLinePunct w:val="0"/>
        <w:autoSpaceDE/>
        <w:autoSpaceDN/>
        <w:bidi w:val="0"/>
        <w:snapToGrid w:val="0"/>
        <w:spacing w:line="312"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本项目不允许转包和分包。</w:t>
      </w:r>
      <w:bookmarkEnd w:id="355"/>
      <w:bookmarkEnd w:id="356"/>
      <w:bookmarkEnd w:id="357"/>
      <w:bookmarkEnd w:id="358"/>
      <w:bookmarkEnd w:id="359"/>
      <w:bookmarkEnd w:id="360"/>
      <w:bookmarkEnd w:id="361"/>
    </w:p>
    <w:p w14:paraId="59235BFD">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rPr>
      </w:pPr>
      <w:bookmarkStart w:id="362" w:name="_Toc15565"/>
      <w:bookmarkStart w:id="363" w:name="_Toc6916"/>
      <w:bookmarkStart w:id="364" w:name="_Toc10002"/>
      <w:bookmarkStart w:id="365" w:name="_Toc11784"/>
      <w:bookmarkStart w:id="366" w:name="_Toc13927"/>
      <w:bookmarkStart w:id="367" w:name="_Toc29806"/>
      <w:bookmarkStart w:id="368" w:name="_Toc21135"/>
      <w:bookmarkStart w:id="369" w:name="_Toc27482"/>
      <w:bookmarkStart w:id="370" w:name="_Toc29749"/>
      <w:bookmarkStart w:id="371" w:name="_Toc31945"/>
      <w:bookmarkStart w:id="372" w:name="_Toc27999"/>
      <w:bookmarkStart w:id="373" w:name="_Toc17275"/>
      <w:bookmarkStart w:id="374" w:name="_Toc26486"/>
      <w:bookmarkStart w:id="375" w:name="_Toc29252"/>
      <w:bookmarkStart w:id="376" w:name="_Toc4727"/>
      <w:bookmarkStart w:id="377" w:name="_Toc1924"/>
      <w:bookmarkStart w:id="378" w:name="_Toc29317"/>
      <w:bookmarkStart w:id="379" w:name="_Toc19389"/>
      <w:bookmarkStart w:id="380" w:name="_Toc13177"/>
      <w:bookmarkStart w:id="381" w:name="_Toc27890"/>
      <w:bookmarkStart w:id="382" w:name="_Toc20755"/>
      <w:bookmarkStart w:id="383" w:name="_Toc30926"/>
      <w:bookmarkStart w:id="384" w:name="_Toc9386"/>
      <w:bookmarkStart w:id="385" w:name="_Toc4844"/>
      <w:bookmarkStart w:id="386" w:name="_Toc4162"/>
      <w:bookmarkStart w:id="387" w:name="_Toc29952"/>
      <w:bookmarkStart w:id="388" w:name="_Toc24650"/>
      <w:bookmarkStart w:id="389" w:name="_Toc30221"/>
      <w:bookmarkStart w:id="390" w:name="_Toc391298956"/>
      <w:bookmarkStart w:id="391" w:name="_Toc19098"/>
      <w:bookmarkStart w:id="392" w:name="_Toc10213"/>
      <w:bookmarkStart w:id="393" w:name="_Toc9348"/>
      <w:bookmarkStart w:id="394" w:name="_Toc1767"/>
      <w:bookmarkStart w:id="395" w:name="_Toc14662"/>
      <w:bookmarkStart w:id="396" w:name="_Toc30552"/>
      <w:bookmarkStart w:id="397" w:name="_Toc5191"/>
      <w:bookmarkStart w:id="398" w:name="_Toc17350"/>
      <w:bookmarkStart w:id="399" w:name="_Toc19378"/>
      <w:bookmarkStart w:id="400" w:name="_Toc17144"/>
      <w:r>
        <w:rPr>
          <w:rFonts w:hint="eastAsia" w:ascii="宋体" w:hAnsi="宋体" w:eastAsia="宋体" w:cs="宋体"/>
          <w:b/>
          <w:bCs w:val="0"/>
          <w:color w:val="auto"/>
          <w:sz w:val="28"/>
          <w:szCs w:val="28"/>
          <w:highlight w:val="none"/>
          <w:lang w:val="en-US" w:eastAsia="zh-CN"/>
        </w:rPr>
        <w:t>三</w:t>
      </w:r>
      <w:r>
        <w:rPr>
          <w:rFonts w:hint="eastAsia" w:ascii="宋体" w:hAnsi="宋体" w:eastAsia="宋体" w:cs="宋体"/>
          <w:b/>
          <w:bCs w:val="0"/>
          <w:color w:val="auto"/>
          <w:sz w:val="28"/>
          <w:szCs w:val="28"/>
          <w:highlight w:val="none"/>
        </w:rPr>
        <w:t>、竞争性磋商文件</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668CE4F">
      <w:pPr>
        <w:keepNext w:val="0"/>
        <w:keepLines w:val="0"/>
        <w:pageBreakBefore w:val="0"/>
        <w:widowControl w:val="0"/>
        <w:shd w:val="clear"/>
        <w:kinsoku/>
        <w:wordWrap/>
        <w:overflowPunct/>
        <w:topLinePunct w:val="0"/>
        <w:autoSpaceDE/>
        <w:autoSpaceDN/>
        <w:bidi w:val="0"/>
        <w:adjustRightInd/>
        <w:spacing w:line="420" w:lineRule="exact"/>
        <w:ind w:firstLine="56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6.竞争性磋商文件的组成</w:t>
      </w:r>
    </w:p>
    <w:p w14:paraId="05D12995">
      <w:pPr>
        <w:keepNext w:val="0"/>
        <w:keepLines w:val="0"/>
        <w:pageBreakBefore w:val="0"/>
        <w:widowControl w:val="0"/>
        <w:shd w:val="clear"/>
        <w:kinsoku/>
        <w:wordWrap/>
        <w:overflowPunct/>
        <w:topLinePunct w:val="0"/>
        <w:autoSpaceDE/>
        <w:autoSpaceDN/>
        <w:bidi w:val="0"/>
        <w:adjustRightInd/>
        <w:spacing w:line="420" w:lineRule="exact"/>
        <w:ind w:firstLine="56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6.1竞争性磋商文件用于阐明所需采购磋商程序和合同主要条款。竞争性磋商文件由下述部分组成：</w:t>
      </w:r>
    </w:p>
    <w:p w14:paraId="24F8E24B">
      <w:pPr>
        <w:keepNext w:val="0"/>
        <w:keepLines w:val="0"/>
        <w:pageBreakBefore w:val="0"/>
        <w:widowControl w:val="0"/>
        <w:shd w:val="clear"/>
        <w:kinsoku/>
        <w:wordWrap/>
        <w:overflowPunct/>
        <w:topLinePunct w:val="0"/>
        <w:autoSpaceDE/>
        <w:autoSpaceDN/>
        <w:bidi w:val="0"/>
        <w:adjustRightInd/>
        <w:spacing w:line="420" w:lineRule="exact"/>
        <w:ind w:firstLine="56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(1)磋商公告</w:t>
      </w:r>
    </w:p>
    <w:p w14:paraId="47804E4A">
      <w:pPr>
        <w:keepNext w:val="0"/>
        <w:keepLines w:val="0"/>
        <w:pageBreakBefore w:val="0"/>
        <w:widowControl w:val="0"/>
        <w:shd w:val="clear"/>
        <w:kinsoku/>
        <w:wordWrap/>
        <w:overflowPunct/>
        <w:topLinePunct w:val="0"/>
        <w:autoSpaceDE/>
        <w:autoSpaceDN/>
        <w:bidi w:val="0"/>
        <w:adjustRightInd/>
        <w:spacing w:line="420" w:lineRule="exact"/>
        <w:ind w:firstLine="56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(2)供应商须知 </w:t>
      </w:r>
    </w:p>
    <w:p w14:paraId="790D2625">
      <w:pPr>
        <w:keepNext w:val="0"/>
        <w:keepLines w:val="0"/>
        <w:pageBreakBefore w:val="0"/>
        <w:widowControl w:val="0"/>
        <w:shd w:val="clear"/>
        <w:kinsoku/>
        <w:wordWrap/>
        <w:overflowPunct/>
        <w:topLinePunct w:val="0"/>
        <w:autoSpaceDE/>
        <w:autoSpaceDN/>
        <w:bidi w:val="0"/>
        <w:adjustRightInd/>
        <w:spacing w:line="420" w:lineRule="exact"/>
        <w:ind w:firstLine="56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(3)采购内容及要求</w:t>
      </w:r>
    </w:p>
    <w:p w14:paraId="4FA6E3F8">
      <w:pPr>
        <w:keepNext w:val="0"/>
        <w:keepLines w:val="0"/>
        <w:pageBreakBefore w:val="0"/>
        <w:widowControl w:val="0"/>
        <w:shd w:val="clear"/>
        <w:kinsoku/>
        <w:wordWrap/>
        <w:overflowPunct/>
        <w:topLinePunct w:val="0"/>
        <w:autoSpaceDE/>
        <w:autoSpaceDN/>
        <w:bidi w:val="0"/>
        <w:adjustRightInd/>
        <w:spacing w:line="420" w:lineRule="exact"/>
        <w:ind w:firstLine="562"/>
        <w:textAlignment w:val="auto"/>
        <w:rPr>
          <w:rFonts w:hint="eastAsia" w:ascii="宋体" w:hAnsi="宋体" w:eastAsia="宋体" w:cs="宋体"/>
          <w:color w:val="auto"/>
          <w:sz w:val="24"/>
          <w:szCs w:val="24"/>
          <w:highlight w:val="none"/>
        </w:rPr>
      </w:pPr>
      <w:bookmarkStart w:id="401" w:name="_Toc430490612"/>
      <w:bookmarkStart w:id="402" w:name="_Toc430492126"/>
      <w:bookmarkStart w:id="403" w:name="_Toc415567497"/>
      <w:bookmarkStart w:id="404" w:name="_Toc430488644"/>
      <w:bookmarkStart w:id="405" w:name="_Toc430489119"/>
      <w:bookmarkStart w:id="406" w:name="_Toc430422413"/>
      <w:bookmarkStart w:id="407" w:name="_Toc430488851"/>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磋商原则和磋商方法</w:t>
      </w:r>
    </w:p>
    <w:p w14:paraId="162FC51D">
      <w:pPr>
        <w:keepNext w:val="0"/>
        <w:keepLines w:val="0"/>
        <w:pageBreakBefore w:val="0"/>
        <w:widowControl w:val="0"/>
        <w:shd w:val="clear"/>
        <w:kinsoku/>
        <w:wordWrap/>
        <w:overflowPunct/>
        <w:topLinePunct w:val="0"/>
        <w:autoSpaceDE/>
        <w:autoSpaceDN/>
        <w:bidi w:val="0"/>
        <w:adjustRightInd/>
        <w:spacing w:line="420" w:lineRule="exact"/>
        <w:ind w:firstLine="56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14:paraId="541991C9">
      <w:pPr>
        <w:keepNext w:val="0"/>
        <w:keepLines w:val="0"/>
        <w:pageBreakBefore w:val="0"/>
        <w:widowControl w:val="0"/>
        <w:shd w:val="clear"/>
        <w:kinsoku/>
        <w:wordWrap/>
        <w:overflowPunct/>
        <w:topLinePunct w:val="0"/>
        <w:autoSpaceDE/>
        <w:autoSpaceDN/>
        <w:bidi w:val="0"/>
        <w:adjustRightInd/>
        <w:spacing w:line="420" w:lineRule="exact"/>
        <w:ind w:firstLine="56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(6)竞争性磋商响应文件格式</w:t>
      </w:r>
      <w:bookmarkEnd w:id="401"/>
      <w:bookmarkEnd w:id="402"/>
      <w:bookmarkEnd w:id="403"/>
      <w:bookmarkEnd w:id="404"/>
      <w:bookmarkEnd w:id="405"/>
      <w:bookmarkEnd w:id="406"/>
      <w:bookmarkEnd w:id="407"/>
    </w:p>
    <w:p w14:paraId="78AEC631">
      <w:pPr>
        <w:keepNext w:val="0"/>
        <w:keepLines w:val="0"/>
        <w:pageBreakBefore w:val="0"/>
        <w:widowControl w:val="0"/>
        <w:shd w:val="clear"/>
        <w:kinsoku/>
        <w:wordWrap/>
        <w:overflowPunct/>
        <w:topLinePunct w:val="0"/>
        <w:autoSpaceDE/>
        <w:autoSpaceDN/>
        <w:bidi w:val="0"/>
        <w:adjustRightInd/>
        <w:spacing w:line="420" w:lineRule="exact"/>
        <w:ind w:firstLine="56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7.竞争性磋商文件的澄清</w:t>
      </w:r>
      <w:r>
        <w:rPr>
          <w:rFonts w:hint="eastAsia" w:ascii="宋体" w:hAnsi="宋体" w:cs="宋体"/>
          <w:color w:val="auto"/>
          <w:sz w:val="24"/>
          <w:szCs w:val="24"/>
          <w:highlight w:val="none"/>
          <w:lang w:val="en-US" w:eastAsia="zh-CN"/>
        </w:rPr>
        <w:t>与修改</w:t>
      </w:r>
    </w:p>
    <w:p w14:paraId="7C54DC8F">
      <w:pPr>
        <w:keepNext w:val="0"/>
        <w:keepLines w:val="0"/>
        <w:pageBreakBefore w:val="0"/>
        <w:widowControl w:val="0"/>
        <w:shd w:val="clear"/>
        <w:kinsoku/>
        <w:wordWrap/>
        <w:overflowPunct/>
        <w:topLinePunct w:val="0"/>
        <w:autoSpaceDE/>
        <w:autoSpaceDN/>
        <w:bidi w:val="0"/>
        <w:adjustRightInd/>
        <w:spacing w:line="420" w:lineRule="exact"/>
        <w:ind w:firstLine="56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7.1供应商对竞争性磋商文件如有疑点，可要求澄清。按磋商</w:t>
      </w:r>
      <w:r>
        <w:rPr>
          <w:rFonts w:hint="eastAsia" w:ascii="宋体" w:hAnsi="宋体" w:eastAsia="宋体" w:cs="宋体"/>
          <w:color w:val="auto"/>
          <w:sz w:val="24"/>
          <w:szCs w:val="24"/>
          <w:highlight w:val="none"/>
        </w:rPr>
        <w:t>公告中的规定时间前在浙江政府采购网（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http://zfcg.czt.zj.gov.cn/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）予以公布答复，请所有获取磋商文件的供应商必须注意。</w:t>
      </w:r>
      <w:r>
        <w:rPr>
          <w:rFonts w:hint="eastAsia" w:ascii="宋体" w:hAnsi="宋体" w:eastAsia="宋体" w:cs="宋体"/>
          <w:bCs/>
          <w:color w:val="auto"/>
          <w:sz w:val="24"/>
          <w:szCs w:val="24"/>
          <w:highlight w:val="none"/>
        </w:rPr>
        <w:t>该澄清内容为竞争性磋商文件的组成部分。</w:t>
      </w:r>
    </w:p>
    <w:p w14:paraId="584F4F9B">
      <w:pPr>
        <w:keepNext w:val="0"/>
        <w:keepLines w:val="0"/>
        <w:pageBreakBefore w:val="0"/>
        <w:widowControl w:val="0"/>
        <w:shd w:val="clear"/>
        <w:kinsoku/>
        <w:wordWrap/>
        <w:overflowPunct/>
        <w:topLinePunct w:val="0"/>
        <w:autoSpaceDE/>
        <w:autoSpaceDN/>
        <w:bidi w:val="0"/>
        <w:adjustRightInd/>
        <w:spacing w:line="420" w:lineRule="exact"/>
        <w:ind w:firstLine="562"/>
        <w:textAlignment w:val="auto"/>
        <w:rPr>
          <w:rFonts w:hint="eastAsia" w:ascii="宋体" w:hAnsi="宋体" w:eastAsia="宋体" w:cs="宋体"/>
          <w:color w:val="auto"/>
          <w:sz w:val="24"/>
          <w:szCs w:val="24"/>
          <w:highlight w:val="none"/>
        </w:rPr>
      </w:pPr>
      <w:bookmarkStart w:id="408" w:name="_Toc415567498"/>
      <w:bookmarkStart w:id="409" w:name="_Toc430492127"/>
      <w:bookmarkStart w:id="410" w:name="_Toc430488645"/>
      <w:bookmarkStart w:id="411" w:name="_Toc430422414"/>
      <w:bookmarkStart w:id="412" w:name="_Toc430489120"/>
      <w:bookmarkStart w:id="413" w:name="_Toc430488852"/>
      <w:bookmarkStart w:id="414" w:name="_Toc430490613"/>
      <w:r>
        <w:rPr>
          <w:rFonts w:hint="eastAsia" w:ascii="宋体" w:hAnsi="宋体" w:cs="宋体"/>
          <w:bCs/>
          <w:color w:val="auto"/>
          <w:sz w:val="24"/>
          <w:szCs w:val="24"/>
          <w:highlight w:val="none"/>
          <w:lang w:val="en-US" w:eastAsia="zh-CN"/>
        </w:rPr>
        <w:t>7.2</w:t>
      </w:r>
      <w:bookmarkEnd w:id="408"/>
      <w:bookmarkEnd w:id="409"/>
      <w:bookmarkEnd w:id="410"/>
      <w:bookmarkEnd w:id="411"/>
      <w:bookmarkEnd w:id="412"/>
      <w:bookmarkEnd w:id="413"/>
      <w:bookmarkEnd w:id="414"/>
      <w:r>
        <w:rPr>
          <w:rFonts w:hint="eastAsia" w:ascii="宋体" w:hAnsi="宋体" w:eastAsia="宋体" w:cs="宋体"/>
          <w:bCs/>
          <w:color w:val="auto"/>
          <w:kern w:val="0"/>
          <w:sz w:val="24"/>
          <w:szCs w:val="24"/>
          <w:highlight w:val="none"/>
        </w:rPr>
        <w:t>采购人或者</w:t>
      </w:r>
      <w:r>
        <w:rPr>
          <w:rFonts w:hint="eastAsia" w:ascii="宋体" w:hAnsi="宋体" w:cs="宋体"/>
          <w:color w:val="auto"/>
          <w:sz w:val="24"/>
          <w:szCs w:val="24"/>
          <w:highlight w:val="none"/>
          <w:lang w:val="zh-CN"/>
        </w:rPr>
        <w:t>采购代理机构</w:t>
      </w:r>
      <w:r>
        <w:rPr>
          <w:rFonts w:hint="eastAsia" w:ascii="宋体" w:hAnsi="宋体" w:eastAsia="宋体" w:cs="宋体"/>
          <w:bCs/>
          <w:color w:val="auto"/>
          <w:kern w:val="0"/>
          <w:sz w:val="24"/>
          <w:szCs w:val="24"/>
          <w:highlight w:val="none"/>
        </w:rPr>
        <w:t>可以对已发出的磋商文件进行必要的澄清或者修改，以补充文件的形式</w:t>
      </w:r>
      <w:r>
        <w:rPr>
          <w:rFonts w:hint="eastAsia" w:ascii="宋体" w:hAnsi="宋体" w:eastAsia="宋体" w:cs="宋体"/>
          <w:color w:val="auto"/>
          <w:sz w:val="24"/>
          <w:szCs w:val="24"/>
          <w:highlight w:val="none"/>
        </w:rPr>
        <w:t>在浙江政府采购网（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http://zfcg.czt.zj.gov.cn/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）予以公布</w:t>
      </w:r>
      <w:r>
        <w:rPr>
          <w:rFonts w:hint="eastAsia" w:ascii="宋体" w:hAnsi="宋体" w:eastAsia="宋体" w:cs="宋体"/>
          <w:bCs/>
          <w:color w:val="auto"/>
          <w:kern w:val="0"/>
          <w:sz w:val="24"/>
          <w:szCs w:val="24"/>
          <w:highlight w:val="none"/>
        </w:rPr>
        <w:t>，澄清或者修改的内容作为磋商文件的组成部分。</w:t>
      </w:r>
    </w:p>
    <w:p w14:paraId="3E753CCB">
      <w:pPr>
        <w:keepNext w:val="0"/>
        <w:keepLines w:val="0"/>
        <w:pageBreakBefore w:val="0"/>
        <w:widowControl w:val="0"/>
        <w:shd w:val="clear"/>
        <w:kinsoku/>
        <w:wordWrap/>
        <w:overflowPunct/>
        <w:topLinePunct w:val="0"/>
        <w:autoSpaceDE/>
        <w:autoSpaceDN/>
        <w:bidi w:val="0"/>
        <w:adjustRightInd/>
        <w:snapToGrid w:val="0"/>
        <w:spacing w:line="420" w:lineRule="exact"/>
        <w:ind w:firstLine="562"/>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rPr>
        <w:t>▲特别说明：</w:t>
      </w:r>
    </w:p>
    <w:p w14:paraId="047440A7">
      <w:pPr>
        <w:keepNext w:val="0"/>
        <w:keepLines w:val="0"/>
        <w:pageBreakBefore w:val="0"/>
        <w:widowControl w:val="0"/>
        <w:shd w:val="clear"/>
        <w:kinsoku/>
        <w:wordWrap/>
        <w:overflowPunct/>
        <w:topLinePunct w:val="0"/>
        <w:autoSpaceDE/>
        <w:autoSpaceDN/>
        <w:bidi w:val="0"/>
        <w:adjustRightInd/>
        <w:spacing w:line="420" w:lineRule="exact"/>
        <w:ind w:firstLine="480"/>
        <w:textAlignment w:val="auto"/>
        <w:rPr>
          <w:rFonts w:hint="eastAsia" w:ascii="宋体" w:hAnsi="宋体" w:cs="宋体"/>
          <w:bCs/>
          <w:color w:val="auto"/>
          <w:highlight w:val="none"/>
        </w:rPr>
      </w:pPr>
      <w:bookmarkStart w:id="415" w:name="_Toc26251"/>
      <w:bookmarkStart w:id="416" w:name="_Toc2007"/>
      <w:bookmarkStart w:id="417" w:name="_Toc17678"/>
      <w:bookmarkStart w:id="418" w:name="_Toc16631"/>
      <w:bookmarkStart w:id="419" w:name="_Toc24622"/>
      <w:bookmarkStart w:id="420" w:name="_Toc8388"/>
      <w:bookmarkStart w:id="421" w:name="_Toc8804"/>
      <w:bookmarkStart w:id="422" w:name="_Toc8644"/>
      <w:bookmarkStart w:id="423" w:name="_Toc9195"/>
      <w:bookmarkStart w:id="424" w:name="_Toc1828"/>
      <w:bookmarkStart w:id="425" w:name="_Toc12898"/>
      <w:bookmarkStart w:id="426" w:name="_Toc391298957"/>
      <w:bookmarkStart w:id="427" w:name="_Toc26603"/>
      <w:bookmarkStart w:id="428" w:name="_Toc15453"/>
      <w:bookmarkStart w:id="429" w:name="_Toc31210"/>
      <w:bookmarkStart w:id="430" w:name="_Toc16757"/>
      <w:bookmarkStart w:id="431" w:name="_Toc11921"/>
      <w:bookmarkStart w:id="432" w:name="_Toc8860"/>
      <w:bookmarkStart w:id="433" w:name="_Toc7782"/>
      <w:bookmarkStart w:id="434" w:name="_Toc8584"/>
      <w:bookmarkStart w:id="435" w:name="_Toc16617"/>
      <w:bookmarkStart w:id="436" w:name="_Toc18702"/>
      <w:bookmarkStart w:id="437" w:name="_Toc30162"/>
      <w:bookmarkStart w:id="438" w:name="_Toc10657"/>
      <w:bookmarkStart w:id="439" w:name="_Toc30122"/>
      <w:bookmarkStart w:id="440" w:name="_Toc26050"/>
      <w:bookmarkStart w:id="441" w:name="_Toc6273"/>
      <w:bookmarkStart w:id="442" w:name="_Toc13462"/>
      <w:bookmarkStart w:id="443" w:name="_Toc6563"/>
      <w:bookmarkStart w:id="444" w:name="_Toc30640"/>
      <w:bookmarkStart w:id="445" w:name="_Toc2461"/>
      <w:bookmarkStart w:id="446" w:name="_Toc2929"/>
      <w:bookmarkStart w:id="447" w:name="_Toc30296"/>
      <w:bookmarkStart w:id="448" w:name="_Toc30012"/>
      <w:bookmarkStart w:id="449" w:name="_Toc6387"/>
      <w:bookmarkStart w:id="450" w:name="_Toc26178"/>
      <w:bookmarkStart w:id="451" w:name="_Toc32074"/>
      <w:bookmarkStart w:id="452" w:name="_Toc6766"/>
      <w:r>
        <w:rPr>
          <w:rFonts w:hint="eastAsia" w:ascii="宋体" w:hAnsi="宋体" w:cs="宋体"/>
          <w:bCs/>
          <w:color w:val="auto"/>
          <w:highlight w:val="none"/>
          <w:lang w:val="en-US" w:eastAsia="zh-CN"/>
        </w:rPr>
        <w:t>8.1</w:t>
      </w:r>
      <w:r>
        <w:rPr>
          <w:rFonts w:hint="eastAsia" w:ascii="宋体" w:hAnsi="宋体" w:cs="宋体"/>
          <w:bCs/>
          <w:color w:val="auto"/>
          <w:highlight w:val="none"/>
        </w:rPr>
        <w:t>单位负责人为同一人或者存在直接控股、管理关系的不同供应商，不得参加本项目的政府采购活动。</w:t>
      </w:r>
    </w:p>
    <w:p w14:paraId="4603DE90">
      <w:pPr>
        <w:keepNext w:val="0"/>
        <w:keepLines w:val="0"/>
        <w:pageBreakBefore w:val="0"/>
        <w:widowControl w:val="0"/>
        <w:shd w:val="clear"/>
        <w:kinsoku/>
        <w:wordWrap/>
        <w:overflowPunct/>
        <w:topLinePunct w:val="0"/>
        <w:autoSpaceDE/>
        <w:autoSpaceDN/>
        <w:bidi w:val="0"/>
        <w:adjustRightInd/>
        <w:spacing w:line="420" w:lineRule="exact"/>
        <w:ind w:firstLine="480"/>
        <w:textAlignment w:val="auto"/>
        <w:rPr>
          <w:rFonts w:hint="eastAsia" w:ascii="宋体" w:hAnsi="宋体" w:cs="宋体"/>
          <w:bCs/>
          <w:color w:val="auto"/>
          <w:highlight w:val="none"/>
        </w:rPr>
      </w:pPr>
      <w:r>
        <w:rPr>
          <w:rFonts w:hint="eastAsia" w:ascii="宋体" w:hAnsi="宋体" w:cs="宋体"/>
          <w:bCs/>
          <w:color w:val="auto"/>
          <w:highlight w:val="none"/>
          <w:lang w:val="en-US" w:eastAsia="zh-CN"/>
        </w:rPr>
        <w:t>8.2</w:t>
      </w:r>
      <w:r>
        <w:rPr>
          <w:rFonts w:hint="eastAsia" w:ascii="宋体" w:hAnsi="宋体" w:cs="宋体"/>
          <w:bCs/>
          <w:color w:val="auto"/>
          <w:highlight w:val="none"/>
        </w:rPr>
        <w:t>供应商投标所使用的资格、信誉、荣誉、业绩与企业认证必须为本法人所拥有。供应商母公司（总机构）或者同一母公司下属的其他子公司（同一总机构下属的其他分支机构）的资格、信誉、荣誉、业绩与企业认证等，不为该供应商所拥有。</w:t>
      </w:r>
    </w:p>
    <w:p w14:paraId="30CE0397">
      <w:pPr>
        <w:keepNext w:val="0"/>
        <w:keepLines w:val="0"/>
        <w:pageBreakBefore w:val="0"/>
        <w:widowControl w:val="0"/>
        <w:shd w:val="clear"/>
        <w:kinsoku/>
        <w:wordWrap/>
        <w:overflowPunct/>
        <w:topLinePunct w:val="0"/>
        <w:autoSpaceDE/>
        <w:autoSpaceDN/>
        <w:bidi w:val="0"/>
        <w:adjustRightInd/>
        <w:spacing w:line="420" w:lineRule="exact"/>
        <w:ind w:firstLine="480"/>
        <w:textAlignment w:val="auto"/>
        <w:rPr>
          <w:rFonts w:hint="eastAsia" w:ascii="宋体" w:hAnsi="宋体" w:cs="宋体"/>
          <w:bCs/>
          <w:color w:val="auto"/>
          <w:highlight w:val="none"/>
        </w:rPr>
      </w:pPr>
      <w:r>
        <w:rPr>
          <w:rFonts w:hint="eastAsia" w:ascii="宋体" w:hAnsi="宋体" w:cs="宋体"/>
          <w:bCs/>
          <w:color w:val="auto"/>
          <w:highlight w:val="none"/>
          <w:lang w:val="en-US" w:eastAsia="zh-CN"/>
        </w:rPr>
        <w:t>8.3</w:t>
      </w:r>
      <w:r>
        <w:rPr>
          <w:rFonts w:hint="eastAsia" w:ascii="宋体" w:hAnsi="宋体" w:cs="宋体"/>
          <w:bCs/>
          <w:color w:val="auto"/>
          <w:highlight w:val="none"/>
        </w:rPr>
        <w:t>供应商应仔细阅读磋商文件的所有内容，按照磋商文件的要求提交</w:t>
      </w:r>
      <w:r>
        <w:rPr>
          <w:rFonts w:hint="eastAsia" w:ascii="宋体" w:hAnsi="宋体" w:cs="宋体"/>
          <w:bCs/>
          <w:color w:val="auto"/>
          <w:highlight w:val="none"/>
          <w:lang w:eastAsia="zh-CN"/>
        </w:rPr>
        <w:t>响应文件</w:t>
      </w:r>
      <w:r>
        <w:rPr>
          <w:rFonts w:hint="eastAsia" w:ascii="宋体" w:hAnsi="宋体" w:cs="宋体"/>
          <w:bCs/>
          <w:color w:val="auto"/>
          <w:highlight w:val="none"/>
        </w:rPr>
        <w:t>，并对所提供的全部资料的真实性承担法律责任。</w:t>
      </w:r>
    </w:p>
    <w:p w14:paraId="6E8BE1D6">
      <w:pPr>
        <w:keepNext w:val="0"/>
        <w:keepLines w:val="0"/>
        <w:pageBreakBefore w:val="0"/>
        <w:widowControl w:val="0"/>
        <w:shd w:val="clear"/>
        <w:kinsoku/>
        <w:wordWrap/>
        <w:overflowPunct/>
        <w:topLinePunct w:val="0"/>
        <w:autoSpaceDE/>
        <w:autoSpaceDN/>
        <w:bidi w:val="0"/>
        <w:adjustRightInd/>
        <w:spacing w:line="420" w:lineRule="exact"/>
        <w:ind w:firstLine="480"/>
        <w:textAlignment w:val="auto"/>
        <w:rPr>
          <w:rFonts w:hint="eastAsia" w:ascii="宋体" w:hAnsi="宋体" w:cs="宋体"/>
          <w:bCs/>
          <w:color w:val="auto"/>
          <w:highlight w:val="none"/>
        </w:rPr>
      </w:pPr>
      <w:r>
        <w:rPr>
          <w:rFonts w:hint="eastAsia" w:ascii="宋体" w:hAnsi="宋体" w:cs="宋体"/>
          <w:bCs/>
          <w:color w:val="auto"/>
          <w:highlight w:val="none"/>
          <w:lang w:val="en-US" w:eastAsia="zh-CN"/>
        </w:rPr>
        <w:t>8.4</w:t>
      </w:r>
      <w:r>
        <w:rPr>
          <w:rFonts w:hint="eastAsia" w:ascii="宋体" w:hAnsi="宋体" w:cs="宋体"/>
          <w:bCs/>
          <w:color w:val="auto"/>
          <w:highlight w:val="none"/>
        </w:rPr>
        <w:t>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D02513C">
      <w:pPr>
        <w:keepNext w:val="0"/>
        <w:keepLines w:val="0"/>
        <w:pageBreakBefore w:val="0"/>
        <w:widowControl w:val="0"/>
        <w:shd w:val="clear"/>
        <w:kinsoku/>
        <w:wordWrap/>
        <w:overflowPunct/>
        <w:topLinePunct w:val="0"/>
        <w:autoSpaceDE/>
        <w:autoSpaceDN/>
        <w:bidi w:val="0"/>
        <w:adjustRightInd/>
        <w:spacing w:line="420" w:lineRule="exact"/>
        <w:ind w:firstLine="480"/>
        <w:textAlignment w:val="auto"/>
        <w:rPr>
          <w:rFonts w:hint="eastAsia" w:ascii="宋体" w:hAnsi="宋体" w:cs="宋体"/>
          <w:bCs/>
          <w:color w:val="auto"/>
          <w:highlight w:val="none"/>
        </w:rPr>
      </w:pPr>
      <w:r>
        <w:rPr>
          <w:rFonts w:hint="eastAsia" w:ascii="宋体" w:hAnsi="宋体" w:cs="宋体"/>
          <w:bCs/>
          <w:color w:val="auto"/>
          <w:highlight w:val="none"/>
          <w:lang w:val="en-US" w:eastAsia="zh-CN"/>
        </w:rPr>
        <w:t>8.5</w:t>
      </w:r>
      <w:r>
        <w:rPr>
          <w:rFonts w:hint="eastAsia" w:ascii="宋体" w:hAnsi="宋体" w:cs="宋体"/>
          <w:bCs/>
          <w:color w:val="auto"/>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w:t>
      </w:r>
      <w:r>
        <w:rPr>
          <w:rFonts w:hint="eastAsia" w:ascii="宋体" w:hAnsi="宋体" w:cs="宋体"/>
          <w:bCs/>
          <w:color w:val="auto"/>
          <w:highlight w:val="none"/>
          <w:lang w:eastAsia="zh-CN"/>
        </w:rPr>
        <w:t>响应文件</w:t>
      </w:r>
      <w:r>
        <w:rPr>
          <w:rFonts w:hint="eastAsia" w:ascii="宋体" w:hAnsi="宋体" w:cs="宋体"/>
          <w:bCs/>
          <w:color w:val="auto"/>
          <w:highlight w:val="none"/>
        </w:rPr>
        <w:t>中予以特别说明，否则，采购人可以拒绝其</w:t>
      </w:r>
      <w:r>
        <w:rPr>
          <w:rFonts w:hint="eastAsia" w:ascii="宋体" w:hAnsi="宋体" w:cs="宋体"/>
          <w:bCs/>
          <w:color w:val="auto"/>
          <w:highlight w:val="none"/>
          <w:lang w:eastAsia="zh-CN"/>
        </w:rPr>
        <w:t>响应文件</w:t>
      </w:r>
      <w:r>
        <w:rPr>
          <w:rFonts w:hint="eastAsia" w:ascii="宋体" w:hAnsi="宋体" w:cs="宋体"/>
          <w:bCs/>
          <w:color w:val="auto"/>
          <w:highlight w:val="none"/>
        </w:rPr>
        <w:t>。</w:t>
      </w:r>
    </w:p>
    <w:p w14:paraId="37EC54DE">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rPr>
      </w:pPr>
      <w:bookmarkStart w:id="453" w:name="_Toc25089"/>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、竞争性磋商响应文件的编写</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578A1BD">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9.要求</w:t>
      </w:r>
    </w:p>
    <w:p w14:paraId="7DD4AB11">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9.1</w:t>
      </w:r>
      <w:r>
        <w:rPr>
          <w:rFonts w:hint="eastAsia" w:ascii="宋体" w:hAnsi="宋体" w:eastAsia="宋体" w:cs="宋体"/>
          <w:bCs/>
          <w:color w:val="auto"/>
          <w:highlight w:val="none"/>
        </w:rPr>
        <w:t>供应商</w:t>
      </w:r>
      <w:r>
        <w:rPr>
          <w:rFonts w:hint="eastAsia" w:ascii="宋体" w:hAnsi="宋体" w:eastAsia="宋体" w:cs="宋体"/>
          <w:color w:val="auto"/>
          <w:highlight w:val="none"/>
        </w:rPr>
        <w:t>应仔细阅读竞争性磋商文件的所有内容，按照竞争性磋商文件的要求提交竞争性磋商响应文件。竞争性磋商响应文件应对竞争性磋商文件的要求</w:t>
      </w:r>
      <w:r>
        <w:rPr>
          <w:rFonts w:hint="eastAsia" w:ascii="宋体" w:hAnsi="宋体" w:cs="宋体"/>
          <w:color w:val="auto"/>
          <w:highlight w:val="none"/>
          <w:lang w:eastAsia="zh-CN"/>
        </w:rPr>
        <w:t>作出</w:t>
      </w:r>
      <w:r>
        <w:rPr>
          <w:rFonts w:hint="eastAsia" w:ascii="宋体" w:hAnsi="宋体" w:eastAsia="宋体" w:cs="宋体"/>
          <w:color w:val="auto"/>
          <w:highlight w:val="none"/>
        </w:rPr>
        <w:t>实质性响应，并保证所提供的全部资料的真实性，否则视其为虚假响应，其响应将被否决。</w:t>
      </w:r>
    </w:p>
    <w:p w14:paraId="5025BF52">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9.2报价</w:t>
      </w:r>
    </w:p>
    <w:p w14:paraId="6638ED31">
      <w:pPr>
        <w:pageBreakBefore w:val="0"/>
        <w:shd w:val="clear"/>
        <w:kinsoku/>
        <w:wordWrap/>
        <w:overflowPunct/>
        <w:topLinePunct w:val="0"/>
        <w:autoSpaceDE/>
        <w:autoSpaceDN/>
        <w:bidi w:val="0"/>
        <w:spacing w:line="420" w:lineRule="exact"/>
        <w:ind w:firstLine="480"/>
        <w:textAlignment w:val="auto"/>
        <w:rPr>
          <w:rFonts w:hint="eastAsia" w:ascii="宋体" w:hAnsi="宋体" w:cs="宋体"/>
          <w:color w:val="auto"/>
          <w:highlight w:val="none"/>
          <w:lang w:eastAsia="zh-CN"/>
        </w:rPr>
      </w:pPr>
      <w:r>
        <w:rPr>
          <w:rFonts w:hint="eastAsia" w:ascii="宋体" w:hAnsi="宋体" w:eastAsia="宋体" w:cs="宋体"/>
          <w:color w:val="auto"/>
          <w:highlight w:val="none"/>
        </w:rPr>
        <w:t>9.2.1本次报价非一次性报价，报价币种为人民币。在磋商后根据磋商情况（包括细化采购方案和要求，增补部分采购内容等），供应商须最终报价。</w:t>
      </w:r>
      <w:r>
        <w:rPr>
          <w:rFonts w:hint="eastAsia" w:ascii="宋体" w:hAnsi="宋体" w:eastAsia="宋体" w:cs="宋体"/>
          <w:color w:val="auto"/>
          <w:highlight w:val="none"/>
          <w:lang w:eastAsia="zh-CN"/>
        </w:rPr>
        <w:t>磋商报价</w:t>
      </w:r>
      <w:r>
        <w:rPr>
          <w:rFonts w:hint="eastAsia" w:ascii="宋体" w:hAnsi="宋体" w:eastAsia="宋体" w:cs="宋体"/>
          <w:color w:val="auto"/>
          <w:highlight w:val="none"/>
        </w:rPr>
        <w:t>应为供应商在正确地完全履行合同义务后采购人应支付的全部价款，</w:t>
      </w:r>
      <w:r>
        <w:rPr>
          <w:rFonts w:hint="eastAsia" w:ascii="宋体" w:hAnsi="宋体" w:cs="宋体"/>
          <w:color w:val="auto"/>
          <w:highlight w:val="none"/>
          <w:lang w:eastAsia="zh-CN"/>
        </w:rPr>
        <w:t>包括但不限于货物、随配附件、材料、备品备件、工具、运输费、保险费、装卸费（含二次搬运）、安装调试费、设计费、现场施工配合费、采购代理费、售后服务、培训费、税金和利润等完成合同所需的一切本身和不可或缺的所有工作开支、政策性文件规定及合同包含的所有风险、责任等各项全部费用。如有漏项，视同已包含在其他项目中，单价不作调整。</w:t>
      </w:r>
    </w:p>
    <w:p w14:paraId="424D2A4B">
      <w:pPr>
        <w:pageBreakBefore w:val="0"/>
        <w:shd w:val="clear"/>
        <w:kinsoku/>
        <w:wordWrap/>
        <w:overflowPunct/>
        <w:topLinePunct w:val="0"/>
        <w:autoSpaceDE/>
        <w:autoSpaceDN/>
        <w:bidi w:val="0"/>
        <w:spacing w:line="420" w:lineRule="exact"/>
        <w:ind w:firstLine="48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9.2.2</w:t>
      </w:r>
      <w:r>
        <w:rPr>
          <w:rFonts w:hint="eastAsia" w:ascii="宋体" w:hAnsi="宋体" w:cs="宋体"/>
          <w:color w:val="auto"/>
          <w:highlight w:val="none"/>
          <w:lang w:eastAsia="zh-CN"/>
        </w:rPr>
        <w:t>报价清单中设备数量有变化时,据实调整,但单价不变。</w:t>
      </w:r>
    </w:p>
    <w:p w14:paraId="3B7CB00C">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10.竞争性磋商响应文件语言</w:t>
      </w:r>
    </w:p>
    <w:p w14:paraId="491A1670">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竞争性磋商响应文件应用中文书写。竞争性磋商响应文件中所附或所引用的原件不是中文时，应附中文译本。各种计量单位及符号应采用国际上统一使用的公制计量单位和符号。</w:t>
      </w:r>
    </w:p>
    <w:p w14:paraId="0B6BA90E">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11.竞争性磋商响应文件的组成</w:t>
      </w:r>
    </w:p>
    <w:p w14:paraId="4AB3AF74">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b w:val="0"/>
          <w:color w:val="auto"/>
          <w:sz w:val="24"/>
          <w:szCs w:val="24"/>
          <w:highlight w:val="none"/>
        </w:rPr>
        <w:t>▲</w:t>
      </w:r>
      <w:r>
        <w:rPr>
          <w:rFonts w:hint="eastAsia" w:ascii="宋体" w:hAnsi="宋体" w:eastAsia="宋体" w:cs="宋体"/>
          <w:color w:val="auto"/>
          <w:highlight w:val="none"/>
        </w:rPr>
        <w:t>竞争性磋商响应文件</w:t>
      </w:r>
      <w:r>
        <w:rPr>
          <w:rFonts w:hint="eastAsia" w:ascii="宋体" w:hAnsi="宋体" w:eastAsia="宋体" w:cs="宋体"/>
          <w:b w:val="0"/>
          <w:color w:val="auto"/>
          <w:sz w:val="24"/>
          <w:szCs w:val="24"/>
          <w:highlight w:val="none"/>
          <w:lang w:val="zh-CN" w:eastAsia="zh-CN"/>
        </w:rPr>
        <w:t>由</w:t>
      </w:r>
      <w:r>
        <w:rPr>
          <w:rFonts w:hint="eastAsia" w:ascii="宋体" w:hAnsi="宋体" w:eastAsia="宋体" w:cs="宋体"/>
          <w:bCs w:val="0"/>
          <w:color w:val="auto"/>
          <w:sz w:val="24"/>
          <w:highlight w:val="none"/>
        </w:rPr>
        <w:t>资格部分</w:t>
      </w:r>
      <w:r>
        <w:rPr>
          <w:rFonts w:hint="eastAsia" w:ascii="宋体" w:hAnsi="宋体" w:eastAsia="宋体" w:cs="宋体"/>
          <w:bCs w:val="0"/>
          <w:color w:val="auto"/>
          <w:sz w:val="24"/>
          <w:highlight w:val="none"/>
          <w:lang w:eastAsia="zh-CN"/>
        </w:rPr>
        <w:t>、</w:t>
      </w:r>
      <w:r>
        <w:rPr>
          <w:rFonts w:hint="eastAsia" w:ascii="宋体" w:hAnsi="宋体" w:eastAsia="宋体" w:cs="宋体"/>
          <w:b w:val="0"/>
          <w:bCs w:val="0"/>
          <w:color w:val="auto"/>
          <w:kern w:val="2"/>
          <w:sz w:val="24"/>
          <w:szCs w:val="24"/>
          <w:highlight w:val="none"/>
          <w:lang w:eastAsia="zh-CN" w:bidi="ar-SA"/>
        </w:rPr>
        <w:t>商务技术部分</w:t>
      </w:r>
      <w:r>
        <w:rPr>
          <w:rFonts w:hint="eastAsia" w:ascii="宋体" w:hAnsi="宋体" w:eastAsia="宋体" w:cs="宋体"/>
          <w:b w:val="0"/>
          <w:bCs w:val="0"/>
          <w:color w:val="auto"/>
          <w:kern w:val="2"/>
          <w:sz w:val="24"/>
          <w:szCs w:val="24"/>
          <w:highlight w:val="none"/>
          <w:lang w:val="en-US" w:eastAsia="zh-CN" w:bidi="ar-SA"/>
        </w:rPr>
        <w:t>及</w:t>
      </w:r>
      <w:r>
        <w:rPr>
          <w:rFonts w:hint="eastAsia" w:ascii="宋体" w:hAnsi="宋体" w:eastAsia="宋体" w:cs="宋体"/>
          <w:b w:val="0"/>
          <w:bCs w:val="0"/>
          <w:color w:val="auto"/>
          <w:kern w:val="2"/>
          <w:sz w:val="24"/>
          <w:szCs w:val="24"/>
          <w:highlight w:val="none"/>
          <w:lang w:eastAsia="zh-CN" w:bidi="ar-SA"/>
        </w:rPr>
        <w:t>报价</w:t>
      </w:r>
      <w:r>
        <w:rPr>
          <w:rFonts w:hint="eastAsia" w:ascii="宋体" w:hAnsi="宋体" w:eastAsia="宋体" w:cs="宋体"/>
          <w:bCs w:val="0"/>
          <w:color w:val="auto"/>
          <w:sz w:val="24"/>
          <w:highlight w:val="none"/>
        </w:rPr>
        <w:t>部分</w:t>
      </w:r>
      <w:r>
        <w:rPr>
          <w:rFonts w:hint="eastAsia" w:ascii="宋体" w:hAnsi="宋体" w:eastAsia="宋体" w:cs="宋体"/>
          <w:b w:val="0"/>
          <w:color w:val="auto"/>
          <w:sz w:val="24"/>
          <w:szCs w:val="24"/>
          <w:highlight w:val="none"/>
          <w:lang w:val="zh-CN" w:eastAsia="zh-CN"/>
        </w:rPr>
        <w:t>三部分组成</w:t>
      </w:r>
      <w:r>
        <w:rPr>
          <w:rFonts w:hint="eastAsia" w:ascii="宋体" w:hAnsi="宋体" w:eastAsia="宋体" w:cs="宋体"/>
          <w:color w:val="auto"/>
          <w:sz w:val="24"/>
          <w:szCs w:val="24"/>
          <w:highlight w:val="none"/>
        </w:rPr>
        <w:t>。</w:t>
      </w:r>
      <w:r>
        <w:rPr>
          <w:rFonts w:hint="eastAsia" w:ascii="宋体" w:hAnsi="宋体" w:eastAsia="宋体" w:cs="宋体"/>
          <w:color w:val="auto"/>
          <w:highlight w:val="none"/>
        </w:rPr>
        <w:t>包括但不限于以下内容（封装形式：一正二副，封装成一袋）：</w:t>
      </w:r>
    </w:p>
    <w:p w14:paraId="056B2A47">
      <w:pPr>
        <w:pStyle w:val="8"/>
        <w:pageBreakBefore w:val="0"/>
        <w:numPr>
          <w:ilvl w:val="4"/>
          <w:numId w:val="0"/>
        </w:numPr>
        <w:shd w:val="clear"/>
        <w:tabs>
          <w:tab w:val="left" w:pos="1458"/>
        </w:tabs>
        <w:kinsoku/>
        <w:wordWrap/>
        <w:overflowPunct/>
        <w:topLinePunct w:val="0"/>
        <w:autoSpaceDE/>
        <w:autoSpaceDN/>
        <w:bidi w:val="0"/>
        <w:spacing w:line="420" w:lineRule="exact"/>
        <w:ind w:firstLine="482" w:firstLineChars="200"/>
        <w:textAlignment w:val="auto"/>
        <w:rPr>
          <w:rFonts w:hint="eastAsia" w:ascii="宋体" w:hAnsi="宋体" w:eastAsia="宋体" w:cs="宋体"/>
          <w:bCs/>
          <w:color w:val="auto"/>
          <w:sz w:val="24"/>
          <w:highlight w:val="none"/>
        </w:rPr>
      </w:pPr>
      <w:bookmarkStart w:id="454" w:name="_Toc8291"/>
      <w:r>
        <w:rPr>
          <w:rFonts w:hint="eastAsia" w:ascii="宋体" w:hAnsi="宋体" w:eastAsia="宋体" w:cs="宋体"/>
          <w:bCs/>
          <w:color w:val="auto"/>
          <w:sz w:val="24"/>
          <w:highlight w:val="none"/>
        </w:rPr>
        <w:t>11.1 ▲资格部分</w:t>
      </w:r>
      <w:bookmarkEnd w:id="454"/>
    </w:p>
    <w:p w14:paraId="07489A12">
      <w:pPr>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lang w:val="en-US" w:eastAsia="zh-CN"/>
        </w:rPr>
        <w:t>供应商基本情况表；（附件1）</w:t>
      </w:r>
    </w:p>
    <w:p w14:paraId="6FC1550D">
      <w:pPr>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lang w:val="en-US" w:eastAsia="zh-CN"/>
        </w:rPr>
        <w:t>提供有效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《营业执照》复印件并加盖</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lang w:val="en-US" w:eastAsia="en-US"/>
        </w:rPr>
        <w:t xml:space="preserve">； </w:t>
      </w:r>
    </w:p>
    <w:p w14:paraId="6A8690D1">
      <w:pPr>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w:t>
      </w: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lang w:val="en-US" w:eastAsia="en-US"/>
        </w:rPr>
        <w:t>符合参加采购活动应当具备的一般条件的承诺函；（附件2）</w:t>
      </w:r>
    </w:p>
    <w:p w14:paraId="20377305">
      <w:pPr>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highlight w:val="none"/>
        </w:rPr>
        <w:t>▲</w:t>
      </w:r>
      <w:r>
        <w:rPr>
          <w:rFonts w:hint="eastAsia" w:ascii="宋体" w:hAnsi="宋体" w:eastAsia="宋体" w:cs="宋体"/>
          <w:color w:val="auto"/>
          <w:lang w:val="en-US" w:eastAsia="zh-CN" w:bidi="ar"/>
        </w:rPr>
        <w:t>提供</w:t>
      </w:r>
      <w:r>
        <w:rPr>
          <w:rFonts w:hint="eastAsia" w:ascii="宋体" w:hAnsi="宋体" w:eastAsia="宋体" w:cs="宋体"/>
          <w:color w:val="auto"/>
          <w:lang w:eastAsia="en-US" w:bidi="ar"/>
        </w:rPr>
        <w:t>《中小企业声明函》</w:t>
      </w:r>
      <w:r>
        <w:rPr>
          <w:rFonts w:hint="eastAsia" w:ascii="宋体" w:hAnsi="宋体" w:eastAsia="宋体" w:cs="宋体"/>
          <w:color w:val="auto"/>
          <w:lang w:eastAsia="zh-CN" w:bidi="ar"/>
        </w:rPr>
        <w:t>或</w:t>
      </w:r>
      <w:r>
        <w:rPr>
          <w:rFonts w:hint="eastAsia" w:ascii="宋体" w:hAnsi="宋体" w:eastAsia="宋体" w:cs="宋体"/>
          <w:color w:val="auto"/>
          <w:lang w:eastAsia="en-US" w:bidi="ar"/>
        </w:rPr>
        <w:t>监狱企业声明函（监狱企业须提供）</w:t>
      </w:r>
      <w:r>
        <w:rPr>
          <w:rFonts w:hint="eastAsia" w:ascii="宋体" w:hAnsi="宋体" w:eastAsia="宋体" w:cs="宋体"/>
          <w:color w:val="auto"/>
          <w:lang w:eastAsia="zh-CN" w:bidi="ar"/>
        </w:rPr>
        <w:t>或</w:t>
      </w:r>
      <w:r>
        <w:rPr>
          <w:rFonts w:hint="eastAsia" w:ascii="宋体" w:hAnsi="宋体" w:eastAsia="宋体" w:cs="宋体"/>
          <w:color w:val="auto"/>
          <w:lang w:eastAsia="en-US" w:bidi="ar"/>
        </w:rPr>
        <w:t>残疾人福利性单位声明函（残疾人福利</w:t>
      </w:r>
      <w:r>
        <w:rPr>
          <w:rFonts w:hint="eastAsia" w:ascii="宋体" w:hAnsi="宋体" w:eastAsia="宋体" w:cs="Times New Roman"/>
          <w:strike w:val="0"/>
          <w:dstrike w:val="0"/>
          <w:color w:val="auto"/>
          <w:sz w:val="24"/>
          <w:szCs w:val="24"/>
          <w:highlight w:val="none"/>
        </w:rPr>
        <w:t>性单位须提供）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w:t>
      </w:r>
    </w:p>
    <w:p w14:paraId="182CAC10">
      <w:pPr>
        <w:keepNext w:val="0"/>
        <w:keepLines w:val="0"/>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snapToGrid/>
          <w:color w:val="auto"/>
          <w:sz w:val="24"/>
          <w:szCs w:val="24"/>
          <w:highlight w:val="none"/>
          <w:lang w:val="en-US" w:eastAsia="en-US" w:bidi="ar-SA"/>
        </w:rPr>
      </w:pPr>
      <w:r>
        <w:rPr>
          <w:rFonts w:hint="eastAsia" w:ascii="宋体" w:hAnsi="宋体" w:eastAsia="宋体" w:cs="宋体"/>
          <w:b/>
          <w:bCs/>
          <w:snapToGrid/>
          <w:color w:val="auto"/>
          <w:sz w:val="24"/>
          <w:szCs w:val="24"/>
          <w:highlight w:val="none"/>
          <w:lang w:val="en-US" w:eastAsia="en-US" w:bidi="ar-SA"/>
        </w:rPr>
        <w:t>注：以上</w:t>
      </w:r>
      <w:r>
        <w:rPr>
          <w:rFonts w:hint="eastAsia" w:ascii="宋体" w:hAnsi="宋体" w:cs="宋体"/>
          <w:b/>
          <w:bCs/>
          <w:snapToGrid/>
          <w:color w:val="auto"/>
          <w:sz w:val="24"/>
          <w:szCs w:val="24"/>
          <w:highlight w:val="none"/>
          <w:lang w:val="en-US" w:eastAsia="zh-CN" w:bidi="ar-SA"/>
        </w:rPr>
        <w:t>资格部分</w:t>
      </w:r>
      <w:r>
        <w:rPr>
          <w:rFonts w:hint="eastAsia" w:ascii="宋体" w:hAnsi="宋体" w:eastAsia="宋体" w:cs="宋体"/>
          <w:b/>
          <w:bCs/>
          <w:snapToGrid/>
          <w:color w:val="auto"/>
          <w:sz w:val="24"/>
          <w:szCs w:val="24"/>
          <w:highlight w:val="none"/>
          <w:lang w:val="en-US" w:eastAsia="en-US" w:bidi="ar-SA"/>
        </w:rPr>
        <w:t>为通过式评审</w:t>
      </w:r>
      <w:r>
        <w:rPr>
          <w:rFonts w:hint="eastAsia" w:ascii="宋体" w:hAnsi="宋体" w:cs="宋体"/>
          <w:b/>
          <w:bCs/>
          <w:snapToGrid/>
          <w:color w:val="auto"/>
          <w:sz w:val="24"/>
          <w:szCs w:val="24"/>
          <w:highlight w:val="none"/>
          <w:lang w:val="en-US" w:eastAsia="zh-CN" w:bidi="ar-SA"/>
        </w:rPr>
        <w:t>，</w:t>
      </w:r>
      <w:r>
        <w:rPr>
          <w:rFonts w:hint="eastAsia" w:ascii="宋体" w:hAnsi="宋体" w:eastAsia="宋体" w:cs="宋体"/>
          <w:b/>
          <w:bCs/>
          <w:snapToGrid/>
          <w:color w:val="auto"/>
          <w:sz w:val="24"/>
          <w:szCs w:val="24"/>
          <w:highlight w:val="none"/>
          <w:lang w:val="en-US" w:eastAsia="en-US" w:bidi="ar-SA"/>
        </w:rPr>
        <w:t>如有缺少或不符合要求的</w:t>
      </w:r>
      <w:r>
        <w:rPr>
          <w:rFonts w:hint="eastAsia" w:ascii="宋体" w:hAnsi="宋体" w:cs="宋体"/>
          <w:b/>
          <w:bCs/>
          <w:snapToGrid/>
          <w:color w:val="auto"/>
          <w:sz w:val="24"/>
          <w:szCs w:val="24"/>
          <w:highlight w:val="none"/>
          <w:lang w:val="en-US" w:eastAsia="zh-CN" w:bidi="ar-SA"/>
        </w:rPr>
        <w:t>，</w:t>
      </w:r>
      <w:r>
        <w:rPr>
          <w:rFonts w:hint="eastAsia" w:ascii="宋体" w:hAnsi="宋体" w:eastAsia="宋体" w:cs="宋体"/>
          <w:b/>
          <w:bCs/>
          <w:snapToGrid/>
          <w:color w:val="auto"/>
          <w:sz w:val="24"/>
          <w:szCs w:val="24"/>
          <w:highlight w:val="none"/>
          <w:lang w:val="en-US" w:eastAsia="en-US" w:bidi="ar-SA"/>
        </w:rPr>
        <w:t>则视为资格审查不予通过。</w:t>
      </w:r>
    </w:p>
    <w:p w14:paraId="6F268F58">
      <w:pPr>
        <w:pStyle w:val="110"/>
        <w:keepNext w:val="0"/>
        <w:keepLines w:val="0"/>
        <w:pageBreakBefore w:val="0"/>
        <w:widowControl w:val="0"/>
        <w:numPr>
          <w:ilvl w:val="255"/>
          <w:numId w:val="0"/>
        </w:numPr>
        <w:shd w:val="clear"/>
        <w:tabs>
          <w:tab w:val="left" w:pos="0"/>
        </w:tabs>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color w:val="auto"/>
          <w:kern w:val="2"/>
          <w:sz w:val="24"/>
          <w:szCs w:val="24"/>
          <w:highlight w:val="none"/>
          <w:lang w:eastAsia="zh-CN" w:bidi="ar-SA"/>
        </w:rPr>
      </w:pPr>
      <w:r>
        <w:rPr>
          <w:rFonts w:hint="eastAsia" w:ascii="宋体" w:hAnsi="宋体" w:eastAsia="宋体" w:cs="宋体"/>
          <w:b/>
          <w:bCs/>
          <w:color w:val="auto"/>
          <w:kern w:val="2"/>
          <w:sz w:val="24"/>
          <w:szCs w:val="24"/>
          <w:highlight w:val="none"/>
          <w:lang w:eastAsia="zh-CN" w:bidi="ar-SA"/>
        </w:rPr>
        <w:t>11.2 商务技术部分</w:t>
      </w:r>
    </w:p>
    <w:p w14:paraId="434138C5">
      <w:pPr>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bCs/>
          <w:color w:val="auto"/>
          <w:sz w:val="24"/>
          <w:highlight w:val="none"/>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磋商函；（附件</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324E50F9">
      <w:pPr>
        <w:keepNext w:val="0"/>
        <w:keepLines w:val="0"/>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bCs/>
          <w:color w:val="auto"/>
          <w:sz w:val="24"/>
          <w:highlight w:val="none"/>
        </w:rPr>
        <w:t>▲</w:t>
      </w:r>
      <w:r>
        <w:rPr>
          <w:rFonts w:hint="eastAsia" w:ascii="宋体" w:hAnsi="宋体" w:cs="宋体"/>
          <w:color w:val="auto"/>
          <w:highlight w:val="none"/>
          <w:lang w:val="en-US" w:eastAsia="zh-CN"/>
        </w:rPr>
        <w:t>法定代表人身份</w:t>
      </w:r>
      <w:r>
        <w:rPr>
          <w:rFonts w:hint="eastAsia" w:ascii="宋体" w:hAnsi="宋体" w:eastAsia="宋体" w:cs="宋体"/>
          <w:color w:val="auto"/>
          <w:highlight w:val="none"/>
        </w:rPr>
        <w:t>证明或</w:t>
      </w:r>
      <w:r>
        <w:rPr>
          <w:rFonts w:hint="eastAsia" w:ascii="宋体" w:hAnsi="宋体" w:cs="宋体"/>
          <w:color w:val="auto"/>
          <w:highlight w:val="none"/>
          <w:lang w:val="en-US" w:eastAsia="zh-CN"/>
        </w:rPr>
        <w:t>法定代表人</w:t>
      </w:r>
      <w:r>
        <w:rPr>
          <w:rFonts w:hint="eastAsia" w:ascii="宋体" w:hAnsi="宋体" w:eastAsia="宋体" w:cs="宋体"/>
          <w:color w:val="auto"/>
          <w:highlight w:val="none"/>
        </w:rPr>
        <w:t>授权委托书</w:t>
      </w:r>
      <w:r>
        <w:rPr>
          <w:rFonts w:hint="eastAsia" w:ascii="宋体" w:hAnsi="宋体" w:eastAsia="宋体" w:cs="宋体"/>
          <w:color w:val="000000" w:themeColor="text1"/>
          <w:sz w:val="24"/>
          <w:szCs w:val="24"/>
          <w:highlight w:val="none"/>
          <w:lang w:val="zh-CN" w:eastAsia="zh-CN"/>
          <w14:textFill>
            <w14:solidFill>
              <w14:schemeClr w14:val="tx1"/>
            </w14:solidFill>
          </w14:textFill>
        </w:rPr>
        <w:t>；（附件</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20CB8078">
      <w:pPr>
        <w:keepNext w:val="0"/>
        <w:keepLines w:val="0"/>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类似业绩一览表；（附件</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75B15062">
      <w:pPr>
        <w:keepNext w:val="0"/>
        <w:keepLines w:val="0"/>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rtl w:val="0"/>
          <w:lang w:val="zh-Hans" w:eastAsia="zh-CN" w:bidi="ar"/>
          <w14:textFill>
            <w14:solidFill>
              <w14:schemeClr w14:val="tx1"/>
            </w14:solidFill>
          </w14:textFill>
        </w:rPr>
        <w:t>技术</w:t>
      </w:r>
      <w:r>
        <w:rPr>
          <w:rFonts w:hint="eastAsia" w:ascii="宋体" w:hAnsi="宋体" w:eastAsia="宋体" w:cs="宋体"/>
          <w:i w:val="0"/>
          <w:iCs w:val="0"/>
          <w:color w:val="000000" w:themeColor="text1"/>
          <w:kern w:val="0"/>
          <w:sz w:val="24"/>
          <w:szCs w:val="24"/>
          <w:highlight w:val="none"/>
          <w:u w:val="none"/>
          <w:rtl w:val="0"/>
          <w:lang w:val="en-US" w:eastAsia="zh-CN" w:bidi="ar"/>
          <w14:textFill>
            <w14:solidFill>
              <w14:schemeClr w14:val="tx1"/>
            </w14:solidFill>
          </w14:textFill>
        </w:rPr>
        <w:t>要求</w:t>
      </w:r>
      <w:r>
        <w:rPr>
          <w:rFonts w:hint="eastAsia" w:ascii="宋体" w:hAnsi="宋体" w:eastAsia="宋体" w:cs="宋体"/>
          <w:i w:val="0"/>
          <w:iCs w:val="0"/>
          <w:color w:val="000000" w:themeColor="text1"/>
          <w:kern w:val="0"/>
          <w:sz w:val="24"/>
          <w:szCs w:val="24"/>
          <w:highlight w:val="none"/>
          <w:u w:val="none"/>
          <w:rtl w:val="0"/>
          <w:lang w:val="zh-Hans" w:eastAsia="zh-CN" w:bidi="ar"/>
          <w14:textFill>
            <w14:solidFill>
              <w14:schemeClr w14:val="tx1"/>
            </w14:solidFill>
          </w14:textFill>
        </w:rPr>
        <w:t>偏离表；（附件</w:t>
      </w:r>
      <w:r>
        <w:rPr>
          <w:rFonts w:hint="eastAsia" w:ascii="宋体" w:hAnsi="宋体" w:cs="宋体"/>
          <w:i w:val="0"/>
          <w:iCs w:val="0"/>
          <w:color w:val="000000" w:themeColor="text1"/>
          <w:kern w:val="0"/>
          <w:sz w:val="24"/>
          <w:szCs w:val="24"/>
          <w:highlight w:val="none"/>
          <w:u w:val="none"/>
          <w:rtl w:val="0"/>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24"/>
          <w:szCs w:val="24"/>
          <w:highlight w:val="none"/>
          <w:u w:val="none"/>
          <w:rtl w:val="0"/>
          <w:lang w:val="zh-Hans" w:eastAsia="zh-CN" w:bidi="ar"/>
          <w14:textFill>
            <w14:solidFill>
              <w14:schemeClr w14:val="tx1"/>
            </w14:solidFill>
          </w14:textFill>
        </w:rPr>
        <w:t>）</w:t>
      </w:r>
    </w:p>
    <w:p w14:paraId="1A26E315">
      <w:pPr>
        <w:keepNext w:val="0"/>
        <w:keepLines w:val="0"/>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bookmarkStart w:id="455" w:name="OLE_LINK21"/>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bookmarkEnd w:id="455"/>
      <w:r>
        <w:rPr>
          <w:rFonts w:hint="eastAsia" w:ascii="宋体" w:hAnsi="宋体" w:eastAsia="宋体" w:cs="宋体"/>
          <w:i w:val="0"/>
          <w:iCs w:val="0"/>
          <w:color w:val="000000" w:themeColor="text1"/>
          <w:kern w:val="0"/>
          <w:sz w:val="24"/>
          <w:szCs w:val="24"/>
          <w:highlight w:val="none"/>
          <w:u w:val="none"/>
          <w:rtl w:val="0"/>
          <w:lang w:val="zh-Hans" w:eastAsia="zh-CN" w:bidi="ar"/>
          <w14:textFill>
            <w14:solidFill>
              <w14:schemeClr w14:val="tx1"/>
            </w14:solidFill>
          </w14:textFill>
        </w:rPr>
        <w:t>商务</w:t>
      </w:r>
      <w:r>
        <w:rPr>
          <w:rFonts w:hint="eastAsia" w:ascii="宋体" w:hAnsi="宋体" w:eastAsia="宋体" w:cs="宋体"/>
          <w:i w:val="0"/>
          <w:iCs w:val="0"/>
          <w:color w:val="000000" w:themeColor="text1"/>
          <w:kern w:val="0"/>
          <w:sz w:val="24"/>
          <w:szCs w:val="24"/>
          <w:highlight w:val="none"/>
          <w:u w:val="none"/>
          <w:rtl w:val="0"/>
          <w:lang w:val="en-US" w:eastAsia="zh-CN" w:bidi="ar"/>
          <w14:textFill>
            <w14:solidFill>
              <w14:schemeClr w14:val="tx1"/>
            </w14:solidFill>
          </w14:textFill>
        </w:rPr>
        <w:t>要求</w:t>
      </w:r>
      <w:r>
        <w:rPr>
          <w:rFonts w:hint="eastAsia" w:ascii="宋体" w:hAnsi="宋体" w:eastAsia="宋体" w:cs="宋体"/>
          <w:i w:val="0"/>
          <w:iCs w:val="0"/>
          <w:color w:val="000000" w:themeColor="text1"/>
          <w:kern w:val="0"/>
          <w:sz w:val="24"/>
          <w:szCs w:val="24"/>
          <w:highlight w:val="none"/>
          <w:u w:val="none"/>
          <w:rtl w:val="0"/>
          <w:lang w:val="zh-Hans" w:eastAsia="zh-CN" w:bidi="ar"/>
          <w14:textFill>
            <w14:solidFill>
              <w14:schemeClr w14:val="tx1"/>
            </w14:solidFill>
          </w14:textFill>
        </w:rPr>
        <w:t>偏离表；（附件</w:t>
      </w:r>
      <w:r>
        <w:rPr>
          <w:rFonts w:hint="eastAsia" w:ascii="宋体" w:hAnsi="宋体" w:cs="宋体"/>
          <w:i w:val="0"/>
          <w:iCs w:val="0"/>
          <w:color w:val="000000" w:themeColor="text1"/>
          <w:kern w:val="0"/>
          <w:sz w:val="24"/>
          <w:szCs w:val="24"/>
          <w:highlight w:val="none"/>
          <w:u w:val="none"/>
          <w:rtl w:val="0"/>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4"/>
          <w:szCs w:val="24"/>
          <w:highlight w:val="none"/>
          <w:u w:val="none"/>
          <w:rtl w:val="0"/>
          <w:lang w:val="zh-Hans" w:eastAsia="zh-CN" w:bidi="ar"/>
          <w14:textFill>
            <w14:solidFill>
              <w14:schemeClr w14:val="tx1"/>
            </w14:solidFill>
          </w14:textFill>
        </w:rPr>
        <w:t>）</w:t>
      </w:r>
    </w:p>
    <w:p w14:paraId="2CFFDB61">
      <w:pPr>
        <w:keepNext w:val="0"/>
        <w:keepLines w:val="0"/>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设计方案</w:t>
      </w:r>
      <w:r>
        <w:rPr>
          <w:rFonts w:hint="eastAsia" w:ascii="宋体" w:hAnsi="宋体" w:eastAsia="宋体" w:cs="宋体"/>
          <w:color w:val="000000" w:themeColor="text1"/>
          <w:sz w:val="24"/>
          <w:highlight w:val="none"/>
          <w:lang w:eastAsia="zh-CN"/>
          <w14:textFill>
            <w14:solidFill>
              <w14:schemeClr w14:val="tx1"/>
            </w14:solidFill>
          </w14:textFill>
        </w:rPr>
        <w:t>；</w:t>
      </w:r>
    </w:p>
    <w:p w14:paraId="26E3326A">
      <w:pPr>
        <w:keepNext w:val="0"/>
        <w:keepLines w:val="0"/>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设计效果图</w:t>
      </w:r>
      <w:r>
        <w:rPr>
          <w:rFonts w:hint="eastAsia" w:ascii="宋体" w:hAnsi="宋体" w:eastAsia="宋体" w:cs="宋体"/>
          <w:color w:val="000000" w:themeColor="text1"/>
          <w:sz w:val="24"/>
          <w:highlight w:val="none"/>
          <w:lang w:eastAsia="zh-CN"/>
          <w14:textFill>
            <w14:solidFill>
              <w14:schemeClr w14:val="tx1"/>
            </w14:solidFill>
          </w14:textFill>
        </w:rPr>
        <w:t>；</w:t>
      </w:r>
    </w:p>
    <w:p w14:paraId="33970B5D">
      <w:pPr>
        <w:keepNext w:val="0"/>
        <w:keepLines w:val="0"/>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实施方案；</w:t>
      </w:r>
      <w:r>
        <w:rPr>
          <w:rFonts w:hint="eastAsia" w:ascii="宋体" w:hAnsi="宋体" w:eastAsia="宋体" w:cs="宋体"/>
          <w:color w:val="000000" w:themeColor="text1"/>
          <w:szCs w:val="21"/>
          <w:highlight w:val="none"/>
          <w:lang w:val="zh-CN" w:eastAsia="zh-CN"/>
          <w14:textFill>
            <w14:solidFill>
              <w14:schemeClr w14:val="tx1"/>
            </w14:solidFill>
          </w14:textFill>
        </w:rPr>
        <w:t xml:space="preserve">  </w:t>
      </w:r>
    </w:p>
    <w:p w14:paraId="5BEB539D">
      <w:pPr>
        <w:keepNext w:val="0"/>
        <w:keepLines w:val="0"/>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w:t>
      </w:r>
    </w:p>
    <w:p w14:paraId="7FF78373">
      <w:pPr>
        <w:keepNext w:val="0"/>
        <w:keepLines w:val="0"/>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lang w:val="zh-CN"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（10）技术支持及服务承诺书；</w:t>
      </w:r>
      <w:r>
        <w:rPr>
          <w:rFonts w:hint="eastAsia" w:ascii="宋体" w:hAnsi="宋体" w:eastAsia="宋体" w:cs="宋体"/>
          <w:i w:val="0"/>
          <w:iCs w:val="0"/>
          <w:color w:val="000000" w:themeColor="text1"/>
          <w:kern w:val="0"/>
          <w:sz w:val="24"/>
          <w:szCs w:val="24"/>
          <w:highlight w:val="none"/>
          <w:u w:val="none"/>
          <w:rtl w:val="0"/>
          <w:lang w:val="zh-Hans" w:eastAsia="zh-CN" w:bidi="ar"/>
          <w14:textFill>
            <w14:solidFill>
              <w14:schemeClr w14:val="tx1"/>
            </w14:solidFill>
          </w14:textFill>
        </w:rPr>
        <w:t>（附件</w:t>
      </w:r>
      <w:r>
        <w:rPr>
          <w:rFonts w:hint="eastAsia" w:ascii="宋体" w:hAnsi="宋体" w:cs="宋体"/>
          <w:i w:val="0"/>
          <w:iCs w:val="0"/>
          <w:color w:val="000000" w:themeColor="text1"/>
          <w:kern w:val="0"/>
          <w:sz w:val="24"/>
          <w:szCs w:val="24"/>
          <w:highlight w:val="none"/>
          <w:u w:val="none"/>
          <w:rtl w:val="0"/>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4"/>
          <w:szCs w:val="24"/>
          <w:highlight w:val="none"/>
          <w:u w:val="none"/>
          <w:rtl w:val="0"/>
          <w:lang w:val="zh-Hans" w:eastAsia="zh-CN" w:bidi="ar"/>
          <w14:textFill>
            <w14:solidFill>
              <w14:schemeClr w14:val="tx1"/>
            </w14:solidFill>
          </w14:textFill>
        </w:rPr>
        <w:t>）</w:t>
      </w:r>
    </w:p>
    <w:p w14:paraId="79CD7327">
      <w:pPr>
        <w:keepNext w:val="0"/>
        <w:keepLines w:val="0"/>
        <w:pageBreakBefore w:val="0"/>
        <w:numPr>
          <w:ilvl w:val="-1"/>
          <w:numId w:val="0"/>
        </w:numPr>
        <w:shd w:val="clear"/>
        <w:tabs>
          <w:tab w:val="left" w:pos="397"/>
        </w:tabs>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）供应商认为需要提供的其他相关资料。</w:t>
      </w:r>
    </w:p>
    <w:p w14:paraId="0CDA2CDD">
      <w:pPr>
        <w:pStyle w:val="110"/>
        <w:keepNext w:val="0"/>
        <w:keepLines w:val="0"/>
        <w:pageBreakBefore w:val="0"/>
        <w:shd w:val="clear"/>
        <w:tabs>
          <w:tab w:val="left" w:pos="0"/>
        </w:tabs>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color w:val="000000" w:themeColor="text1"/>
          <w:kern w:val="2"/>
          <w:sz w:val="24"/>
          <w:szCs w:val="24"/>
          <w:highlight w:val="none"/>
          <w:lang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eastAsia="zh-CN" w:bidi="ar-SA"/>
          <w14:textFill>
            <w14:solidFill>
              <w14:schemeClr w14:val="tx1"/>
            </w14:solidFill>
          </w14:textFill>
        </w:rPr>
        <w:t>11.3 报价部分</w:t>
      </w:r>
    </w:p>
    <w:p w14:paraId="0B8C71D9">
      <w:pPr>
        <w:keepNext w:val="0"/>
        <w:keepLines w:val="0"/>
        <w:pageBreakBefore w:val="0"/>
        <w:numPr>
          <w:ilvl w:val="255"/>
          <w:numId w:val="0"/>
        </w:numPr>
        <w:shd w:val="clear"/>
        <w:tabs>
          <w:tab w:val="left" w:pos="397"/>
        </w:tabs>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首次报价表</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（附件</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w:t>
      </w:r>
    </w:p>
    <w:p w14:paraId="71929B7D">
      <w:pPr>
        <w:keepNext w:val="0"/>
        <w:keepLines w:val="0"/>
        <w:pageBreakBefore w:val="0"/>
        <w:numPr>
          <w:ilvl w:val="255"/>
          <w:numId w:val="0"/>
        </w:numPr>
        <w:shd w:val="clear"/>
        <w:tabs>
          <w:tab w:val="left" w:pos="397"/>
        </w:tabs>
        <w:kinsoku/>
        <w:wordWrap/>
        <w:overflowPunct/>
        <w:topLinePunct w:val="0"/>
        <w:autoSpaceDE/>
        <w:autoSpaceDN/>
        <w:bidi w:val="0"/>
        <w:adjustRightInd w:val="0"/>
        <w:snapToGrid w:val="0"/>
        <w:spacing w:line="420" w:lineRule="exact"/>
        <w:ind w:firstLine="480" w:firstLineChars="200"/>
        <w:jc w:val="left"/>
        <w:textAlignment w:val="auto"/>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报价明细表；</w:t>
      </w:r>
      <w:r>
        <w:rPr>
          <w:rFonts w:hint="eastAsia" w:ascii="宋体" w:hAnsi="宋体" w:eastAsia="宋体" w:cs="宋体"/>
          <w:color w:val="000000" w:themeColor="text1"/>
          <w:highlight w:val="none"/>
          <w14:textFill>
            <w14:solidFill>
              <w14:schemeClr w14:val="tx1"/>
            </w14:solidFill>
          </w14:textFill>
        </w:rPr>
        <w:t>（附件</w:t>
      </w:r>
      <w:r>
        <w:rPr>
          <w:rFonts w:hint="eastAsia" w:ascii="宋体" w:hAnsi="宋体"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w:t>
      </w:r>
    </w:p>
    <w:p w14:paraId="26057651">
      <w:pPr>
        <w:keepNext w:val="0"/>
        <w:keepLines w:val="0"/>
        <w:pageBreakBefore w:val="0"/>
        <w:shd w:val="clear"/>
        <w:tabs>
          <w:tab w:val="left" w:pos="397"/>
        </w:tabs>
        <w:kinsoku/>
        <w:wordWrap/>
        <w:overflowPunct/>
        <w:topLinePunct w:val="0"/>
        <w:autoSpaceDE/>
        <w:autoSpaceDN/>
        <w:bidi w:val="0"/>
        <w:adjustRightInd w:val="0"/>
        <w:snapToGrid w:val="0"/>
        <w:spacing w:line="420" w:lineRule="exact"/>
        <w:ind w:firstLine="562"/>
        <w:textAlignment w:val="auto"/>
        <w:rPr>
          <w:rFonts w:hint="eastAsia" w:ascii="宋体" w:hAnsi="宋体" w:eastAsia="宋体" w:cs="宋体"/>
          <w:b/>
          <w:bCs/>
          <w:color w:val="auto"/>
          <w:highlight w:val="none"/>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▲最终报价表</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（附件</w:t>
      </w:r>
      <w:r>
        <w:rPr>
          <w:rFonts w:hint="eastAsia" w:ascii="宋体"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（此表</w:t>
      </w:r>
      <w:r>
        <w:rPr>
          <w:rFonts w:hint="eastAsia" w:ascii="宋体" w:hAnsi="宋体" w:eastAsia="宋体" w:cs="宋体"/>
          <w:b/>
          <w:bCs/>
          <w:color w:val="auto"/>
          <w:highlight w:val="none"/>
        </w:rPr>
        <w:t>无需在制作竞争性磋商响应文件时填写，但供应商须提前打印并签字加盖公章，作为磋商过程后最终报价时填写。此表填写后需单独装入信封在规定时间递交工作人员）</w:t>
      </w:r>
    </w:p>
    <w:p w14:paraId="41E34B9E">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以上文件组成磋商响应文件。供应商应对磋商文件</w:t>
      </w:r>
      <w:r>
        <w:rPr>
          <w:rFonts w:hint="eastAsia" w:ascii="宋体" w:hAnsi="宋体" w:cs="宋体"/>
          <w:color w:val="auto"/>
          <w:highlight w:val="none"/>
          <w:lang w:eastAsia="zh-CN"/>
        </w:rPr>
        <w:t>作出</w:t>
      </w:r>
      <w:r>
        <w:rPr>
          <w:rFonts w:hint="eastAsia" w:ascii="宋体" w:hAnsi="宋体" w:eastAsia="宋体" w:cs="宋体"/>
          <w:color w:val="auto"/>
          <w:highlight w:val="none"/>
        </w:rPr>
        <w:t>实质性响应，该项内容将作为投标的重要指标。一旦开标后，经审核确定投标资格和技术能力不能响应磋商文件要求，则供应商即刻被废标或被拒绝进入</w:t>
      </w:r>
      <w:r>
        <w:rPr>
          <w:rFonts w:hint="eastAsia" w:ascii="宋体" w:hAnsi="宋体" w:eastAsia="宋体" w:cs="宋体"/>
          <w:color w:val="auto"/>
          <w:highlight w:val="none"/>
          <w:lang w:eastAsia="zh-CN"/>
        </w:rPr>
        <w:t>报价</w:t>
      </w:r>
      <w:r>
        <w:rPr>
          <w:rFonts w:hint="eastAsia" w:ascii="宋体" w:hAnsi="宋体" w:eastAsia="宋体" w:cs="宋体"/>
          <w:color w:val="auto"/>
          <w:highlight w:val="none"/>
        </w:rPr>
        <w:t>阶段。</w:t>
      </w:r>
    </w:p>
    <w:p w14:paraId="2857D385">
      <w:pPr>
        <w:pStyle w:val="22"/>
        <w:pageBreakBefore w:val="0"/>
        <w:shd w:val="clear"/>
        <w:kinsoku/>
        <w:wordWrap/>
        <w:overflowPunct/>
        <w:topLinePunct w:val="0"/>
        <w:autoSpaceDE/>
        <w:autoSpaceDN/>
        <w:bidi w:val="0"/>
        <w:spacing w:line="420" w:lineRule="exact"/>
        <w:ind w:firstLine="562"/>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12.竞争性磋商响应文件有效期</w:t>
      </w:r>
    </w:p>
    <w:p w14:paraId="0718C8FA">
      <w:pPr>
        <w:pStyle w:val="22"/>
        <w:pageBreakBefore w:val="0"/>
        <w:shd w:val="clear"/>
        <w:kinsoku/>
        <w:wordWrap/>
        <w:overflowPunct/>
        <w:topLinePunct w:val="0"/>
        <w:autoSpaceDE/>
        <w:autoSpaceDN/>
        <w:bidi w:val="0"/>
        <w:spacing w:line="420" w:lineRule="exact"/>
        <w:ind w:firstLine="562"/>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12.1竞争性磋商响应文件从磋商响应文件递交截止时间之日起90个日历天内有效。</w:t>
      </w:r>
    </w:p>
    <w:p w14:paraId="688BC1A3">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12.2特殊情况下采购人可于竞争性磋商响应文件有效期届满前书面要求</w:t>
      </w:r>
      <w:r>
        <w:rPr>
          <w:rFonts w:hint="eastAsia" w:ascii="宋体" w:hAnsi="宋体" w:eastAsia="宋体" w:cs="宋体"/>
          <w:bCs/>
          <w:color w:val="auto"/>
          <w:highlight w:val="none"/>
        </w:rPr>
        <w:t>供应商</w:t>
      </w:r>
      <w:r>
        <w:rPr>
          <w:rFonts w:hint="eastAsia" w:ascii="宋体" w:hAnsi="宋体" w:eastAsia="宋体" w:cs="宋体"/>
          <w:color w:val="auto"/>
          <w:highlight w:val="none"/>
        </w:rPr>
        <w:t>同意延长有效期，</w:t>
      </w:r>
      <w:r>
        <w:rPr>
          <w:rFonts w:hint="eastAsia" w:ascii="宋体" w:hAnsi="宋体" w:eastAsia="宋体" w:cs="宋体"/>
          <w:bCs/>
          <w:color w:val="auto"/>
          <w:highlight w:val="none"/>
        </w:rPr>
        <w:t>供应商</w:t>
      </w:r>
      <w:r>
        <w:rPr>
          <w:rFonts w:hint="eastAsia" w:ascii="宋体" w:hAnsi="宋体" w:eastAsia="宋体" w:cs="宋体"/>
          <w:color w:val="auto"/>
          <w:highlight w:val="none"/>
        </w:rPr>
        <w:t>应在采购人规定的期限内以书面形式予以答复。</w:t>
      </w:r>
      <w:r>
        <w:rPr>
          <w:rFonts w:hint="eastAsia" w:ascii="宋体" w:hAnsi="宋体" w:eastAsia="宋体" w:cs="宋体"/>
          <w:bCs/>
          <w:color w:val="auto"/>
          <w:highlight w:val="none"/>
        </w:rPr>
        <w:t>供应商</w:t>
      </w:r>
      <w:r>
        <w:rPr>
          <w:rFonts w:hint="eastAsia" w:ascii="宋体" w:hAnsi="宋体" w:eastAsia="宋体" w:cs="宋体"/>
          <w:color w:val="auto"/>
          <w:highlight w:val="none"/>
        </w:rPr>
        <w:t>答复不明确或者逾期未答复的，均视为拒绝上述要求。对于接受该要求的</w:t>
      </w:r>
      <w:r>
        <w:rPr>
          <w:rFonts w:hint="eastAsia" w:ascii="宋体" w:hAnsi="宋体" w:eastAsia="宋体" w:cs="宋体"/>
          <w:bCs/>
          <w:color w:val="auto"/>
          <w:highlight w:val="none"/>
        </w:rPr>
        <w:t>供应商</w:t>
      </w:r>
      <w:r>
        <w:rPr>
          <w:rFonts w:hint="eastAsia" w:ascii="宋体" w:hAnsi="宋体" w:eastAsia="宋体" w:cs="宋体"/>
          <w:color w:val="auto"/>
          <w:highlight w:val="none"/>
        </w:rPr>
        <w:t>，既不要求也不允许其修改竞争性磋商响应文件。</w:t>
      </w:r>
    </w:p>
    <w:p w14:paraId="3E35576A">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13.竞争性磋商响应文件的格式</w:t>
      </w:r>
    </w:p>
    <w:p w14:paraId="1D090844">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13.1</w:t>
      </w:r>
      <w:r>
        <w:rPr>
          <w:rFonts w:hint="eastAsia" w:ascii="宋体" w:hAnsi="宋体" w:eastAsia="宋体" w:cs="宋体"/>
          <w:bCs/>
          <w:color w:val="auto"/>
          <w:highlight w:val="none"/>
        </w:rPr>
        <w:t>供应商</w:t>
      </w:r>
      <w:r>
        <w:rPr>
          <w:rFonts w:hint="eastAsia" w:ascii="宋体" w:hAnsi="宋体" w:eastAsia="宋体" w:cs="宋体"/>
          <w:color w:val="auto"/>
          <w:highlight w:val="none"/>
        </w:rPr>
        <w:t>的竞争性磋商响应文件由资格、资信商务技术和报价部分组成，并按以下要求制作，否则视为无效响应：</w:t>
      </w:r>
    </w:p>
    <w:p w14:paraId="07193EE4">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13.2</w:t>
      </w:r>
      <w:r>
        <w:rPr>
          <w:rFonts w:hint="eastAsia" w:ascii="宋体" w:hAnsi="宋体" w:eastAsia="宋体" w:cs="宋体"/>
          <w:b/>
          <w:bCs/>
          <w:color w:val="auto"/>
          <w:highlight w:val="none"/>
          <w:lang w:val="zh-CN"/>
        </w:rPr>
        <w:t>竞争性磋商响应文件一式</w:t>
      </w:r>
      <w:r>
        <w:rPr>
          <w:rFonts w:hint="eastAsia" w:ascii="宋体" w:hAnsi="宋体" w:eastAsia="宋体" w:cs="宋体"/>
          <w:b/>
          <w:bCs/>
          <w:color w:val="auto"/>
          <w:highlight w:val="none"/>
        </w:rPr>
        <w:t>3</w:t>
      </w:r>
      <w:r>
        <w:rPr>
          <w:rFonts w:hint="eastAsia" w:ascii="宋体" w:hAnsi="宋体" w:eastAsia="宋体" w:cs="宋体"/>
          <w:b/>
          <w:bCs/>
          <w:color w:val="auto"/>
          <w:highlight w:val="none"/>
          <w:lang w:val="zh-CN"/>
        </w:rPr>
        <w:t>份，其中正本1份、副本</w:t>
      </w:r>
      <w:r>
        <w:rPr>
          <w:rFonts w:hint="eastAsia" w:ascii="宋体" w:hAnsi="宋体" w:eastAsia="宋体" w:cs="宋体"/>
          <w:b/>
          <w:bCs/>
          <w:color w:val="auto"/>
          <w:highlight w:val="none"/>
        </w:rPr>
        <w:t>2</w:t>
      </w:r>
      <w:r>
        <w:rPr>
          <w:rFonts w:hint="eastAsia" w:ascii="宋体" w:hAnsi="宋体" w:eastAsia="宋体" w:cs="宋体"/>
          <w:b/>
          <w:bCs/>
          <w:color w:val="auto"/>
          <w:highlight w:val="none"/>
          <w:lang w:val="zh-CN"/>
        </w:rPr>
        <w:t>份；竞争性磋商响应文件</w:t>
      </w:r>
      <w:r>
        <w:rPr>
          <w:rFonts w:hint="eastAsia" w:ascii="宋体" w:hAnsi="宋体" w:eastAsia="宋体" w:cs="宋体"/>
          <w:b/>
          <w:bCs/>
          <w:color w:val="auto"/>
          <w:highlight w:val="none"/>
        </w:rPr>
        <w:t>由资格、商务技术和报价部分组成</w:t>
      </w:r>
      <w:r>
        <w:rPr>
          <w:rFonts w:hint="eastAsia" w:ascii="宋体" w:hAnsi="宋体" w:eastAsia="宋体" w:cs="宋体"/>
          <w:b/>
          <w:bCs/>
          <w:color w:val="auto"/>
          <w:highlight w:val="none"/>
          <w:lang w:val="zh-CN"/>
        </w:rPr>
        <w:t>合订成一册</w:t>
      </w:r>
      <w:r>
        <w:rPr>
          <w:rFonts w:hint="eastAsia" w:ascii="宋体" w:hAnsi="宋体" w:eastAsia="宋体" w:cs="宋体"/>
          <w:b/>
          <w:bCs/>
          <w:color w:val="auto"/>
          <w:highlight w:val="none"/>
          <w:u w:val="none"/>
          <w:lang w:val="zh-CN"/>
        </w:rPr>
        <w:t>，采用A4幅面纸张打印装订，</w:t>
      </w:r>
      <w:r>
        <w:rPr>
          <w:rFonts w:hint="eastAsia" w:ascii="宋体" w:hAnsi="宋体" w:eastAsia="宋体" w:cs="宋体"/>
          <w:b/>
          <w:bCs/>
          <w:color w:val="auto"/>
          <w:highlight w:val="none"/>
          <w:lang w:val="zh-CN"/>
        </w:rPr>
        <w:t>密封一袋；并在封面标明“正本</w:t>
      </w:r>
      <w:r>
        <w:rPr>
          <w:rFonts w:hint="eastAsia" w:ascii="宋体" w:hAnsi="宋体" w:cs="宋体"/>
          <w:b/>
          <w:bCs/>
          <w:color w:val="auto"/>
          <w:highlight w:val="none"/>
          <w:lang w:val="zh-CN"/>
        </w:rPr>
        <w:t>”“</w:t>
      </w:r>
      <w:r>
        <w:rPr>
          <w:rFonts w:hint="eastAsia" w:ascii="宋体" w:hAnsi="宋体" w:eastAsia="宋体" w:cs="宋体"/>
          <w:b/>
          <w:bCs/>
          <w:color w:val="auto"/>
          <w:highlight w:val="none"/>
          <w:lang w:val="zh-CN"/>
        </w:rPr>
        <w:t>副本”字样。正本与副本如有不一致，以正本为准。</w:t>
      </w:r>
    </w:p>
    <w:p w14:paraId="2B23C02C">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13.3竞争性磋商响应文件应由</w:t>
      </w:r>
      <w:r>
        <w:rPr>
          <w:rFonts w:hint="eastAsia" w:ascii="宋体" w:hAnsi="宋体" w:eastAsia="宋体" w:cs="宋体"/>
          <w:bCs/>
          <w:color w:val="auto"/>
          <w:highlight w:val="none"/>
        </w:rPr>
        <w:t>供应商</w:t>
      </w:r>
      <w:r>
        <w:rPr>
          <w:rFonts w:hint="eastAsia" w:ascii="宋体" w:hAnsi="宋体" w:eastAsia="宋体" w:cs="宋体"/>
          <w:color w:val="auto"/>
          <w:highlight w:val="none"/>
        </w:rPr>
        <w:t>的法定代表人或者其授权代表签字并加盖公章，如由后者签字，应提供“法定代表人授权委托书”。</w:t>
      </w:r>
    </w:p>
    <w:p w14:paraId="34C91038">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13.4响应使用货币为人民币。</w:t>
      </w:r>
    </w:p>
    <w:p w14:paraId="4A5F09A9">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13.5</w:t>
      </w:r>
      <w:r>
        <w:rPr>
          <w:rFonts w:hint="eastAsia" w:ascii="宋体" w:hAnsi="宋体" w:eastAsia="宋体" w:cs="宋体"/>
          <w:bCs/>
          <w:color w:val="auto"/>
          <w:highlight w:val="none"/>
        </w:rPr>
        <w:t>供应商</w:t>
      </w:r>
      <w:r>
        <w:rPr>
          <w:rFonts w:hint="eastAsia" w:ascii="宋体" w:hAnsi="宋体" w:eastAsia="宋体" w:cs="宋体"/>
          <w:color w:val="auto"/>
          <w:highlight w:val="none"/>
        </w:rPr>
        <w:t xml:space="preserve">应提交证明其拟供采购内容符合竞争性磋商文件要求的相应材料，该材料可以是文字资料、图纸和数据，并须提供主要技术要求的详细描述。                          </w:t>
      </w:r>
    </w:p>
    <w:p w14:paraId="5642B9DF">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13.6竞争性磋商响应文件的正本和副本均应使用不能擦去的墨料或墨水打印、书写或复印，并由法定代表人或其授权代表签署，盖</w:t>
      </w:r>
      <w:r>
        <w:rPr>
          <w:rFonts w:hint="eastAsia" w:ascii="宋体" w:hAnsi="宋体" w:eastAsia="宋体" w:cs="宋体"/>
          <w:bCs/>
          <w:color w:val="auto"/>
          <w:highlight w:val="none"/>
        </w:rPr>
        <w:t>供应商</w:t>
      </w:r>
      <w:r>
        <w:rPr>
          <w:rFonts w:hint="eastAsia" w:ascii="宋体" w:hAnsi="宋体" w:eastAsia="宋体" w:cs="宋体"/>
          <w:color w:val="auto"/>
          <w:highlight w:val="none"/>
        </w:rPr>
        <w:t>公章。</w:t>
      </w:r>
    </w:p>
    <w:p w14:paraId="760AC595">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13.7全套竞争性磋商响应文件应无涂改和行间插字，除非是为改正供应商造成的必须修改的错误而进行的。有改动时，修改处应由法人代表或授权代表签署并加盖公章。 </w:t>
      </w:r>
    </w:p>
    <w:p w14:paraId="57E82038">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13.8未按本须知规定的格式填写竞争性磋商响应文件或竞争性磋商响应文件字迹模糊不清的，其响应将被拒绝。</w:t>
      </w:r>
    </w:p>
    <w:p w14:paraId="38B9E7CC">
      <w:pPr>
        <w:pageBreakBefore w:val="0"/>
        <w:shd w:val="clear"/>
        <w:kinsoku/>
        <w:wordWrap/>
        <w:overflowPunct/>
        <w:topLinePunct w:val="0"/>
        <w:autoSpaceDE/>
        <w:autoSpaceDN/>
        <w:bidi w:val="0"/>
        <w:spacing w:line="420" w:lineRule="exact"/>
        <w:ind w:firstLine="562"/>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13.9所有资格证明文件复印件均须在有效期内。</w:t>
      </w:r>
    </w:p>
    <w:p w14:paraId="6D6FDEEB">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rPr>
      </w:pPr>
      <w:bookmarkStart w:id="456" w:name="_Toc20241"/>
      <w:bookmarkStart w:id="457" w:name="_Toc10699"/>
      <w:bookmarkStart w:id="458" w:name="_Toc6705"/>
      <w:bookmarkStart w:id="459" w:name="_Toc29452"/>
      <w:bookmarkStart w:id="460" w:name="_Toc1902"/>
      <w:bookmarkStart w:id="461" w:name="_Toc12012"/>
      <w:bookmarkStart w:id="462" w:name="_Toc3766"/>
      <w:bookmarkStart w:id="463" w:name="_Toc15758"/>
      <w:bookmarkStart w:id="464" w:name="_Toc13506"/>
      <w:bookmarkStart w:id="465" w:name="_Toc19745"/>
      <w:bookmarkStart w:id="466" w:name="_Toc8235"/>
      <w:bookmarkStart w:id="467" w:name="_Toc3853"/>
      <w:bookmarkStart w:id="468" w:name="_Toc7775"/>
      <w:bookmarkStart w:id="469" w:name="_Toc21411"/>
      <w:bookmarkStart w:id="470" w:name="_Toc25012"/>
      <w:bookmarkStart w:id="471" w:name="_Toc6197"/>
      <w:bookmarkStart w:id="472" w:name="_Toc13246"/>
      <w:bookmarkStart w:id="473" w:name="_Toc4382"/>
      <w:bookmarkStart w:id="474" w:name="_Toc19872"/>
      <w:bookmarkStart w:id="475" w:name="_Toc19875"/>
      <w:bookmarkStart w:id="476" w:name="_Toc21093"/>
      <w:bookmarkStart w:id="477" w:name="_Toc9536"/>
      <w:bookmarkStart w:id="478" w:name="_Toc29059"/>
      <w:bookmarkStart w:id="479" w:name="_Toc29320"/>
      <w:bookmarkStart w:id="480" w:name="_Toc26610"/>
      <w:bookmarkStart w:id="481" w:name="_Toc8749"/>
      <w:bookmarkStart w:id="482" w:name="_Toc26751"/>
      <w:bookmarkStart w:id="483" w:name="_Toc1636"/>
      <w:bookmarkStart w:id="484" w:name="_Toc31201"/>
      <w:bookmarkStart w:id="485" w:name="_Toc3975"/>
      <w:bookmarkStart w:id="486" w:name="_Toc9094"/>
      <w:bookmarkStart w:id="487" w:name="_Toc29085"/>
      <w:bookmarkStart w:id="488" w:name="_Toc16051"/>
      <w:bookmarkStart w:id="489" w:name="_Toc6074"/>
      <w:bookmarkStart w:id="490" w:name="_Toc25659"/>
      <w:bookmarkStart w:id="491" w:name="_Toc1836"/>
      <w:bookmarkStart w:id="492" w:name="_Toc31866"/>
      <w:bookmarkStart w:id="493" w:name="_Toc391298958"/>
      <w:r>
        <w:rPr>
          <w:rFonts w:hint="eastAsia" w:ascii="宋体" w:hAnsi="宋体" w:eastAsia="宋体" w:cs="宋体"/>
          <w:b/>
          <w:bCs w:val="0"/>
          <w:color w:val="auto"/>
          <w:sz w:val="28"/>
          <w:szCs w:val="28"/>
          <w:highlight w:val="none"/>
          <w:lang w:val="en-US" w:eastAsia="zh-CN"/>
        </w:rPr>
        <w:t>五</w:t>
      </w:r>
      <w:r>
        <w:rPr>
          <w:rFonts w:hint="eastAsia" w:ascii="宋体" w:hAnsi="宋体" w:eastAsia="宋体" w:cs="宋体"/>
          <w:b/>
          <w:bCs w:val="0"/>
          <w:color w:val="auto"/>
          <w:sz w:val="28"/>
          <w:szCs w:val="28"/>
          <w:highlight w:val="none"/>
          <w:lang w:val="en-US"/>
        </w:rPr>
        <w:t>、竞争性磋商响应文件的提交</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13F566B6">
      <w:pPr>
        <w:keepNext w:val="0"/>
        <w:keepLines w:val="0"/>
        <w:pageBreakBefore w:val="0"/>
        <w:widowControl w:val="0"/>
        <w:shd w:val="clear"/>
        <w:kinsoku/>
        <w:wordWrap/>
        <w:overflowPunct/>
        <w:topLinePunct w:val="0"/>
        <w:autoSpaceDE/>
        <w:autoSpaceDN/>
        <w:bidi w:val="0"/>
        <w:adjustRightInd/>
        <w:snapToGrid/>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14.竞争性磋商响应文件的密封、标记和递交</w:t>
      </w:r>
    </w:p>
    <w:p w14:paraId="7FE8F36B">
      <w:pPr>
        <w:keepNext w:val="0"/>
        <w:keepLines w:val="0"/>
        <w:pageBreakBefore w:val="0"/>
        <w:widowControl w:val="0"/>
        <w:shd w:val="clear"/>
        <w:kinsoku/>
        <w:wordWrap/>
        <w:overflowPunct/>
        <w:topLinePunct w:val="0"/>
        <w:autoSpaceDE/>
        <w:autoSpaceDN/>
        <w:bidi w:val="0"/>
        <w:adjustRightInd/>
        <w:snapToGrid/>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14.1</w:t>
      </w:r>
      <w:r>
        <w:rPr>
          <w:rFonts w:hint="eastAsia" w:ascii="宋体" w:hAnsi="宋体" w:eastAsia="宋体" w:cs="宋体"/>
          <w:bCs/>
          <w:color w:val="auto"/>
          <w:highlight w:val="none"/>
        </w:rPr>
        <w:t>供应商</w:t>
      </w:r>
      <w:r>
        <w:rPr>
          <w:rFonts w:hint="eastAsia" w:ascii="宋体" w:hAnsi="宋体" w:eastAsia="宋体" w:cs="宋体"/>
          <w:color w:val="auto"/>
          <w:highlight w:val="none"/>
        </w:rPr>
        <w:t>应将竞争性磋商响应文件的</w:t>
      </w:r>
      <w:r>
        <w:rPr>
          <w:rFonts w:hint="eastAsia" w:ascii="宋体" w:hAnsi="宋体" w:eastAsia="宋体" w:cs="宋体"/>
          <w:bCs/>
          <w:color w:val="auto"/>
          <w:highlight w:val="none"/>
        </w:rPr>
        <w:t>正本和副本分别装订成册</w:t>
      </w:r>
      <w:r>
        <w:rPr>
          <w:rFonts w:hint="eastAsia" w:ascii="宋体" w:hAnsi="宋体" w:eastAsia="宋体" w:cs="宋体"/>
          <w:color w:val="auto"/>
          <w:highlight w:val="none"/>
        </w:rPr>
        <w:t>，密封成一袋，并标明供应商名称、磋商项目名称及“正本”或“副本”字样。竞争性磋商响应文件未密封将导致响应被拒绝。</w:t>
      </w:r>
    </w:p>
    <w:p w14:paraId="361F51F7">
      <w:pPr>
        <w:keepNext w:val="0"/>
        <w:keepLines w:val="0"/>
        <w:pageBreakBefore w:val="0"/>
        <w:widowControl w:val="0"/>
        <w:shd w:val="clear"/>
        <w:kinsoku/>
        <w:wordWrap/>
        <w:overflowPunct/>
        <w:topLinePunct w:val="0"/>
        <w:autoSpaceDE/>
        <w:autoSpaceDN/>
        <w:bidi w:val="0"/>
        <w:adjustRightInd/>
        <w:snapToGrid/>
        <w:spacing w:line="420" w:lineRule="exact"/>
        <w:ind w:firstLine="562"/>
        <w:textAlignment w:val="auto"/>
        <w:rPr>
          <w:rFonts w:hint="eastAsia" w:ascii="宋体" w:hAnsi="宋体" w:eastAsia="宋体" w:cs="宋体"/>
          <w:color w:val="auto"/>
          <w:highlight w:val="none"/>
        </w:rPr>
      </w:pPr>
      <w:r>
        <w:rPr>
          <w:rFonts w:hint="eastAsia" w:ascii="宋体" w:hAnsi="宋体" w:eastAsia="宋体" w:cs="宋体"/>
          <w:color w:val="auto"/>
          <w:highlight w:val="none"/>
        </w:rPr>
        <w:t>14.2竞争性磋商响应文件外封面应注明“χχ（指响应文件规定的递交截止时间）之前不得开启”的字样，并加盖供应商公章，法人代表或其授权代表签字。</w:t>
      </w:r>
    </w:p>
    <w:p w14:paraId="201B8CD1">
      <w:pPr>
        <w:keepNext w:val="0"/>
        <w:keepLines w:val="0"/>
        <w:pageBreakBefore w:val="0"/>
        <w:widowControl w:val="0"/>
        <w:shd w:val="clear"/>
        <w:kinsoku/>
        <w:wordWrap/>
        <w:overflowPunct/>
        <w:topLinePunct w:val="0"/>
        <w:autoSpaceDE/>
        <w:autoSpaceDN/>
        <w:bidi w:val="0"/>
        <w:adjustRightInd/>
        <w:snapToGrid/>
        <w:spacing w:line="420" w:lineRule="exact"/>
        <w:ind w:firstLine="562"/>
        <w:jc w:val="center"/>
        <w:textAlignment w:val="auto"/>
        <w:outlineLvl w:val="1"/>
        <w:rPr>
          <w:rFonts w:hint="eastAsia" w:ascii="宋体" w:hAnsi="宋体" w:eastAsia="宋体" w:cs="宋体"/>
          <w:color w:val="auto"/>
          <w:highlight w:val="none"/>
        </w:rPr>
      </w:pPr>
      <w:bookmarkStart w:id="494" w:name="_Toc332"/>
      <w:bookmarkStart w:id="495" w:name="_Toc31317"/>
      <w:bookmarkStart w:id="496" w:name="_Toc27247"/>
      <w:bookmarkStart w:id="497" w:name="_Toc22283"/>
      <w:bookmarkStart w:id="498" w:name="_Toc10613"/>
      <w:bookmarkStart w:id="499" w:name="_Toc3190"/>
      <w:bookmarkStart w:id="500" w:name="_Toc8597"/>
      <w:bookmarkStart w:id="501" w:name="_Toc12002"/>
      <w:bookmarkStart w:id="502" w:name="_Toc30706"/>
      <w:bookmarkStart w:id="503" w:name="_Toc24525"/>
      <w:bookmarkStart w:id="504" w:name="_Toc15483"/>
      <w:bookmarkStart w:id="505" w:name="_Toc18508"/>
      <w:bookmarkStart w:id="506" w:name="_Toc4758"/>
      <w:bookmarkStart w:id="507" w:name="_Toc8642"/>
      <w:bookmarkStart w:id="508" w:name="_Toc28209"/>
      <w:bookmarkStart w:id="509" w:name="_Toc23387"/>
      <w:bookmarkStart w:id="510" w:name="_Toc20113"/>
      <w:bookmarkStart w:id="511" w:name="_Toc15576"/>
      <w:bookmarkStart w:id="512" w:name="_Toc6618"/>
      <w:bookmarkStart w:id="513" w:name="_Toc1786"/>
      <w:bookmarkStart w:id="514" w:name="_Toc2133"/>
      <w:bookmarkStart w:id="515" w:name="_Toc31137"/>
      <w:bookmarkStart w:id="516" w:name="_Toc7503"/>
      <w:bookmarkStart w:id="517" w:name="_Toc23231"/>
      <w:bookmarkStart w:id="518" w:name="_Toc9140"/>
      <w:bookmarkStart w:id="519" w:name="_Toc14330"/>
      <w:bookmarkStart w:id="520" w:name="_Toc20970"/>
      <w:bookmarkStart w:id="521" w:name="_Toc17891"/>
      <w:bookmarkStart w:id="522" w:name="_Toc11589"/>
      <w:bookmarkStart w:id="523" w:name="_Toc17018"/>
      <w:r>
        <w:rPr>
          <w:rFonts w:hint="eastAsia" w:ascii="宋体" w:hAnsi="宋体" w:eastAsia="宋体" w:cs="宋体"/>
          <w:color w:val="auto"/>
          <w:highlight w:val="none"/>
        </w:rPr>
        <w:t>外层包装格式（密封处加盖供应商公章）</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tbl>
      <w:tblPr>
        <w:tblStyle w:val="40"/>
        <w:tblW w:w="9962" w:type="dxa"/>
        <w:tblInd w:w="0" w:type="dxa"/>
        <w:tblBorders>
          <w:top w:val="thinThickSmallGap" w:color="auto" w:sz="12" w:space="0"/>
          <w:left w:val="thinThickSmallGap" w:color="auto" w:sz="12" w:space="0"/>
          <w:bottom w:val="thinThickSmallGap" w:color="auto" w:sz="12" w:space="0"/>
          <w:right w:val="thinThickSmallGap" w:color="auto" w:sz="12" w:space="0"/>
          <w:insideH w:val="none" w:color="auto" w:sz="0" w:space="0"/>
          <w:insideV w:val="none" w:color="auto" w:sz="0" w:space="0"/>
        </w:tblBorders>
        <w:tblLayout w:type="fixed"/>
        <w:tblCellMar>
          <w:top w:w="0" w:type="dxa"/>
          <w:left w:w="108" w:type="dxa"/>
          <w:bottom w:w="0" w:type="dxa"/>
          <w:right w:w="108" w:type="dxa"/>
        </w:tblCellMar>
      </w:tblPr>
      <w:tblGrid>
        <w:gridCol w:w="9962"/>
      </w:tblGrid>
      <w:tr w14:paraId="02DBE859">
        <w:tblPrEx>
          <w:tblBorders>
            <w:top w:val="thinThickSmallGap" w:color="auto" w:sz="12" w:space="0"/>
            <w:left w:val="thinThickSmallGap" w:color="auto" w:sz="12" w:space="0"/>
            <w:bottom w:val="thinThickSmallGap" w:color="auto" w:sz="12" w:space="0"/>
            <w:right w:val="thinThickSmallGap" w:color="auto" w:sz="12"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62" w:type="dxa"/>
            <w:vAlign w:val="center"/>
          </w:tcPr>
          <w:p w14:paraId="6787ED51">
            <w:pPr>
              <w:keepNext w:val="0"/>
              <w:keepLines w:val="0"/>
              <w:pageBreakBefore w:val="0"/>
              <w:suppressLineNumbers w:val="0"/>
              <w:shd w:val="clear"/>
              <w:kinsoku/>
              <w:wordWrap/>
              <w:overflowPunct/>
              <w:topLinePunct w:val="0"/>
              <w:autoSpaceDE/>
              <w:autoSpaceDN/>
              <w:bidi w:val="0"/>
              <w:snapToGrid w:val="0"/>
              <w:spacing w:before="0" w:beforeAutospacing="0" w:after="0" w:afterAutospacing="0" w:line="312" w:lineRule="auto"/>
              <w:ind w:left="0" w:right="0" w:firstLine="482" w:firstLineChars="200"/>
              <w:jc w:val="center"/>
              <w:textAlignment w:val="auto"/>
              <w:rPr>
                <w:rFonts w:hint="eastAsia" w:ascii="宋体" w:hAnsi="宋体" w:cs="宋体"/>
                <w:b/>
                <w:bCs/>
                <w:color w:val="auto"/>
                <w:highlight w:val="none"/>
                <w:lang w:val="en-US" w:eastAsia="zh-CN"/>
              </w:rPr>
            </w:pPr>
            <w:r>
              <w:rPr>
                <w:rFonts w:hint="eastAsia" w:ascii="宋体" w:hAnsi="宋体" w:cs="宋体"/>
                <w:b/>
                <w:bCs/>
                <w:color w:val="auto"/>
                <w:highlight w:val="none"/>
                <w:lang w:val="zh-CN"/>
              </w:rPr>
              <w:t>龙游县湖镇镇张家埠村未来乡村生活馆亮化采购项目</w:t>
            </w:r>
            <w:r>
              <w:rPr>
                <w:rFonts w:hint="eastAsia" w:ascii="宋体" w:hAnsi="宋体" w:cs="宋体"/>
                <w:b/>
                <w:bCs/>
                <w:color w:val="auto"/>
                <w:highlight w:val="none"/>
                <w:lang w:val="en-US" w:eastAsia="zh-CN"/>
              </w:rPr>
              <w:t xml:space="preserve">             </w:t>
            </w:r>
          </w:p>
          <w:p w14:paraId="3CB43A91">
            <w:pPr>
              <w:keepNext w:val="0"/>
              <w:keepLines w:val="0"/>
              <w:pageBreakBefore w:val="0"/>
              <w:suppressLineNumbers w:val="0"/>
              <w:shd w:val="clear"/>
              <w:kinsoku/>
              <w:wordWrap/>
              <w:overflowPunct/>
              <w:topLinePunct w:val="0"/>
              <w:autoSpaceDE/>
              <w:autoSpaceDN/>
              <w:bidi w:val="0"/>
              <w:snapToGrid w:val="0"/>
              <w:spacing w:before="0" w:beforeAutospacing="0" w:after="0" w:afterAutospacing="0" w:line="312" w:lineRule="auto"/>
              <w:ind w:left="0" w:right="0" w:firstLine="482" w:firstLineChars="200"/>
              <w:jc w:val="center"/>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竞争性磋商响应文件</w:t>
            </w:r>
          </w:p>
          <w:p w14:paraId="53E9BADB">
            <w:pPr>
              <w:keepNext w:val="0"/>
              <w:keepLines w:val="0"/>
              <w:pageBreakBefore w:val="0"/>
              <w:suppressLineNumbers w:val="0"/>
              <w:shd w:val="clear"/>
              <w:kinsoku/>
              <w:wordWrap/>
              <w:overflowPunct/>
              <w:topLinePunct w:val="0"/>
              <w:autoSpaceDE/>
              <w:autoSpaceDN/>
              <w:bidi w:val="0"/>
              <w:snapToGrid w:val="0"/>
              <w:spacing w:before="0" w:beforeAutospacing="0" w:after="0" w:afterAutospacing="0" w:line="312" w:lineRule="auto"/>
              <w:ind w:left="0" w:right="0" w:firstLine="480" w:firstLineChars="200"/>
              <w:jc w:val="center"/>
              <w:textAlignment w:val="auto"/>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资格部分</w:t>
            </w:r>
            <w:r>
              <w:rPr>
                <w:rFonts w:hint="eastAsia" w:ascii="宋体" w:hAnsi="宋体" w:cs="宋体"/>
                <w:b w:val="0"/>
                <w:bCs w:val="0"/>
                <w:color w:val="auto"/>
                <w:highlight w:val="none"/>
                <w:lang w:val="en-US" w:eastAsia="zh-CN"/>
              </w:rPr>
              <w:t>、商务技术部分、</w:t>
            </w:r>
            <w:r>
              <w:rPr>
                <w:rFonts w:hint="eastAsia" w:ascii="宋体" w:hAnsi="宋体" w:eastAsia="宋体" w:cs="宋体"/>
                <w:b w:val="0"/>
                <w:bCs w:val="0"/>
                <w:color w:val="auto"/>
                <w:highlight w:val="none"/>
                <w:lang w:val="en-US" w:eastAsia="zh-CN"/>
              </w:rPr>
              <w:t>报价部分</w:t>
            </w:r>
            <w:r>
              <w:rPr>
                <w:rFonts w:hint="eastAsia" w:ascii="宋体" w:hAnsi="宋体" w:cs="宋体"/>
                <w:b w:val="0"/>
                <w:bCs w:val="0"/>
                <w:color w:val="auto"/>
                <w:highlight w:val="none"/>
                <w:lang w:val="en-US" w:eastAsia="zh-CN"/>
              </w:rPr>
              <w:t>）</w:t>
            </w:r>
          </w:p>
          <w:p w14:paraId="0E86255F">
            <w:pPr>
              <w:keepNext w:val="0"/>
              <w:keepLines w:val="0"/>
              <w:pageBreakBefore w:val="0"/>
              <w:suppressLineNumbers w:val="0"/>
              <w:shd w:val="clear"/>
              <w:kinsoku/>
              <w:wordWrap/>
              <w:overflowPunct/>
              <w:topLinePunct w:val="0"/>
              <w:autoSpaceDE/>
              <w:autoSpaceDN/>
              <w:bidi w:val="0"/>
              <w:snapToGrid w:val="0"/>
              <w:spacing w:before="0" w:beforeAutospacing="0" w:after="0" w:afterAutospacing="0" w:line="312"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w:t>
            </w:r>
          </w:p>
          <w:p w14:paraId="5E3A709C">
            <w:pPr>
              <w:keepNext w:val="0"/>
              <w:keepLines w:val="0"/>
              <w:pageBreakBefore w:val="0"/>
              <w:suppressLineNumbers w:val="0"/>
              <w:shd w:val="clear"/>
              <w:kinsoku/>
              <w:wordWrap/>
              <w:overflowPunct/>
              <w:topLinePunct w:val="0"/>
              <w:autoSpaceDE/>
              <w:autoSpaceDN/>
              <w:bidi w:val="0"/>
              <w:snapToGrid w:val="0"/>
              <w:spacing w:before="0" w:beforeAutospacing="0" w:after="0" w:afterAutospacing="0" w:line="312"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供应商名称：（盖章）</w:t>
            </w:r>
          </w:p>
          <w:p w14:paraId="51E2E879">
            <w:pPr>
              <w:keepNext w:val="0"/>
              <w:keepLines w:val="0"/>
              <w:pageBreakBefore w:val="0"/>
              <w:suppressLineNumbers w:val="0"/>
              <w:shd w:val="clear"/>
              <w:kinsoku/>
              <w:wordWrap/>
              <w:overflowPunct/>
              <w:topLinePunct w:val="0"/>
              <w:autoSpaceDE/>
              <w:autoSpaceDN/>
              <w:bidi w:val="0"/>
              <w:snapToGrid w:val="0"/>
              <w:spacing w:before="0" w:beforeAutospacing="0" w:after="0" w:afterAutospacing="0" w:line="312"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法定代表人或授权委托人（签字或盖章）</w:t>
            </w:r>
          </w:p>
          <w:p w14:paraId="25ABA29E">
            <w:pPr>
              <w:keepNext w:val="0"/>
              <w:keepLines w:val="0"/>
              <w:pageBreakBefore w:val="0"/>
              <w:suppressLineNumbers w:val="0"/>
              <w:shd w:val="clear"/>
              <w:kinsoku/>
              <w:wordWrap/>
              <w:overflowPunct/>
              <w:topLinePunct w:val="0"/>
              <w:autoSpaceDE/>
              <w:autoSpaceDN/>
              <w:bidi w:val="0"/>
              <w:snapToGrid w:val="0"/>
              <w:spacing w:before="0" w:beforeAutospacing="0" w:after="0" w:afterAutospacing="0" w:line="312"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供应商地址：</w:t>
            </w:r>
          </w:p>
          <w:p w14:paraId="7FF4D2D9">
            <w:pPr>
              <w:keepNext w:val="0"/>
              <w:keepLines w:val="0"/>
              <w:pageBreakBefore w:val="0"/>
              <w:suppressLineNumbers w:val="0"/>
              <w:shd w:val="clear"/>
              <w:kinsoku/>
              <w:wordWrap/>
              <w:overflowPunct/>
              <w:topLinePunct w:val="0"/>
              <w:autoSpaceDE/>
              <w:autoSpaceDN/>
              <w:bidi w:val="0"/>
              <w:spacing w:before="0" w:beforeAutospacing="0" w:after="0" w:afterAutospacing="0" w:line="312" w:lineRule="auto"/>
              <w:ind w:left="0" w:right="0" w:firstLine="562"/>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在  年  月  日  时  分之前不得启封</w:t>
            </w:r>
          </w:p>
        </w:tc>
      </w:tr>
    </w:tbl>
    <w:p w14:paraId="48945281">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14.3如果未按上述规定进行密封和标记，采购人将不承担由此造成的对竞争性磋商响应文件的拒绝或提前拆封的责任。</w:t>
      </w:r>
    </w:p>
    <w:p w14:paraId="544194C4">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14.4竞争性磋商响应文件应在公告中规定的截止时间前送达，</w:t>
      </w:r>
      <w:r>
        <w:rPr>
          <w:rFonts w:hint="eastAsia" w:ascii="宋体" w:hAnsi="宋体" w:eastAsia="宋体" w:cs="宋体"/>
          <w:color w:val="auto"/>
          <w:highlight w:val="none"/>
          <w:lang w:val="en-US" w:eastAsia="zh-CN"/>
        </w:rPr>
        <w:t>逾期送达</w:t>
      </w:r>
      <w:r>
        <w:rPr>
          <w:rFonts w:hint="eastAsia" w:ascii="宋体" w:hAnsi="宋体" w:eastAsia="宋体" w:cs="宋体"/>
          <w:color w:val="auto"/>
          <w:highlight w:val="none"/>
        </w:rPr>
        <w:t>的竞争性磋商响应文件为无效竞争性磋商响应文件</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将被拒收。</w:t>
      </w:r>
    </w:p>
    <w:p w14:paraId="56A72D7D">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14.5</w:t>
      </w:r>
      <w:r>
        <w:rPr>
          <w:rFonts w:hint="eastAsia" w:ascii="宋体" w:hAnsi="宋体" w:eastAsia="宋体" w:cs="宋体"/>
          <w:bCs/>
          <w:color w:val="auto"/>
          <w:highlight w:val="none"/>
        </w:rPr>
        <w:t>供应商</w:t>
      </w:r>
      <w:r>
        <w:rPr>
          <w:rFonts w:hint="eastAsia" w:ascii="宋体" w:hAnsi="宋体" w:eastAsia="宋体" w:cs="宋体"/>
          <w:color w:val="auto"/>
          <w:highlight w:val="none"/>
        </w:rPr>
        <w:t>在响应截止时间前，可以对所提交的竞争性磋商响应文件进行修改或者撤回，并书面通知采购人。修改的内容和撤回通知应当按本须知要求签署、盖章、密封，并作为竞争性磋商响应文件的组成部分。</w:t>
      </w:r>
    </w:p>
    <w:p w14:paraId="0D9C15C8">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rPr>
      </w:pPr>
      <w:bookmarkStart w:id="524" w:name="_Toc19227"/>
      <w:bookmarkStart w:id="525" w:name="_Toc30812"/>
      <w:bookmarkStart w:id="526" w:name="_Toc9748"/>
      <w:bookmarkStart w:id="527" w:name="_Toc2080"/>
      <w:bookmarkStart w:id="528" w:name="_Toc9753"/>
      <w:bookmarkStart w:id="529" w:name="_Toc804"/>
      <w:bookmarkStart w:id="530" w:name="_Toc3636"/>
      <w:bookmarkStart w:id="531" w:name="_Toc25143"/>
      <w:bookmarkStart w:id="532" w:name="_Toc4335"/>
      <w:bookmarkStart w:id="533" w:name="_Toc28947"/>
      <w:bookmarkStart w:id="534" w:name="_Toc12241"/>
      <w:bookmarkStart w:id="535" w:name="_Toc22130"/>
      <w:bookmarkStart w:id="536" w:name="_Toc30721"/>
      <w:bookmarkStart w:id="537" w:name="_Toc24177"/>
      <w:bookmarkStart w:id="538" w:name="_Toc12914"/>
      <w:bookmarkStart w:id="539" w:name="_Toc11986"/>
      <w:bookmarkStart w:id="540" w:name="_Toc1573"/>
      <w:bookmarkStart w:id="541" w:name="_Toc22867"/>
      <w:bookmarkStart w:id="542" w:name="_Toc28965"/>
      <w:bookmarkStart w:id="543" w:name="_Toc391298959"/>
      <w:bookmarkStart w:id="544" w:name="_Toc8551"/>
      <w:bookmarkStart w:id="545" w:name="_Toc20775"/>
      <w:bookmarkStart w:id="546" w:name="_Toc22611"/>
      <w:bookmarkStart w:id="547" w:name="_Toc142"/>
      <w:bookmarkStart w:id="548" w:name="_Toc25660"/>
      <w:bookmarkStart w:id="549" w:name="_Toc9318"/>
      <w:bookmarkStart w:id="550" w:name="_Toc27745"/>
      <w:bookmarkStart w:id="551" w:name="_Toc22066"/>
      <w:bookmarkStart w:id="552" w:name="_Toc26527"/>
      <w:bookmarkStart w:id="553" w:name="_Toc7875"/>
      <w:bookmarkStart w:id="554" w:name="_Toc11937"/>
      <w:bookmarkStart w:id="555" w:name="_Toc14187"/>
      <w:bookmarkStart w:id="556" w:name="_Toc23856"/>
      <w:bookmarkStart w:id="557" w:name="_Toc24759"/>
      <w:bookmarkStart w:id="558" w:name="_Toc544"/>
      <w:bookmarkStart w:id="559" w:name="_Toc24662"/>
      <w:bookmarkStart w:id="560" w:name="_Toc22970"/>
      <w:bookmarkStart w:id="561" w:name="_Toc22460"/>
      <w:bookmarkStart w:id="562" w:name="_Toc27912"/>
      <w:r>
        <w:rPr>
          <w:rFonts w:hint="eastAsia" w:ascii="宋体" w:hAnsi="宋体" w:eastAsia="宋体" w:cs="宋体"/>
          <w:b/>
          <w:bCs w:val="0"/>
          <w:color w:val="auto"/>
          <w:sz w:val="28"/>
          <w:szCs w:val="28"/>
          <w:highlight w:val="none"/>
          <w:lang w:val="en-US" w:eastAsia="zh-CN"/>
        </w:rPr>
        <w:t>六</w:t>
      </w:r>
      <w:r>
        <w:rPr>
          <w:rFonts w:hint="eastAsia" w:ascii="宋体" w:hAnsi="宋体" w:eastAsia="宋体" w:cs="宋体"/>
          <w:b/>
          <w:bCs w:val="0"/>
          <w:color w:val="auto"/>
          <w:sz w:val="28"/>
          <w:szCs w:val="28"/>
          <w:highlight w:val="none"/>
          <w:lang w:val="en-US"/>
        </w:rPr>
        <w:t>、竞争性磋商响应文件的评审</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5AEA7533">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15.评审、磋商时间</w:t>
      </w:r>
    </w:p>
    <w:p w14:paraId="661EB1EE">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15.1 在</w:t>
      </w:r>
      <w:r>
        <w:rPr>
          <w:rFonts w:hint="eastAsia" w:ascii="宋体" w:hAnsi="宋体" w:eastAsia="宋体" w:cs="宋体"/>
          <w:bCs/>
          <w:color w:val="auto"/>
          <w:highlight w:val="none"/>
        </w:rPr>
        <w:t>磋商公告</w:t>
      </w:r>
      <w:r>
        <w:rPr>
          <w:rFonts w:hint="eastAsia" w:ascii="宋体" w:hAnsi="宋体" w:eastAsia="宋体" w:cs="宋体"/>
          <w:color w:val="auto"/>
          <w:highlight w:val="none"/>
        </w:rPr>
        <w:t>中所规定的时间、地点评审。</w:t>
      </w:r>
    </w:p>
    <w:p w14:paraId="3CE5D421">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 开标会议由</w:t>
      </w:r>
      <w:r>
        <w:rPr>
          <w:rFonts w:hint="eastAsia" w:ascii="宋体" w:hAnsi="宋体" w:cs="宋体"/>
          <w:color w:val="auto"/>
          <w:highlight w:val="none"/>
          <w:lang w:eastAsia="zh-CN"/>
        </w:rPr>
        <w:t>采购代理机构</w:t>
      </w:r>
      <w:r>
        <w:rPr>
          <w:rFonts w:hint="eastAsia" w:ascii="宋体" w:hAnsi="宋体" w:eastAsia="宋体" w:cs="宋体"/>
          <w:color w:val="auto"/>
          <w:highlight w:val="none"/>
        </w:rPr>
        <w:t>主持，采购人、供应商和有关方面代表参加，并签到。所有</w:t>
      </w:r>
      <w:r>
        <w:rPr>
          <w:rFonts w:hint="eastAsia" w:ascii="宋体" w:hAnsi="宋体" w:eastAsia="宋体" w:cs="宋体"/>
          <w:bCs/>
          <w:color w:val="auto"/>
          <w:highlight w:val="none"/>
        </w:rPr>
        <w:t>供应商</w:t>
      </w:r>
      <w:r>
        <w:rPr>
          <w:rFonts w:hint="eastAsia" w:ascii="宋体" w:hAnsi="宋体" w:eastAsia="宋体" w:cs="宋体"/>
          <w:color w:val="auto"/>
          <w:highlight w:val="none"/>
        </w:rPr>
        <w:t>应派拟任项目负责人或授权代表参加磋商。（供应商授权代表参加开标的须携带身份证原件、授权委托书到开标现场备查）。</w:t>
      </w:r>
    </w:p>
    <w:p w14:paraId="675E7AF7">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15.3 记录人将开标一览表内容分项记录，由供应商法定代表人或授权代表签字确认。</w:t>
      </w:r>
    </w:p>
    <w:p w14:paraId="6BE3F651">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16.组建磋商小组</w:t>
      </w:r>
    </w:p>
    <w:p w14:paraId="6060B15E">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16.1采购人根据项目的特点依法组建磋商小组，磋商小组成员共3人。磋商小组负责对竞争性磋商响应文件进行评审和比较，并出具评审结果。</w:t>
      </w:r>
    </w:p>
    <w:p w14:paraId="756055CC">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17.资格性检查和符合性检查 </w:t>
      </w:r>
    </w:p>
    <w:p w14:paraId="4BF3A3A7">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17.1资格性检查。依据法律法规和竞争性磋商文件的规定，在对竞争性磋商响应文件详细评估之前，磋商小组将依据</w:t>
      </w:r>
      <w:r>
        <w:rPr>
          <w:rFonts w:hint="eastAsia" w:ascii="宋体" w:hAnsi="宋体" w:eastAsia="宋体" w:cs="宋体"/>
          <w:bCs/>
          <w:color w:val="auto"/>
          <w:highlight w:val="none"/>
        </w:rPr>
        <w:t>供应商</w:t>
      </w:r>
      <w:r>
        <w:rPr>
          <w:rFonts w:hint="eastAsia" w:ascii="宋体" w:hAnsi="宋体" w:eastAsia="宋体" w:cs="宋体"/>
          <w:color w:val="auto"/>
          <w:highlight w:val="none"/>
        </w:rPr>
        <w:t>提交的竞争性磋商响应文件按</w:t>
      </w:r>
      <w:r>
        <w:rPr>
          <w:rFonts w:hint="eastAsia" w:ascii="宋体" w:hAnsi="宋体" w:eastAsia="宋体" w:cs="宋体"/>
          <w:bCs/>
          <w:color w:val="auto"/>
          <w:highlight w:val="none"/>
        </w:rPr>
        <w:t>供应商</w:t>
      </w:r>
      <w:r>
        <w:rPr>
          <w:rFonts w:hint="eastAsia" w:ascii="宋体" w:hAnsi="宋体" w:eastAsia="宋体" w:cs="宋体"/>
          <w:color w:val="auto"/>
          <w:highlight w:val="none"/>
        </w:rPr>
        <w:t>须知前附表所述的资格标准对供应商进行资格审查。如果</w:t>
      </w:r>
      <w:r>
        <w:rPr>
          <w:rFonts w:hint="eastAsia" w:ascii="宋体" w:hAnsi="宋体" w:eastAsia="宋体" w:cs="宋体"/>
          <w:bCs/>
          <w:color w:val="auto"/>
          <w:highlight w:val="none"/>
        </w:rPr>
        <w:t>供应商</w:t>
      </w:r>
      <w:r>
        <w:rPr>
          <w:rFonts w:hint="eastAsia" w:ascii="宋体" w:hAnsi="宋体" w:eastAsia="宋体" w:cs="宋体"/>
          <w:color w:val="auto"/>
          <w:highlight w:val="none"/>
        </w:rPr>
        <w:t>不满足竞争性磋商文件所规定的资格标准或提供资格证明文件不全的</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其竞争性磋商响应文件将被否决。</w:t>
      </w:r>
    </w:p>
    <w:p w14:paraId="4E0EE4B6">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符合性检查。依据竞争性磋商文件的规定，磋商小组还将从竞争性磋商响应文件的有效性、完整性和对竞争性磋商文件的响应程度进行审查，以确定是否符合对竞争性磋商文件的实质性要求做出响应。实质性偏离是指：(1)实质性影响合同规定的范围、质量；(2)实质性违背竞争性磋商文件，限制了采购人的权利和供应商合同项下的义务；(3)不公正地影响</w:t>
      </w:r>
      <w:r>
        <w:rPr>
          <w:rFonts w:hint="eastAsia" w:ascii="宋体" w:hAnsi="宋体" w:cs="宋体"/>
          <w:color w:val="auto"/>
          <w:highlight w:val="none"/>
          <w:lang w:eastAsia="zh-CN"/>
        </w:rPr>
        <w:t>了其他</w:t>
      </w:r>
      <w:r>
        <w:rPr>
          <w:rFonts w:hint="eastAsia" w:ascii="宋体" w:hAnsi="宋体" w:eastAsia="宋体" w:cs="宋体"/>
          <w:color w:val="auto"/>
          <w:highlight w:val="none"/>
        </w:rPr>
        <w:t>做出实质性响应的供应商的竞争地位。对没有实质性响应的竞争性磋商响应文件将不进行详细评审，其磋商响应性文件将被否决。</w:t>
      </w:r>
    </w:p>
    <w:p w14:paraId="479496B4">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18.竞争性磋商响应文件的详细评审</w:t>
      </w:r>
    </w:p>
    <w:p w14:paraId="7C7ECA15">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18.1对所有</w:t>
      </w:r>
      <w:r>
        <w:rPr>
          <w:rFonts w:hint="eastAsia" w:ascii="宋体" w:hAnsi="宋体" w:eastAsia="宋体" w:cs="宋体"/>
          <w:bCs/>
          <w:color w:val="auto"/>
          <w:highlight w:val="none"/>
        </w:rPr>
        <w:t>供应商</w:t>
      </w:r>
      <w:r>
        <w:rPr>
          <w:rFonts w:hint="eastAsia" w:ascii="宋体" w:hAnsi="宋体" w:eastAsia="宋体" w:cs="宋体"/>
          <w:color w:val="auto"/>
          <w:highlight w:val="none"/>
        </w:rPr>
        <w:t>的评审，都采用相同的程序和标准。评审过程将严格按照竞争性磋商文件的要求和规定进行。</w:t>
      </w:r>
    </w:p>
    <w:p w14:paraId="0B8BA84B">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18.2有关竞争性磋商响应文件的审查、评估和比较以及推荐成交候选人的一切情况都不得透露给任何</w:t>
      </w:r>
      <w:r>
        <w:rPr>
          <w:rFonts w:hint="eastAsia" w:ascii="宋体" w:hAnsi="宋体" w:eastAsia="宋体" w:cs="宋体"/>
          <w:bCs/>
          <w:color w:val="auto"/>
          <w:highlight w:val="none"/>
        </w:rPr>
        <w:t>供应商</w:t>
      </w:r>
      <w:r>
        <w:rPr>
          <w:rFonts w:hint="eastAsia" w:ascii="宋体" w:hAnsi="宋体" w:eastAsia="宋体" w:cs="宋体"/>
          <w:color w:val="auto"/>
          <w:highlight w:val="none"/>
        </w:rPr>
        <w:t>或与上述磋商工作无关的人员。</w:t>
      </w:r>
    </w:p>
    <w:p w14:paraId="28AD62DF">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18.3</w:t>
      </w:r>
      <w:r>
        <w:rPr>
          <w:rFonts w:hint="eastAsia" w:ascii="宋体" w:hAnsi="宋体" w:eastAsia="宋体" w:cs="宋体"/>
          <w:bCs/>
          <w:color w:val="auto"/>
          <w:highlight w:val="none"/>
        </w:rPr>
        <w:t>供应商</w:t>
      </w:r>
      <w:r>
        <w:rPr>
          <w:rFonts w:hint="eastAsia" w:ascii="宋体" w:hAnsi="宋体" w:eastAsia="宋体" w:cs="宋体"/>
          <w:color w:val="auto"/>
          <w:highlight w:val="none"/>
        </w:rPr>
        <w:t>任何试图影响评委会对竞争性磋商响应文件的评审、比较或者推荐候选人的行为，都将导致其磋商响应文件被否决。</w:t>
      </w:r>
    </w:p>
    <w:p w14:paraId="54F635B2">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18.4磋商小组将对竞争性磋商响应文件进行检查，以确定竞争性磋商响应文件是否完整、有无计算上的错误、文件是否已正确签署等。</w:t>
      </w:r>
    </w:p>
    <w:p w14:paraId="0A873272">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18.5 算术错误将按以下方法更正：</w:t>
      </w:r>
    </w:p>
    <w:p w14:paraId="30261CA2">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(1)竞争性磋商响应文件中评审一览表(首次报价表)内容与竞争性磋商响应文件中明细表内容不一致的，以评审一览表(首次报价表)为准。</w:t>
      </w:r>
    </w:p>
    <w:p w14:paraId="63C3B9AC">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(2)竞争性磋商响应文件的大写</w:t>
      </w:r>
      <w:r>
        <w:rPr>
          <w:rFonts w:hint="eastAsia" w:ascii="宋体" w:hAnsi="宋体" w:eastAsia="宋体" w:cs="宋体"/>
          <w:color w:val="auto"/>
          <w:highlight w:val="none"/>
          <w:lang w:val="en-US" w:eastAsia="zh-CN"/>
        </w:rPr>
        <w:t>金额</w:t>
      </w:r>
      <w:r>
        <w:rPr>
          <w:rFonts w:hint="eastAsia" w:ascii="宋体" w:hAnsi="宋体" w:eastAsia="宋体" w:cs="宋体"/>
          <w:color w:val="auto"/>
          <w:highlight w:val="none"/>
        </w:rPr>
        <w:t>和小写</w:t>
      </w:r>
      <w:r>
        <w:rPr>
          <w:rFonts w:hint="eastAsia" w:ascii="宋体" w:hAnsi="宋体" w:eastAsia="宋体" w:cs="宋体"/>
          <w:color w:val="auto"/>
          <w:highlight w:val="none"/>
          <w:lang w:val="en-US" w:eastAsia="zh-CN"/>
        </w:rPr>
        <w:t>金额</w:t>
      </w:r>
      <w:r>
        <w:rPr>
          <w:rFonts w:hint="eastAsia" w:ascii="宋体" w:hAnsi="宋体" w:eastAsia="宋体" w:cs="宋体"/>
          <w:color w:val="auto"/>
          <w:highlight w:val="none"/>
        </w:rPr>
        <w:t>不一致的，以大写金额为准；对不同文字文本导致竞争性磋商响应文件的解释发生异议的，以中文文本为准。</w:t>
      </w:r>
    </w:p>
    <w:p w14:paraId="3BC5E67C">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)如果</w:t>
      </w:r>
      <w:r>
        <w:rPr>
          <w:rFonts w:hint="eastAsia" w:ascii="宋体" w:hAnsi="宋体" w:eastAsia="宋体" w:cs="宋体"/>
          <w:bCs/>
          <w:color w:val="auto"/>
          <w:highlight w:val="none"/>
        </w:rPr>
        <w:t>供应商</w:t>
      </w:r>
      <w:r>
        <w:rPr>
          <w:rFonts w:hint="eastAsia" w:ascii="宋体" w:hAnsi="宋体" w:eastAsia="宋体" w:cs="宋体"/>
          <w:color w:val="auto"/>
          <w:highlight w:val="none"/>
        </w:rPr>
        <w:t>不接受按上述方法对竞争性磋商响应文件中的算术错误进行更正，其磋商响应文件将被否决。</w:t>
      </w:r>
    </w:p>
    <w:p w14:paraId="649AC110">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竞争性磋商小组在评审过程中发现有下列情形之一的，属于恶意串通，对供应商依照政府采购法第七十七条第一款的规定追究法律责任，对采购人、采购代理机构及其工作人员依照政府采购法第七十二条的规定追究法律责任：</w:t>
      </w:r>
    </w:p>
    <w:p w14:paraId="794966C1">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（一）供应商直接或者间接从采购人或者采购代理机构处获得其他供应商的相关情况并修改其磋商响应文件；</w:t>
      </w:r>
    </w:p>
    <w:p w14:paraId="20B66C4B">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（二）供应商按照采购人或者采购代理机构的授意撤换、修改磋商响应文件；</w:t>
      </w:r>
    </w:p>
    <w:p w14:paraId="359DACAB">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（三）供应商之间协商报价、技术方案等磋商响应文件的实质性内容；</w:t>
      </w:r>
    </w:p>
    <w:p w14:paraId="4C65ACA9">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（四）属于同一集团、协会、商会等组织成员的供应商按照该组织要求协同参加政府采购活动；</w:t>
      </w:r>
    </w:p>
    <w:p w14:paraId="0A920D46">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（五）供应商之间事先约定由某一特定供应商</w:t>
      </w:r>
      <w:r>
        <w:rPr>
          <w:rFonts w:hint="eastAsia" w:ascii="宋体" w:hAnsi="宋体" w:cs="宋体"/>
          <w:color w:val="auto"/>
          <w:highlight w:val="none"/>
          <w:lang w:eastAsia="zh-CN"/>
        </w:rPr>
        <w:t>中标、成交</w:t>
      </w:r>
      <w:r>
        <w:rPr>
          <w:rFonts w:hint="eastAsia" w:ascii="宋体" w:hAnsi="宋体" w:eastAsia="宋体" w:cs="宋体"/>
          <w:color w:val="auto"/>
          <w:highlight w:val="none"/>
        </w:rPr>
        <w:t>；</w:t>
      </w:r>
    </w:p>
    <w:p w14:paraId="004DAC90">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（六）供应商之间商定部分供应商放弃参加</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活动或者放弃</w:t>
      </w:r>
      <w:r>
        <w:rPr>
          <w:rFonts w:hint="eastAsia" w:ascii="宋体" w:hAnsi="宋体" w:cs="宋体"/>
          <w:color w:val="auto"/>
          <w:highlight w:val="none"/>
          <w:lang w:eastAsia="zh-CN"/>
        </w:rPr>
        <w:t>中标、成交</w:t>
      </w:r>
      <w:r>
        <w:rPr>
          <w:rFonts w:hint="eastAsia" w:ascii="宋体" w:hAnsi="宋体" w:eastAsia="宋体" w:cs="宋体"/>
          <w:color w:val="auto"/>
          <w:highlight w:val="none"/>
        </w:rPr>
        <w:t>；</w:t>
      </w:r>
    </w:p>
    <w:p w14:paraId="615DE1F5">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（七）供应商与采购人或者采购代理机构之间、供应商相互之间，为谋求特定供应商</w:t>
      </w:r>
      <w:r>
        <w:rPr>
          <w:rFonts w:hint="eastAsia" w:ascii="宋体" w:hAnsi="宋体" w:cs="宋体"/>
          <w:color w:val="auto"/>
          <w:highlight w:val="none"/>
          <w:lang w:eastAsia="zh-CN"/>
        </w:rPr>
        <w:t>中标、成交</w:t>
      </w:r>
      <w:r>
        <w:rPr>
          <w:rFonts w:hint="eastAsia" w:ascii="宋体" w:hAnsi="宋体" w:eastAsia="宋体" w:cs="宋体"/>
          <w:color w:val="auto"/>
          <w:highlight w:val="none"/>
        </w:rPr>
        <w:t>或者排斥其他供应商的其他串通行为。</w:t>
      </w:r>
    </w:p>
    <w:p w14:paraId="556622F0">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20.磋商小组决定磋商的响应性只根据竞争性磋商响应文件本身的内容，而不寻求其他的外部证据。</w:t>
      </w:r>
    </w:p>
    <w:p w14:paraId="15015D76">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21.竞争性磋商响应文件的澄清  </w:t>
      </w:r>
    </w:p>
    <w:p w14:paraId="21ECDC4F">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对竞争性磋商响应文件中含义不明确、同类问题表述不一致或者有明显文字和计算错误的内容，磋商小组可以书面形式或口头形式要求供应商做出必要的澄清、说明或者纠正。</w:t>
      </w:r>
      <w:r>
        <w:rPr>
          <w:rFonts w:hint="eastAsia" w:ascii="宋体" w:hAnsi="宋体" w:eastAsia="宋体" w:cs="宋体"/>
          <w:bCs/>
          <w:color w:val="auto"/>
          <w:highlight w:val="none"/>
        </w:rPr>
        <w:t>供应商</w:t>
      </w:r>
      <w:r>
        <w:rPr>
          <w:rFonts w:hint="eastAsia" w:ascii="宋体" w:hAnsi="宋体" w:eastAsia="宋体" w:cs="宋体"/>
          <w:color w:val="auto"/>
          <w:highlight w:val="none"/>
        </w:rPr>
        <w:t>的澄清、说明或者纠正应当在磋商小组规定的时间内以书面形式做出，由其法定代表人或者授权代表签字，并不得超出竞争性磋商响应文件的范围或者改变竞争性磋商响应文件的实质性内容。</w:t>
      </w:r>
    </w:p>
    <w:p w14:paraId="658A5A8B">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22.比较与评审</w:t>
      </w:r>
    </w:p>
    <w:p w14:paraId="48D05CD7">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22.1磋商小组将按竞争性磋商文件第四章规定的磋商原则和磋商方法，对资格性检查和</w:t>
      </w:r>
      <w:r>
        <w:rPr>
          <w:rFonts w:hint="eastAsia" w:ascii="宋体" w:hAnsi="宋体" w:eastAsia="宋体" w:cs="宋体"/>
          <w:color w:val="auto"/>
          <w:spacing w:val="-6"/>
          <w:highlight w:val="none"/>
        </w:rPr>
        <w:t>符合性检查合格的竞争性磋商响应文件进行资信</w:t>
      </w:r>
      <w:r>
        <w:rPr>
          <w:rFonts w:hint="eastAsia" w:ascii="宋体" w:hAnsi="宋体" w:eastAsia="宋体" w:cs="宋体"/>
          <w:color w:val="auto"/>
          <w:spacing w:val="-6"/>
          <w:highlight w:val="none"/>
          <w:lang w:val="en-US" w:eastAsia="zh-CN"/>
        </w:rPr>
        <w:t>商务</w:t>
      </w:r>
      <w:r>
        <w:rPr>
          <w:rFonts w:hint="eastAsia" w:ascii="宋体" w:hAnsi="宋体" w:eastAsia="宋体" w:cs="宋体"/>
          <w:color w:val="auto"/>
          <w:spacing w:val="-6"/>
          <w:highlight w:val="none"/>
        </w:rPr>
        <w:t>技术部分和报价部分详细评审，进行综合打分。</w:t>
      </w:r>
    </w:p>
    <w:p w14:paraId="47F2BD88">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22.2 若</w:t>
      </w:r>
      <w:r>
        <w:rPr>
          <w:rFonts w:hint="eastAsia" w:ascii="宋体" w:hAnsi="宋体" w:eastAsia="宋体" w:cs="宋体"/>
          <w:bCs/>
          <w:color w:val="auto"/>
          <w:highlight w:val="none"/>
        </w:rPr>
        <w:t>供应商</w:t>
      </w:r>
      <w:r>
        <w:rPr>
          <w:rFonts w:hint="eastAsia" w:ascii="宋体" w:hAnsi="宋体" w:eastAsia="宋体" w:cs="宋体"/>
          <w:color w:val="auto"/>
          <w:highlight w:val="none"/>
        </w:rPr>
        <w:t>的报价明显低于其他报价，使得其项目报价可能低于其个别成本的，有可能影响服务质量或诚信履约的，</w:t>
      </w:r>
      <w:r>
        <w:rPr>
          <w:rFonts w:hint="eastAsia" w:ascii="宋体" w:hAnsi="宋体" w:eastAsia="宋体" w:cs="宋体"/>
          <w:bCs/>
          <w:color w:val="auto"/>
          <w:highlight w:val="none"/>
        </w:rPr>
        <w:t>供应商</w:t>
      </w:r>
      <w:r>
        <w:rPr>
          <w:rFonts w:hint="eastAsia" w:ascii="宋体" w:hAnsi="宋体" w:eastAsia="宋体" w:cs="宋体"/>
          <w:color w:val="auto"/>
          <w:highlight w:val="none"/>
        </w:rPr>
        <w:t>应按磋商小组要求作出书面说明并提供相关证明材料，否则其响应文件将被否决。</w:t>
      </w:r>
    </w:p>
    <w:p w14:paraId="25718EEA">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22.3</w:t>
      </w:r>
      <w:r>
        <w:rPr>
          <w:rFonts w:hint="eastAsia" w:ascii="宋体" w:hAnsi="宋体" w:eastAsia="宋体" w:cs="宋体"/>
          <w:bCs/>
          <w:color w:val="auto"/>
          <w:kern w:val="0"/>
          <w:highlight w:val="none"/>
        </w:rPr>
        <w:t>磋商小组应当从质量和规格均能满足竞争性磋商文件实质性要求的供应商中，按照综合得分由高到低的顺序推荐</w:t>
      </w:r>
      <w:r>
        <w:rPr>
          <w:rFonts w:hint="eastAsia" w:ascii="宋体" w:hAnsi="宋体" w:eastAsia="宋体" w:cs="宋体"/>
          <w:bCs/>
          <w:color w:val="auto"/>
          <w:kern w:val="0"/>
          <w:highlight w:val="none"/>
          <w:lang w:val="en-US" w:eastAsia="zh-CN"/>
        </w:rPr>
        <w:t>3</w:t>
      </w:r>
      <w:r>
        <w:rPr>
          <w:rFonts w:hint="eastAsia" w:ascii="宋体" w:hAnsi="宋体" w:eastAsia="宋体" w:cs="宋体"/>
          <w:bCs/>
          <w:color w:val="auto"/>
          <w:kern w:val="0"/>
          <w:highlight w:val="none"/>
        </w:rPr>
        <w:t>名成交候选人，并进行排名。</w:t>
      </w:r>
    </w:p>
    <w:p w14:paraId="2BEA9F9B">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lang w:val="en-US"/>
        </w:rPr>
      </w:pPr>
      <w:bookmarkStart w:id="563" w:name="_Toc20488"/>
      <w:bookmarkStart w:id="564" w:name="_Toc13658"/>
      <w:bookmarkStart w:id="565" w:name="_Toc30939"/>
      <w:bookmarkStart w:id="566" w:name="_Toc15294"/>
      <w:bookmarkStart w:id="567" w:name="_Toc3563"/>
      <w:bookmarkStart w:id="568" w:name="_Toc9974"/>
      <w:bookmarkStart w:id="569" w:name="_Toc2177"/>
      <w:bookmarkStart w:id="570" w:name="_Toc18454"/>
      <w:bookmarkStart w:id="571" w:name="_Toc29322"/>
      <w:bookmarkStart w:id="572" w:name="_Toc16516"/>
      <w:bookmarkStart w:id="573" w:name="_Toc8879"/>
      <w:bookmarkStart w:id="574" w:name="_Toc19436"/>
      <w:bookmarkStart w:id="575" w:name="_Toc25727"/>
      <w:bookmarkStart w:id="576" w:name="_Toc319"/>
      <w:bookmarkStart w:id="577" w:name="_Toc22739"/>
      <w:bookmarkStart w:id="578" w:name="_Toc8659"/>
      <w:bookmarkStart w:id="579" w:name="_Toc25658"/>
      <w:bookmarkStart w:id="580" w:name="_Toc10537"/>
      <w:bookmarkStart w:id="581" w:name="_Toc31962"/>
      <w:bookmarkStart w:id="582" w:name="_Toc27379"/>
      <w:bookmarkStart w:id="583" w:name="_Toc1242"/>
      <w:bookmarkStart w:id="584" w:name="_Toc27033"/>
      <w:bookmarkStart w:id="585" w:name="_Toc31543"/>
      <w:bookmarkStart w:id="586" w:name="_Toc14206"/>
      <w:bookmarkStart w:id="587" w:name="_Toc5989"/>
      <w:bookmarkStart w:id="588" w:name="_Toc20933"/>
      <w:bookmarkStart w:id="589" w:name="_Toc4433"/>
      <w:bookmarkStart w:id="590" w:name="_Toc13611"/>
      <w:bookmarkStart w:id="591" w:name="_Toc826"/>
      <w:bookmarkStart w:id="592" w:name="_Toc26716"/>
      <w:bookmarkStart w:id="593" w:name="_Toc10965"/>
      <w:bookmarkStart w:id="594" w:name="_Toc7529"/>
      <w:bookmarkStart w:id="595" w:name="_Toc391298960"/>
      <w:bookmarkStart w:id="596" w:name="_Toc24664"/>
      <w:bookmarkStart w:id="597" w:name="_Toc27036"/>
      <w:bookmarkStart w:id="598" w:name="_Toc7610"/>
      <w:bookmarkStart w:id="599" w:name="_Toc27820"/>
      <w:bookmarkStart w:id="600" w:name="_Toc17604"/>
      <w:bookmarkStart w:id="601" w:name="_Toc4715"/>
      <w:r>
        <w:rPr>
          <w:rFonts w:hint="eastAsia" w:ascii="宋体" w:hAnsi="宋体" w:eastAsia="宋体" w:cs="宋体"/>
          <w:b/>
          <w:color w:val="auto"/>
          <w:sz w:val="28"/>
          <w:szCs w:val="28"/>
          <w:highlight w:val="none"/>
          <w:lang w:val="en-US" w:eastAsia="zh-CN"/>
        </w:rPr>
        <w:t>七</w:t>
      </w:r>
      <w:r>
        <w:rPr>
          <w:rFonts w:hint="eastAsia" w:ascii="宋体" w:hAnsi="宋体" w:eastAsia="宋体" w:cs="宋体"/>
          <w:b/>
          <w:bCs w:val="0"/>
          <w:color w:val="auto"/>
          <w:sz w:val="28"/>
          <w:szCs w:val="28"/>
          <w:highlight w:val="none"/>
        </w:rPr>
        <w:t>、磋商无效的情形</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7B94986">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23.实质上没有响应磋商文件要求的响应文件将被视为无效磋商。供应商不得通过修正或</w:t>
      </w:r>
      <w:r>
        <w:rPr>
          <w:rFonts w:hint="eastAsia" w:ascii="宋体" w:hAnsi="宋体" w:cs="宋体"/>
          <w:color w:val="auto"/>
          <w:highlight w:val="none"/>
          <w:lang w:eastAsia="zh-CN"/>
        </w:rPr>
        <w:t>撤销</w:t>
      </w:r>
      <w:r>
        <w:rPr>
          <w:rFonts w:hint="eastAsia" w:ascii="宋体" w:hAnsi="宋体" w:eastAsia="宋体" w:cs="宋体"/>
          <w:color w:val="auto"/>
          <w:highlight w:val="none"/>
        </w:rPr>
        <w:t>不合要求的偏离或保留从而使其磋商成为实质上响应的磋商。如发生下列情况之一的，其响应文件视为无效：</w:t>
      </w:r>
    </w:p>
    <w:p w14:paraId="5969CC5B">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23.1响应文件逾期送达的；</w:t>
      </w:r>
    </w:p>
    <w:p w14:paraId="0DABE3CE">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23.2不具备磋商文件规</w:t>
      </w:r>
      <w:r>
        <w:rPr>
          <w:rFonts w:hint="eastAsia" w:ascii="宋体" w:hAnsi="宋体" w:cs="宋体"/>
          <w:color w:val="auto"/>
          <w:highlight w:val="none"/>
          <w:lang w:eastAsia="zh-CN"/>
        </w:rPr>
        <w:t>定的</w:t>
      </w:r>
      <w:r>
        <w:rPr>
          <w:rFonts w:hint="eastAsia" w:ascii="宋体" w:hAnsi="宋体" w:eastAsia="宋体" w:cs="宋体"/>
          <w:color w:val="auto"/>
          <w:highlight w:val="none"/>
        </w:rPr>
        <w:t>资格要求；</w:t>
      </w:r>
    </w:p>
    <w:p w14:paraId="0433C809">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23.3响应文件有应盖而未盖公章、应签字而未签字；未按规定装订、密封、未有效授权的</w:t>
      </w:r>
      <w:r>
        <w:rPr>
          <w:rFonts w:hint="eastAsia" w:ascii="宋体" w:hAnsi="宋体" w:cs="宋体"/>
          <w:color w:val="auto"/>
          <w:highlight w:val="none"/>
          <w:lang w:eastAsia="zh-CN"/>
        </w:rPr>
        <w:t>；</w:t>
      </w:r>
    </w:p>
    <w:p w14:paraId="445261AF">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23.4磋商响应文件中有▲处条款供应商未作实质性响应的；</w:t>
      </w:r>
    </w:p>
    <w:p w14:paraId="724F168D">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23.5供应商的报价</w:t>
      </w:r>
      <w:r>
        <w:rPr>
          <w:rFonts w:hint="eastAsia" w:ascii="宋体" w:hAnsi="宋体" w:eastAsia="宋体" w:cs="宋体"/>
          <w:color w:val="auto"/>
          <w:highlight w:val="none"/>
          <w:lang w:val="zh-CN"/>
        </w:rPr>
        <w:t>明显低于其他通过符合性审查供应商的报价，有可能影响产品质量或者不能诚信履约的</w:t>
      </w:r>
      <w:r>
        <w:rPr>
          <w:rFonts w:hint="eastAsia" w:ascii="宋体" w:hAnsi="宋体" w:eastAsia="宋体" w:cs="宋体"/>
          <w:color w:val="auto"/>
          <w:highlight w:val="none"/>
        </w:rPr>
        <w:t>，不能合理说明原因并提供证明材料的；</w:t>
      </w:r>
    </w:p>
    <w:p w14:paraId="393CF76C">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23.6响应文件关键内容字迹模糊、无法辨认的；</w:t>
      </w:r>
    </w:p>
    <w:p w14:paraId="562035BF">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23.7报价超出采购预算价的；</w:t>
      </w:r>
    </w:p>
    <w:p w14:paraId="2317C971">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23.8提供虚假材料谋取</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w:t>
      </w:r>
    </w:p>
    <w:p w14:paraId="09E9305A">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23.9不符合</w:t>
      </w:r>
      <w:r>
        <w:rPr>
          <w:rFonts w:hint="eastAsia" w:ascii="宋体" w:hAnsi="宋体" w:cs="宋体"/>
          <w:color w:val="auto"/>
          <w:highlight w:val="none"/>
          <w:lang w:eastAsia="zh-CN"/>
        </w:rPr>
        <w:t>法律法规</w:t>
      </w:r>
      <w:r>
        <w:rPr>
          <w:rFonts w:hint="eastAsia" w:ascii="宋体" w:hAnsi="宋体" w:eastAsia="宋体" w:cs="宋体"/>
          <w:color w:val="auto"/>
          <w:highlight w:val="none"/>
        </w:rPr>
        <w:t>和磋商文件规定的其他实质性要求的。</w:t>
      </w:r>
    </w:p>
    <w:p w14:paraId="781DDD5D">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rPr>
      </w:pPr>
      <w:bookmarkStart w:id="602" w:name="_Toc5848"/>
      <w:bookmarkStart w:id="603" w:name="_Toc24359"/>
      <w:bookmarkStart w:id="604" w:name="_Toc27425"/>
      <w:bookmarkStart w:id="605" w:name="_Toc18497"/>
      <w:bookmarkStart w:id="606" w:name="_Toc14913"/>
      <w:bookmarkStart w:id="607" w:name="_Toc31993"/>
      <w:bookmarkStart w:id="608" w:name="_Toc16533"/>
      <w:bookmarkStart w:id="609" w:name="_Toc15011"/>
      <w:bookmarkStart w:id="610" w:name="_Toc11370"/>
      <w:bookmarkStart w:id="611" w:name="_Toc14186"/>
      <w:bookmarkStart w:id="612" w:name="_Toc10296"/>
      <w:bookmarkStart w:id="613" w:name="_Toc20074"/>
      <w:bookmarkStart w:id="614" w:name="_Toc15375"/>
      <w:bookmarkStart w:id="615" w:name="_Toc13195"/>
      <w:bookmarkStart w:id="616" w:name="_Toc26422"/>
      <w:bookmarkStart w:id="617" w:name="_Toc6271"/>
      <w:bookmarkStart w:id="618" w:name="_Toc3944"/>
      <w:bookmarkStart w:id="619" w:name="_Toc11948"/>
      <w:bookmarkStart w:id="620" w:name="_Toc20068"/>
      <w:bookmarkStart w:id="621" w:name="_Toc21391"/>
      <w:bookmarkStart w:id="622" w:name="_Toc28543"/>
      <w:bookmarkStart w:id="623" w:name="_Toc14576"/>
      <w:bookmarkStart w:id="624" w:name="_Toc20290"/>
      <w:bookmarkStart w:id="625" w:name="_Toc28864"/>
      <w:bookmarkStart w:id="626" w:name="_Toc25815"/>
      <w:bookmarkStart w:id="627" w:name="_Toc13408"/>
      <w:bookmarkStart w:id="628" w:name="_Toc27232"/>
      <w:bookmarkStart w:id="629" w:name="_Toc10340"/>
      <w:bookmarkStart w:id="630" w:name="_Toc3135"/>
      <w:bookmarkStart w:id="631" w:name="_Toc3812"/>
      <w:bookmarkStart w:id="632" w:name="_Toc25176"/>
      <w:r>
        <w:rPr>
          <w:rFonts w:hint="eastAsia" w:ascii="宋体" w:hAnsi="宋体" w:eastAsia="宋体" w:cs="宋体"/>
          <w:b/>
          <w:bCs w:val="0"/>
          <w:color w:val="auto"/>
          <w:sz w:val="28"/>
          <w:szCs w:val="28"/>
          <w:highlight w:val="none"/>
          <w:lang w:val="en-US" w:eastAsia="zh-CN"/>
        </w:rPr>
        <w:t>八</w:t>
      </w:r>
      <w:r>
        <w:rPr>
          <w:rFonts w:hint="eastAsia" w:ascii="宋体" w:hAnsi="宋体" w:eastAsia="宋体" w:cs="宋体"/>
          <w:b/>
          <w:bCs w:val="0"/>
          <w:color w:val="auto"/>
          <w:sz w:val="28"/>
          <w:szCs w:val="28"/>
          <w:highlight w:val="none"/>
        </w:rPr>
        <w:t>、废标的情形</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614847C2">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24.采购中，出现下列情形之一的，应予废标。废标后，采购人应将废标理由通知所有供应商：</w:t>
      </w:r>
    </w:p>
    <w:p w14:paraId="4530AF1E">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24.1因情况变化，不再符合规定的竞争性磋商采购方式适用情形的；</w:t>
      </w:r>
    </w:p>
    <w:p w14:paraId="0FD18628">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24.2符合专业条件的磋商响应方或对磋商文件作实质性响应的磋商响应方不足三家的；（特别说明：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15606B6">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24.3出现影响采购</w:t>
      </w:r>
      <w:r>
        <w:rPr>
          <w:rFonts w:hint="eastAsia" w:ascii="宋体" w:hAnsi="宋体" w:cs="宋体"/>
          <w:color w:val="auto"/>
          <w:highlight w:val="none"/>
          <w:lang w:eastAsia="zh-CN"/>
        </w:rPr>
        <w:t>公正</w:t>
      </w:r>
      <w:r>
        <w:rPr>
          <w:rFonts w:hint="eastAsia" w:ascii="宋体" w:hAnsi="宋体" w:eastAsia="宋体" w:cs="宋体"/>
          <w:color w:val="auto"/>
          <w:highlight w:val="none"/>
        </w:rPr>
        <w:t>的违法、违规行为的；</w:t>
      </w:r>
    </w:p>
    <w:p w14:paraId="2B67D53E">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24.4供应商的报价均超过了采购预算，采购人不能支付的；</w:t>
      </w:r>
    </w:p>
    <w:p w14:paraId="7363B28C">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24.5因重大变故，采购任务取消的。</w:t>
      </w:r>
    </w:p>
    <w:p w14:paraId="4CB41407">
      <w:pPr>
        <w:pStyle w:val="3"/>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rPr>
      </w:pPr>
      <w:bookmarkStart w:id="633" w:name="_Toc24033"/>
      <w:bookmarkStart w:id="634" w:name="_Toc12786"/>
      <w:bookmarkStart w:id="635" w:name="_Toc22913"/>
      <w:bookmarkStart w:id="636" w:name="_Toc19750"/>
      <w:bookmarkStart w:id="637" w:name="_Toc24803"/>
      <w:bookmarkStart w:id="638" w:name="_Toc2702"/>
      <w:bookmarkStart w:id="639" w:name="_Toc10326"/>
      <w:bookmarkStart w:id="640" w:name="_Toc19363"/>
      <w:bookmarkStart w:id="641" w:name="_Toc16788"/>
      <w:bookmarkStart w:id="642" w:name="_Toc15254"/>
      <w:bookmarkStart w:id="643" w:name="_Toc11749"/>
      <w:bookmarkStart w:id="644" w:name="_Toc20271"/>
      <w:bookmarkStart w:id="645" w:name="_Toc9831"/>
      <w:bookmarkStart w:id="646" w:name="_Toc9107"/>
      <w:bookmarkStart w:id="647" w:name="_Toc9841"/>
      <w:bookmarkStart w:id="648" w:name="_Toc32412"/>
      <w:bookmarkStart w:id="649" w:name="_Toc26818"/>
      <w:bookmarkStart w:id="650" w:name="_Toc15151"/>
      <w:bookmarkStart w:id="651" w:name="_Toc19293"/>
      <w:bookmarkStart w:id="652" w:name="_Toc20983"/>
      <w:bookmarkStart w:id="653" w:name="_Toc27854"/>
      <w:bookmarkStart w:id="654" w:name="_Toc26677"/>
      <w:bookmarkStart w:id="655" w:name="_Toc22820"/>
      <w:bookmarkStart w:id="656" w:name="_Toc23284"/>
      <w:bookmarkStart w:id="657" w:name="_Toc11181"/>
      <w:bookmarkStart w:id="658" w:name="_Toc24988"/>
      <w:bookmarkStart w:id="659" w:name="_Toc28165"/>
      <w:bookmarkStart w:id="660" w:name="_Toc15882"/>
      <w:bookmarkStart w:id="661" w:name="_Toc23403"/>
      <w:bookmarkStart w:id="662" w:name="_Toc32686"/>
      <w:bookmarkStart w:id="663" w:name="_Toc15120"/>
      <w:r>
        <w:rPr>
          <w:rFonts w:hint="eastAsia" w:ascii="宋体" w:hAnsi="宋体" w:eastAsia="宋体" w:cs="宋体"/>
          <w:b/>
          <w:bCs w:val="0"/>
          <w:color w:val="auto"/>
          <w:sz w:val="28"/>
          <w:szCs w:val="28"/>
          <w:highlight w:val="none"/>
          <w:lang w:val="en-US" w:eastAsia="zh-CN"/>
        </w:rPr>
        <w:t>九</w:t>
      </w:r>
      <w:r>
        <w:rPr>
          <w:rFonts w:hint="eastAsia" w:ascii="宋体" w:hAnsi="宋体" w:eastAsia="宋体" w:cs="宋体"/>
          <w:b/>
          <w:bCs w:val="0"/>
          <w:color w:val="auto"/>
          <w:sz w:val="28"/>
          <w:szCs w:val="28"/>
          <w:highlight w:val="none"/>
        </w:rPr>
        <w:t>、确定成交供应商与签订合同</w:t>
      </w:r>
      <w:bookmarkEnd w:id="595"/>
      <w:bookmarkEnd w:id="596"/>
      <w:bookmarkEnd w:id="597"/>
      <w:bookmarkEnd w:id="598"/>
      <w:bookmarkEnd w:id="599"/>
      <w:bookmarkEnd w:id="600"/>
      <w:bookmarkEnd w:id="601"/>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7811E6C4">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25.确定成交供应商准则</w:t>
      </w:r>
    </w:p>
    <w:p w14:paraId="0F5C558B">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25.1本项目采用综合评分法，评审出得分最高的</w:t>
      </w:r>
      <w:r>
        <w:rPr>
          <w:rFonts w:hint="eastAsia" w:ascii="宋体" w:hAnsi="宋体" w:eastAsia="宋体" w:cs="宋体"/>
          <w:bCs/>
          <w:color w:val="auto"/>
          <w:kern w:val="0"/>
          <w:highlight w:val="none"/>
          <w:lang w:val="en-US" w:eastAsia="zh-CN"/>
        </w:rPr>
        <w:t>3</w:t>
      </w:r>
      <w:r>
        <w:rPr>
          <w:rFonts w:hint="eastAsia" w:ascii="宋体" w:hAnsi="宋体" w:eastAsia="宋体" w:cs="宋体"/>
          <w:bCs/>
          <w:color w:val="auto"/>
          <w:kern w:val="0"/>
          <w:highlight w:val="none"/>
        </w:rPr>
        <w:t>名成交候选人</w:t>
      </w:r>
      <w:r>
        <w:rPr>
          <w:rFonts w:hint="eastAsia" w:ascii="宋体" w:hAnsi="宋体" w:eastAsia="宋体" w:cs="宋体"/>
          <w:color w:val="auto"/>
          <w:highlight w:val="none"/>
        </w:rPr>
        <w:t>。</w:t>
      </w:r>
    </w:p>
    <w:p w14:paraId="6BCD021C">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25.2采购人原则上应确定排名第一位的成交候选人作为成交供应商。</w:t>
      </w:r>
    </w:p>
    <w:p w14:paraId="635288B0">
      <w:pPr>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25.3 采购人只对评审结果负责，不对评审结果</w:t>
      </w:r>
      <w:r>
        <w:rPr>
          <w:rFonts w:hint="eastAsia" w:ascii="宋体" w:hAnsi="宋体" w:cs="宋体"/>
          <w:color w:val="auto"/>
          <w:highlight w:val="none"/>
          <w:lang w:eastAsia="zh-CN"/>
        </w:rPr>
        <w:t>做</w:t>
      </w:r>
      <w:r>
        <w:rPr>
          <w:rFonts w:hint="eastAsia" w:ascii="宋体" w:hAnsi="宋体" w:eastAsia="宋体" w:cs="宋体"/>
          <w:color w:val="auto"/>
          <w:highlight w:val="none"/>
        </w:rPr>
        <w:t>任何解释。</w:t>
      </w:r>
    </w:p>
    <w:p w14:paraId="4F26F493">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26.成交通知</w:t>
      </w:r>
    </w:p>
    <w:p w14:paraId="7BAF5D2F">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26.1采购人确定成交供应商后应及时向成交供应商发出《成交通知书》。《成交通知书》对采购人和成交供应商具有同等法律效力。《成交通知书》发出后，采购人改变成交结果，或者成交供应商放弃成交，应按相关法律、规章、规范性文件的要求承担相应的法律责任。</w:t>
      </w:r>
    </w:p>
    <w:p w14:paraId="514DC217">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26.2《成交通知书》将作为签订合同的依据。《合同》签订后，《成交通知书》成为《合同》的一部分。</w:t>
      </w:r>
    </w:p>
    <w:p w14:paraId="66881EB6">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27.</w:t>
      </w:r>
      <w:r>
        <w:rPr>
          <w:rFonts w:hint="eastAsia" w:ascii="宋体" w:hAnsi="宋体" w:eastAsia="宋体" w:cs="宋体"/>
          <w:color w:val="auto"/>
          <w:highlight w:val="none"/>
        </w:rPr>
        <w:t>签订合同</w:t>
      </w:r>
    </w:p>
    <w:p w14:paraId="3819485F">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27.1采购人、成交供应商应在《成交通知书》发出之日起</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内，根据竞争性磋商文件确定的事项和成交供应商竞争性磋商响应文件的内容签署服务采购合同，双方所签订的合同不得对竞争性磋商文件和成交供应商竞争性磋商响应文件作实质性修改。成交供应商逾期未签订合同，按照有关法律规定承担相应的法律责任。</w:t>
      </w:r>
    </w:p>
    <w:p w14:paraId="27B9F318">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27.2竞争性磋商文件、竞争性磋商文件的修改文件、成交供应商的竞争性磋商响应文件、补充或修改的文件及澄清或承诺文件等，均为双方签订合同的组成部分，与合同具体条款具有同等法律效力。</w:t>
      </w:r>
    </w:p>
    <w:p w14:paraId="7E8AFB0F">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highlight w:val="none"/>
        </w:rPr>
        <w:t>27.3</w:t>
      </w:r>
      <w:r>
        <w:rPr>
          <w:rFonts w:hint="eastAsia" w:ascii="宋体" w:hAnsi="宋体" w:eastAsia="宋体" w:cs="宋体"/>
          <w:bCs/>
          <w:color w:val="auto"/>
          <w:sz w:val="24"/>
          <w:szCs w:val="24"/>
          <w:highlight w:val="none"/>
        </w:rPr>
        <w:t>排名第一的</w:t>
      </w:r>
      <w:r>
        <w:rPr>
          <w:rFonts w:hint="eastAsia" w:ascii="宋体" w:hAnsi="宋体" w:eastAsia="宋体" w:cs="宋体"/>
          <w:bCs/>
          <w:color w:val="auto"/>
          <w:sz w:val="24"/>
          <w:szCs w:val="24"/>
          <w:highlight w:val="none"/>
          <w:lang w:eastAsia="zh-CN"/>
        </w:rPr>
        <w:t>成交候选人</w:t>
      </w:r>
      <w:r>
        <w:rPr>
          <w:rFonts w:hint="eastAsia" w:ascii="宋体" w:hAnsi="宋体" w:eastAsia="宋体" w:cs="宋体"/>
          <w:bCs/>
          <w:color w:val="auto"/>
          <w:sz w:val="24"/>
          <w:szCs w:val="24"/>
          <w:highlight w:val="none"/>
        </w:rPr>
        <w:t>放弃中标；因不可抗力提出不能履行合同或未能在规定时间内与采购人签订合同的，或者经质疑，采购人审查后，确因排名第一的候选人在本次采购活动中存在违法违规行为或其他原因使质疑成立的，</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可以按照</w:t>
      </w:r>
      <w:r>
        <w:rPr>
          <w:rFonts w:hint="eastAsia" w:ascii="宋体" w:hAnsi="宋体" w:cs="宋体"/>
          <w:bCs/>
          <w:color w:val="auto"/>
          <w:sz w:val="24"/>
          <w:szCs w:val="24"/>
          <w:highlight w:val="none"/>
          <w:lang w:eastAsia="zh-CN"/>
        </w:rPr>
        <w:t>磋商小组</w:t>
      </w:r>
      <w:r>
        <w:rPr>
          <w:rFonts w:hint="eastAsia" w:ascii="宋体" w:hAnsi="宋体" w:eastAsia="宋体" w:cs="宋体"/>
          <w:bCs/>
          <w:color w:val="auto"/>
          <w:sz w:val="24"/>
          <w:szCs w:val="24"/>
          <w:highlight w:val="none"/>
        </w:rPr>
        <w:t>提出的</w:t>
      </w:r>
      <w:r>
        <w:rPr>
          <w:rFonts w:hint="eastAsia" w:ascii="宋体" w:hAnsi="宋体" w:eastAsia="宋体" w:cs="宋体"/>
          <w:bCs/>
          <w:color w:val="auto"/>
          <w:sz w:val="24"/>
          <w:szCs w:val="24"/>
          <w:highlight w:val="none"/>
          <w:lang w:eastAsia="zh-CN"/>
        </w:rPr>
        <w:t>成交候选人</w:t>
      </w:r>
      <w:r>
        <w:rPr>
          <w:rFonts w:hint="eastAsia" w:ascii="宋体" w:hAnsi="宋体" w:eastAsia="宋体" w:cs="宋体"/>
          <w:bCs/>
          <w:color w:val="auto"/>
          <w:sz w:val="24"/>
          <w:szCs w:val="24"/>
          <w:highlight w:val="none"/>
        </w:rPr>
        <w:t>名单排序依次确定其他</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候选人为</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，也可以重新招标。对于无正当理由放弃中标的中标候选人，</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可以要求其赔偿实际损失。</w:t>
      </w:r>
    </w:p>
    <w:p w14:paraId="30933030">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28.付款方式：见合同主要条款。</w:t>
      </w:r>
    </w:p>
    <w:p w14:paraId="0A01CCA9">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29.采购代理服务费</w:t>
      </w:r>
    </w:p>
    <w:p w14:paraId="3E079570">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bookmarkStart w:id="664" w:name="_Toc23307"/>
      <w:bookmarkStart w:id="665" w:name="_Toc10535"/>
      <w:bookmarkStart w:id="666" w:name="_Toc356371441"/>
      <w:bookmarkStart w:id="667" w:name="_Toc26749"/>
      <w:bookmarkStart w:id="668" w:name="_Toc31746"/>
      <w:bookmarkStart w:id="669" w:name="_Toc366144040"/>
      <w:bookmarkStart w:id="670" w:name="_Toc11236"/>
      <w:bookmarkStart w:id="671" w:name="_Toc32460"/>
      <w:bookmarkStart w:id="672" w:name="_Toc1171"/>
      <w:bookmarkStart w:id="673" w:name="_Toc19656"/>
      <w:bookmarkStart w:id="674" w:name="_Toc25612"/>
      <w:r>
        <w:rPr>
          <w:rFonts w:hint="eastAsia" w:ascii="宋体" w:hAnsi="宋体" w:eastAsia="宋体" w:cs="宋体"/>
          <w:bCs/>
          <w:color w:val="auto"/>
          <w:sz w:val="24"/>
          <w:szCs w:val="24"/>
          <w:highlight w:val="none"/>
        </w:rPr>
        <w:t>29</w:t>
      </w:r>
      <w:r>
        <w:rPr>
          <w:rFonts w:hint="eastAsia" w:ascii="宋体" w:hAnsi="宋体" w:eastAsia="宋体" w:cs="宋体"/>
          <w:bCs/>
          <w:color w:val="auto"/>
          <w:sz w:val="24"/>
          <w:szCs w:val="24"/>
          <w:highlight w:val="none"/>
          <w:lang w:val="zh-CN"/>
        </w:rPr>
        <w:t>.1</w:t>
      </w:r>
      <w:bookmarkStart w:id="675" w:name="OLE_LINK6"/>
      <w:r>
        <w:rPr>
          <w:rFonts w:hint="eastAsia" w:ascii="宋体" w:hAnsi="宋体"/>
          <w:bCs/>
          <w:color w:val="auto"/>
          <w:highlight w:val="none"/>
          <w:lang w:val="zh-CN"/>
        </w:rPr>
        <w:t>本项目招标代理费参照《招标代理服务收费管理暂行办法》（国家计委计价格</w:t>
      </w:r>
      <w:r>
        <w:rPr>
          <w:rFonts w:hint="eastAsia" w:ascii="宋体" w:hAnsi="宋体"/>
          <w:bCs/>
          <w:color w:val="auto"/>
          <w:highlight w:val="none"/>
        </w:rPr>
        <w:t>〔2002〕</w:t>
      </w:r>
      <w:r>
        <w:rPr>
          <w:rFonts w:hint="eastAsia" w:ascii="宋体" w:hAnsi="宋体"/>
          <w:bCs/>
          <w:color w:val="auto"/>
          <w:highlight w:val="none"/>
          <w:lang w:val="zh-CN"/>
        </w:rPr>
        <w:t>1980号）文件标准计取，</w:t>
      </w:r>
      <w:r>
        <w:rPr>
          <w:rFonts w:hint="eastAsia" w:ascii="宋体" w:hAnsi="宋体"/>
          <w:bCs/>
          <w:color w:val="auto"/>
          <w:highlight w:val="none"/>
          <w:lang w:val="en-US" w:eastAsia="zh-CN"/>
        </w:rPr>
        <w:t>不足3000元按3000元计取，</w:t>
      </w: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支付，在领取</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通知书时交与招标代理机构。</w:t>
      </w:r>
    </w:p>
    <w:bookmarkEnd w:id="675"/>
    <w:p w14:paraId="68A14488">
      <w:pPr>
        <w:pStyle w:val="32"/>
        <w:keepNext w:val="0"/>
        <w:keepLines w:val="0"/>
        <w:pageBreakBefore w:val="0"/>
        <w:numPr>
          <w:ilvl w:val="-1"/>
          <w:numId w:val="0"/>
        </w:numPr>
        <w:shd w:val="clear"/>
        <w:tabs>
          <w:tab w:val="left" w:pos="171"/>
        </w:tabs>
        <w:kinsoku/>
        <w:wordWrap/>
        <w:overflowPunct/>
        <w:topLinePunct w:val="0"/>
        <w:autoSpaceDE/>
        <w:autoSpaceDN/>
        <w:bidi w:val="0"/>
        <w:spacing w:line="312" w:lineRule="auto"/>
        <w:ind w:left="0" w:leftChars="0" w:firstLine="480" w:firstLineChars="200"/>
        <w:textAlignment w:val="auto"/>
        <w:rPr>
          <w:rFonts w:hint="eastAsia" w:ascii="宋体" w:hAnsi="宋体" w:eastAsia="宋体" w:cs="宋体"/>
          <w:color w:val="auto"/>
          <w:highlight w:val="none"/>
          <w:u w:val="none"/>
          <w:lang w:bidi="ar"/>
        </w:rPr>
      </w:pPr>
      <w:r>
        <w:rPr>
          <w:rFonts w:hint="eastAsia" w:ascii="宋体" w:hAnsi="宋体" w:eastAsia="宋体" w:cs="宋体"/>
          <w:color w:val="auto"/>
          <w:highlight w:val="none"/>
          <w:u w:val="none"/>
          <w:lang w:val="en-US" w:eastAsia="zh-CN" w:bidi="ar"/>
        </w:rPr>
        <w:t>29.2</w:t>
      </w:r>
      <w:bookmarkStart w:id="676" w:name="OLE_LINK8"/>
      <w:r>
        <w:rPr>
          <w:rFonts w:hint="eastAsia" w:ascii="宋体" w:hAnsi="宋体" w:eastAsia="宋体" w:cs="宋体"/>
          <w:color w:val="auto"/>
          <w:highlight w:val="none"/>
          <w:u w:val="none"/>
          <w:lang w:bidi="ar"/>
        </w:rPr>
        <w:t>评委费</w:t>
      </w:r>
      <w:r>
        <w:rPr>
          <w:rFonts w:hint="eastAsia" w:ascii="宋体" w:hAnsi="宋体" w:cs="宋体"/>
          <w:color w:val="auto"/>
          <w:highlight w:val="none"/>
          <w:u w:val="none"/>
          <w:lang w:eastAsia="zh-CN" w:bidi="ar"/>
        </w:rPr>
        <w:t>（</w:t>
      </w:r>
      <w:r>
        <w:rPr>
          <w:rFonts w:hint="eastAsia" w:ascii="宋体" w:hAnsi="宋体" w:cs="宋体"/>
          <w:color w:val="auto"/>
          <w:highlight w:val="none"/>
          <w:u w:val="none"/>
          <w:lang w:val="en-US" w:eastAsia="zh-CN" w:bidi="ar"/>
        </w:rPr>
        <w:t>如有</w:t>
      </w:r>
      <w:r>
        <w:rPr>
          <w:rFonts w:hint="eastAsia" w:ascii="宋体" w:hAnsi="宋体" w:cs="宋体"/>
          <w:color w:val="auto"/>
          <w:highlight w:val="none"/>
          <w:u w:val="none"/>
          <w:lang w:eastAsia="zh-CN" w:bidi="ar"/>
        </w:rPr>
        <w:t>）</w:t>
      </w:r>
      <w:r>
        <w:rPr>
          <w:rFonts w:hint="eastAsia" w:ascii="宋体" w:hAnsi="宋体" w:eastAsia="宋体" w:cs="宋体"/>
          <w:color w:val="auto"/>
          <w:highlight w:val="none"/>
          <w:u w:val="none"/>
          <w:lang w:bidi="ar"/>
        </w:rPr>
        <w:t>按实结算，</w:t>
      </w:r>
      <w:r>
        <w:rPr>
          <w:rFonts w:hint="eastAsia" w:ascii="宋体" w:hAnsi="宋体" w:eastAsia="宋体" w:cs="宋体"/>
          <w:color w:val="auto"/>
          <w:highlight w:val="none"/>
          <w:lang w:val="zh-CN" w:eastAsia="zh-CN"/>
        </w:rPr>
        <w:t>由</w:t>
      </w:r>
      <w:r>
        <w:rPr>
          <w:rFonts w:hint="eastAsia" w:ascii="宋体" w:hAnsi="宋体" w:cs="宋体"/>
          <w:color w:val="auto"/>
          <w:highlight w:val="none"/>
          <w:lang w:val="en-US" w:eastAsia="zh-CN"/>
        </w:rPr>
        <w:t>成交供应商</w:t>
      </w:r>
      <w:r>
        <w:rPr>
          <w:rFonts w:hint="eastAsia" w:ascii="宋体" w:hAnsi="宋体" w:eastAsia="宋体" w:cs="宋体"/>
          <w:color w:val="auto"/>
          <w:highlight w:val="none"/>
          <w:lang w:val="zh-CN" w:eastAsia="zh-CN"/>
        </w:rPr>
        <w:t>支付</w:t>
      </w:r>
      <w:r>
        <w:rPr>
          <w:rFonts w:hint="eastAsia" w:ascii="宋体" w:hAnsi="宋体" w:eastAsia="宋体" w:cs="宋体"/>
          <w:color w:val="auto"/>
          <w:highlight w:val="none"/>
          <w:u w:val="none"/>
          <w:lang w:bidi="ar"/>
        </w:rPr>
        <w:t>。</w:t>
      </w:r>
      <w:bookmarkEnd w:id="676"/>
    </w:p>
    <w:p w14:paraId="30871023">
      <w:pPr>
        <w:pStyle w:val="32"/>
        <w:keepNext w:val="0"/>
        <w:keepLines w:val="0"/>
        <w:pageBreakBefore w:val="0"/>
        <w:numPr>
          <w:ilvl w:val="-1"/>
          <w:numId w:val="0"/>
        </w:numPr>
        <w:shd w:val="clear"/>
        <w:tabs>
          <w:tab w:val="left" w:pos="171"/>
        </w:tabs>
        <w:kinsoku/>
        <w:wordWrap/>
        <w:overflowPunct/>
        <w:topLinePunct w:val="0"/>
        <w:autoSpaceDE/>
        <w:autoSpaceDN/>
        <w:bidi w:val="0"/>
        <w:spacing w:line="312" w:lineRule="auto"/>
        <w:ind w:left="0" w:leftChars="0" w:firstLine="480" w:firstLineChars="200"/>
        <w:textAlignment w:val="auto"/>
        <w:rPr>
          <w:rFonts w:hint="eastAsia" w:ascii="宋体" w:hAnsi="宋体" w:eastAsia="宋体" w:cs="宋体"/>
          <w:color w:val="auto"/>
          <w:highlight w:val="none"/>
          <w:u w:val="none"/>
          <w:lang w:bidi="ar"/>
        </w:rPr>
      </w:pPr>
      <w:r>
        <w:rPr>
          <w:rFonts w:hint="eastAsia" w:ascii="宋体" w:hAnsi="宋体" w:eastAsia="宋体" w:cs="宋体"/>
          <w:color w:val="auto"/>
          <w:highlight w:val="none"/>
          <w:u w:val="none"/>
          <w:lang w:val="en-US" w:eastAsia="zh-CN" w:bidi="ar"/>
        </w:rPr>
        <w:t>29.</w:t>
      </w:r>
      <w:bookmarkStart w:id="677" w:name="OLE_LINK7"/>
      <w:r>
        <w:rPr>
          <w:rFonts w:hint="eastAsia" w:ascii="宋体" w:hAnsi="宋体" w:eastAsia="宋体" w:cs="宋体"/>
          <w:color w:val="auto"/>
          <w:highlight w:val="none"/>
          <w:u w:val="none"/>
          <w:lang w:val="en-US" w:eastAsia="zh-CN" w:bidi="ar"/>
        </w:rPr>
        <w:t>3</w:t>
      </w:r>
      <w:r>
        <w:rPr>
          <w:rFonts w:hint="eastAsia" w:ascii="宋体" w:hAnsi="宋体" w:eastAsia="宋体" w:cs="宋体"/>
          <w:color w:val="auto"/>
          <w:highlight w:val="none"/>
          <w:u w:val="none"/>
          <w:lang w:bidi="ar"/>
        </w:rPr>
        <w:t>若出现终止采购情形的，上述费用由采购人支付。</w:t>
      </w:r>
      <w:bookmarkEnd w:id="677"/>
    </w:p>
    <w:p w14:paraId="28435DD0">
      <w:pPr>
        <w:pStyle w:val="3"/>
        <w:keepNext w:val="0"/>
        <w:keepLines w:val="0"/>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rPr>
      </w:pPr>
      <w:bookmarkStart w:id="678" w:name="_Toc19042"/>
      <w:bookmarkStart w:id="679" w:name="_Toc29020"/>
      <w:bookmarkStart w:id="680" w:name="_Toc12693"/>
      <w:bookmarkStart w:id="681" w:name="_Toc32726"/>
      <w:bookmarkStart w:id="682" w:name="_Toc16495"/>
      <w:bookmarkStart w:id="683" w:name="_Toc7596"/>
      <w:bookmarkStart w:id="684" w:name="_Toc21388"/>
      <w:bookmarkStart w:id="685" w:name="_Toc3372"/>
      <w:bookmarkStart w:id="686" w:name="_Toc5073"/>
      <w:bookmarkStart w:id="687" w:name="_Toc3774"/>
      <w:bookmarkStart w:id="688" w:name="_Toc17717"/>
      <w:bookmarkStart w:id="689" w:name="_Toc13764"/>
      <w:bookmarkStart w:id="690" w:name="_Toc18124"/>
      <w:bookmarkStart w:id="691" w:name="_Toc8169"/>
      <w:bookmarkStart w:id="692" w:name="_Toc8017"/>
      <w:bookmarkStart w:id="693" w:name="_Toc21379"/>
      <w:bookmarkStart w:id="694" w:name="_Toc17850"/>
      <w:bookmarkStart w:id="695" w:name="_Toc7269"/>
      <w:bookmarkStart w:id="696" w:name="_Toc23437"/>
      <w:bookmarkStart w:id="697" w:name="_Toc831"/>
      <w:bookmarkStart w:id="698" w:name="_Toc17768"/>
      <w:bookmarkStart w:id="699" w:name="_Toc24934"/>
      <w:bookmarkStart w:id="700" w:name="_Toc8016"/>
      <w:bookmarkStart w:id="701" w:name="_Toc30984"/>
      <w:bookmarkStart w:id="702" w:name="_Toc17331"/>
      <w:bookmarkStart w:id="703" w:name="_Toc6214"/>
      <w:bookmarkStart w:id="704" w:name="_Toc28896"/>
      <w:r>
        <w:rPr>
          <w:rFonts w:hint="eastAsia" w:ascii="宋体" w:hAnsi="宋体" w:eastAsia="宋体" w:cs="宋体"/>
          <w:color w:val="auto"/>
          <w:sz w:val="28"/>
          <w:szCs w:val="28"/>
          <w:highlight w:val="none"/>
          <w:lang w:val="en-US" w:eastAsia="zh-CN"/>
        </w:rPr>
        <w:t>十</w:t>
      </w:r>
      <w:r>
        <w:rPr>
          <w:rFonts w:hint="eastAsia" w:ascii="宋体" w:hAnsi="宋体" w:eastAsia="宋体" w:cs="宋体"/>
          <w:b/>
          <w:bCs w:val="0"/>
          <w:color w:val="auto"/>
          <w:sz w:val="28"/>
          <w:szCs w:val="28"/>
          <w:highlight w:val="none"/>
        </w:rPr>
        <w:t>、法律责任</w:t>
      </w:r>
      <w:bookmarkEnd w:id="664"/>
      <w:bookmarkEnd w:id="665"/>
      <w:bookmarkEnd w:id="666"/>
      <w:bookmarkEnd w:id="667"/>
      <w:bookmarkEnd w:id="668"/>
      <w:bookmarkEnd w:id="669"/>
      <w:bookmarkEnd w:id="670"/>
      <w:bookmarkEnd w:id="671"/>
      <w:bookmarkEnd w:id="672"/>
      <w:bookmarkEnd w:id="673"/>
      <w:bookmarkEnd w:id="674"/>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68350866">
      <w:pPr>
        <w:keepNext w:val="0"/>
        <w:keepLines w:val="0"/>
        <w:pageBreakBefore w:val="0"/>
        <w:shd w:val="clear"/>
        <w:kinsoku/>
        <w:wordWrap/>
        <w:overflowPunct/>
        <w:topLinePunct w:val="0"/>
        <w:autoSpaceDE/>
        <w:autoSpaceDN/>
        <w:bidi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30.供应商有下列情形之一的</w:t>
      </w:r>
      <w:r>
        <w:rPr>
          <w:rFonts w:hint="eastAsia" w:ascii="宋体" w:hAnsi="宋体" w:cs="宋体"/>
          <w:color w:val="auto"/>
          <w:highlight w:val="none"/>
          <w:lang w:eastAsia="zh-CN"/>
        </w:rPr>
        <w:t>，</w:t>
      </w:r>
      <w:r>
        <w:rPr>
          <w:rFonts w:hint="eastAsia" w:ascii="宋体" w:hAnsi="宋体" w:eastAsia="宋体" w:cs="宋体"/>
          <w:color w:val="auto"/>
          <w:highlight w:val="none"/>
        </w:rPr>
        <w:t>处以</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项目</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金额千分之五以上千分之十以下的罚款</w:t>
      </w:r>
      <w:r>
        <w:rPr>
          <w:rFonts w:hint="eastAsia" w:ascii="宋体" w:hAnsi="宋体" w:cs="宋体"/>
          <w:color w:val="auto"/>
          <w:highlight w:val="none"/>
          <w:lang w:eastAsia="zh-CN"/>
        </w:rPr>
        <w:t>，</w:t>
      </w:r>
      <w:r>
        <w:rPr>
          <w:rFonts w:hint="eastAsia" w:ascii="宋体" w:hAnsi="宋体" w:eastAsia="宋体" w:cs="宋体"/>
          <w:color w:val="auto"/>
          <w:highlight w:val="none"/>
        </w:rPr>
        <w:t>列入不良行为记录名单</w:t>
      </w:r>
      <w:r>
        <w:rPr>
          <w:rFonts w:hint="eastAsia" w:ascii="宋体" w:hAnsi="宋体" w:cs="宋体"/>
          <w:color w:val="auto"/>
          <w:highlight w:val="none"/>
          <w:lang w:eastAsia="zh-CN"/>
        </w:rPr>
        <w:t>，</w:t>
      </w:r>
      <w:r>
        <w:rPr>
          <w:rFonts w:hint="eastAsia" w:ascii="宋体" w:hAnsi="宋体" w:eastAsia="宋体" w:cs="宋体"/>
          <w:color w:val="auto"/>
          <w:highlight w:val="none"/>
        </w:rPr>
        <w:t>在一至三年内禁止参加</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活动</w:t>
      </w:r>
      <w:r>
        <w:rPr>
          <w:rFonts w:hint="eastAsia" w:ascii="宋体" w:hAnsi="宋体" w:cs="宋体"/>
          <w:color w:val="auto"/>
          <w:highlight w:val="none"/>
          <w:lang w:eastAsia="zh-CN"/>
        </w:rPr>
        <w:t>，</w:t>
      </w:r>
      <w:r>
        <w:rPr>
          <w:rFonts w:hint="eastAsia" w:ascii="宋体" w:hAnsi="宋体" w:eastAsia="宋体" w:cs="宋体"/>
          <w:color w:val="auto"/>
          <w:highlight w:val="none"/>
        </w:rPr>
        <w:t>并予以公告</w:t>
      </w:r>
      <w:r>
        <w:rPr>
          <w:rFonts w:hint="eastAsia" w:ascii="宋体" w:hAnsi="宋体" w:cs="宋体"/>
          <w:color w:val="auto"/>
          <w:highlight w:val="none"/>
          <w:lang w:eastAsia="zh-CN"/>
        </w:rPr>
        <w:t>，</w:t>
      </w:r>
      <w:r>
        <w:rPr>
          <w:rFonts w:hint="eastAsia" w:ascii="宋体" w:hAnsi="宋体" w:eastAsia="宋体" w:cs="宋体"/>
          <w:color w:val="auto"/>
          <w:highlight w:val="none"/>
        </w:rPr>
        <w:t>有违法所得的</w:t>
      </w:r>
      <w:r>
        <w:rPr>
          <w:rFonts w:hint="eastAsia" w:ascii="宋体" w:hAnsi="宋体" w:cs="宋体"/>
          <w:color w:val="auto"/>
          <w:highlight w:val="none"/>
          <w:lang w:eastAsia="zh-CN"/>
        </w:rPr>
        <w:t>，</w:t>
      </w:r>
      <w:r>
        <w:rPr>
          <w:rFonts w:hint="eastAsia" w:ascii="宋体" w:hAnsi="宋体" w:eastAsia="宋体" w:cs="宋体"/>
          <w:color w:val="auto"/>
          <w:highlight w:val="none"/>
        </w:rPr>
        <w:t>并处没收违法所得</w:t>
      </w:r>
      <w:r>
        <w:rPr>
          <w:rFonts w:hint="eastAsia" w:ascii="宋体" w:hAnsi="宋体" w:cs="宋体"/>
          <w:color w:val="auto"/>
          <w:highlight w:val="none"/>
          <w:lang w:eastAsia="zh-CN"/>
        </w:rPr>
        <w:t>，</w:t>
      </w:r>
      <w:r>
        <w:rPr>
          <w:rFonts w:hint="eastAsia" w:ascii="宋体" w:hAnsi="宋体" w:eastAsia="宋体" w:cs="宋体"/>
          <w:color w:val="auto"/>
          <w:highlight w:val="none"/>
        </w:rPr>
        <w:t>情节严重的</w:t>
      </w:r>
      <w:r>
        <w:rPr>
          <w:rFonts w:hint="eastAsia" w:ascii="宋体" w:hAnsi="宋体" w:cs="宋体"/>
          <w:color w:val="auto"/>
          <w:highlight w:val="none"/>
          <w:lang w:eastAsia="zh-CN"/>
        </w:rPr>
        <w:t>，</w:t>
      </w:r>
      <w:r>
        <w:rPr>
          <w:rFonts w:hint="eastAsia" w:ascii="宋体" w:hAnsi="宋体" w:eastAsia="宋体" w:cs="宋体"/>
          <w:color w:val="auto"/>
          <w:highlight w:val="none"/>
        </w:rPr>
        <w:t>由工商行政管理机关吊销营业执照</w:t>
      </w:r>
      <w:r>
        <w:rPr>
          <w:rFonts w:hint="eastAsia" w:ascii="宋体" w:hAnsi="宋体" w:cs="宋体"/>
          <w:color w:val="auto"/>
          <w:highlight w:val="none"/>
          <w:lang w:eastAsia="zh-CN"/>
        </w:rPr>
        <w:t>；</w:t>
      </w:r>
      <w:r>
        <w:rPr>
          <w:rFonts w:hint="eastAsia" w:ascii="宋体" w:hAnsi="宋体" w:eastAsia="宋体" w:cs="宋体"/>
          <w:color w:val="auto"/>
          <w:highlight w:val="none"/>
        </w:rPr>
        <w:t>构成犯罪的</w:t>
      </w:r>
      <w:r>
        <w:rPr>
          <w:rFonts w:hint="eastAsia" w:ascii="宋体" w:hAnsi="宋体" w:cs="宋体"/>
          <w:color w:val="auto"/>
          <w:highlight w:val="none"/>
          <w:lang w:eastAsia="zh-CN"/>
        </w:rPr>
        <w:t>，</w:t>
      </w:r>
      <w:r>
        <w:rPr>
          <w:rFonts w:hint="eastAsia" w:ascii="宋体" w:hAnsi="宋体" w:eastAsia="宋体" w:cs="宋体"/>
          <w:color w:val="auto"/>
          <w:highlight w:val="none"/>
        </w:rPr>
        <w:t>依法追究刑事责任</w:t>
      </w:r>
      <w:r>
        <w:rPr>
          <w:rFonts w:hint="eastAsia" w:ascii="宋体" w:hAnsi="宋体" w:cs="宋体"/>
          <w:color w:val="auto"/>
          <w:highlight w:val="none"/>
          <w:lang w:eastAsia="zh-CN"/>
        </w:rPr>
        <w:t>：</w:t>
      </w:r>
    </w:p>
    <w:p w14:paraId="56564218">
      <w:pPr>
        <w:keepNext w:val="0"/>
        <w:keepLines w:val="0"/>
        <w:pageBreakBefore w:val="0"/>
        <w:shd w:val="clear"/>
        <w:kinsoku/>
        <w:wordWrap/>
        <w:overflowPunct/>
        <w:topLinePunct w:val="0"/>
        <w:autoSpaceDE/>
        <w:autoSpaceDN/>
        <w:bidi w:val="0"/>
        <w:snapToGrid w:val="0"/>
        <w:spacing w:line="312"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30.1提供虚假材料谋取</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w:t>
      </w:r>
    </w:p>
    <w:p w14:paraId="163C1216">
      <w:pPr>
        <w:keepNext w:val="0"/>
        <w:keepLines w:val="0"/>
        <w:pageBreakBefore w:val="0"/>
        <w:shd w:val="clear"/>
        <w:kinsoku/>
        <w:wordWrap/>
        <w:overflowPunct/>
        <w:topLinePunct w:val="0"/>
        <w:autoSpaceDE/>
        <w:autoSpaceDN/>
        <w:bidi w:val="0"/>
        <w:snapToGrid w:val="0"/>
        <w:spacing w:line="312"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30.2采取不正当手段诋毁、排挤其他供应商的</w:t>
      </w:r>
      <w:r>
        <w:rPr>
          <w:rFonts w:hint="eastAsia" w:ascii="宋体" w:hAnsi="宋体" w:eastAsia="宋体" w:cs="宋体"/>
          <w:color w:val="auto"/>
          <w:highlight w:val="none"/>
          <w:lang w:eastAsia="zh-CN"/>
        </w:rPr>
        <w:t>；</w:t>
      </w:r>
    </w:p>
    <w:p w14:paraId="07628D0C">
      <w:pPr>
        <w:keepNext w:val="0"/>
        <w:keepLines w:val="0"/>
        <w:pageBreakBefore w:val="0"/>
        <w:shd w:val="clear"/>
        <w:kinsoku/>
        <w:wordWrap/>
        <w:overflowPunct/>
        <w:topLinePunct w:val="0"/>
        <w:autoSpaceDE/>
        <w:autoSpaceDN/>
        <w:bidi w:val="0"/>
        <w:snapToGrid w:val="0"/>
        <w:spacing w:line="312"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30.3与采购人、采购代理机构、其他供应商恶意串通的</w:t>
      </w:r>
      <w:r>
        <w:rPr>
          <w:rFonts w:hint="eastAsia" w:ascii="宋体" w:hAnsi="宋体" w:eastAsia="宋体" w:cs="宋体"/>
          <w:color w:val="auto"/>
          <w:highlight w:val="none"/>
          <w:lang w:eastAsia="zh-CN"/>
        </w:rPr>
        <w:t>；</w:t>
      </w:r>
    </w:p>
    <w:p w14:paraId="63A0E2EE">
      <w:pPr>
        <w:keepNext w:val="0"/>
        <w:keepLines w:val="0"/>
        <w:pageBreakBefore w:val="0"/>
        <w:shd w:val="clear"/>
        <w:kinsoku/>
        <w:wordWrap/>
        <w:overflowPunct/>
        <w:topLinePunct w:val="0"/>
        <w:autoSpaceDE/>
        <w:autoSpaceDN/>
        <w:bidi w:val="0"/>
        <w:snapToGrid w:val="0"/>
        <w:spacing w:line="312"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30.4向采购人、采购代理机构行贿或者提供其他不正当利益的</w:t>
      </w:r>
      <w:r>
        <w:rPr>
          <w:rFonts w:hint="eastAsia" w:ascii="宋体" w:hAnsi="宋体" w:eastAsia="宋体" w:cs="宋体"/>
          <w:color w:val="auto"/>
          <w:highlight w:val="none"/>
          <w:lang w:eastAsia="zh-CN"/>
        </w:rPr>
        <w:t>；</w:t>
      </w:r>
    </w:p>
    <w:p w14:paraId="3B68727C">
      <w:pPr>
        <w:keepNext w:val="0"/>
        <w:keepLines w:val="0"/>
        <w:pageBreakBefore w:val="0"/>
        <w:shd w:val="clear"/>
        <w:kinsoku/>
        <w:wordWrap/>
        <w:overflowPunct/>
        <w:topLinePunct w:val="0"/>
        <w:autoSpaceDE/>
        <w:autoSpaceDN/>
        <w:bidi w:val="0"/>
        <w:snapToGrid w:val="0"/>
        <w:spacing w:line="312"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30.5在磋商过程中与采购人进行协商磋商、不按照磋商文件和成交供应商的磋商响应文件订立合同</w:t>
      </w:r>
      <w:r>
        <w:rPr>
          <w:rFonts w:hint="eastAsia" w:ascii="宋体" w:hAnsi="宋体" w:cs="宋体"/>
          <w:color w:val="auto"/>
          <w:highlight w:val="none"/>
          <w:lang w:eastAsia="zh-CN"/>
        </w:rPr>
        <w:t>，</w:t>
      </w:r>
      <w:r>
        <w:rPr>
          <w:rFonts w:hint="eastAsia" w:ascii="宋体" w:hAnsi="宋体" w:eastAsia="宋体" w:cs="宋体"/>
          <w:color w:val="auto"/>
          <w:highlight w:val="none"/>
        </w:rPr>
        <w:t>或者与采购人另行订立背离合同实质性内容的协议的</w:t>
      </w:r>
      <w:r>
        <w:rPr>
          <w:rFonts w:hint="eastAsia" w:ascii="宋体" w:hAnsi="宋体" w:eastAsia="宋体" w:cs="宋体"/>
          <w:color w:val="auto"/>
          <w:highlight w:val="none"/>
          <w:lang w:eastAsia="zh-CN"/>
        </w:rPr>
        <w:t>；</w:t>
      </w:r>
    </w:p>
    <w:p w14:paraId="2D3F9279">
      <w:pPr>
        <w:keepNext w:val="0"/>
        <w:keepLines w:val="0"/>
        <w:pageBreakBefore w:val="0"/>
        <w:shd w:val="clear"/>
        <w:kinsoku/>
        <w:wordWrap/>
        <w:overflowPunct/>
        <w:topLinePunct w:val="0"/>
        <w:autoSpaceDE/>
        <w:autoSpaceDN/>
        <w:bidi w:val="0"/>
        <w:snapToGrid w:val="0"/>
        <w:spacing w:line="312" w:lineRule="auto"/>
        <w:ind w:firstLine="480"/>
        <w:textAlignment w:val="auto"/>
        <w:rPr>
          <w:rFonts w:hint="eastAsia" w:ascii="宋体" w:hAnsi="宋体" w:eastAsia="宋体" w:cs="宋体"/>
          <w:b/>
          <w:color w:val="auto"/>
          <w:highlight w:val="none"/>
          <w:lang w:eastAsia="zh-CN"/>
        </w:rPr>
      </w:pPr>
      <w:r>
        <w:rPr>
          <w:rFonts w:hint="eastAsia" w:ascii="宋体" w:hAnsi="宋体" w:eastAsia="宋体" w:cs="宋体"/>
          <w:color w:val="auto"/>
          <w:highlight w:val="none"/>
        </w:rPr>
        <w:t>30.6拒绝有关部门监督检查或者提供虚假情况的</w:t>
      </w:r>
      <w:r>
        <w:rPr>
          <w:rFonts w:hint="eastAsia" w:ascii="宋体" w:hAnsi="宋体" w:eastAsia="宋体" w:cs="宋体"/>
          <w:color w:val="auto"/>
          <w:highlight w:val="none"/>
          <w:lang w:eastAsia="zh-CN"/>
        </w:rPr>
        <w:t>。</w:t>
      </w:r>
    </w:p>
    <w:p w14:paraId="1CBA87BE">
      <w:pPr>
        <w:pStyle w:val="3"/>
        <w:keepNext w:val="0"/>
        <w:keepLines w:val="0"/>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rPr>
      </w:pPr>
      <w:bookmarkStart w:id="705" w:name="_Toc30402"/>
      <w:bookmarkStart w:id="706" w:name="_Toc32408"/>
      <w:bookmarkStart w:id="707" w:name="_Toc24705"/>
      <w:bookmarkStart w:id="708" w:name="_Toc11456"/>
      <w:bookmarkStart w:id="709" w:name="_Toc16607"/>
      <w:bookmarkStart w:id="710" w:name="_Toc21495"/>
      <w:bookmarkStart w:id="711" w:name="_Toc12857"/>
      <w:bookmarkStart w:id="712" w:name="_Toc19533"/>
      <w:bookmarkStart w:id="713" w:name="_Toc25674"/>
      <w:bookmarkStart w:id="714" w:name="_Toc22546"/>
      <w:r>
        <w:rPr>
          <w:rFonts w:hint="eastAsia" w:ascii="宋体" w:hAnsi="宋体" w:eastAsia="宋体" w:cs="宋体"/>
          <w:b/>
          <w:bCs w:val="0"/>
          <w:color w:val="auto"/>
          <w:sz w:val="28"/>
          <w:szCs w:val="28"/>
          <w:highlight w:val="none"/>
        </w:rPr>
        <w:t>十</w:t>
      </w:r>
      <w:r>
        <w:rPr>
          <w:rFonts w:hint="eastAsia" w:ascii="宋体" w:hAnsi="宋体" w:eastAsia="宋体" w:cs="宋体"/>
          <w:b/>
          <w:bCs w:val="0"/>
          <w:color w:val="auto"/>
          <w:sz w:val="28"/>
          <w:szCs w:val="28"/>
          <w:highlight w:val="none"/>
          <w:lang w:val="en-US" w:eastAsia="zh-CN"/>
        </w:rPr>
        <w:t>一</w:t>
      </w:r>
      <w:r>
        <w:rPr>
          <w:rFonts w:hint="eastAsia" w:ascii="宋体" w:hAnsi="宋体" w:eastAsia="宋体" w:cs="宋体"/>
          <w:b/>
          <w:bCs w:val="0"/>
          <w:color w:val="auto"/>
          <w:sz w:val="28"/>
          <w:szCs w:val="28"/>
          <w:highlight w:val="none"/>
        </w:rPr>
        <w:t>、诚信管理</w:t>
      </w:r>
      <w:bookmarkEnd w:id="705"/>
      <w:bookmarkEnd w:id="706"/>
      <w:bookmarkEnd w:id="707"/>
      <w:bookmarkEnd w:id="708"/>
      <w:bookmarkEnd w:id="709"/>
      <w:bookmarkEnd w:id="710"/>
      <w:bookmarkEnd w:id="711"/>
      <w:bookmarkEnd w:id="712"/>
      <w:bookmarkEnd w:id="713"/>
      <w:bookmarkEnd w:id="714"/>
    </w:p>
    <w:p w14:paraId="44FAC769">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31.供应商有下列情形之一的，依据《关于印发浙江省政府供应商注册及诚信管理暂行办</w:t>
      </w:r>
      <w:r>
        <w:rPr>
          <w:rFonts w:hint="eastAsia" w:ascii="宋体" w:hAnsi="宋体" w:cs="宋体"/>
          <w:b/>
          <w:bCs/>
          <w:color w:val="auto"/>
          <w:highlight w:val="none"/>
          <w:lang w:eastAsia="zh-CN"/>
        </w:rPr>
        <w:t>法的</w:t>
      </w:r>
      <w:r>
        <w:rPr>
          <w:rFonts w:hint="eastAsia" w:ascii="宋体" w:hAnsi="宋体" w:eastAsia="宋体" w:cs="宋体"/>
          <w:b/>
          <w:bCs/>
          <w:color w:val="auto"/>
          <w:highlight w:val="none"/>
        </w:rPr>
        <w:t>通知》[浙财采监字〔2009〕28号]文件第三十八条和第三十九条的规定记录不良行为、黑名单及处罚。</w:t>
      </w:r>
    </w:p>
    <w:p w14:paraId="11DEB5E6">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31.1第三十八条 注册供应商有下列情形之一的，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或采购代理机构应按不良行为记入该注册供应商诚信档案中：</w:t>
      </w:r>
    </w:p>
    <w:p w14:paraId="6A8D694A">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（一）开标后擅自撤回采购</w:t>
      </w:r>
      <w:r>
        <w:rPr>
          <w:rFonts w:hint="eastAsia" w:ascii="宋体" w:hAnsi="宋体" w:cs="宋体"/>
          <w:color w:val="auto"/>
          <w:highlight w:val="none"/>
          <w:lang w:eastAsia="zh-CN"/>
        </w:rPr>
        <w:t>响应文件</w:t>
      </w:r>
      <w:r>
        <w:rPr>
          <w:rFonts w:hint="eastAsia" w:ascii="宋体" w:hAnsi="宋体" w:eastAsia="宋体" w:cs="宋体"/>
          <w:color w:val="auto"/>
          <w:highlight w:val="none"/>
        </w:rPr>
        <w:t>，或扰乱开标现场，影响采购活动继续进行的；</w:t>
      </w:r>
    </w:p>
    <w:p w14:paraId="3CFB883C">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cs="宋体"/>
          <w:color w:val="auto"/>
          <w:highlight w:val="none"/>
          <w:lang w:eastAsia="zh-CN"/>
        </w:rPr>
        <w:t>中标、成交</w:t>
      </w:r>
      <w:r>
        <w:rPr>
          <w:rFonts w:hint="eastAsia" w:ascii="宋体" w:hAnsi="宋体" w:eastAsia="宋体" w:cs="宋体"/>
          <w:color w:val="auto"/>
          <w:highlight w:val="none"/>
        </w:rPr>
        <w:t>后无正当理由拒绝签订</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合同，或者与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另行订立背离合同实质内容的协议的；</w:t>
      </w:r>
    </w:p>
    <w:p w14:paraId="0178A602">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（三）无正当理由拒绝履行合同和有关承诺，或擅自变更、中止（终止）</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合同的；</w:t>
      </w:r>
    </w:p>
    <w:p w14:paraId="49FF83EE">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w:t>
      </w:r>
      <w:r>
        <w:rPr>
          <w:rFonts w:hint="eastAsia" w:ascii="宋体" w:hAnsi="宋体" w:cs="宋体"/>
          <w:color w:val="auto"/>
          <w:highlight w:val="none"/>
          <w:lang w:eastAsia="zh-CN"/>
        </w:rPr>
        <w:t>中标、成交</w:t>
      </w:r>
      <w:r>
        <w:rPr>
          <w:rFonts w:hint="eastAsia" w:ascii="宋体" w:hAnsi="宋体" w:eastAsia="宋体" w:cs="宋体"/>
          <w:color w:val="auto"/>
          <w:highlight w:val="none"/>
        </w:rPr>
        <w:t>后，将</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合同转包或擅自分包给其他供应商的；</w:t>
      </w:r>
    </w:p>
    <w:p w14:paraId="187B06A6">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）提供假冒伪劣产品或走私物品的；</w:t>
      </w:r>
    </w:p>
    <w:p w14:paraId="77C08551">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）擅自降低产品质量等次和售后服务，或以次充好、偷工减料的；</w:t>
      </w:r>
    </w:p>
    <w:p w14:paraId="4583D920">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）实际提供的有关产品性能指标和技术服务能力明显低于采购响应文件或询标、谈判时的承诺；</w:t>
      </w:r>
    </w:p>
    <w:p w14:paraId="0E87096F">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）在供应商库中发布的产品服务信息或在政府采购网上宣传的信息与实际明显不符，或故意误导采购人的；</w:t>
      </w:r>
    </w:p>
    <w:p w14:paraId="7B118CCE">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）不按规定或不及时变更供应商库中的有关信息的；</w:t>
      </w:r>
    </w:p>
    <w:p w14:paraId="5E9C344A">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（十）1年内在全省被质疑或投诉累计分别在20和10次以上且60%以上被驳回的，或恶意举报给采购人或采购代理机构造成损害的；</w:t>
      </w:r>
    </w:p>
    <w:p w14:paraId="6F6D94A0">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）各级财政部门认定</w:t>
      </w:r>
      <w:r>
        <w:rPr>
          <w:rFonts w:hint="eastAsia" w:ascii="宋体" w:hAnsi="宋体" w:cs="宋体"/>
          <w:color w:val="auto"/>
          <w:highlight w:val="none"/>
          <w:lang w:eastAsia="zh-CN"/>
        </w:rPr>
        <w:t>的其他</w:t>
      </w:r>
      <w:r>
        <w:rPr>
          <w:rFonts w:hint="eastAsia" w:ascii="宋体" w:hAnsi="宋体" w:eastAsia="宋体" w:cs="宋体"/>
          <w:color w:val="auto"/>
          <w:highlight w:val="none"/>
        </w:rPr>
        <w:t>有违诚实信用的行为。</w:t>
      </w:r>
    </w:p>
    <w:p w14:paraId="3254E577">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31.2第三十九条  注册供应商有下列情形之一的，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采购代理机构应向同级主管部门书面报告，并提请主管部门将其列入“黑名单”或者依法作出处罚；各级主管部门在依法处罚的同时，应将该情况按不良行为记入该供应商诚信档案中，同时将该供应商列入“黑名单”公开曝光：</w:t>
      </w:r>
    </w:p>
    <w:p w14:paraId="3AC0B202">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（一）提供虚假材料谋取</w:t>
      </w:r>
      <w:r>
        <w:rPr>
          <w:rFonts w:hint="eastAsia" w:ascii="宋体" w:hAnsi="宋体" w:cs="宋体"/>
          <w:color w:val="auto"/>
          <w:highlight w:val="none"/>
          <w:lang w:eastAsia="zh-CN"/>
        </w:rPr>
        <w:t>中标、成交</w:t>
      </w:r>
      <w:r>
        <w:rPr>
          <w:rFonts w:hint="eastAsia" w:ascii="宋体" w:hAnsi="宋体" w:eastAsia="宋体" w:cs="宋体"/>
          <w:color w:val="auto"/>
          <w:highlight w:val="none"/>
        </w:rPr>
        <w:t>的；</w:t>
      </w:r>
    </w:p>
    <w:p w14:paraId="010C0118">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（二）采取不正当手段诋毁、排挤其他供应商的；</w:t>
      </w:r>
    </w:p>
    <w:p w14:paraId="60D7B229">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（三）与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、其他供应商或者采购代理机构恶意串通的；</w:t>
      </w:r>
    </w:p>
    <w:p w14:paraId="2611CC9E">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（四）向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、采购代理机构行贿或提供其他不正当利益，或因此被其他国家机关立案查实的；</w:t>
      </w:r>
    </w:p>
    <w:p w14:paraId="2D2A3141">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（五）在招标采购过程中与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进行协商谈判的；</w:t>
      </w:r>
    </w:p>
    <w:p w14:paraId="745363DB">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（六）哄抬、操纵</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报价，或</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价格（包括产品及其配件、试剂、耗材等价格）明显高于市场平均价的；</w:t>
      </w:r>
    </w:p>
    <w:p w14:paraId="6D373689">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（七）提供虚假材料骗取注册供应商资格的；</w:t>
      </w:r>
    </w:p>
    <w:p w14:paraId="47A7910F">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（八）伪造《浙江省</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注册供应商信息登记表》的；</w:t>
      </w:r>
    </w:p>
    <w:p w14:paraId="264A6DCB">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（九）销售或发布</w:t>
      </w:r>
      <w:r>
        <w:rPr>
          <w:rFonts w:hint="eastAsia" w:ascii="宋体" w:hAnsi="宋体" w:cs="宋体"/>
          <w:color w:val="auto"/>
          <w:highlight w:val="none"/>
          <w:lang w:eastAsia="zh-CN"/>
        </w:rPr>
        <w:t>法律法规</w:t>
      </w:r>
      <w:r>
        <w:rPr>
          <w:rFonts w:hint="eastAsia" w:ascii="宋体" w:hAnsi="宋体" w:eastAsia="宋体" w:cs="宋体"/>
          <w:color w:val="auto"/>
          <w:highlight w:val="none"/>
        </w:rPr>
        <w:t>禁止销售的商品、服务和其他违法信息的；</w:t>
      </w:r>
    </w:p>
    <w:p w14:paraId="4E787A66">
      <w:pPr>
        <w:keepNext w:val="0"/>
        <w:keepLines w:val="0"/>
        <w:pageBreakBefore w:val="0"/>
        <w:shd w:val="clear"/>
        <w:kinsoku/>
        <w:wordWrap/>
        <w:overflowPunct/>
        <w:topLinePunct w:val="0"/>
        <w:autoSpaceDE/>
        <w:autoSpaceDN/>
        <w:bidi w:val="0"/>
        <w:adjustRightInd w:val="0"/>
        <w:snapToGrid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cs="宋体"/>
          <w:color w:val="auto"/>
          <w:highlight w:val="none"/>
          <w:lang w:eastAsia="zh-CN"/>
        </w:rPr>
        <w:t>其他违反法律法规</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管理有关规定的行为的。</w:t>
      </w:r>
    </w:p>
    <w:p w14:paraId="266A9749">
      <w:pPr>
        <w:pStyle w:val="3"/>
        <w:keepNext w:val="0"/>
        <w:keepLines w:val="0"/>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rPr>
      </w:pPr>
      <w:bookmarkStart w:id="715" w:name="_Toc28202"/>
      <w:bookmarkStart w:id="716" w:name="_Toc4255"/>
      <w:bookmarkStart w:id="717" w:name="_Toc14464"/>
      <w:bookmarkStart w:id="718" w:name="_Toc19742"/>
      <w:bookmarkStart w:id="719" w:name="_Toc22764"/>
      <w:bookmarkStart w:id="720" w:name="_Toc5501"/>
      <w:bookmarkStart w:id="721" w:name="_Toc24570"/>
      <w:bookmarkStart w:id="722" w:name="_Toc29527"/>
      <w:bookmarkStart w:id="723" w:name="_Toc2122"/>
      <w:bookmarkStart w:id="724" w:name="_Toc9052"/>
      <w:bookmarkStart w:id="725" w:name="_Toc23605"/>
      <w:bookmarkStart w:id="726" w:name="_Toc20938"/>
      <w:bookmarkStart w:id="727" w:name="_Toc28047"/>
      <w:bookmarkStart w:id="728" w:name="_Toc6927"/>
      <w:bookmarkStart w:id="729" w:name="_Toc11460"/>
      <w:bookmarkStart w:id="730" w:name="_Toc26974"/>
      <w:bookmarkStart w:id="731" w:name="_Toc12985"/>
      <w:bookmarkStart w:id="732" w:name="_Toc28363"/>
      <w:bookmarkStart w:id="733" w:name="_Toc19882"/>
      <w:bookmarkStart w:id="734" w:name="_Toc22155"/>
      <w:bookmarkStart w:id="735" w:name="_Toc12027"/>
      <w:bookmarkStart w:id="736" w:name="_Toc2553"/>
      <w:bookmarkStart w:id="737" w:name="_Toc4192"/>
      <w:bookmarkStart w:id="738" w:name="_Toc20351"/>
      <w:bookmarkStart w:id="739" w:name="_Toc4361"/>
      <w:bookmarkStart w:id="740" w:name="_Toc258"/>
      <w:bookmarkStart w:id="741" w:name="_Toc3233"/>
      <w:bookmarkStart w:id="742" w:name="_Toc32111"/>
      <w:bookmarkStart w:id="743" w:name="_Toc6943"/>
      <w:bookmarkStart w:id="744" w:name="_Toc1308"/>
      <w:bookmarkStart w:id="745" w:name="_Toc10514"/>
      <w:bookmarkStart w:id="746" w:name="_Toc4752"/>
      <w:bookmarkStart w:id="747" w:name="_Toc11602"/>
      <w:bookmarkStart w:id="748" w:name="_Toc27317"/>
      <w:bookmarkStart w:id="749" w:name="_Toc2982"/>
      <w:bookmarkStart w:id="750" w:name="_Toc26105"/>
      <w:bookmarkStart w:id="751" w:name="_Toc13095"/>
      <w:r>
        <w:rPr>
          <w:rFonts w:hint="eastAsia" w:ascii="宋体" w:hAnsi="宋体" w:eastAsia="宋体" w:cs="宋体"/>
          <w:b/>
          <w:bCs w:val="0"/>
          <w:color w:val="auto"/>
          <w:sz w:val="28"/>
          <w:szCs w:val="28"/>
          <w:highlight w:val="none"/>
        </w:rPr>
        <w:t>十</w:t>
      </w:r>
      <w:r>
        <w:rPr>
          <w:rFonts w:hint="eastAsia" w:ascii="宋体" w:hAnsi="宋体" w:eastAsia="宋体" w:cs="宋体"/>
          <w:b/>
          <w:bCs w:val="0"/>
          <w:color w:val="auto"/>
          <w:sz w:val="28"/>
          <w:szCs w:val="28"/>
          <w:highlight w:val="none"/>
          <w:lang w:val="en-US" w:eastAsia="zh-CN"/>
        </w:rPr>
        <w:t>二</w:t>
      </w:r>
      <w:r>
        <w:rPr>
          <w:rFonts w:hint="eastAsia" w:ascii="宋体" w:hAnsi="宋体" w:eastAsia="宋体" w:cs="宋体"/>
          <w:b/>
          <w:bCs w:val="0"/>
          <w:color w:val="auto"/>
          <w:sz w:val="28"/>
          <w:szCs w:val="28"/>
          <w:highlight w:val="none"/>
        </w:rPr>
        <w:t>、质疑与投诉</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045747F6">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bookmarkStart w:id="752" w:name="_Toc361434564"/>
      <w:bookmarkStart w:id="753" w:name="_Toc452528604"/>
      <w:bookmarkStart w:id="754" w:name="_Toc361434900"/>
      <w:bookmarkStart w:id="755" w:name="_Toc16162"/>
      <w:bookmarkStart w:id="756" w:name="_Toc2882"/>
      <w:bookmarkStart w:id="757" w:name="_Toc361434804"/>
      <w:bookmarkStart w:id="758" w:name="_Toc361434465"/>
      <w:bookmarkStart w:id="759" w:name="_Toc22748"/>
      <w:bookmarkStart w:id="760" w:name="_Toc12599"/>
      <w:bookmarkStart w:id="761" w:name="_Toc15164"/>
      <w:bookmarkStart w:id="762" w:name="_Toc15818"/>
      <w:bookmarkStart w:id="763" w:name="_Toc14839"/>
      <w:bookmarkStart w:id="764" w:name="_Toc361437150"/>
      <w:r>
        <w:rPr>
          <w:rFonts w:hint="eastAsia" w:ascii="宋体" w:hAnsi="宋体" w:eastAsia="宋体" w:cs="宋体"/>
          <w:color w:val="auto"/>
          <w:highlight w:val="none"/>
        </w:rPr>
        <w:t>32.质疑提出</w:t>
      </w:r>
    </w:p>
    <w:p w14:paraId="572A4800">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32.1参照《中华人民共和国政府采购法》《中华人民共和国政府采购法实施条例》《政府采购质疑和投诉办法》（财政部令第94号）等有关法律法规规定。</w:t>
      </w:r>
    </w:p>
    <w:p w14:paraId="66B40142">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32.2供应商提交的质疑函与投诉书应参照财政部《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"http://www.caigou2003.com/" \t "http://www.zjzfcg.gov.cn/news/2018-02-09/_blank"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政府采购</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供应商质疑函范本》《</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"http://www.caigou2003.com/" \t "http://www.zjzfcg.gov.cn/news/2018-02-09/_blank"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政府采购</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供应商投诉书范本》要求。</w:t>
      </w:r>
    </w:p>
    <w:p w14:paraId="490C95FD">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32.3供应商认为</w:t>
      </w:r>
      <w:r>
        <w:rPr>
          <w:rFonts w:hint="eastAsia" w:ascii="宋体" w:hAnsi="宋体" w:cs="宋体"/>
          <w:color w:val="auto"/>
          <w:highlight w:val="none"/>
          <w:lang w:eastAsia="zh-CN"/>
        </w:rPr>
        <w:t>磋商公告</w:t>
      </w:r>
      <w:r>
        <w:rPr>
          <w:rFonts w:hint="eastAsia" w:ascii="宋体" w:hAnsi="宋体" w:eastAsia="宋体" w:cs="宋体"/>
          <w:color w:val="auto"/>
          <w:highlight w:val="none"/>
        </w:rPr>
        <w:t>、</w:t>
      </w:r>
      <w:r>
        <w:rPr>
          <w:rFonts w:hint="eastAsia" w:ascii="宋体" w:hAnsi="宋体" w:cs="宋体"/>
          <w:color w:val="auto"/>
          <w:highlight w:val="none"/>
          <w:lang w:eastAsia="zh-CN"/>
        </w:rPr>
        <w:t>磋商文件</w:t>
      </w:r>
      <w:r>
        <w:rPr>
          <w:rFonts w:hint="eastAsia" w:ascii="宋体" w:hAnsi="宋体" w:eastAsia="宋体" w:cs="宋体"/>
          <w:color w:val="auto"/>
          <w:highlight w:val="none"/>
        </w:rPr>
        <w:t>、采购过程和成交结果使自己的权益受到损害的，可以在知道或者应知其权益受到损害之日起7个工作日内，以书面形式向采购人、采购代理机构提出质疑。供应商在法定质疑期内一次性提出针对同一采购程序环节的质疑。</w:t>
      </w:r>
    </w:p>
    <w:p w14:paraId="0420BBEE">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32.4质疑提出起算日期：</w:t>
      </w:r>
    </w:p>
    <w:p w14:paraId="12C45A3C">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32.4.1对</w:t>
      </w:r>
      <w:r>
        <w:rPr>
          <w:rFonts w:hint="eastAsia" w:ascii="宋体" w:hAnsi="宋体" w:cs="宋体"/>
          <w:color w:val="auto"/>
          <w:highlight w:val="none"/>
          <w:lang w:eastAsia="zh-CN"/>
        </w:rPr>
        <w:t>磋商公告</w:t>
      </w:r>
      <w:r>
        <w:rPr>
          <w:rFonts w:hint="eastAsia" w:ascii="宋体" w:hAnsi="宋体" w:eastAsia="宋体" w:cs="宋体"/>
          <w:color w:val="auto"/>
          <w:highlight w:val="none"/>
        </w:rPr>
        <w:t>和</w:t>
      </w:r>
      <w:r>
        <w:rPr>
          <w:rFonts w:hint="eastAsia" w:ascii="宋体" w:hAnsi="宋体" w:cs="宋体"/>
          <w:color w:val="auto"/>
          <w:highlight w:val="none"/>
          <w:lang w:eastAsia="zh-CN"/>
        </w:rPr>
        <w:t>磋商文件</w:t>
      </w:r>
      <w:r>
        <w:rPr>
          <w:rFonts w:hint="eastAsia" w:ascii="宋体" w:hAnsi="宋体" w:eastAsia="宋体" w:cs="宋体"/>
          <w:color w:val="auto"/>
          <w:highlight w:val="none"/>
        </w:rPr>
        <w:t>提出质疑的，自公告发布后的第4个工作日开始计算，且</w:t>
      </w:r>
      <w:r>
        <w:rPr>
          <w:rFonts w:hint="eastAsia" w:ascii="宋体" w:hAnsi="宋体" w:cs="宋体"/>
          <w:color w:val="auto"/>
          <w:highlight w:val="none"/>
          <w:lang w:eastAsia="zh-CN"/>
        </w:rPr>
        <w:t>应当在</w:t>
      </w:r>
      <w:r>
        <w:rPr>
          <w:rFonts w:hint="eastAsia" w:ascii="宋体" w:hAnsi="宋体" w:eastAsia="宋体" w:cs="宋体"/>
          <w:color w:val="auto"/>
          <w:highlight w:val="none"/>
        </w:rPr>
        <w:t>磋商截止前24小时前提出，否则，被质疑人可不予受理。</w:t>
      </w:r>
    </w:p>
    <w:p w14:paraId="08430C89">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32.4.2对磋商开启有异议的，应当在开启现场提出，采购人当场作出答复。</w:t>
      </w:r>
    </w:p>
    <w:p w14:paraId="012E33BE">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32.4.3对磋商过程提出质疑的，质疑期限自各采购程序环节结束之日起计算。</w:t>
      </w:r>
    </w:p>
    <w:p w14:paraId="4FF6E2F4">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32.4.4对采购结果提出质疑的，质疑期限自采购结果公告（包括公示、预公告、结果变更公告等）之日起计算。</w:t>
      </w:r>
    </w:p>
    <w:p w14:paraId="2EF2245E">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32.4.5供应商逾期提出质疑的，采购人或采购代理机构均不予受理和答复。</w:t>
      </w:r>
    </w:p>
    <w:p w14:paraId="4719FB97">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32.5采购人拒绝受理未参加本项目报名或已报名但未提交响应文件的供应商对</w:t>
      </w:r>
      <w:r>
        <w:rPr>
          <w:rFonts w:hint="eastAsia" w:ascii="宋体" w:hAnsi="宋体" w:cs="宋体"/>
          <w:color w:val="auto"/>
          <w:highlight w:val="none"/>
          <w:lang w:eastAsia="zh-CN"/>
        </w:rPr>
        <w:t>磋商公告</w:t>
      </w:r>
      <w:r>
        <w:rPr>
          <w:rFonts w:hint="eastAsia" w:ascii="宋体" w:hAnsi="宋体" w:eastAsia="宋体" w:cs="宋体"/>
          <w:color w:val="auto"/>
          <w:highlight w:val="none"/>
        </w:rPr>
        <w:t>、磋商文件、评审过程、评审结果的质疑。</w:t>
      </w:r>
    </w:p>
    <w:p w14:paraId="1B5902B7">
      <w:pPr>
        <w:keepNext w:val="0"/>
        <w:keepLines w:val="0"/>
        <w:pageBreakBefore w:val="0"/>
        <w:shd w:val="clear"/>
        <w:kinsoku/>
        <w:wordWrap/>
        <w:overflowPunct/>
        <w:topLinePunct w:val="0"/>
        <w:autoSpaceDE/>
        <w:autoSpaceDN/>
        <w:bidi w:val="0"/>
        <w:spacing w:line="312" w:lineRule="auto"/>
        <w:ind w:firstLine="480"/>
        <w:textAlignment w:val="auto"/>
        <w:outlineLvl w:val="0"/>
        <w:rPr>
          <w:rFonts w:hint="eastAsia" w:ascii="宋体" w:hAnsi="宋体" w:eastAsia="宋体" w:cs="宋体"/>
          <w:color w:val="auto"/>
          <w:highlight w:val="none"/>
        </w:rPr>
      </w:pPr>
      <w:bookmarkStart w:id="765" w:name="_Toc16348"/>
      <w:bookmarkStart w:id="766" w:name="_Toc22115"/>
      <w:bookmarkStart w:id="767" w:name="_Toc12713"/>
      <w:bookmarkStart w:id="768" w:name="_Toc29234"/>
      <w:bookmarkStart w:id="769" w:name="_Toc31124"/>
      <w:bookmarkStart w:id="770" w:name="_Toc22637"/>
      <w:bookmarkStart w:id="771" w:name="_Toc22747"/>
      <w:bookmarkStart w:id="772" w:name="_Toc7307"/>
      <w:bookmarkStart w:id="773" w:name="_Toc10349"/>
      <w:bookmarkStart w:id="774" w:name="_Toc9705"/>
      <w:bookmarkStart w:id="775" w:name="_Toc21631"/>
      <w:bookmarkStart w:id="776" w:name="_Toc30645"/>
      <w:bookmarkStart w:id="777" w:name="_Toc2125"/>
      <w:bookmarkStart w:id="778" w:name="_Toc7995"/>
      <w:bookmarkStart w:id="779" w:name="_Toc9601"/>
      <w:bookmarkStart w:id="780" w:name="_Toc8808"/>
      <w:bookmarkStart w:id="781" w:name="_Toc2206"/>
      <w:bookmarkStart w:id="782" w:name="_Toc10037"/>
      <w:bookmarkStart w:id="783" w:name="_Toc12432"/>
      <w:bookmarkStart w:id="784" w:name="_Toc16171"/>
      <w:bookmarkStart w:id="785" w:name="_Toc1147"/>
      <w:bookmarkStart w:id="786" w:name="_Toc3282"/>
      <w:bookmarkStart w:id="787" w:name="_Toc15125"/>
      <w:bookmarkStart w:id="788" w:name="_Toc6451"/>
      <w:bookmarkStart w:id="789" w:name="_Toc18631"/>
      <w:r>
        <w:rPr>
          <w:rFonts w:hint="eastAsia" w:ascii="宋体" w:hAnsi="宋体" w:eastAsia="宋体" w:cs="宋体"/>
          <w:color w:val="auto"/>
          <w:highlight w:val="none"/>
        </w:rPr>
        <w:t>32.5.1质疑处理</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2DE09A08">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采购人应当在收到供应商的书面质疑后7个工作日内作出答复，并以书面形式通知质疑供应商和其他与质疑处理结果有利害关系的</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当事人，但答复的内容不得涉及商业秘密。</w:t>
      </w:r>
    </w:p>
    <w:p w14:paraId="58B50746">
      <w:pPr>
        <w:keepNext w:val="0"/>
        <w:keepLines w:val="0"/>
        <w:pageBreakBefore w:val="0"/>
        <w:shd w:val="clear"/>
        <w:kinsoku/>
        <w:wordWrap/>
        <w:overflowPunct/>
        <w:topLinePunct w:val="0"/>
        <w:autoSpaceDE/>
        <w:autoSpaceDN/>
        <w:bidi w:val="0"/>
        <w:spacing w:line="312" w:lineRule="auto"/>
        <w:ind w:firstLine="480"/>
        <w:textAlignment w:val="auto"/>
        <w:outlineLvl w:val="0"/>
        <w:rPr>
          <w:rFonts w:hint="eastAsia" w:ascii="宋体" w:hAnsi="宋体" w:eastAsia="宋体" w:cs="宋体"/>
          <w:color w:val="auto"/>
          <w:highlight w:val="none"/>
        </w:rPr>
      </w:pPr>
      <w:bookmarkStart w:id="790" w:name="_Toc26090"/>
      <w:bookmarkStart w:id="791" w:name="_Toc370"/>
      <w:bookmarkStart w:id="792" w:name="_Toc2234"/>
      <w:bookmarkStart w:id="793" w:name="_Toc2396"/>
      <w:bookmarkStart w:id="794" w:name="_Toc14489"/>
      <w:bookmarkStart w:id="795" w:name="_Toc7453"/>
      <w:bookmarkStart w:id="796" w:name="_Toc9765"/>
      <w:bookmarkStart w:id="797" w:name="_Toc24767"/>
      <w:bookmarkStart w:id="798" w:name="_Toc4438"/>
      <w:bookmarkStart w:id="799" w:name="_Toc14274"/>
      <w:bookmarkStart w:id="800" w:name="_Toc6472"/>
      <w:bookmarkStart w:id="801" w:name="_Toc28766"/>
      <w:bookmarkStart w:id="802" w:name="_Toc17828"/>
      <w:bookmarkStart w:id="803" w:name="_Toc23088"/>
      <w:bookmarkStart w:id="804" w:name="_Toc14897"/>
      <w:bookmarkStart w:id="805" w:name="_Toc24708"/>
      <w:bookmarkStart w:id="806" w:name="_Toc13266"/>
      <w:bookmarkStart w:id="807" w:name="_Toc5605"/>
      <w:bookmarkStart w:id="808" w:name="_Toc1051"/>
      <w:bookmarkStart w:id="809" w:name="_Toc10485"/>
      <w:bookmarkStart w:id="810" w:name="_Toc19686"/>
      <w:bookmarkStart w:id="811" w:name="_Toc4847"/>
      <w:bookmarkStart w:id="812" w:name="_Toc9888"/>
      <w:bookmarkStart w:id="813" w:name="_Toc22108"/>
      <w:bookmarkStart w:id="814" w:name="_Toc1453"/>
      <w:r>
        <w:rPr>
          <w:rFonts w:hint="eastAsia" w:ascii="宋体" w:hAnsi="宋体" w:eastAsia="宋体" w:cs="宋体"/>
          <w:color w:val="auto"/>
          <w:highlight w:val="none"/>
        </w:rPr>
        <w:t>32.5.2投诉</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175309A8">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质疑供应商对采购人未在规定时间内作出答复的，可以在答复期满后15个工作日内向</w:t>
      </w:r>
      <w:r>
        <w:rPr>
          <w:rFonts w:hint="eastAsia" w:ascii="宋体" w:hAnsi="宋体" w:cs="宋体"/>
          <w:color w:val="auto"/>
          <w:sz w:val="24"/>
          <w:szCs w:val="24"/>
          <w:highlight w:val="none"/>
          <w:lang w:val="zh-CN" w:eastAsia="zh-CN"/>
        </w:rPr>
        <w:t>龙游县湖镇镇张家埠村股份经济合作社</w:t>
      </w:r>
      <w:r>
        <w:rPr>
          <w:rFonts w:hint="eastAsia" w:ascii="宋体" w:hAnsi="宋体" w:eastAsia="宋体" w:cs="宋体"/>
          <w:color w:val="auto"/>
          <w:highlight w:val="none"/>
        </w:rPr>
        <w:t>投诉。若对质疑答复不满意的，应当自答复的次日起15个工作日内向</w:t>
      </w:r>
      <w:r>
        <w:rPr>
          <w:rFonts w:hint="eastAsia" w:ascii="宋体" w:hAnsi="宋体" w:cs="宋体"/>
          <w:color w:val="auto"/>
          <w:sz w:val="24"/>
          <w:szCs w:val="24"/>
          <w:highlight w:val="none"/>
          <w:lang w:val="zh-CN" w:eastAsia="zh-CN"/>
        </w:rPr>
        <w:t>龙游县湖镇镇张家埠村股份经济合作社</w:t>
      </w:r>
      <w:r>
        <w:rPr>
          <w:rFonts w:hint="eastAsia" w:ascii="宋体" w:hAnsi="宋体" w:eastAsia="宋体" w:cs="宋体"/>
          <w:color w:val="auto"/>
          <w:highlight w:val="none"/>
        </w:rPr>
        <w:t>投诉。</w:t>
      </w:r>
      <w:bookmarkEnd w:id="752"/>
      <w:bookmarkEnd w:id="753"/>
      <w:bookmarkEnd w:id="754"/>
      <w:bookmarkEnd w:id="755"/>
      <w:bookmarkEnd w:id="756"/>
      <w:bookmarkEnd w:id="757"/>
      <w:bookmarkEnd w:id="758"/>
      <w:bookmarkEnd w:id="759"/>
      <w:bookmarkEnd w:id="760"/>
      <w:bookmarkEnd w:id="761"/>
      <w:bookmarkEnd w:id="762"/>
      <w:bookmarkEnd w:id="763"/>
      <w:bookmarkEnd w:id="764"/>
    </w:p>
    <w:p w14:paraId="245EDDE5">
      <w:pPr>
        <w:pStyle w:val="3"/>
        <w:keepNext w:val="0"/>
        <w:keepLines w:val="0"/>
        <w:pageBreakBefore w:val="0"/>
        <w:shd w:val="clear"/>
        <w:kinsoku/>
        <w:wordWrap/>
        <w:overflowPunct/>
        <w:topLinePunct w:val="0"/>
        <w:autoSpaceDE/>
        <w:autoSpaceDN/>
        <w:bidi w:val="0"/>
        <w:spacing w:beforeLines="0" w:afterLines="0" w:line="312" w:lineRule="auto"/>
        <w:ind w:firstLine="0" w:firstLineChars="0"/>
        <w:jc w:val="center"/>
        <w:textAlignment w:val="auto"/>
        <w:outlineLvl w:val="1"/>
        <w:rPr>
          <w:rFonts w:hint="eastAsia" w:ascii="宋体" w:hAnsi="宋体" w:eastAsia="宋体" w:cs="宋体"/>
          <w:b/>
          <w:bCs w:val="0"/>
          <w:color w:val="auto"/>
          <w:sz w:val="28"/>
          <w:szCs w:val="28"/>
          <w:highlight w:val="none"/>
        </w:rPr>
      </w:pPr>
      <w:bookmarkStart w:id="815" w:name="_Toc9553"/>
      <w:bookmarkStart w:id="816" w:name="_Toc17392"/>
      <w:bookmarkStart w:id="817" w:name="_Toc14241"/>
      <w:bookmarkStart w:id="818" w:name="_Toc15103"/>
      <w:bookmarkStart w:id="819" w:name="_Toc31005"/>
      <w:bookmarkStart w:id="820" w:name="_Toc12238"/>
      <w:bookmarkStart w:id="821" w:name="_Toc25765"/>
      <w:bookmarkStart w:id="822" w:name="_Toc1554"/>
      <w:bookmarkStart w:id="823" w:name="_Toc10330"/>
      <w:bookmarkStart w:id="824" w:name="_Toc7898"/>
      <w:bookmarkStart w:id="825" w:name="_Toc2910"/>
      <w:bookmarkStart w:id="826" w:name="_Toc1021"/>
      <w:bookmarkStart w:id="827" w:name="_Toc28991"/>
      <w:bookmarkStart w:id="828" w:name="_Toc2258"/>
      <w:bookmarkStart w:id="829" w:name="_Toc13002"/>
      <w:bookmarkStart w:id="830" w:name="_Toc20408"/>
      <w:bookmarkStart w:id="831" w:name="_Toc16194"/>
      <w:bookmarkStart w:id="832" w:name="_Toc29372"/>
      <w:bookmarkStart w:id="833" w:name="_Toc13443"/>
      <w:bookmarkStart w:id="834" w:name="_Toc9184"/>
      <w:bookmarkStart w:id="835" w:name="_Toc14250"/>
      <w:bookmarkStart w:id="836" w:name="_Toc19218"/>
      <w:bookmarkStart w:id="837" w:name="_Toc21460"/>
      <w:bookmarkStart w:id="838" w:name="_Toc5262"/>
      <w:bookmarkStart w:id="839" w:name="_Toc30697"/>
      <w:bookmarkStart w:id="840" w:name="_Toc31465"/>
      <w:bookmarkStart w:id="841" w:name="_Toc20829"/>
      <w:bookmarkStart w:id="842" w:name="_Toc27383"/>
      <w:bookmarkStart w:id="843" w:name="_Toc27659"/>
      <w:bookmarkStart w:id="844" w:name="_Toc6571"/>
      <w:bookmarkStart w:id="845" w:name="_Toc8600"/>
      <w:bookmarkStart w:id="846" w:name="_Toc10871"/>
      <w:bookmarkStart w:id="847" w:name="_Toc31588"/>
      <w:bookmarkStart w:id="848" w:name="_Toc698"/>
      <w:bookmarkStart w:id="849" w:name="_Toc24844"/>
      <w:r>
        <w:rPr>
          <w:rFonts w:hint="eastAsia" w:ascii="宋体" w:hAnsi="宋体" w:eastAsia="宋体" w:cs="宋体"/>
          <w:b/>
          <w:bCs w:val="0"/>
          <w:color w:val="auto"/>
          <w:sz w:val="28"/>
          <w:szCs w:val="28"/>
          <w:highlight w:val="none"/>
        </w:rPr>
        <w:t>十</w:t>
      </w:r>
      <w:r>
        <w:rPr>
          <w:rFonts w:hint="eastAsia" w:ascii="宋体" w:hAnsi="宋体" w:eastAsia="宋体" w:cs="宋体"/>
          <w:b/>
          <w:bCs w:val="0"/>
          <w:color w:val="auto"/>
          <w:sz w:val="28"/>
          <w:szCs w:val="28"/>
          <w:highlight w:val="none"/>
          <w:lang w:val="en-US" w:eastAsia="zh-CN"/>
        </w:rPr>
        <w:t>三</w:t>
      </w:r>
      <w:r>
        <w:rPr>
          <w:rFonts w:hint="eastAsia" w:ascii="宋体" w:hAnsi="宋体" w:eastAsia="宋体" w:cs="宋体"/>
          <w:b/>
          <w:bCs w:val="0"/>
          <w:color w:val="auto"/>
          <w:sz w:val="28"/>
          <w:szCs w:val="28"/>
          <w:highlight w:val="none"/>
        </w:rPr>
        <w:t>、其他</w:t>
      </w:r>
      <w:bookmarkEnd w:id="748"/>
      <w:bookmarkEnd w:id="749"/>
      <w:bookmarkEnd w:id="750"/>
      <w:bookmarkEnd w:id="751"/>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5D957A51">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33.解释权：本磋商文件是依据《</w:t>
      </w:r>
      <w:r>
        <w:rPr>
          <w:rFonts w:hint="eastAsia" w:ascii="宋体" w:hAnsi="宋体" w:cs="宋体"/>
          <w:color w:val="auto"/>
          <w:highlight w:val="none"/>
          <w:lang w:eastAsia="zh-CN"/>
        </w:rPr>
        <w:t>中华人民共和国政府采购法</w:t>
      </w:r>
      <w:r>
        <w:rPr>
          <w:rFonts w:hint="eastAsia" w:ascii="宋体" w:hAnsi="宋体" w:eastAsia="宋体" w:cs="宋体"/>
          <w:color w:val="auto"/>
          <w:highlight w:val="none"/>
        </w:rPr>
        <w:t>》及有关规定编制的，解释权属采购人。</w:t>
      </w:r>
    </w:p>
    <w:p w14:paraId="5E686FCF">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34.联系方式：所有与采购有关的函电请按下面联系，其他任何方式或信息来源均无效。</w:t>
      </w:r>
    </w:p>
    <w:p w14:paraId="00D3A362">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cs="宋体"/>
          <w:color w:val="auto"/>
          <w:highlight w:val="none"/>
          <w:lang w:eastAsia="zh-CN"/>
        </w:rPr>
      </w:pPr>
      <w:r>
        <w:rPr>
          <w:rFonts w:hint="eastAsia" w:ascii="宋体" w:hAnsi="宋体" w:eastAsia="宋体" w:cs="宋体"/>
          <w:color w:val="auto"/>
          <w:highlight w:val="none"/>
        </w:rPr>
        <w:t>通讯地址：</w:t>
      </w:r>
      <w:r>
        <w:rPr>
          <w:rFonts w:hint="eastAsia" w:ascii="宋体" w:hAnsi="宋体" w:cs="宋体"/>
          <w:color w:val="auto"/>
          <w:highlight w:val="none"/>
          <w:lang w:eastAsia="zh-CN"/>
        </w:rPr>
        <w:t>浙江万兴工程管理有限公司</w:t>
      </w:r>
    </w:p>
    <w:p w14:paraId="5B054C92">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bCs/>
          <w:color w:val="auto"/>
          <w:sz w:val="24"/>
          <w:szCs w:val="24"/>
          <w:highlight w:val="none"/>
          <w:lang w:val="en-US" w:eastAsia="zh-CN"/>
        </w:rPr>
        <w:t>孙先生</w:t>
      </w:r>
    </w:p>
    <w:p w14:paraId="0619563E">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zh-CN"/>
        </w:rPr>
        <w:t>项目联系方式</w:t>
      </w:r>
      <w:r>
        <w:rPr>
          <w:rFonts w:hint="eastAsia" w:ascii="宋体" w:hAnsi="宋体" w:eastAsia="宋体" w:cs="宋体"/>
          <w:color w:val="auto"/>
          <w:highlight w:val="none"/>
        </w:rPr>
        <w:t>：</w:t>
      </w:r>
      <w:r>
        <w:rPr>
          <w:rFonts w:hint="eastAsia" w:ascii="宋体" w:hAnsi="宋体" w:cs="宋体"/>
          <w:bCs/>
          <w:color w:val="auto"/>
          <w:sz w:val="24"/>
          <w:szCs w:val="24"/>
          <w:highlight w:val="none"/>
          <w:lang w:val="en-US" w:eastAsia="zh-CN"/>
        </w:rPr>
        <w:t>17205701999</w:t>
      </w:r>
    </w:p>
    <w:p w14:paraId="030BA084">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公告网址：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"http://zfcg.czt.zj.gov.cn/（浙江省政府采购网）"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http://zfcg.czt.zj.gov.cn/</w:t>
      </w:r>
      <w:r>
        <w:rPr>
          <w:rFonts w:hint="eastAsia" w:ascii="宋体" w:hAnsi="宋体" w:eastAsia="宋体" w:cs="宋体"/>
          <w:color w:val="auto"/>
          <w:highlight w:val="none"/>
        </w:rPr>
        <w:t>（浙江省政府采购网）</w:t>
      </w:r>
      <w:r>
        <w:rPr>
          <w:rFonts w:hint="eastAsia" w:ascii="宋体" w:hAnsi="宋体" w:eastAsia="宋体" w:cs="宋体"/>
          <w:color w:val="auto"/>
          <w:highlight w:val="none"/>
        </w:rPr>
        <w:fldChar w:fldCharType="end"/>
      </w:r>
      <w:bookmarkStart w:id="850" w:name="_Toc16725"/>
      <w:bookmarkStart w:id="851" w:name="_Toc28721"/>
      <w:bookmarkStart w:id="852" w:name="_Toc29766"/>
      <w:bookmarkStart w:id="853" w:name="_Toc19672"/>
      <w:bookmarkStart w:id="854" w:name="_Toc16090"/>
      <w:bookmarkStart w:id="855" w:name="_Toc23727"/>
      <w:bookmarkStart w:id="856" w:name="_Toc21939"/>
      <w:bookmarkStart w:id="857" w:name="_Toc23706"/>
      <w:bookmarkStart w:id="858" w:name="_Toc14759"/>
    </w:p>
    <w:p w14:paraId="138DF2C4">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35.</w:t>
      </w:r>
      <w:bookmarkStart w:id="859" w:name="_Toc13953"/>
      <w:bookmarkStart w:id="860" w:name="_Toc863"/>
      <w:bookmarkStart w:id="861" w:name="_Toc14263"/>
      <w:bookmarkStart w:id="862" w:name="_Toc23326"/>
      <w:bookmarkStart w:id="863" w:name="_Toc19830"/>
      <w:bookmarkStart w:id="864" w:name="_Toc29008"/>
      <w:bookmarkStart w:id="865" w:name="_Toc6566"/>
      <w:bookmarkStart w:id="866" w:name="_Toc17188"/>
      <w:bookmarkStart w:id="867" w:name="_Toc8086"/>
      <w:bookmarkStart w:id="868" w:name="_Toc7125"/>
      <w:bookmarkStart w:id="869" w:name="_Toc26493"/>
      <w:bookmarkStart w:id="870" w:name="_Toc23325"/>
      <w:bookmarkStart w:id="871" w:name="_Toc22127"/>
      <w:bookmarkStart w:id="872" w:name="_Toc19671"/>
      <w:bookmarkStart w:id="873" w:name="_Toc32145"/>
      <w:bookmarkStart w:id="874" w:name="_Toc13452"/>
      <w:bookmarkStart w:id="875" w:name="_Toc13038"/>
      <w:bookmarkStart w:id="876" w:name="_Toc11923"/>
      <w:bookmarkStart w:id="877" w:name="_Toc13198"/>
      <w:bookmarkStart w:id="878" w:name="_Toc16017"/>
      <w:bookmarkStart w:id="879" w:name="_Toc9334"/>
      <w:r>
        <w:rPr>
          <w:rFonts w:hint="eastAsia" w:ascii="宋体" w:hAnsi="宋体" w:eastAsia="宋体" w:cs="宋体"/>
          <w:color w:val="auto"/>
          <w:highlight w:val="none"/>
        </w:rPr>
        <w:t>落实政府采购政府需满足的要求</w:t>
      </w:r>
    </w:p>
    <w:p w14:paraId="680EE9DA">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5.1小微企业</w:t>
      </w:r>
    </w:p>
    <w:p w14:paraId="7A3D8EF3">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5.1.1可享受中小企业扶持政策的条件</w:t>
      </w:r>
    </w:p>
    <w:p w14:paraId="4B66935F">
      <w:pPr>
        <w:keepNext w:val="0"/>
        <w:keepLines w:val="0"/>
        <w:pageBreakBefore w:val="0"/>
        <w:shd w:val="clear"/>
        <w:kinsoku/>
        <w:wordWrap/>
        <w:overflowPunct/>
        <w:topLinePunct w:val="0"/>
        <w:autoSpaceDE/>
        <w:autoSpaceDN/>
        <w:bidi w:val="0"/>
        <w:spacing w:line="312" w:lineRule="auto"/>
        <w:ind w:firstLine="480"/>
        <w:textAlignment w:val="auto"/>
        <w:rPr>
          <w:rFonts w:hint="eastAsia" w:ascii="宋体" w:hAnsi="宋体" w:cs="宋体"/>
          <w:color w:val="auto"/>
          <w:highlight w:val="none"/>
        </w:rPr>
      </w:pPr>
      <w:r>
        <w:rPr>
          <w:rFonts w:hint="eastAsia" w:ascii="宋体" w:hAnsi="宋体" w:eastAsia="宋体" w:cs="宋体"/>
          <w:color w:val="auto"/>
          <w:highlight w:val="none"/>
        </w:rPr>
        <w:t>依照财政部工业和信息化部《政府采购促进中小企业发展管理办法》（财库(2020）46号)规定，中型、小型和微型企业参加政府采购活动的须提供《中小企业声明函》（格式见附件</w:t>
      </w:r>
      <w:r>
        <w:rPr>
          <w:rFonts w:hint="eastAsia" w:ascii="宋体" w:hAnsi="宋体" w:cs="宋体"/>
          <w:color w:val="auto"/>
          <w:highlight w:val="none"/>
          <w:lang w:val="en-US" w:eastAsia="zh-CN"/>
        </w:rPr>
        <w:t>3</w:t>
      </w:r>
      <w:r>
        <w:rPr>
          <w:rFonts w:hint="eastAsia" w:ascii="宋体" w:hAnsi="宋体" w:eastAsia="宋体" w:cs="宋体"/>
          <w:color w:val="auto"/>
          <w:highlight w:val="none"/>
        </w:rPr>
        <w:t>），否则不得享受相关中小</w:t>
      </w:r>
      <w:r>
        <w:rPr>
          <w:rFonts w:hint="eastAsia" w:ascii="宋体" w:hAnsi="宋体" w:cs="宋体"/>
          <w:color w:val="auto"/>
          <w:highlight w:val="none"/>
        </w:rPr>
        <w:t>企业扶持政策。</w:t>
      </w:r>
    </w:p>
    <w:p w14:paraId="3297376F">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rPr>
        <w:t>(1)在货物采购项目中，货物应当由中小企业制造，不对其中涉及的服务的承接商作出要求。货物由中小企业生产且使用该中小企业商号或者注册商标供应商提供的货物既有中小企业制造货物，也有大型企业制造货物的，不享受本办法规定的中小企业扶持政策。</w:t>
      </w:r>
    </w:p>
    <w:p w14:paraId="555BA395">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rPr>
        <w:t>(2)在工程采购项目中，工程应当由中小企业承建，不对其中涉及的货物的制造商和服务的承接商作出要求。</w:t>
      </w:r>
    </w:p>
    <w:p w14:paraId="3CD8F9C8">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rPr>
        <w:t>(3)在服务采购项目中，服务的承接商应当为中小企业，不对其中涉及的货物的制造商作出要求。</w:t>
      </w:r>
    </w:p>
    <w:p w14:paraId="5E481C5B">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5.1.2中小企业划型标准</w:t>
      </w:r>
    </w:p>
    <w:p w14:paraId="61251F1D">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14:paraId="5236A222">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619F3705">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5.1.3中小企业行业划分标准和对应所属行业</w:t>
      </w:r>
    </w:p>
    <w:p w14:paraId="06A4D208">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rPr>
        <w:t>详见供应商须知前附表。</w:t>
      </w:r>
    </w:p>
    <w:p w14:paraId="274E11DE">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5.1.4不可享受中小企业扶持政策的情形</w:t>
      </w:r>
    </w:p>
    <w:p w14:paraId="14139EC9">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rPr>
        <w:t>1)监狱企业、残疾人福利性单位属于小型微型企业的，不重复享受小微企业优惠政策。</w:t>
      </w:r>
    </w:p>
    <w:p w14:paraId="472B7B50">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rPr>
        <w:t>2)事业单位和社会组织不属于企业。参加货物采购项目，其提供的货物属于中小企业制造的，可以享受该办法规定的中小企业扶持政策。参加工程、服务采购项目不享受小微企业扶持政策。</w:t>
      </w:r>
    </w:p>
    <w:p w14:paraId="64E5408C">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5.2监狱企业</w:t>
      </w:r>
    </w:p>
    <w:p w14:paraId="5A7C7D91">
      <w:pPr>
        <w:shd w:val="clear"/>
        <w:spacing w:line="288" w:lineRule="auto"/>
        <w:ind w:firstLine="480"/>
        <w:rPr>
          <w:rFonts w:hint="eastAsia" w:ascii="宋体" w:hAnsi="宋体" w:cs="宋体"/>
          <w:color w:val="auto"/>
          <w:highlight w:val="none"/>
        </w:rPr>
      </w:pPr>
      <w:bookmarkStart w:id="880" w:name="_Toc16766"/>
      <w:bookmarkStart w:id="881" w:name="_Toc29052"/>
      <w:bookmarkStart w:id="882" w:name="_Toc31884"/>
      <w:bookmarkStart w:id="883" w:name="_Toc6174"/>
      <w:bookmarkStart w:id="884" w:name="_Toc32444"/>
      <w:r>
        <w:rPr>
          <w:rFonts w:hint="eastAsia" w:ascii="宋体" w:hAnsi="宋体" w:cs="宋体"/>
          <w:color w:val="auto"/>
          <w:highlight w:val="none"/>
        </w:rPr>
        <w:t>（1）根据财政部、司法部《关于政府采购支持监狱企业发展有关问题的通知》(财库〔2014〕68号)文件精神,监狱企业视同小微企业。</w:t>
      </w:r>
    </w:p>
    <w:p w14:paraId="6BF358ED">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rPr>
        <w:t>（2）监狱企业应当提供《监狱企业声明函》及由省级以上监狱管理局、戒毒管理局(含新疆生产建设兵团)出具的属于监狱企业的证明文件,否则不予认可。</w:t>
      </w:r>
    </w:p>
    <w:p w14:paraId="6448EB75">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5.3 残疾人福利性单位</w:t>
      </w:r>
    </w:p>
    <w:p w14:paraId="40F4C6AC">
      <w:pPr>
        <w:shd w:val="clear"/>
        <w:spacing w:line="288" w:lineRule="auto"/>
        <w:ind w:firstLine="480"/>
        <w:rPr>
          <w:rFonts w:hint="eastAsia" w:ascii="宋体" w:hAnsi="宋体" w:cs="宋体"/>
          <w:color w:val="auto"/>
          <w:highlight w:val="none"/>
        </w:rPr>
      </w:pPr>
      <w:r>
        <w:rPr>
          <w:rFonts w:hint="eastAsia" w:ascii="宋体" w:hAnsi="宋体" w:cs="宋体"/>
          <w:color w:val="auto"/>
          <w:highlight w:val="none"/>
        </w:rPr>
        <w:t>（1）根据财政部 民政部 中国残疾人联合会《关于促进残疾人就业政府采购政策的通知》(财库〔2017〕141号)文件精神,残疾人福利性单位视同小微企业。</w:t>
      </w:r>
    </w:p>
    <w:p w14:paraId="074BC5CF">
      <w:pPr>
        <w:shd w:val="clear"/>
        <w:spacing w:line="288" w:lineRule="auto"/>
        <w:ind w:firstLine="480"/>
        <w:rPr>
          <w:rFonts w:hint="eastAsia" w:ascii="宋体" w:hAnsi="宋体" w:cs="宋体"/>
          <w:color w:val="auto"/>
          <w:highlight w:val="none"/>
          <w:lang w:val="en-US" w:eastAsia="zh-CN"/>
        </w:rPr>
      </w:pPr>
      <w:r>
        <w:rPr>
          <w:rFonts w:hint="eastAsia" w:ascii="宋体" w:hAnsi="宋体" w:cs="宋体"/>
          <w:color w:val="auto"/>
          <w:highlight w:val="none"/>
        </w:rPr>
        <w:t>（2）残疾人福利性单位应当提供《残疾人福利性单位声明函》,否则不予认可。</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Start w:id="885" w:name="_Toc19802"/>
    </w:p>
    <w:p w14:paraId="212A7A13">
      <w:pPr>
        <w:pStyle w:val="3"/>
        <w:numPr>
          <w:ilvl w:val="-1"/>
          <w:numId w:val="0"/>
        </w:numPr>
        <w:shd w:val="clear"/>
        <w:spacing w:before="0" w:beforeLines="0" w:after="0" w:afterLines="0"/>
        <w:ind w:firstLine="0" w:firstLineChars="0"/>
        <w:jc w:val="center"/>
        <w:rPr>
          <w:rFonts w:hint="eastAsia" w:ascii="宋体" w:hAnsi="宋体" w:cs="宋体"/>
          <w:color w:val="auto"/>
          <w:highlight w:val="none"/>
          <w:lang w:val="en-US" w:eastAsia="zh-CN"/>
        </w:rPr>
      </w:pPr>
    </w:p>
    <w:p w14:paraId="35DED615">
      <w:pPr>
        <w:rPr>
          <w:rFonts w:hint="eastAsia" w:ascii="宋体" w:hAnsi="宋体" w:cs="宋体"/>
          <w:color w:val="auto"/>
          <w:highlight w:val="none"/>
          <w:lang w:val="en-US" w:eastAsia="zh-CN"/>
        </w:rPr>
      </w:pPr>
    </w:p>
    <w:p w14:paraId="13B674D1">
      <w:pPr>
        <w:pStyle w:val="17"/>
        <w:rPr>
          <w:rFonts w:hint="eastAsia" w:ascii="宋体" w:hAnsi="宋体" w:cs="宋体"/>
          <w:color w:val="auto"/>
          <w:highlight w:val="none"/>
          <w:lang w:val="en-US" w:eastAsia="zh-CN"/>
        </w:rPr>
      </w:pPr>
    </w:p>
    <w:p w14:paraId="6A12EC6F">
      <w:pPr>
        <w:rPr>
          <w:rFonts w:hint="eastAsia" w:ascii="宋体" w:hAnsi="宋体" w:cs="宋体"/>
          <w:color w:val="auto"/>
          <w:highlight w:val="none"/>
          <w:lang w:val="en-US" w:eastAsia="zh-CN"/>
        </w:rPr>
      </w:pPr>
    </w:p>
    <w:p w14:paraId="29700B4B">
      <w:pPr>
        <w:pStyle w:val="17"/>
        <w:rPr>
          <w:rFonts w:hint="eastAsia" w:ascii="宋体" w:hAnsi="宋体" w:cs="宋体"/>
          <w:color w:val="auto"/>
          <w:highlight w:val="none"/>
          <w:lang w:val="en-US" w:eastAsia="zh-CN"/>
        </w:rPr>
      </w:pPr>
    </w:p>
    <w:p w14:paraId="31B1D932">
      <w:pPr>
        <w:pStyle w:val="3"/>
        <w:numPr>
          <w:ilvl w:val="-1"/>
          <w:numId w:val="0"/>
        </w:numPr>
        <w:shd w:val="clear"/>
        <w:spacing w:before="0" w:beforeLines="0" w:after="0" w:afterLines="0"/>
        <w:ind w:firstLine="0" w:firstLineChars="0"/>
        <w:jc w:val="both"/>
        <w:rPr>
          <w:rFonts w:hint="eastAsia" w:ascii="宋体" w:hAnsi="宋体" w:cs="宋体"/>
          <w:color w:val="auto"/>
          <w:highlight w:val="none"/>
          <w:lang w:val="en-US" w:eastAsia="zh-CN"/>
        </w:rPr>
      </w:pPr>
    </w:p>
    <w:p w14:paraId="3D6D38F5">
      <w:pPr>
        <w:pStyle w:val="3"/>
        <w:numPr>
          <w:ilvl w:val="-1"/>
          <w:numId w:val="0"/>
        </w:numPr>
        <w:shd w:val="clear"/>
        <w:spacing w:before="0" w:beforeLines="0" w:after="0" w:afterLines="0"/>
        <w:ind w:firstLine="0" w:firstLineChars="0"/>
        <w:jc w:val="center"/>
        <w:rPr>
          <w:rFonts w:hint="eastAsia" w:ascii="宋体" w:hAnsi="宋体" w:eastAsia="宋体" w:cs="宋体"/>
          <w:b/>
          <w:bCs/>
          <w:snapToGrid/>
          <w:color w:val="auto"/>
          <w:kern w:val="0"/>
          <w:sz w:val="24"/>
          <w:szCs w:val="24"/>
          <w:highlight w:val="none"/>
          <w:lang w:val="en-US" w:eastAsia="zh-CN" w:bidi="ar"/>
        </w:rPr>
      </w:pPr>
      <w:r>
        <w:rPr>
          <w:rFonts w:hint="eastAsia" w:ascii="宋体" w:hAnsi="宋体" w:cs="宋体"/>
          <w:color w:val="auto"/>
          <w:highlight w:val="none"/>
          <w:lang w:val="en-US" w:eastAsia="zh-CN"/>
        </w:rPr>
        <w:t xml:space="preserve">第三章  </w:t>
      </w:r>
      <w:r>
        <w:rPr>
          <w:rFonts w:hint="eastAsia" w:ascii="宋体" w:hAnsi="宋体" w:cs="宋体"/>
          <w:color w:val="auto"/>
          <w:highlight w:val="none"/>
        </w:rPr>
        <w:t>采购内容及要求</w:t>
      </w:r>
      <w:bookmarkEnd w:id="850"/>
      <w:bookmarkEnd w:id="851"/>
      <w:bookmarkEnd w:id="852"/>
      <w:bookmarkEnd w:id="853"/>
      <w:bookmarkEnd w:id="854"/>
      <w:bookmarkEnd w:id="855"/>
      <w:bookmarkEnd w:id="856"/>
      <w:bookmarkEnd w:id="857"/>
      <w:bookmarkEnd w:id="858"/>
      <w:bookmarkEnd w:id="885"/>
      <w:bookmarkStart w:id="886" w:name="_Toc839"/>
      <w:bookmarkStart w:id="887" w:name="_Toc30089"/>
      <w:bookmarkStart w:id="888" w:name="_Toc18200"/>
      <w:bookmarkStart w:id="889" w:name="_Toc1244"/>
      <w:bookmarkStart w:id="890" w:name="_Toc19496"/>
      <w:bookmarkStart w:id="891" w:name="_Toc21546"/>
      <w:bookmarkStart w:id="892" w:name="_Toc25889"/>
      <w:bookmarkStart w:id="893" w:name="_Toc4820"/>
      <w:bookmarkStart w:id="894" w:name="_Toc29886"/>
    </w:p>
    <w:p w14:paraId="464E9BE1">
      <w:pPr>
        <w:pStyle w:val="6"/>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40" w:lineRule="exact"/>
        <w:textAlignment w:val="auto"/>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t>一、采购内容及清单</w:t>
      </w:r>
    </w:p>
    <w:p w14:paraId="68629583">
      <w:pPr>
        <w:pStyle w:val="37"/>
        <w:keepNext w:val="0"/>
        <w:keepLines w:val="0"/>
        <w:pageBreakBefore w:val="0"/>
        <w:widowControl w:val="0"/>
        <w:tabs>
          <w:tab w:val="left" w:pos="0"/>
        </w:tabs>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1、采购内容：</w:t>
      </w:r>
      <w:r>
        <w:rPr>
          <w:rFonts w:hint="eastAsia" w:ascii="宋体" w:hAnsi="宋体" w:eastAsia="宋体" w:cs="宋体"/>
          <w:color w:val="auto"/>
          <w:sz w:val="24"/>
          <w:szCs w:val="24"/>
          <w:highlight w:val="none"/>
          <w:lang w:eastAsia="zh-CN"/>
        </w:rPr>
        <w:t>龙游县湖镇镇张家埠村未来乡村生活馆亮化采购项目</w:t>
      </w:r>
    </w:p>
    <w:p w14:paraId="06E8926D">
      <w:pPr>
        <w:pStyle w:val="37"/>
        <w:keepNext w:val="0"/>
        <w:keepLines w:val="0"/>
        <w:pageBreakBefore w:val="0"/>
        <w:widowControl w:val="0"/>
        <w:tabs>
          <w:tab w:val="left" w:pos="0"/>
        </w:tabs>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2、采购清单及技术参数要求</w:t>
      </w:r>
    </w:p>
    <w:tbl>
      <w:tblPr>
        <w:tblStyle w:val="40"/>
        <w:tblW w:w="10100"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1860"/>
        <w:gridCol w:w="5612"/>
        <w:gridCol w:w="928"/>
        <w:gridCol w:w="930"/>
      </w:tblGrid>
      <w:tr w14:paraId="70423BB5">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70" w:type="dxa"/>
            <w:tcBorders>
              <w:tl2br w:val="nil"/>
              <w:tr2bl w:val="nil"/>
            </w:tcBorders>
            <w:noWrap/>
            <w:vAlign w:val="center"/>
          </w:tcPr>
          <w:p w14:paraId="1DBAA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0" w:type="dxa"/>
            <w:tcBorders>
              <w:tl2br w:val="nil"/>
              <w:tr2bl w:val="nil"/>
            </w:tcBorders>
            <w:noWrap/>
            <w:vAlign w:val="center"/>
          </w:tcPr>
          <w:p w14:paraId="13B32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材料、设备名称</w:t>
            </w:r>
          </w:p>
        </w:tc>
        <w:tc>
          <w:tcPr>
            <w:tcW w:w="5612" w:type="dxa"/>
            <w:tcBorders>
              <w:tl2br w:val="nil"/>
              <w:tr2bl w:val="nil"/>
            </w:tcBorders>
            <w:noWrap/>
            <w:vAlign w:val="center"/>
          </w:tcPr>
          <w:p w14:paraId="40CD9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技术规格要求</w:t>
            </w:r>
          </w:p>
        </w:tc>
        <w:tc>
          <w:tcPr>
            <w:tcW w:w="928" w:type="dxa"/>
            <w:tcBorders>
              <w:tl2br w:val="nil"/>
              <w:tr2bl w:val="nil"/>
            </w:tcBorders>
            <w:noWrap/>
            <w:vAlign w:val="center"/>
          </w:tcPr>
          <w:p w14:paraId="73878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30" w:type="dxa"/>
            <w:tcBorders>
              <w:tl2br w:val="nil"/>
              <w:tr2bl w:val="nil"/>
            </w:tcBorders>
            <w:noWrap/>
            <w:vAlign w:val="center"/>
          </w:tcPr>
          <w:p w14:paraId="3AFBF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408BDE8F">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2140" w:hRule="atLeast"/>
          <w:jc w:val="center"/>
        </w:trPr>
        <w:tc>
          <w:tcPr>
            <w:tcW w:w="770" w:type="dxa"/>
            <w:tcBorders>
              <w:tl2br w:val="nil"/>
              <w:tr2bl w:val="nil"/>
            </w:tcBorders>
            <w:noWrap/>
            <w:vAlign w:val="center"/>
          </w:tcPr>
          <w:p w14:paraId="7FF69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0" w:type="dxa"/>
            <w:tcBorders>
              <w:tl2br w:val="nil"/>
              <w:tr2bl w:val="nil"/>
            </w:tcBorders>
            <w:noWrap/>
            <w:vAlign w:val="center"/>
          </w:tcPr>
          <w:p w14:paraId="62164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LED洗墙灯1</w:t>
            </w:r>
          </w:p>
        </w:tc>
        <w:tc>
          <w:tcPr>
            <w:tcW w:w="5612" w:type="dxa"/>
            <w:tcBorders>
              <w:tl2br w:val="nil"/>
              <w:tr2bl w:val="nil"/>
            </w:tcBorders>
            <w:noWrap w:val="0"/>
            <w:vAlign w:val="center"/>
          </w:tcPr>
          <w:p w14:paraId="55476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1、规格：1000*30*30mm；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2、主体材质：灰色铝合金灯体，防触电等级一级；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3、光源 ：≥9颗5050灯珠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4、色温：冰蓝色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5、功率、电压：10W DC24V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6、防护等级：IP67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7、驱动：双头出耐高温、耐寒公母对接线</w:t>
            </w:r>
          </w:p>
        </w:tc>
        <w:tc>
          <w:tcPr>
            <w:tcW w:w="928" w:type="dxa"/>
            <w:tcBorders>
              <w:tl2br w:val="nil"/>
              <w:tr2bl w:val="nil"/>
            </w:tcBorders>
            <w:noWrap/>
            <w:vAlign w:val="center"/>
          </w:tcPr>
          <w:p w14:paraId="04CA4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30" w:type="dxa"/>
            <w:tcBorders>
              <w:tl2br w:val="nil"/>
              <w:tr2bl w:val="nil"/>
            </w:tcBorders>
            <w:noWrap/>
            <w:vAlign w:val="center"/>
          </w:tcPr>
          <w:p w14:paraId="1F6F1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23E41F4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2031" w:hRule="atLeast"/>
          <w:jc w:val="center"/>
        </w:trPr>
        <w:tc>
          <w:tcPr>
            <w:tcW w:w="770" w:type="dxa"/>
            <w:tcBorders>
              <w:tl2br w:val="nil"/>
              <w:tr2bl w:val="nil"/>
            </w:tcBorders>
            <w:noWrap/>
            <w:vAlign w:val="center"/>
          </w:tcPr>
          <w:p w14:paraId="13F34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60" w:type="dxa"/>
            <w:tcBorders>
              <w:tl2br w:val="nil"/>
              <w:tr2bl w:val="nil"/>
            </w:tcBorders>
            <w:noWrap/>
            <w:vAlign w:val="center"/>
          </w:tcPr>
          <w:p w14:paraId="3B1F6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LED洗墙灯2</w:t>
            </w:r>
          </w:p>
        </w:tc>
        <w:tc>
          <w:tcPr>
            <w:tcW w:w="5612" w:type="dxa"/>
            <w:tcBorders>
              <w:tl2br w:val="nil"/>
              <w:tr2bl w:val="nil"/>
            </w:tcBorders>
            <w:noWrap w:val="0"/>
            <w:vAlign w:val="center"/>
          </w:tcPr>
          <w:p w14:paraId="08B1B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1、规格：1000*30*30mm；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2、主体材质：灰色铝合金灯体，防触电等级一级；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3、光源 ：≥9颗5050灯珠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4、色温：冰蓝色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5、功率、电压：15W DC24V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6、防护等级：IP67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7、驱动：双头出耐高温、耐寒公母对接线</w:t>
            </w:r>
          </w:p>
        </w:tc>
        <w:tc>
          <w:tcPr>
            <w:tcW w:w="928" w:type="dxa"/>
            <w:tcBorders>
              <w:tl2br w:val="nil"/>
              <w:tr2bl w:val="nil"/>
            </w:tcBorders>
            <w:noWrap/>
            <w:vAlign w:val="center"/>
          </w:tcPr>
          <w:p w14:paraId="7E844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30" w:type="dxa"/>
            <w:tcBorders>
              <w:tl2br w:val="nil"/>
              <w:tr2bl w:val="nil"/>
            </w:tcBorders>
            <w:noWrap/>
            <w:vAlign w:val="center"/>
          </w:tcPr>
          <w:p w14:paraId="36FE1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61B46D99">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1966" w:hRule="atLeast"/>
          <w:jc w:val="center"/>
        </w:trPr>
        <w:tc>
          <w:tcPr>
            <w:tcW w:w="770" w:type="dxa"/>
            <w:tcBorders>
              <w:tl2br w:val="nil"/>
              <w:tr2bl w:val="nil"/>
            </w:tcBorders>
            <w:noWrap/>
            <w:vAlign w:val="center"/>
          </w:tcPr>
          <w:p w14:paraId="1A5EF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0" w:type="dxa"/>
            <w:tcBorders>
              <w:tl2br w:val="nil"/>
              <w:tr2bl w:val="nil"/>
            </w:tcBorders>
            <w:noWrap/>
            <w:vAlign w:val="center"/>
          </w:tcPr>
          <w:p w14:paraId="7BA15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LED线性灯</w:t>
            </w:r>
          </w:p>
        </w:tc>
        <w:tc>
          <w:tcPr>
            <w:tcW w:w="5612" w:type="dxa"/>
            <w:tcBorders>
              <w:tl2br w:val="nil"/>
              <w:tr2bl w:val="nil"/>
            </w:tcBorders>
            <w:noWrap w:val="0"/>
            <w:vAlign w:val="center"/>
          </w:tcPr>
          <w:p w14:paraId="4C365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1、规格：1000*30*30mm；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2、主体材质：灰色铝合金灯体，防触电等级一级；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3、光源 ：≥9颗5050灯珠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4、色温：冰蓝色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5、功率、电压：15W DC24V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6、防护等级：IP67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7、驱动：双头出耐高温、耐寒公母对接线</w:t>
            </w:r>
          </w:p>
        </w:tc>
        <w:tc>
          <w:tcPr>
            <w:tcW w:w="928" w:type="dxa"/>
            <w:tcBorders>
              <w:tl2br w:val="nil"/>
              <w:tr2bl w:val="nil"/>
            </w:tcBorders>
            <w:noWrap/>
            <w:vAlign w:val="center"/>
          </w:tcPr>
          <w:p w14:paraId="5E3F2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30" w:type="dxa"/>
            <w:tcBorders>
              <w:tl2br w:val="nil"/>
              <w:tr2bl w:val="nil"/>
            </w:tcBorders>
            <w:noWrap/>
            <w:vAlign w:val="center"/>
          </w:tcPr>
          <w:p w14:paraId="4B7C1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r>
      <w:tr w14:paraId="20734EF2">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2135" w:hRule="atLeast"/>
          <w:jc w:val="center"/>
        </w:trPr>
        <w:tc>
          <w:tcPr>
            <w:tcW w:w="770" w:type="dxa"/>
            <w:tcBorders>
              <w:tl2br w:val="nil"/>
              <w:tr2bl w:val="nil"/>
            </w:tcBorders>
            <w:noWrap/>
            <w:vAlign w:val="center"/>
          </w:tcPr>
          <w:p w14:paraId="36A61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l2br w:val="nil"/>
              <w:tr2bl w:val="nil"/>
            </w:tcBorders>
            <w:noWrap/>
            <w:vAlign w:val="center"/>
          </w:tcPr>
          <w:p w14:paraId="38A56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LED洗墙灯3</w:t>
            </w:r>
          </w:p>
        </w:tc>
        <w:tc>
          <w:tcPr>
            <w:tcW w:w="5612" w:type="dxa"/>
            <w:tcBorders>
              <w:tl2br w:val="nil"/>
              <w:tr2bl w:val="nil"/>
            </w:tcBorders>
            <w:noWrap w:val="0"/>
            <w:vAlign w:val="center"/>
          </w:tcPr>
          <w:p w14:paraId="553AD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1、规格：1000*30*30mm；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2、主体材质：灰色铝合金灯体；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3、光源 ：≥9颗5050灯珠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4、色温：3000K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5、功率、电压：12W DC24V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6、防护等级：IP67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7、驱动：双头出耐高温、耐寒公母对接线</w:t>
            </w:r>
          </w:p>
        </w:tc>
        <w:tc>
          <w:tcPr>
            <w:tcW w:w="928" w:type="dxa"/>
            <w:tcBorders>
              <w:tl2br w:val="nil"/>
              <w:tr2bl w:val="nil"/>
            </w:tcBorders>
            <w:noWrap/>
            <w:vAlign w:val="center"/>
          </w:tcPr>
          <w:p w14:paraId="09CE8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30" w:type="dxa"/>
            <w:tcBorders>
              <w:tl2br w:val="nil"/>
              <w:tr2bl w:val="nil"/>
            </w:tcBorders>
            <w:noWrap/>
            <w:vAlign w:val="center"/>
          </w:tcPr>
          <w:p w14:paraId="10C60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673FE45C">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70" w:type="dxa"/>
            <w:tcBorders>
              <w:tl2br w:val="nil"/>
              <w:tr2bl w:val="nil"/>
            </w:tcBorders>
            <w:noWrap/>
            <w:vAlign w:val="center"/>
          </w:tcPr>
          <w:p w14:paraId="617F8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l2br w:val="nil"/>
              <w:tr2bl w:val="nil"/>
            </w:tcBorders>
            <w:noWrap/>
            <w:vAlign w:val="center"/>
          </w:tcPr>
          <w:p w14:paraId="7F5D0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LED竖向线条灯</w:t>
            </w:r>
          </w:p>
        </w:tc>
        <w:tc>
          <w:tcPr>
            <w:tcW w:w="5612" w:type="dxa"/>
            <w:tcBorders>
              <w:tl2br w:val="nil"/>
              <w:tr2bl w:val="nil"/>
            </w:tcBorders>
            <w:noWrap w:val="0"/>
            <w:vAlign w:val="center"/>
          </w:tcPr>
          <w:p w14:paraId="3814B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1、规格：1000*28*29mm；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2、主体材质：灰色铝合金灯体；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3、光源 ：≥9颗5050灯珠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4、色温：冰蓝色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5、功率、电压：12W DC24V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6、防护等级：IP67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7、驱动：双头出耐高温、耐寒公母对接线</w:t>
            </w:r>
          </w:p>
        </w:tc>
        <w:tc>
          <w:tcPr>
            <w:tcW w:w="928" w:type="dxa"/>
            <w:tcBorders>
              <w:tl2br w:val="nil"/>
              <w:tr2bl w:val="nil"/>
            </w:tcBorders>
            <w:noWrap/>
            <w:vAlign w:val="center"/>
          </w:tcPr>
          <w:p w14:paraId="36748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30" w:type="dxa"/>
            <w:tcBorders>
              <w:tl2br w:val="nil"/>
              <w:tr2bl w:val="nil"/>
            </w:tcBorders>
            <w:noWrap/>
            <w:vAlign w:val="center"/>
          </w:tcPr>
          <w:p w14:paraId="30B98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14:paraId="1E678ABA">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2156" w:hRule="atLeast"/>
          <w:jc w:val="center"/>
        </w:trPr>
        <w:tc>
          <w:tcPr>
            <w:tcW w:w="770" w:type="dxa"/>
            <w:tcBorders>
              <w:tl2br w:val="nil"/>
              <w:tr2bl w:val="nil"/>
            </w:tcBorders>
            <w:noWrap/>
            <w:vAlign w:val="center"/>
          </w:tcPr>
          <w:p w14:paraId="64F110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60" w:type="dxa"/>
            <w:tcBorders>
              <w:tl2br w:val="nil"/>
              <w:tr2bl w:val="nil"/>
            </w:tcBorders>
            <w:noWrap/>
            <w:vAlign w:val="center"/>
          </w:tcPr>
          <w:p w14:paraId="763FB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LED投光灯1</w:t>
            </w:r>
          </w:p>
        </w:tc>
        <w:tc>
          <w:tcPr>
            <w:tcW w:w="5612" w:type="dxa"/>
            <w:tcBorders>
              <w:tl2br w:val="nil"/>
              <w:tr2bl w:val="nil"/>
            </w:tcBorders>
            <w:noWrap w:val="0"/>
            <w:vAlign w:val="center"/>
          </w:tcPr>
          <w:p w14:paraId="6C648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1、规格：160*200mm；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2、主体材质：灰色铝合金灯体，防触电等级一级；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3、光源 ：≥9颗5050灯珠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4、色温：6000K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5、功率、电压：36W DC24V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6、防护等级：IP67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7、驱动：双头出耐高温、耐寒公母对接线</w:t>
            </w:r>
          </w:p>
        </w:tc>
        <w:tc>
          <w:tcPr>
            <w:tcW w:w="928" w:type="dxa"/>
            <w:tcBorders>
              <w:tl2br w:val="nil"/>
              <w:tr2bl w:val="nil"/>
            </w:tcBorders>
            <w:noWrap/>
            <w:vAlign w:val="center"/>
          </w:tcPr>
          <w:p w14:paraId="0EC0B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930" w:type="dxa"/>
            <w:tcBorders>
              <w:tl2br w:val="nil"/>
              <w:tr2bl w:val="nil"/>
            </w:tcBorders>
            <w:noWrap/>
            <w:vAlign w:val="center"/>
          </w:tcPr>
          <w:p w14:paraId="6B94E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5F03705">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770" w:type="dxa"/>
            <w:tcBorders>
              <w:tl2br w:val="nil"/>
              <w:tr2bl w:val="nil"/>
            </w:tcBorders>
            <w:noWrap/>
            <w:vAlign w:val="center"/>
          </w:tcPr>
          <w:p w14:paraId="2718A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60" w:type="dxa"/>
            <w:tcBorders>
              <w:tl2br w:val="nil"/>
              <w:tr2bl w:val="nil"/>
            </w:tcBorders>
            <w:noWrap/>
            <w:vAlign w:val="center"/>
          </w:tcPr>
          <w:p w14:paraId="47967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LED投光灯2</w:t>
            </w:r>
          </w:p>
        </w:tc>
        <w:tc>
          <w:tcPr>
            <w:tcW w:w="5612" w:type="dxa"/>
            <w:tcBorders>
              <w:tl2br w:val="nil"/>
              <w:tr2bl w:val="nil"/>
            </w:tcBorders>
            <w:noWrap w:val="0"/>
            <w:vAlign w:val="center"/>
          </w:tcPr>
          <w:p w14:paraId="201CE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1、规格：160*200mm；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2、主体材质：灰色铝合金灯体，防触电等级一级；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3、光源 ：≥9颗5050灯珠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4、色温：6000K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5、功率、电压：18W DC24V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6、防护等级：IP67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7、驱动：双头出耐高温、耐寒公母对接线</w:t>
            </w:r>
          </w:p>
        </w:tc>
        <w:tc>
          <w:tcPr>
            <w:tcW w:w="928" w:type="dxa"/>
            <w:tcBorders>
              <w:tl2br w:val="nil"/>
              <w:tr2bl w:val="nil"/>
            </w:tcBorders>
            <w:noWrap/>
            <w:vAlign w:val="center"/>
          </w:tcPr>
          <w:p w14:paraId="648B8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930" w:type="dxa"/>
            <w:tcBorders>
              <w:tl2br w:val="nil"/>
              <w:tr2bl w:val="nil"/>
            </w:tcBorders>
            <w:noWrap/>
            <w:vAlign w:val="center"/>
          </w:tcPr>
          <w:p w14:paraId="43002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36601259">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70" w:type="dxa"/>
            <w:tcBorders>
              <w:tl2br w:val="nil"/>
              <w:tr2bl w:val="nil"/>
            </w:tcBorders>
            <w:noWrap/>
            <w:vAlign w:val="center"/>
          </w:tcPr>
          <w:p w14:paraId="65A8D0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60" w:type="dxa"/>
            <w:tcBorders>
              <w:tl2br w:val="nil"/>
              <w:tr2bl w:val="nil"/>
            </w:tcBorders>
            <w:noWrap/>
            <w:vAlign w:val="center"/>
          </w:tcPr>
          <w:p w14:paraId="5AB98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发光文字</w:t>
            </w:r>
          </w:p>
        </w:tc>
        <w:tc>
          <w:tcPr>
            <w:tcW w:w="5612" w:type="dxa"/>
            <w:tcBorders>
              <w:tl2br w:val="nil"/>
              <w:tr2bl w:val="nil"/>
            </w:tcBorders>
            <w:noWrap/>
            <w:vAlign w:val="center"/>
          </w:tcPr>
          <w:p w14:paraId="6623A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LED发光字</w:t>
            </w:r>
          </w:p>
        </w:tc>
        <w:tc>
          <w:tcPr>
            <w:tcW w:w="928" w:type="dxa"/>
            <w:tcBorders>
              <w:tl2br w:val="nil"/>
              <w:tr2bl w:val="nil"/>
            </w:tcBorders>
            <w:noWrap/>
            <w:vAlign w:val="center"/>
          </w:tcPr>
          <w:p w14:paraId="428B4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930" w:type="dxa"/>
            <w:tcBorders>
              <w:tl2br w:val="nil"/>
              <w:tr2bl w:val="nil"/>
            </w:tcBorders>
            <w:noWrap/>
            <w:vAlign w:val="center"/>
          </w:tcPr>
          <w:p w14:paraId="4E755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1B0FC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770" w:type="dxa"/>
            <w:tcBorders>
              <w:tl2br w:val="nil"/>
              <w:tr2bl w:val="nil"/>
            </w:tcBorders>
            <w:noWrap/>
            <w:vAlign w:val="center"/>
          </w:tcPr>
          <w:p w14:paraId="45A2B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60" w:type="dxa"/>
            <w:tcBorders>
              <w:tl2br w:val="nil"/>
              <w:tr2bl w:val="nil"/>
            </w:tcBorders>
            <w:noWrap/>
            <w:vAlign w:val="center"/>
          </w:tcPr>
          <w:p w14:paraId="099BF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主控器DM512</w:t>
            </w:r>
          </w:p>
        </w:tc>
        <w:tc>
          <w:tcPr>
            <w:tcW w:w="5612" w:type="dxa"/>
            <w:tcBorders>
              <w:tl2br w:val="nil"/>
              <w:tr2bl w:val="nil"/>
            </w:tcBorders>
            <w:noWrap w:val="0"/>
            <w:vAlign w:val="center"/>
          </w:tcPr>
          <w:p w14:paraId="34DF8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1、规格：200*120*50mm；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2、主体材质：灰色铝合金灯体，防触电等级一级；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3、光源 ：≥9颗5050灯珠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4、功率、电压：8路 AC220V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5、防水等级：IP54</w:t>
            </w:r>
          </w:p>
        </w:tc>
        <w:tc>
          <w:tcPr>
            <w:tcW w:w="928" w:type="dxa"/>
            <w:tcBorders>
              <w:tl2br w:val="nil"/>
              <w:tr2bl w:val="nil"/>
            </w:tcBorders>
            <w:noWrap/>
            <w:vAlign w:val="center"/>
          </w:tcPr>
          <w:p w14:paraId="69005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0" w:type="dxa"/>
            <w:tcBorders>
              <w:tl2br w:val="nil"/>
              <w:tr2bl w:val="nil"/>
            </w:tcBorders>
            <w:noWrap/>
            <w:vAlign w:val="center"/>
          </w:tcPr>
          <w:p w14:paraId="45FC8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AF8E48F">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2075" w:hRule="atLeast"/>
          <w:jc w:val="center"/>
        </w:trPr>
        <w:tc>
          <w:tcPr>
            <w:tcW w:w="770" w:type="dxa"/>
            <w:tcBorders>
              <w:tl2br w:val="nil"/>
              <w:tr2bl w:val="nil"/>
            </w:tcBorders>
            <w:noWrap/>
            <w:vAlign w:val="center"/>
          </w:tcPr>
          <w:p w14:paraId="22361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60" w:type="dxa"/>
            <w:tcBorders>
              <w:tl2br w:val="nil"/>
              <w:tr2bl w:val="nil"/>
            </w:tcBorders>
            <w:noWrap/>
            <w:vAlign w:val="center"/>
          </w:tcPr>
          <w:p w14:paraId="12F74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5612" w:type="dxa"/>
            <w:tcBorders>
              <w:tl2br w:val="nil"/>
              <w:tr2bl w:val="nil"/>
            </w:tcBorders>
            <w:noWrap w:val="0"/>
            <w:vAlign w:val="center"/>
          </w:tcPr>
          <w:p w14:paraId="368FC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1、规格：180*110*50mm；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2、主体材质：灰色铝合金灯体，防触电等级一级；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3、光源 ：≥30颗5050灯珠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4、功率、电压：400W DC24V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5、防护等级：IP65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6、驱动：双头出耐高温、耐寒公母对接线</w:t>
            </w:r>
          </w:p>
        </w:tc>
        <w:tc>
          <w:tcPr>
            <w:tcW w:w="928" w:type="dxa"/>
            <w:tcBorders>
              <w:tl2br w:val="nil"/>
              <w:tr2bl w:val="nil"/>
            </w:tcBorders>
            <w:noWrap/>
            <w:vAlign w:val="center"/>
          </w:tcPr>
          <w:p w14:paraId="0BC35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0" w:type="dxa"/>
            <w:tcBorders>
              <w:tl2br w:val="nil"/>
              <w:tr2bl w:val="nil"/>
            </w:tcBorders>
            <w:noWrap/>
            <w:vAlign w:val="center"/>
          </w:tcPr>
          <w:p w14:paraId="0A95F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0C534B0C">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1765" w:hRule="atLeast"/>
          <w:jc w:val="center"/>
        </w:trPr>
        <w:tc>
          <w:tcPr>
            <w:tcW w:w="770" w:type="dxa"/>
            <w:tcBorders>
              <w:tl2br w:val="nil"/>
              <w:tr2bl w:val="nil"/>
            </w:tcBorders>
            <w:noWrap/>
            <w:vAlign w:val="center"/>
          </w:tcPr>
          <w:p w14:paraId="14FA0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60" w:type="dxa"/>
            <w:tcBorders>
              <w:tl2br w:val="nil"/>
              <w:tr2bl w:val="nil"/>
            </w:tcBorders>
            <w:noWrap/>
            <w:vAlign w:val="center"/>
          </w:tcPr>
          <w:p w14:paraId="67318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开关电源箱</w:t>
            </w:r>
          </w:p>
        </w:tc>
        <w:tc>
          <w:tcPr>
            <w:tcW w:w="5612" w:type="dxa"/>
            <w:tcBorders>
              <w:tl2br w:val="nil"/>
              <w:tr2bl w:val="nil"/>
            </w:tcBorders>
            <w:noWrap w:val="0"/>
            <w:vAlign w:val="center"/>
          </w:tcPr>
          <w:p w14:paraId="02FA4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1.额定电压: 三相五线制AC380V±10％，50Hz。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2.额定功率: 12路×4KW，可适用于任何负载。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3.开关: 过载与短路双重保护高分断空气开关。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 A、B、C三相工作指示灯，设两脚和三脚万能备用插座方便使用。</w:t>
            </w:r>
          </w:p>
        </w:tc>
        <w:tc>
          <w:tcPr>
            <w:tcW w:w="928" w:type="dxa"/>
            <w:tcBorders>
              <w:tl2br w:val="nil"/>
              <w:tr2bl w:val="nil"/>
            </w:tcBorders>
            <w:noWrap/>
            <w:vAlign w:val="center"/>
          </w:tcPr>
          <w:p w14:paraId="487EB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0" w:type="dxa"/>
            <w:tcBorders>
              <w:tl2br w:val="nil"/>
              <w:tr2bl w:val="nil"/>
            </w:tcBorders>
            <w:noWrap/>
            <w:vAlign w:val="center"/>
          </w:tcPr>
          <w:p w14:paraId="2160F5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111A79E8">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3170" w:hRule="atLeast"/>
          <w:jc w:val="center"/>
        </w:trPr>
        <w:tc>
          <w:tcPr>
            <w:tcW w:w="770" w:type="dxa"/>
            <w:tcBorders>
              <w:tl2br w:val="nil"/>
              <w:tr2bl w:val="nil"/>
            </w:tcBorders>
            <w:noWrap/>
            <w:vAlign w:val="center"/>
          </w:tcPr>
          <w:p w14:paraId="7CC77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60" w:type="dxa"/>
            <w:tcBorders>
              <w:tl2br w:val="nil"/>
              <w:tr2bl w:val="nil"/>
            </w:tcBorders>
            <w:noWrap/>
            <w:vAlign w:val="center"/>
          </w:tcPr>
          <w:p w14:paraId="289E3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5612" w:type="dxa"/>
            <w:tcBorders>
              <w:tl2br w:val="nil"/>
              <w:tr2bl w:val="nil"/>
            </w:tcBorders>
            <w:noWrap w:val="0"/>
            <w:vAlign w:val="center"/>
          </w:tcPr>
          <w:p w14:paraId="78BC8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1、规格：200*500*600mm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2、额定电压：400V 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3、额定电流：63A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4、防护等级：IP40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5、绝缘等级：II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6、材质：钢板厚度1.5mm以上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7、表面处理：烤漆、颜色深蓝色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8、接地连接：零排（N）和地排（PE）由69mm²的黄铜做成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9、安装方式：壁挂式</w:t>
            </w:r>
          </w:p>
        </w:tc>
        <w:tc>
          <w:tcPr>
            <w:tcW w:w="928" w:type="dxa"/>
            <w:tcBorders>
              <w:tl2br w:val="nil"/>
              <w:tr2bl w:val="nil"/>
            </w:tcBorders>
            <w:noWrap/>
            <w:vAlign w:val="center"/>
          </w:tcPr>
          <w:p w14:paraId="23415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0" w:type="dxa"/>
            <w:tcBorders>
              <w:tl2br w:val="nil"/>
              <w:tr2bl w:val="nil"/>
            </w:tcBorders>
            <w:noWrap/>
            <w:vAlign w:val="center"/>
          </w:tcPr>
          <w:p w14:paraId="54AF6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37C449B">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1370" w:hRule="atLeast"/>
          <w:jc w:val="center"/>
        </w:trPr>
        <w:tc>
          <w:tcPr>
            <w:tcW w:w="770" w:type="dxa"/>
            <w:tcBorders>
              <w:tl2br w:val="nil"/>
              <w:tr2bl w:val="nil"/>
            </w:tcBorders>
            <w:noWrap/>
            <w:vAlign w:val="center"/>
          </w:tcPr>
          <w:p w14:paraId="5308B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60" w:type="dxa"/>
            <w:tcBorders>
              <w:tl2br w:val="nil"/>
              <w:tr2bl w:val="nil"/>
            </w:tcBorders>
            <w:noWrap/>
            <w:vAlign w:val="center"/>
          </w:tcPr>
          <w:p w14:paraId="3CFFA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电缆、电缆桥架</w:t>
            </w:r>
          </w:p>
        </w:tc>
        <w:tc>
          <w:tcPr>
            <w:tcW w:w="5612" w:type="dxa"/>
            <w:tcBorders>
              <w:tl2br w:val="nil"/>
              <w:tr2bl w:val="nil"/>
            </w:tcBorders>
            <w:noWrap w:val="0"/>
            <w:vAlign w:val="center"/>
          </w:tcPr>
          <w:p w14:paraId="4D454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1、电缆规格：WDZB-YJY-0.6/1 3*4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2、桥架规格：80*60mm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3、材质：镀锌 壁厚0.8mm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4、以及各类插件</w:t>
            </w:r>
          </w:p>
        </w:tc>
        <w:tc>
          <w:tcPr>
            <w:tcW w:w="928" w:type="dxa"/>
            <w:tcBorders>
              <w:tl2br w:val="nil"/>
              <w:tr2bl w:val="nil"/>
            </w:tcBorders>
            <w:noWrap/>
            <w:vAlign w:val="center"/>
          </w:tcPr>
          <w:p w14:paraId="7CAE3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930" w:type="dxa"/>
            <w:tcBorders>
              <w:tl2br w:val="nil"/>
              <w:tr2bl w:val="nil"/>
            </w:tcBorders>
            <w:noWrap/>
            <w:vAlign w:val="center"/>
          </w:tcPr>
          <w:p w14:paraId="52999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F94B51D">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770" w:type="dxa"/>
            <w:tcBorders>
              <w:tl2br w:val="nil"/>
              <w:tr2bl w:val="nil"/>
            </w:tcBorders>
            <w:noWrap/>
            <w:vAlign w:val="center"/>
          </w:tcPr>
          <w:p w14:paraId="6114B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60" w:type="dxa"/>
            <w:tcBorders>
              <w:tl2br w:val="nil"/>
              <w:tr2bl w:val="nil"/>
            </w:tcBorders>
            <w:noWrap/>
            <w:vAlign w:val="center"/>
          </w:tcPr>
          <w:p w14:paraId="754E1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辅材，安装调试</w:t>
            </w:r>
          </w:p>
        </w:tc>
        <w:tc>
          <w:tcPr>
            <w:tcW w:w="5612" w:type="dxa"/>
            <w:tcBorders>
              <w:tl2br w:val="nil"/>
              <w:tr2bl w:val="nil"/>
            </w:tcBorders>
            <w:noWrap w:val="0"/>
            <w:vAlign w:val="center"/>
          </w:tcPr>
          <w:p w14:paraId="0320C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以上所有含灯钩、安全绳、脚手架、穿管等墙内施工</w:t>
            </w:r>
          </w:p>
        </w:tc>
        <w:tc>
          <w:tcPr>
            <w:tcW w:w="928" w:type="dxa"/>
            <w:tcBorders>
              <w:tl2br w:val="nil"/>
              <w:tr2bl w:val="nil"/>
            </w:tcBorders>
            <w:noWrap/>
            <w:vAlign w:val="center"/>
          </w:tcPr>
          <w:p w14:paraId="1A9B9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auto"/>
                <w:kern w:val="0"/>
                <w:sz w:val="24"/>
                <w:szCs w:val="24"/>
                <w:highlight w:val="none"/>
                <w:u w:val="none"/>
                <w:lang w:val="en-US" w:eastAsia="zh-CN" w:bidi="ar"/>
              </w:rPr>
              <w:t>项</w:t>
            </w:r>
          </w:p>
        </w:tc>
        <w:tc>
          <w:tcPr>
            <w:tcW w:w="930" w:type="dxa"/>
            <w:tcBorders>
              <w:tl2br w:val="nil"/>
              <w:tr2bl w:val="nil"/>
            </w:tcBorders>
            <w:noWrap/>
            <w:vAlign w:val="center"/>
          </w:tcPr>
          <w:p w14:paraId="5334D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19B5DA">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770" w:type="dxa"/>
            <w:tcBorders>
              <w:tl2br w:val="nil"/>
              <w:tr2bl w:val="nil"/>
            </w:tcBorders>
            <w:noWrap/>
            <w:vAlign w:val="center"/>
          </w:tcPr>
          <w:p w14:paraId="7D8A26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60" w:type="dxa"/>
            <w:tcBorders>
              <w:tl2br w:val="nil"/>
              <w:tr2bl w:val="nil"/>
            </w:tcBorders>
            <w:noWrap/>
            <w:vAlign w:val="center"/>
          </w:tcPr>
          <w:p w14:paraId="4D9F9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设计费</w:t>
            </w:r>
          </w:p>
        </w:tc>
        <w:tc>
          <w:tcPr>
            <w:tcW w:w="5612" w:type="dxa"/>
            <w:tcBorders>
              <w:tl2br w:val="nil"/>
              <w:tr2bl w:val="nil"/>
            </w:tcBorders>
            <w:noWrap w:val="0"/>
            <w:vAlign w:val="center"/>
          </w:tcPr>
          <w:p w14:paraId="0F379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提供设计图及效果图</w:t>
            </w:r>
          </w:p>
        </w:tc>
        <w:tc>
          <w:tcPr>
            <w:tcW w:w="928" w:type="dxa"/>
            <w:tcBorders>
              <w:tl2br w:val="nil"/>
              <w:tr2bl w:val="nil"/>
            </w:tcBorders>
            <w:noWrap/>
            <w:vAlign w:val="center"/>
          </w:tcPr>
          <w:p w14:paraId="7DE4E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0" w:type="dxa"/>
            <w:tcBorders>
              <w:tl2br w:val="nil"/>
              <w:tr2bl w:val="nil"/>
            </w:tcBorders>
            <w:noWrap/>
            <w:vAlign w:val="center"/>
          </w:tcPr>
          <w:p w14:paraId="4EB4B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45610313">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注：1.投标报价应包括但不限于货物、随配附件、材料、备品备件、工具、运输费、保险费、装卸费（含二次搬运）、</w:t>
      </w:r>
      <w:r>
        <w:rPr>
          <w:rFonts w:hint="eastAsia" w:ascii="宋体" w:hAnsi="宋体" w:cs="宋体"/>
          <w:color w:val="auto"/>
          <w:kern w:val="2"/>
          <w:sz w:val="24"/>
          <w:szCs w:val="24"/>
          <w:lang w:val="en-US" w:eastAsia="zh-CN" w:bidi="ar-SA"/>
        </w:rPr>
        <w:t>安装调试费、设计费、</w:t>
      </w:r>
      <w:r>
        <w:rPr>
          <w:rFonts w:hint="eastAsia" w:ascii="宋体" w:hAnsi="宋体" w:eastAsia="宋体" w:cs="宋体"/>
          <w:color w:val="auto"/>
          <w:kern w:val="2"/>
          <w:sz w:val="24"/>
          <w:szCs w:val="24"/>
          <w:highlight w:val="none"/>
          <w:lang w:val="en-US" w:eastAsia="zh-CN" w:bidi="ar-SA"/>
        </w:rPr>
        <w:t>现场施工配合费、采购代</w:t>
      </w:r>
      <w:r>
        <w:rPr>
          <w:rFonts w:hint="eastAsia" w:ascii="宋体" w:hAnsi="宋体" w:eastAsia="宋体" w:cs="宋体"/>
          <w:color w:val="auto"/>
          <w:kern w:val="2"/>
          <w:sz w:val="24"/>
          <w:szCs w:val="24"/>
          <w:lang w:val="en-US" w:eastAsia="zh-CN" w:bidi="ar-SA"/>
        </w:rPr>
        <w:t>理费、售后服务、培训费、</w:t>
      </w:r>
      <w:r>
        <w:rPr>
          <w:rFonts w:hint="eastAsia" w:ascii="宋体" w:hAnsi="宋体" w:eastAsia="宋体" w:cs="宋体"/>
          <w:color w:val="auto"/>
          <w:kern w:val="2"/>
          <w:sz w:val="24"/>
          <w:szCs w:val="24"/>
          <w:lang w:val="zh-CN" w:eastAsia="zh-CN" w:bidi="ar-SA"/>
        </w:rPr>
        <w:t>税金和利润等完成合同所需的一切本身和不可或缺的所有工作开支、政策性文件规定及合同包含的所有风险、责任等各项全部费用。</w:t>
      </w:r>
      <w:r>
        <w:rPr>
          <w:rFonts w:hint="eastAsia" w:ascii="宋体" w:hAnsi="宋体" w:eastAsia="宋体" w:cs="宋体"/>
          <w:color w:val="auto"/>
          <w:kern w:val="2"/>
          <w:sz w:val="24"/>
          <w:szCs w:val="24"/>
          <w:lang w:val="en-US" w:eastAsia="zh-CN" w:bidi="ar-SA"/>
        </w:rPr>
        <w:t>如有漏项，视同已包含在其他项目中，单价不作调整。</w:t>
      </w:r>
    </w:p>
    <w:p w14:paraId="3D62F434">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2、供应商可自行前往项目现场对周围环境进行踏勘，踏勘现场所发生的费用由供应商自己承担。</w:t>
      </w:r>
    </w:p>
    <w:p w14:paraId="5AF72466">
      <w:pPr>
        <w:pStyle w:val="6"/>
        <w:keepNext w:val="0"/>
        <w:keepLines w:val="0"/>
        <w:pageBreakBefore w:val="0"/>
        <w:widowControl w:val="0"/>
        <w:numPr>
          <w:ilvl w:val="0"/>
          <w:numId w:val="0"/>
        </w:numPr>
        <w:tabs>
          <w:tab w:val="left" w:pos="420"/>
        </w:tabs>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b w:val="0"/>
          <w:bCs/>
          <w:snapToGrid w:val="0"/>
          <w:color w:val="auto"/>
          <w:sz w:val="24"/>
          <w:szCs w:val="24"/>
          <w:highlight w:val="none"/>
          <w:lang w:eastAsia="zh-CN"/>
        </w:rPr>
      </w:pPr>
      <w:r>
        <w:rPr>
          <w:rFonts w:hint="eastAsia" w:ascii="宋体" w:hAnsi="宋体" w:eastAsia="宋体" w:cs="宋体"/>
          <w:b w:val="0"/>
          <w:bCs/>
          <w:snapToGrid w:val="0"/>
          <w:color w:val="auto"/>
          <w:sz w:val="24"/>
          <w:szCs w:val="24"/>
          <w:highlight w:val="none"/>
          <w:lang w:eastAsia="zh-CN"/>
        </w:rPr>
        <w:t>二、商务要求</w:t>
      </w:r>
    </w:p>
    <w:p w14:paraId="312AD129">
      <w:pPr>
        <w:pStyle w:val="22"/>
        <w:keepNext w:val="0"/>
        <w:keepLines w:val="0"/>
        <w:pageBreakBefore w:val="0"/>
        <w:widowControl w:val="0"/>
        <w:kinsoku/>
        <w:wordWrap/>
        <w:overflowPunct/>
        <w:topLinePunct w:val="0"/>
        <w:autoSpaceDE/>
        <w:autoSpaceDN/>
        <w:bidi w:val="0"/>
        <w:adjustRightInd/>
        <w:snapToGrid w:val="0"/>
        <w:spacing w:line="440" w:lineRule="exact"/>
        <w:ind w:left="0" w:leftChars="0"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1、</w:t>
      </w:r>
      <w:r>
        <w:rPr>
          <w:rFonts w:hint="eastAsia" w:hAnsi="宋体" w:cs="宋体"/>
          <w:b w:val="0"/>
          <w:bCs/>
          <w:color w:val="auto"/>
          <w:sz w:val="24"/>
          <w:szCs w:val="24"/>
          <w:highlight w:val="none"/>
          <w:lang w:val="en-US" w:eastAsia="zh-CN"/>
        </w:rPr>
        <w:t>服务期限</w:t>
      </w:r>
      <w:r>
        <w:rPr>
          <w:rFonts w:hint="eastAsia" w:ascii="宋体" w:hAnsi="宋体" w:eastAsia="宋体" w:cs="宋体"/>
          <w:b w:val="0"/>
          <w:bCs/>
          <w:color w:val="auto"/>
          <w:sz w:val="24"/>
          <w:szCs w:val="24"/>
          <w:highlight w:val="none"/>
          <w:lang w:val="en-US" w:eastAsia="zh-CN"/>
        </w:rPr>
        <w:t>：</w:t>
      </w:r>
      <w:r>
        <w:rPr>
          <w:rFonts w:hint="eastAsia" w:hAnsi="宋体" w:cs="宋体"/>
          <w:color w:val="auto"/>
          <w:kern w:val="2"/>
          <w:sz w:val="24"/>
          <w:szCs w:val="24"/>
          <w:highlight w:val="none"/>
          <w:lang w:val="en-US" w:eastAsia="zh-CN" w:bidi="ar-SA"/>
        </w:rPr>
        <w:t>合同签订后，接采购人通知后的30日历天内完成项目所有工作并通过验收合格。</w:t>
      </w:r>
    </w:p>
    <w:p w14:paraId="1A6525B6">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2、交货</w:t>
      </w:r>
      <w:r>
        <w:rPr>
          <w:rFonts w:hint="eastAsia" w:ascii="宋体" w:hAnsi="宋体" w:eastAsia="宋体" w:cs="宋体"/>
          <w:color w:val="auto"/>
          <w:kern w:val="2"/>
          <w:sz w:val="24"/>
          <w:szCs w:val="24"/>
          <w:highlight w:val="none"/>
          <w:lang w:val="zh-CN" w:eastAsia="zh-CN" w:bidi="ar-SA"/>
        </w:rPr>
        <w:t>地点：采购人指定地点。</w:t>
      </w:r>
    </w:p>
    <w:p w14:paraId="7E9ABF8B">
      <w:pPr>
        <w:pStyle w:val="22"/>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3、付款方式</w:t>
      </w:r>
    </w:p>
    <w:p w14:paraId="762D2887">
      <w:pPr>
        <w:pStyle w:val="18"/>
        <w:keepNext w:val="0"/>
        <w:keepLines w:val="0"/>
        <w:pageBreakBefore w:val="0"/>
        <w:widowControl w:val="0"/>
        <w:kinsoku/>
        <w:wordWrap/>
        <w:overflowPunct/>
        <w:topLinePunct w:val="0"/>
        <w:autoSpaceDE/>
        <w:autoSpaceDN/>
        <w:bidi w:val="0"/>
        <w:adjustRightInd/>
        <w:snapToGrid w:val="0"/>
        <w:spacing w:after="0" w:line="44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val="en-US" w:eastAsia="zh-CN"/>
        </w:rPr>
        <w:t>项目全部完工并经业主（或第三方）竣工验收合格审计后一次性付清全部合同款。合同款凭发票、合同、验收单由采购单位结算。</w:t>
      </w:r>
    </w:p>
    <w:p w14:paraId="2323E54C">
      <w:pPr>
        <w:pStyle w:val="18"/>
        <w:keepNext w:val="0"/>
        <w:keepLines w:val="0"/>
        <w:pageBreakBefore w:val="0"/>
        <w:widowControl w:val="0"/>
        <w:kinsoku/>
        <w:wordWrap/>
        <w:overflowPunct/>
        <w:topLinePunct w:val="0"/>
        <w:autoSpaceDE/>
        <w:autoSpaceDN/>
        <w:bidi w:val="0"/>
        <w:adjustRightInd/>
        <w:snapToGrid w:val="0"/>
        <w:spacing w:after="0" w:line="440" w:lineRule="exact"/>
        <w:ind w:left="0" w:leftChars="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3.2.</w:t>
      </w:r>
      <w:r>
        <w:rPr>
          <w:rFonts w:hint="eastAsia" w:ascii="宋体" w:hAnsi="宋体" w:eastAsia="宋体" w:cs="宋体"/>
          <w:color w:val="auto"/>
          <w:kern w:val="2"/>
          <w:sz w:val="24"/>
          <w:szCs w:val="24"/>
          <w:highlight w:val="none"/>
          <w:lang w:val="zh-CN" w:eastAsia="zh-CN" w:bidi="ar-SA"/>
        </w:rPr>
        <w:t>当采购数量与实际供货</w:t>
      </w:r>
      <w:r>
        <w:rPr>
          <w:rFonts w:hint="eastAsia" w:ascii="宋体" w:hAnsi="宋体" w:eastAsia="宋体" w:cs="宋体"/>
          <w:color w:val="auto"/>
          <w:kern w:val="2"/>
          <w:sz w:val="24"/>
          <w:szCs w:val="24"/>
          <w:highlight w:val="none"/>
          <w:lang w:val="en-US" w:eastAsia="zh-CN" w:bidi="ar-SA"/>
        </w:rPr>
        <w:t>数量</w:t>
      </w:r>
      <w:r>
        <w:rPr>
          <w:rFonts w:hint="eastAsia" w:ascii="宋体" w:hAnsi="宋体" w:eastAsia="宋体" w:cs="宋体"/>
          <w:color w:val="auto"/>
          <w:kern w:val="2"/>
          <w:sz w:val="24"/>
          <w:szCs w:val="24"/>
          <w:highlight w:val="none"/>
          <w:lang w:val="zh-CN" w:eastAsia="zh-CN" w:bidi="ar-SA"/>
        </w:rPr>
        <w:t>不一致时，</w:t>
      </w:r>
      <w:r>
        <w:rPr>
          <w:rFonts w:hint="eastAsia" w:ascii="宋体" w:hAnsi="宋体" w:eastAsia="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zh-CN" w:eastAsia="zh-CN" w:bidi="ar-SA"/>
        </w:rPr>
        <w:t>应根据实际供货</w:t>
      </w:r>
      <w:r>
        <w:rPr>
          <w:rFonts w:hint="eastAsia" w:ascii="宋体" w:hAnsi="宋体" w:eastAsia="宋体" w:cs="宋体"/>
          <w:color w:val="auto"/>
          <w:kern w:val="2"/>
          <w:sz w:val="24"/>
          <w:szCs w:val="24"/>
          <w:highlight w:val="none"/>
          <w:lang w:val="en-US" w:eastAsia="zh-CN" w:bidi="ar-SA"/>
        </w:rPr>
        <w:t>数量结算</w:t>
      </w:r>
      <w:r>
        <w:rPr>
          <w:rFonts w:hint="eastAsia" w:ascii="宋体" w:hAnsi="宋体" w:eastAsia="宋体" w:cs="宋体"/>
          <w:color w:val="auto"/>
          <w:kern w:val="2"/>
          <w:sz w:val="24"/>
          <w:szCs w:val="24"/>
          <w:highlight w:val="none"/>
          <w:lang w:val="zh-CN" w:eastAsia="zh-CN" w:bidi="ar-SA"/>
        </w:rPr>
        <w:t>，合同的最终结算金额按实际供货</w:t>
      </w:r>
      <w:r>
        <w:rPr>
          <w:rFonts w:hint="eastAsia" w:ascii="宋体" w:hAnsi="宋体" w:eastAsia="宋体" w:cs="宋体"/>
          <w:color w:val="auto"/>
          <w:kern w:val="2"/>
          <w:sz w:val="24"/>
          <w:szCs w:val="24"/>
          <w:highlight w:val="none"/>
          <w:lang w:val="en-US" w:eastAsia="zh-CN" w:bidi="ar-SA"/>
        </w:rPr>
        <w:t>数量</w:t>
      </w:r>
      <w:r>
        <w:rPr>
          <w:rFonts w:hint="eastAsia" w:ascii="宋体" w:hAnsi="宋体" w:eastAsia="宋体" w:cs="宋体"/>
          <w:color w:val="auto"/>
          <w:kern w:val="2"/>
          <w:sz w:val="24"/>
          <w:szCs w:val="24"/>
          <w:highlight w:val="none"/>
          <w:lang w:val="zh-CN" w:eastAsia="zh-CN" w:bidi="ar-SA"/>
        </w:rPr>
        <w:t>乘以成交单价进行计算；并签订补充合同；补充合同的采购金额不得超过原采购金额的10%。</w:t>
      </w:r>
    </w:p>
    <w:p w14:paraId="5DEC1D74">
      <w:pPr>
        <w:pStyle w:val="149"/>
        <w:keepNext w:val="0"/>
        <w:keepLines w:val="0"/>
        <w:pageBreakBefore w:val="0"/>
        <w:kinsoku/>
        <w:wordWrap/>
        <w:overflowPunct/>
        <w:topLinePunct w:val="0"/>
        <w:autoSpaceDE/>
        <w:autoSpaceDN/>
        <w:bidi w:val="0"/>
        <w:adjustRightInd/>
        <w:spacing w:afterLines="0" w:line="440" w:lineRule="exact"/>
        <w:ind w:left="0" w:leftChars="0"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4、质</w:t>
      </w:r>
      <w:r>
        <w:rPr>
          <w:rFonts w:hint="eastAsia" w:ascii="宋体" w:hAnsi="宋体" w:eastAsia="宋体" w:cs="宋体"/>
          <w:color w:val="auto"/>
          <w:sz w:val="24"/>
          <w:szCs w:val="24"/>
          <w:highlight w:val="none"/>
          <w:u w:val="none"/>
          <w:lang w:val="en-US" w:eastAsia="zh-CN"/>
        </w:rPr>
        <w:t>量要求：</w:t>
      </w:r>
      <w:r>
        <w:rPr>
          <w:rFonts w:hint="eastAsia" w:ascii="宋体" w:hAnsi="宋体" w:eastAsia="宋体" w:cs="宋体"/>
          <w:color w:val="auto"/>
          <w:sz w:val="24"/>
          <w:szCs w:val="24"/>
          <w:highlight w:val="none"/>
          <w:u w:val="none"/>
        </w:rPr>
        <w:t>必须</w:t>
      </w:r>
      <w:r>
        <w:rPr>
          <w:rFonts w:hint="eastAsia" w:ascii="宋体" w:hAnsi="宋体" w:cs="宋体"/>
          <w:color w:val="auto"/>
          <w:sz w:val="24"/>
          <w:szCs w:val="24"/>
          <w:highlight w:val="none"/>
          <w:u w:val="none"/>
          <w:lang w:val="en-US" w:eastAsia="zh-CN"/>
        </w:rPr>
        <w:t>是</w:t>
      </w:r>
      <w:r>
        <w:rPr>
          <w:rFonts w:hint="eastAsia" w:ascii="宋体" w:hAnsi="宋体" w:eastAsia="宋体" w:cs="宋体"/>
          <w:color w:val="auto"/>
          <w:sz w:val="24"/>
          <w:szCs w:val="24"/>
          <w:highlight w:val="none"/>
          <w:u w:val="none"/>
        </w:rPr>
        <w:t>符合</w:t>
      </w:r>
      <w:r>
        <w:rPr>
          <w:rFonts w:hint="eastAsia" w:ascii="宋体" w:hAnsi="宋体" w:eastAsia="宋体" w:cs="宋体"/>
          <w:b w:val="0"/>
          <w:w w:val="100"/>
          <w:sz w:val="24"/>
          <w:szCs w:val="24"/>
          <w:lang w:val="en-US" w:eastAsia="zh-CN"/>
        </w:rPr>
        <w:t>采购文件上的技术规格要求和国家有关质量标准</w:t>
      </w:r>
      <w:r>
        <w:rPr>
          <w:rFonts w:hint="eastAsia" w:ascii="宋体" w:hAnsi="宋体" w:eastAsia="宋体" w:cs="宋体"/>
          <w:color w:val="auto"/>
          <w:sz w:val="24"/>
          <w:szCs w:val="24"/>
          <w:highlight w:val="none"/>
          <w:u w:val="none"/>
        </w:rPr>
        <w:t>的全新的原厂原包装合格产品。</w:t>
      </w:r>
    </w:p>
    <w:p w14:paraId="5FD3119C">
      <w:pPr>
        <w:pStyle w:val="149"/>
        <w:keepNext w:val="0"/>
        <w:keepLines w:val="0"/>
        <w:pageBreakBefore w:val="0"/>
        <w:numPr>
          <w:ilvl w:val="0"/>
          <w:numId w:val="0"/>
        </w:numPr>
        <w:kinsoku/>
        <w:wordWrap/>
        <w:overflowPunct/>
        <w:topLinePunct w:val="0"/>
        <w:autoSpaceDE/>
        <w:autoSpaceDN/>
        <w:bidi w:val="0"/>
        <w:adjustRightInd/>
        <w:spacing w:afterLines="0" w:line="440" w:lineRule="exact"/>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施工安全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zh-CN" w:eastAsia="zh-CN" w:bidi="ar-SA"/>
        </w:rPr>
        <w:t>须对工作人员的安全文明施工负责，必须按项目需求及国家有关规范标准进行施工，确保施工现场的安全生产和文明施工。</w:t>
      </w:r>
    </w:p>
    <w:p w14:paraId="5F729477">
      <w:pPr>
        <w:pStyle w:val="149"/>
        <w:keepNext w:val="0"/>
        <w:keepLines w:val="0"/>
        <w:pageBreakBefore w:val="0"/>
        <w:numPr>
          <w:ilvl w:val="0"/>
          <w:numId w:val="0"/>
        </w:numPr>
        <w:kinsoku/>
        <w:wordWrap/>
        <w:overflowPunct/>
        <w:topLinePunct w:val="0"/>
        <w:autoSpaceDE/>
        <w:autoSpaceDN/>
        <w:bidi w:val="0"/>
        <w:adjustRightInd/>
        <w:spacing w:afterLines="0" w:line="440" w:lineRule="exact"/>
        <w:ind w:firstLine="480" w:firstLineChars="200"/>
        <w:textAlignment w:val="auto"/>
        <w:rPr>
          <w:rFonts w:hint="eastAsia" w:ascii="宋体" w:hAnsi="宋体" w:eastAsia="宋体" w:cs="Times New Roman"/>
          <w:color w:val="auto"/>
          <w:kern w:val="2"/>
          <w:sz w:val="24"/>
          <w:szCs w:val="24"/>
          <w:highlight w:val="none"/>
          <w:lang w:val="zh-CN" w:eastAsia="zh-CN" w:bidi="ar-SA"/>
        </w:rPr>
      </w:pPr>
      <w:r>
        <w:rPr>
          <w:rFonts w:hint="eastAsia" w:ascii="宋体" w:hAnsi="宋体" w:cs="宋体"/>
          <w:b w:val="0"/>
          <w:bCs/>
          <w:color w:val="auto"/>
          <w:sz w:val="24"/>
          <w:szCs w:val="24"/>
          <w:highlight w:val="none"/>
          <w:lang w:val="en-US" w:eastAsia="zh-CN"/>
        </w:rPr>
        <w:t>6、</w:t>
      </w:r>
      <w:r>
        <w:rPr>
          <w:rFonts w:hint="eastAsia" w:ascii="宋体" w:hAnsi="宋体" w:eastAsia="宋体" w:cs="Times New Roman"/>
          <w:color w:val="auto"/>
          <w:kern w:val="2"/>
          <w:sz w:val="24"/>
          <w:szCs w:val="24"/>
          <w:highlight w:val="none"/>
          <w:lang w:val="en-US" w:eastAsia="zh-CN" w:bidi="ar-SA"/>
        </w:rPr>
        <w:t>投标人</w:t>
      </w:r>
      <w:r>
        <w:rPr>
          <w:rFonts w:hint="eastAsia" w:ascii="宋体" w:hAnsi="宋体" w:eastAsia="宋体" w:cs="Times New Roman"/>
          <w:color w:val="auto"/>
          <w:kern w:val="2"/>
          <w:sz w:val="24"/>
          <w:szCs w:val="24"/>
          <w:highlight w:val="none"/>
          <w:lang w:val="zh-CN" w:eastAsia="zh-CN" w:bidi="ar-SA"/>
        </w:rPr>
        <w:t>应对派遣该项目实施人员购买养老保险、医疗保险、意外伤害保险等。</w:t>
      </w:r>
      <w:r>
        <w:rPr>
          <w:rFonts w:hint="eastAsia" w:ascii="宋体" w:hAnsi="宋体" w:eastAsia="宋体" w:cs="Times New Roman"/>
          <w:color w:val="auto"/>
          <w:kern w:val="2"/>
          <w:sz w:val="24"/>
          <w:szCs w:val="24"/>
          <w:highlight w:val="none"/>
          <w:lang w:val="en-US" w:eastAsia="zh-CN" w:bidi="ar-SA"/>
        </w:rPr>
        <w:t>投标人</w:t>
      </w:r>
      <w:r>
        <w:rPr>
          <w:rFonts w:hint="eastAsia" w:ascii="宋体" w:hAnsi="宋体" w:eastAsia="宋体" w:cs="Times New Roman"/>
          <w:color w:val="auto"/>
          <w:kern w:val="2"/>
          <w:sz w:val="24"/>
          <w:szCs w:val="24"/>
          <w:highlight w:val="none"/>
          <w:lang w:val="zh-CN" w:eastAsia="zh-CN" w:bidi="ar-SA"/>
        </w:rPr>
        <w:t>在该项目实施过程中所发生的事故伤害、人员伤亡或导致采购人、第三人受损等情形的，由</w:t>
      </w:r>
      <w:r>
        <w:rPr>
          <w:rFonts w:hint="eastAsia" w:ascii="宋体" w:hAnsi="宋体" w:eastAsia="宋体" w:cs="Times New Roman"/>
          <w:color w:val="auto"/>
          <w:kern w:val="2"/>
          <w:sz w:val="24"/>
          <w:szCs w:val="24"/>
          <w:highlight w:val="none"/>
          <w:lang w:val="en-US" w:eastAsia="zh-CN" w:bidi="ar-SA"/>
        </w:rPr>
        <w:t>投标人</w:t>
      </w:r>
      <w:r>
        <w:rPr>
          <w:rFonts w:hint="eastAsia" w:ascii="宋体" w:hAnsi="宋体" w:eastAsia="宋体" w:cs="Times New Roman"/>
          <w:color w:val="auto"/>
          <w:kern w:val="2"/>
          <w:sz w:val="24"/>
          <w:szCs w:val="24"/>
          <w:highlight w:val="none"/>
          <w:lang w:val="zh-CN" w:eastAsia="zh-CN" w:bidi="ar-SA"/>
        </w:rPr>
        <w:t>承担全部责任；如发生债权债务、劳动纠纷、劳动报酬等相关劳动争议的，由</w:t>
      </w:r>
      <w:r>
        <w:rPr>
          <w:rFonts w:hint="eastAsia" w:ascii="宋体" w:hAnsi="宋体" w:eastAsia="宋体" w:cs="Times New Roman"/>
          <w:color w:val="auto"/>
          <w:kern w:val="2"/>
          <w:sz w:val="24"/>
          <w:szCs w:val="24"/>
          <w:highlight w:val="none"/>
          <w:lang w:val="en-US" w:eastAsia="zh-CN" w:bidi="ar-SA"/>
        </w:rPr>
        <w:t>投标人</w:t>
      </w:r>
      <w:r>
        <w:rPr>
          <w:rFonts w:hint="eastAsia" w:ascii="宋体" w:hAnsi="宋体" w:eastAsia="宋体" w:cs="Times New Roman"/>
          <w:color w:val="auto"/>
          <w:kern w:val="2"/>
          <w:sz w:val="24"/>
          <w:szCs w:val="24"/>
          <w:highlight w:val="none"/>
          <w:lang w:val="zh-CN" w:eastAsia="zh-CN" w:bidi="ar-SA"/>
        </w:rPr>
        <w:t>负责处置并承担全部责任，与采购人无关。</w:t>
      </w:r>
    </w:p>
    <w:p w14:paraId="62D38FF5">
      <w:pPr>
        <w:pStyle w:val="149"/>
        <w:keepNext w:val="0"/>
        <w:keepLines w:val="0"/>
        <w:pageBreakBefore w:val="0"/>
        <w:numPr>
          <w:ilvl w:val="0"/>
          <w:numId w:val="0"/>
        </w:numPr>
        <w:kinsoku/>
        <w:wordWrap/>
        <w:overflowPunct/>
        <w:topLinePunct w:val="0"/>
        <w:autoSpaceDE/>
        <w:autoSpaceDN/>
        <w:bidi w:val="0"/>
        <w:adjustRightInd/>
        <w:spacing w:afterLines="0"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、售后服务</w:t>
      </w:r>
    </w:p>
    <w:p w14:paraId="3F95DCD2">
      <w:pPr>
        <w:pStyle w:val="18"/>
        <w:keepNext w:val="0"/>
        <w:keepLines w:val="0"/>
        <w:pageBreakBefore w:val="0"/>
        <w:widowControl w:val="0"/>
        <w:kinsoku/>
        <w:wordWrap/>
        <w:overflowPunct/>
        <w:topLinePunct w:val="0"/>
        <w:autoSpaceDE/>
        <w:autoSpaceDN/>
        <w:bidi w:val="0"/>
        <w:adjustRightInd/>
        <w:snapToGrid w:val="0"/>
        <w:spacing w:after="0" w:line="44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 质保期：质保期不少于</w:t>
      </w:r>
      <w:r>
        <w:rPr>
          <w:rFonts w:hint="eastAsia" w:ascii="宋体" w:hAnsi="宋体" w:cs="宋体"/>
          <w:color w:val="auto"/>
          <w:sz w:val="24"/>
          <w:szCs w:val="24"/>
          <w:highlight w:val="none"/>
          <w:lang w:val="en-US" w:eastAsia="zh-CN"/>
        </w:rPr>
        <w:t>壹</w:t>
      </w:r>
      <w:r>
        <w:rPr>
          <w:rFonts w:hint="eastAsia" w:ascii="宋体" w:hAnsi="宋体" w:eastAsia="宋体" w:cs="宋体"/>
          <w:color w:val="auto"/>
          <w:sz w:val="24"/>
          <w:szCs w:val="24"/>
          <w:highlight w:val="none"/>
          <w:lang w:val="en-US" w:eastAsia="zh-CN"/>
        </w:rPr>
        <w:t>年（自安装完成并通过验收之日起计）。</w:t>
      </w:r>
    </w:p>
    <w:p w14:paraId="6D1243CA">
      <w:pPr>
        <w:pStyle w:val="18"/>
        <w:keepNext w:val="0"/>
        <w:keepLines w:val="0"/>
        <w:pageBreakBefore w:val="0"/>
        <w:widowControl w:val="0"/>
        <w:kinsoku/>
        <w:wordWrap/>
        <w:overflowPunct/>
        <w:topLinePunct w:val="0"/>
        <w:autoSpaceDE/>
        <w:autoSpaceDN/>
        <w:bidi w:val="0"/>
        <w:adjustRightInd/>
        <w:snapToGrid w:val="0"/>
        <w:spacing w:after="0" w:line="440" w:lineRule="exact"/>
        <w:ind w:left="0" w:leftChars="0" w:firstLine="720" w:firstLineChars="3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7.2</w:t>
      </w:r>
      <w:r>
        <w:rPr>
          <w:rFonts w:hint="eastAsia" w:ascii="宋体" w:hAnsi="宋体" w:eastAsia="宋体" w:cs="宋体"/>
          <w:color w:val="auto"/>
          <w:sz w:val="24"/>
          <w:szCs w:val="24"/>
          <w:highlight w:val="none"/>
          <w:lang w:val="en-US" w:eastAsia="zh-CN"/>
        </w:rPr>
        <w:t>质保期内</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因</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lang w:val="en-US" w:eastAsia="zh-CN"/>
        </w:rPr>
        <w:t>本身缺陷造成各种故障应由</w:t>
      </w:r>
      <w:r>
        <w:rPr>
          <w:rFonts w:hint="eastAsia" w:ascii="宋体" w:hAnsi="宋体" w:eastAsia="宋体" w:cs="宋体"/>
          <w:color w:val="auto"/>
          <w:kern w:val="2"/>
          <w:sz w:val="24"/>
          <w:szCs w:val="24"/>
          <w:highlight w:val="none"/>
          <w:lang w:val="en-US" w:eastAsia="zh-CN" w:bidi="ar-SA"/>
        </w:rPr>
        <w:t>成交供应商</w:t>
      </w:r>
      <w:r>
        <w:rPr>
          <w:rFonts w:hint="eastAsia" w:ascii="宋体" w:hAnsi="宋体" w:eastAsia="宋体" w:cs="宋体"/>
          <w:color w:val="auto"/>
          <w:sz w:val="24"/>
          <w:szCs w:val="24"/>
          <w:highlight w:val="none"/>
          <w:lang w:val="en-US" w:eastAsia="zh-CN"/>
        </w:rPr>
        <w:t>免费技术服务和维修。</w:t>
      </w:r>
    </w:p>
    <w:p w14:paraId="414A0FB3">
      <w:pPr>
        <w:pStyle w:val="18"/>
        <w:keepNext w:val="0"/>
        <w:keepLines w:val="0"/>
        <w:pageBreakBefore w:val="0"/>
        <w:widowControl w:val="0"/>
        <w:kinsoku/>
        <w:wordWrap/>
        <w:overflowPunct/>
        <w:topLinePunct w:val="0"/>
        <w:autoSpaceDE/>
        <w:autoSpaceDN/>
        <w:bidi w:val="0"/>
        <w:adjustRightInd/>
        <w:snapToGrid w:val="0"/>
        <w:spacing w:after="0" w:line="440" w:lineRule="exact"/>
        <w:ind w:left="0" w:leftChars="0" w:firstLine="720" w:firstLineChars="3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在质保期内，</w:t>
      </w:r>
      <w:r>
        <w:rPr>
          <w:rFonts w:hint="eastAsia" w:ascii="宋体" w:hAnsi="宋体" w:eastAsia="宋体" w:cs="宋体"/>
          <w:color w:val="auto"/>
          <w:kern w:val="2"/>
          <w:sz w:val="24"/>
          <w:szCs w:val="24"/>
          <w:highlight w:val="none"/>
          <w:lang w:val="en-US" w:eastAsia="zh-CN" w:bidi="ar-SA"/>
        </w:rPr>
        <w:t>成交供应商</w:t>
      </w:r>
      <w:r>
        <w:rPr>
          <w:rFonts w:hint="eastAsia" w:ascii="宋体" w:hAnsi="宋体" w:eastAsia="宋体" w:cs="宋体"/>
          <w:color w:val="auto"/>
          <w:sz w:val="24"/>
          <w:szCs w:val="24"/>
          <w:highlight w:val="none"/>
          <w:lang w:val="en-US" w:eastAsia="zh-CN"/>
        </w:rPr>
        <w:t>应确保正常使用，如在使用过程中发生质量问题，出现故障后2小时内服务响应、12小时内现场服务到位、48小时内解决问题。若无法按规定及时修复的须根据使用单位要求提供备用设备。</w:t>
      </w:r>
    </w:p>
    <w:p w14:paraId="0D91F34E">
      <w:pPr>
        <w:pStyle w:val="18"/>
        <w:keepNext w:val="0"/>
        <w:keepLines w:val="0"/>
        <w:pageBreakBefore w:val="0"/>
        <w:widowControl w:val="0"/>
        <w:kinsoku/>
        <w:wordWrap/>
        <w:overflowPunct/>
        <w:topLinePunct w:val="0"/>
        <w:autoSpaceDE/>
        <w:autoSpaceDN/>
        <w:bidi w:val="0"/>
        <w:adjustRightInd/>
        <w:snapToGrid w:val="0"/>
        <w:spacing w:after="0" w:line="440" w:lineRule="exact"/>
        <w:ind w:left="0" w:leftChars="0" w:firstLine="720" w:firstLineChars="3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在质保期内，</w:t>
      </w:r>
      <w:r>
        <w:rPr>
          <w:rFonts w:hint="eastAsia" w:ascii="宋体" w:hAnsi="宋体" w:eastAsia="宋体" w:cs="宋体"/>
          <w:color w:val="auto"/>
          <w:kern w:val="2"/>
          <w:sz w:val="24"/>
          <w:szCs w:val="24"/>
          <w:highlight w:val="none"/>
          <w:lang w:val="en-US" w:eastAsia="zh-CN" w:bidi="ar-SA"/>
        </w:rPr>
        <w:t>成交供应商</w:t>
      </w:r>
      <w:r>
        <w:rPr>
          <w:rFonts w:hint="eastAsia" w:ascii="宋体" w:hAnsi="宋体" w:eastAsia="宋体" w:cs="宋体"/>
          <w:color w:val="auto"/>
          <w:sz w:val="24"/>
          <w:szCs w:val="24"/>
          <w:highlight w:val="none"/>
          <w:lang w:val="en-US" w:eastAsia="zh-CN"/>
        </w:rPr>
        <w:t>应对货</w:t>
      </w:r>
      <w:r>
        <w:rPr>
          <w:rFonts w:hint="eastAsia" w:ascii="宋体" w:hAnsi="宋体" w:eastAsia="宋体" w:cs="宋体"/>
          <w:color w:val="auto"/>
          <w:sz w:val="24"/>
          <w:szCs w:val="24"/>
          <w:lang w:val="en-US" w:eastAsia="zh-CN"/>
        </w:rPr>
        <w:t>物出现的质量及安全问题负责处理解决并承担一切费用。</w:t>
      </w:r>
    </w:p>
    <w:p w14:paraId="3EA6CDE6">
      <w:pPr>
        <w:pStyle w:val="18"/>
        <w:keepNext w:val="0"/>
        <w:keepLines w:val="0"/>
        <w:pageBreakBefore w:val="0"/>
        <w:widowControl w:val="0"/>
        <w:kinsoku/>
        <w:wordWrap/>
        <w:overflowPunct/>
        <w:topLinePunct w:val="0"/>
        <w:autoSpaceDE/>
        <w:autoSpaceDN/>
        <w:bidi w:val="0"/>
        <w:adjustRightInd/>
        <w:snapToGrid w:val="0"/>
        <w:spacing w:after="0" w:line="440" w:lineRule="exact"/>
        <w:ind w:left="0" w:leftChars="0" w:firstLine="720" w:firstLineChars="300"/>
        <w:jc w:val="left"/>
        <w:textAlignment w:val="auto"/>
        <w:rPr>
          <w:rFonts w:hint="eastAsia" w:ascii="宋体" w:hAnsi="宋体" w:eastAsia="宋体" w:cs="宋体"/>
          <w:color w:val="auto"/>
          <w:sz w:val="24"/>
          <w:szCs w:val="24"/>
          <w:lang w:val="en-US" w:eastAsia="zh-CN"/>
        </w:rPr>
      </w:pPr>
    </w:p>
    <w:p w14:paraId="2953C80D">
      <w:pPr>
        <w:keepNext w:val="0"/>
        <w:keepLines w:val="0"/>
        <w:pageBreakBefore w:val="0"/>
        <w:widowControl w:val="0"/>
        <w:shd w:val="clear"/>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p>
    <w:p w14:paraId="4034C9F6">
      <w:pPr>
        <w:keepNext w:val="0"/>
        <w:keepLines w:val="0"/>
        <w:pageBreakBefore w:val="0"/>
        <w:widowControl w:val="0"/>
        <w:shd w:val="clear"/>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p>
    <w:p w14:paraId="1912EE41">
      <w:pPr>
        <w:pStyle w:val="3"/>
        <w:numPr>
          <w:ilvl w:val="-1"/>
          <w:numId w:val="0"/>
        </w:numPr>
        <w:shd w:val="clear"/>
        <w:spacing w:before="0" w:beforeLines="0" w:after="0" w:afterLines="0"/>
        <w:ind w:firstLine="0" w:firstLineChars="0"/>
        <w:jc w:val="center"/>
        <w:rPr>
          <w:rFonts w:hint="eastAsia" w:ascii="宋体" w:hAnsi="宋体" w:eastAsia="宋体" w:cs="宋体"/>
          <w:color w:val="auto"/>
          <w:highlight w:val="none"/>
          <w:lang w:val="en-US" w:eastAsia="zh-CN"/>
        </w:rPr>
      </w:pPr>
      <w:bookmarkStart w:id="895" w:name="_Toc11194"/>
    </w:p>
    <w:p w14:paraId="7D7FEF5B">
      <w:pPr>
        <w:pStyle w:val="3"/>
        <w:numPr>
          <w:ilvl w:val="-1"/>
          <w:numId w:val="0"/>
        </w:numPr>
        <w:shd w:val="clear"/>
        <w:spacing w:before="0" w:beforeLines="0" w:after="0" w:afterLines="0"/>
        <w:ind w:firstLine="0" w:firstLineChars="0"/>
        <w:jc w:val="both"/>
        <w:rPr>
          <w:rFonts w:hint="eastAsia" w:ascii="宋体" w:hAnsi="宋体" w:eastAsia="宋体" w:cs="宋体"/>
          <w:color w:val="auto"/>
          <w:highlight w:val="none"/>
          <w:lang w:val="en-US" w:eastAsia="zh-CN"/>
        </w:rPr>
      </w:pPr>
    </w:p>
    <w:p w14:paraId="29668F6D">
      <w:pPr>
        <w:shd w:val="clear"/>
        <w:rPr>
          <w:rFonts w:hint="eastAsia" w:ascii="宋体" w:hAnsi="宋体" w:eastAsia="宋体" w:cs="宋体"/>
          <w:color w:val="auto"/>
          <w:highlight w:val="none"/>
          <w:lang w:val="en-US" w:eastAsia="zh-CN"/>
        </w:rPr>
      </w:pPr>
    </w:p>
    <w:p w14:paraId="28128D72">
      <w:pPr>
        <w:shd w:val="clear"/>
        <w:rPr>
          <w:rFonts w:hint="eastAsia" w:ascii="宋体" w:hAnsi="宋体" w:eastAsia="宋体" w:cs="宋体"/>
          <w:color w:val="auto"/>
          <w:highlight w:val="none"/>
          <w:lang w:val="en-US" w:eastAsia="zh-CN"/>
        </w:rPr>
      </w:pPr>
    </w:p>
    <w:p w14:paraId="13AA754D">
      <w:pPr>
        <w:shd w:val="clear"/>
        <w:rPr>
          <w:rFonts w:hint="eastAsia" w:ascii="宋体" w:hAnsi="宋体" w:eastAsia="宋体" w:cs="宋体"/>
          <w:color w:val="auto"/>
          <w:highlight w:val="none"/>
          <w:lang w:val="en-US" w:eastAsia="zh-CN"/>
        </w:rPr>
      </w:pPr>
    </w:p>
    <w:p w14:paraId="778FC2D4">
      <w:pPr>
        <w:shd w:val="clear"/>
        <w:rPr>
          <w:rFonts w:hint="eastAsia" w:ascii="宋体" w:hAnsi="宋体" w:eastAsia="宋体" w:cs="宋体"/>
          <w:color w:val="auto"/>
          <w:highlight w:val="none"/>
          <w:lang w:val="en-US" w:eastAsia="zh-CN"/>
        </w:rPr>
      </w:pPr>
    </w:p>
    <w:p w14:paraId="691F2E78">
      <w:pPr>
        <w:shd w:val="clear"/>
        <w:rPr>
          <w:rFonts w:hint="eastAsia" w:ascii="宋体" w:hAnsi="宋体" w:eastAsia="宋体" w:cs="宋体"/>
          <w:color w:val="auto"/>
          <w:highlight w:val="none"/>
          <w:lang w:val="en-US" w:eastAsia="zh-CN"/>
        </w:rPr>
      </w:pPr>
    </w:p>
    <w:p w14:paraId="19163A8D">
      <w:pPr>
        <w:pStyle w:val="2"/>
        <w:rPr>
          <w:rFonts w:hint="eastAsia" w:ascii="宋体" w:hAnsi="宋体" w:eastAsia="宋体" w:cs="宋体"/>
          <w:color w:val="auto"/>
          <w:highlight w:val="none"/>
          <w:lang w:val="en-US" w:eastAsia="zh-CN"/>
        </w:rPr>
      </w:pPr>
    </w:p>
    <w:p w14:paraId="6BE382EC">
      <w:pPr>
        <w:pStyle w:val="2"/>
        <w:rPr>
          <w:rFonts w:hint="eastAsia" w:ascii="宋体" w:hAnsi="宋体" w:eastAsia="宋体" w:cs="宋体"/>
          <w:color w:val="auto"/>
          <w:highlight w:val="none"/>
          <w:lang w:val="en-US" w:eastAsia="zh-CN"/>
        </w:rPr>
      </w:pPr>
    </w:p>
    <w:p w14:paraId="5504FD2B">
      <w:pPr>
        <w:pStyle w:val="2"/>
        <w:rPr>
          <w:rFonts w:hint="eastAsia" w:ascii="宋体" w:hAnsi="宋体" w:eastAsia="宋体" w:cs="宋体"/>
          <w:color w:val="auto"/>
          <w:highlight w:val="none"/>
          <w:lang w:val="en-US" w:eastAsia="zh-CN"/>
        </w:rPr>
      </w:pPr>
    </w:p>
    <w:p w14:paraId="4CFB115C">
      <w:pPr>
        <w:pStyle w:val="2"/>
        <w:rPr>
          <w:rFonts w:hint="eastAsia" w:ascii="宋体" w:hAnsi="宋体" w:eastAsia="宋体" w:cs="宋体"/>
          <w:color w:val="auto"/>
          <w:highlight w:val="none"/>
          <w:lang w:val="en-US" w:eastAsia="zh-CN"/>
        </w:rPr>
      </w:pPr>
    </w:p>
    <w:p w14:paraId="69FBD0E6">
      <w:pPr>
        <w:pStyle w:val="2"/>
        <w:rPr>
          <w:rFonts w:hint="eastAsia" w:ascii="宋体" w:hAnsi="宋体" w:eastAsia="宋体" w:cs="宋体"/>
          <w:color w:val="auto"/>
          <w:highlight w:val="none"/>
          <w:lang w:val="en-US" w:eastAsia="zh-CN"/>
        </w:rPr>
      </w:pPr>
    </w:p>
    <w:p w14:paraId="7D2313C5">
      <w:pPr>
        <w:pStyle w:val="2"/>
        <w:rPr>
          <w:rFonts w:hint="eastAsia" w:ascii="宋体" w:hAnsi="宋体" w:eastAsia="宋体" w:cs="宋体"/>
          <w:color w:val="auto"/>
          <w:highlight w:val="none"/>
          <w:lang w:val="en-US" w:eastAsia="zh-CN"/>
        </w:rPr>
      </w:pPr>
    </w:p>
    <w:p w14:paraId="4563F482">
      <w:pPr>
        <w:pStyle w:val="2"/>
        <w:rPr>
          <w:rFonts w:hint="eastAsia" w:ascii="宋体" w:hAnsi="宋体" w:eastAsia="宋体" w:cs="宋体"/>
          <w:color w:val="auto"/>
          <w:highlight w:val="none"/>
          <w:lang w:val="en-US" w:eastAsia="zh-CN"/>
        </w:rPr>
      </w:pPr>
    </w:p>
    <w:p w14:paraId="34A75136">
      <w:pPr>
        <w:pStyle w:val="2"/>
        <w:rPr>
          <w:rFonts w:hint="eastAsia" w:ascii="宋体" w:hAnsi="宋体" w:eastAsia="宋体" w:cs="宋体"/>
          <w:color w:val="auto"/>
          <w:highlight w:val="none"/>
          <w:lang w:val="en-US" w:eastAsia="zh-CN"/>
        </w:rPr>
      </w:pPr>
    </w:p>
    <w:p w14:paraId="79AFCC3F">
      <w:pPr>
        <w:pStyle w:val="2"/>
        <w:ind w:left="0" w:leftChars="0" w:firstLine="0" w:firstLineChars="0"/>
        <w:rPr>
          <w:rFonts w:hint="eastAsia"/>
          <w:lang w:val="en-US" w:eastAsia="zh-CN"/>
        </w:rPr>
      </w:pPr>
    </w:p>
    <w:p w14:paraId="608093E3">
      <w:pPr>
        <w:pStyle w:val="3"/>
        <w:numPr>
          <w:ilvl w:val="-1"/>
          <w:numId w:val="0"/>
        </w:numPr>
        <w:shd w:val="clear"/>
        <w:spacing w:before="0" w:beforeLines="0" w:after="0" w:afterLines="0"/>
        <w:ind w:firstLine="0" w:firstLineChars="0"/>
        <w:jc w:val="center"/>
        <w:rPr>
          <w:rFonts w:hint="eastAsia" w:ascii="宋体" w:hAnsi="宋体" w:cs="宋体"/>
          <w:b/>
          <w:bCs w:val="0"/>
          <w:color w:val="auto"/>
          <w:sz w:val="30"/>
          <w:szCs w:val="30"/>
          <w:highlight w:val="none"/>
          <w:lang w:val="zh-CN"/>
        </w:rPr>
      </w:pPr>
      <w:r>
        <w:rPr>
          <w:rFonts w:hint="eastAsia" w:ascii="宋体" w:hAnsi="宋体" w:eastAsia="宋体" w:cs="宋体"/>
          <w:color w:val="auto"/>
          <w:highlight w:val="none"/>
          <w:lang w:val="en-US" w:eastAsia="zh-CN"/>
        </w:rPr>
        <w:t>第四章 磋商原则和磋商方法</w:t>
      </w:r>
      <w:bookmarkEnd w:id="886"/>
      <w:bookmarkEnd w:id="887"/>
      <w:bookmarkEnd w:id="888"/>
      <w:bookmarkEnd w:id="889"/>
      <w:bookmarkEnd w:id="890"/>
      <w:bookmarkEnd w:id="891"/>
      <w:bookmarkEnd w:id="892"/>
      <w:bookmarkEnd w:id="893"/>
      <w:bookmarkEnd w:id="894"/>
      <w:bookmarkEnd w:id="895"/>
      <w:bookmarkStart w:id="896" w:name="_Toc31868"/>
      <w:bookmarkStart w:id="897" w:name="_Toc9903"/>
      <w:bookmarkStart w:id="898" w:name="_Toc24186"/>
      <w:bookmarkStart w:id="899" w:name="_Toc30244"/>
      <w:bookmarkStart w:id="900" w:name="_Toc30273"/>
      <w:bookmarkStart w:id="901" w:name="_Toc2416"/>
      <w:bookmarkStart w:id="902" w:name="_Toc6635"/>
      <w:bookmarkStart w:id="903" w:name="_Toc17178"/>
      <w:bookmarkStart w:id="904" w:name="_Toc16831"/>
      <w:bookmarkStart w:id="905" w:name="_Toc27148"/>
      <w:bookmarkStart w:id="906" w:name="_Toc8319"/>
      <w:bookmarkStart w:id="907" w:name="_Toc2573"/>
      <w:bookmarkStart w:id="908" w:name="_Toc10817"/>
      <w:bookmarkStart w:id="909" w:name="_Toc31504"/>
    </w:p>
    <w:p w14:paraId="26EE1B1D">
      <w:pPr>
        <w:pageBreakBefore w:val="0"/>
        <w:kinsoku/>
        <w:wordWrap/>
        <w:overflowPunct/>
        <w:topLinePunct w:val="0"/>
        <w:autoSpaceDE/>
        <w:autoSpaceDN/>
        <w:bidi w:val="0"/>
        <w:adjustRightInd w:val="0"/>
        <w:snapToGrid w:val="0"/>
        <w:spacing w:line="300" w:lineRule="auto"/>
        <w:ind w:firstLine="0" w:firstLineChars="0"/>
        <w:jc w:val="center"/>
        <w:textAlignment w:val="auto"/>
        <w:outlineLvl w:val="1"/>
        <w:rPr>
          <w:rFonts w:hint="eastAsia" w:ascii="宋体" w:hAnsi="宋体" w:eastAsia="宋体" w:cs="宋体"/>
          <w:b/>
          <w:bCs w:val="0"/>
          <w:sz w:val="24"/>
          <w:szCs w:val="24"/>
          <w:lang w:val="zh-CN"/>
        </w:rPr>
      </w:pPr>
    </w:p>
    <w:p w14:paraId="57CC1A3C">
      <w:pPr>
        <w:pageBreakBefore w:val="0"/>
        <w:kinsoku/>
        <w:wordWrap/>
        <w:overflowPunct/>
        <w:topLinePunct w:val="0"/>
        <w:autoSpaceDE/>
        <w:autoSpaceDN/>
        <w:bidi w:val="0"/>
        <w:adjustRightInd w:val="0"/>
        <w:snapToGrid w:val="0"/>
        <w:spacing w:line="300" w:lineRule="auto"/>
        <w:ind w:firstLine="0" w:firstLineChars="0"/>
        <w:jc w:val="center"/>
        <w:textAlignment w:val="auto"/>
        <w:outlineLvl w:val="1"/>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一、磋商原则</w:t>
      </w:r>
    </w:p>
    <w:p w14:paraId="6FB7FF1B">
      <w:pPr>
        <w:keepNext/>
        <w:keepLines/>
        <w:pageBreakBefore w:val="0"/>
        <w:kinsoku/>
        <w:wordWrap/>
        <w:overflowPunct/>
        <w:topLinePunct w:val="0"/>
        <w:autoSpaceDE/>
        <w:autoSpaceDN/>
        <w:bidi w:val="0"/>
        <w:spacing w:line="300" w:lineRule="auto"/>
        <w:ind w:firstLine="602"/>
        <w:textAlignment w:val="auto"/>
        <w:rPr>
          <w:rFonts w:ascii="宋体" w:hAnsi="宋体"/>
          <w:sz w:val="24"/>
          <w:szCs w:val="24"/>
        </w:rPr>
      </w:pPr>
      <w:r>
        <w:rPr>
          <w:rFonts w:hint="eastAsia" w:ascii="宋体" w:hAnsi="宋体"/>
          <w:sz w:val="24"/>
          <w:szCs w:val="24"/>
        </w:rPr>
        <w:t>1.本次竞争性磋商本着公平、公正、科学、择优的原则，邀请各报价方参加报价。</w:t>
      </w:r>
    </w:p>
    <w:p w14:paraId="16249CDB">
      <w:pPr>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sz w:val="24"/>
          <w:szCs w:val="24"/>
        </w:rPr>
      </w:pPr>
      <w:r>
        <w:rPr>
          <w:rFonts w:hint="eastAsia" w:ascii="宋体" w:hAnsi="宋体"/>
          <w:sz w:val="24"/>
          <w:szCs w:val="24"/>
        </w:rPr>
        <w:t>2.磋商小组将严格按照竞争性磋商文件的要求，对供应商的响应性文件进行认真评审；磋商小组对响应性文件的评审仅依据响应性文件本身，而不依据响应性文件以外的任何因素。</w:t>
      </w:r>
    </w:p>
    <w:p w14:paraId="6E32D412">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b/>
          <w:sz w:val="24"/>
          <w:szCs w:val="24"/>
        </w:rPr>
      </w:pPr>
      <w:r>
        <w:rPr>
          <w:rFonts w:hint="eastAsia" w:ascii="宋体" w:hAnsi="宋体"/>
          <w:sz w:val="24"/>
          <w:szCs w:val="24"/>
        </w:rPr>
        <w:t>3.磋商小组按照统一的磋商原则和磋商方法，用</w:t>
      </w:r>
      <w:r>
        <w:rPr>
          <w:rFonts w:hint="eastAsia" w:ascii="宋体" w:hAnsi="宋体"/>
          <w:sz w:val="24"/>
          <w:szCs w:val="24"/>
          <w:lang w:eastAsia="zh-CN"/>
        </w:rPr>
        <w:t>统一标准</w:t>
      </w:r>
      <w:r>
        <w:rPr>
          <w:rFonts w:hint="eastAsia" w:ascii="宋体" w:hAnsi="宋体"/>
          <w:sz w:val="24"/>
          <w:szCs w:val="24"/>
        </w:rPr>
        <w:t>对所有响应性文件进行评审。</w:t>
      </w:r>
    </w:p>
    <w:p w14:paraId="4E68B58F">
      <w:pPr>
        <w:pageBreakBefore w:val="0"/>
        <w:kinsoku/>
        <w:wordWrap/>
        <w:overflowPunct/>
        <w:topLinePunct w:val="0"/>
        <w:autoSpaceDE/>
        <w:autoSpaceDN/>
        <w:bidi w:val="0"/>
        <w:adjustRightInd w:val="0"/>
        <w:snapToGrid w:val="0"/>
        <w:spacing w:line="300" w:lineRule="auto"/>
        <w:ind w:firstLine="0" w:firstLineChars="0"/>
        <w:jc w:val="center"/>
        <w:textAlignment w:val="auto"/>
        <w:outlineLvl w:val="1"/>
        <w:rPr>
          <w:rFonts w:hint="eastAsia" w:ascii="宋体" w:hAnsi="宋体" w:cs="宋体"/>
          <w:b/>
          <w:bCs w:val="0"/>
          <w:sz w:val="24"/>
          <w:szCs w:val="24"/>
          <w:lang w:val="zh-CN"/>
        </w:rPr>
      </w:pPr>
      <w:bookmarkStart w:id="910" w:name="_Toc14220"/>
      <w:bookmarkStart w:id="911" w:name="_Toc27272"/>
      <w:bookmarkStart w:id="912" w:name="_Toc31198"/>
      <w:bookmarkStart w:id="913" w:name="_Toc2049"/>
      <w:bookmarkStart w:id="914" w:name="_Toc14055"/>
      <w:bookmarkStart w:id="915" w:name="_Toc18233"/>
      <w:bookmarkStart w:id="916" w:name="_Toc5226"/>
      <w:bookmarkStart w:id="917" w:name="_Toc27664"/>
      <w:bookmarkStart w:id="918" w:name="_Toc13116"/>
      <w:bookmarkStart w:id="919" w:name="_Toc31918"/>
      <w:bookmarkStart w:id="920" w:name="_Toc5379"/>
      <w:bookmarkStart w:id="921" w:name="_Toc3665"/>
      <w:bookmarkStart w:id="922" w:name="_Toc13360"/>
      <w:bookmarkStart w:id="923" w:name="_Toc3697"/>
      <w:bookmarkStart w:id="924" w:name="_Toc3832"/>
      <w:r>
        <w:rPr>
          <w:rFonts w:hint="eastAsia" w:ascii="宋体" w:hAnsi="宋体" w:cs="宋体"/>
          <w:b/>
          <w:bCs w:val="0"/>
          <w:sz w:val="24"/>
          <w:szCs w:val="24"/>
          <w:lang w:val="zh-CN"/>
        </w:rPr>
        <w:t>二、磋商程序</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164E9648">
      <w:pPr>
        <w:pageBreakBefore w:val="0"/>
        <w:tabs>
          <w:tab w:val="left" w:pos="-1080"/>
          <w:tab w:val="left" w:pos="180"/>
          <w:tab w:val="left" w:pos="1080"/>
          <w:tab w:val="left" w:pos="2379"/>
        </w:tabs>
        <w:kinsoku/>
        <w:wordWrap/>
        <w:overflowPunct/>
        <w:topLinePunct w:val="0"/>
        <w:autoSpaceDE/>
        <w:autoSpaceDN/>
        <w:bidi w:val="0"/>
        <w:snapToGrid w:val="0"/>
        <w:spacing w:line="300" w:lineRule="auto"/>
        <w:ind w:firstLine="602"/>
        <w:textAlignment w:val="auto"/>
        <w:rPr>
          <w:rFonts w:ascii="宋体" w:hAnsi="宋体"/>
          <w:sz w:val="24"/>
          <w:szCs w:val="24"/>
        </w:rPr>
      </w:pPr>
      <w:r>
        <w:rPr>
          <w:rFonts w:hint="eastAsia" w:ascii="宋体" w:hAnsi="宋体"/>
          <w:sz w:val="24"/>
          <w:szCs w:val="24"/>
        </w:rPr>
        <w:t>1.初步评审</w:t>
      </w:r>
      <w:r>
        <w:rPr>
          <w:rFonts w:hint="eastAsia" w:ascii="宋体" w:hAnsi="宋体"/>
          <w:sz w:val="24"/>
          <w:szCs w:val="24"/>
        </w:rPr>
        <w:tab/>
      </w:r>
    </w:p>
    <w:p w14:paraId="576FF2EA">
      <w:pPr>
        <w:pStyle w:val="69"/>
        <w:pageBreakBefore w:val="0"/>
        <w:tabs>
          <w:tab w:val="left" w:pos="-1080"/>
          <w:tab w:val="left" w:pos="180"/>
          <w:tab w:val="left" w:pos="1080"/>
          <w:tab w:val="left" w:pos="1418"/>
        </w:tabs>
        <w:kinsoku/>
        <w:wordWrap/>
        <w:overflowPunct/>
        <w:topLinePunct w:val="0"/>
        <w:autoSpaceDE/>
        <w:autoSpaceDN/>
        <w:bidi w:val="0"/>
        <w:snapToGrid w:val="0"/>
        <w:spacing w:line="300" w:lineRule="auto"/>
        <w:ind w:firstLine="602"/>
        <w:textAlignment w:val="auto"/>
        <w:rPr>
          <w:rFonts w:ascii="宋体" w:hAnsi="宋体"/>
          <w:sz w:val="24"/>
          <w:szCs w:val="24"/>
        </w:rPr>
      </w:pPr>
      <w:r>
        <w:rPr>
          <w:rFonts w:hint="eastAsia" w:ascii="宋体" w:hAnsi="宋体"/>
          <w:sz w:val="24"/>
          <w:szCs w:val="24"/>
        </w:rPr>
        <w:t>（1）磋商小组对各响应性文件进行资格性和符合性检查</w:t>
      </w:r>
    </w:p>
    <w:p w14:paraId="6FD96F7C">
      <w:pPr>
        <w:pageBreakBefore w:val="0"/>
        <w:kinsoku/>
        <w:wordWrap/>
        <w:overflowPunct/>
        <w:topLinePunct w:val="0"/>
        <w:autoSpaceDE/>
        <w:autoSpaceDN/>
        <w:bidi w:val="0"/>
        <w:adjustRightInd w:val="0"/>
        <w:snapToGrid w:val="0"/>
        <w:spacing w:line="300" w:lineRule="auto"/>
        <w:ind w:firstLine="602"/>
        <w:textAlignment w:val="auto"/>
        <w:rPr>
          <w:rFonts w:ascii="宋体" w:hAnsi="宋体"/>
          <w:sz w:val="24"/>
          <w:szCs w:val="24"/>
        </w:rPr>
      </w:pPr>
      <w:r>
        <w:rPr>
          <w:rFonts w:hint="eastAsia" w:ascii="宋体" w:hAnsi="宋体"/>
          <w:sz w:val="24"/>
          <w:szCs w:val="24"/>
        </w:rPr>
        <w:t xml:space="preserve"> 磋商小组将依据法律法规和竞争性磋商文件的规定，对磋商响应性文件中的资格证明、同类项目的业绩等方面进行资格性审查；符合性评审即文件应实质上响应竞争性磋商文件的要求，与竞争性磋商文件的所有条款、条件和规定相符，无显著差异或保留；</w:t>
      </w:r>
      <w:r>
        <w:rPr>
          <w:rFonts w:hint="eastAsia" w:ascii="宋体" w:hAnsi="宋体"/>
          <w:sz w:val="24"/>
          <w:szCs w:val="24"/>
          <w:lang w:eastAsia="zh-CN"/>
        </w:rPr>
        <w:t>磋商响应文件</w:t>
      </w:r>
      <w:r>
        <w:rPr>
          <w:rFonts w:hint="eastAsia" w:ascii="宋体" w:hAnsi="宋体"/>
          <w:sz w:val="24"/>
          <w:szCs w:val="24"/>
        </w:rPr>
        <w:t>是否有大的缺项、漏项。如果供应商对竞争性磋商文件中的主要条款做出变更，应在磋商文件中有文字说明其原因和理由。</w:t>
      </w:r>
    </w:p>
    <w:p w14:paraId="70FDD66F">
      <w:pPr>
        <w:pageBreakBefore w:val="0"/>
        <w:kinsoku/>
        <w:wordWrap/>
        <w:overflowPunct/>
        <w:topLinePunct w:val="0"/>
        <w:autoSpaceDE/>
        <w:autoSpaceDN/>
        <w:bidi w:val="0"/>
        <w:adjustRightInd w:val="0"/>
        <w:snapToGrid w:val="0"/>
        <w:spacing w:line="300" w:lineRule="auto"/>
        <w:ind w:firstLine="602"/>
        <w:textAlignment w:val="auto"/>
        <w:rPr>
          <w:rFonts w:ascii="宋体" w:hAnsi="宋体"/>
          <w:sz w:val="24"/>
          <w:szCs w:val="24"/>
        </w:rPr>
      </w:pPr>
      <w:r>
        <w:rPr>
          <w:rFonts w:hint="eastAsia" w:ascii="宋体" w:hAnsi="宋体"/>
          <w:sz w:val="24"/>
          <w:szCs w:val="24"/>
        </w:rPr>
        <w:t>报价有算术错误的，竞争性磋商小组按以下原则对报价进行修正，修正的价格经供应商书面确认后具有约束力。供应商不接受修正价格的，其响应文件被否决。</w:t>
      </w:r>
    </w:p>
    <w:p w14:paraId="214A7F00">
      <w:pPr>
        <w:pageBreakBefore w:val="0"/>
        <w:kinsoku/>
        <w:wordWrap/>
        <w:overflowPunct/>
        <w:topLinePunct w:val="0"/>
        <w:autoSpaceDE/>
        <w:autoSpaceDN/>
        <w:bidi w:val="0"/>
        <w:adjustRightInd w:val="0"/>
        <w:snapToGrid w:val="0"/>
        <w:spacing w:line="300" w:lineRule="auto"/>
        <w:ind w:firstLine="602"/>
        <w:textAlignment w:val="auto"/>
        <w:rPr>
          <w:rFonts w:ascii="宋体" w:hAnsi="宋体"/>
          <w:sz w:val="24"/>
          <w:szCs w:val="24"/>
        </w:rPr>
      </w:pPr>
      <w:r>
        <w:rPr>
          <w:rFonts w:hint="eastAsia" w:ascii="宋体" w:hAnsi="宋体"/>
          <w:sz w:val="24"/>
          <w:szCs w:val="24"/>
        </w:rPr>
        <w:t>A.磋商文件中的大写金额与小写金额不一致的，以大写金额为准；</w:t>
      </w:r>
    </w:p>
    <w:p w14:paraId="3F1E6134">
      <w:pPr>
        <w:pageBreakBefore w:val="0"/>
        <w:kinsoku/>
        <w:wordWrap/>
        <w:overflowPunct/>
        <w:topLinePunct w:val="0"/>
        <w:autoSpaceDE/>
        <w:autoSpaceDN/>
        <w:bidi w:val="0"/>
        <w:adjustRightInd w:val="0"/>
        <w:snapToGrid w:val="0"/>
        <w:spacing w:line="300" w:lineRule="auto"/>
        <w:ind w:firstLine="602"/>
        <w:textAlignment w:val="auto"/>
        <w:rPr>
          <w:rFonts w:ascii="宋体" w:hAnsi="宋体"/>
          <w:color w:val="000000"/>
          <w:sz w:val="24"/>
          <w:szCs w:val="24"/>
        </w:rPr>
      </w:pPr>
      <w:r>
        <w:rPr>
          <w:rFonts w:hint="eastAsia" w:ascii="宋体" w:hAnsi="宋体"/>
          <w:color w:val="000000"/>
          <w:sz w:val="24"/>
          <w:szCs w:val="24"/>
        </w:rPr>
        <w:t>B.总价金额与依据单价计算出的结果不一致的，以单价金额为准修正总价，但单价金额小数点有明显错误的除外；</w:t>
      </w:r>
    </w:p>
    <w:p w14:paraId="7945B63B">
      <w:pPr>
        <w:pStyle w:val="69"/>
        <w:pageBreakBefore w:val="0"/>
        <w:tabs>
          <w:tab w:val="left" w:pos="-1080"/>
          <w:tab w:val="left" w:pos="142"/>
          <w:tab w:val="left" w:pos="1080"/>
          <w:tab w:val="left" w:pos="1418"/>
        </w:tabs>
        <w:kinsoku/>
        <w:wordWrap/>
        <w:overflowPunct/>
        <w:topLinePunct w:val="0"/>
        <w:autoSpaceDE/>
        <w:autoSpaceDN/>
        <w:bidi w:val="0"/>
        <w:snapToGrid w:val="0"/>
        <w:spacing w:line="300" w:lineRule="auto"/>
        <w:ind w:firstLine="602"/>
        <w:textAlignment w:val="auto"/>
        <w:rPr>
          <w:rFonts w:ascii="宋体" w:hAnsi="宋体"/>
          <w:sz w:val="24"/>
          <w:szCs w:val="24"/>
        </w:rPr>
      </w:pPr>
      <w:r>
        <w:rPr>
          <w:rFonts w:hint="eastAsia" w:ascii="宋体" w:hAnsi="宋体"/>
          <w:sz w:val="24"/>
          <w:szCs w:val="24"/>
        </w:rPr>
        <w:t>（2）磋商小组将确定不具备投标资格和未实质性响应的响应文件为无效，报价方不能通过修改或撤销不符之处而使其响应文件改为有效。磋商小组将对具有实质性响应的文件进行磋商、评审、打分。</w:t>
      </w:r>
    </w:p>
    <w:p w14:paraId="2DF739B2">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sz w:val="24"/>
          <w:szCs w:val="24"/>
          <w:lang w:val="zh-CN"/>
        </w:rPr>
      </w:pPr>
      <w:r>
        <w:rPr>
          <w:rFonts w:hint="eastAsia" w:ascii="宋体" w:hAnsi="宋体"/>
          <w:sz w:val="24"/>
          <w:szCs w:val="24"/>
        </w:rPr>
        <w:t>2.</w:t>
      </w:r>
      <w:r>
        <w:rPr>
          <w:rFonts w:hint="eastAsia" w:ascii="宋体" w:hAnsi="宋体"/>
          <w:sz w:val="24"/>
          <w:szCs w:val="24"/>
          <w:lang w:val="zh-CN"/>
        </w:rPr>
        <w:t>响应文件符合性审查</w:t>
      </w:r>
    </w:p>
    <w:p w14:paraId="71846B7C">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sz w:val="24"/>
          <w:szCs w:val="24"/>
          <w:lang w:val="zh-CN"/>
        </w:rPr>
      </w:pPr>
      <w:r>
        <w:rPr>
          <w:rFonts w:hint="eastAsia" w:ascii="宋体" w:hAnsi="宋体"/>
          <w:sz w:val="24"/>
          <w:szCs w:val="24"/>
          <w:lang w:val="zh-CN"/>
        </w:rPr>
        <w:t>（</w:t>
      </w:r>
      <w:r>
        <w:rPr>
          <w:rFonts w:hint="eastAsia" w:ascii="宋体" w:hAnsi="宋体"/>
          <w:sz w:val="24"/>
          <w:szCs w:val="24"/>
        </w:rPr>
        <w:t>1）</w:t>
      </w:r>
      <w:r>
        <w:rPr>
          <w:rFonts w:hint="eastAsia" w:ascii="宋体" w:hAnsi="宋体"/>
          <w:sz w:val="24"/>
          <w:szCs w:val="24"/>
          <w:lang w:val="zh-CN"/>
        </w:rPr>
        <w:t>磋商小组应当对符合资格的供应商的响应文件进行符合性审查，以确定其是否满足磋商文件的实质性要求。</w:t>
      </w:r>
    </w:p>
    <w:p w14:paraId="1BD7BDF9">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sz w:val="24"/>
          <w:szCs w:val="24"/>
          <w:lang w:val="zh-CN"/>
        </w:rPr>
      </w:pPr>
      <w:r>
        <w:rPr>
          <w:rFonts w:hint="eastAsia" w:ascii="宋体" w:hAnsi="宋体"/>
          <w:sz w:val="24"/>
          <w:szCs w:val="24"/>
          <w:lang w:val="zh-CN"/>
        </w:rPr>
        <w:t>（</w:t>
      </w:r>
      <w:r>
        <w:rPr>
          <w:rFonts w:hint="eastAsia" w:ascii="宋体" w:hAnsi="宋体"/>
          <w:sz w:val="24"/>
          <w:szCs w:val="24"/>
        </w:rPr>
        <w:t>2）</w:t>
      </w:r>
      <w:r>
        <w:rPr>
          <w:rFonts w:hint="eastAsia" w:ascii="宋体" w:hAnsi="宋体"/>
          <w:sz w:val="24"/>
          <w:szCs w:val="24"/>
          <w:lang w:val="zh-CN"/>
        </w:rPr>
        <w:t>在资格性和符合性审查同时，对属于不合格供应商或者磋商无效的供应商，磋商小组必须提出不合格或者磋商无效的事实依据，并出具不合格或者磋商无效说明，供应商签字确认。供应商签字确认后磋商小组全体成员签字。供应商拒绝签字确认的不影响磋商小组做出的不合格或无效磋商裁定。</w:t>
      </w:r>
    </w:p>
    <w:p w14:paraId="49474A12">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sz w:val="24"/>
          <w:szCs w:val="24"/>
          <w:lang w:val="zh-CN"/>
        </w:rPr>
      </w:pPr>
      <w:r>
        <w:rPr>
          <w:rFonts w:hint="eastAsia" w:ascii="宋体" w:hAnsi="宋体"/>
          <w:sz w:val="24"/>
          <w:szCs w:val="24"/>
          <w:lang w:val="zh-CN"/>
        </w:rPr>
        <w:t>（</w:t>
      </w:r>
      <w:r>
        <w:rPr>
          <w:rFonts w:hint="eastAsia" w:ascii="宋体" w:hAnsi="宋体"/>
          <w:sz w:val="24"/>
          <w:szCs w:val="24"/>
        </w:rPr>
        <w:t>3</w:t>
      </w:r>
      <w:r>
        <w:rPr>
          <w:rFonts w:hint="eastAsia" w:ascii="宋体" w:hAnsi="宋体"/>
          <w:sz w:val="24"/>
          <w:szCs w:val="24"/>
          <w:lang w:val="zh-CN"/>
        </w:rPr>
        <w:t>）如果确定供应商无资格履行合同，其磋商将被拒绝。</w:t>
      </w:r>
    </w:p>
    <w:p w14:paraId="15B0F100">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sz w:val="24"/>
          <w:szCs w:val="24"/>
          <w:lang w:val="zh-CN"/>
        </w:rPr>
      </w:pPr>
      <w:r>
        <w:rPr>
          <w:rFonts w:hint="eastAsia" w:ascii="宋体" w:hAnsi="宋体"/>
          <w:sz w:val="24"/>
          <w:szCs w:val="24"/>
          <w:lang w:val="zh-CN"/>
        </w:rPr>
        <w:t>（</w:t>
      </w:r>
      <w:r>
        <w:rPr>
          <w:rFonts w:hint="eastAsia" w:ascii="宋体" w:hAnsi="宋体"/>
          <w:sz w:val="24"/>
          <w:szCs w:val="24"/>
        </w:rPr>
        <w:t>4）</w:t>
      </w:r>
      <w:r>
        <w:rPr>
          <w:rFonts w:hint="eastAsia" w:ascii="宋体" w:hAnsi="宋体"/>
          <w:sz w:val="24"/>
          <w:szCs w:val="24"/>
          <w:lang w:val="zh-CN"/>
        </w:rPr>
        <w:t>资格审查和符合性审查不符合的响应文件将不再进行后续资信、技术评审。</w:t>
      </w:r>
    </w:p>
    <w:p w14:paraId="6BE37A0D">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sz w:val="24"/>
          <w:szCs w:val="24"/>
          <w:lang w:val="zh-CN"/>
        </w:rPr>
      </w:pPr>
      <w:r>
        <w:rPr>
          <w:rFonts w:hint="eastAsia" w:ascii="宋体" w:hAnsi="宋体"/>
          <w:sz w:val="24"/>
          <w:szCs w:val="24"/>
          <w:lang w:val="zh-CN"/>
        </w:rPr>
        <w:t>3.响应文件资信、技术评审</w:t>
      </w:r>
    </w:p>
    <w:p w14:paraId="0B083B78">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sz w:val="24"/>
          <w:szCs w:val="24"/>
          <w:lang w:val="zh-CN"/>
        </w:rPr>
      </w:pPr>
      <w:r>
        <w:rPr>
          <w:rFonts w:hint="eastAsia" w:ascii="宋体" w:hAnsi="宋体"/>
          <w:sz w:val="24"/>
          <w:szCs w:val="24"/>
        </w:rPr>
        <w:t>（1）</w:t>
      </w:r>
      <w:r>
        <w:rPr>
          <w:rFonts w:hint="eastAsia" w:ascii="宋体" w:hAnsi="宋体"/>
          <w:sz w:val="24"/>
          <w:szCs w:val="24"/>
          <w:lang w:val="zh-CN"/>
        </w:rPr>
        <w:t>按照磋商文件要求，审查供应商所投服务承诺及要求，对资信</w:t>
      </w:r>
      <w:r>
        <w:rPr>
          <w:rFonts w:hint="eastAsia" w:ascii="宋体" w:hAnsi="宋体"/>
          <w:sz w:val="24"/>
          <w:szCs w:val="24"/>
          <w:lang w:val="en-US" w:eastAsia="zh-CN"/>
        </w:rPr>
        <w:t>商务</w:t>
      </w:r>
      <w:r>
        <w:rPr>
          <w:rFonts w:hint="eastAsia" w:ascii="宋体" w:hAnsi="宋体"/>
          <w:sz w:val="24"/>
          <w:szCs w:val="24"/>
          <w:lang w:val="zh-CN"/>
        </w:rPr>
        <w:t>技术部分进行评价和比较，并记录实质性响应、技术偏离等事项。</w:t>
      </w:r>
    </w:p>
    <w:p w14:paraId="0E5020C1">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sz w:val="24"/>
          <w:szCs w:val="24"/>
          <w:lang w:val="zh-CN"/>
        </w:rPr>
      </w:pPr>
      <w:r>
        <w:rPr>
          <w:rFonts w:hint="eastAsia" w:ascii="宋体" w:hAnsi="宋体"/>
          <w:sz w:val="24"/>
          <w:szCs w:val="24"/>
        </w:rPr>
        <w:t>（2）</w:t>
      </w:r>
      <w:r>
        <w:rPr>
          <w:rFonts w:hint="eastAsia" w:ascii="宋体" w:hAnsi="宋体"/>
          <w:sz w:val="24"/>
          <w:szCs w:val="24"/>
          <w:lang w:val="zh-CN"/>
        </w:rPr>
        <w:t>磋商小组认为供应商的响应文件如有疑问的，将对供应商进行询标，供应商要向磋商小组澄清有关问题，并最终以书面形式进行答复；供应商代表未到场或者拒绝澄清或者澄清</w:t>
      </w:r>
      <w:r>
        <w:rPr>
          <w:rFonts w:hint="eastAsia" w:ascii="宋体" w:hAnsi="宋体"/>
          <w:spacing w:val="-6"/>
          <w:sz w:val="24"/>
          <w:szCs w:val="24"/>
          <w:lang w:val="zh-CN"/>
        </w:rPr>
        <w:t>的内容改变了响应文件的实质性内容的，磋商小组有权对该响应文件作出不利于供应商的评判。</w:t>
      </w:r>
    </w:p>
    <w:p w14:paraId="65F3ADA3">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b w:val="0"/>
          <w:bCs w:val="0"/>
          <w:sz w:val="24"/>
          <w:szCs w:val="24"/>
          <w:lang w:val="zh-CN"/>
        </w:rPr>
      </w:pPr>
      <w:r>
        <w:rPr>
          <w:rFonts w:hint="eastAsia" w:ascii="宋体" w:hAnsi="宋体"/>
          <w:b w:val="0"/>
          <w:bCs w:val="0"/>
          <w:sz w:val="24"/>
          <w:szCs w:val="24"/>
          <w:lang w:val="zh-CN"/>
        </w:rPr>
        <w:t>（</w:t>
      </w:r>
      <w:r>
        <w:rPr>
          <w:rFonts w:hint="eastAsia" w:ascii="宋体" w:hAnsi="宋体"/>
          <w:b w:val="0"/>
          <w:bCs w:val="0"/>
          <w:sz w:val="24"/>
          <w:szCs w:val="24"/>
        </w:rPr>
        <w:t>3）</w:t>
      </w:r>
      <w:r>
        <w:rPr>
          <w:rFonts w:hint="eastAsia" w:ascii="宋体" w:hAnsi="宋体"/>
          <w:b w:val="0"/>
          <w:bCs w:val="0"/>
          <w:sz w:val="24"/>
          <w:szCs w:val="24"/>
          <w:lang w:val="zh-CN"/>
        </w:rPr>
        <w:t>在评审过程中，磋商小组认为供应商的报价明显低于其他通过符合性审查供应商的报价，有可能影响产品质量或者不能诚信履约的，应当要求其在评审现场合理的时间内提供书面说明，必要时递交相关证明材料；供应商不能证明其报价合理性的，磋商小组应当将其作为磋商无效处理。</w:t>
      </w:r>
    </w:p>
    <w:p w14:paraId="5E35F1AD">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sz w:val="24"/>
          <w:szCs w:val="24"/>
        </w:rPr>
      </w:pPr>
      <w:r>
        <w:rPr>
          <w:rFonts w:hint="eastAsia" w:ascii="宋体" w:hAnsi="宋体"/>
          <w:sz w:val="24"/>
          <w:szCs w:val="24"/>
        </w:rPr>
        <w:t>4.磋商报价</w:t>
      </w:r>
    </w:p>
    <w:p w14:paraId="3A44717F">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color w:val="000000"/>
          <w:sz w:val="24"/>
          <w:szCs w:val="24"/>
        </w:rPr>
      </w:pPr>
      <w:r>
        <w:rPr>
          <w:rFonts w:hint="eastAsia" w:ascii="宋体" w:hAnsi="宋体"/>
          <w:sz w:val="24"/>
          <w:szCs w:val="24"/>
        </w:rPr>
        <w:t>（1）磋商小组所有成员采用集中与每个供应商就</w:t>
      </w:r>
      <w:r>
        <w:rPr>
          <w:rFonts w:hint="eastAsia" w:ascii="宋体" w:hAnsi="宋体" w:eastAsia="宋体" w:cs="宋体"/>
          <w:sz w:val="24"/>
          <w:szCs w:val="24"/>
          <w:lang w:eastAsia="zh-CN"/>
        </w:rPr>
        <w:t>龙游县湖镇镇张家埠村未来乡村生活馆亮化采购项目</w:t>
      </w:r>
      <w:r>
        <w:rPr>
          <w:rFonts w:hint="eastAsia" w:ascii="宋体" w:hAnsi="宋体" w:eastAsia="宋体" w:cs="宋体"/>
          <w:sz w:val="24"/>
          <w:szCs w:val="24"/>
        </w:rPr>
        <w:t>进行磋商，以递交竞争性磋商响应性文件的时间先后决定磋商顺序。磋商时先听取由供应商拟派</w:t>
      </w:r>
      <w:r>
        <w:rPr>
          <w:rFonts w:hint="eastAsia" w:ascii="宋体" w:hAnsi="宋体"/>
          <w:color w:val="000000"/>
          <w:sz w:val="24"/>
          <w:szCs w:val="24"/>
        </w:rPr>
        <w:t>的项目负责人就</w:t>
      </w:r>
      <w:r>
        <w:rPr>
          <w:rFonts w:hint="eastAsia" w:ascii="宋体" w:hAnsi="宋体"/>
          <w:sz w:val="24"/>
          <w:szCs w:val="24"/>
          <w:lang w:val="zh-CN"/>
        </w:rPr>
        <w:t>本项目</w:t>
      </w:r>
      <w:r>
        <w:rPr>
          <w:rFonts w:hint="eastAsia" w:ascii="宋体" w:hAnsi="宋体"/>
          <w:color w:val="000000"/>
          <w:sz w:val="24"/>
          <w:szCs w:val="24"/>
        </w:rPr>
        <w:t>重点内容及报价进行磋商，磋商过程中由磋商小组成员提出相关问题，并由供应商拟派项目负责人进行回复与承诺。</w:t>
      </w:r>
    </w:p>
    <w:p w14:paraId="7C6F0937">
      <w:pPr>
        <w:pStyle w:val="69"/>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sz w:val="24"/>
          <w:szCs w:val="24"/>
        </w:rPr>
      </w:pPr>
      <w:r>
        <w:rPr>
          <w:rFonts w:hint="eastAsia" w:ascii="宋体" w:hAnsi="宋体"/>
          <w:sz w:val="24"/>
          <w:szCs w:val="24"/>
        </w:rPr>
        <w:t>（2）在磋商中，磋商的任何一方不得透露与磋商有关的信息，为明确本次采购项目的各项技术要求，各供应商应接受磋商小组可能多次的询问、质疑和磋商，如供应商不接受磋商小组的询问、质疑和磋商，其磋商无效。</w:t>
      </w:r>
    </w:p>
    <w:p w14:paraId="0C4E5BB9">
      <w:pPr>
        <w:pStyle w:val="69"/>
        <w:pageBreakBefore w:val="0"/>
        <w:tabs>
          <w:tab w:val="left" w:pos="-1080"/>
          <w:tab w:val="left" w:pos="180"/>
          <w:tab w:val="left" w:pos="1080"/>
        </w:tabs>
        <w:kinsoku/>
        <w:wordWrap/>
        <w:overflowPunct/>
        <w:topLinePunct w:val="0"/>
        <w:autoSpaceDE/>
        <w:autoSpaceDN/>
        <w:bidi w:val="0"/>
        <w:spacing w:line="300" w:lineRule="auto"/>
        <w:ind w:firstLine="602"/>
        <w:textAlignment w:val="auto"/>
        <w:rPr>
          <w:rFonts w:hint="eastAsia" w:ascii="宋体" w:hAnsi="宋体" w:cs="宋体"/>
          <w:color w:val="FF0000"/>
          <w:kern w:val="2"/>
          <w:sz w:val="24"/>
          <w:szCs w:val="24"/>
        </w:rPr>
      </w:pPr>
      <w:r>
        <w:rPr>
          <w:rFonts w:hint="eastAsia" w:ascii="宋体" w:hAnsi="宋体"/>
          <w:sz w:val="24"/>
          <w:szCs w:val="24"/>
        </w:rPr>
        <w:t>（3）</w:t>
      </w:r>
      <w:r>
        <w:rPr>
          <w:rFonts w:hint="eastAsia" w:ascii="宋体" w:hAnsi="宋体" w:cs="宋体"/>
          <w:kern w:val="2"/>
          <w:sz w:val="24"/>
          <w:szCs w:val="24"/>
        </w:rPr>
        <w:t>磋商文件能够详细列明采购标的的技术、服务要求的，磋商结束后，</w:t>
      </w:r>
      <w:r>
        <w:rPr>
          <w:rFonts w:hint="eastAsia" w:ascii="宋体" w:hAnsi="宋体"/>
          <w:sz w:val="24"/>
          <w:szCs w:val="24"/>
        </w:rPr>
        <w:t>磋商小组要求所有参加磋商的供应商在规定的时间内进行最终报价</w:t>
      </w:r>
      <w:r>
        <w:rPr>
          <w:rFonts w:hint="eastAsia" w:ascii="宋体" w:hAnsi="宋体"/>
          <w:sz w:val="24"/>
          <w:szCs w:val="24"/>
          <w:lang w:eastAsia="zh-CN"/>
        </w:rPr>
        <w:t>，</w:t>
      </w:r>
      <w:r>
        <w:rPr>
          <w:rFonts w:hint="eastAsia" w:ascii="宋体" w:hAnsi="宋体"/>
          <w:sz w:val="24"/>
          <w:szCs w:val="24"/>
        </w:rPr>
        <w:t>所有供应商派代表到场现场开标，评审及合同签署中应以</w:t>
      </w:r>
      <w:r>
        <w:rPr>
          <w:rFonts w:hint="eastAsia" w:ascii="宋体" w:hAnsi="宋体"/>
          <w:sz w:val="24"/>
          <w:szCs w:val="24"/>
          <w:lang w:eastAsia="zh-CN"/>
        </w:rPr>
        <w:t>最终报价表</w:t>
      </w:r>
      <w:r>
        <w:rPr>
          <w:rFonts w:hint="eastAsia" w:ascii="宋体" w:hAnsi="宋体"/>
          <w:sz w:val="24"/>
          <w:szCs w:val="24"/>
        </w:rPr>
        <w:t>为准，最终报</w:t>
      </w:r>
      <w:r>
        <w:rPr>
          <w:rFonts w:hint="eastAsia" w:ascii="宋体" w:hAnsi="宋体"/>
          <w:color w:val="000000" w:themeColor="text1"/>
          <w:sz w:val="24"/>
          <w:szCs w:val="24"/>
          <w14:textFill>
            <w14:solidFill>
              <w14:schemeClr w14:val="tx1"/>
            </w14:solidFill>
          </w14:textFill>
        </w:rPr>
        <w:t>价表</w:t>
      </w:r>
      <w:r>
        <w:rPr>
          <w:rFonts w:hint="eastAsia" w:ascii="宋体" w:hAnsi="宋体"/>
          <w:bCs w:val="0"/>
          <w:color w:val="000000" w:themeColor="text1"/>
          <w:sz w:val="24"/>
          <w:szCs w:val="24"/>
          <w14:textFill>
            <w14:solidFill>
              <w14:schemeClr w14:val="tx1"/>
            </w14:solidFill>
          </w14:textFill>
        </w:rPr>
        <w:t>是供应商响应文件的有效组</w:t>
      </w:r>
      <w:r>
        <w:rPr>
          <w:rFonts w:hint="eastAsia" w:ascii="宋体" w:hAnsi="宋体"/>
          <w:color w:val="000000" w:themeColor="text1"/>
          <w:sz w:val="24"/>
          <w:szCs w:val="24"/>
          <w14:textFill>
            <w14:solidFill>
              <w14:schemeClr w14:val="tx1"/>
            </w14:solidFill>
          </w14:textFill>
        </w:rPr>
        <w:t>成部分。（注：供应商需提前准备空白并签署盖章的</w:t>
      </w:r>
      <w:r>
        <w:rPr>
          <w:rFonts w:hint="eastAsia" w:ascii="宋体" w:hAnsi="宋体"/>
          <w:color w:val="000000" w:themeColor="text1"/>
          <w:sz w:val="24"/>
          <w:szCs w:val="24"/>
          <w:lang w:eastAsia="zh-CN"/>
          <w14:textFill>
            <w14:solidFill>
              <w14:schemeClr w14:val="tx1"/>
            </w14:solidFill>
          </w14:textFill>
        </w:rPr>
        <w:t>最终报价表</w:t>
      </w:r>
      <w:r>
        <w:rPr>
          <w:rFonts w:hint="eastAsia" w:ascii="宋体" w:hAnsi="宋体"/>
          <w:color w:val="000000" w:themeColor="text1"/>
          <w:sz w:val="24"/>
          <w:szCs w:val="24"/>
          <w14:textFill>
            <w14:solidFill>
              <w14:schemeClr w14:val="tx1"/>
            </w14:solidFill>
          </w14:textFill>
        </w:rPr>
        <w:t>，以便最终报价时填写，</w:t>
      </w:r>
      <w:r>
        <w:rPr>
          <w:rFonts w:hint="eastAsia" w:ascii="宋体" w:hAnsi="宋体"/>
          <w:color w:val="000000" w:themeColor="text1"/>
          <w:sz w:val="24"/>
          <w:szCs w:val="24"/>
          <w:lang w:eastAsia="zh-CN"/>
          <w14:textFill>
            <w14:solidFill>
              <w14:schemeClr w14:val="tx1"/>
            </w14:solidFill>
          </w14:textFill>
        </w:rPr>
        <w:t>最终报价表</w:t>
      </w:r>
      <w:r>
        <w:rPr>
          <w:rFonts w:hint="eastAsia" w:ascii="宋体" w:hAnsi="宋体"/>
          <w:color w:val="000000" w:themeColor="text1"/>
          <w:sz w:val="24"/>
          <w:szCs w:val="24"/>
          <w14:textFill>
            <w14:solidFill>
              <w14:schemeClr w14:val="tx1"/>
            </w14:solidFill>
          </w14:textFill>
        </w:rPr>
        <w:t>格式见附件</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2"/>
          <w:sz w:val="24"/>
          <w:szCs w:val="24"/>
          <w14:textFill>
            <w14:solidFill>
              <w14:schemeClr w14:val="tx1"/>
            </w14:solidFill>
          </w14:textFill>
        </w:rPr>
        <w:t>提交最后报价的供应商不得少于3家。</w:t>
      </w:r>
    </w:p>
    <w:p w14:paraId="4A584171">
      <w:pPr>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bCs/>
          <w:color w:val="000000" w:themeColor="text1"/>
          <w:kern w:val="0"/>
          <w:sz w:val="24"/>
          <w:szCs w:val="24"/>
          <w14:textFill>
            <w14:solidFill>
              <w14:schemeClr w14:val="tx1"/>
            </w14:solidFill>
          </w14:textFill>
        </w:rPr>
      </w:pPr>
      <w:r>
        <w:rPr>
          <w:rFonts w:hint="eastAsia" w:ascii="宋体" w:hAnsi="宋体"/>
          <w:bCs/>
          <w:color w:val="000000"/>
          <w:kern w:val="0"/>
          <w:sz w:val="24"/>
          <w:szCs w:val="24"/>
        </w:rPr>
        <w:t>5.磋商报价计分</w:t>
      </w:r>
    </w:p>
    <w:p w14:paraId="1B6CBB25">
      <w:pPr>
        <w:pageBreakBefore w:val="0"/>
        <w:tabs>
          <w:tab w:val="left" w:pos="-1080"/>
          <w:tab w:val="left" w:pos="180"/>
          <w:tab w:val="left" w:pos="1080"/>
        </w:tabs>
        <w:kinsoku/>
        <w:wordWrap/>
        <w:overflowPunct/>
        <w:topLinePunct w:val="0"/>
        <w:autoSpaceDE/>
        <w:autoSpaceDN/>
        <w:bidi w:val="0"/>
        <w:snapToGrid w:val="0"/>
        <w:spacing w:line="300" w:lineRule="auto"/>
        <w:ind w:firstLine="602"/>
        <w:textAlignment w:val="auto"/>
        <w:rPr>
          <w:rFonts w:ascii="宋体" w:hAnsi="宋体"/>
          <w:bCs/>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（1）本评标办法采用</w:t>
      </w:r>
      <w:r>
        <w:rPr>
          <w:rFonts w:hint="eastAsia" w:ascii="宋体" w:hAnsi="宋体"/>
          <w:color w:val="000000" w:themeColor="text1"/>
          <w:sz w:val="24"/>
          <w:szCs w:val="24"/>
          <w:lang w:eastAsia="zh-CN"/>
          <w14:textFill>
            <w14:solidFill>
              <w14:schemeClr w14:val="tx1"/>
            </w14:solidFill>
          </w14:textFill>
        </w:rPr>
        <w:t>综合评分法</w:t>
      </w:r>
      <w:r>
        <w:rPr>
          <w:rFonts w:hint="eastAsia" w:ascii="宋体" w:hAnsi="宋体"/>
          <w:color w:val="000000" w:themeColor="text1"/>
          <w:sz w:val="24"/>
          <w:szCs w:val="24"/>
          <w14:textFill>
            <w14:solidFill>
              <w14:schemeClr w14:val="tx1"/>
            </w14:solidFill>
          </w14:textFill>
        </w:rPr>
        <w:t>，由商务技术分和报价分合计组成，其中商务技术分</w:t>
      </w:r>
      <w:r>
        <w:rPr>
          <w:rFonts w:hint="eastAsia" w:ascii="宋体" w:hAnsi="宋体"/>
          <w:color w:val="000000" w:themeColor="text1"/>
          <w:sz w:val="24"/>
          <w:szCs w:val="24"/>
          <w:lang w:val="en-US" w:eastAsia="zh-CN"/>
          <w14:textFill>
            <w14:solidFill>
              <w14:schemeClr w14:val="tx1"/>
            </w14:solidFill>
          </w14:textFill>
        </w:rPr>
        <w:t>70</w:t>
      </w:r>
      <w:r>
        <w:rPr>
          <w:rFonts w:hint="eastAsia" w:ascii="宋体" w:hAnsi="宋体"/>
          <w:color w:val="000000" w:themeColor="text1"/>
          <w:sz w:val="24"/>
          <w:szCs w:val="24"/>
          <w14:textFill>
            <w14:solidFill>
              <w14:schemeClr w14:val="tx1"/>
            </w14:solidFill>
          </w14:textFill>
        </w:rPr>
        <w:t>分、报价分</w:t>
      </w:r>
      <w:r>
        <w:rPr>
          <w:rFonts w:hint="eastAsia" w:ascii="宋体" w:hAnsi="宋体"/>
          <w:color w:val="000000" w:themeColor="text1"/>
          <w:sz w:val="24"/>
          <w:szCs w:val="24"/>
          <w:lang w:val="en-US" w:eastAsia="zh-CN"/>
          <w14:textFill>
            <w14:solidFill>
              <w14:schemeClr w14:val="tx1"/>
            </w14:solidFill>
          </w14:textFill>
        </w:rPr>
        <w:t>共30</w:t>
      </w:r>
      <w:r>
        <w:rPr>
          <w:rFonts w:hint="eastAsia" w:ascii="宋体" w:hAnsi="宋体"/>
          <w:color w:val="000000" w:themeColor="text1"/>
          <w:sz w:val="24"/>
          <w:szCs w:val="24"/>
          <w14:textFill>
            <w14:solidFill>
              <w14:schemeClr w14:val="tx1"/>
            </w14:solidFill>
          </w14:textFill>
        </w:rPr>
        <w:t>分；满分为100分。</w:t>
      </w:r>
    </w:p>
    <w:p w14:paraId="30519A70">
      <w:pPr>
        <w:pageBreakBefore w:val="0"/>
        <w:kinsoku/>
        <w:wordWrap/>
        <w:overflowPunct/>
        <w:topLinePunct w:val="0"/>
        <w:autoSpaceDE/>
        <w:autoSpaceDN/>
        <w:bidi w:val="0"/>
        <w:adjustRightInd w:val="0"/>
        <w:snapToGrid w:val="0"/>
        <w:spacing w:line="300" w:lineRule="auto"/>
        <w:ind w:firstLine="602"/>
        <w:textAlignment w:val="auto"/>
        <w:rPr>
          <w:rFonts w:ascii="宋体" w:hAnsi="宋体"/>
          <w:sz w:val="24"/>
          <w:szCs w:val="24"/>
        </w:rPr>
      </w:pPr>
      <w:r>
        <w:rPr>
          <w:rFonts w:hint="eastAsia" w:ascii="宋体" w:hAnsi="宋体"/>
          <w:sz w:val="24"/>
          <w:szCs w:val="24"/>
        </w:rPr>
        <w:t>（2）经初步评审合格的响应文件，竞争性磋商小组根据竞争性磋商文件确定的评审标准和方法，对其</w:t>
      </w:r>
      <w:r>
        <w:rPr>
          <w:rFonts w:hint="eastAsia" w:ascii="宋体" w:hAnsi="宋体"/>
          <w:sz w:val="24"/>
          <w:szCs w:val="24"/>
          <w:lang w:eastAsia="zh-CN"/>
        </w:rPr>
        <w:t>做</w:t>
      </w:r>
      <w:r>
        <w:rPr>
          <w:rFonts w:hint="eastAsia" w:ascii="宋体" w:hAnsi="宋体"/>
          <w:sz w:val="24"/>
          <w:szCs w:val="24"/>
        </w:rPr>
        <w:t>进一步评审、比较、打分。</w:t>
      </w:r>
    </w:p>
    <w:p w14:paraId="2A25651C">
      <w:pPr>
        <w:autoSpaceDE w:val="0"/>
        <w:autoSpaceDN w:val="0"/>
        <w:adjustRightInd w:val="0"/>
        <w:snapToGrid w:val="0"/>
        <w:spacing w:line="420" w:lineRule="exact"/>
        <w:ind w:firstLine="480"/>
        <w:rPr>
          <w:rFonts w:hint="eastAsia" w:ascii="宋体" w:hAnsi="宋体"/>
          <w:sz w:val="24"/>
          <w:szCs w:val="24"/>
        </w:rPr>
      </w:pPr>
      <w:r>
        <w:rPr>
          <w:rFonts w:hint="eastAsia" w:ascii="宋体" w:hAnsi="宋体"/>
          <w:sz w:val="24"/>
          <w:szCs w:val="24"/>
        </w:rPr>
        <w:t>（3）磋商小组成员首先分别对每个供应商磋商响应文件中</w:t>
      </w:r>
      <w:r>
        <w:rPr>
          <w:rFonts w:hint="eastAsia" w:ascii="宋体" w:hAnsi="宋体"/>
          <w:sz w:val="24"/>
          <w:szCs w:val="24"/>
          <w:lang w:val="en-US" w:eastAsia="zh-CN"/>
        </w:rPr>
        <w:t>商务</w:t>
      </w:r>
      <w:r>
        <w:rPr>
          <w:rFonts w:hint="eastAsia" w:ascii="宋体" w:hAnsi="宋体"/>
          <w:sz w:val="24"/>
          <w:szCs w:val="24"/>
        </w:rPr>
        <w:t>技术部分进行评审打分，然后计算出算术平均值（保留2位小数），即为供应商的商务技术得分</w:t>
      </w:r>
      <w:r>
        <w:rPr>
          <w:rFonts w:hint="eastAsia" w:ascii="宋体" w:hAnsi="宋体"/>
          <w:sz w:val="24"/>
          <w:szCs w:val="24"/>
          <w:lang w:eastAsia="zh-CN"/>
        </w:rPr>
        <w:t>，最</w:t>
      </w:r>
      <w:r>
        <w:rPr>
          <w:rFonts w:hint="eastAsia" w:ascii="宋体" w:hAnsi="宋体"/>
          <w:sz w:val="24"/>
          <w:szCs w:val="24"/>
        </w:rPr>
        <w:t>后计算最终报价，计算公式：</w:t>
      </w:r>
      <w:r>
        <w:rPr>
          <w:rFonts w:hint="eastAsia" w:ascii="宋体" w:hAnsi="宋体" w:cs="宋体"/>
          <w:sz w:val="24"/>
          <w:szCs w:val="24"/>
          <w:lang w:val="en-US" w:eastAsia="zh-CN"/>
        </w:rPr>
        <w:t>磋商</w:t>
      </w:r>
      <w:r>
        <w:rPr>
          <w:rFonts w:hint="eastAsia" w:ascii="宋体" w:hAnsi="宋体" w:eastAsia="宋体" w:cs="宋体"/>
          <w:sz w:val="24"/>
          <w:szCs w:val="24"/>
        </w:rPr>
        <w:t>报价得分=</w:t>
      </w:r>
      <w:r>
        <w:rPr>
          <w:rFonts w:hint="eastAsia" w:ascii="宋体" w:hAnsi="宋体" w:cs="宋体"/>
          <w:sz w:val="24"/>
          <w:szCs w:val="24"/>
          <w:lang w:eastAsia="zh-CN"/>
        </w:rPr>
        <w:t>（</w:t>
      </w:r>
      <w:r>
        <w:rPr>
          <w:rFonts w:hint="eastAsia" w:ascii="宋体" w:hAnsi="宋体" w:eastAsia="宋体" w:cs="宋体"/>
          <w:sz w:val="24"/>
          <w:szCs w:val="24"/>
        </w:rPr>
        <w:t>评标基准价／供应商最终报价</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14:textFill>
            <w14:solidFill>
              <w14:schemeClr w14:val="tx1"/>
            </w14:solidFill>
          </w14:textFill>
        </w:rPr>
        <w:t>×价格权值[</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%]×100，</w:t>
      </w:r>
      <w:r>
        <w:rPr>
          <w:rFonts w:hint="eastAsia" w:ascii="宋体" w:hAnsi="宋体"/>
          <w:sz w:val="24"/>
          <w:szCs w:val="24"/>
        </w:rPr>
        <w:t>综合得分=</w:t>
      </w:r>
      <w:r>
        <w:rPr>
          <w:rFonts w:hint="eastAsia" w:ascii="宋体" w:hAnsi="宋体"/>
          <w:sz w:val="24"/>
          <w:szCs w:val="24"/>
          <w:lang w:val="en-US" w:eastAsia="zh-CN"/>
        </w:rPr>
        <w:t>商务</w:t>
      </w:r>
      <w:r>
        <w:rPr>
          <w:rFonts w:hint="eastAsia" w:ascii="宋体" w:hAnsi="宋体"/>
          <w:sz w:val="24"/>
          <w:szCs w:val="24"/>
        </w:rPr>
        <w:t>技术分+</w:t>
      </w:r>
      <w:r>
        <w:rPr>
          <w:rFonts w:hint="eastAsia" w:ascii="宋体" w:hAnsi="宋体"/>
          <w:sz w:val="24"/>
          <w:szCs w:val="24"/>
          <w:lang w:eastAsia="zh-CN"/>
        </w:rPr>
        <w:t>报价</w:t>
      </w:r>
      <w:r>
        <w:rPr>
          <w:rFonts w:hint="eastAsia" w:ascii="宋体" w:hAnsi="宋体"/>
          <w:sz w:val="24"/>
          <w:szCs w:val="24"/>
        </w:rPr>
        <w:t>分，以综合得分由高到低进行排序后推荐</w:t>
      </w:r>
      <w:r>
        <w:rPr>
          <w:rFonts w:hint="eastAsia" w:ascii="宋体" w:hAnsi="宋体"/>
          <w:sz w:val="24"/>
          <w:szCs w:val="24"/>
          <w:lang w:val="en-US" w:eastAsia="zh-CN"/>
        </w:rPr>
        <w:t>三</w:t>
      </w:r>
      <w:r>
        <w:rPr>
          <w:rFonts w:hint="eastAsia" w:ascii="宋体" w:hAnsi="宋体"/>
          <w:sz w:val="24"/>
          <w:szCs w:val="24"/>
        </w:rPr>
        <w:t>名成交候选人；采购人原则上应确定排名第一位的成交候选人作为成交供应商。(</w:t>
      </w:r>
      <w:r>
        <w:rPr>
          <w:rFonts w:hint="eastAsia" w:ascii="宋体" w:hAnsi="宋体"/>
          <w:kern w:val="0"/>
          <w:sz w:val="24"/>
          <w:szCs w:val="24"/>
        </w:rPr>
        <w:t>得分相同的，按</w:t>
      </w:r>
      <w:r>
        <w:rPr>
          <w:rFonts w:hint="eastAsia" w:ascii="宋体" w:hAnsi="宋体"/>
          <w:kern w:val="0"/>
          <w:sz w:val="24"/>
          <w:szCs w:val="24"/>
          <w:lang w:eastAsia="zh-CN"/>
        </w:rPr>
        <w:t>磋商报价</w:t>
      </w:r>
      <w:r>
        <w:rPr>
          <w:rFonts w:hint="eastAsia" w:ascii="宋体" w:hAnsi="宋体"/>
          <w:kern w:val="0"/>
          <w:sz w:val="24"/>
          <w:szCs w:val="24"/>
        </w:rPr>
        <w:t>由低到高顺序排列。</w:t>
      </w:r>
      <w:r>
        <w:rPr>
          <w:rFonts w:hint="eastAsia" w:ascii="宋体" w:hAnsi="宋体"/>
          <w:kern w:val="0"/>
          <w:sz w:val="24"/>
          <w:szCs w:val="24"/>
          <w:lang w:val="en-US" w:eastAsia="zh-CN"/>
        </w:rPr>
        <w:t>综合</w:t>
      </w:r>
      <w:r>
        <w:rPr>
          <w:rFonts w:hint="eastAsia" w:ascii="宋体" w:hAnsi="宋体"/>
          <w:kern w:val="0"/>
          <w:sz w:val="24"/>
          <w:szCs w:val="24"/>
        </w:rPr>
        <w:t>得分且</w:t>
      </w:r>
      <w:r>
        <w:rPr>
          <w:rFonts w:hint="eastAsia" w:ascii="宋体" w:hAnsi="宋体"/>
          <w:kern w:val="0"/>
          <w:sz w:val="24"/>
          <w:szCs w:val="24"/>
          <w:lang w:eastAsia="zh-CN"/>
        </w:rPr>
        <w:t>磋商报价</w:t>
      </w:r>
      <w:r>
        <w:rPr>
          <w:rFonts w:hint="eastAsia" w:ascii="宋体" w:hAnsi="宋体"/>
          <w:kern w:val="0"/>
          <w:sz w:val="24"/>
          <w:szCs w:val="24"/>
        </w:rPr>
        <w:t>相同的。依据供应商的磋商响应文件满足磋商文件全部实质性要求前提下，按照评审因素的量化指标评审得分最高的供应商为排名确定成交候选人</w:t>
      </w:r>
      <w:r>
        <w:rPr>
          <w:rFonts w:hint="eastAsia" w:ascii="宋体" w:hAnsi="宋体"/>
          <w:sz w:val="24"/>
          <w:szCs w:val="24"/>
        </w:rPr>
        <w:t>)，并提交评审结果。</w:t>
      </w:r>
      <w:r>
        <w:rPr>
          <w:rFonts w:hint="eastAsia" w:ascii="新宋体" w:hAnsi="新宋体" w:eastAsia="新宋体" w:cs="新宋体"/>
          <w:color w:val="auto"/>
        </w:rPr>
        <w:t>（如第一中标候选人放弃或公示期间取消中标资格，由第二中标候选人直接替换</w:t>
      </w:r>
      <w:r>
        <w:rPr>
          <w:rFonts w:hint="eastAsia" w:ascii="新宋体" w:hAnsi="新宋体" w:eastAsia="新宋体" w:cs="新宋体"/>
          <w:color w:val="auto"/>
          <w:lang w:eastAsia="zh-CN"/>
        </w:rPr>
        <w:t>，</w:t>
      </w:r>
      <w:r>
        <w:rPr>
          <w:rFonts w:hint="eastAsia" w:ascii="新宋体" w:hAnsi="新宋体" w:eastAsia="新宋体" w:cs="新宋体"/>
          <w:color w:val="auto"/>
        </w:rPr>
        <w:t>排名第二的中标候选人因前款规定的同样原因不能签订合同的，招标人可以确定排名第三的中标候选人为中标人。评标过程中如</w:t>
      </w:r>
      <w:r>
        <w:rPr>
          <w:rFonts w:hint="eastAsia" w:ascii="新宋体" w:hAnsi="新宋体" w:eastAsia="新宋体" w:cs="新宋体"/>
        </w:rPr>
        <w:t xml:space="preserve">发现有异常情况，由评委集体讨论决定。） </w:t>
      </w:r>
    </w:p>
    <w:p w14:paraId="18AB5E1E">
      <w:pPr>
        <w:pageBreakBefore w:val="0"/>
        <w:kinsoku/>
        <w:wordWrap/>
        <w:overflowPunct/>
        <w:topLinePunct w:val="0"/>
        <w:autoSpaceDE/>
        <w:autoSpaceDN/>
        <w:bidi w:val="0"/>
        <w:adjustRightInd w:val="0"/>
        <w:snapToGrid w:val="0"/>
        <w:spacing w:line="300" w:lineRule="auto"/>
        <w:ind w:firstLine="0" w:firstLineChars="0"/>
        <w:jc w:val="center"/>
        <w:textAlignment w:val="auto"/>
        <w:outlineLvl w:val="1"/>
        <w:rPr>
          <w:rFonts w:hint="eastAsia" w:ascii="宋体" w:hAnsi="宋体" w:cs="宋体"/>
          <w:b/>
          <w:bCs w:val="0"/>
          <w:sz w:val="24"/>
          <w:szCs w:val="24"/>
          <w:lang w:val="zh-CN" w:eastAsia="zh-CN"/>
        </w:rPr>
      </w:pPr>
      <w:bookmarkStart w:id="925" w:name="_Toc21814"/>
      <w:r>
        <w:rPr>
          <w:rFonts w:hint="eastAsia" w:ascii="宋体" w:hAnsi="宋体" w:cs="宋体"/>
          <w:b/>
          <w:bCs w:val="0"/>
          <w:sz w:val="24"/>
          <w:szCs w:val="24"/>
          <w:lang w:val="zh-CN"/>
        </w:rPr>
        <w:t>三、注意事项</w:t>
      </w:r>
      <w:bookmarkEnd w:id="925"/>
    </w:p>
    <w:p w14:paraId="0812FB88">
      <w:pPr>
        <w:pStyle w:val="4"/>
        <w:pageBreakBefore w:val="0"/>
        <w:kinsoku/>
        <w:wordWrap/>
        <w:overflowPunct/>
        <w:topLinePunct w:val="0"/>
        <w:autoSpaceDE/>
        <w:autoSpaceDN/>
        <w:bidi w:val="0"/>
        <w:spacing w:beforeLines="0" w:afterLines="0" w:line="300" w:lineRule="auto"/>
        <w:ind w:firstLine="480" w:firstLineChars="200"/>
        <w:jc w:val="both"/>
        <w:textAlignment w:val="auto"/>
        <w:rPr>
          <w:rFonts w:ascii="宋体" w:hAnsi="宋体" w:cs="宋体"/>
          <w:bCs w:val="0"/>
          <w:sz w:val="24"/>
          <w:szCs w:val="24"/>
        </w:rPr>
      </w:pPr>
      <w:bookmarkStart w:id="926" w:name="_Toc4226"/>
      <w:bookmarkStart w:id="927" w:name="_Toc13405"/>
      <w:bookmarkStart w:id="928" w:name="_Toc15531"/>
      <w:bookmarkStart w:id="929" w:name="_Toc20451"/>
      <w:bookmarkStart w:id="930" w:name="_Toc23058"/>
      <w:bookmarkStart w:id="931" w:name="_Toc8609"/>
      <w:bookmarkStart w:id="932" w:name="_Toc9597"/>
      <w:bookmarkStart w:id="933" w:name="_Toc2068"/>
      <w:bookmarkStart w:id="934" w:name="_Toc23876"/>
      <w:bookmarkStart w:id="935" w:name="_Toc14071"/>
      <w:bookmarkStart w:id="936" w:name="_Toc2228"/>
      <w:bookmarkStart w:id="937" w:name="_Toc21454"/>
      <w:bookmarkStart w:id="938" w:name="_Toc24833"/>
      <w:bookmarkStart w:id="939" w:name="_Toc13986"/>
      <w:bookmarkStart w:id="940" w:name="_Toc11295"/>
      <w:bookmarkStart w:id="941" w:name="_Toc2652"/>
      <w:bookmarkStart w:id="942" w:name="_Toc7885"/>
      <w:bookmarkStart w:id="943" w:name="_Toc27645"/>
      <w:r>
        <w:rPr>
          <w:rFonts w:hint="eastAsia" w:ascii="宋体" w:hAnsi="宋体" w:cs="宋体"/>
          <w:bCs w:val="0"/>
          <w:sz w:val="24"/>
          <w:szCs w:val="24"/>
        </w:rPr>
        <w:t>6.</w:t>
      </w:r>
      <w:r>
        <w:rPr>
          <w:rFonts w:hint="eastAsia" w:ascii="宋体" w:hAnsi="宋体" w:cs="宋体"/>
          <w:bCs w:val="0"/>
          <w:sz w:val="24"/>
          <w:szCs w:val="24"/>
          <w:lang w:eastAsia="zh-CN"/>
        </w:rPr>
        <w:t>磋商小组</w:t>
      </w:r>
      <w:r>
        <w:rPr>
          <w:rFonts w:hint="eastAsia" w:ascii="宋体" w:hAnsi="宋体" w:cs="宋体"/>
          <w:bCs w:val="0"/>
          <w:sz w:val="24"/>
          <w:szCs w:val="24"/>
        </w:rPr>
        <w:t>认为供应商的报价明显低于其他通过符合性审查供应商的报价，有可能影响产品质量或者不能诚信履约的；</w:t>
      </w:r>
      <w:r>
        <w:rPr>
          <w:rFonts w:hint="eastAsia" w:ascii="宋体" w:hAnsi="宋体" w:cs="宋体"/>
          <w:bCs w:val="0"/>
          <w:sz w:val="24"/>
          <w:szCs w:val="24"/>
          <w:lang w:eastAsia="zh-CN"/>
        </w:rPr>
        <w:t>磋商小组</w:t>
      </w:r>
      <w:r>
        <w:rPr>
          <w:rFonts w:hint="eastAsia" w:ascii="宋体" w:hAnsi="宋体" w:cs="宋体"/>
          <w:bCs w:val="0"/>
          <w:sz w:val="24"/>
          <w:szCs w:val="24"/>
        </w:rPr>
        <w:t>可要求该供应商书面说明并提供相关证明材料。该供应商不能合理说明原因并提供证明材料的，</w:t>
      </w:r>
      <w:r>
        <w:rPr>
          <w:rFonts w:hint="eastAsia" w:ascii="宋体" w:hAnsi="宋体" w:cs="宋体"/>
          <w:bCs w:val="0"/>
          <w:sz w:val="24"/>
          <w:szCs w:val="24"/>
          <w:lang w:eastAsia="zh-CN"/>
        </w:rPr>
        <w:t>磋商小组</w:t>
      </w:r>
      <w:r>
        <w:rPr>
          <w:rFonts w:hint="eastAsia" w:ascii="宋体" w:hAnsi="宋体" w:cs="宋体"/>
          <w:bCs w:val="0"/>
          <w:sz w:val="24"/>
          <w:szCs w:val="24"/>
        </w:rPr>
        <w:t>应将该供应商的采购响应文件作无效处理，同时采购组织机构应将该情况报同级财政部门，并视情将其列入不良供应商名单。</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727CB791">
      <w:pPr>
        <w:pageBreakBefore w:val="0"/>
        <w:shd w:val="clear"/>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b/>
          <w:bCs w:val="0"/>
          <w:color w:val="auto"/>
          <w:sz w:val="24"/>
          <w:szCs w:val="24"/>
          <w:highlight w:val="none"/>
          <w:lang w:val="zh-CN"/>
        </w:rPr>
      </w:pPr>
      <w:r>
        <w:rPr>
          <w:rFonts w:hint="eastAsia" w:ascii="宋体" w:hAnsi="宋体" w:cs="宋体"/>
          <w:b/>
          <w:bCs w:val="0"/>
          <w:color w:val="auto"/>
          <w:sz w:val="24"/>
          <w:szCs w:val="24"/>
          <w:highlight w:val="none"/>
          <w:lang w:val="en-US" w:eastAsia="zh-CN"/>
        </w:rPr>
        <w:t>四</w:t>
      </w:r>
      <w:r>
        <w:rPr>
          <w:rFonts w:hint="eastAsia" w:ascii="宋体" w:hAnsi="宋体" w:cs="宋体"/>
          <w:b/>
          <w:bCs w:val="0"/>
          <w:color w:val="auto"/>
          <w:sz w:val="24"/>
          <w:szCs w:val="24"/>
          <w:highlight w:val="none"/>
          <w:lang w:val="zh-CN"/>
        </w:rPr>
        <w:t>、评分细则</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tbl>
      <w:tblPr>
        <w:tblStyle w:val="40"/>
        <w:tblW w:w="10125" w:type="dxa"/>
        <w:tblInd w:w="-62"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7665"/>
        <w:gridCol w:w="1140"/>
      </w:tblGrid>
      <w:tr w14:paraId="0EF3161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20" w:type="dxa"/>
            <w:tcBorders>
              <w:tl2br w:val="nil"/>
              <w:tr2bl w:val="nil"/>
            </w:tcBorders>
            <w:noWrap w:val="0"/>
            <w:vAlign w:val="center"/>
          </w:tcPr>
          <w:p w14:paraId="314DB5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7665" w:type="dxa"/>
            <w:tcBorders>
              <w:tl2br w:val="nil"/>
              <w:tr2bl w:val="nil"/>
            </w:tcBorders>
            <w:noWrap w:val="0"/>
            <w:vAlign w:val="center"/>
          </w:tcPr>
          <w:p w14:paraId="515544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1140" w:type="dxa"/>
            <w:tcBorders>
              <w:tl2br w:val="nil"/>
              <w:tr2bl w:val="nil"/>
            </w:tcBorders>
            <w:noWrap w:val="0"/>
            <w:vAlign w:val="center"/>
          </w:tcPr>
          <w:p w14:paraId="1A3410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0969419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320" w:type="dxa"/>
            <w:tcBorders>
              <w:tl2br w:val="nil"/>
              <w:tr2bl w:val="nil"/>
            </w:tcBorders>
            <w:noWrap w:val="0"/>
            <w:vAlign w:val="center"/>
          </w:tcPr>
          <w:p w14:paraId="39828C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7665" w:type="dxa"/>
            <w:tcBorders>
              <w:tl2br w:val="nil"/>
              <w:tr2bl w:val="nil"/>
            </w:tcBorders>
            <w:noWrap w:val="0"/>
            <w:vAlign w:val="center"/>
          </w:tcPr>
          <w:p w14:paraId="787C4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本项目最高限价：人民币</w:t>
            </w:r>
            <w:r>
              <w:rPr>
                <w:rFonts w:hint="eastAsia" w:ascii="宋体" w:hAnsi="宋体" w:eastAsia="宋体" w:cs="宋体"/>
                <w:color w:val="auto"/>
                <w:sz w:val="24"/>
                <w:szCs w:val="24"/>
                <w:highlight w:val="none"/>
                <w:lang w:val="en-US" w:eastAsia="zh-CN"/>
              </w:rPr>
              <w:t>270940</w:t>
            </w:r>
            <w:r>
              <w:rPr>
                <w:rFonts w:hint="eastAsia" w:ascii="宋体" w:hAnsi="宋体" w:eastAsia="宋体" w:cs="宋体"/>
                <w:color w:val="auto"/>
                <w:kern w:val="2"/>
                <w:sz w:val="24"/>
                <w:szCs w:val="24"/>
                <w:highlight w:val="none"/>
                <w:lang w:val="en-US" w:eastAsia="zh-CN"/>
              </w:rPr>
              <w:t>元</w:t>
            </w:r>
            <w:r>
              <w:rPr>
                <w:rFonts w:hint="eastAsia" w:ascii="宋体" w:hAnsi="宋体" w:eastAsia="宋体" w:cs="宋体"/>
                <w:color w:val="auto"/>
                <w:kern w:val="2"/>
                <w:sz w:val="24"/>
                <w:szCs w:val="24"/>
                <w:highlight w:val="none"/>
              </w:rPr>
              <w:t>；评标基准价为满足评标要求且投标价格最低的投标报价，报价得分=(评标基准价／投标报价)×</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100</w:t>
            </w:r>
            <w:r>
              <w:rPr>
                <w:rFonts w:hint="eastAsia" w:ascii="宋体" w:hAnsi="宋体" w:eastAsia="宋体" w:cs="宋体"/>
                <w:color w:val="auto"/>
                <w:kern w:val="2"/>
                <w:sz w:val="24"/>
                <w:szCs w:val="24"/>
                <w:highlight w:val="none"/>
              </w:rPr>
              <w:t>，四舍五入，保留两位小数。报价高于最高限价的，为无效投标文件。</w:t>
            </w:r>
          </w:p>
        </w:tc>
        <w:tc>
          <w:tcPr>
            <w:tcW w:w="1140" w:type="dxa"/>
            <w:tcBorders>
              <w:tl2br w:val="nil"/>
              <w:tr2bl w:val="nil"/>
            </w:tcBorders>
            <w:noWrap w:val="0"/>
            <w:vAlign w:val="center"/>
          </w:tcPr>
          <w:p w14:paraId="0DDF3E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0-30</w:t>
            </w:r>
            <w:r>
              <w:rPr>
                <w:rFonts w:hint="eastAsia" w:ascii="宋体" w:hAnsi="宋体" w:eastAsia="宋体" w:cs="宋体"/>
                <w:color w:val="auto"/>
                <w:sz w:val="24"/>
                <w:szCs w:val="24"/>
                <w:highlight w:val="none"/>
              </w:rPr>
              <w:t>分</w:t>
            </w:r>
          </w:p>
        </w:tc>
      </w:tr>
      <w:tr w14:paraId="033AB97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320" w:type="dxa"/>
            <w:tcBorders>
              <w:tl2br w:val="nil"/>
              <w:tr2bl w:val="nil"/>
            </w:tcBorders>
            <w:noWrap w:val="0"/>
            <w:vAlign w:val="center"/>
          </w:tcPr>
          <w:p w14:paraId="16658A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rPr>
              <w:t>业绩</w:t>
            </w:r>
          </w:p>
        </w:tc>
        <w:tc>
          <w:tcPr>
            <w:tcW w:w="7665" w:type="dxa"/>
            <w:tcBorders>
              <w:tl2br w:val="nil"/>
              <w:tr2bl w:val="nil"/>
            </w:tcBorders>
            <w:noWrap w:val="0"/>
            <w:vAlign w:val="center"/>
          </w:tcPr>
          <w:p w14:paraId="0B4ED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trike w:val="0"/>
                <w:dstrike w:val="0"/>
                <w:color w:val="auto"/>
                <w:kern w:val="2"/>
                <w:sz w:val="24"/>
                <w:szCs w:val="24"/>
                <w:highlight w:val="none"/>
              </w:rPr>
            </w:pPr>
            <w:r>
              <w:rPr>
                <w:rFonts w:hint="eastAsia" w:ascii="宋体" w:hAnsi="宋体" w:eastAsia="宋体" w:cs="宋体"/>
                <w:strike w:val="0"/>
                <w:dstrike w:val="0"/>
                <w:color w:val="auto"/>
                <w:kern w:val="2"/>
                <w:sz w:val="24"/>
                <w:szCs w:val="24"/>
                <w:highlight w:val="none"/>
              </w:rPr>
              <w:t>投标人自202</w:t>
            </w:r>
            <w:r>
              <w:rPr>
                <w:rFonts w:hint="eastAsia" w:ascii="宋体" w:hAnsi="宋体" w:cs="宋体"/>
                <w:strike w:val="0"/>
                <w:dstrike w:val="0"/>
                <w:color w:val="auto"/>
                <w:kern w:val="2"/>
                <w:sz w:val="24"/>
                <w:szCs w:val="24"/>
                <w:highlight w:val="none"/>
                <w:lang w:val="en-US" w:eastAsia="zh-CN"/>
              </w:rPr>
              <w:t>2</w:t>
            </w:r>
            <w:r>
              <w:rPr>
                <w:rFonts w:hint="eastAsia" w:ascii="宋体" w:hAnsi="宋体" w:eastAsia="宋体" w:cs="宋体"/>
                <w:strike w:val="0"/>
                <w:dstrike w:val="0"/>
                <w:color w:val="auto"/>
                <w:kern w:val="2"/>
                <w:sz w:val="24"/>
                <w:szCs w:val="24"/>
                <w:highlight w:val="none"/>
              </w:rPr>
              <w:t>年1月1日（具体以合同签订时间为准）以来，承接过类似项目</w:t>
            </w:r>
            <w:r>
              <w:rPr>
                <w:rFonts w:hint="eastAsia" w:ascii="宋体" w:hAnsi="宋体" w:eastAsia="宋体" w:cs="宋体"/>
                <w:strike w:val="0"/>
                <w:dstrike w:val="0"/>
                <w:color w:val="auto"/>
                <w:kern w:val="2"/>
                <w:sz w:val="24"/>
                <w:szCs w:val="24"/>
                <w:highlight w:val="none"/>
                <w:lang w:val="en-US" w:eastAsia="zh-CN"/>
              </w:rPr>
              <w:t>的</w:t>
            </w:r>
            <w:r>
              <w:rPr>
                <w:rFonts w:hint="eastAsia" w:ascii="宋体" w:hAnsi="宋体" w:eastAsia="宋体" w:cs="宋体"/>
                <w:strike w:val="0"/>
                <w:dstrike w:val="0"/>
                <w:color w:val="auto"/>
                <w:kern w:val="2"/>
                <w:sz w:val="24"/>
                <w:szCs w:val="24"/>
                <w:highlight w:val="none"/>
              </w:rPr>
              <w:t>，每</w:t>
            </w:r>
            <w:r>
              <w:rPr>
                <w:rFonts w:hint="eastAsia" w:ascii="宋体" w:hAnsi="宋体" w:eastAsia="宋体" w:cs="宋体"/>
                <w:strike w:val="0"/>
                <w:dstrike w:val="0"/>
                <w:color w:val="auto"/>
                <w:kern w:val="2"/>
                <w:sz w:val="24"/>
                <w:szCs w:val="24"/>
                <w:highlight w:val="none"/>
                <w:lang w:val="en-US" w:eastAsia="zh-CN"/>
              </w:rPr>
              <w:t>个</w:t>
            </w:r>
            <w:r>
              <w:rPr>
                <w:rFonts w:hint="eastAsia" w:ascii="宋体" w:hAnsi="宋体" w:eastAsia="宋体" w:cs="宋体"/>
                <w:strike w:val="0"/>
                <w:dstrike w:val="0"/>
                <w:color w:val="auto"/>
                <w:kern w:val="2"/>
                <w:sz w:val="24"/>
                <w:szCs w:val="24"/>
                <w:highlight w:val="none"/>
              </w:rPr>
              <w:t>得</w:t>
            </w:r>
            <w:r>
              <w:rPr>
                <w:rFonts w:hint="eastAsia" w:ascii="宋体" w:hAnsi="宋体" w:eastAsia="宋体" w:cs="宋体"/>
                <w:strike w:val="0"/>
                <w:dstrike w:val="0"/>
                <w:color w:val="auto"/>
                <w:kern w:val="2"/>
                <w:sz w:val="24"/>
                <w:szCs w:val="24"/>
                <w:highlight w:val="none"/>
                <w:lang w:val="en-US" w:eastAsia="zh-CN"/>
              </w:rPr>
              <w:t>1</w:t>
            </w:r>
            <w:r>
              <w:rPr>
                <w:rFonts w:hint="eastAsia" w:ascii="宋体" w:hAnsi="宋体" w:eastAsia="宋体" w:cs="宋体"/>
                <w:strike w:val="0"/>
                <w:dstrike w:val="0"/>
                <w:color w:val="auto"/>
                <w:kern w:val="2"/>
                <w:sz w:val="24"/>
                <w:szCs w:val="24"/>
                <w:highlight w:val="none"/>
              </w:rPr>
              <w:t>分，最高得</w:t>
            </w:r>
            <w:r>
              <w:rPr>
                <w:rFonts w:hint="eastAsia" w:ascii="宋体" w:hAnsi="宋体" w:cs="宋体"/>
                <w:strike w:val="0"/>
                <w:dstrike w:val="0"/>
                <w:color w:val="auto"/>
                <w:kern w:val="2"/>
                <w:sz w:val="24"/>
                <w:szCs w:val="24"/>
                <w:highlight w:val="none"/>
                <w:lang w:val="en-US" w:eastAsia="zh-CN"/>
              </w:rPr>
              <w:t>1</w:t>
            </w:r>
            <w:r>
              <w:rPr>
                <w:rFonts w:hint="eastAsia" w:ascii="宋体" w:hAnsi="宋体" w:eastAsia="宋体" w:cs="宋体"/>
                <w:strike w:val="0"/>
                <w:dstrike w:val="0"/>
                <w:color w:val="auto"/>
                <w:kern w:val="2"/>
                <w:sz w:val="24"/>
                <w:szCs w:val="24"/>
                <w:highlight w:val="none"/>
              </w:rPr>
              <w:t>分。</w:t>
            </w:r>
          </w:p>
          <w:p w14:paraId="77DE3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注：须提供</w:t>
            </w:r>
            <w:r>
              <w:rPr>
                <w:rFonts w:hint="eastAsia" w:ascii="宋体" w:hAnsi="宋体" w:eastAsia="宋体" w:cs="宋体"/>
                <w:b/>
                <w:bCs/>
                <w:color w:val="auto"/>
                <w:kern w:val="2"/>
                <w:sz w:val="24"/>
                <w:szCs w:val="24"/>
                <w:highlight w:val="none"/>
                <w:lang w:val="en-US" w:eastAsia="zh-CN"/>
              </w:rPr>
              <w:t>合同及中标通知书复印件</w:t>
            </w:r>
            <w:r>
              <w:rPr>
                <w:rFonts w:hint="eastAsia" w:ascii="宋体" w:hAnsi="宋体" w:eastAsia="宋体" w:cs="宋体"/>
                <w:b/>
                <w:bCs/>
                <w:color w:val="auto"/>
                <w:kern w:val="2"/>
                <w:sz w:val="24"/>
                <w:szCs w:val="24"/>
                <w:highlight w:val="none"/>
              </w:rPr>
              <w:t>并加盖公章，否则不得分。</w:t>
            </w:r>
          </w:p>
        </w:tc>
        <w:tc>
          <w:tcPr>
            <w:tcW w:w="1140" w:type="dxa"/>
            <w:tcBorders>
              <w:tl2br w:val="nil"/>
              <w:tr2bl w:val="nil"/>
            </w:tcBorders>
            <w:noWrap w:val="0"/>
            <w:vAlign w:val="center"/>
          </w:tcPr>
          <w:p w14:paraId="17825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4EED90A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320" w:type="dxa"/>
            <w:tcBorders>
              <w:tl2br w:val="nil"/>
              <w:tr2bl w:val="nil"/>
            </w:tcBorders>
            <w:noWrap w:val="0"/>
            <w:vAlign w:val="center"/>
          </w:tcPr>
          <w:p w14:paraId="25819C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60" w:rightChars="-25" w:firstLine="0" w:firstLineChars="0"/>
              <w:jc w:val="center"/>
              <w:textAlignment w:val="auto"/>
              <w:rPr>
                <w:rFonts w:hint="eastAsia" w:ascii="宋体" w:hAnsi="宋体" w:eastAsia="宋体" w:cs="宋体"/>
                <w:b w:val="0"/>
                <w:bCs w:val="0"/>
                <w:color w:val="FF0000"/>
                <w:sz w:val="24"/>
                <w:szCs w:val="24"/>
                <w:highlight w:val="none"/>
                <w:lang w:val="en-US"/>
              </w:rPr>
            </w:pPr>
            <w:r>
              <w:rPr>
                <w:rFonts w:hint="eastAsia" w:ascii="宋体" w:hAnsi="宋体" w:eastAsia="宋体" w:cs="宋体"/>
                <w:sz w:val="24"/>
                <w:szCs w:val="24"/>
              </w:rPr>
              <w:t>技术参数响应情况</w:t>
            </w:r>
          </w:p>
        </w:tc>
        <w:tc>
          <w:tcPr>
            <w:tcW w:w="7665" w:type="dxa"/>
            <w:tcBorders>
              <w:tl2br w:val="nil"/>
              <w:tr2bl w:val="nil"/>
            </w:tcBorders>
            <w:noWrap w:val="0"/>
            <w:vAlign w:val="center"/>
          </w:tcPr>
          <w:p w14:paraId="1362C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rPr>
            </w:pPr>
            <w:r>
              <w:rPr>
                <w:rFonts w:hint="eastAsia" w:ascii="宋体" w:hAnsi="宋体" w:eastAsia="宋体" w:cs="宋体"/>
                <w:strike w:val="0"/>
                <w:dstrike w:val="0"/>
                <w:color w:val="auto"/>
                <w:kern w:val="2"/>
                <w:sz w:val="24"/>
                <w:szCs w:val="24"/>
                <w:highlight w:val="none"/>
                <w:lang w:val="zh-TW" w:eastAsia="zh-TW"/>
              </w:rPr>
              <w:t>满足采购文件明确的全部技术条款要求的该项得</w:t>
            </w:r>
            <w:r>
              <w:rPr>
                <w:rFonts w:hint="eastAsia" w:ascii="宋体" w:hAnsi="宋体" w:cs="宋体"/>
                <w:strike w:val="0"/>
                <w:dstrike w:val="0"/>
                <w:color w:val="auto"/>
                <w:kern w:val="2"/>
                <w:sz w:val="24"/>
                <w:szCs w:val="24"/>
                <w:highlight w:val="none"/>
                <w:lang w:val="en-US" w:eastAsia="zh-CN"/>
              </w:rPr>
              <w:t>8</w:t>
            </w:r>
            <w:r>
              <w:rPr>
                <w:rFonts w:hint="eastAsia" w:ascii="宋体" w:hAnsi="宋体" w:eastAsia="宋体" w:cs="宋体"/>
                <w:strike w:val="0"/>
                <w:dstrike w:val="0"/>
                <w:color w:val="auto"/>
                <w:kern w:val="2"/>
                <w:sz w:val="24"/>
                <w:szCs w:val="24"/>
                <w:highlight w:val="none"/>
                <w:lang w:val="zh-TW" w:eastAsia="zh-TW"/>
              </w:rPr>
              <w:t>分；</w:t>
            </w:r>
            <w:r>
              <w:rPr>
                <w:rFonts w:hint="eastAsia" w:ascii="宋体" w:hAnsi="宋体" w:eastAsia="宋体" w:cs="宋体"/>
                <w:strike w:val="0"/>
                <w:dstrike w:val="0"/>
                <w:color w:val="auto"/>
                <w:kern w:val="2"/>
                <w:sz w:val="24"/>
                <w:szCs w:val="24"/>
                <w:highlight w:val="none"/>
              </w:rPr>
              <w:t>对技术参数负偏离或缺漏项的每项扣</w:t>
            </w:r>
            <w:r>
              <w:rPr>
                <w:rFonts w:hint="eastAsia" w:ascii="宋体" w:hAnsi="宋体" w:eastAsia="宋体" w:cs="宋体"/>
                <w:strike w:val="0"/>
                <w:dstrike w:val="0"/>
                <w:color w:val="auto"/>
                <w:kern w:val="2"/>
                <w:sz w:val="24"/>
                <w:szCs w:val="24"/>
                <w:highlight w:val="none"/>
                <w:lang w:val="en-US" w:eastAsia="zh-CN"/>
              </w:rPr>
              <w:t>0.5</w:t>
            </w:r>
            <w:r>
              <w:rPr>
                <w:rFonts w:hint="eastAsia" w:ascii="宋体" w:hAnsi="宋体" w:eastAsia="宋体" w:cs="宋体"/>
                <w:strike w:val="0"/>
                <w:dstrike w:val="0"/>
                <w:color w:val="auto"/>
                <w:kern w:val="2"/>
                <w:sz w:val="24"/>
                <w:szCs w:val="24"/>
                <w:highlight w:val="none"/>
              </w:rPr>
              <w:t>分，扣完为止</w:t>
            </w:r>
            <w:r>
              <w:rPr>
                <w:rFonts w:hint="eastAsia" w:ascii="宋体" w:hAnsi="宋体" w:eastAsia="宋体" w:cs="宋体"/>
                <w:strike w:val="0"/>
                <w:dstrike w:val="0"/>
                <w:color w:val="auto"/>
                <w:kern w:val="2"/>
                <w:sz w:val="24"/>
                <w:szCs w:val="24"/>
                <w:highlight w:val="none"/>
                <w:lang w:eastAsia="zh-CN"/>
              </w:rPr>
              <w:t>。</w:t>
            </w:r>
          </w:p>
        </w:tc>
        <w:tc>
          <w:tcPr>
            <w:tcW w:w="1140" w:type="dxa"/>
            <w:tcBorders>
              <w:tl2br w:val="nil"/>
              <w:tr2bl w:val="nil"/>
            </w:tcBorders>
            <w:noWrap w:val="0"/>
            <w:vAlign w:val="center"/>
          </w:tcPr>
          <w:p w14:paraId="3F0B68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color w:val="auto"/>
                <w:kern w:val="2"/>
                <w:sz w:val="24"/>
                <w:szCs w:val="24"/>
                <w:lang w:val="en-US" w:eastAsia="zh-CN"/>
              </w:rPr>
              <w:t>0-</w:t>
            </w:r>
            <w:r>
              <w:rPr>
                <w:rFonts w:hint="eastAsia" w:ascii="宋体" w:hAnsi="宋体" w:cs="宋体"/>
                <w:color w:val="auto"/>
                <w:kern w:val="2"/>
                <w:sz w:val="24"/>
                <w:szCs w:val="24"/>
                <w:lang w:val="en-US" w:eastAsia="zh-CN"/>
              </w:rPr>
              <w:t>8</w:t>
            </w:r>
            <w:r>
              <w:rPr>
                <w:rFonts w:hint="eastAsia" w:ascii="宋体" w:hAnsi="宋体" w:eastAsia="宋体" w:cs="宋体"/>
                <w:color w:val="auto"/>
                <w:kern w:val="2"/>
                <w:sz w:val="24"/>
                <w:szCs w:val="24"/>
                <w:lang w:val="en-US" w:eastAsia="zh-CN"/>
              </w:rPr>
              <w:t>分</w:t>
            </w:r>
          </w:p>
        </w:tc>
      </w:tr>
      <w:tr w14:paraId="721A75E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10" w:hRule="atLeast"/>
        </w:trPr>
        <w:tc>
          <w:tcPr>
            <w:tcW w:w="1320" w:type="dxa"/>
            <w:tcBorders>
              <w:tl2br w:val="nil"/>
              <w:tr2bl w:val="nil"/>
            </w:tcBorders>
            <w:noWrap w:val="0"/>
            <w:vAlign w:val="center"/>
          </w:tcPr>
          <w:p w14:paraId="4A111C4E">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sz w:val="24"/>
              </w:rPr>
              <w:t>设计方案</w:t>
            </w:r>
          </w:p>
        </w:tc>
        <w:tc>
          <w:tcPr>
            <w:tcW w:w="7665" w:type="dxa"/>
            <w:tcBorders>
              <w:tl2br w:val="nil"/>
              <w:tr2bl w:val="nil"/>
            </w:tcBorders>
            <w:noWrap w:val="0"/>
            <w:vAlign w:val="center"/>
          </w:tcPr>
          <w:p w14:paraId="230947FB">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rPr>
            </w:pPr>
            <w:r>
              <w:rPr>
                <w:rFonts w:hint="eastAsia" w:ascii="宋体" w:hAnsi="宋体" w:eastAsia="宋体" w:cs="宋体"/>
                <w:strike w:val="0"/>
                <w:dstrike w:val="0"/>
                <w:color w:val="auto"/>
                <w:kern w:val="2"/>
                <w:sz w:val="24"/>
                <w:szCs w:val="24"/>
                <w:highlight w:val="none"/>
              </w:rPr>
              <w:t>根据投标人</w:t>
            </w:r>
            <w:r>
              <w:rPr>
                <w:rFonts w:hint="eastAsia" w:ascii="宋体" w:hAnsi="宋体" w:eastAsia="宋体" w:cs="宋体"/>
                <w:strike w:val="0"/>
                <w:dstrike w:val="0"/>
                <w:color w:val="auto"/>
                <w:kern w:val="2"/>
                <w:sz w:val="24"/>
                <w:szCs w:val="24"/>
                <w:highlight w:val="none"/>
                <w:lang w:val="en-US" w:eastAsia="zh-CN"/>
              </w:rPr>
              <w:t>提供</w:t>
            </w:r>
            <w:r>
              <w:rPr>
                <w:rFonts w:hint="eastAsia" w:ascii="宋体" w:hAnsi="宋体" w:eastAsia="宋体" w:cs="宋体"/>
                <w:strike w:val="0"/>
                <w:dstrike w:val="0"/>
                <w:color w:val="auto"/>
                <w:kern w:val="2"/>
                <w:sz w:val="24"/>
                <w:szCs w:val="24"/>
                <w:highlight w:val="none"/>
              </w:rPr>
              <w:t>的设计方案是</w:t>
            </w:r>
            <w:r>
              <w:rPr>
                <w:rFonts w:hint="eastAsia" w:ascii="宋体" w:hAnsi="宋体" w:eastAsia="宋体" w:cs="宋体"/>
                <w:strike w:val="0"/>
                <w:dstrike w:val="0"/>
                <w:color w:val="auto"/>
                <w:kern w:val="2"/>
                <w:sz w:val="24"/>
                <w:szCs w:val="24"/>
                <w:highlight w:val="none"/>
                <w:lang w:val="en-US" w:eastAsia="zh-CN"/>
              </w:rPr>
              <w:t>否完整科学、是</w:t>
            </w:r>
            <w:r>
              <w:rPr>
                <w:rFonts w:hint="eastAsia" w:ascii="宋体" w:hAnsi="宋体" w:eastAsia="宋体" w:cs="宋体"/>
                <w:strike w:val="0"/>
                <w:dstrike w:val="0"/>
                <w:color w:val="auto"/>
                <w:kern w:val="2"/>
                <w:sz w:val="24"/>
                <w:szCs w:val="24"/>
                <w:highlight w:val="none"/>
              </w:rPr>
              <w:t>否符合本项目的</w:t>
            </w:r>
            <w:r>
              <w:rPr>
                <w:rFonts w:hint="eastAsia" w:ascii="宋体" w:hAnsi="宋体" w:eastAsia="宋体" w:cs="宋体"/>
                <w:strike w:val="0"/>
                <w:dstrike w:val="0"/>
                <w:color w:val="auto"/>
                <w:kern w:val="2"/>
                <w:sz w:val="24"/>
                <w:szCs w:val="24"/>
                <w:highlight w:val="none"/>
                <w:lang w:val="en-US" w:eastAsia="zh-CN"/>
              </w:rPr>
              <w:t>采购需求</w:t>
            </w:r>
            <w:r>
              <w:rPr>
                <w:rFonts w:hint="eastAsia" w:ascii="宋体" w:hAnsi="宋体" w:eastAsia="宋体" w:cs="宋体"/>
                <w:strike w:val="0"/>
                <w:dstrike w:val="0"/>
                <w:color w:val="auto"/>
                <w:kern w:val="2"/>
                <w:sz w:val="24"/>
                <w:szCs w:val="24"/>
                <w:highlight w:val="none"/>
              </w:rPr>
              <w:t>，</w:t>
            </w:r>
            <w:r>
              <w:rPr>
                <w:rFonts w:hint="eastAsia" w:ascii="宋体" w:hAnsi="宋体" w:eastAsia="宋体" w:cs="宋体"/>
                <w:strike w:val="0"/>
                <w:dstrike w:val="0"/>
                <w:color w:val="auto"/>
                <w:kern w:val="2"/>
                <w:sz w:val="24"/>
                <w:szCs w:val="24"/>
                <w:highlight w:val="none"/>
                <w:lang w:val="en-US" w:eastAsia="zh-CN"/>
              </w:rPr>
              <w:t>是否</w:t>
            </w:r>
            <w:r>
              <w:rPr>
                <w:rFonts w:hint="eastAsia" w:ascii="宋体" w:hAnsi="宋体" w:eastAsia="宋体" w:cs="宋体"/>
                <w:strike w:val="0"/>
                <w:dstrike w:val="0"/>
                <w:color w:val="auto"/>
                <w:kern w:val="2"/>
                <w:sz w:val="24"/>
                <w:szCs w:val="24"/>
                <w:highlight w:val="none"/>
              </w:rPr>
              <w:t>能有效执行</w:t>
            </w:r>
            <w:r>
              <w:rPr>
                <w:rFonts w:hint="eastAsia" w:ascii="宋体" w:hAnsi="宋体" w:eastAsia="宋体" w:cs="宋体"/>
                <w:strike w:val="0"/>
                <w:dstrike w:val="0"/>
                <w:color w:val="auto"/>
                <w:kern w:val="2"/>
                <w:sz w:val="24"/>
                <w:szCs w:val="24"/>
                <w:highlight w:val="none"/>
                <w:lang w:val="en-US" w:eastAsia="zh-CN"/>
              </w:rPr>
              <w:t>等情况由评委</w:t>
            </w:r>
            <w:r>
              <w:rPr>
                <w:rFonts w:hint="eastAsia" w:ascii="宋体" w:hAnsi="宋体" w:eastAsia="宋体" w:cs="宋体"/>
                <w:b w:val="0"/>
                <w:bCs w:val="0"/>
                <w:i w:val="0"/>
                <w:kern w:val="2"/>
                <w:sz w:val="24"/>
                <w:szCs w:val="24"/>
                <w:highlight w:val="none"/>
                <w:u w:val="none"/>
                <w:lang w:val="en-US" w:eastAsia="zh-CN" w:bidi="ar"/>
              </w:rPr>
              <w:t>进行综合评审，</w:t>
            </w:r>
            <w:r>
              <w:rPr>
                <w:rFonts w:hint="eastAsia" w:ascii="宋体" w:hAnsi="宋体" w:eastAsia="宋体" w:cs="宋体"/>
                <w:b w:val="0"/>
                <w:bCs w:val="0"/>
                <w:i w:val="0"/>
                <w:color w:val="auto"/>
                <w:kern w:val="2"/>
                <w:sz w:val="24"/>
                <w:szCs w:val="24"/>
                <w:highlight w:val="none"/>
                <w:u w:val="none"/>
                <w:lang w:val="en-US" w:eastAsia="zh-CN" w:bidi="ar"/>
              </w:rPr>
              <w:t>最高得5分（5、4、3、2、1、0）。</w:t>
            </w:r>
          </w:p>
          <w:p w14:paraId="0F9E6937">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rPr>
            </w:pPr>
            <w:r>
              <w:rPr>
                <w:rFonts w:hint="eastAsia" w:ascii="宋体" w:hAnsi="宋体" w:eastAsia="宋体" w:cs="宋体"/>
                <w:strike w:val="0"/>
                <w:dstrike w:val="0"/>
                <w:color w:val="auto"/>
                <w:kern w:val="2"/>
                <w:sz w:val="24"/>
                <w:szCs w:val="24"/>
                <w:highlight w:val="none"/>
                <w:lang w:val="en-US" w:eastAsia="zh-CN"/>
              </w:rPr>
              <w:t>根据投标人针对本项目的设计功能划分是否</w:t>
            </w:r>
            <w:r>
              <w:rPr>
                <w:rFonts w:hint="eastAsia" w:ascii="宋体" w:hAnsi="宋体" w:eastAsia="宋体" w:cs="宋体"/>
                <w:strike w:val="0"/>
                <w:dstrike w:val="0"/>
                <w:color w:val="auto"/>
                <w:kern w:val="2"/>
                <w:sz w:val="24"/>
                <w:szCs w:val="24"/>
                <w:highlight w:val="none"/>
              </w:rPr>
              <w:t>符合本项目的</w:t>
            </w:r>
            <w:r>
              <w:rPr>
                <w:rFonts w:hint="eastAsia" w:ascii="宋体" w:hAnsi="宋体" w:eastAsia="宋体" w:cs="宋体"/>
                <w:strike w:val="0"/>
                <w:dstrike w:val="0"/>
                <w:color w:val="auto"/>
                <w:kern w:val="2"/>
                <w:sz w:val="24"/>
                <w:szCs w:val="24"/>
                <w:highlight w:val="none"/>
                <w:lang w:val="en-US" w:eastAsia="zh-CN"/>
              </w:rPr>
              <w:t>采购</w:t>
            </w:r>
            <w:r>
              <w:rPr>
                <w:rFonts w:hint="eastAsia" w:ascii="宋体" w:hAnsi="宋体" w:eastAsia="宋体" w:cs="宋体"/>
                <w:strike w:val="0"/>
                <w:dstrike w:val="0"/>
                <w:color w:val="auto"/>
                <w:kern w:val="2"/>
                <w:sz w:val="24"/>
                <w:szCs w:val="24"/>
                <w:highlight w:val="none"/>
              </w:rPr>
              <w:t>要求</w:t>
            </w:r>
            <w:r>
              <w:rPr>
                <w:rFonts w:hint="eastAsia" w:ascii="宋体" w:hAnsi="宋体" w:eastAsia="宋体" w:cs="宋体"/>
                <w:strike w:val="0"/>
                <w:dstrike w:val="0"/>
                <w:color w:val="auto"/>
                <w:kern w:val="2"/>
                <w:sz w:val="24"/>
                <w:szCs w:val="24"/>
                <w:highlight w:val="none"/>
                <w:lang w:eastAsia="zh-CN"/>
              </w:rPr>
              <w:t>，</w:t>
            </w:r>
            <w:r>
              <w:rPr>
                <w:rFonts w:hint="eastAsia" w:ascii="宋体" w:hAnsi="宋体" w:eastAsia="宋体" w:cs="宋体"/>
                <w:strike w:val="0"/>
                <w:dstrike w:val="0"/>
                <w:color w:val="auto"/>
                <w:kern w:val="2"/>
                <w:sz w:val="24"/>
                <w:szCs w:val="24"/>
                <w:highlight w:val="none"/>
                <w:lang w:val="en-US" w:eastAsia="zh-CN"/>
              </w:rPr>
              <w:t>是否</w:t>
            </w:r>
            <w:r>
              <w:rPr>
                <w:rFonts w:hint="eastAsia" w:ascii="宋体" w:hAnsi="宋体" w:eastAsia="宋体" w:cs="宋体"/>
                <w:strike w:val="0"/>
                <w:dstrike w:val="0"/>
                <w:color w:val="auto"/>
                <w:kern w:val="2"/>
                <w:sz w:val="24"/>
                <w:szCs w:val="24"/>
                <w:highlight w:val="none"/>
              </w:rPr>
              <w:t>合理</w:t>
            </w:r>
            <w:r>
              <w:rPr>
                <w:rFonts w:hint="eastAsia" w:ascii="宋体" w:hAnsi="宋体" w:eastAsia="宋体" w:cs="宋体"/>
                <w:strike w:val="0"/>
                <w:dstrike w:val="0"/>
                <w:color w:val="auto"/>
                <w:kern w:val="2"/>
                <w:sz w:val="24"/>
                <w:szCs w:val="24"/>
                <w:highlight w:val="none"/>
                <w:lang w:val="en-US" w:eastAsia="zh-CN"/>
              </w:rPr>
              <w:t>有序</w:t>
            </w:r>
            <w:r>
              <w:rPr>
                <w:rFonts w:hint="eastAsia" w:ascii="宋体" w:hAnsi="宋体" w:eastAsia="宋体" w:cs="宋体"/>
                <w:strike w:val="0"/>
                <w:dstrike w:val="0"/>
                <w:color w:val="auto"/>
                <w:kern w:val="2"/>
                <w:sz w:val="24"/>
                <w:szCs w:val="24"/>
                <w:highlight w:val="none"/>
              </w:rPr>
              <w:t>，</w:t>
            </w:r>
            <w:r>
              <w:rPr>
                <w:rFonts w:hint="eastAsia" w:ascii="宋体" w:hAnsi="宋体" w:eastAsia="宋体" w:cs="宋体"/>
                <w:strike w:val="0"/>
                <w:dstrike w:val="0"/>
                <w:color w:val="auto"/>
                <w:kern w:val="2"/>
                <w:sz w:val="24"/>
                <w:szCs w:val="24"/>
                <w:highlight w:val="none"/>
                <w:lang w:val="en-US" w:eastAsia="zh-CN"/>
              </w:rPr>
              <w:t>是否具有视觉冲击力等情况由评委</w:t>
            </w:r>
            <w:r>
              <w:rPr>
                <w:rFonts w:hint="eastAsia" w:ascii="宋体" w:hAnsi="宋体" w:eastAsia="宋体" w:cs="宋体"/>
                <w:b w:val="0"/>
                <w:bCs w:val="0"/>
                <w:i w:val="0"/>
                <w:kern w:val="2"/>
                <w:sz w:val="24"/>
                <w:szCs w:val="24"/>
                <w:highlight w:val="none"/>
                <w:u w:val="none"/>
                <w:lang w:val="en-US" w:eastAsia="zh-CN" w:bidi="ar"/>
              </w:rPr>
              <w:t>进行综合评审，</w:t>
            </w:r>
            <w:r>
              <w:rPr>
                <w:rFonts w:hint="eastAsia" w:ascii="宋体" w:hAnsi="宋体" w:eastAsia="宋体" w:cs="宋体"/>
                <w:b w:val="0"/>
                <w:bCs w:val="0"/>
                <w:i w:val="0"/>
                <w:color w:val="auto"/>
                <w:kern w:val="2"/>
                <w:sz w:val="24"/>
                <w:szCs w:val="24"/>
                <w:highlight w:val="none"/>
                <w:u w:val="none"/>
                <w:lang w:val="en-US" w:eastAsia="zh-CN" w:bidi="ar"/>
              </w:rPr>
              <w:t>最高得5分（5、4、3、2、1、0）。</w:t>
            </w:r>
          </w:p>
          <w:p w14:paraId="4EC29A75">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rPr>
            </w:pPr>
            <w:r>
              <w:rPr>
                <w:rFonts w:hint="eastAsia" w:ascii="宋体" w:hAnsi="宋体" w:eastAsia="宋体" w:cs="宋体"/>
                <w:strike w:val="0"/>
                <w:dstrike w:val="0"/>
                <w:color w:val="auto"/>
                <w:kern w:val="2"/>
                <w:sz w:val="24"/>
                <w:szCs w:val="24"/>
                <w:highlight w:val="none"/>
                <w:lang w:val="en-US" w:eastAsia="zh-CN"/>
              </w:rPr>
              <w:t>根据投标人提供的设计方案在</w:t>
            </w:r>
            <w:r>
              <w:rPr>
                <w:rFonts w:hint="eastAsia" w:ascii="宋体" w:hAnsi="宋体" w:eastAsia="宋体" w:cs="宋体"/>
                <w:strike w:val="0"/>
                <w:dstrike w:val="0"/>
                <w:color w:val="auto"/>
                <w:kern w:val="2"/>
                <w:sz w:val="24"/>
                <w:szCs w:val="24"/>
                <w:highlight w:val="none"/>
              </w:rPr>
              <w:t>满足区域需求的同时</w:t>
            </w:r>
            <w:r>
              <w:rPr>
                <w:rFonts w:hint="eastAsia" w:ascii="宋体" w:hAnsi="宋体" w:eastAsia="宋体" w:cs="宋体"/>
                <w:strike w:val="0"/>
                <w:dstrike w:val="0"/>
                <w:color w:val="auto"/>
                <w:kern w:val="2"/>
                <w:sz w:val="24"/>
                <w:szCs w:val="24"/>
                <w:highlight w:val="none"/>
                <w:lang w:eastAsia="zh-CN"/>
              </w:rPr>
              <w:t>，</w:t>
            </w:r>
            <w:r>
              <w:rPr>
                <w:rFonts w:hint="eastAsia" w:ascii="宋体" w:hAnsi="宋体" w:eastAsia="宋体" w:cs="宋体"/>
                <w:strike w:val="0"/>
                <w:dstrike w:val="0"/>
                <w:color w:val="auto"/>
                <w:kern w:val="2"/>
                <w:sz w:val="24"/>
                <w:szCs w:val="24"/>
                <w:highlight w:val="none"/>
              </w:rPr>
              <w:t>能</w:t>
            </w:r>
            <w:r>
              <w:rPr>
                <w:rFonts w:hint="eastAsia" w:ascii="宋体" w:hAnsi="宋体" w:eastAsia="宋体" w:cs="宋体"/>
                <w:strike w:val="0"/>
                <w:dstrike w:val="0"/>
                <w:color w:val="auto"/>
                <w:kern w:val="2"/>
                <w:sz w:val="24"/>
                <w:szCs w:val="24"/>
                <w:highlight w:val="none"/>
                <w:lang w:val="en-US" w:eastAsia="zh-CN"/>
              </w:rPr>
              <w:t>否</w:t>
            </w:r>
            <w:r>
              <w:rPr>
                <w:rFonts w:hint="eastAsia" w:ascii="宋体" w:hAnsi="宋体" w:eastAsia="宋体" w:cs="宋体"/>
                <w:strike w:val="0"/>
                <w:dstrike w:val="0"/>
                <w:color w:val="auto"/>
                <w:kern w:val="2"/>
                <w:sz w:val="24"/>
                <w:szCs w:val="24"/>
                <w:highlight w:val="none"/>
              </w:rPr>
              <w:t>充分合理利用建筑空</w:t>
            </w:r>
            <w:r>
              <w:rPr>
                <w:rFonts w:hint="eastAsia" w:ascii="宋体" w:hAnsi="宋体" w:eastAsia="宋体" w:cs="宋体"/>
                <w:strike w:val="0"/>
                <w:dstrike w:val="0"/>
                <w:color w:val="auto"/>
                <w:kern w:val="2"/>
                <w:sz w:val="24"/>
                <w:szCs w:val="24"/>
                <w:highlight w:val="none"/>
                <w:lang w:val="en-US" w:eastAsia="zh-CN"/>
              </w:rPr>
              <w:t>间，亮化效果是否突出主题特色等情况由评委</w:t>
            </w:r>
            <w:r>
              <w:rPr>
                <w:rFonts w:hint="eastAsia" w:ascii="宋体" w:hAnsi="宋体" w:eastAsia="宋体" w:cs="宋体"/>
                <w:b w:val="0"/>
                <w:bCs w:val="0"/>
                <w:i w:val="0"/>
                <w:kern w:val="2"/>
                <w:sz w:val="24"/>
                <w:szCs w:val="24"/>
                <w:highlight w:val="none"/>
                <w:u w:val="none"/>
                <w:lang w:val="en-US" w:eastAsia="zh-CN" w:bidi="ar"/>
              </w:rPr>
              <w:t>进行综合评审，</w:t>
            </w:r>
            <w:r>
              <w:rPr>
                <w:rFonts w:hint="eastAsia" w:ascii="宋体" w:hAnsi="宋体" w:eastAsia="宋体" w:cs="宋体"/>
                <w:b w:val="0"/>
                <w:bCs w:val="0"/>
                <w:i w:val="0"/>
                <w:color w:val="auto"/>
                <w:kern w:val="2"/>
                <w:sz w:val="24"/>
                <w:szCs w:val="24"/>
                <w:highlight w:val="none"/>
                <w:u w:val="none"/>
                <w:lang w:val="en-US" w:eastAsia="zh-CN" w:bidi="ar"/>
              </w:rPr>
              <w:t>最高得5分（5、4、3、2、1、0）。</w:t>
            </w:r>
          </w:p>
          <w:p w14:paraId="3DAD7BBE">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rPr>
            </w:pPr>
            <w:r>
              <w:rPr>
                <w:rFonts w:hint="eastAsia" w:ascii="宋体" w:hAnsi="宋体" w:eastAsia="宋体" w:cs="宋体"/>
                <w:strike w:val="0"/>
                <w:dstrike w:val="0"/>
                <w:color w:val="auto"/>
                <w:kern w:val="2"/>
                <w:sz w:val="24"/>
                <w:szCs w:val="24"/>
                <w:highlight w:val="none"/>
                <w:lang w:val="en-US" w:eastAsia="zh-CN"/>
              </w:rPr>
              <w:t>根据投标人提供的设计方案的内容和形式是否符合本项目的采购需求，是否采用高科技手段，性能是否优秀等情况由评委</w:t>
            </w:r>
            <w:r>
              <w:rPr>
                <w:rFonts w:hint="eastAsia" w:ascii="宋体" w:hAnsi="宋体" w:eastAsia="宋体" w:cs="宋体"/>
                <w:b w:val="0"/>
                <w:bCs w:val="0"/>
                <w:i w:val="0"/>
                <w:kern w:val="2"/>
                <w:sz w:val="24"/>
                <w:szCs w:val="24"/>
                <w:highlight w:val="none"/>
                <w:u w:val="none"/>
                <w:lang w:val="en-US" w:eastAsia="zh-CN" w:bidi="ar"/>
              </w:rPr>
              <w:t>进行综合评审，</w:t>
            </w:r>
            <w:r>
              <w:rPr>
                <w:rFonts w:hint="eastAsia" w:ascii="宋体" w:hAnsi="宋体" w:eastAsia="宋体" w:cs="宋体"/>
                <w:b w:val="0"/>
                <w:bCs w:val="0"/>
                <w:i w:val="0"/>
                <w:color w:val="auto"/>
                <w:kern w:val="2"/>
                <w:sz w:val="24"/>
                <w:szCs w:val="24"/>
                <w:highlight w:val="none"/>
                <w:u w:val="none"/>
                <w:lang w:val="en-US" w:eastAsia="zh-CN" w:bidi="ar"/>
              </w:rPr>
              <w:t>最高得5分（5、4、3、2、1、0）。</w:t>
            </w:r>
          </w:p>
        </w:tc>
        <w:tc>
          <w:tcPr>
            <w:tcW w:w="1140" w:type="dxa"/>
            <w:tcBorders>
              <w:tl2br w:val="nil"/>
              <w:tr2bl w:val="nil"/>
            </w:tcBorders>
            <w:noWrap w:val="0"/>
            <w:vAlign w:val="center"/>
          </w:tcPr>
          <w:p w14:paraId="5BF59A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0-20分</w:t>
            </w:r>
          </w:p>
        </w:tc>
      </w:tr>
      <w:tr w14:paraId="6FCA4DB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320" w:type="dxa"/>
            <w:tcBorders>
              <w:tl2br w:val="nil"/>
              <w:tr2bl w:val="nil"/>
            </w:tcBorders>
            <w:noWrap w:val="0"/>
            <w:vAlign w:val="center"/>
          </w:tcPr>
          <w:p w14:paraId="1B6EC210">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000000"/>
                <w:sz w:val="24"/>
              </w:rPr>
            </w:pPr>
            <w:r>
              <w:rPr>
                <w:rFonts w:hint="eastAsia" w:ascii="宋体" w:hAnsi="宋体" w:eastAsia="宋体" w:cs="宋体"/>
                <w:color w:val="000000"/>
                <w:sz w:val="24"/>
              </w:rPr>
              <w:t>设计</w:t>
            </w:r>
          </w:p>
          <w:p w14:paraId="7A569AA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color w:val="000000"/>
                <w:sz w:val="24"/>
              </w:rPr>
              <w:t>效果图</w:t>
            </w:r>
          </w:p>
        </w:tc>
        <w:tc>
          <w:tcPr>
            <w:tcW w:w="7665" w:type="dxa"/>
            <w:tcBorders>
              <w:tl2br w:val="nil"/>
              <w:tr2bl w:val="nil"/>
            </w:tcBorders>
            <w:noWrap w:val="0"/>
            <w:vAlign w:val="center"/>
          </w:tcPr>
          <w:p w14:paraId="66716E4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rPr>
              <w:t>投标人</w:t>
            </w:r>
            <w:r>
              <w:rPr>
                <w:rFonts w:hint="eastAsia" w:ascii="宋体" w:hAnsi="宋体" w:eastAsia="宋体" w:cs="宋体"/>
                <w:color w:val="000000"/>
                <w:sz w:val="24"/>
                <w:lang w:val="en-US" w:eastAsia="zh-CN"/>
              </w:rPr>
              <w:t>根据</w:t>
            </w:r>
            <w:r>
              <w:rPr>
                <w:rFonts w:hint="eastAsia" w:ascii="宋体" w:hAnsi="宋体" w:eastAsia="宋体" w:cs="宋体"/>
                <w:color w:val="000000"/>
                <w:sz w:val="24"/>
              </w:rPr>
              <w:t>本项目采购</w:t>
            </w:r>
            <w:r>
              <w:rPr>
                <w:rFonts w:hint="eastAsia" w:ascii="宋体" w:hAnsi="宋体" w:eastAsia="宋体" w:cs="宋体"/>
                <w:color w:val="000000"/>
                <w:sz w:val="24"/>
                <w:lang w:val="en-US" w:eastAsia="zh-CN"/>
              </w:rPr>
              <w:t>需求</w:t>
            </w:r>
            <w:r>
              <w:rPr>
                <w:rFonts w:hint="eastAsia" w:ascii="宋体" w:hAnsi="宋体" w:eastAsia="宋体" w:cs="宋体"/>
                <w:color w:val="000000"/>
                <w:sz w:val="24"/>
              </w:rPr>
              <w:t>，提供整体设计效果图、局部效果图，以及其他能清晰反映思路和形式的相关图纸。</w:t>
            </w:r>
            <w:r>
              <w:rPr>
                <w:rFonts w:hint="eastAsia" w:ascii="宋体" w:hAnsi="宋体" w:eastAsia="宋体" w:cs="宋体"/>
                <w:strike w:val="0"/>
                <w:dstrike w:val="0"/>
                <w:color w:val="auto"/>
                <w:kern w:val="2"/>
                <w:sz w:val="24"/>
                <w:szCs w:val="24"/>
                <w:highlight w:val="none"/>
                <w:lang w:val="en-US" w:eastAsia="zh-CN"/>
              </w:rPr>
              <w:t>评委根据投标人</w:t>
            </w:r>
            <w:r>
              <w:rPr>
                <w:rFonts w:hint="eastAsia" w:ascii="宋体" w:hAnsi="宋体" w:eastAsia="宋体" w:cs="宋体"/>
                <w:color w:val="000000"/>
                <w:sz w:val="24"/>
              </w:rPr>
              <w:t>提供的相关图纸</w:t>
            </w:r>
            <w:r>
              <w:rPr>
                <w:rFonts w:hint="eastAsia" w:ascii="宋体" w:hAnsi="宋体" w:eastAsia="宋体" w:cs="宋体"/>
                <w:color w:val="000000"/>
                <w:sz w:val="24"/>
                <w:lang w:val="en-US" w:eastAsia="zh-CN"/>
              </w:rPr>
              <w:t>是否</w:t>
            </w:r>
            <w:r>
              <w:rPr>
                <w:rFonts w:hint="eastAsia" w:ascii="宋体" w:hAnsi="宋体" w:eastAsia="宋体" w:cs="宋体"/>
                <w:color w:val="000000"/>
                <w:sz w:val="24"/>
              </w:rPr>
              <w:t>符合项目</w:t>
            </w:r>
            <w:r>
              <w:rPr>
                <w:rFonts w:hint="eastAsia" w:ascii="宋体" w:hAnsi="宋体" w:eastAsia="宋体" w:cs="宋体"/>
                <w:color w:val="000000"/>
                <w:sz w:val="24"/>
                <w:lang w:val="en-US" w:eastAsia="zh-CN"/>
              </w:rPr>
              <w:t>需求，是否</w:t>
            </w:r>
            <w:r>
              <w:rPr>
                <w:rFonts w:hint="eastAsia" w:ascii="宋体" w:hAnsi="宋体" w:eastAsia="宋体" w:cs="宋体"/>
                <w:color w:val="000000"/>
                <w:sz w:val="24"/>
              </w:rPr>
              <w:t>全面、清晰、准确、有特色</w:t>
            </w:r>
            <w:r>
              <w:rPr>
                <w:rFonts w:hint="eastAsia" w:ascii="宋体" w:hAnsi="宋体" w:eastAsia="宋体" w:cs="宋体"/>
                <w:strike w:val="0"/>
                <w:dstrike w:val="0"/>
                <w:color w:val="auto"/>
                <w:kern w:val="2"/>
                <w:sz w:val="24"/>
                <w:szCs w:val="24"/>
                <w:highlight w:val="none"/>
                <w:lang w:val="en-US" w:eastAsia="zh-CN"/>
              </w:rPr>
              <w:t>等情况</w:t>
            </w:r>
            <w:r>
              <w:rPr>
                <w:rFonts w:hint="eastAsia" w:ascii="宋体" w:hAnsi="宋体" w:eastAsia="宋体" w:cs="宋体"/>
                <w:b w:val="0"/>
                <w:bCs w:val="0"/>
                <w:i w:val="0"/>
                <w:kern w:val="2"/>
                <w:sz w:val="24"/>
                <w:szCs w:val="24"/>
                <w:highlight w:val="none"/>
                <w:u w:val="none"/>
                <w:lang w:val="en-US" w:eastAsia="zh-CN" w:bidi="ar"/>
              </w:rPr>
              <w:t>进行综合评审，</w:t>
            </w:r>
            <w:r>
              <w:rPr>
                <w:rFonts w:hint="eastAsia" w:ascii="宋体" w:hAnsi="宋体" w:eastAsia="宋体" w:cs="宋体"/>
                <w:b w:val="0"/>
                <w:bCs w:val="0"/>
                <w:i w:val="0"/>
                <w:color w:val="auto"/>
                <w:kern w:val="2"/>
                <w:sz w:val="24"/>
                <w:szCs w:val="24"/>
                <w:highlight w:val="none"/>
                <w:u w:val="none"/>
                <w:lang w:val="en-US" w:eastAsia="zh-CN" w:bidi="ar"/>
              </w:rPr>
              <w:t>最高得5分（5、4、3、2、1、0）。</w:t>
            </w:r>
          </w:p>
        </w:tc>
        <w:tc>
          <w:tcPr>
            <w:tcW w:w="1140" w:type="dxa"/>
            <w:tcBorders>
              <w:tl2br w:val="nil"/>
              <w:tr2bl w:val="nil"/>
            </w:tcBorders>
            <w:noWrap w:val="0"/>
            <w:vAlign w:val="center"/>
          </w:tcPr>
          <w:p w14:paraId="028395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0-5分</w:t>
            </w:r>
          </w:p>
        </w:tc>
      </w:tr>
      <w:tr w14:paraId="37C4789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320" w:type="dxa"/>
            <w:tcBorders>
              <w:tl2br w:val="nil"/>
              <w:tr2bl w:val="nil"/>
            </w:tcBorders>
            <w:noWrap w:val="0"/>
            <w:vAlign w:val="center"/>
          </w:tcPr>
          <w:p w14:paraId="28DB8DDC">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b w:val="0"/>
                <w:bCs w:val="0"/>
                <w:color w:val="auto"/>
                <w:kern w:val="2"/>
                <w:sz w:val="24"/>
                <w:szCs w:val="24"/>
                <w:highlight w:val="none"/>
                <w:lang w:val="en-US" w:eastAsia="zh-CN" w:bidi="ar-SA"/>
              </w:rPr>
              <w:t>实施方案</w:t>
            </w:r>
          </w:p>
        </w:tc>
        <w:tc>
          <w:tcPr>
            <w:tcW w:w="7665" w:type="dxa"/>
            <w:tcBorders>
              <w:tl2br w:val="nil"/>
              <w:tr2bl w:val="nil"/>
            </w:tcBorders>
            <w:noWrap w:val="0"/>
            <w:vAlign w:val="center"/>
          </w:tcPr>
          <w:p w14:paraId="5ACFDA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根据投标人提供的</w:t>
            </w:r>
            <w:r>
              <w:rPr>
                <w:rFonts w:hint="eastAsia" w:ascii="宋体" w:hAnsi="宋体" w:cs="宋体"/>
                <w:color w:val="000000"/>
                <w:sz w:val="24"/>
                <w:lang w:val="en-US" w:eastAsia="zh-CN"/>
              </w:rPr>
              <w:t>实施</w:t>
            </w:r>
            <w:r>
              <w:rPr>
                <w:rFonts w:hint="eastAsia" w:ascii="宋体" w:hAnsi="宋体" w:eastAsia="宋体" w:cs="宋体"/>
                <w:color w:val="000000"/>
                <w:sz w:val="24"/>
                <w:lang w:val="en-US" w:eastAsia="zh-CN"/>
              </w:rPr>
              <w:t>方案，主要包括以下内容：</w:t>
            </w:r>
          </w:p>
          <w:p w14:paraId="05C62C3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1.设备、材料采购方案；</w:t>
            </w:r>
          </w:p>
          <w:p w14:paraId="13DCBF9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2.供货期限保障方案；</w:t>
            </w:r>
          </w:p>
          <w:p w14:paraId="5AF3D4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3.包装、运输方案；</w:t>
            </w:r>
          </w:p>
          <w:p w14:paraId="20BF6D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4.安装、调试方案；</w:t>
            </w:r>
          </w:p>
          <w:p w14:paraId="417F43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5.安全文明施工组织方案；</w:t>
            </w:r>
          </w:p>
          <w:p w14:paraId="21BB3C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6.验收方案。</w:t>
            </w:r>
          </w:p>
          <w:p w14:paraId="6BE70EA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上述6项内容，每项4分</w:t>
            </w:r>
            <w:r>
              <w:rPr>
                <w:rFonts w:hint="eastAsia" w:ascii="宋体" w:hAnsi="宋体" w:eastAsia="宋体" w:cs="宋体"/>
                <w:b w:val="0"/>
                <w:bCs w:val="0"/>
                <w:i w:val="0"/>
                <w:color w:val="auto"/>
                <w:kern w:val="2"/>
                <w:sz w:val="24"/>
                <w:szCs w:val="24"/>
                <w:highlight w:val="none"/>
                <w:u w:val="none"/>
                <w:lang w:val="en-US" w:eastAsia="zh-CN" w:bidi="ar"/>
              </w:rPr>
              <w:t>（4、3、2、1、0）</w:t>
            </w:r>
            <w:r>
              <w:rPr>
                <w:rFonts w:hint="eastAsia" w:ascii="宋体" w:hAnsi="宋体" w:eastAsia="宋体" w:cs="宋体"/>
                <w:color w:val="auto"/>
                <w:sz w:val="24"/>
                <w:szCs w:val="24"/>
                <w:highlight w:val="none"/>
                <w:lang w:val="en-US" w:eastAsia="zh-CN"/>
              </w:rPr>
              <w:t>，最高得24分。</w:t>
            </w:r>
            <w:r>
              <w:rPr>
                <w:rFonts w:hint="eastAsia" w:ascii="宋体" w:hAnsi="宋体" w:eastAsia="宋体" w:cs="宋体"/>
                <w:color w:val="auto"/>
                <w:sz w:val="24"/>
                <w:szCs w:val="24"/>
                <w:highlight w:val="none"/>
                <w:u w:val="none"/>
                <w:lang w:bidi="ar"/>
              </w:rPr>
              <w:t>评审小组根据每项内容</w:t>
            </w:r>
            <w:r>
              <w:rPr>
                <w:rFonts w:hint="eastAsia" w:ascii="宋体" w:hAnsi="宋体" w:eastAsia="宋体" w:cs="宋体"/>
                <w:color w:val="auto"/>
                <w:kern w:val="2"/>
                <w:sz w:val="24"/>
                <w:szCs w:val="24"/>
                <w:highlight w:val="none"/>
                <w:lang w:val="en-US" w:eastAsia="zh-CN" w:bidi="ar-SA"/>
              </w:rPr>
              <w:t>阐述</w:t>
            </w:r>
            <w:r>
              <w:rPr>
                <w:rFonts w:hint="eastAsia" w:ascii="宋体" w:hAnsi="宋体" w:eastAsia="宋体" w:cs="宋体"/>
                <w:color w:val="auto"/>
                <w:sz w:val="24"/>
                <w:szCs w:val="24"/>
                <w:highlight w:val="none"/>
                <w:lang w:val="en-US" w:eastAsia="zh-CN"/>
              </w:rPr>
              <w:t>是否完整、条理是否清晰、是否切合实际、是否合理可行、是否符合本项目采购需求等情况</w:t>
            </w:r>
            <w:r>
              <w:rPr>
                <w:rFonts w:hint="eastAsia" w:ascii="宋体" w:hAnsi="宋体" w:eastAsia="宋体" w:cs="宋体"/>
                <w:b w:val="0"/>
                <w:bCs w:val="0"/>
                <w:i w:val="0"/>
                <w:color w:val="auto"/>
                <w:kern w:val="2"/>
                <w:sz w:val="24"/>
                <w:szCs w:val="24"/>
                <w:highlight w:val="none"/>
                <w:u w:val="none"/>
                <w:lang w:val="en-US" w:eastAsia="zh-CN" w:bidi="ar"/>
              </w:rPr>
              <w:t>进行综合评审。</w:t>
            </w:r>
          </w:p>
        </w:tc>
        <w:tc>
          <w:tcPr>
            <w:tcW w:w="1140" w:type="dxa"/>
            <w:tcBorders>
              <w:tl2br w:val="nil"/>
              <w:tr2bl w:val="nil"/>
            </w:tcBorders>
            <w:noWrap w:val="0"/>
            <w:vAlign w:val="center"/>
          </w:tcPr>
          <w:p w14:paraId="445C17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0-24分</w:t>
            </w:r>
          </w:p>
        </w:tc>
      </w:tr>
      <w:tr w14:paraId="7260272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320" w:type="dxa"/>
            <w:tcBorders>
              <w:tl2br w:val="nil"/>
              <w:tr2bl w:val="nil"/>
            </w:tcBorders>
            <w:noWrap w:val="0"/>
            <w:vAlign w:val="center"/>
          </w:tcPr>
          <w:p w14:paraId="0C243F01">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售后服务</w:t>
            </w:r>
          </w:p>
        </w:tc>
        <w:tc>
          <w:tcPr>
            <w:tcW w:w="7665" w:type="dxa"/>
            <w:tcBorders>
              <w:tl2br w:val="nil"/>
              <w:tr2bl w:val="nil"/>
            </w:tcBorders>
            <w:noWrap w:val="0"/>
            <w:vAlign w:val="center"/>
          </w:tcPr>
          <w:p w14:paraId="2618460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根据投标人提供的售后服务方案，主要包括以下内容：</w:t>
            </w:r>
          </w:p>
          <w:p w14:paraId="6D1A4817">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1.技术力量和人力资源安排方案；</w:t>
            </w:r>
          </w:p>
          <w:p w14:paraId="69E0684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2.售后服务承诺；</w:t>
            </w:r>
          </w:p>
          <w:p w14:paraId="1B17DF3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3.质保期内产品故障服务响应时限；</w:t>
            </w:r>
          </w:p>
          <w:p w14:paraId="6E5FC13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4.售后巡检方案。</w:t>
            </w:r>
          </w:p>
          <w:p w14:paraId="5368455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left"/>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上述4项内容，每项3分</w:t>
            </w:r>
            <w:r>
              <w:rPr>
                <w:rFonts w:hint="eastAsia" w:ascii="宋体" w:hAnsi="宋体" w:eastAsia="宋体" w:cs="宋体"/>
                <w:b w:val="0"/>
                <w:bCs w:val="0"/>
                <w:i w:val="0"/>
                <w:color w:val="auto"/>
                <w:kern w:val="2"/>
                <w:sz w:val="24"/>
                <w:szCs w:val="24"/>
                <w:highlight w:val="none"/>
                <w:u w:val="none"/>
                <w:lang w:val="en-US" w:eastAsia="zh-CN" w:bidi="ar"/>
              </w:rPr>
              <w:t>（3、2、1、0）</w:t>
            </w:r>
            <w:r>
              <w:rPr>
                <w:rFonts w:hint="eastAsia" w:ascii="宋体" w:hAnsi="宋体" w:eastAsia="宋体" w:cs="宋体"/>
                <w:color w:val="auto"/>
                <w:sz w:val="24"/>
                <w:szCs w:val="24"/>
                <w:highlight w:val="none"/>
                <w:lang w:val="en-US" w:eastAsia="zh-CN"/>
              </w:rPr>
              <w:t>，最高得12分。</w:t>
            </w:r>
            <w:r>
              <w:rPr>
                <w:rFonts w:hint="eastAsia" w:ascii="宋体" w:hAnsi="宋体" w:eastAsia="宋体" w:cs="宋体"/>
                <w:color w:val="auto"/>
                <w:sz w:val="24"/>
                <w:szCs w:val="24"/>
                <w:highlight w:val="none"/>
                <w:u w:val="none"/>
                <w:lang w:bidi="ar"/>
              </w:rPr>
              <w:t>评审小组根据每项内容</w:t>
            </w:r>
            <w:r>
              <w:rPr>
                <w:rFonts w:hint="eastAsia" w:ascii="宋体" w:hAnsi="宋体" w:eastAsia="宋体" w:cs="宋体"/>
                <w:color w:val="auto"/>
                <w:kern w:val="2"/>
                <w:sz w:val="24"/>
                <w:szCs w:val="24"/>
                <w:highlight w:val="none"/>
                <w:lang w:val="en-US" w:eastAsia="zh-CN" w:bidi="ar-SA"/>
              </w:rPr>
              <w:t>阐述</w:t>
            </w:r>
            <w:r>
              <w:rPr>
                <w:rFonts w:hint="eastAsia" w:ascii="宋体" w:hAnsi="宋体" w:eastAsia="宋体" w:cs="宋体"/>
                <w:color w:val="auto"/>
                <w:sz w:val="24"/>
                <w:szCs w:val="24"/>
                <w:highlight w:val="none"/>
                <w:lang w:val="en-US" w:eastAsia="zh-CN"/>
              </w:rPr>
              <w:t>是否完整、条理是否清晰、是否切合实际、是否合理可行、是否符合本项目采购需求等情况</w:t>
            </w:r>
            <w:r>
              <w:rPr>
                <w:rFonts w:hint="eastAsia" w:ascii="宋体" w:hAnsi="宋体" w:eastAsia="宋体" w:cs="宋体"/>
                <w:b w:val="0"/>
                <w:bCs w:val="0"/>
                <w:i w:val="0"/>
                <w:color w:val="auto"/>
                <w:kern w:val="2"/>
                <w:sz w:val="24"/>
                <w:szCs w:val="24"/>
                <w:highlight w:val="none"/>
                <w:u w:val="none"/>
                <w:lang w:val="en-US" w:eastAsia="zh-CN" w:bidi="ar"/>
              </w:rPr>
              <w:t>进行综合评审。</w:t>
            </w:r>
          </w:p>
        </w:tc>
        <w:tc>
          <w:tcPr>
            <w:tcW w:w="1140" w:type="dxa"/>
            <w:tcBorders>
              <w:tl2br w:val="nil"/>
              <w:tr2bl w:val="nil"/>
            </w:tcBorders>
            <w:noWrap w:val="0"/>
            <w:vAlign w:val="center"/>
          </w:tcPr>
          <w:p w14:paraId="41CE3B49">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0-12分</w:t>
            </w:r>
          </w:p>
        </w:tc>
      </w:tr>
    </w:tbl>
    <w:p w14:paraId="5D9F7601">
      <w:pPr>
        <w:keepNext w:val="0"/>
        <w:keepLines w:val="0"/>
        <w:pageBreakBefore w:val="0"/>
        <w:widowControl w:val="0"/>
        <w:shd w:val="clear"/>
        <w:kinsoku/>
        <w:wordWrap/>
        <w:overflowPunct/>
        <w:topLinePunct w:val="0"/>
        <w:autoSpaceDE/>
        <w:autoSpaceDN/>
        <w:bidi w:val="0"/>
        <w:adjustRightInd w:val="0"/>
        <w:snapToGrid w:val="0"/>
        <w:spacing w:line="288" w:lineRule="auto"/>
        <w:ind w:firstLine="0" w:firstLineChars="0"/>
        <w:jc w:val="center"/>
        <w:textAlignment w:val="auto"/>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val="en-US" w:eastAsia="zh-CN"/>
        </w:rPr>
        <w:t>、开评标程序</w:t>
      </w:r>
    </w:p>
    <w:p w14:paraId="51475AFD">
      <w:pPr>
        <w:keepNext w:val="0"/>
        <w:keepLines w:val="0"/>
        <w:pageBreakBefore w:val="0"/>
        <w:widowControl w:val="0"/>
        <w:shd w:val="clear"/>
        <w:kinsoku/>
        <w:wordWrap/>
        <w:overflowPunct/>
        <w:topLinePunct w:val="0"/>
        <w:autoSpaceDE/>
        <w:autoSpaceDN/>
        <w:bidi w:val="0"/>
        <w:adjustRightInd/>
        <w:snapToGrid/>
        <w:spacing w:line="288" w:lineRule="auto"/>
        <w:ind w:firstLine="480"/>
        <w:textAlignment w:val="auto"/>
        <w:rPr>
          <w:rFonts w:ascii="宋体" w:hAnsi="宋体"/>
          <w:color w:val="auto"/>
          <w:highlight w:val="none"/>
        </w:rPr>
      </w:pPr>
      <w:r>
        <w:rPr>
          <w:rFonts w:hint="eastAsia" w:ascii="宋体" w:hAnsi="宋体"/>
          <w:color w:val="auto"/>
          <w:highlight w:val="none"/>
        </w:rPr>
        <w:t>7.主持人宣布投标截止时间，截止时间以国家授时中心标准时间为准，宣布招标会议开始。</w:t>
      </w:r>
    </w:p>
    <w:p w14:paraId="37BC6F50">
      <w:pPr>
        <w:keepNext w:val="0"/>
        <w:keepLines w:val="0"/>
        <w:pageBreakBefore w:val="0"/>
        <w:widowControl w:val="0"/>
        <w:shd w:val="clear"/>
        <w:kinsoku/>
        <w:wordWrap/>
        <w:overflowPunct/>
        <w:topLinePunct w:val="0"/>
        <w:autoSpaceDE/>
        <w:autoSpaceDN/>
        <w:bidi w:val="0"/>
        <w:adjustRightInd/>
        <w:snapToGrid/>
        <w:spacing w:line="288" w:lineRule="auto"/>
        <w:ind w:firstLine="480"/>
        <w:textAlignment w:val="auto"/>
        <w:rPr>
          <w:rFonts w:ascii="宋体" w:hAnsi="宋体"/>
          <w:color w:val="auto"/>
          <w:highlight w:val="none"/>
        </w:rPr>
      </w:pPr>
      <w:r>
        <w:rPr>
          <w:rFonts w:hint="eastAsia" w:ascii="宋体" w:hAnsi="宋体"/>
          <w:color w:val="auto"/>
          <w:highlight w:val="none"/>
        </w:rPr>
        <w:t>8.工作人员确认供应商法定代表人或授权委托代理人资格及到场等情况。</w:t>
      </w:r>
    </w:p>
    <w:p w14:paraId="5CA9646A">
      <w:pPr>
        <w:keepNext w:val="0"/>
        <w:keepLines w:val="0"/>
        <w:pageBreakBefore w:val="0"/>
        <w:widowControl w:val="0"/>
        <w:shd w:val="clear"/>
        <w:kinsoku/>
        <w:wordWrap/>
        <w:overflowPunct/>
        <w:topLinePunct w:val="0"/>
        <w:autoSpaceDE/>
        <w:autoSpaceDN/>
        <w:bidi w:val="0"/>
        <w:adjustRightInd/>
        <w:snapToGrid/>
        <w:spacing w:line="288" w:lineRule="auto"/>
        <w:ind w:firstLine="480"/>
        <w:textAlignment w:val="auto"/>
        <w:rPr>
          <w:rFonts w:ascii="宋体" w:hAnsi="宋体"/>
          <w:color w:val="auto"/>
          <w:highlight w:val="none"/>
        </w:rPr>
      </w:pPr>
      <w:r>
        <w:rPr>
          <w:rFonts w:hint="eastAsia" w:ascii="宋体" w:hAnsi="宋体"/>
          <w:color w:val="auto"/>
          <w:highlight w:val="none"/>
        </w:rPr>
        <w:t>9.工作人员检查各供应商的标函密封、标记情况。</w:t>
      </w:r>
    </w:p>
    <w:p w14:paraId="00295A4B">
      <w:pPr>
        <w:keepNext w:val="0"/>
        <w:keepLines w:val="0"/>
        <w:pageBreakBefore w:val="0"/>
        <w:widowControl w:val="0"/>
        <w:shd w:val="clear"/>
        <w:kinsoku/>
        <w:wordWrap/>
        <w:overflowPunct/>
        <w:topLinePunct w:val="0"/>
        <w:autoSpaceDE/>
        <w:autoSpaceDN/>
        <w:bidi w:val="0"/>
        <w:adjustRightInd/>
        <w:snapToGrid/>
        <w:spacing w:line="288" w:lineRule="auto"/>
        <w:ind w:firstLine="480"/>
        <w:textAlignment w:val="auto"/>
        <w:rPr>
          <w:rFonts w:ascii="宋体" w:hAnsi="宋体"/>
          <w:color w:val="auto"/>
          <w:highlight w:val="none"/>
        </w:rPr>
      </w:pPr>
      <w:r>
        <w:rPr>
          <w:rFonts w:hint="eastAsia" w:ascii="宋体" w:hAnsi="宋体"/>
          <w:color w:val="auto"/>
          <w:highlight w:val="none"/>
        </w:rPr>
        <w:t>10.启封各供应商的磋商响应文件，送</w:t>
      </w:r>
      <w:r>
        <w:rPr>
          <w:rFonts w:hint="eastAsia" w:ascii="宋体" w:hAnsi="宋体"/>
          <w:color w:val="auto"/>
          <w:highlight w:val="none"/>
          <w:lang w:eastAsia="zh-CN"/>
        </w:rPr>
        <w:t>磋商小组</w:t>
      </w:r>
      <w:r>
        <w:rPr>
          <w:rFonts w:hint="eastAsia" w:ascii="宋体" w:hAnsi="宋体"/>
          <w:color w:val="auto"/>
          <w:highlight w:val="none"/>
        </w:rPr>
        <w:t>进行独立评审。如有疑问，可对供应商进行询标，供应商要向</w:t>
      </w:r>
      <w:r>
        <w:rPr>
          <w:rFonts w:hint="eastAsia" w:ascii="宋体" w:hAnsi="宋体"/>
          <w:color w:val="auto"/>
          <w:highlight w:val="none"/>
          <w:lang w:eastAsia="zh-CN"/>
        </w:rPr>
        <w:t>磋商小组</w:t>
      </w:r>
      <w:r>
        <w:rPr>
          <w:rFonts w:hint="eastAsia" w:ascii="宋体" w:hAnsi="宋体"/>
          <w:color w:val="auto"/>
          <w:highlight w:val="none"/>
        </w:rPr>
        <w:t>澄清有关问题，并最终以书面形式进行答复。评委对各供应商打资信及技术分。</w:t>
      </w:r>
    </w:p>
    <w:p w14:paraId="44A5AFAB">
      <w:pPr>
        <w:keepNext w:val="0"/>
        <w:keepLines w:val="0"/>
        <w:pageBreakBefore w:val="0"/>
        <w:widowControl w:val="0"/>
        <w:shd w:val="clear"/>
        <w:kinsoku/>
        <w:wordWrap/>
        <w:overflowPunct/>
        <w:topLinePunct w:val="0"/>
        <w:autoSpaceDE/>
        <w:autoSpaceDN/>
        <w:bidi w:val="0"/>
        <w:adjustRightInd/>
        <w:snapToGrid/>
        <w:spacing w:line="288" w:lineRule="auto"/>
        <w:ind w:firstLine="480"/>
        <w:textAlignment w:val="auto"/>
        <w:rPr>
          <w:rFonts w:ascii="宋体" w:hAnsi="宋体"/>
          <w:color w:val="auto"/>
          <w:highlight w:val="none"/>
        </w:rPr>
      </w:pPr>
      <w:r>
        <w:rPr>
          <w:rFonts w:hint="eastAsia" w:ascii="宋体" w:hAnsi="宋体"/>
          <w:color w:val="auto"/>
          <w:highlight w:val="none"/>
        </w:rPr>
        <w:t>11.磋商小组所有成员采用集中与单一供应商就</w:t>
      </w:r>
      <w:r>
        <w:rPr>
          <w:rFonts w:hint="eastAsia" w:ascii="宋体" w:hAnsi="宋体"/>
          <w:color w:val="auto"/>
          <w:highlight w:val="none"/>
          <w:lang w:val="zh-CN"/>
        </w:rPr>
        <w:t>本项目</w:t>
      </w:r>
      <w:r>
        <w:rPr>
          <w:rFonts w:hint="eastAsia" w:ascii="宋体" w:hAnsi="宋体"/>
          <w:color w:val="auto"/>
          <w:highlight w:val="none"/>
        </w:rPr>
        <w:t>重点内容及报价进行磋商，以递交竞争性磋商响应性文件的时间先后决定磋商顺序。磋商过程中，不公布</w:t>
      </w:r>
      <w:r>
        <w:rPr>
          <w:rFonts w:hint="eastAsia" w:ascii="宋体" w:hAnsi="宋体"/>
          <w:color w:val="auto"/>
          <w:highlight w:val="none"/>
          <w:lang w:eastAsia="zh-CN"/>
        </w:rPr>
        <w:t>资信商务技术评分</w:t>
      </w:r>
      <w:r>
        <w:rPr>
          <w:rFonts w:hint="eastAsia" w:ascii="宋体" w:hAnsi="宋体"/>
          <w:color w:val="auto"/>
          <w:highlight w:val="none"/>
        </w:rPr>
        <w:t>分值，只公布资信技术部分未通过的原因，所有供应商首次报价和磋商中报价均不公开。</w:t>
      </w:r>
    </w:p>
    <w:p w14:paraId="739E983F">
      <w:pPr>
        <w:keepNext w:val="0"/>
        <w:keepLines w:val="0"/>
        <w:pageBreakBefore w:val="0"/>
        <w:widowControl w:val="0"/>
        <w:shd w:val="clear"/>
        <w:kinsoku/>
        <w:wordWrap/>
        <w:overflowPunct/>
        <w:topLinePunct w:val="0"/>
        <w:autoSpaceDE/>
        <w:autoSpaceDN/>
        <w:bidi w:val="0"/>
        <w:adjustRightInd/>
        <w:snapToGrid/>
        <w:spacing w:line="288" w:lineRule="auto"/>
        <w:ind w:firstLine="480"/>
        <w:textAlignment w:val="auto"/>
        <w:rPr>
          <w:rFonts w:ascii="宋体" w:hAnsi="宋体"/>
          <w:color w:val="auto"/>
          <w:highlight w:val="none"/>
        </w:rPr>
      </w:pPr>
      <w:r>
        <w:rPr>
          <w:rFonts w:hint="eastAsia" w:ascii="宋体" w:hAnsi="宋体"/>
          <w:color w:val="auto"/>
          <w:highlight w:val="none"/>
        </w:rPr>
        <w:t>12.磋商结束、供应商提交</w:t>
      </w:r>
      <w:r>
        <w:rPr>
          <w:rFonts w:hint="eastAsia" w:ascii="宋体" w:hAnsi="宋体"/>
          <w:color w:val="auto"/>
          <w:highlight w:val="none"/>
          <w:lang w:eastAsia="zh-CN"/>
        </w:rPr>
        <w:t>最终报价表</w:t>
      </w:r>
      <w:r>
        <w:rPr>
          <w:rFonts w:hint="eastAsia" w:ascii="宋体" w:hAnsi="宋体"/>
          <w:color w:val="auto"/>
          <w:highlight w:val="none"/>
        </w:rPr>
        <w:t>后，在</w:t>
      </w:r>
      <w:r>
        <w:rPr>
          <w:rFonts w:hint="eastAsia" w:ascii="宋体" w:hAnsi="宋体"/>
          <w:color w:val="auto"/>
          <w:highlight w:val="none"/>
          <w:lang w:val="en-US" w:eastAsia="zh-CN"/>
        </w:rPr>
        <w:t>会议室</w:t>
      </w:r>
      <w:r>
        <w:rPr>
          <w:rFonts w:hint="eastAsia" w:ascii="宋体" w:hAnsi="宋体"/>
          <w:color w:val="auto"/>
          <w:highlight w:val="none"/>
        </w:rPr>
        <w:t>现场公布</w:t>
      </w:r>
      <w:r>
        <w:rPr>
          <w:rFonts w:hint="eastAsia" w:ascii="宋体" w:hAnsi="宋体"/>
          <w:color w:val="auto"/>
          <w:highlight w:val="none"/>
          <w:lang w:eastAsia="zh-CN"/>
        </w:rPr>
        <w:t>资信商务技术评分</w:t>
      </w:r>
      <w:r>
        <w:rPr>
          <w:rFonts w:hint="eastAsia" w:ascii="宋体" w:hAnsi="宋体"/>
          <w:color w:val="auto"/>
          <w:highlight w:val="none"/>
        </w:rPr>
        <w:t>分值；当众公布各供应商的最终报价，并送</w:t>
      </w:r>
      <w:r>
        <w:rPr>
          <w:rFonts w:hint="eastAsia" w:ascii="宋体" w:hAnsi="宋体"/>
          <w:color w:val="auto"/>
          <w:highlight w:val="none"/>
          <w:lang w:eastAsia="zh-CN"/>
        </w:rPr>
        <w:t>磋商小组</w:t>
      </w:r>
      <w:r>
        <w:rPr>
          <w:rFonts w:hint="eastAsia" w:ascii="宋体" w:hAnsi="宋体"/>
          <w:color w:val="auto"/>
          <w:highlight w:val="none"/>
        </w:rPr>
        <w:t>进行审查。如有疑问，可对供应商进行询标，供应商要向</w:t>
      </w:r>
      <w:r>
        <w:rPr>
          <w:rFonts w:hint="eastAsia" w:ascii="宋体" w:hAnsi="宋体"/>
          <w:color w:val="auto"/>
          <w:highlight w:val="none"/>
          <w:lang w:eastAsia="zh-CN"/>
        </w:rPr>
        <w:t>磋商小组</w:t>
      </w:r>
      <w:r>
        <w:rPr>
          <w:rFonts w:hint="eastAsia" w:ascii="宋体" w:hAnsi="宋体"/>
          <w:color w:val="auto"/>
          <w:highlight w:val="none"/>
        </w:rPr>
        <w:t>澄清有关问题，并最终以书面形式进行答复。</w:t>
      </w:r>
    </w:p>
    <w:p w14:paraId="66828DDF">
      <w:pPr>
        <w:keepNext w:val="0"/>
        <w:keepLines w:val="0"/>
        <w:pageBreakBefore w:val="0"/>
        <w:widowControl w:val="0"/>
        <w:shd w:val="clear"/>
        <w:kinsoku/>
        <w:wordWrap/>
        <w:overflowPunct/>
        <w:topLinePunct w:val="0"/>
        <w:autoSpaceDE/>
        <w:autoSpaceDN/>
        <w:bidi w:val="0"/>
        <w:adjustRightInd/>
        <w:snapToGrid/>
        <w:spacing w:line="288" w:lineRule="auto"/>
        <w:ind w:firstLine="480"/>
        <w:textAlignment w:val="auto"/>
        <w:rPr>
          <w:rFonts w:ascii="宋体" w:hAnsi="宋体"/>
          <w:color w:val="auto"/>
          <w:highlight w:val="none"/>
        </w:rPr>
      </w:pPr>
      <w:r>
        <w:rPr>
          <w:rFonts w:hint="eastAsia" w:ascii="宋体" w:hAnsi="宋体"/>
          <w:color w:val="auto"/>
          <w:highlight w:val="none"/>
        </w:rPr>
        <w:t>13.最后计算出各供应商的磋商报价得分，在现场监督人员的监督下，进行复核，然后加计总分后当场公布各供应商的各项得分及总分，</w:t>
      </w:r>
      <w:r>
        <w:rPr>
          <w:rFonts w:hint="eastAsia" w:ascii="宋体" w:hAnsi="宋体"/>
          <w:color w:val="auto"/>
          <w:highlight w:val="none"/>
          <w:lang w:eastAsia="zh-CN"/>
        </w:rPr>
        <w:t>磋商小组</w:t>
      </w:r>
      <w:r>
        <w:rPr>
          <w:rFonts w:hint="eastAsia" w:ascii="宋体" w:hAnsi="宋体"/>
          <w:color w:val="auto"/>
          <w:highlight w:val="none"/>
        </w:rPr>
        <w:t>按评标办法和细则规定推荐成交候选人。</w:t>
      </w:r>
    </w:p>
    <w:p w14:paraId="5CD90FAE">
      <w:pPr>
        <w:keepNext w:val="0"/>
        <w:keepLines w:val="0"/>
        <w:pageBreakBefore w:val="0"/>
        <w:widowControl w:val="0"/>
        <w:shd w:val="clear"/>
        <w:kinsoku/>
        <w:wordWrap/>
        <w:overflowPunct/>
        <w:topLinePunct w:val="0"/>
        <w:autoSpaceDE/>
        <w:autoSpaceDN/>
        <w:bidi w:val="0"/>
        <w:adjustRightInd/>
        <w:snapToGrid/>
        <w:spacing w:before="0" w:after="0" w:line="288" w:lineRule="auto"/>
        <w:ind w:firstLine="480"/>
        <w:textAlignment w:val="auto"/>
        <w:rPr>
          <w:rFonts w:hint="eastAsia" w:ascii="宋体" w:hAnsi="宋体" w:cs="宋体"/>
          <w:color w:val="auto"/>
          <w:highlight w:val="none"/>
        </w:rPr>
      </w:pPr>
      <w:r>
        <w:rPr>
          <w:rFonts w:hint="eastAsia" w:ascii="宋体" w:hAnsi="宋体"/>
          <w:color w:val="auto"/>
          <w:highlight w:val="none"/>
        </w:rPr>
        <w:t xml:space="preserve">14.开标会结束。       </w:t>
      </w:r>
      <w:bookmarkStart w:id="944" w:name="_Toc29197"/>
      <w:bookmarkStart w:id="945" w:name="_Toc18488"/>
      <w:bookmarkStart w:id="946" w:name="_Toc14776"/>
      <w:bookmarkStart w:id="947" w:name="_Toc30970"/>
      <w:bookmarkStart w:id="948" w:name="_Toc30439"/>
      <w:bookmarkStart w:id="949" w:name="_Toc4069"/>
      <w:bookmarkStart w:id="950" w:name="_Toc13537"/>
      <w:bookmarkStart w:id="951" w:name="_Toc2931"/>
      <w:bookmarkStart w:id="952" w:name="_Toc3133"/>
    </w:p>
    <w:p w14:paraId="1E97F6E6">
      <w:pPr>
        <w:pStyle w:val="39"/>
        <w:shd w:val="clear"/>
        <w:rPr>
          <w:rFonts w:hint="eastAsia" w:ascii="宋体" w:hAnsi="宋体" w:cs="宋体"/>
          <w:color w:val="auto"/>
          <w:highlight w:val="none"/>
        </w:rPr>
      </w:pPr>
    </w:p>
    <w:p w14:paraId="0CF18E70">
      <w:pPr>
        <w:pStyle w:val="3"/>
        <w:numPr>
          <w:ilvl w:val="0"/>
          <w:numId w:val="8"/>
        </w:numPr>
        <w:shd w:val="clear"/>
        <w:spacing w:before="312" w:after="312" w:line="312" w:lineRule="auto"/>
        <w:ind w:firstLine="0" w:firstLineChars="0"/>
        <w:jc w:val="center"/>
        <w:rPr>
          <w:rStyle w:val="113"/>
          <w:rFonts w:ascii="新宋体" w:hAnsi="新宋体" w:eastAsia="新宋体" w:cs="新宋体"/>
          <w:color w:val="auto"/>
          <w:sz w:val="36"/>
          <w:szCs w:val="36"/>
          <w:highlight w:val="none"/>
        </w:rPr>
      </w:pPr>
      <w:bookmarkStart w:id="953" w:name="_Toc17422"/>
      <w:r>
        <w:rPr>
          <w:rFonts w:hint="eastAsia" w:ascii="宋体" w:hAnsi="宋体" w:cs="宋体"/>
          <w:color w:val="auto"/>
          <w:highlight w:val="none"/>
        </w:rPr>
        <w:t>合同主要条款</w:t>
      </w:r>
      <w:bookmarkEnd w:id="944"/>
      <w:bookmarkEnd w:id="945"/>
      <w:bookmarkEnd w:id="946"/>
      <w:bookmarkEnd w:id="947"/>
      <w:bookmarkEnd w:id="948"/>
      <w:bookmarkEnd w:id="949"/>
      <w:bookmarkEnd w:id="950"/>
      <w:bookmarkEnd w:id="951"/>
      <w:bookmarkEnd w:id="952"/>
      <w:r>
        <w:rPr>
          <w:rStyle w:val="113"/>
          <w:rFonts w:ascii="新宋体" w:hAnsi="新宋体" w:eastAsia="新宋体" w:cs="新宋体"/>
          <w:color w:val="auto"/>
          <w:sz w:val="36"/>
          <w:szCs w:val="36"/>
          <w:highlight w:val="none"/>
        </w:rPr>
        <w:t>及格式</w:t>
      </w:r>
      <w:bookmarkEnd w:id="953"/>
    </w:p>
    <w:p w14:paraId="01E86C14">
      <w:pPr>
        <w:pStyle w:val="22"/>
        <w:keepNext w:val="0"/>
        <w:keepLines w:val="0"/>
        <w:pageBreakBefore w:val="0"/>
        <w:kinsoku/>
        <w:wordWrap/>
        <w:overflowPunct/>
        <w:topLinePunct w:val="0"/>
        <w:autoSpaceDE/>
        <w:autoSpaceDN/>
        <w:bidi w:val="0"/>
        <w:adjustRightInd/>
        <w:snapToGrid w:val="0"/>
        <w:spacing w:line="500" w:lineRule="exact"/>
        <w:ind w:firstLine="480"/>
        <w:textAlignment w:val="auto"/>
        <w:rPr>
          <w:rFonts w:hint="eastAsia" w:hAnsi="宋体" w:cs="宋体"/>
          <w:color w:val="auto"/>
          <w:szCs w:val="24"/>
          <w:highlight w:val="none"/>
        </w:rPr>
      </w:pPr>
      <w:bookmarkStart w:id="954" w:name="_Toc1907"/>
      <w:bookmarkStart w:id="955" w:name="_Toc485881249"/>
      <w:bookmarkStart w:id="956" w:name="_Toc457974255"/>
      <w:r>
        <w:rPr>
          <w:rFonts w:hint="eastAsia" w:hAnsi="宋体" w:cs="宋体"/>
          <w:color w:val="auto"/>
          <w:szCs w:val="24"/>
          <w:highlight w:val="none"/>
        </w:rPr>
        <w:t>项目名称：</w:t>
      </w:r>
    </w:p>
    <w:p w14:paraId="3BD5ADA1">
      <w:pPr>
        <w:keepNext w:val="0"/>
        <w:keepLines w:val="0"/>
        <w:pageBreakBefore w:val="0"/>
        <w:kinsoku/>
        <w:wordWrap/>
        <w:overflowPunct/>
        <w:topLinePunct w:val="0"/>
        <w:autoSpaceDE/>
        <w:autoSpaceDN/>
        <w:bidi w:val="0"/>
        <w:adjustRightInd/>
        <w:spacing w:line="500" w:lineRule="exact"/>
        <w:ind w:firstLine="480"/>
        <w:textAlignment w:val="auto"/>
        <w:rPr>
          <w:rFonts w:hint="eastAsia" w:ascii="宋体" w:hAnsi="宋体" w:cs="宋体"/>
          <w:color w:val="auto"/>
          <w:highlight w:val="none"/>
        </w:rPr>
      </w:pPr>
      <w:r>
        <w:rPr>
          <w:rFonts w:hint="eastAsia" w:ascii="宋体" w:hAnsi="宋体" w:cs="宋体"/>
          <w:color w:val="auto"/>
          <w:highlight w:val="none"/>
        </w:rPr>
        <w:t>项目编号：</w:t>
      </w:r>
    </w:p>
    <w:p w14:paraId="111DB960">
      <w:pPr>
        <w:keepNext w:val="0"/>
        <w:keepLines w:val="0"/>
        <w:pageBreakBefore w:val="0"/>
        <w:widowControl/>
        <w:kinsoku/>
        <w:wordWrap/>
        <w:overflowPunct/>
        <w:topLinePunct w:val="0"/>
        <w:autoSpaceDE/>
        <w:autoSpaceDN/>
        <w:bidi w:val="0"/>
        <w:adjustRightInd/>
        <w:snapToGrid w:val="0"/>
        <w:spacing w:line="500" w:lineRule="exact"/>
        <w:ind w:firstLine="480"/>
        <w:textAlignment w:val="auto"/>
        <w:rPr>
          <w:rFonts w:hint="eastAsia" w:ascii="宋体" w:hAnsi="宋体" w:cs="宋体"/>
          <w:color w:val="auto"/>
          <w:kern w:val="0"/>
          <w:highlight w:val="none"/>
        </w:rPr>
      </w:pPr>
      <w:r>
        <w:rPr>
          <w:rFonts w:hint="eastAsia" w:ascii="宋体" w:hAnsi="宋体" w:cs="宋体"/>
          <w:color w:val="auto"/>
          <w:kern w:val="0"/>
          <w:highlight w:val="none"/>
        </w:rPr>
        <w:t xml:space="preserve">甲方（采购人）： </w:t>
      </w:r>
    </w:p>
    <w:p w14:paraId="2CB0E332">
      <w:pPr>
        <w:keepNext w:val="0"/>
        <w:keepLines w:val="0"/>
        <w:pageBreakBefore w:val="0"/>
        <w:widowControl/>
        <w:kinsoku/>
        <w:wordWrap/>
        <w:overflowPunct/>
        <w:topLinePunct w:val="0"/>
        <w:autoSpaceDE/>
        <w:autoSpaceDN/>
        <w:bidi w:val="0"/>
        <w:adjustRightInd/>
        <w:snapToGrid w:val="0"/>
        <w:spacing w:line="500" w:lineRule="exact"/>
        <w:ind w:firstLine="480"/>
        <w:textAlignment w:val="auto"/>
        <w:rPr>
          <w:rFonts w:hint="eastAsia" w:ascii="宋体" w:hAnsi="宋体" w:cs="宋体"/>
          <w:color w:val="auto"/>
          <w:highlight w:val="none"/>
        </w:rPr>
      </w:pPr>
      <w:r>
        <w:rPr>
          <w:rFonts w:hint="eastAsia" w:ascii="宋体" w:hAnsi="宋体" w:cs="宋体"/>
          <w:color w:val="auto"/>
          <w:kern w:val="0"/>
          <w:highlight w:val="none"/>
        </w:rPr>
        <w:t xml:space="preserve">乙方（供应商）： </w:t>
      </w:r>
    </w:p>
    <w:p w14:paraId="4DD01368">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甲、乙双方根据2025年  月  日  时  分进行</w:t>
      </w:r>
      <w:r>
        <w:rPr>
          <w:rFonts w:hint="eastAsia" w:ascii="宋体" w:hAnsi="宋体" w:cs="Times New Roman"/>
          <w:color w:val="000000"/>
          <w:sz w:val="24"/>
          <w:szCs w:val="24"/>
          <w:lang w:val="zh-CN" w:eastAsia="zh-CN"/>
        </w:rPr>
        <w:t>的</w:t>
      </w:r>
      <w:r>
        <w:rPr>
          <w:rFonts w:hint="eastAsia" w:ascii="宋体" w:hAnsi="宋体" w:eastAsia="宋体" w:cs="Times New Roman"/>
          <w:color w:val="000000"/>
          <w:sz w:val="24"/>
          <w:szCs w:val="24"/>
          <w:lang w:val="en-US" w:eastAsia="zh-CN"/>
        </w:rPr>
        <w:t>龙游县湖镇镇张家埠村未来乡村生活馆亮化采购项目的</w:t>
      </w:r>
      <w:r>
        <w:rPr>
          <w:rFonts w:hint="eastAsia" w:ascii="宋体" w:hAnsi="宋体" w:cs="Times New Roman"/>
          <w:color w:val="000000"/>
          <w:sz w:val="24"/>
          <w:szCs w:val="24"/>
          <w:lang w:val="en-US" w:eastAsia="zh-CN"/>
        </w:rPr>
        <w:t>采购</w:t>
      </w:r>
      <w:r>
        <w:rPr>
          <w:rFonts w:hint="eastAsia" w:ascii="宋体" w:hAnsi="宋体" w:eastAsia="宋体" w:cs="Times New Roman"/>
          <w:color w:val="000000"/>
          <w:sz w:val="24"/>
          <w:szCs w:val="24"/>
          <w:lang w:val="en-US" w:eastAsia="zh-CN"/>
        </w:rPr>
        <w:t>结果，签署本合同。</w:t>
      </w:r>
    </w:p>
    <w:p w14:paraId="6F651B77">
      <w:pPr>
        <w:pageBreakBefore w:val="0"/>
        <w:kinsoku/>
        <w:overflowPunct/>
        <w:topLinePunct w:val="0"/>
        <w:autoSpaceDE/>
        <w:autoSpaceDN/>
        <w:bidi w:val="0"/>
        <w:snapToGrid w:val="0"/>
        <w:spacing w:before="0" w:after="0" w:line="400" w:lineRule="exact"/>
        <w:ind w:left="0" w:leftChars="0" w:firstLine="472"/>
        <w:jc w:val="both"/>
        <w:outlineLvl w:val="1"/>
        <w:rPr>
          <w:rFonts w:hint="eastAsia" w:ascii="宋体" w:hAnsi="宋体" w:eastAsia="宋体"/>
          <w:b/>
          <w:w w:val="100"/>
          <w:sz w:val="24"/>
          <w:lang w:eastAsia="zh-CN"/>
        </w:rPr>
      </w:pPr>
      <w:bookmarkStart w:id="957" w:name="_Toc24352"/>
      <w:bookmarkStart w:id="958" w:name="_Toc20527"/>
      <w:bookmarkStart w:id="959" w:name="_Toc29712"/>
      <w:bookmarkStart w:id="960" w:name="_Toc31933"/>
      <w:bookmarkStart w:id="961" w:name="_Toc15107"/>
      <w:bookmarkStart w:id="962" w:name="_Toc15098"/>
      <w:r>
        <w:rPr>
          <w:rFonts w:hint="eastAsia" w:ascii="宋体" w:hAnsi="宋体" w:eastAsia="宋体"/>
          <w:b/>
          <w:w w:val="100"/>
          <w:sz w:val="24"/>
          <w:lang w:val="en-US" w:eastAsia="zh-CN"/>
        </w:rPr>
        <w:t xml:space="preserve">第一条  </w:t>
      </w:r>
      <w:r>
        <w:rPr>
          <w:rFonts w:hint="eastAsia" w:ascii="宋体" w:hAnsi="宋体" w:eastAsia="宋体"/>
          <w:b/>
          <w:w w:val="100"/>
          <w:sz w:val="24"/>
          <w:lang w:eastAsia="zh-CN"/>
        </w:rPr>
        <w:t>总则</w:t>
      </w:r>
      <w:bookmarkEnd w:id="957"/>
      <w:bookmarkEnd w:id="958"/>
      <w:bookmarkEnd w:id="959"/>
      <w:bookmarkEnd w:id="960"/>
      <w:bookmarkEnd w:id="961"/>
      <w:bookmarkEnd w:id="962"/>
    </w:p>
    <w:p w14:paraId="4137798A">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eastAsia="zh-CN"/>
        </w:rPr>
      </w:pPr>
      <w:r>
        <w:rPr>
          <w:rFonts w:hint="eastAsia" w:ascii="宋体" w:hAnsi="宋体" w:eastAsia="宋体" w:cs="宋体"/>
          <w:b w:val="0"/>
          <w:w w:val="100"/>
          <w:sz w:val="24"/>
          <w:szCs w:val="24"/>
          <w:lang w:eastAsia="zh-CN"/>
        </w:rPr>
        <w:t>1．合同基本条款是指采购人（以下简称甲方）和成交供应商（以下简称乙方）应共同遵守的基本原则，并作为双方签约的依据。对于合同的其他条款，双方应本着互谅互让的精神协商解决。</w:t>
      </w:r>
    </w:p>
    <w:p w14:paraId="33EE0551">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eastAsia="zh-CN"/>
        </w:rPr>
      </w:pPr>
      <w:r>
        <w:rPr>
          <w:rFonts w:hint="eastAsia" w:ascii="宋体" w:hAnsi="宋体" w:eastAsia="宋体" w:cs="宋体"/>
          <w:b w:val="0"/>
          <w:w w:val="100"/>
          <w:sz w:val="24"/>
          <w:szCs w:val="24"/>
          <w:lang w:eastAsia="zh-CN"/>
        </w:rPr>
        <w:t>2．制定“合同主要条款”的依据是《中华人民共和国民法典》。</w:t>
      </w:r>
    </w:p>
    <w:p w14:paraId="4E95C752">
      <w:pPr>
        <w:pageBreakBefore w:val="0"/>
        <w:kinsoku/>
        <w:overflowPunct/>
        <w:topLinePunct w:val="0"/>
        <w:bidi w:val="0"/>
        <w:snapToGrid w:val="0"/>
        <w:spacing w:line="480" w:lineRule="exact"/>
        <w:ind w:left="0" w:leftChars="0" w:firstLine="482" w:firstLineChars="200"/>
        <w:rPr>
          <w:rFonts w:hint="eastAsia" w:ascii="宋体" w:hAnsi="宋体" w:eastAsia="宋体" w:cs="宋体"/>
          <w:b/>
          <w:bCs/>
          <w:sz w:val="24"/>
          <w:szCs w:val="24"/>
          <w:lang w:eastAsia="zh-CN"/>
        </w:rPr>
      </w:pPr>
      <w:bookmarkStart w:id="963" w:name="_Toc12714"/>
      <w:bookmarkStart w:id="964" w:name="_Toc23894"/>
      <w:bookmarkStart w:id="965" w:name="_Toc10912"/>
      <w:bookmarkStart w:id="966" w:name="_Toc16726"/>
      <w:bookmarkStart w:id="967" w:name="_Toc16894"/>
      <w:r>
        <w:rPr>
          <w:rFonts w:hint="eastAsia" w:ascii="宋体" w:hAnsi="宋体" w:eastAsia="宋体"/>
          <w:b/>
          <w:w w:val="100"/>
          <w:sz w:val="24"/>
          <w:lang w:val="en-US" w:eastAsia="zh-CN"/>
        </w:rPr>
        <w:t xml:space="preserve">第二条  </w:t>
      </w:r>
      <w:bookmarkEnd w:id="963"/>
      <w:bookmarkEnd w:id="964"/>
      <w:bookmarkEnd w:id="965"/>
      <w:bookmarkEnd w:id="966"/>
      <w:bookmarkEnd w:id="967"/>
      <w:r>
        <w:rPr>
          <w:rFonts w:hint="eastAsia" w:ascii="宋体" w:hAnsi="宋体" w:eastAsia="宋体" w:cs="宋体"/>
          <w:b/>
          <w:bCs/>
          <w:sz w:val="24"/>
          <w:szCs w:val="24"/>
        </w:rPr>
        <w:t>合同金额</w:t>
      </w:r>
    </w:p>
    <w:p w14:paraId="58918B66">
      <w:pPr>
        <w:pStyle w:val="22"/>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本合同金额为（大写）：____________________元</w:t>
      </w:r>
      <w:r>
        <w:rPr>
          <w:rFonts w:hint="eastAsia" w:ascii="宋体" w:hAnsi="宋体" w:eastAsia="宋体" w:cs="宋体"/>
          <w:color w:val="000000"/>
          <w:sz w:val="24"/>
          <w:szCs w:val="24"/>
          <w:highlight w:val="none"/>
          <w:lang w:eastAsia="zh-CN"/>
        </w:rPr>
        <w:t>整，小写：</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________元。</w:t>
      </w:r>
    </w:p>
    <w:p w14:paraId="7B3E7118">
      <w:pPr>
        <w:pStyle w:val="22"/>
        <w:spacing w:line="440" w:lineRule="exact"/>
        <w:ind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w:t>
      </w:r>
      <w:bookmarkStart w:id="968" w:name="_Toc16795"/>
      <w:bookmarkStart w:id="969" w:name="_Toc31738"/>
      <w:bookmarkStart w:id="970" w:name="_Toc26728"/>
      <w:bookmarkStart w:id="971" w:name="_Toc6488"/>
      <w:bookmarkStart w:id="972" w:name="_Toc26534"/>
      <w:bookmarkStart w:id="973" w:name="_Toc8988"/>
      <w:r>
        <w:rPr>
          <w:rFonts w:hint="eastAsia" w:hAnsi="宋体" w:cs="宋体"/>
          <w:kern w:val="2"/>
          <w:sz w:val="24"/>
          <w:szCs w:val="24"/>
          <w:highlight w:val="none"/>
          <w:lang w:val="en-US" w:eastAsia="zh-CN" w:bidi="ar-SA"/>
        </w:rPr>
        <w:t>合同价</w:t>
      </w:r>
      <w:r>
        <w:rPr>
          <w:rFonts w:hint="eastAsia" w:ascii="宋体" w:hAnsi="宋体" w:eastAsia="宋体" w:cs="Times New Roman"/>
          <w:color w:val="000000"/>
          <w:kern w:val="2"/>
          <w:sz w:val="24"/>
          <w:szCs w:val="24"/>
          <w:highlight w:val="none"/>
          <w:lang w:val="en-US" w:eastAsia="zh-CN" w:bidi="ar-SA"/>
        </w:rPr>
        <w:t>是乙方在正确地完全履行合同义务后甲方应支付的合同价格，</w:t>
      </w:r>
      <w:r>
        <w:rPr>
          <w:rFonts w:hint="eastAsia" w:ascii="宋体" w:hAnsi="宋体" w:eastAsia="宋体" w:cs="宋体"/>
          <w:color w:val="auto"/>
          <w:kern w:val="2"/>
          <w:sz w:val="24"/>
          <w:szCs w:val="24"/>
          <w:lang w:val="en-US" w:eastAsia="zh-CN" w:bidi="ar-SA"/>
        </w:rPr>
        <w:t>包括但不限于货物、随配附件、材料、备品备件、工具、运输费、保险费、装卸费（含二次搬运）、</w:t>
      </w:r>
      <w:r>
        <w:rPr>
          <w:rFonts w:hint="eastAsia" w:hAnsi="宋体" w:cs="宋体"/>
          <w:color w:val="auto"/>
          <w:kern w:val="2"/>
          <w:sz w:val="24"/>
          <w:szCs w:val="24"/>
          <w:lang w:val="en-US" w:eastAsia="zh-CN" w:bidi="ar-SA"/>
        </w:rPr>
        <w:t>安装调试费、设计费、</w:t>
      </w:r>
      <w:r>
        <w:rPr>
          <w:rFonts w:hint="eastAsia" w:ascii="宋体" w:hAnsi="宋体" w:eastAsia="宋体" w:cs="宋体"/>
          <w:color w:val="auto"/>
          <w:kern w:val="2"/>
          <w:sz w:val="24"/>
          <w:szCs w:val="24"/>
          <w:highlight w:val="none"/>
          <w:lang w:val="en-US" w:eastAsia="zh-CN" w:bidi="ar-SA"/>
        </w:rPr>
        <w:t>现场施工配合费、采购代理费、售后服务、培训费、</w:t>
      </w:r>
      <w:r>
        <w:rPr>
          <w:rFonts w:hint="eastAsia" w:ascii="宋体" w:hAnsi="宋体" w:eastAsia="宋体" w:cs="宋体"/>
          <w:color w:val="auto"/>
          <w:kern w:val="2"/>
          <w:sz w:val="24"/>
          <w:szCs w:val="24"/>
          <w:highlight w:val="none"/>
          <w:lang w:val="zh-CN" w:eastAsia="zh-CN" w:bidi="ar-SA"/>
        </w:rPr>
        <w:t>税金和利润等完成合同所需的一切本身和不可或缺的所有工作开支、政策性文件规定及合同包含的所有风险、责任等各项全部费用。</w:t>
      </w:r>
      <w:r>
        <w:rPr>
          <w:rFonts w:hint="eastAsia" w:ascii="宋体" w:hAnsi="宋体" w:eastAsia="宋体" w:cs="宋体"/>
          <w:color w:val="auto"/>
          <w:kern w:val="2"/>
          <w:sz w:val="24"/>
          <w:szCs w:val="24"/>
          <w:highlight w:val="none"/>
          <w:lang w:val="en-US" w:eastAsia="zh-CN" w:bidi="ar-SA"/>
        </w:rPr>
        <w:t>如有漏项，视同已包含在其他项目中。</w:t>
      </w:r>
    </w:p>
    <w:bookmarkEnd w:id="968"/>
    <w:bookmarkEnd w:id="969"/>
    <w:bookmarkEnd w:id="970"/>
    <w:bookmarkEnd w:id="971"/>
    <w:bookmarkEnd w:id="972"/>
    <w:bookmarkEnd w:id="973"/>
    <w:p w14:paraId="6EF63FFC">
      <w:pPr>
        <w:pageBreakBefore w:val="0"/>
        <w:kinsoku/>
        <w:overflowPunct/>
        <w:topLinePunct w:val="0"/>
        <w:bidi w:val="0"/>
        <w:snapToGrid w:val="0"/>
        <w:spacing w:line="480" w:lineRule="exact"/>
        <w:ind w:left="0" w:leftChars="0" w:firstLine="482" w:firstLineChars="200"/>
        <w:rPr>
          <w:rFonts w:hint="eastAsia" w:ascii="宋体" w:hAnsi="宋体" w:eastAsia="宋体" w:cs="宋体"/>
          <w:b/>
          <w:bCs/>
          <w:sz w:val="24"/>
          <w:szCs w:val="24"/>
          <w:highlight w:val="none"/>
        </w:rPr>
      </w:pPr>
      <w:bookmarkStart w:id="974" w:name="_Toc23340"/>
      <w:bookmarkStart w:id="975" w:name="_Toc9901"/>
      <w:bookmarkStart w:id="976" w:name="_Toc13217"/>
      <w:bookmarkStart w:id="977" w:name="_Toc18690"/>
      <w:bookmarkStart w:id="978" w:name="_Toc18973"/>
      <w:bookmarkStart w:id="979" w:name="_Toc7770"/>
      <w:bookmarkStart w:id="980" w:name="_Toc28116"/>
      <w:r>
        <w:rPr>
          <w:rFonts w:hint="eastAsia" w:ascii="宋体" w:hAnsi="宋体" w:eastAsia="宋体" w:cs="宋体"/>
          <w:b/>
          <w:bCs/>
          <w:w w:val="100"/>
          <w:sz w:val="24"/>
          <w:szCs w:val="24"/>
          <w:highlight w:val="none"/>
          <w:lang w:val="en-US" w:eastAsia="zh-CN"/>
        </w:rPr>
        <w:t xml:space="preserve">第三条  </w:t>
      </w: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技术资料</w:t>
      </w:r>
    </w:p>
    <w:p w14:paraId="03938314">
      <w:pPr>
        <w:pageBreakBefore w:val="0"/>
        <w:kinsoku/>
        <w:overflowPunct/>
        <w:topLinePunct w:val="0"/>
        <w:bidi w:val="0"/>
        <w:snapToGrid w:val="0"/>
        <w:spacing w:line="48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1.乙方应按招标文件规定的时间向甲方提供使用货物的有关技术资料。</w:t>
      </w:r>
    </w:p>
    <w:p w14:paraId="6321EB25">
      <w:pPr>
        <w:pageBreakBefore w:val="0"/>
        <w:kinsoku/>
        <w:overflowPunct/>
        <w:topLinePunct w:val="0"/>
        <w:autoSpaceDE/>
        <w:autoSpaceDN/>
        <w:bidi w:val="0"/>
        <w:snapToGrid w:val="0"/>
        <w:spacing w:before="0" w:after="0" w:line="500" w:lineRule="exact"/>
        <w:ind w:left="0" w:leftChars="0" w:firstLine="480" w:firstLineChars="200"/>
        <w:jc w:val="both"/>
        <w:rPr>
          <w:rFonts w:hint="default" w:ascii="宋体" w:hAnsi="宋体" w:eastAsia="宋体" w:cs="宋体"/>
          <w:b w:val="0"/>
          <w:w w:val="100"/>
          <w:sz w:val="24"/>
          <w:szCs w:val="24"/>
          <w:highlight w:val="none"/>
          <w:lang w:val="en-US" w:eastAsia="zh-CN"/>
        </w:rPr>
      </w:pPr>
      <w:r>
        <w:rPr>
          <w:rFonts w:hint="eastAsia" w:ascii="宋体" w:hAnsi="宋体" w:eastAsia="宋体" w:cs="宋体"/>
          <w:sz w:val="24"/>
          <w:szCs w:val="24"/>
          <w:highlight w:val="none"/>
        </w:rPr>
        <w:t>2. 没有甲方事先书面同意，乙方不得将由甲方提供的有关合同或任何合同条文、规格、计划、资料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数据</w:t>
      </w:r>
      <w:r>
        <w:rPr>
          <w:rFonts w:hint="eastAsia" w:ascii="宋体" w:hAnsi="宋体" w:eastAsia="宋体" w:cs="宋体"/>
          <w:sz w:val="24"/>
          <w:szCs w:val="24"/>
          <w:highlight w:val="none"/>
        </w:rPr>
        <w:t>提供给与履行本合同无关的任何其他人。即使向履行本合同有关的人员提供，也应注意保密并限于履行合同的必需范围。交付后涉及本项目的资料、数据等所有权归甲方所有。</w:t>
      </w:r>
    </w:p>
    <w:p w14:paraId="73EEF3DB">
      <w:pPr>
        <w:pStyle w:val="22"/>
        <w:spacing w:line="440" w:lineRule="exact"/>
        <w:ind w:firstLine="482" w:firstLineChars="200"/>
        <w:rPr>
          <w:rFonts w:hint="default" w:ascii="宋体" w:hAnsi="Times New Roman" w:eastAsia="宋体" w:cs="Times New Roman"/>
          <w:b/>
          <w:bCs/>
          <w:color w:val="auto"/>
          <w:kern w:val="2"/>
          <w:sz w:val="24"/>
          <w:szCs w:val="24"/>
          <w:highlight w:val="none"/>
          <w:lang w:val="en-US" w:eastAsia="zh-CN" w:bidi="ar-SA"/>
        </w:rPr>
      </w:pPr>
      <w:r>
        <w:rPr>
          <w:rFonts w:hint="eastAsia" w:ascii="宋体" w:hAnsi="Times New Roman" w:eastAsia="宋体" w:cs="Times New Roman"/>
          <w:b/>
          <w:bCs/>
          <w:color w:val="auto"/>
          <w:kern w:val="2"/>
          <w:sz w:val="24"/>
          <w:szCs w:val="24"/>
          <w:highlight w:val="none"/>
          <w:lang w:val="en-US" w:eastAsia="zh-CN" w:bidi="ar-SA"/>
        </w:rPr>
        <w:t>第</w:t>
      </w:r>
      <w:r>
        <w:rPr>
          <w:rFonts w:hint="eastAsia" w:hAnsi="Times New Roman" w:cs="Times New Roman"/>
          <w:b/>
          <w:bCs/>
          <w:color w:val="auto"/>
          <w:kern w:val="2"/>
          <w:sz w:val="24"/>
          <w:szCs w:val="24"/>
          <w:highlight w:val="none"/>
          <w:lang w:val="en-US" w:eastAsia="zh-CN" w:bidi="ar-SA"/>
        </w:rPr>
        <w:t>四</w:t>
      </w:r>
      <w:r>
        <w:rPr>
          <w:rFonts w:hint="eastAsia" w:ascii="宋体" w:hAnsi="Times New Roman" w:eastAsia="宋体" w:cs="Times New Roman"/>
          <w:b/>
          <w:bCs/>
          <w:color w:val="auto"/>
          <w:kern w:val="2"/>
          <w:sz w:val="24"/>
          <w:szCs w:val="24"/>
          <w:highlight w:val="none"/>
          <w:lang w:val="en-US" w:eastAsia="zh-CN" w:bidi="ar-SA"/>
        </w:rPr>
        <w:t>条</w:t>
      </w:r>
      <w:bookmarkEnd w:id="974"/>
      <w:r>
        <w:rPr>
          <w:rFonts w:hint="eastAsia" w:hAnsi="Times New Roman" w:cs="Times New Roman"/>
          <w:b/>
          <w:bCs/>
          <w:color w:val="auto"/>
          <w:kern w:val="2"/>
          <w:sz w:val="24"/>
          <w:szCs w:val="24"/>
          <w:highlight w:val="none"/>
          <w:lang w:val="en-US" w:eastAsia="zh-CN" w:bidi="ar-SA"/>
        </w:rPr>
        <w:t xml:space="preserve">  服务期限</w:t>
      </w:r>
    </w:p>
    <w:p w14:paraId="55E99E1E">
      <w:pPr>
        <w:pStyle w:val="22"/>
        <w:spacing w:line="440" w:lineRule="exact"/>
        <w:ind w:firstLine="480" w:firstLineChars="200"/>
        <w:rPr>
          <w:rFonts w:hint="eastAsia" w:ascii="宋体" w:hAnsi="宋体" w:cs="宋体"/>
          <w:color w:val="auto"/>
          <w:sz w:val="24"/>
          <w:szCs w:val="24"/>
          <w:highlight w:val="none"/>
          <w:lang w:val="en-US" w:eastAsia="zh-CN"/>
        </w:rPr>
      </w:pPr>
      <w:bookmarkStart w:id="981" w:name="_Toc22078"/>
      <w:r>
        <w:rPr>
          <w:rFonts w:hint="eastAsia" w:hAnsi="宋体" w:cs="宋体"/>
          <w:color w:val="auto"/>
          <w:sz w:val="24"/>
          <w:szCs w:val="24"/>
          <w:highlight w:val="none"/>
          <w:lang w:val="en-US" w:eastAsia="zh-CN"/>
        </w:rPr>
        <w:t>合同签订后，接采购人通知后的30日历天内完成项目所有工作并通过验收合格。</w:t>
      </w:r>
    </w:p>
    <w:p w14:paraId="6E78D4D9">
      <w:pPr>
        <w:pStyle w:val="22"/>
        <w:spacing w:line="440" w:lineRule="exact"/>
        <w:ind w:firstLine="482" w:firstLineChars="200"/>
        <w:rPr>
          <w:rFonts w:hint="eastAsia" w:ascii="宋体" w:hAnsi="Times New Roman" w:eastAsia="宋体" w:cs="Times New Roman"/>
          <w:b/>
          <w:bCs/>
          <w:kern w:val="2"/>
          <w:sz w:val="24"/>
          <w:szCs w:val="24"/>
          <w:highlight w:val="none"/>
          <w:lang w:val="en-US" w:eastAsia="zh-CN" w:bidi="ar-SA"/>
        </w:rPr>
      </w:pPr>
      <w:r>
        <w:rPr>
          <w:rFonts w:hint="eastAsia" w:ascii="宋体" w:hAnsi="Times New Roman" w:eastAsia="宋体" w:cs="Times New Roman"/>
          <w:b/>
          <w:bCs/>
          <w:kern w:val="2"/>
          <w:sz w:val="24"/>
          <w:szCs w:val="24"/>
          <w:highlight w:val="none"/>
          <w:lang w:val="en-US" w:eastAsia="zh-CN" w:bidi="ar-SA"/>
        </w:rPr>
        <w:t>第</w:t>
      </w:r>
      <w:r>
        <w:rPr>
          <w:rFonts w:hint="eastAsia" w:hAnsi="Times New Roman" w:cs="Times New Roman"/>
          <w:b/>
          <w:bCs/>
          <w:kern w:val="2"/>
          <w:sz w:val="24"/>
          <w:szCs w:val="24"/>
          <w:highlight w:val="none"/>
          <w:lang w:val="en-US" w:eastAsia="zh-CN" w:bidi="ar-SA"/>
        </w:rPr>
        <w:t>五</w:t>
      </w:r>
      <w:r>
        <w:rPr>
          <w:rFonts w:hint="eastAsia" w:ascii="宋体" w:hAnsi="Times New Roman" w:eastAsia="宋体" w:cs="Times New Roman"/>
          <w:b/>
          <w:bCs/>
          <w:kern w:val="2"/>
          <w:sz w:val="24"/>
          <w:szCs w:val="24"/>
          <w:highlight w:val="none"/>
          <w:lang w:val="en-US" w:eastAsia="zh-CN" w:bidi="ar-SA"/>
        </w:rPr>
        <w:t>条  服务地点</w:t>
      </w:r>
      <w:bookmarkEnd w:id="981"/>
    </w:p>
    <w:p w14:paraId="0013E2E2">
      <w:pPr>
        <w:pStyle w:val="22"/>
        <w:spacing w:line="440" w:lineRule="exact"/>
        <w:ind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由甲方指定地点。</w:t>
      </w:r>
    </w:p>
    <w:p w14:paraId="7DC13B30">
      <w:pPr>
        <w:pStyle w:val="22"/>
        <w:spacing w:line="440" w:lineRule="exact"/>
        <w:ind w:firstLine="482" w:firstLineChars="200"/>
        <w:rPr>
          <w:rFonts w:hint="eastAsia" w:ascii="宋体" w:hAnsi="Times New Roman" w:eastAsia="宋体" w:cs="Times New Roman"/>
          <w:b/>
          <w:bCs/>
          <w:kern w:val="2"/>
          <w:sz w:val="24"/>
          <w:szCs w:val="24"/>
          <w:highlight w:val="none"/>
          <w:lang w:val="en-US" w:eastAsia="zh-CN" w:bidi="ar-SA"/>
        </w:rPr>
      </w:pPr>
      <w:r>
        <w:rPr>
          <w:rFonts w:hint="eastAsia" w:ascii="宋体" w:hAnsi="Times New Roman" w:eastAsia="宋体" w:cs="Times New Roman"/>
          <w:b/>
          <w:bCs/>
          <w:kern w:val="2"/>
          <w:sz w:val="24"/>
          <w:szCs w:val="24"/>
          <w:highlight w:val="none"/>
          <w:lang w:val="en-US" w:eastAsia="zh-CN" w:bidi="ar-SA"/>
        </w:rPr>
        <w:t>第</w:t>
      </w:r>
      <w:r>
        <w:rPr>
          <w:rFonts w:hint="eastAsia" w:hAnsi="Times New Roman" w:cs="Times New Roman"/>
          <w:b/>
          <w:bCs/>
          <w:kern w:val="2"/>
          <w:sz w:val="24"/>
          <w:szCs w:val="24"/>
          <w:highlight w:val="none"/>
          <w:lang w:val="en-US" w:eastAsia="zh-CN" w:bidi="ar-SA"/>
        </w:rPr>
        <w:t>六</w:t>
      </w:r>
      <w:r>
        <w:rPr>
          <w:rFonts w:hint="eastAsia" w:ascii="宋体" w:hAnsi="Times New Roman" w:eastAsia="宋体" w:cs="Times New Roman"/>
          <w:b/>
          <w:bCs/>
          <w:kern w:val="2"/>
          <w:sz w:val="24"/>
          <w:szCs w:val="24"/>
          <w:highlight w:val="none"/>
          <w:lang w:val="en-US" w:eastAsia="zh-CN" w:bidi="ar-SA"/>
        </w:rPr>
        <w:t>条  转包或分包</w:t>
      </w:r>
      <w:bookmarkEnd w:id="975"/>
      <w:bookmarkEnd w:id="976"/>
      <w:bookmarkEnd w:id="977"/>
      <w:bookmarkEnd w:id="978"/>
      <w:bookmarkEnd w:id="979"/>
      <w:bookmarkEnd w:id="980"/>
    </w:p>
    <w:p w14:paraId="4F294CAD">
      <w:pPr>
        <w:keepNext w:val="0"/>
        <w:keepLines w:val="0"/>
        <w:pageBreakBefore w:val="0"/>
        <w:kinsoku/>
        <w:wordWrap/>
        <w:overflowPunct/>
        <w:topLinePunct w:val="0"/>
        <w:autoSpaceDE/>
        <w:autoSpaceDN/>
        <w:bidi w:val="0"/>
        <w:adjustRightInd/>
        <w:spacing w:line="520" w:lineRule="exact"/>
        <w:ind w:firstLine="480"/>
        <w:textAlignment w:val="auto"/>
        <w:rPr>
          <w:rFonts w:hint="eastAsia" w:ascii="宋体" w:hAnsi="宋体" w:eastAsia="宋体" w:cs="宋体"/>
          <w:color w:val="auto"/>
          <w:sz w:val="24"/>
          <w:szCs w:val="24"/>
        </w:rPr>
      </w:pPr>
      <w:bookmarkStart w:id="982" w:name="_Toc6347"/>
      <w:bookmarkStart w:id="983" w:name="_Toc20871"/>
      <w:bookmarkStart w:id="984" w:name="_Toc15163"/>
      <w:bookmarkStart w:id="985" w:name="_Toc11560"/>
      <w:bookmarkStart w:id="986" w:name="_Toc4063"/>
      <w:r>
        <w:rPr>
          <w:rFonts w:hint="eastAsia" w:ascii="宋体" w:hAnsi="宋体" w:eastAsia="宋体" w:cs="宋体"/>
          <w:color w:val="auto"/>
          <w:sz w:val="24"/>
          <w:szCs w:val="24"/>
        </w:rPr>
        <w:t>1.本合同范围的货物，应由乙方直接供应，不得转让他人供应。</w:t>
      </w:r>
    </w:p>
    <w:p w14:paraId="16CD00ED">
      <w:pPr>
        <w:keepNext w:val="0"/>
        <w:keepLines w:val="0"/>
        <w:pageBreakBefore w:val="0"/>
        <w:kinsoku/>
        <w:wordWrap/>
        <w:overflowPunct/>
        <w:topLinePunct w:val="0"/>
        <w:autoSpaceDE/>
        <w:autoSpaceDN/>
        <w:bidi w:val="0"/>
        <w:adjustRightInd/>
        <w:spacing w:line="5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2.除非得到甲方的书面同意，乙方不得将本合同范围的货物全部或部分分包给他人供应。</w:t>
      </w:r>
    </w:p>
    <w:p w14:paraId="4BD43FFD">
      <w:pPr>
        <w:pStyle w:val="18"/>
        <w:pageBreakBefore w:val="0"/>
        <w:numPr>
          <w:ilvl w:val="0"/>
          <w:numId w:val="0"/>
        </w:numPr>
        <w:kinsoku/>
        <w:overflowPunct/>
        <w:topLinePunct w:val="0"/>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3.如有转让和未经甲方同意的分包行为，甲方有权解除合同，没收履约保证金并追究乙方的违约责任。</w:t>
      </w:r>
    </w:p>
    <w:p w14:paraId="345C1935">
      <w:pPr>
        <w:pStyle w:val="18"/>
        <w:pageBreakBefore w:val="0"/>
        <w:numPr>
          <w:ilvl w:val="0"/>
          <w:numId w:val="0"/>
        </w:numPr>
        <w:kinsoku/>
        <w:overflowPunct/>
        <w:topLinePunct w:val="0"/>
        <w:bidi w:val="0"/>
        <w:ind w:firstLine="482" w:firstLineChars="200"/>
        <w:rPr>
          <w:rFonts w:hint="default" w:ascii="宋体" w:hAnsi="Times New Roman" w:eastAsia="宋体" w:cs="Times New Roman"/>
          <w:b/>
          <w:bCs/>
          <w:highlight w:val="none"/>
          <w:lang w:val="en-US" w:eastAsia="zh-CN"/>
        </w:rPr>
      </w:pPr>
      <w:r>
        <w:rPr>
          <w:rFonts w:hint="eastAsia" w:ascii="宋体" w:hAnsi="Times New Roman" w:eastAsia="宋体" w:cs="Times New Roman"/>
          <w:b/>
          <w:bCs/>
          <w:highlight w:val="none"/>
          <w:lang w:val="en-US" w:eastAsia="zh-CN"/>
        </w:rPr>
        <w:t>第</w:t>
      </w:r>
      <w:r>
        <w:rPr>
          <w:rFonts w:hint="eastAsia" w:cs="Times New Roman"/>
          <w:b/>
          <w:bCs/>
          <w:highlight w:val="none"/>
          <w:lang w:val="en-US" w:eastAsia="zh-CN"/>
        </w:rPr>
        <w:t>七</w:t>
      </w:r>
      <w:r>
        <w:rPr>
          <w:rFonts w:hint="eastAsia" w:ascii="宋体" w:hAnsi="Times New Roman" w:eastAsia="宋体" w:cs="Times New Roman"/>
          <w:b/>
          <w:bCs/>
          <w:highlight w:val="none"/>
          <w:lang w:val="en-US" w:eastAsia="zh-CN"/>
        </w:rPr>
        <w:t>条  质保期</w:t>
      </w:r>
    </w:p>
    <w:p w14:paraId="55DD4528">
      <w:pPr>
        <w:pStyle w:val="18"/>
        <w:pageBreakBefore w:val="0"/>
        <w:numPr>
          <w:ilvl w:val="0"/>
          <w:numId w:val="0"/>
        </w:numPr>
        <w:kinsoku/>
        <w:overflowPunct/>
        <w:topLinePunct w:val="0"/>
        <w:bidi w:val="0"/>
        <w:ind w:firstLine="480" w:firstLineChars="200"/>
        <w:rPr>
          <w:rFonts w:hint="eastAsia" w:ascii="宋体" w:hAnsi="Times New Roman" w:eastAsia="宋体" w:cs="Times New Roman"/>
          <w:color w:val="auto"/>
          <w:highlight w:val="none"/>
          <w:lang w:val="zh-CN" w:eastAsia="zh-CN"/>
        </w:rPr>
      </w:pPr>
      <w:r>
        <w:rPr>
          <w:rFonts w:hint="eastAsia" w:ascii="宋体" w:hAnsi="Times New Roman" w:eastAsia="宋体" w:cs="Times New Roman"/>
          <w:highlight w:val="none"/>
          <w:lang w:val="en-US" w:eastAsia="zh-CN"/>
        </w:rPr>
        <w:t>质保期</w:t>
      </w:r>
      <w:r>
        <w:rPr>
          <w:rFonts w:hint="eastAsia" w:ascii="宋体" w:hAnsi="Times New Roman" w:eastAsia="宋体" w:cs="Times New Roman"/>
          <w:highlight w:val="none"/>
          <w:u w:val="single"/>
          <w:lang w:val="en-US" w:eastAsia="zh-CN"/>
        </w:rPr>
        <w:t xml:space="preserve">     </w:t>
      </w:r>
      <w:r>
        <w:rPr>
          <w:rFonts w:hint="eastAsia" w:ascii="宋体" w:hAnsi="Times New Roman" w:eastAsia="宋体" w:cs="Times New Roman"/>
          <w:highlight w:val="none"/>
          <w:u w:val="none"/>
          <w:lang w:val="en-US" w:eastAsia="zh-CN"/>
        </w:rPr>
        <w:t>年</w:t>
      </w:r>
      <w:r>
        <w:rPr>
          <w:rFonts w:hint="eastAsia" w:ascii="宋体" w:hAnsi="Times New Roman" w:eastAsia="宋体" w:cs="Times New Roman"/>
          <w:color w:val="auto"/>
          <w:highlight w:val="none"/>
          <w:lang w:val="en-US" w:eastAsia="zh-CN"/>
        </w:rPr>
        <w:t>（</w:t>
      </w:r>
      <w:r>
        <w:rPr>
          <w:rFonts w:hint="eastAsia" w:ascii="宋体" w:hAnsi="宋体" w:eastAsia="宋体" w:cs="宋体"/>
          <w:color w:val="auto"/>
          <w:sz w:val="24"/>
          <w:szCs w:val="24"/>
          <w:highlight w:val="none"/>
          <w:lang w:val="en-US" w:eastAsia="zh-CN"/>
        </w:rPr>
        <w:t>自安装完成并通过验收之日起计</w:t>
      </w:r>
      <w:r>
        <w:rPr>
          <w:rFonts w:hint="eastAsia" w:ascii="宋体" w:hAnsi="Times New Roman" w:eastAsia="宋体" w:cs="Times New Roman"/>
          <w:color w:val="auto"/>
          <w:highlight w:val="none"/>
          <w:lang w:val="en-US" w:eastAsia="zh-CN"/>
        </w:rPr>
        <w:t>，按投标文件承诺时间）。</w:t>
      </w:r>
    </w:p>
    <w:p w14:paraId="1E58CA8E">
      <w:pPr>
        <w:pageBreakBefore w:val="0"/>
        <w:kinsoku/>
        <w:overflowPunct/>
        <w:topLinePunct w:val="0"/>
        <w:bidi w:val="0"/>
        <w:snapToGrid w:val="0"/>
        <w:spacing w:line="480" w:lineRule="exact"/>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条  质量保证</w:t>
      </w:r>
    </w:p>
    <w:p w14:paraId="06A37DED">
      <w:pPr>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1.乙方应按采购文件规定的</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性能、技术要求、质量标准向甲方提供未经使用的全新产品。</w:t>
      </w:r>
    </w:p>
    <w:p w14:paraId="7AB47087">
      <w:pPr>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2.乙方提供的货物在质保期内因货物本身的质量问题发生故障，乙方应负责免费更换。对达不到技术要求者，根据实际情况，经双方协商，可按以下办法处理：</w:t>
      </w:r>
    </w:p>
    <w:p w14:paraId="09BE37D8">
      <w:pPr>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14:paraId="2033C8C1">
      <w:pPr>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⑵退货处理：乙方应退还甲方支付的合同款，同时应承担该货物的直接费用（运输、保险、检验、货款利息及银行手续费等）。</w:t>
      </w:r>
    </w:p>
    <w:p w14:paraId="0BFE2A7D">
      <w:pPr>
        <w:keepNext w:val="0"/>
        <w:keepLines w:val="0"/>
        <w:pageBreakBefore w:val="0"/>
        <w:numPr>
          <w:ilvl w:val="0"/>
          <w:numId w:val="0"/>
        </w:numPr>
        <w:tabs>
          <w:tab w:val="left" w:pos="0"/>
        </w:tabs>
        <w:kinsoku/>
        <w:wordWrap/>
        <w:overflowPunct/>
        <w:topLinePunct w:val="0"/>
        <w:autoSpaceDE/>
        <w:autoSpaceDN/>
        <w:bidi w:val="0"/>
        <w:adjustRightInd/>
        <w:spacing w:line="480" w:lineRule="exact"/>
        <w:ind w:left="482" w:lef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质保期内</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因</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lang w:val="en-US" w:eastAsia="zh-CN"/>
        </w:rPr>
        <w:t>本身缺陷造成各种故障应由</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sz w:val="24"/>
          <w:szCs w:val="24"/>
          <w:highlight w:val="none"/>
          <w:lang w:val="en-US" w:eastAsia="zh-CN"/>
        </w:rPr>
        <w:t>免费技术服务和维修。</w:t>
      </w:r>
    </w:p>
    <w:p w14:paraId="1735FEDB">
      <w:pPr>
        <w:keepNext w:val="0"/>
        <w:keepLines w:val="0"/>
        <w:pageBreakBefore w:val="0"/>
        <w:numPr>
          <w:ilvl w:val="0"/>
          <w:numId w:val="0"/>
        </w:numPr>
        <w:tabs>
          <w:tab w:val="left" w:pos="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在质保期内，</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sz w:val="24"/>
          <w:szCs w:val="24"/>
          <w:highlight w:val="none"/>
          <w:lang w:val="en-US" w:eastAsia="zh-CN"/>
        </w:rPr>
        <w:t>应确保正常使用，如在使用过程中发生质量问题，出现故障后2小时内服务响应、12小时内现场服务到位、48小时内解决问题。若无法按规定及时修复的须根据</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要求提供备用设备。</w:t>
      </w:r>
    </w:p>
    <w:p w14:paraId="5CA915B3">
      <w:pPr>
        <w:pStyle w:val="18"/>
        <w:keepNext w:val="0"/>
        <w:keepLines w:val="0"/>
        <w:pageBreakBefore w:val="0"/>
        <w:widowControl w:val="0"/>
        <w:kinsoku/>
        <w:wordWrap/>
        <w:overflowPunct/>
        <w:topLinePunct w:val="0"/>
        <w:autoSpaceDE/>
        <w:autoSpaceDN/>
        <w:bidi w:val="0"/>
        <w:adjustRightInd/>
        <w:snapToGrid w:val="0"/>
        <w:spacing w:after="0" w:line="440" w:lineRule="exact"/>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在质保期内，</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sz w:val="24"/>
          <w:szCs w:val="24"/>
          <w:highlight w:val="none"/>
          <w:lang w:val="en-US" w:eastAsia="zh-CN"/>
        </w:rPr>
        <w:t>应对货</w:t>
      </w:r>
      <w:r>
        <w:rPr>
          <w:rFonts w:hint="eastAsia" w:ascii="宋体" w:hAnsi="宋体" w:eastAsia="宋体" w:cs="宋体"/>
          <w:color w:val="auto"/>
          <w:sz w:val="24"/>
          <w:szCs w:val="24"/>
          <w:lang w:val="en-US" w:eastAsia="zh-CN"/>
        </w:rPr>
        <w:t>物出现的质量及安全问题负责处理解决并承担一切费用。</w:t>
      </w:r>
    </w:p>
    <w:p w14:paraId="0EFA888B">
      <w:pPr>
        <w:pageBreakBefore w:val="0"/>
        <w:kinsoku/>
        <w:overflowPunct/>
        <w:topLinePunct w:val="0"/>
        <w:bidi w:val="0"/>
        <w:snapToGrid w:val="0"/>
        <w:spacing w:line="48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.上述的货物免费保修期不得少于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年（按投标文件承诺时间），因人为因素出现的故障不在免费保修范围内。超过保修期的</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lang w:val="en-US" w:eastAsia="zh-CN"/>
        </w:rPr>
        <w:t>，终生维修，维修时只收部件成本费。</w:t>
      </w:r>
    </w:p>
    <w:p w14:paraId="5BD2F2BF">
      <w:pPr>
        <w:pageBreakBefore w:val="0"/>
        <w:kinsoku/>
        <w:overflowPunct/>
        <w:topLinePunct w:val="0"/>
        <w:bidi w:val="0"/>
        <w:snapToGrid w:val="0"/>
        <w:spacing w:line="480" w:lineRule="exact"/>
        <w:ind w:left="0" w:leftChars="0" w:firstLine="482" w:firstLineChars="200"/>
        <w:rPr>
          <w:rFonts w:hint="eastAsia" w:ascii="宋体" w:hAnsi="宋体" w:eastAsia="宋体" w:cs="宋体"/>
          <w:b/>
          <w:bCs/>
          <w:color w:val="auto"/>
          <w:w w:val="100"/>
          <w:sz w:val="24"/>
          <w:szCs w:val="24"/>
          <w:highlight w:val="none"/>
          <w:lang w:val="en-US" w:eastAsia="zh-CN"/>
        </w:rPr>
      </w:pPr>
      <w:r>
        <w:rPr>
          <w:rFonts w:hint="eastAsia" w:ascii="宋体" w:hAnsi="宋体" w:eastAsia="宋体" w:cs="宋体"/>
          <w:b/>
          <w:bCs/>
          <w:color w:val="auto"/>
          <w:w w:val="100"/>
          <w:sz w:val="24"/>
          <w:szCs w:val="24"/>
          <w:highlight w:val="none"/>
          <w:lang w:val="en-US" w:eastAsia="zh-CN"/>
        </w:rPr>
        <w:t>第</w:t>
      </w:r>
      <w:r>
        <w:rPr>
          <w:rFonts w:hint="eastAsia" w:ascii="宋体" w:hAnsi="宋体" w:cs="宋体"/>
          <w:b/>
          <w:bCs/>
          <w:color w:val="auto"/>
          <w:w w:val="100"/>
          <w:sz w:val="24"/>
          <w:szCs w:val="24"/>
          <w:highlight w:val="none"/>
          <w:lang w:val="en-US" w:eastAsia="zh-CN"/>
        </w:rPr>
        <w:t>九</w:t>
      </w:r>
      <w:r>
        <w:rPr>
          <w:rFonts w:hint="eastAsia" w:ascii="宋体" w:hAnsi="宋体" w:eastAsia="宋体" w:cs="宋体"/>
          <w:b/>
          <w:bCs/>
          <w:color w:val="auto"/>
          <w:w w:val="100"/>
          <w:sz w:val="24"/>
          <w:szCs w:val="24"/>
          <w:highlight w:val="none"/>
          <w:lang w:val="en-US" w:eastAsia="zh-CN"/>
        </w:rPr>
        <w:t>条  支付方式</w:t>
      </w:r>
    </w:p>
    <w:p w14:paraId="176F0BCC">
      <w:pPr>
        <w:pageBreakBefore w:val="0"/>
        <w:kinsoku/>
        <w:overflowPunct/>
        <w:topLinePunct w:val="0"/>
        <w:bidi w:val="0"/>
        <w:snapToGrid w:val="0"/>
        <w:spacing w:line="460" w:lineRule="exact"/>
        <w:ind w:left="0" w:leftChars="0" w:firstLine="480" w:firstLineChars="200"/>
        <w:jc w:val="both"/>
        <w:rPr>
          <w:rFonts w:hint="eastAsia" w:ascii="宋体" w:hAnsi="宋体" w:eastAsia="宋体" w:cs="宋体"/>
          <w:color w:val="auto"/>
          <w:sz w:val="24"/>
          <w:szCs w:val="24"/>
          <w:highlight w:val="none"/>
          <w:lang w:val="en-US" w:eastAsia="zh-CN"/>
        </w:rPr>
      </w:pPr>
      <w:bookmarkStart w:id="987" w:name="_Toc15809"/>
      <w:bookmarkStart w:id="988" w:name="_Toc17091"/>
      <w:bookmarkStart w:id="989" w:name="_Toc22136"/>
      <w:bookmarkStart w:id="990" w:name="_Toc15044"/>
      <w:bookmarkStart w:id="991" w:name="_Toc20163"/>
      <w:bookmarkStart w:id="992" w:name="_Toc7315"/>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项目全部完工并经业主（或第三方）竣工验收合格审计后一次性付清全部合同款。合同款凭发票、合同、验收单由采购单位结算。</w:t>
      </w:r>
    </w:p>
    <w:bookmarkEnd w:id="987"/>
    <w:bookmarkEnd w:id="988"/>
    <w:bookmarkEnd w:id="989"/>
    <w:bookmarkEnd w:id="990"/>
    <w:bookmarkEnd w:id="991"/>
    <w:bookmarkEnd w:id="992"/>
    <w:p w14:paraId="34FF8AC9">
      <w:pPr>
        <w:pStyle w:val="18"/>
        <w:keepNext w:val="0"/>
        <w:keepLines w:val="0"/>
        <w:pageBreakBefore w:val="0"/>
        <w:widowControl w:val="0"/>
        <w:kinsoku/>
        <w:wordWrap/>
        <w:overflowPunct/>
        <w:topLinePunct w:val="0"/>
        <w:autoSpaceDE/>
        <w:autoSpaceDN/>
        <w:bidi w:val="0"/>
        <w:adjustRightInd/>
        <w:snapToGrid w:val="0"/>
        <w:spacing w:after="0" w:line="500" w:lineRule="exact"/>
        <w:ind w:left="0" w:leftChars="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当采购数量与实际供货</w:t>
      </w:r>
      <w:r>
        <w:rPr>
          <w:rFonts w:hint="eastAsia" w:ascii="宋体" w:hAnsi="宋体" w:eastAsia="宋体" w:cs="宋体"/>
          <w:color w:val="auto"/>
          <w:kern w:val="2"/>
          <w:sz w:val="24"/>
          <w:szCs w:val="24"/>
          <w:highlight w:val="none"/>
          <w:lang w:val="en-US" w:eastAsia="zh-CN" w:bidi="ar-SA"/>
        </w:rPr>
        <w:t>数量</w:t>
      </w:r>
      <w:r>
        <w:rPr>
          <w:rFonts w:hint="eastAsia" w:ascii="宋体" w:hAnsi="宋体" w:eastAsia="宋体" w:cs="宋体"/>
          <w:color w:val="auto"/>
          <w:kern w:val="2"/>
          <w:sz w:val="24"/>
          <w:szCs w:val="24"/>
          <w:highlight w:val="none"/>
          <w:lang w:val="zh-CN" w:eastAsia="zh-CN" w:bidi="ar-SA"/>
        </w:rPr>
        <w:t>不一致时，</w:t>
      </w:r>
      <w:r>
        <w:rPr>
          <w:rFonts w:hint="eastAsia" w:ascii="宋体" w:hAnsi="宋体" w:eastAsia="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zh-CN" w:eastAsia="zh-CN" w:bidi="ar-SA"/>
        </w:rPr>
        <w:t>应根据实际供货</w:t>
      </w:r>
      <w:r>
        <w:rPr>
          <w:rFonts w:hint="eastAsia" w:ascii="宋体" w:hAnsi="宋体" w:eastAsia="宋体" w:cs="宋体"/>
          <w:color w:val="auto"/>
          <w:kern w:val="2"/>
          <w:sz w:val="24"/>
          <w:szCs w:val="24"/>
          <w:highlight w:val="none"/>
          <w:lang w:val="en-US" w:eastAsia="zh-CN" w:bidi="ar-SA"/>
        </w:rPr>
        <w:t>数量结算</w:t>
      </w:r>
      <w:r>
        <w:rPr>
          <w:rFonts w:hint="eastAsia" w:ascii="宋体" w:hAnsi="宋体" w:eastAsia="宋体" w:cs="宋体"/>
          <w:color w:val="auto"/>
          <w:kern w:val="2"/>
          <w:sz w:val="24"/>
          <w:szCs w:val="24"/>
          <w:highlight w:val="none"/>
          <w:lang w:val="zh-CN" w:eastAsia="zh-CN" w:bidi="ar-SA"/>
        </w:rPr>
        <w:t>，合同的最终结算金额按实际供货</w:t>
      </w:r>
      <w:r>
        <w:rPr>
          <w:rFonts w:hint="eastAsia" w:ascii="宋体" w:hAnsi="宋体" w:eastAsia="宋体" w:cs="宋体"/>
          <w:color w:val="auto"/>
          <w:kern w:val="2"/>
          <w:sz w:val="24"/>
          <w:szCs w:val="24"/>
          <w:highlight w:val="none"/>
          <w:lang w:val="en-US" w:eastAsia="zh-CN" w:bidi="ar-SA"/>
        </w:rPr>
        <w:t>数量</w:t>
      </w:r>
      <w:r>
        <w:rPr>
          <w:rFonts w:hint="eastAsia" w:ascii="宋体" w:hAnsi="宋体" w:eastAsia="宋体" w:cs="宋体"/>
          <w:color w:val="auto"/>
          <w:kern w:val="2"/>
          <w:sz w:val="24"/>
          <w:szCs w:val="24"/>
          <w:highlight w:val="none"/>
          <w:lang w:val="zh-CN" w:eastAsia="zh-CN" w:bidi="ar-SA"/>
        </w:rPr>
        <w:t>乘以成交单价进行计算；并签订补充合同；补充合同的采购金额不得超过原采购金额的10%。</w:t>
      </w:r>
    </w:p>
    <w:p w14:paraId="255B3AD5">
      <w:pPr>
        <w:pageBreakBefore w:val="0"/>
        <w:kinsoku/>
        <w:overflowPunct/>
        <w:topLinePunct w:val="0"/>
        <w:autoSpaceDE/>
        <w:autoSpaceDN/>
        <w:bidi w:val="0"/>
        <w:snapToGrid w:val="0"/>
        <w:spacing w:before="0" w:after="0" w:line="500" w:lineRule="exact"/>
        <w:ind w:left="0" w:leftChars="0" w:firstLine="482"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bCs/>
          <w:w w:val="100"/>
          <w:sz w:val="24"/>
          <w:szCs w:val="24"/>
          <w:lang w:val="en-US" w:eastAsia="zh-CN"/>
        </w:rPr>
        <w:t>第十条  调试和验收</w:t>
      </w:r>
    </w:p>
    <w:p w14:paraId="0F4262F2">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1.甲方对乙方提交的货物依据采购文件上的技术规格要求和国家有关质量标准进行现场初步验收，外观、说明书符合采购文件技术要求的，给予签收，初步验收不合格的不予签收。</w:t>
      </w:r>
    </w:p>
    <w:p w14:paraId="46E5BC7E">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2.乙方交货前应对</w:t>
      </w:r>
      <w:r>
        <w:rPr>
          <w:rFonts w:hint="eastAsia" w:ascii="宋体" w:hAnsi="宋体" w:cs="宋体"/>
          <w:b w:val="0"/>
          <w:w w:val="100"/>
          <w:sz w:val="24"/>
          <w:szCs w:val="24"/>
          <w:lang w:val="en-US" w:eastAsia="zh-CN"/>
        </w:rPr>
        <w:t>货物</w:t>
      </w:r>
      <w:r>
        <w:rPr>
          <w:rFonts w:hint="eastAsia" w:ascii="宋体" w:hAnsi="宋体" w:eastAsia="宋体" w:cs="宋体"/>
          <w:b w:val="0"/>
          <w:w w:val="100"/>
          <w:sz w:val="24"/>
          <w:szCs w:val="24"/>
          <w:lang w:val="en-US" w:eastAsia="zh-CN"/>
        </w:rPr>
        <w:t>作出全面检查和对验收文件进行整理，并列出清单，作为甲方收货验收和使用的技术条件依据，检验的结果应随货物交甲方。</w:t>
      </w:r>
    </w:p>
    <w:p w14:paraId="647CF345">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3.乙方提供的</w:t>
      </w:r>
      <w:r>
        <w:rPr>
          <w:rFonts w:hint="eastAsia" w:ascii="宋体" w:hAnsi="宋体" w:cs="宋体"/>
          <w:b w:val="0"/>
          <w:w w:val="100"/>
          <w:sz w:val="24"/>
          <w:szCs w:val="24"/>
          <w:lang w:val="en-US" w:eastAsia="zh-CN"/>
        </w:rPr>
        <w:t>货物</w:t>
      </w:r>
      <w:r>
        <w:rPr>
          <w:rFonts w:hint="eastAsia" w:ascii="宋体" w:hAnsi="宋体" w:eastAsia="宋体" w:cs="宋体"/>
          <w:b w:val="0"/>
          <w:w w:val="100"/>
          <w:sz w:val="24"/>
          <w:szCs w:val="24"/>
          <w:lang w:val="en-US" w:eastAsia="zh-CN"/>
        </w:rPr>
        <w:t>在使用前进行调试时，乙方需负责安装并培训甲方的使用操作人员，并协助甲方一起调试，直到符合技术要求，甲方才做最终验收。</w:t>
      </w:r>
    </w:p>
    <w:p w14:paraId="76759337">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bookmarkStart w:id="993" w:name="_Toc11667"/>
      <w:r>
        <w:rPr>
          <w:rFonts w:hint="eastAsia" w:ascii="宋体" w:hAnsi="宋体" w:cs="宋体"/>
          <w:b w:val="0"/>
          <w:w w:val="100"/>
          <w:sz w:val="24"/>
          <w:szCs w:val="24"/>
          <w:lang w:val="en-US" w:eastAsia="zh-CN"/>
        </w:rPr>
        <w:t>4</w:t>
      </w:r>
      <w:r>
        <w:rPr>
          <w:rFonts w:hint="eastAsia" w:ascii="宋体" w:hAnsi="宋体" w:eastAsia="宋体" w:cs="宋体"/>
          <w:b w:val="0"/>
          <w:w w:val="100"/>
          <w:sz w:val="24"/>
          <w:szCs w:val="24"/>
          <w:lang w:val="en-US" w:eastAsia="zh-CN"/>
        </w:rPr>
        <w:t>.验收时乙方必须在现场，验收中发现达不到验收标准或</w:t>
      </w:r>
      <w:r>
        <w:rPr>
          <w:rFonts w:hint="eastAsia" w:ascii="宋体" w:hAnsi="宋体" w:eastAsia="宋体" w:cs="宋体"/>
          <w:kern w:val="0"/>
          <w:sz w:val="24"/>
          <w:szCs w:val="24"/>
        </w:rPr>
        <w:t>投标文件承诺的性能指标的，</w:t>
      </w:r>
      <w:r>
        <w:rPr>
          <w:rFonts w:hint="eastAsia" w:ascii="宋体" w:hAnsi="宋体" w:cs="宋体"/>
          <w:b w:val="0"/>
          <w:w w:val="100"/>
          <w:sz w:val="24"/>
          <w:szCs w:val="24"/>
          <w:lang w:val="en-US" w:eastAsia="zh-CN"/>
        </w:rPr>
        <w:t>乙方</w:t>
      </w:r>
      <w:r>
        <w:rPr>
          <w:rFonts w:hint="eastAsia" w:ascii="宋体" w:hAnsi="宋体" w:eastAsia="宋体" w:cs="宋体"/>
          <w:b w:val="0"/>
          <w:w w:val="100"/>
          <w:sz w:val="24"/>
          <w:szCs w:val="24"/>
          <w:lang w:val="en-US" w:eastAsia="zh-CN"/>
        </w:rPr>
        <w:t>必须更换，并负担由此给</w:t>
      </w:r>
      <w:r>
        <w:rPr>
          <w:rFonts w:hint="eastAsia" w:ascii="宋体" w:hAnsi="宋体" w:cs="宋体"/>
          <w:b w:val="0"/>
          <w:w w:val="100"/>
          <w:sz w:val="24"/>
          <w:szCs w:val="24"/>
          <w:lang w:val="en-US" w:eastAsia="zh-CN"/>
        </w:rPr>
        <w:t>甲方</w:t>
      </w:r>
      <w:r>
        <w:rPr>
          <w:rFonts w:hint="eastAsia" w:ascii="宋体" w:hAnsi="宋体" w:eastAsia="宋体" w:cs="宋体"/>
          <w:b w:val="0"/>
          <w:w w:val="100"/>
          <w:sz w:val="24"/>
          <w:szCs w:val="24"/>
          <w:lang w:val="en-US" w:eastAsia="zh-CN"/>
        </w:rPr>
        <w:t>造成的损失，直到验收合格为止。验收完毕后作出验收结果报告验收费用由乙方负责。</w:t>
      </w:r>
      <w:bookmarkEnd w:id="993"/>
    </w:p>
    <w:p w14:paraId="63F44E5C">
      <w:pPr>
        <w:pageBreakBefore w:val="0"/>
        <w:kinsoku/>
        <w:overflowPunct/>
        <w:topLinePunct w:val="0"/>
        <w:autoSpaceDE/>
        <w:autoSpaceDN/>
        <w:bidi w:val="0"/>
        <w:snapToGrid w:val="0"/>
        <w:spacing w:before="0" w:after="0" w:line="500" w:lineRule="exact"/>
        <w:ind w:left="0" w:leftChars="0" w:firstLine="482" w:firstLineChars="200"/>
        <w:jc w:val="both"/>
        <w:rPr>
          <w:rFonts w:hint="eastAsia" w:ascii="宋体" w:hAnsi="宋体" w:eastAsia="宋体" w:cs="宋体"/>
          <w:b/>
          <w:bCs/>
          <w:w w:val="100"/>
          <w:sz w:val="24"/>
          <w:szCs w:val="24"/>
          <w:lang w:val="en-US" w:eastAsia="zh-CN"/>
        </w:rPr>
      </w:pPr>
      <w:r>
        <w:rPr>
          <w:rFonts w:hint="eastAsia" w:ascii="宋体" w:hAnsi="宋体" w:eastAsia="宋体" w:cs="宋体"/>
          <w:b/>
          <w:bCs/>
          <w:w w:val="100"/>
          <w:sz w:val="24"/>
          <w:szCs w:val="24"/>
          <w:lang w:val="en-US" w:eastAsia="zh-CN"/>
        </w:rPr>
        <w:t>第十</w:t>
      </w:r>
      <w:r>
        <w:rPr>
          <w:rFonts w:hint="eastAsia" w:ascii="宋体" w:hAnsi="宋体" w:cs="宋体"/>
          <w:b/>
          <w:bCs/>
          <w:w w:val="100"/>
          <w:sz w:val="24"/>
          <w:szCs w:val="24"/>
          <w:lang w:val="en-US" w:eastAsia="zh-CN"/>
        </w:rPr>
        <w:t>一</w:t>
      </w:r>
      <w:r>
        <w:rPr>
          <w:rFonts w:hint="eastAsia" w:ascii="宋体" w:hAnsi="宋体" w:eastAsia="宋体" w:cs="宋体"/>
          <w:b/>
          <w:bCs/>
          <w:w w:val="100"/>
          <w:sz w:val="24"/>
          <w:szCs w:val="24"/>
          <w:lang w:val="en-US" w:eastAsia="zh-CN"/>
        </w:rPr>
        <w:t>条  货物包装、发运及运输</w:t>
      </w:r>
    </w:p>
    <w:p w14:paraId="1CF4AE00">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1.乙方应在货物发运前对其进行满足运输距离、防潮、防震、防锈和防破损装卸等要求包装，以保证货物安全运达甲方指定地点。</w:t>
      </w:r>
    </w:p>
    <w:p w14:paraId="67AD60D6">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2.使用说明书、质量检验证明书、随配附件和工具以及清单一并附于货物内。</w:t>
      </w:r>
    </w:p>
    <w:p w14:paraId="4A014B07">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3.乙方在货物发运手续办理完毕后24小时内或货到甲方48小时前通知甲方，以准备接货。</w:t>
      </w:r>
    </w:p>
    <w:p w14:paraId="7A5278EA">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4.货物在交付甲方前发生的风险均由乙方负责。</w:t>
      </w:r>
    </w:p>
    <w:p w14:paraId="5C8C8D75">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5.货物在规定的交付期限内由乙方送达甲方指定的地点视为交付，乙方同时需通知甲方货物已送达。</w:t>
      </w:r>
    </w:p>
    <w:p w14:paraId="37E57E5C">
      <w:pPr>
        <w:pageBreakBefore w:val="0"/>
        <w:kinsoku/>
        <w:overflowPunct/>
        <w:topLinePunct w:val="0"/>
        <w:autoSpaceDE/>
        <w:autoSpaceDN/>
        <w:bidi w:val="0"/>
        <w:snapToGrid w:val="0"/>
        <w:spacing w:before="0" w:after="0" w:line="500" w:lineRule="exact"/>
        <w:ind w:left="0" w:leftChars="0" w:firstLine="482" w:firstLineChars="200"/>
        <w:jc w:val="both"/>
        <w:rPr>
          <w:rFonts w:hint="eastAsia" w:ascii="宋体" w:hAnsi="宋体" w:eastAsia="宋体" w:cs="宋体"/>
          <w:b/>
          <w:bCs/>
          <w:w w:val="100"/>
          <w:sz w:val="24"/>
          <w:szCs w:val="24"/>
          <w:lang w:val="en-US" w:eastAsia="zh-CN"/>
        </w:rPr>
      </w:pPr>
      <w:r>
        <w:rPr>
          <w:rFonts w:hint="eastAsia" w:ascii="宋体" w:hAnsi="宋体" w:eastAsia="宋体" w:cs="宋体"/>
          <w:b/>
          <w:bCs/>
          <w:w w:val="100"/>
          <w:sz w:val="24"/>
          <w:szCs w:val="24"/>
          <w:lang w:val="en-US" w:eastAsia="zh-CN"/>
        </w:rPr>
        <w:t>第十</w:t>
      </w:r>
      <w:r>
        <w:rPr>
          <w:rFonts w:hint="eastAsia" w:ascii="宋体" w:hAnsi="宋体" w:cs="宋体"/>
          <w:b/>
          <w:bCs/>
          <w:w w:val="100"/>
          <w:sz w:val="24"/>
          <w:szCs w:val="24"/>
          <w:lang w:val="en-US" w:eastAsia="zh-CN"/>
        </w:rPr>
        <w:t>二</w:t>
      </w:r>
      <w:r>
        <w:rPr>
          <w:rFonts w:hint="eastAsia" w:ascii="宋体" w:hAnsi="宋体" w:eastAsia="宋体" w:cs="宋体"/>
          <w:b/>
          <w:bCs/>
          <w:w w:val="100"/>
          <w:sz w:val="24"/>
          <w:szCs w:val="24"/>
          <w:lang w:val="en-US" w:eastAsia="zh-CN"/>
        </w:rPr>
        <w:t>条  违约责任</w:t>
      </w:r>
    </w:p>
    <w:p w14:paraId="67A65046">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1.甲方无正当理由拒收货物的，甲方向乙方偿付拒收货款总值的百分之五违约金。</w:t>
      </w:r>
    </w:p>
    <w:p w14:paraId="1C596CAC">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2.甲方无故逾期验收和办理货款支付手续的，甲方应按逾期付款总额每日万分之五向乙方支付违约金。</w:t>
      </w:r>
    </w:p>
    <w:p w14:paraId="7F270608">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0614932A">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1484BC9">
      <w:pPr>
        <w:pageBreakBefore w:val="0"/>
        <w:kinsoku/>
        <w:overflowPunct/>
        <w:topLinePunct w:val="0"/>
        <w:autoSpaceDE/>
        <w:autoSpaceDN/>
        <w:bidi w:val="0"/>
        <w:snapToGrid w:val="0"/>
        <w:spacing w:before="0" w:after="0" w:line="500" w:lineRule="exact"/>
        <w:ind w:left="0" w:leftChars="0" w:firstLine="482" w:firstLineChars="200"/>
        <w:jc w:val="both"/>
        <w:rPr>
          <w:rFonts w:hint="eastAsia" w:ascii="宋体" w:hAnsi="宋体" w:eastAsia="宋体" w:cs="宋体"/>
          <w:b/>
          <w:bCs/>
          <w:w w:val="100"/>
          <w:sz w:val="24"/>
          <w:szCs w:val="24"/>
          <w:lang w:val="en-US" w:eastAsia="zh-CN"/>
        </w:rPr>
      </w:pPr>
      <w:r>
        <w:rPr>
          <w:rFonts w:hint="eastAsia" w:ascii="宋体" w:hAnsi="宋体" w:eastAsia="宋体" w:cs="宋体"/>
          <w:b/>
          <w:bCs/>
          <w:w w:val="100"/>
          <w:sz w:val="24"/>
          <w:szCs w:val="24"/>
          <w:lang w:val="en-US" w:eastAsia="zh-CN"/>
        </w:rPr>
        <w:t>第十</w:t>
      </w:r>
      <w:r>
        <w:rPr>
          <w:rFonts w:hint="eastAsia" w:ascii="宋体" w:hAnsi="宋体" w:cs="宋体"/>
          <w:b/>
          <w:bCs/>
          <w:w w:val="100"/>
          <w:sz w:val="24"/>
          <w:szCs w:val="24"/>
          <w:lang w:val="en-US" w:eastAsia="zh-CN"/>
        </w:rPr>
        <w:t>三</w:t>
      </w:r>
      <w:r>
        <w:rPr>
          <w:rFonts w:hint="eastAsia" w:ascii="宋体" w:hAnsi="宋体" w:eastAsia="宋体" w:cs="宋体"/>
          <w:b/>
          <w:bCs/>
          <w:w w:val="100"/>
          <w:sz w:val="24"/>
          <w:szCs w:val="24"/>
          <w:lang w:val="en-US" w:eastAsia="zh-CN"/>
        </w:rPr>
        <w:t xml:space="preserve">条  </w:t>
      </w:r>
      <w:r>
        <w:rPr>
          <w:rFonts w:hint="eastAsia" w:ascii="宋体" w:hAnsi="宋体" w:cs="宋体"/>
          <w:b/>
          <w:bCs/>
          <w:w w:val="100"/>
          <w:sz w:val="24"/>
          <w:szCs w:val="24"/>
          <w:lang w:val="en-US" w:eastAsia="zh-CN"/>
        </w:rPr>
        <w:t>安全</w:t>
      </w:r>
      <w:r>
        <w:rPr>
          <w:rFonts w:hint="eastAsia" w:ascii="宋体" w:hAnsi="宋体" w:eastAsia="宋体" w:cs="宋体"/>
          <w:b/>
          <w:bCs/>
          <w:w w:val="100"/>
          <w:sz w:val="24"/>
          <w:szCs w:val="24"/>
          <w:lang w:val="en-US" w:eastAsia="zh-CN"/>
        </w:rPr>
        <w:t>约定</w:t>
      </w:r>
    </w:p>
    <w:p w14:paraId="0C6C31BC">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1.乙方在项目实施过程中应加强安全管理。</w:t>
      </w:r>
    </w:p>
    <w:p w14:paraId="5E1507DC">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2.乙方在项目实施过程中</w:t>
      </w:r>
      <w:r>
        <w:rPr>
          <w:rFonts w:hint="eastAsia" w:ascii="宋体" w:hAnsi="宋体" w:eastAsia="宋体" w:cs="宋体"/>
          <w:b w:val="0"/>
          <w:w w:val="100"/>
          <w:sz w:val="24"/>
          <w:szCs w:val="24"/>
          <w:lang w:val="zh-CN" w:eastAsia="zh-CN"/>
        </w:rPr>
        <w:t>应自行承担项目</w:t>
      </w:r>
      <w:r>
        <w:rPr>
          <w:rFonts w:hint="eastAsia" w:ascii="宋体" w:hAnsi="宋体" w:eastAsia="宋体" w:cs="宋体"/>
          <w:b w:val="0"/>
          <w:w w:val="100"/>
          <w:sz w:val="24"/>
          <w:szCs w:val="24"/>
          <w:lang w:val="en-US" w:eastAsia="zh-CN"/>
        </w:rPr>
        <w:t>派遣人员的安全</w:t>
      </w:r>
      <w:r>
        <w:rPr>
          <w:rFonts w:hint="eastAsia" w:ascii="宋体" w:hAnsi="宋体" w:eastAsia="宋体" w:cs="宋体"/>
          <w:b w:val="0"/>
          <w:w w:val="100"/>
          <w:sz w:val="24"/>
          <w:szCs w:val="24"/>
          <w:lang w:val="zh-CN" w:eastAsia="zh-CN"/>
        </w:rPr>
        <w:t>责任，</w:t>
      </w:r>
      <w:r>
        <w:rPr>
          <w:rFonts w:hint="eastAsia" w:ascii="宋体" w:hAnsi="宋体" w:eastAsia="宋体" w:cs="宋体"/>
          <w:b w:val="0"/>
          <w:w w:val="100"/>
          <w:sz w:val="24"/>
          <w:szCs w:val="24"/>
          <w:lang w:val="en-US" w:eastAsia="zh-CN"/>
        </w:rPr>
        <w:t>凡发生工伤及死亡事故均由乙方自</w:t>
      </w:r>
      <w:r>
        <w:rPr>
          <w:rFonts w:hint="default" w:ascii="宋体" w:hAnsi="宋体" w:eastAsia="宋体" w:cs="宋体"/>
          <w:b w:val="0"/>
          <w:w w:val="100"/>
          <w:sz w:val="24"/>
          <w:szCs w:val="24"/>
          <w:lang w:val="en-US" w:eastAsia="zh-CN"/>
        </w:rPr>
        <w:t>行负责</w:t>
      </w:r>
      <w:r>
        <w:rPr>
          <w:rFonts w:hint="eastAsia" w:ascii="宋体" w:hAnsi="宋体" w:eastAsia="宋体" w:cs="宋体"/>
          <w:b w:val="0"/>
          <w:w w:val="100"/>
          <w:sz w:val="24"/>
          <w:szCs w:val="24"/>
          <w:lang w:val="en-US" w:eastAsia="zh-CN"/>
        </w:rPr>
        <w:t>，甲方</w:t>
      </w:r>
      <w:r>
        <w:rPr>
          <w:rFonts w:hint="eastAsia" w:ascii="宋体" w:hAnsi="宋体" w:eastAsia="宋体" w:cs="宋体"/>
          <w:b w:val="0"/>
          <w:w w:val="100"/>
          <w:sz w:val="24"/>
          <w:szCs w:val="24"/>
          <w:lang w:val="zh-CN" w:eastAsia="zh-CN"/>
        </w:rPr>
        <w:t>任何情况下均不承担因此产生的任何法律责任和经济责任。</w:t>
      </w:r>
    </w:p>
    <w:p w14:paraId="16C30EA4">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zh-CN" w:eastAsia="zh-CN"/>
        </w:rPr>
      </w:pPr>
      <w:r>
        <w:rPr>
          <w:rFonts w:hint="eastAsia" w:ascii="宋体" w:hAnsi="宋体" w:eastAsia="宋体" w:cs="宋体"/>
          <w:b w:val="0"/>
          <w:w w:val="100"/>
          <w:sz w:val="24"/>
          <w:szCs w:val="24"/>
          <w:lang w:val="en-US" w:eastAsia="zh-CN"/>
        </w:rPr>
        <w:t>3.乙方应在服务期限内，办理本项目派遣人员的</w:t>
      </w:r>
      <w:r>
        <w:rPr>
          <w:rFonts w:hint="eastAsia" w:ascii="宋体" w:hAnsi="宋体" w:eastAsia="宋体" w:cs="Times New Roman"/>
          <w:color w:val="000000"/>
          <w:kern w:val="2"/>
          <w:sz w:val="24"/>
          <w:szCs w:val="24"/>
          <w:lang w:val="zh-CN" w:eastAsia="zh-CN" w:bidi="ar-SA"/>
        </w:rPr>
        <w:t>养老保险</w:t>
      </w:r>
      <w:r>
        <w:rPr>
          <w:rFonts w:hint="eastAsia" w:ascii="宋体" w:hAnsi="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zh-CN" w:eastAsia="zh-CN" w:bidi="ar-SA"/>
        </w:rPr>
        <w:t>医疗保险、意外伤害保险等</w:t>
      </w:r>
      <w:r>
        <w:rPr>
          <w:rFonts w:hint="eastAsia" w:ascii="宋体" w:hAnsi="宋体" w:eastAsia="宋体" w:cs="宋体"/>
          <w:b w:val="0"/>
          <w:w w:val="100"/>
          <w:sz w:val="24"/>
          <w:szCs w:val="24"/>
          <w:lang w:val="en-US" w:eastAsia="zh-CN"/>
        </w:rPr>
        <w:t>有关保险，乙方</w:t>
      </w:r>
      <w:r>
        <w:rPr>
          <w:rFonts w:hint="eastAsia" w:ascii="宋体" w:hAnsi="宋体" w:eastAsia="宋体" w:cs="宋体"/>
          <w:b w:val="0"/>
          <w:w w:val="100"/>
          <w:sz w:val="24"/>
          <w:szCs w:val="24"/>
          <w:lang w:val="zh-CN" w:eastAsia="zh-CN"/>
        </w:rPr>
        <w:t>在该项目实施过程中所发生的事故伤害、人员伤亡或导致</w:t>
      </w:r>
      <w:r>
        <w:rPr>
          <w:rFonts w:hint="eastAsia" w:ascii="宋体" w:hAnsi="宋体" w:eastAsia="宋体" w:cs="宋体"/>
          <w:b w:val="0"/>
          <w:w w:val="100"/>
          <w:sz w:val="24"/>
          <w:szCs w:val="24"/>
          <w:lang w:val="en-US" w:eastAsia="zh-CN"/>
        </w:rPr>
        <w:t>甲方或</w:t>
      </w:r>
      <w:r>
        <w:rPr>
          <w:rFonts w:hint="eastAsia" w:ascii="宋体" w:hAnsi="宋体" w:eastAsia="宋体" w:cs="宋体"/>
          <w:b w:val="0"/>
          <w:w w:val="100"/>
          <w:sz w:val="24"/>
          <w:szCs w:val="24"/>
          <w:lang w:val="zh-CN" w:eastAsia="zh-CN"/>
        </w:rPr>
        <w:t>第三人受损等情形的，由</w:t>
      </w:r>
      <w:r>
        <w:rPr>
          <w:rFonts w:hint="eastAsia" w:ascii="宋体" w:hAnsi="宋体" w:eastAsia="宋体" w:cs="宋体"/>
          <w:b w:val="0"/>
          <w:w w:val="100"/>
          <w:sz w:val="24"/>
          <w:szCs w:val="24"/>
          <w:lang w:val="en-US" w:eastAsia="zh-CN"/>
        </w:rPr>
        <w:t>乙方</w:t>
      </w:r>
      <w:r>
        <w:rPr>
          <w:rFonts w:hint="eastAsia" w:ascii="宋体" w:hAnsi="宋体" w:eastAsia="宋体" w:cs="宋体"/>
          <w:b w:val="0"/>
          <w:w w:val="100"/>
          <w:sz w:val="24"/>
          <w:szCs w:val="24"/>
          <w:lang w:val="zh-CN" w:eastAsia="zh-CN"/>
        </w:rPr>
        <w:t>承担全部责任。</w:t>
      </w:r>
      <w:r>
        <w:rPr>
          <w:rFonts w:hint="eastAsia" w:ascii="宋体" w:hAnsi="宋体" w:eastAsia="宋体" w:cs="宋体"/>
          <w:b w:val="0"/>
          <w:w w:val="100"/>
          <w:sz w:val="24"/>
          <w:szCs w:val="24"/>
          <w:lang w:val="en-US" w:eastAsia="zh-CN"/>
        </w:rPr>
        <w:t>保险时间应随服务时间的延长而顺延，并在出险后自行办理索赔。如乙方不办理相关保险，则应对有关风险及后果自负其责。</w:t>
      </w:r>
      <w:r>
        <w:rPr>
          <w:rFonts w:hint="eastAsia" w:ascii="宋体" w:hAnsi="宋体" w:eastAsia="宋体" w:cs="宋体"/>
          <w:b w:val="0"/>
          <w:w w:val="100"/>
          <w:sz w:val="24"/>
          <w:szCs w:val="24"/>
          <w:lang w:val="zh-CN" w:eastAsia="zh-CN"/>
        </w:rPr>
        <w:t>如发生债权债务、劳动纠纷、劳动报酬等相关劳动争议的，由</w:t>
      </w:r>
      <w:r>
        <w:rPr>
          <w:rFonts w:hint="eastAsia" w:ascii="宋体" w:hAnsi="宋体" w:eastAsia="宋体" w:cs="宋体"/>
          <w:b w:val="0"/>
          <w:w w:val="100"/>
          <w:sz w:val="24"/>
          <w:szCs w:val="24"/>
          <w:lang w:val="en-US" w:eastAsia="zh-CN"/>
        </w:rPr>
        <w:t>乙方</w:t>
      </w:r>
      <w:r>
        <w:rPr>
          <w:rFonts w:hint="eastAsia" w:ascii="宋体" w:hAnsi="宋体" w:eastAsia="宋体" w:cs="宋体"/>
          <w:b w:val="0"/>
          <w:w w:val="100"/>
          <w:sz w:val="24"/>
          <w:szCs w:val="24"/>
          <w:lang w:val="zh-CN" w:eastAsia="zh-CN"/>
        </w:rPr>
        <w:t>负责处置并承担全部责任，与</w:t>
      </w:r>
      <w:r>
        <w:rPr>
          <w:rFonts w:hint="eastAsia" w:ascii="宋体" w:hAnsi="宋体" w:eastAsia="宋体" w:cs="宋体"/>
          <w:b w:val="0"/>
          <w:w w:val="100"/>
          <w:sz w:val="24"/>
          <w:szCs w:val="24"/>
          <w:lang w:val="en-US" w:eastAsia="zh-CN"/>
        </w:rPr>
        <w:t>甲方</w:t>
      </w:r>
      <w:r>
        <w:rPr>
          <w:rFonts w:hint="eastAsia" w:ascii="宋体" w:hAnsi="宋体" w:eastAsia="宋体" w:cs="宋体"/>
          <w:b w:val="0"/>
          <w:w w:val="100"/>
          <w:sz w:val="24"/>
          <w:szCs w:val="24"/>
          <w:lang w:val="zh-CN" w:eastAsia="zh-CN"/>
        </w:rPr>
        <w:t>无关。</w:t>
      </w:r>
    </w:p>
    <w:bookmarkEnd w:id="982"/>
    <w:bookmarkEnd w:id="983"/>
    <w:bookmarkEnd w:id="984"/>
    <w:bookmarkEnd w:id="985"/>
    <w:bookmarkEnd w:id="986"/>
    <w:p w14:paraId="7C10DABA">
      <w:pPr>
        <w:pageBreakBefore w:val="0"/>
        <w:kinsoku/>
        <w:overflowPunct/>
        <w:topLinePunct w:val="0"/>
        <w:autoSpaceDE/>
        <w:autoSpaceDN/>
        <w:bidi w:val="0"/>
        <w:snapToGrid w:val="0"/>
        <w:spacing w:before="0" w:after="0" w:line="500" w:lineRule="exact"/>
        <w:ind w:left="0" w:leftChars="0" w:firstLine="482" w:firstLineChars="200"/>
        <w:jc w:val="both"/>
        <w:rPr>
          <w:rFonts w:hint="eastAsia" w:ascii="宋体" w:hAnsi="宋体" w:eastAsia="宋体" w:cs="宋体"/>
          <w:b/>
          <w:bCs/>
          <w:w w:val="100"/>
          <w:sz w:val="24"/>
          <w:szCs w:val="24"/>
          <w:lang w:val="en-US" w:eastAsia="zh-CN"/>
        </w:rPr>
      </w:pPr>
      <w:bookmarkStart w:id="994" w:name="_Toc18414"/>
      <w:bookmarkStart w:id="995" w:name="_Toc3290"/>
      <w:bookmarkStart w:id="996" w:name="_Toc18910"/>
      <w:bookmarkStart w:id="997" w:name="_Toc5618"/>
      <w:bookmarkStart w:id="998" w:name="_Toc684"/>
      <w:r>
        <w:rPr>
          <w:rFonts w:hint="eastAsia" w:ascii="宋体" w:hAnsi="宋体" w:eastAsia="宋体" w:cs="宋体"/>
          <w:b/>
          <w:bCs/>
          <w:w w:val="100"/>
          <w:sz w:val="24"/>
          <w:szCs w:val="24"/>
          <w:lang w:val="en-US" w:eastAsia="zh-CN"/>
        </w:rPr>
        <w:t>第十</w:t>
      </w:r>
      <w:r>
        <w:rPr>
          <w:rFonts w:hint="eastAsia" w:ascii="宋体" w:hAnsi="宋体" w:cs="宋体"/>
          <w:b/>
          <w:bCs/>
          <w:w w:val="100"/>
          <w:sz w:val="24"/>
          <w:szCs w:val="24"/>
          <w:lang w:val="en-US" w:eastAsia="zh-CN"/>
        </w:rPr>
        <w:t>四</w:t>
      </w:r>
      <w:r>
        <w:rPr>
          <w:rFonts w:hint="eastAsia" w:ascii="宋体" w:hAnsi="宋体" w:eastAsia="宋体" w:cs="宋体"/>
          <w:b/>
          <w:bCs/>
          <w:w w:val="100"/>
          <w:sz w:val="24"/>
          <w:szCs w:val="24"/>
          <w:lang w:val="en-US" w:eastAsia="zh-CN"/>
        </w:rPr>
        <w:t>条  税费</w:t>
      </w:r>
    </w:p>
    <w:p w14:paraId="60483643">
      <w:pPr>
        <w:pStyle w:val="18"/>
        <w:pageBreakBefore w:val="0"/>
        <w:kinsoku/>
        <w:overflowPunct/>
        <w:topLinePunct w:val="0"/>
        <w:bidi w:val="0"/>
        <w:ind w:left="0" w:leftChars="0"/>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本合同执行中相关的一切税费均由乙方负担。</w:t>
      </w:r>
    </w:p>
    <w:p w14:paraId="76D46840">
      <w:pPr>
        <w:pStyle w:val="18"/>
        <w:pageBreakBefore w:val="0"/>
        <w:kinsoku/>
        <w:overflowPunct/>
        <w:topLinePunct w:val="0"/>
        <w:bidi w:val="0"/>
        <w:ind w:left="0" w:leftChars="0"/>
        <w:rPr>
          <w:rFonts w:hint="eastAsia" w:ascii="宋体" w:hAnsi="Times New Roman" w:eastAsia="宋体" w:cs="Times New Roman"/>
          <w:b/>
          <w:bCs/>
          <w:highlight w:val="none"/>
          <w:lang w:val="en-US" w:eastAsia="zh-CN"/>
        </w:rPr>
      </w:pPr>
      <w:r>
        <w:rPr>
          <w:rFonts w:hint="eastAsia" w:ascii="宋体" w:hAnsi="Times New Roman" w:eastAsia="宋体" w:cs="Times New Roman"/>
          <w:b/>
          <w:bCs/>
          <w:highlight w:val="none"/>
          <w:lang w:val="en-US" w:eastAsia="zh-CN"/>
        </w:rPr>
        <w:t>第十</w:t>
      </w:r>
      <w:r>
        <w:rPr>
          <w:rFonts w:hint="eastAsia" w:cs="Times New Roman"/>
          <w:b/>
          <w:bCs/>
          <w:highlight w:val="none"/>
          <w:lang w:val="en-US" w:eastAsia="zh-CN"/>
        </w:rPr>
        <w:t>五</w:t>
      </w:r>
      <w:r>
        <w:rPr>
          <w:rFonts w:hint="eastAsia" w:ascii="宋体" w:hAnsi="Times New Roman" w:eastAsia="宋体" w:cs="Times New Roman"/>
          <w:b/>
          <w:bCs/>
          <w:highlight w:val="none"/>
          <w:lang w:val="en-US" w:eastAsia="zh-CN"/>
        </w:rPr>
        <w:t>条  不可抗力事件处理</w:t>
      </w:r>
      <w:bookmarkEnd w:id="994"/>
      <w:bookmarkEnd w:id="995"/>
      <w:bookmarkEnd w:id="996"/>
      <w:bookmarkEnd w:id="997"/>
      <w:bookmarkEnd w:id="998"/>
    </w:p>
    <w:p w14:paraId="11C52AFD">
      <w:pPr>
        <w:pStyle w:val="18"/>
        <w:pageBreakBefore w:val="0"/>
        <w:kinsoku/>
        <w:overflowPunct/>
        <w:topLinePunct w:val="0"/>
        <w:bidi w:val="0"/>
        <w:ind w:left="0"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1.在合同有效期内，任何一方因不可抗力事件导致不能履行合同，则合同履行期可延长，其延长期与不可抗力影响期相同。</w:t>
      </w:r>
    </w:p>
    <w:p w14:paraId="2958216D">
      <w:pPr>
        <w:pStyle w:val="18"/>
        <w:pageBreakBefore w:val="0"/>
        <w:kinsoku/>
        <w:overflowPunct/>
        <w:topLinePunct w:val="0"/>
        <w:bidi w:val="0"/>
        <w:ind w:left="0"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2.不可抗力事件发生后，应立即通知对方，并寄送有关权威机构出具的证明。</w:t>
      </w:r>
    </w:p>
    <w:p w14:paraId="60F8E020">
      <w:pPr>
        <w:pStyle w:val="18"/>
        <w:pageBreakBefore w:val="0"/>
        <w:kinsoku/>
        <w:overflowPunct/>
        <w:topLinePunct w:val="0"/>
        <w:bidi w:val="0"/>
        <w:ind w:left="0" w:leftChars="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3.不可抗力事件延续120天以上，双方应通过友好协商，确定是否继续履行合同。</w:t>
      </w:r>
    </w:p>
    <w:p w14:paraId="0DE64898">
      <w:pPr>
        <w:pageBreakBefore w:val="0"/>
        <w:kinsoku/>
        <w:overflowPunct/>
        <w:topLinePunct w:val="0"/>
        <w:autoSpaceDE/>
        <w:autoSpaceDN/>
        <w:bidi w:val="0"/>
        <w:snapToGrid w:val="0"/>
        <w:spacing w:before="0" w:after="0" w:line="500" w:lineRule="exact"/>
        <w:ind w:left="0" w:leftChars="0" w:firstLine="482" w:firstLineChars="200"/>
        <w:jc w:val="both"/>
        <w:rPr>
          <w:rFonts w:hint="eastAsia" w:ascii="宋体" w:hAnsi="宋体" w:eastAsia="宋体" w:cs="宋体"/>
          <w:b/>
          <w:bCs/>
          <w:w w:val="100"/>
          <w:sz w:val="24"/>
          <w:szCs w:val="24"/>
          <w:lang w:val="en-US" w:eastAsia="zh-CN"/>
        </w:rPr>
      </w:pPr>
      <w:bookmarkStart w:id="999" w:name="_Toc6894"/>
      <w:bookmarkStart w:id="1000" w:name="_Toc32361"/>
      <w:bookmarkStart w:id="1001" w:name="_Toc20173"/>
      <w:bookmarkStart w:id="1002" w:name="_Toc23458"/>
      <w:bookmarkStart w:id="1003" w:name="_Toc27118"/>
      <w:bookmarkStart w:id="1004" w:name="_Toc26449"/>
      <w:r>
        <w:rPr>
          <w:rFonts w:hint="eastAsia" w:ascii="宋体" w:hAnsi="宋体" w:eastAsia="宋体" w:cs="宋体"/>
          <w:b/>
          <w:bCs/>
          <w:w w:val="100"/>
          <w:sz w:val="24"/>
          <w:szCs w:val="24"/>
          <w:lang w:val="en-US" w:eastAsia="zh-CN"/>
        </w:rPr>
        <w:t>第</w:t>
      </w:r>
      <w:r>
        <w:rPr>
          <w:rFonts w:hint="eastAsia" w:ascii="宋体" w:hAnsi="宋体" w:cs="宋体"/>
          <w:b/>
          <w:bCs/>
          <w:w w:val="100"/>
          <w:sz w:val="24"/>
          <w:szCs w:val="24"/>
          <w:lang w:val="en-US" w:eastAsia="zh-CN"/>
        </w:rPr>
        <w:t>十六</w:t>
      </w:r>
      <w:r>
        <w:rPr>
          <w:rFonts w:hint="eastAsia" w:ascii="宋体" w:hAnsi="宋体" w:eastAsia="宋体" w:cs="宋体"/>
          <w:b/>
          <w:bCs/>
          <w:w w:val="100"/>
          <w:sz w:val="24"/>
          <w:szCs w:val="24"/>
          <w:lang w:val="en-US" w:eastAsia="zh-CN"/>
        </w:rPr>
        <w:t>条  诉讼</w:t>
      </w:r>
      <w:bookmarkEnd w:id="999"/>
      <w:bookmarkEnd w:id="1000"/>
      <w:bookmarkEnd w:id="1001"/>
      <w:bookmarkEnd w:id="1002"/>
      <w:bookmarkEnd w:id="1003"/>
      <w:bookmarkEnd w:id="1004"/>
    </w:p>
    <w:p w14:paraId="35A3E0EE">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双方在执行合同中所发生的一切争议，应通过协商解决。如协商不成，可向甲方所在地法院起诉。</w:t>
      </w:r>
    </w:p>
    <w:p w14:paraId="2D72AD32">
      <w:pPr>
        <w:pageBreakBefore w:val="0"/>
        <w:kinsoku/>
        <w:overflowPunct/>
        <w:topLinePunct w:val="0"/>
        <w:autoSpaceDE/>
        <w:autoSpaceDN/>
        <w:bidi w:val="0"/>
        <w:snapToGrid w:val="0"/>
        <w:spacing w:before="0" w:after="0" w:line="500" w:lineRule="exact"/>
        <w:ind w:left="0" w:leftChars="0" w:firstLine="482" w:firstLineChars="200"/>
        <w:jc w:val="both"/>
        <w:rPr>
          <w:rFonts w:hint="eastAsia" w:ascii="宋体" w:hAnsi="宋体" w:eastAsia="宋体" w:cs="宋体"/>
          <w:b/>
          <w:bCs/>
          <w:w w:val="100"/>
          <w:sz w:val="24"/>
          <w:szCs w:val="24"/>
          <w:lang w:val="en-US" w:eastAsia="zh-CN"/>
        </w:rPr>
      </w:pPr>
      <w:bookmarkStart w:id="1005" w:name="_Toc28339"/>
      <w:bookmarkStart w:id="1006" w:name="_Toc18237"/>
      <w:bookmarkStart w:id="1007" w:name="_Toc24258"/>
      <w:bookmarkStart w:id="1008" w:name="_Toc9675"/>
      <w:bookmarkStart w:id="1009" w:name="_Toc2166"/>
      <w:bookmarkStart w:id="1010" w:name="_Toc6765"/>
      <w:r>
        <w:rPr>
          <w:rFonts w:hint="eastAsia" w:ascii="宋体" w:hAnsi="宋体" w:eastAsia="宋体" w:cs="宋体"/>
          <w:b/>
          <w:bCs/>
          <w:w w:val="100"/>
          <w:sz w:val="24"/>
          <w:szCs w:val="24"/>
          <w:lang w:val="en-US" w:eastAsia="zh-CN"/>
        </w:rPr>
        <w:t>第</w:t>
      </w:r>
      <w:r>
        <w:rPr>
          <w:rFonts w:hint="eastAsia" w:ascii="宋体" w:hAnsi="宋体" w:cs="宋体"/>
          <w:b/>
          <w:bCs/>
          <w:w w:val="100"/>
          <w:sz w:val="24"/>
          <w:szCs w:val="24"/>
          <w:lang w:val="en-US" w:eastAsia="zh-CN"/>
        </w:rPr>
        <w:t>二十一</w:t>
      </w:r>
      <w:r>
        <w:rPr>
          <w:rFonts w:hint="eastAsia" w:ascii="宋体" w:hAnsi="宋体" w:eastAsia="宋体" w:cs="宋体"/>
          <w:b/>
          <w:bCs/>
          <w:w w:val="100"/>
          <w:sz w:val="24"/>
          <w:szCs w:val="24"/>
          <w:lang w:val="en-US" w:eastAsia="zh-CN"/>
        </w:rPr>
        <w:t>条  合同生效及其它</w:t>
      </w:r>
      <w:bookmarkEnd w:id="1005"/>
      <w:bookmarkEnd w:id="1006"/>
      <w:bookmarkEnd w:id="1007"/>
      <w:bookmarkEnd w:id="1008"/>
      <w:bookmarkEnd w:id="1009"/>
      <w:bookmarkEnd w:id="1010"/>
    </w:p>
    <w:p w14:paraId="0075560E">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1.合同经双方法定代表人或授权代表签字并加盖单位公章，</w:t>
      </w:r>
      <w:r>
        <w:rPr>
          <w:rFonts w:hint="eastAsia" w:ascii="宋体" w:hAnsi="宋体" w:cs="宋体"/>
          <w:lang w:eastAsia="zh-CN"/>
        </w:rPr>
        <w:t>浙江万兴工程管理有限公司</w:t>
      </w:r>
      <w:r>
        <w:rPr>
          <w:rFonts w:hint="eastAsia" w:ascii="宋体" w:hAnsi="宋体" w:eastAsia="宋体" w:cs="宋体"/>
          <w:b w:val="0"/>
          <w:w w:val="100"/>
          <w:sz w:val="24"/>
          <w:szCs w:val="24"/>
          <w:lang w:val="en-US" w:eastAsia="zh-CN"/>
        </w:rPr>
        <w:t>加盖鉴证章后生效。</w:t>
      </w:r>
    </w:p>
    <w:p w14:paraId="1F6B7BC1">
      <w:pPr>
        <w:pageBreakBefore w:val="0"/>
        <w:kinsoku/>
        <w:overflowPunct/>
        <w:topLinePunct w:val="0"/>
        <w:autoSpaceDE/>
        <w:autoSpaceDN/>
        <w:bidi w:val="0"/>
        <w:snapToGrid w:val="0"/>
        <w:spacing w:before="0" w:after="0" w:line="500" w:lineRule="exact"/>
        <w:ind w:left="0" w:leftChars="0" w:firstLine="480" w:firstLineChars="200"/>
        <w:jc w:val="both"/>
        <w:rPr>
          <w:rFonts w:hint="eastAsia" w:ascii="宋体" w:hAnsi="宋体" w:eastAsia="宋体" w:cs="宋体"/>
          <w:b w:val="0"/>
          <w:w w:val="100"/>
          <w:sz w:val="24"/>
          <w:szCs w:val="24"/>
          <w:lang w:val="en-US" w:eastAsia="zh-CN"/>
        </w:rPr>
      </w:pPr>
      <w:r>
        <w:rPr>
          <w:rFonts w:hint="eastAsia" w:ascii="宋体" w:hAnsi="宋体" w:eastAsia="宋体" w:cs="宋体"/>
          <w:b w:val="0"/>
          <w:w w:val="100"/>
          <w:sz w:val="24"/>
          <w:szCs w:val="24"/>
          <w:lang w:val="en-US" w:eastAsia="zh-CN"/>
        </w:rPr>
        <w:t>2.合同执行中涉及采购资金和采购内容修改或补充的，须经双方协商同意，方可作为主合同不可分割的一部分。</w:t>
      </w:r>
    </w:p>
    <w:bookmarkEnd w:id="954"/>
    <w:bookmarkEnd w:id="955"/>
    <w:bookmarkEnd w:id="956"/>
    <w:p w14:paraId="2FA3050C">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cs="宋体"/>
        </w:rPr>
      </w:pPr>
      <w:r>
        <w:rPr>
          <w:rFonts w:hint="eastAsia" w:ascii="宋体" w:hAnsi="宋体" w:cs="宋体"/>
        </w:rPr>
        <w:t>3、本合同未尽事宜，遵照《民法典》有关条文执行。</w:t>
      </w:r>
    </w:p>
    <w:p w14:paraId="366A6B8E">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cs="宋体"/>
        </w:rPr>
      </w:pPr>
      <w:r>
        <w:rPr>
          <w:rFonts w:hint="eastAsia" w:ascii="宋体" w:hAnsi="宋体" w:cs="宋体"/>
        </w:rPr>
        <w:t>4、本合同一式捌份，具有同等法律效力，甲乙双方各执叁份，</w:t>
      </w:r>
      <w:r>
        <w:rPr>
          <w:rFonts w:hint="eastAsia" w:ascii="宋体" w:hAnsi="宋体" w:cs="宋体"/>
          <w:lang w:eastAsia="zh-CN"/>
        </w:rPr>
        <w:t>浙江万兴工程管理有限公司</w:t>
      </w:r>
      <w:r>
        <w:rPr>
          <w:rFonts w:hint="eastAsia" w:ascii="宋体" w:hAnsi="宋体" w:cs="宋体"/>
        </w:rPr>
        <w:t>留存贰份。</w:t>
      </w:r>
    </w:p>
    <w:p w14:paraId="1C42F760">
      <w:pPr>
        <w:pStyle w:val="17"/>
        <w:ind w:firstLine="420"/>
        <w:rPr>
          <w:rFonts w:hint="default" w:eastAsia="宋体"/>
          <w:highlight w:val="none"/>
          <w:lang w:val="en-US" w:eastAsia="zh-CN"/>
        </w:rPr>
      </w:pPr>
      <w:r>
        <w:rPr>
          <w:rFonts w:hint="eastAsia"/>
          <w:highlight w:val="none"/>
          <w:lang w:val="en-US" w:eastAsia="zh-CN"/>
        </w:rPr>
        <w:t>附：报价明细表</w:t>
      </w:r>
    </w:p>
    <w:tbl>
      <w:tblPr>
        <w:tblStyle w:val="40"/>
        <w:tblW w:w="9288" w:type="dxa"/>
        <w:tblInd w:w="2" w:type="dxa"/>
        <w:tblLayout w:type="fixed"/>
        <w:tblCellMar>
          <w:top w:w="0" w:type="dxa"/>
          <w:left w:w="108" w:type="dxa"/>
          <w:bottom w:w="0" w:type="dxa"/>
          <w:right w:w="108" w:type="dxa"/>
        </w:tblCellMar>
      </w:tblPr>
      <w:tblGrid>
        <w:gridCol w:w="4644"/>
        <w:gridCol w:w="4644"/>
      </w:tblGrid>
      <w:tr w14:paraId="148FF301">
        <w:tblPrEx>
          <w:tblCellMar>
            <w:top w:w="0" w:type="dxa"/>
            <w:left w:w="108" w:type="dxa"/>
            <w:bottom w:w="0" w:type="dxa"/>
            <w:right w:w="108" w:type="dxa"/>
          </w:tblCellMar>
        </w:tblPrEx>
        <w:trPr>
          <w:trHeight w:val="680" w:hRule="atLeast"/>
        </w:trPr>
        <w:tc>
          <w:tcPr>
            <w:tcW w:w="4644" w:type="dxa"/>
            <w:noWrap w:val="0"/>
            <w:vAlign w:val="center"/>
          </w:tcPr>
          <w:p w14:paraId="41C9C23D">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p>
          <w:p w14:paraId="38811191">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p>
          <w:p w14:paraId="661CBE1D">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r>
              <w:rPr>
                <w:rFonts w:hint="eastAsia" w:ascii="宋体" w:hAnsi="宋体" w:eastAsia="宋体" w:cs="宋体"/>
              </w:rPr>
              <w:t>甲方：</w:t>
            </w:r>
          </w:p>
        </w:tc>
        <w:tc>
          <w:tcPr>
            <w:tcW w:w="4644" w:type="dxa"/>
            <w:noWrap w:val="0"/>
            <w:vAlign w:val="center"/>
          </w:tcPr>
          <w:p w14:paraId="220233AF">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p>
          <w:p w14:paraId="53407A27">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p>
          <w:p w14:paraId="6A8E52E4">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r>
              <w:rPr>
                <w:rFonts w:hint="eastAsia" w:ascii="宋体" w:hAnsi="宋体" w:eastAsia="宋体" w:cs="宋体"/>
              </w:rPr>
              <w:t>乙方：</w:t>
            </w:r>
          </w:p>
        </w:tc>
      </w:tr>
      <w:tr w14:paraId="0DBEFC70">
        <w:tblPrEx>
          <w:tblCellMar>
            <w:top w:w="0" w:type="dxa"/>
            <w:left w:w="108" w:type="dxa"/>
            <w:bottom w:w="0" w:type="dxa"/>
            <w:right w:w="108" w:type="dxa"/>
          </w:tblCellMar>
        </w:tblPrEx>
        <w:trPr>
          <w:trHeight w:val="680" w:hRule="atLeast"/>
        </w:trPr>
        <w:tc>
          <w:tcPr>
            <w:tcW w:w="4644" w:type="dxa"/>
            <w:noWrap w:val="0"/>
            <w:vAlign w:val="center"/>
          </w:tcPr>
          <w:p w14:paraId="429B6BCE">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r>
              <w:rPr>
                <w:rFonts w:hint="eastAsia" w:ascii="宋体" w:hAnsi="宋体" w:eastAsia="宋体" w:cs="宋体"/>
              </w:rPr>
              <w:t>法定（授权）代表人：</w:t>
            </w:r>
          </w:p>
        </w:tc>
        <w:tc>
          <w:tcPr>
            <w:tcW w:w="4644" w:type="dxa"/>
            <w:noWrap w:val="0"/>
            <w:vAlign w:val="center"/>
          </w:tcPr>
          <w:p w14:paraId="3E26A585">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r>
              <w:rPr>
                <w:rFonts w:hint="eastAsia" w:ascii="宋体" w:hAnsi="宋体" w:eastAsia="宋体" w:cs="宋体"/>
              </w:rPr>
              <w:t>法定（授权）代表人：</w:t>
            </w:r>
          </w:p>
        </w:tc>
      </w:tr>
      <w:tr w14:paraId="2FA0C096">
        <w:tblPrEx>
          <w:tblCellMar>
            <w:top w:w="0" w:type="dxa"/>
            <w:left w:w="108" w:type="dxa"/>
            <w:bottom w:w="0" w:type="dxa"/>
            <w:right w:w="108" w:type="dxa"/>
          </w:tblCellMar>
        </w:tblPrEx>
        <w:trPr>
          <w:trHeight w:val="680" w:hRule="atLeast"/>
        </w:trPr>
        <w:tc>
          <w:tcPr>
            <w:tcW w:w="4644" w:type="dxa"/>
            <w:noWrap w:val="0"/>
            <w:vAlign w:val="center"/>
          </w:tcPr>
          <w:p w14:paraId="1060B677">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r>
              <w:rPr>
                <w:rFonts w:hint="eastAsia" w:ascii="宋体" w:hAnsi="宋体" w:eastAsia="宋体" w:cs="宋体"/>
              </w:rPr>
              <w:t>地址：</w:t>
            </w:r>
          </w:p>
        </w:tc>
        <w:tc>
          <w:tcPr>
            <w:tcW w:w="4644" w:type="dxa"/>
            <w:noWrap w:val="0"/>
            <w:vAlign w:val="center"/>
          </w:tcPr>
          <w:p w14:paraId="511C6A3F">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r>
              <w:rPr>
                <w:rFonts w:hint="eastAsia" w:ascii="宋体" w:hAnsi="宋体" w:eastAsia="宋体" w:cs="宋体"/>
              </w:rPr>
              <w:t>地址：</w:t>
            </w:r>
          </w:p>
        </w:tc>
      </w:tr>
      <w:tr w14:paraId="1FA32CF4">
        <w:tblPrEx>
          <w:tblCellMar>
            <w:top w:w="0" w:type="dxa"/>
            <w:left w:w="108" w:type="dxa"/>
            <w:bottom w:w="0" w:type="dxa"/>
            <w:right w:w="108" w:type="dxa"/>
          </w:tblCellMar>
        </w:tblPrEx>
        <w:trPr>
          <w:trHeight w:val="680" w:hRule="atLeast"/>
        </w:trPr>
        <w:tc>
          <w:tcPr>
            <w:tcW w:w="4644" w:type="dxa"/>
            <w:noWrap w:val="0"/>
            <w:vAlign w:val="center"/>
          </w:tcPr>
          <w:p w14:paraId="75845FC9">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r>
              <w:rPr>
                <w:rFonts w:hint="eastAsia" w:ascii="宋体" w:hAnsi="宋体" w:eastAsia="宋体" w:cs="宋体"/>
              </w:rPr>
              <w:t>签订日期：202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 xml:space="preserve"> 月</w:t>
            </w:r>
            <w:r>
              <w:rPr>
                <w:rFonts w:hint="eastAsia" w:ascii="宋体" w:hAnsi="宋体" w:eastAsia="宋体" w:cs="宋体"/>
                <w:lang w:val="en-US" w:eastAsia="zh-CN"/>
              </w:rPr>
              <w:t xml:space="preserve"> </w:t>
            </w:r>
            <w:r>
              <w:rPr>
                <w:rFonts w:hint="eastAsia" w:ascii="宋体" w:hAnsi="宋体" w:eastAsia="宋体" w:cs="宋体"/>
              </w:rPr>
              <w:t xml:space="preserve"> 日</w:t>
            </w:r>
          </w:p>
        </w:tc>
        <w:tc>
          <w:tcPr>
            <w:tcW w:w="4644" w:type="dxa"/>
            <w:noWrap w:val="0"/>
            <w:vAlign w:val="center"/>
          </w:tcPr>
          <w:p w14:paraId="581D463C">
            <w:pPr>
              <w:keepNext w:val="0"/>
              <w:keepLines w:val="0"/>
              <w:suppressLineNumbers w:val="0"/>
              <w:tabs>
                <w:tab w:val="left" w:pos="1080"/>
              </w:tabs>
              <w:snapToGrid w:val="0"/>
              <w:spacing w:before="0" w:beforeAutospacing="0" w:after="0" w:afterAutospacing="0" w:line="440" w:lineRule="exact"/>
              <w:ind w:left="0" w:right="0" w:firstLine="480"/>
              <w:rPr>
                <w:rFonts w:hint="eastAsia" w:ascii="宋体" w:hAnsi="宋体" w:eastAsia="宋体" w:cs="宋体"/>
              </w:rPr>
            </w:pPr>
            <w:r>
              <w:rPr>
                <w:rFonts w:hint="eastAsia" w:ascii="宋体" w:hAnsi="宋体" w:eastAsia="宋体" w:cs="宋体"/>
              </w:rPr>
              <w:t>签订日期：202</w:t>
            </w:r>
            <w:r>
              <w:rPr>
                <w:rFonts w:hint="eastAsia" w:ascii="宋体" w:hAnsi="宋体" w:eastAsia="宋体" w:cs="宋体"/>
                <w:lang w:val="en-US" w:eastAsia="zh-CN"/>
              </w:rPr>
              <w:t>5</w:t>
            </w:r>
            <w:r>
              <w:rPr>
                <w:rFonts w:hint="eastAsia" w:ascii="宋体" w:hAnsi="宋体" w:eastAsia="宋体" w:cs="宋体"/>
              </w:rPr>
              <w:t xml:space="preserve">年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日</w:t>
            </w:r>
          </w:p>
        </w:tc>
      </w:tr>
      <w:tr w14:paraId="695BD29B">
        <w:tblPrEx>
          <w:tblCellMar>
            <w:top w:w="0" w:type="dxa"/>
            <w:left w:w="108" w:type="dxa"/>
            <w:bottom w:w="0" w:type="dxa"/>
            <w:right w:w="108" w:type="dxa"/>
          </w:tblCellMar>
        </w:tblPrEx>
        <w:trPr>
          <w:trHeight w:val="680" w:hRule="atLeast"/>
        </w:trPr>
        <w:tc>
          <w:tcPr>
            <w:tcW w:w="9288" w:type="dxa"/>
            <w:gridSpan w:val="2"/>
            <w:noWrap w:val="0"/>
            <w:vAlign w:val="center"/>
          </w:tcPr>
          <w:p w14:paraId="1D97ACE7">
            <w:pPr>
              <w:pStyle w:val="22"/>
              <w:keepNext w:val="0"/>
              <w:keepLines w:val="0"/>
              <w:suppressLineNumbers w:val="0"/>
              <w:adjustRightInd w:val="0"/>
              <w:snapToGrid w:val="0"/>
              <w:spacing w:before="0" w:beforeAutospacing="0" w:after="0" w:afterAutospacing="0" w:line="440" w:lineRule="exact"/>
              <w:ind w:left="0" w:right="0" w:firstLine="480"/>
              <w:jc w:val="left"/>
              <w:rPr>
                <w:rFonts w:hint="eastAsia" w:ascii="宋体" w:hAnsi="宋体" w:eastAsia="宋体" w:cs="宋体"/>
              </w:rPr>
            </w:pPr>
          </w:p>
          <w:p w14:paraId="781FEAA4">
            <w:pPr>
              <w:pStyle w:val="22"/>
              <w:keepNext w:val="0"/>
              <w:keepLines w:val="0"/>
              <w:suppressLineNumbers w:val="0"/>
              <w:adjustRightInd w:val="0"/>
              <w:snapToGrid w:val="0"/>
              <w:spacing w:before="0" w:beforeAutospacing="0" w:after="0" w:afterAutospacing="0" w:line="440" w:lineRule="exact"/>
              <w:ind w:left="0" w:right="0" w:firstLine="480"/>
              <w:jc w:val="left"/>
              <w:rPr>
                <w:rFonts w:hint="eastAsia" w:ascii="宋体" w:hAnsi="宋体" w:eastAsia="宋体" w:cs="宋体"/>
              </w:rPr>
            </w:pPr>
          </w:p>
          <w:p w14:paraId="6D638716">
            <w:pPr>
              <w:keepNext w:val="0"/>
              <w:keepLines w:val="0"/>
              <w:suppressLineNumbers w:val="0"/>
              <w:spacing w:before="0" w:beforeAutospacing="0" w:after="0" w:afterAutospacing="0"/>
              <w:ind w:left="0" w:right="0"/>
              <w:rPr>
                <w:rFonts w:hint="eastAsia" w:ascii="宋体" w:hAnsi="宋体" w:eastAsia="宋体" w:cs="宋体"/>
              </w:rPr>
            </w:pPr>
          </w:p>
          <w:p w14:paraId="3F6EAE32">
            <w:pPr>
              <w:pStyle w:val="22"/>
              <w:keepNext w:val="0"/>
              <w:keepLines w:val="0"/>
              <w:suppressLineNumbers w:val="0"/>
              <w:adjustRightInd w:val="0"/>
              <w:snapToGrid w:val="0"/>
              <w:spacing w:before="0" w:beforeAutospacing="0" w:after="0" w:afterAutospacing="0" w:line="440" w:lineRule="exact"/>
              <w:ind w:left="0" w:right="0" w:firstLine="480"/>
              <w:jc w:val="left"/>
              <w:rPr>
                <w:rFonts w:hint="eastAsia" w:ascii="宋体" w:hAnsi="宋体" w:eastAsia="宋体" w:cs="宋体"/>
                <w:lang w:eastAsia="zh-CN"/>
              </w:rPr>
            </w:pPr>
            <w:r>
              <w:rPr>
                <w:rFonts w:hint="eastAsia" w:ascii="宋体" w:hAnsi="宋体" w:eastAsia="宋体" w:cs="宋体"/>
              </w:rPr>
              <w:t>合同鉴证方（盖章）：</w:t>
            </w:r>
            <w:r>
              <w:rPr>
                <w:rFonts w:hint="eastAsia" w:ascii="宋体" w:hAnsi="宋体" w:eastAsia="宋体" w:cs="宋体"/>
                <w:lang w:eastAsia="zh-CN"/>
              </w:rPr>
              <w:t>浙江万兴工程管理有限公司</w:t>
            </w:r>
          </w:p>
        </w:tc>
      </w:tr>
      <w:tr w14:paraId="33F14449">
        <w:tblPrEx>
          <w:tblCellMar>
            <w:top w:w="0" w:type="dxa"/>
            <w:left w:w="108" w:type="dxa"/>
            <w:bottom w:w="0" w:type="dxa"/>
            <w:right w:w="108" w:type="dxa"/>
          </w:tblCellMar>
        </w:tblPrEx>
        <w:trPr>
          <w:trHeight w:val="680" w:hRule="atLeast"/>
        </w:trPr>
        <w:tc>
          <w:tcPr>
            <w:tcW w:w="9288" w:type="dxa"/>
            <w:gridSpan w:val="2"/>
            <w:noWrap w:val="0"/>
            <w:vAlign w:val="center"/>
          </w:tcPr>
          <w:p w14:paraId="6C8895E4">
            <w:pPr>
              <w:keepNext w:val="0"/>
              <w:keepLines w:val="0"/>
              <w:widowControl/>
              <w:suppressLineNumbers w:val="0"/>
              <w:adjustRightInd w:val="0"/>
              <w:snapToGrid w:val="0"/>
              <w:spacing w:before="0" w:beforeAutospacing="0" w:after="0" w:afterAutospacing="0" w:line="440" w:lineRule="exact"/>
              <w:ind w:left="0" w:right="0" w:firstLine="480"/>
              <w:jc w:val="left"/>
              <w:rPr>
                <w:rFonts w:hint="eastAsia" w:ascii="宋体" w:hAnsi="宋体" w:eastAsia="宋体" w:cs="宋体"/>
                <w:lang w:val="zh-CN"/>
              </w:rPr>
            </w:pPr>
            <w:r>
              <w:rPr>
                <w:rFonts w:hint="eastAsia" w:ascii="宋体" w:hAnsi="宋体" w:eastAsia="宋体" w:cs="宋体"/>
              </w:rPr>
              <w:t>鉴证日期：202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lang w:val="en-US" w:eastAsia="zh-CN"/>
              </w:rPr>
              <w:t xml:space="preserve"> </w:t>
            </w:r>
            <w:r>
              <w:rPr>
                <w:rFonts w:hint="eastAsia" w:ascii="宋体" w:hAnsi="宋体" w:eastAsia="宋体" w:cs="宋体"/>
                <w:lang w:val="zh-CN"/>
              </w:rPr>
              <w:t xml:space="preserve"> 日</w:t>
            </w:r>
          </w:p>
          <w:p w14:paraId="7D5F639B">
            <w:pPr>
              <w:pStyle w:val="37"/>
              <w:keepNext w:val="0"/>
              <w:keepLines w:val="0"/>
              <w:suppressLineNumbers w:val="0"/>
              <w:spacing w:before="0" w:beforeAutospacing="0" w:afterAutospacing="0"/>
              <w:ind w:left="0" w:right="0"/>
              <w:rPr>
                <w:rFonts w:hint="eastAsia" w:ascii="宋体" w:hAnsi="宋体" w:eastAsia="宋体" w:cs="宋体"/>
                <w:lang w:val="zh-CN"/>
              </w:rPr>
            </w:pPr>
          </w:p>
        </w:tc>
        <w:bookmarkStart w:id="1011" w:name="_第五章_评标办法及评分标准"/>
        <w:bookmarkStart w:id="1012" w:name="_第五章_评标评分细则"/>
      </w:tr>
      <w:bookmarkEnd w:id="1011"/>
      <w:bookmarkEnd w:id="1012"/>
    </w:tbl>
    <w:p w14:paraId="530E706E">
      <w:pPr>
        <w:numPr>
          <w:ilvl w:val="0"/>
          <w:numId w:val="0"/>
        </w:numPr>
      </w:pPr>
    </w:p>
    <w:p w14:paraId="151C26D8">
      <w:pPr>
        <w:shd w:val="clear"/>
        <w:ind w:left="0" w:leftChars="0" w:firstLine="0" w:firstLineChars="0"/>
        <w:jc w:val="both"/>
        <w:rPr>
          <w:rFonts w:hint="eastAsia" w:ascii="宋体" w:hAnsi="宋体" w:cs="宋体"/>
          <w:b/>
          <w:bCs/>
          <w:color w:val="auto"/>
          <w:kern w:val="0"/>
          <w:sz w:val="72"/>
          <w:szCs w:val="72"/>
          <w:highlight w:val="none"/>
        </w:rPr>
      </w:pPr>
      <w:bookmarkStart w:id="1013" w:name="_Toc21505"/>
      <w:bookmarkStart w:id="1014" w:name="_Toc6249"/>
      <w:bookmarkStart w:id="1015" w:name="_Toc20014"/>
      <w:bookmarkStart w:id="1016" w:name="_Toc31326"/>
      <w:bookmarkStart w:id="1017" w:name="_Toc10"/>
      <w:bookmarkStart w:id="1018" w:name="_Toc9100"/>
      <w:bookmarkStart w:id="1019" w:name="_Toc9121"/>
      <w:bookmarkStart w:id="1020" w:name="_Toc84325982"/>
      <w:bookmarkStart w:id="1021" w:name="_Toc7612"/>
      <w:bookmarkStart w:id="1022" w:name="_Toc2753"/>
      <w:bookmarkStart w:id="1023" w:name="_Toc27813"/>
      <w:bookmarkStart w:id="1024" w:name="_Toc31703"/>
      <w:bookmarkStart w:id="1025" w:name="_Toc18678"/>
      <w:bookmarkStart w:id="1026" w:name="_Toc10223"/>
      <w:bookmarkStart w:id="1027" w:name="_Toc7371"/>
      <w:bookmarkStart w:id="1028" w:name="_Toc28792"/>
      <w:bookmarkStart w:id="1029" w:name="_Toc24158"/>
      <w:bookmarkStart w:id="1030" w:name="_Toc27155"/>
      <w:bookmarkStart w:id="1031" w:name="_Toc1159"/>
      <w:bookmarkStart w:id="1032" w:name="_Toc8199"/>
      <w:bookmarkStart w:id="1033" w:name="_Toc30463"/>
      <w:bookmarkStart w:id="1034" w:name="_Toc25530"/>
      <w:bookmarkStart w:id="1035" w:name="_Toc18785"/>
      <w:bookmarkStart w:id="1036" w:name="_Toc5494"/>
      <w:bookmarkStart w:id="1037" w:name="_Toc796"/>
      <w:bookmarkStart w:id="1038" w:name="_Toc30991"/>
      <w:bookmarkStart w:id="1039" w:name="_Toc22009"/>
      <w:bookmarkStart w:id="1040" w:name="_Toc11132"/>
      <w:bookmarkStart w:id="1041" w:name="_Toc80157776"/>
      <w:bookmarkStart w:id="1042" w:name="_Toc81372965"/>
      <w:bookmarkStart w:id="1043" w:name="_Toc19009"/>
      <w:bookmarkStart w:id="1044" w:name="_Toc9086"/>
      <w:bookmarkStart w:id="1045" w:name="_Toc6502"/>
      <w:bookmarkStart w:id="1046" w:name="_Toc2375"/>
      <w:bookmarkStart w:id="1047" w:name="_Toc2988"/>
      <w:bookmarkStart w:id="1048" w:name="_Toc3667"/>
      <w:bookmarkStart w:id="1049" w:name="_Toc31476"/>
      <w:bookmarkStart w:id="1050" w:name="_Toc32471"/>
      <w:bookmarkStart w:id="1051" w:name="_Toc81372788"/>
      <w:bookmarkStart w:id="1052" w:name="_Toc18095"/>
      <w:bookmarkStart w:id="1053" w:name="_Toc13804"/>
      <w:bookmarkStart w:id="1054" w:name="_Toc25691"/>
      <w:bookmarkStart w:id="1055" w:name="_Toc5891"/>
      <w:bookmarkStart w:id="1056" w:name="_Toc10196"/>
      <w:bookmarkStart w:id="1057" w:name="_Toc13985"/>
      <w:bookmarkStart w:id="1058" w:name="_Toc28685"/>
      <w:bookmarkStart w:id="1059" w:name="_Toc7230"/>
      <w:bookmarkStart w:id="1060" w:name="_Toc20309"/>
      <w:bookmarkStart w:id="1061" w:name="_Toc16627"/>
      <w:bookmarkStart w:id="1062" w:name="_Toc5287"/>
      <w:bookmarkStart w:id="1063" w:name="_Toc14724"/>
      <w:bookmarkStart w:id="1064" w:name="_Toc20918"/>
      <w:bookmarkStart w:id="1065" w:name="_Toc517"/>
    </w:p>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14:paraId="73C96212">
      <w:pPr>
        <w:pStyle w:val="3"/>
        <w:shd w:val="clear"/>
        <w:spacing w:before="312" w:after="312"/>
        <w:ind w:firstLine="0" w:firstLineChars="0"/>
        <w:jc w:val="center"/>
        <w:outlineLvl w:val="9"/>
        <w:rPr>
          <w:rFonts w:hint="eastAsia" w:ascii="宋体" w:hAnsi="宋体" w:cs="宋体"/>
          <w:color w:val="auto"/>
          <w:highlight w:val="none"/>
        </w:rPr>
      </w:pPr>
    </w:p>
    <w:p w14:paraId="1C4FBE6C">
      <w:pPr>
        <w:rPr>
          <w:rFonts w:hint="eastAsia" w:ascii="宋体" w:hAnsi="宋体" w:cs="宋体"/>
          <w:color w:val="auto"/>
          <w:highlight w:val="none"/>
        </w:rPr>
      </w:pPr>
    </w:p>
    <w:p w14:paraId="6CF7678C">
      <w:pPr>
        <w:pStyle w:val="36"/>
        <w:rPr>
          <w:rFonts w:hint="eastAsia" w:ascii="宋体" w:hAnsi="宋体" w:cs="宋体"/>
          <w:color w:val="auto"/>
          <w:highlight w:val="none"/>
        </w:rPr>
      </w:pPr>
    </w:p>
    <w:p w14:paraId="3C083C92">
      <w:pPr>
        <w:rPr>
          <w:rFonts w:hint="eastAsia" w:ascii="宋体" w:hAnsi="宋体" w:cs="宋体"/>
          <w:color w:val="auto"/>
          <w:highlight w:val="none"/>
        </w:rPr>
      </w:pPr>
    </w:p>
    <w:p w14:paraId="42B8D94D">
      <w:pPr>
        <w:pStyle w:val="36"/>
        <w:rPr>
          <w:rFonts w:hint="eastAsia" w:ascii="宋体" w:hAnsi="宋体" w:cs="宋体"/>
          <w:color w:val="auto"/>
          <w:highlight w:val="none"/>
        </w:rPr>
      </w:pPr>
    </w:p>
    <w:p w14:paraId="460AAE4D">
      <w:pPr>
        <w:rPr>
          <w:rFonts w:hint="eastAsia" w:ascii="宋体" w:hAnsi="宋体" w:cs="宋体"/>
          <w:color w:val="auto"/>
          <w:highlight w:val="none"/>
        </w:rPr>
      </w:pPr>
    </w:p>
    <w:p w14:paraId="44E84BCB">
      <w:pPr>
        <w:pStyle w:val="36"/>
        <w:ind w:left="0" w:leftChars="0" w:firstLine="0" w:firstLineChars="0"/>
        <w:rPr>
          <w:rFonts w:hint="eastAsia" w:ascii="宋体" w:hAnsi="宋体" w:cs="宋体"/>
          <w:color w:val="auto"/>
          <w:highlight w:val="none"/>
        </w:rPr>
      </w:pPr>
    </w:p>
    <w:p w14:paraId="55E3153A">
      <w:pPr>
        <w:pStyle w:val="3"/>
        <w:shd w:val="clear"/>
        <w:spacing w:before="312" w:after="312"/>
        <w:ind w:firstLine="0" w:firstLineChars="0"/>
        <w:jc w:val="center"/>
        <w:rPr>
          <w:rFonts w:ascii="宋体" w:hAnsi="宋体" w:cs="宋体"/>
          <w:color w:val="auto"/>
          <w:szCs w:val="21"/>
          <w:highlight w:val="none"/>
        </w:rPr>
      </w:pPr>
      <w:bookmarkStart w:id="1066" w:name="_Toc18976"/>
      <w:r>
        <w:rPr>
          <w:rFonts w:hint="eastAsia" w:ascii="宋体" w:hAnsi="宋体" w:cs="宋体"/>
          <w:color w:val="auto"/>
          <w:highlight w:val="none"/>
        </w:rPr>
        <w:t>第六章  竞争性磋商响应文件格式</w:t>
      </w:r>
      <w:bookmarkEnd w:id="5"/>
      <w:bookmarkEnd w:id="6"/>
      <w:bookmarkEnd w:id="7"/>
      <w:bookmarkEnd w:id="8"/>
      <w:bookmarkEnd w:id="9"/>
      <w:bookmarkEnd w:id="10"/>
      <w:bookmarkEnd w:id="11"/>
      <w:bookmarkEnd w:id="12"/>
      <w:bookmarkEnd w:id="13"/>
      <w:bookmarkEnd w:id="1066"/>
    </w:p>
    <w:p w14:paraId="084979E5">
      <w:pPr>
        <w:shd w:val="clear"/>
        <w:spacing w:line="360" w:lineRule="auto"/>
        <w:ind w:firstLine="480"/>
        <w:rPr>
          <w:rFonts w:ascii="宋体" w:hAnsi="宋体"/>
          <w:b/>
          <w:color w:val="auto"/>
          <w:highlight w:val="none"/>
        </w:rPr>
      </w:pPr>
      <w:r>
        <w:rPr>
          <w:rFonts w:hint="eastAsia" w:ascii="宋体" w:hAnsi="宋体"/>
          <w:bCs/>
          <w:color w:val="auto"/>
          <w:highlight w:val="none"/>
        </w:rPr>
        <w:t>本附件所有格式仅供制作竞争性磋商响应文件时参考，供应商应根据行业特点，结合本项目的相关要求，对有关内容、表格可进行补充或修改，但不得对实质性内容做出变动。</w:t>
      </w:r>
    </w:p>
    <w:p w14:paraId="54201749">
      <w:pPr>
        <w:shd w:val="clear"/>
        <w:ind w:firstLine="0" w:firstLineChars="0"/>
        <w:rPr>
          <w:rFonts w:ascii="宋体" w:hAnsi="宋体"/>
          <w:b/>
          <w:color w:val="auto"/>
          <w:sz w:val="48"/>
          <w:szCs w:val="48"/>
          <w:highlight w:val="none"/>
        </w:rPr>
      </w:pPr>
    </w:p>
    <w:p w14:paraId="67C01FFB">
      <w:pPr>
        <w:shd w:val="clear"/>
        <w:spacing w:line="240" w:lineRule="auto"/>
        <w:ind w:firstLine="0" w:firstLineChars="0"/>
        <w:jc w:val="center"/>
        <w:rPr>
          <w:rFonts w:ascii="宋体" w:hAnsi="宋体"/>
          <w:b/>
          <w:color w:val="auto"/>
          <w:sz w:val="44"/>
          <w:szCs w:val="44"/>
          <w:highlight w:val="none"/>
        </w:rPr>
      </w:pPr>
    </w:p>
    <w:p w14:paraId="20E39D22">
      <w:pPr>
        <w:shd w:val="clear"/>
        <w:spacing w:line="240" w:lineRule="auto"/>
        <w:ind w:firstLine="0" w:firstLineChars="0"/>
        <w:jc w:val="center"/>
        <w:rPr>
          <w:rFonts w:ascii="宋体" w:hAnsi="宋体"/>
          <w:b/>
          <w:color w:val="auto"/>
          <w:sz w:val="44"/>
          <w:szCs w:val="44"/>
          <w:highlight w:val="none"/>
        </w:rPr>
      </w:pPr>
    </w:p>
    <w:p w14:paraId="00D229A4">
      <w:pPr>
        <w:shd w:val="clear"/>
        <w:spacing w:line="240" w:lineRule="auto"/>
        <w:ind w:firstLine="0" w:firstLineChars="0"/>
        <w:jc w:val="center"/>
        <w:rPr>
          <w:rFonts w:ascii="宋体" w:hAnsi="宋体"/>
          <w:b/>
          <w:color w:val="auto"/>
          <w:sz w:val="44"/>
          <w:szCs w:val="44"/>
          <w:highlight w:val="none"/>
        </w:rPr>
      </w:pPr>
    </w:p>
    <w:p w14:paraId="3A6198B4">
      <w:pPr>
        <w:shd w:val="clear"/>
        <w:spacing w:line="240" w:lineRule="auto"/>
        <w:ind w:firstLine="0" w:firstLineChars="0"/>
        <w:jc w:val="center"/>
        <w:rPr>
          <w:rFonts w:ascii="宋体" w:hAnsi="宋体"/>
          <w:b/>
          <w:color w:val="auto"/>
          <w:sz w:val="44"/>
          <w:szCs w:val="44"/>
          <w:highlight w:val="none"/>
        </w:rPr>
      </w:pPr>
    </w:p>
    <w:p w14:paraId="0800138B">
      <w:pPr>
        <w:shd w:val="clear"/>
        <w:ind w:firstLine="0" w:firstLineChars="0"/>
        <w:rPr>
          <w:rFonts w:ascii="宋体" w:hAnsi="宋体"/>
          <w:b/>
          <w:color w:val="auto"/>
          <w:sz w:val="28"/>
          <w:szCs w:val="28"/>
          <w:highlight w:val="none"/>
        </w:rPr>
      </w:pPr>
    </w:p>
    <w:p w14:paraId="438835A6">
      <w:pPr>
        <w:shd w:val="clear"/>
        <w:ind w:firstLine="562"/>
        <w:rPr>
          <w:rFonts w:ascii="宋体" w:hAnsi="宋体"/>
          <w:b/>
          <w:color w:val="auto"/>
          <w:sz w:val="28"/>
          <w:szCs w:val="28"/>
          <w:highlight w:val="none"/>
        </w:rPr>
      </w:pPr>
    </w:p>
    <w:p w14:paraId="04419AA5">
      <w:pPr>
        <w:shd w:val="clear"/>
        <w:ind w:firstLine="562"/>
        <w:rPr>
          <w:rFonts w:ascii="宋体" w:hAnsi="宋体"/>
          <w:b/>
          <w:color w:val="auto"/>
          <w:sz w:val="28"/>
          <w:szCs w:val="28"/>
          <w:highlight w:val="none"/>
        </w:rPr>
      </w:pPr>
    </w:p>
    <w:p w14:paraId="28623868">
      <w:pPr>
        <w:shd w:val="clear"/>
        <w:ind w:firstLine="562"/>
        <w:rPr>
          <w:rFonts w:ascii="宋体" w:hAnsi="宋体"/>
          <w:b/>
          <w:color w:val="auto"/>
          <w:sz w:val="28"/>
          <w:szCs w:val="28"/>
          <w:highlight w:val="none"/>
        </w:rPr>
      </w:pPr>
    </w:p>
    <w:p w14:paraId="5901CEF4">
      <w:pPr>
        <w:shd w:val="clear"/>
        <w:ind w:firstLine="562"/>
        <w:rPr>
          <w:rFonts w:ascii="宋体" w:hAnsi="宋体"/>
          <w:b/>
          <w:color w:val="auto"/>
          <w:sz w:val="28"/>
          <w:szCs w:val="28"/>
          <w:highlight w:val="none"/>
        </w:rPr>
      </w:pPr>
    </w:p>
    <w:p w14:paraId="7B11EE45">
      <w:pPr>
        <w:shd w:val="clear"/>
        <w:ind w:firstLine="562"/>
        <w:rPr>
          <w:rFonts w:ascii="宋体" w:hAnsi="宋体"/>
          <w:b/>
          <w:color w:val="auto"/>
          <w:sz w:val="28"/>
          <w:szCs w:val="28"/>
          <w:highlight w:val="none"/>
        </w:rPr>
      </w:pPr>
    </w:p>
    <w:p w14:paraId="306D122F">
      <w:pPr>
        <w:shd w:val="clear"/>
        <w:ind w:firstLine="562"/>
        <w:rPr>
          <w:rFonts w:ascii="宋体" w:hAnsi="宋体"/>
          <w:b/>
          <w:color w:val="auto"/>
          <w:sz w:val="28"/>
          <w:szCs w:val="28"/>
          <w:highlight w:val="none"/>
        </w:rPr>
      </w:pPr>
    </w:p>
    <w:p w14:paraId="47101E3F">
      <w:pPr>
        <w:shd w:val="clear"/>
        <w:ind w:firstLine="562"/>
        <w:rPr>
          <w:rFonts w:ascii="宋体" w:hAnsi="宋体"/>
          <w:b/>
          <w:color w:val="auto"/>
          <w:sz w:val="28"/>
          <w:szCs w:val="28"/>
          <w:highlight w:val="none"/>
        </w:rPr>
      </w:pPr>
    </w:p>
    <w:p w14:paraId="58BE96C5">
      <w:pPr>
        <w:shd w:val="clear"/>
        <w:ind w:firstLine="562"/>
        <w:rPr>
          <w:rFonts w:ascii="宋体" w:hAnsi="宋体"/>
          <w:b/>
          <w:color w:val="auto"/>
          <w:sz w:val="28"/>
          <w:szCs w:val="28"/>
          <w:highlight w:val="none"/>
        </w:rPr>
      </w:pPr>
    </w:p>
    <w:p w14:paraId="6FA8FF56">
      <w:pPr>
        <w:shd w:val="clear"/>
        <w:ind w:firstLine="562"/>
        <w:rPr>
          <w:rFonts w:ascii="宋体" w:hAnsi="宋体"/>
          <w:b/>
          <w:color w:val="auto"/>
          <w:sz w:val="28"/>
          <w:szCs w:val="28"/>
          <w:highlight w:val="none"/>
        </w:rPr>
      </w:pPr>
    </w:p>
    <w:p w14:paraId="419DBD6C">
      <w:pPr>
        <w:shd w:val="clear"/>
        <w:ind w:firstLine="562"/>
        <w:rPr>
          <w:rFonts w:ascii="宋体" w:hAnsi="宋体"/>
          <w:b/>
          <w:color w:val="auto"/>
          <w:sz w:val="28"/>
          <w:szCs w:val="28"/>
          <w:highlight w:val="none"/>
        </w:rPr>
      </w:pPr>
    </w:p>
    <w:p w14:paraId="30467519">
      <w:pPr>
        <w:shd w:val="clear"/>
        <w:ind w:firstLine="562"/>
        <w:rPr>
          <w:rFonts w:ascii="宋体" w:hAnsi="宋体"/>
          <w:b/>
          <w:color w:val="auto"/>
          <w:sz w:val="28"/>
          <w:szCs w:val="28"/>
          <w:highlight w:val="none"/>
        </w:rPr>
      </w:pPr>
    </w:p>
    <w:p w14:paraId="5301214D">
      <w:pPr>
        <w:shd w:val="clear"/>
        <w:ind w:firstLine="562"/>
        <w:rPr>
          <w:rFonts w:ascii="宋体" w:hAnsi="宋体"/>
          <w:b/>
          <w:color w:val="auto"/>
          <w:sz w:val="28"/>
          <w:szCs w:val="28"/>
          <w:highlight w:val="none"/>
        </w:rPr>
      </w:pPr>
    </w:p>
    <w:p w14:paraId="3F3E459C">
      <w:pPr>
        <w:pStyle w:val="17"/>
        <w:shd w:val="clear"/>
        <w:ind w:firstLine="562"/>
        <w:rPr>
          <w:rFonts w:ascii="宋体" w:hAnsi="宋体"/>
          <w:b/>
          <w:color w:val="auto"/>
          <w:sz w:val="28"/>
          <w:szCs w:val="28"/>
          <w:highlight w:val="none"/>
        </w:rPr>
      </w:pPr>
    </w:p>
    <w:p w14:paraId="07317582">
      <w:pPr>
        <w:pStyle w:val="17"/>
        <w:shd w:val="clear"/>
        <w:ind w:firstLine="562"/>
        <w:rPr>
          <w:rFonts w:ascii="宋体" w:hAnsi="宋体"/>
          <w:b/>
          <w:color w:val="auto"/>
          <w:sz w:val="28"/>
          <w:szCs w:val="28"/>
          <w:highlight w:val="none"/>
        </w:rPr>
      </w:pPr>
    </w:p>
    <w:p w14:paraId="5CAC10CD">
      <w:pPr>
        <w:shd w:val="clear"/>
        <w:ind w:firstLine="562"/>
        <w:rPr>
          <w:rFonts w:ascii="宋体" w:hAnsi="宋体"/>
          <w:b/>
          <w:color w:val="auto"/>
          <w:sz w:val="28"/>
          <w:szCs w:val="28"/>
          <w:highlight w:val="none"/>
        </w:rPr>
      </w:pPr>
    </w:p>
    <w:p w14:paraId="6DF86FA4">
      <w:pPr>
        <w:shd w:val="clear"/>
        <w:ind w:firstLine="562"/>
        <w:rPr>
          <w:rFonts w:ascii="宋体" w:hAnsi="宋体"/>
          <w:b/>
          <w:color w:val="auto"/>
          <w:sz w:val="28"/>
          <w:szCs w:val="28"/>
          <w:highlight w:val="none"/>
        </w:rPr>
      </w:pPr>
    </w:p>
    <w:p w14:paraId="5C30BFBA">
      <w:pPr>
        <w:shd w:val="clear"/>
        <w:ind w:firstLine="562"/>
        <w:rPr>
          <w:rFonts w:ascii="宋体" w:hAnsi="宋体"/>
          <w:b/>
          <w:color w:val="auto"/>
          <w:sz w:val="28"/>
          <w:szCs w:val="28"/>
          <w:highlight w:val="none"/>
        </w:rPr>
      </w:pPr>
    </w:p>
    <w:p w14:paraId="3D2461F4">
      <w:pPr>
        <w:keepNext w:val="0"/>
        <w:keepLines w:val="0"/>
        <w:pageBreakBefore w:val="0"/>
        <w:widowControl w:val="0"/>
        <w:shd w:val="clear"/>
        <w:kinsoku/>
        <w:wordWrap/>
        <w:overflowPunct/>
        <w:topLinePunct w:val="0"/>
        <w:autoSpaceDE/>
        <w:autoSpaceDN/>
        <w:bidi w:val="0"/>
        <w:adjustRightInd/>
        <w:snapToGrid w:val="0"/>
        <w:spacing w:line="240" w:lineRule="auto"/>
        <w:ind w:left="-240" w:leftChars="-100" w:right="-240" w:rightChars="-100" w:firstLine="0" w:firstLineChars="0"/>
        <w:jc w:val="center"/>
        <w:textAlignment w:val="auto"/>
        <w:outlineLvl w:val="9"/>
        <w:rPr>
          <w:rFonts w:hint="eastAsia" w:ascii="宋体" w:hAnsi="宋体"/>
          <w:b/>
          <w:color w:val="auto"/>
          <w:sz w:val="44"/>
          <w:szCs w:val="44"/>
          <w:highlight w:val="none"/>
          <w:lang w:val="zh-CN"/>
        </w:rPr>
      </w:pPr>
      <w:bookmarkStart w:id="1067" w:name="_Toc18463"/>
      <w:bookmarkStart w:id="1068" w:name="_Toc25957"/>
      <w:bookmarkStart w:id="1069" w:name="_Toc15303"/>
      <w:bookmarkStart w:id="1070" w:name="_Toc29722"/>
      <w:bookmarkStart w:id="1071" w:name="_Toc17772"/>
      <w:bookmarkStart w:id="1072" w:name="_Toc29993"/>
      <w:bookmarkStart w:id="1073" w:name="_Toc1808"/>
      <w:bookmarkStart w:id="1074" w:name="_Toc5069"/>
      <w:bookmarkStart w:id="1075" w:name="_Toc11642"/>
      <w:bookmarkStart w:id="1076" w:name="_Toc374"/>
      <w:bookmarkStart w:id="1077" w:name="_Toc24839"/>
      <w:bookmarkStart w:id="1078" w:name="_Toc6841"/>
      <w:bookmarkStart w:id="1079" w:name="_Toc357410801"/>
      <w:bookmarkStart w:id="1080" w:name="_Toc27545"/>
      <w:bookmarkStart w:id="1081" w:name="_Toc10024"/>
      <w:bookmarkStart w:id="1082" w:name="_Toc7152"/>
      <w:bookmarkStart w:id="1083" w:name="_Toc19968"/>
      <w:bookmarkStart w:id="1084" w:name="_Toc27832"/>
      <w:bookmarkStart w:id="1085" w:name="_Toc15968"/>
      <w:bookmarkStart w:id="1086" w:name="_Toc13035"/>
      <w:bookmarkStart w:id="1087" w:name="_Toc22770"/>
      <w:bookmarkStart w:id="1088" w:name="_Toc26288"/>
      <w:bookmarkStart w:id="1089" w:name="_Toc31904"/>
      <w:bookmarkStart w:id="1090" w:name="_Toc32551"/>
      <w:bookmarkStart w:id="1091" w:name="_Toc13079"/>
      <w:bookmarkStart w:id="1092" w:name="_Toc30831"/>
      <w:bookmarkStart w:id="1093" w:name="_Toc30522"/>
      <w:bookmarkStart w:id="1094" w:name="_Toc30805"/>
      <w:bookmarkStart w:id="1095" w:name="_Toc24199"/>
      <w:bookmarkStart w:id="1096" w:name="_Toc21629"/>
      <w:bookmarkStart w:id="1097" w:name="_Toc13808"/>
      <w:bookmarkStart w:id="1098" w:name="_Toc19917"/>
      <w:bookmarkStart w:id="1099" w:name="_Toc19700"/>
      <w:bookmarkStart w:id="1100" w:name="_Toc15679"/>
      <w:bookmarkStart w:id="1101" w:name="_Toc12808"/>
      <w:bookmarkStart w:id="1102" w:name="_Toc739"/>
      <w:bookmarkStart w:id="1103" w:name="_Toc12668"/>
      <w:bookmarkStart w:id="1104" w:name="_Toc21200"/>
      <w:bookmarkStart w:id="1105" w:name="_Toc20665"/>
      <w:bookmarkStart w:id="1106" w:name="_Toc14622"/>
      <w:bookmarkStart w:id="1107" w:name="_Toc31325"/>
      <w:bookmarkStart w:id="1108" w:name="_Toc6362"/>
      <w:bookmarkStart w:id="1109" w:name="_Toc16449"/>
      <w:bookmarkStart w:id="1110" w:name="_Toc4434"/>
      <w:bookmarkStart w:id="1111" w:name="_Toc324"/>
    </w:p>
    <w:p w14:paraId="425FE818">
      <w:pPr>
        <w:keepNext w:val="0"/>
        <w:keepLines w:val="0"/>
        <w:pageBreakBefore w:val="0"/>
        <w:widowControl w:val="0"/>
        <w:shd w:val="clear"/>
        <w:kinsoku/>
        <w:wordWrap/>
        <w:overflowPunct/>
        <w:topLinePunct w:val="0"/>
        <w:autoSpaceDE/>
        <w:autoSpaceDN/>
        <w:bidi w:val="0"/>
        <w:adjustRightInd/>
        <w:snapToGrid w:val="0"/>
        <w:spacing w:line="240" w:lineRule="auto"/>
        <w:ind w:left="-240" w:leftChars="-100" w:right="-240" w:rightChars="-100" w:firstLine="0" w:firstLineChars="0"/>
        <w:jc w:val="center"/>
        <w:textAlignment w:val="auto"/>
        <w:outlineLvl w:val="9"/>
        <w:rPr>
          <w:rFonts w:hint="eastAsia" w:ascii="宋体" w:hAnsi="宋体"/>
          <w:b/>
          <w:bCs/>
          <w:color w:val="auto"/>
          <w:sz w:val="48"/>
          <w:szCs w:val="48"/>
          <w:highlight w:val="none"/>
        </w:rPr>
      </w:pPr>
      <w:r>
        <w:rPr>
          <w:rFonts w:hint="eastAsia" w:ascii="宋体" w:hAnsi="宋体"/>
          <w:b/>
          <w:color w:val="auto"/>
          <w:sz w:val="44"/>
          <w:szCs w:val="44"/>
          <w:highlight w:val="none"/>
          <w:lang w:val="zh-CN"/>
        </w:rPr>
        <w:t>龙游县湖镇镇张家埠村未来乡村生活馆亮化采购项目</w:t>
      </w:r>
    </w:p>
    <w:p w14:paraId="390D24BF">
      <w:pPr>
        <w:shd w:val="clear"/>
        <w:snapToGrid w:val="0"/>
        <w:spacing w:line="240" w:lineRule="auto"/>
        <w:ind w:firstLine="0" w:firstLineChars="0"/>
        <w:jc w:val="center"/>
        <w:outlineLvl w:val="1"/>
        <w:rPr>
          <w:rFonts w:hint="eastAsia" w:ascii="宋体" w:hAnsi="宋体"/>
          <w:b/>
          <w:bCs/>
          <w:color w:val="auto"/>
          <w:sz w:val="48"/>
          <w:szCs w:val="48"/>
          <w:highlight w:val="none"/>
        </w:rPr>
      </w:pPr>
      <w:bookmarkStart w:id="1112" w:name="_Toc26612"/>
    </w:p>
    <w:p w14:paraId="35ACEAFB">
      <w:pPr>
        <w:shd w:val="clear"/>
        <w:snapToGrid w:val="0"/>
        <w:spacing w:line="240" w:lineRule="auto"/>
        <w:ind w:firstLine="0" w:firstLineChars="0"/>
        <w:jc w:val="center"/>
        <w:outlineLvl w:val="1"/>
        <w:rPr>
          <w:rFonts w:hint="eastAsia" w:ascii="宋体" w:hAnsi="宋体"/>
          <w:b/>
          <w:bCs/>
          <w:color w:val="auto"/>
          <w:sz w:val="48"/>
          <w:szCs w:val="48"/>
          <w:highlight w:val="none"/>
        </w:rPr>
      </w:pPr>
    </w:p>
    <w:p w14:paraId="23BC15EF">
      <w:pPr>
        <w:shd w:val="clear"/>
        <w:snapToGrid w:val="0"/>
        <w:spacing w:line="240" w:lineRule="auto"/>
        <w:ind w:firstLine="0" w:firstLineChars="0"/>
        <w:jc w:val="center"/>
        <w:outlineLvl w:val="1"/>
        <w:rPr>
          <w:rFonts w:ascii="宋体" w:hAnsi="宋体"/>
          <w:b/>
          <w:bCs w:val="0"/>
          <w:color w:val="auto"/>
          <w:spacing w:val="-11"/>
          <w:sz w:val="44"/>
          <w:szCs w:val="44"/>
          <w:highlight w:val="none"/>
        </w:rPr>
      </w:pPr>
      <w:r>
        <w:rPr>
          <w:rFonts w:hint="eastAsia" w:ascii="宋体" w:hAnsi="宋体"/>
          <w:b/>
          <w:bCs/>
          <w:color w:val="auto"/>
          <w:sz w:val="48"/>
          <w:szCs w:val="48"/>
          <w:highlight w:val="none"/>
        </w:rPr>
        <w:t>磋商响应文件</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2"/>
      <w:bookmarkStart w:id="1113" w:name="_Toc357410802"/>
    </w:p>
    <w:p w14:paraId="232BB3E3">
      <w:pPr>
        <w:shd w:val="clear"/>
        <w:rPr>
          <w:color w:val="auto"/>
          <w:highlight w:val="none"/>
        </w:rPr>
      </w:pPr>
    </w:p>
    <w:p w14:paraId="736EE1BB">
      <w:pPr>
        <w:pStyle w:val="17"/>
        <w:shd w:val="clear"/>
        <w:spacing w:line="720" w:lineRule="auto"/>
        <w:ind w:firstLine="0" w:firstLineChars="0"/>
        <w:jc w:val="both"/>
        <w:outlineLvl w:val="9"/>
        <w:rPr>
          <w:rFonts w:hint="eastAsia" w:ascii="宋体" w:hAnsi="宋体"/>
          <w:b/>
          <w:bCs w:val="0"/>
          <w:color w:val="auto"/>
          <w:spacing w:val="-11"/>
          <w:sz w:val="44"/>
          <w:szCs w:val="44"/>
          <w:highlight w:val="none"/>
          <w:lang w:eastAsia="zh-CN"/>
        </w:rPr>
      </w:pPr>
      <w:bookmarkStart w:id="1114" w:name="_Toc25626"/>
      <w:bookmarkStart w:id="1115" w:name="_Toc7991"/>
      <w:bookmarkStart w:id="1116" w:name="_Toc14986"/>
      <w:bookmarkStart w:id="1117" w:name="_Toc4641"/>
      <w:bookmarkStart w:id="1118" w:name="_Toc5930"/>
      <w:bookmarkStart w:id="1119" w:name="_Toc1628"/>
      <w:bookmarkStart w:id="1120" w:name="_Toc23825"/>
      <w:bookmarkStart w:id="1121" w:name="_Toc14095"/>
      <w:bookmarkStart w:id="1122" w:name="_Toc15283"/>
      <w:bookmarkStart w:id="1123" w:name="_Toc7539"/>
      <w:bookmarkStart w:id="1124" w:name="_Toc28757"/>
      <w:bookmarkStart w:id="1125" w:name="_Toc28080"/>
      <w:bookmarkStart w:id="1126" w:name="_Toc17677"/>
      <w:bookmarkStart w:id="1127" w:name="_Toc6101"/>
      <w:bookmarkStart w:id="1128" w:name="_Toc13724"/>
      <w:bookmarkStart w:id="1129" w:name="_Toc18341"/>
      <w:bookmarkStart w:id="1130" w:name="_Toc14194"/>
      <w:bookmarkStart w:id="1131" w:name="_Toc13741"/>
      <w:bookmarkStart w:id="1132" w:name="_Toc21157"/>
      <w:bookmarkStart w:id="1133" w:name="_Toc22628"/>
      <w:bookmarkStart w:id="1134" w:name="_Toc32099"/>
      <w:bookmarkStart w:id="1135" w:name="_Toc1037"/>
      <w:bookmarkStart w:id="1136" w:name="_Toc32577"/>
      <w:bookmarkStart w:id="1137" w:name="_Toc1735"/>
      <w:bookmarkStart w:id="1138" w:name="_Toc9156"/>
      <w:bookmarkStart w:id="1139" w:name="_Toc29982"/>
      <w:bookmarkStart w:id="1140" w:name="_Toc3017"/>
      <w:bookmarkStart w:id="1141" w:name="_Toc3280"/>
      <w:bookmarkStart w:id="1142" w:name="_Toc21795"/>
      <w:bookmarkStart w:id="1143" w:name="_Toc69"/>
      <w:bookmarkStart w:id="1144" w:name="_Toc14327"/>
      <w:bookmarkStart w:id="1145" w:name="_Toc7820"/>
    </w:p>
    <w:p w14:paraId="31CF10F7">
      <w:pPr>
        <w:pStyle w:val="17"/>
        <w:shd w:val="clear"/>
        <w:spacing w:line="720" w:lineRule="auto"/>
        <w:ind w:firstLine="0" w:firstLineChars="0"/>
        <w:jc w:val="center"/>
        <w:outlineLvl w:val="0"/>
        <w:rPr>
          <w:rFonts w:ascii="宋体" w:hAnsi="宋体"/>
          <w:b/>
          <w:color w:val="auto"/>
          <w:sz w:val="44"/>
          <w:szCs w:val="44"/>
          <w:highlight w:val="none"/>
        </w:rPr>
      </w:pPr>
      <w:bookmarkStart w:id="1146" w:name="_Toc25552"/>
      <w:r>
        <w:rPr>
          <w:rFonts w:hint="eastAsia" w:ascii="宋体" w:hAnsi="宋体"/>
          <w:b/>
          <w:bCs w:val="0"/>
          <w:color w:val="auto"/>
          <w:spacing w:val="-11"/>
          <w:sz w:val="44"/>
          <w:szCs w:val="44"/>
          <w:highlight w:val="none"/>
          <w:lang w:eastAsia="zh-CN"/>
        </w:rPr>
        <w:t>资格部分、</w:t>
      </w:r>
      <w:r>
        <w:rPr>
          <w:rFonts w:hint="eastAsia" w:ascii="宋体" w:hAnsi="宋体"/>
          <w:b/>
          <w:color w:val="auto"/>
          <w:sz w:val="44"/>
          <w:szCs w:val="44"/>
          <w:highlight w:val="none"/>
          <w:lang w:eastAsia="zh-CN"/>
        </w:rPr>
        <w:t>商务技术部分、</w:t>
      </w:r>
      <w:r>
        <w:rPr>
          <w:rFonts w:hint="eastAsia" w:ascii="宋体" w:hAnsi="宋体"/>
          <w:b/>
          <w:color w:val="auto"/>
          <w:sz w:val="44"/>
          <w:szCs w:val="44"/>
          <w:highlight w:val="none"/>
        </w:rPr>
        <w:t>报价</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Pr>
          <w:rFonts w:hint="eastAsia" w:ascii="宋体" w:hAnsi="宋体"/>
          <w:b/>
          <w:color w:val="auto"/>
          <w:sz w:val="44"/>
          <w:szCs w:val="44"/>
          <w:highlight w:val="none"/>
          <w:lang w:eastAsia="zh-CN"/>
        </w:rPr>
        <w:t>部分</w:t>
      </w:r>
      <w:bookmarkEnd w:id="1146"/>
    </w:p>
    <w:p w14:paraId="474451D1">
      <w:pPr>
        <w:shd w:val="clear"/>
        <w:ind w:firstLine="0" w:firstLineChars="0"/>
        <w:jc w:val="center"/>
        <w:rPr>
          <w:rFonts w:ascii="宋体" w:hAnsi="宋体"/>
          <w:b/>
          <w:color w:val="auto"/>
          <w:szCs w:val="21"/>
          <w:highlight w:val="none"/>
        </w:rPr>
      </w:pPr>
    </w:p>
    <w:p w14:paraId="6CAB39CA">
      <w:pPr>
        <w:shd w:val="clear"/>
        <w:ind w:firstLine="0" w:firstLineChars="0"/>
        <w:jc w:val="center"/>
        <w:rPr>
          <w:rFonts w:ascii="宋体" w:hAnsi="宋体"/>
          <w:b/>
          <w:color w:val="auto"/>
          <w:szCs w:val="21"/>
          <w:highlight w:val="none"/>
        </w:rPr>
      </w:pPr>
    </w:p>
    <w:bookmarkEnd w:id="1113"/>
    <w:p w14:paraId="717955D5">
      <w:pPr>
        <w:pStyle w:val="4"/>
        <w:shd w:val="clear"/>
        <w:spacing w:before="156" w:after="156"/>
        <w:jc w:val="both"/>
        <w:outlineLvl w:val="9"/>
        <w:rPr>
          <w:color w:val="auto"/>
          <w:highlight w:val="none"/>
        </w:rPr>
      </w:pPr>
      <w:bookmarkStart w:id="1147" w:name="_Toc357410803"/>
    </w:p>
    <w:p w14:paraId="6DAE4BF0">
      <w:pPr>
        <w:shd w:val="clear"/>
        <w:rPr>
          <w:color w:val="auto"/>
          <w:highlight w:val="none"/>
        </w:rPr>
      </w:pPr>
    </w:p>
    <w:p w14:paraId="6606DA86">
      <w:pPr>
        <w:shd w:val="clear"/>
        <w:ind w:firstLine="0" w:firstLineChars="0"/>
        <w:jc w:val="center"/>
        <w:rPr>
          <w:rFonts w:ascii="宋体" w:hAnsi="宋体"/>
          <w:b/>
          <w:color w:val="auto"/>
          <w:sz w:val="28"/>
          <w:szCs w:val="28"/>
          <w:highlight w:val="none"/>
        </w:rPr>
      </w:pPr>
    </w:p>
    <w:p w14:paraId="365F9D33">
      <w:pPr>
        <w:shd w:val="clear"/>
        <w:snapToGrid w:val="0"/>
        <w:spacing w:line="400" w:lineRule="exact"/>
        <w:ind w:firstLine="843" w:firstLineChars="300"/>
        <w:outlineLvl w:val="0"/>
        <w:rPr>
          <w:rFonts w:ascii="宋体" w:hAnsi="宋体"/>
          <w:b/>
          <w:color w:val="auto"/>
          <w:sz w:val="28"/>
          <w:szCs w:val="28"/>
          <w:highlight w:val="none"/>
          <w:u w:val="single"/>
        </w:rPr>
      </w:pPr>
      <w:bookmarkStart w:id="1148" w:name="_Toc1813"/>
      <w:bookmarkStart w:id="1149" w:name="_Toc21688"/>
      <w:bookmarkStart w:id="1150" w:name="_Toc11029"/>
      <w:bookmarkStart w:id="1151" w:name="_Toc25893"/>
      <w:bookmarkStart w:id="1152" w:name="_Toc22506"/>
      <w:bookmarkStart w:id="1153" w:name="_Toc23563"/>
      <w:bookmarkStart w:id="1154" w:name="_Toc3820"/>
      <w:bookmarkStart w:id="1155" w:name="_Toc2660"/>
      <w:bookmarkStart w:id="1156" w:name="_Toc20025"/>
      <w:bookmarkStart w:id="1157" w:name="_Toc30410"/>
      <w:bookmarkStart w:id="1158" w:name="_Toc18580"/>
      <w:bookmarkStart w:id="1159" w:name="_Toc17416"/>
      <w:bookmarkStart w:id="1160" w:name="_Toc24755"/>
      <w:bookmarkStart w:id="1161" w:name="_Toc12090"/>
      <w:bookmarkStart w:id="1162" w:name="_Toc4691"/>
      <w:bookmarkStart w:id="1163" w:name="_Toc26337"/>
      <w:bookmarkStart w:id="1164" w:name="_Toc9155"/>
      <w:bookmarkStart w:id="1165" w:name="_Toc3476"/>
      <w:bookmarkStart w:id="1166" w:name="_Toc2964"/>
      <w:bookmarkStart w:id="1167" w:name="_Toc6199"/>
      <w:bookmarkStart w:id="1168" w:name="_Toc9623"/>
      <w:bookmarkStart w:id="1169" w:name="_Toc8025"/>
      <w:bookmarkStart w:id="1170" w:name="_Toc753"/>
      <w:bookmarkStart w:id="1171" w:name="_Toc10078"/>
      <w:bookmarkStart w:id="1172" w:name="_Toc4635"/>
      <w:bookmarkStart w:id="1173" w:name="_Toc27856"/>
      <w:bookmarkStart w:id="1174" w:name="_Toc29834"/>
      <w:bookmarkStart w:id="1175" w:name="_Toc32662"/>
      <w:bookmarkStart w:id="1176" w:name="_Toc24615"/>
      <w:bookmarkStart w:id="1177" w:name="_Toc32564"/>
      <w:bookmarkStart w:id="1178" w:name="_Toc32132"/>
      <w:bookmarkStart w:id="1179" w:name="_Toc5647"/>
      <w:bookmarkStart w:id="1180" w:name="_Toc14465"/>
      <w:bookmarkStart w:id="1181" w:name="_Toc433"/>
      <w:bookmarkStart w:id="1182" w:name="_Toc23763"/>
      <w:bookmarkStart w:id="1183" w:name="_Toc30164"/>
      <w:bookmarkStart w:id="1184" w:name="_Toc18811"/>
      <w:bookmarkStart w:id="1185" w:name="_Toc24071"/>
      <w:bookmarkStart w:id="1186" w:name="_Toc988"/>
      <w:bookmarkStart w:id="1187" w:name="_Toc22525"/>
      <w:bookmarkStart w:id="1188" w:name="_Toc23068"/>
      <w:bookmarkStart w:id="1189" w:name="_Toc4932"/>
      <w:bookmarkStart w:id="1190" w:name="_Toc5730"/>
      <w:bookmarkStart w:id="1191" w:name="_Toc15157"/>
      <w:bookmarkStart w:id="1192" w:name="_Toc29038"/>
      <w:r>
        <w:rPr>
          <w:rFonts w:hint="eastAsia" w:ascii="宋体" w:hAnsi="宋体"/>
          <w:b/>
          <w:color w:val="auto"/>
          <w:sz w:val="28"/>
          <w:szCs w:val="28"/>
          <w:highlight w:val="none"/>
        </w:rPr>
        <w:t>项目编号：</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Pr>
          <w:rFonts w:hint="eastAsia" w:ascii="宋体" w:hAnsi="宋体"/>
          <w:b/>
          <w:color w:val="auto"/>
          <w:sz w:val="28"/>
          <w:szCs w:val="28"/>
          <w:highlight w:val="none"/>
          <w:u w:val="single"/>
        </w:rPr>
        <w:t xml:space="preserve">                                              </w:t>
      </w:r>
    </w:p>
    <w:p w14:paraId="2A2B5497">
      <w:pPr>
        <w:shd w:val="clear"/>
        <w:snapToGrid w:val="0"/>
        <w:spacing w:line="400" w:lineRule="exact"/>
        <w:ind w:firstLine="843" w:firstLineChars="300"/>
        <w:rPr>
          <w:rFonts w:ascii="宋体" w:hAnsi="宋体"/>
          <w:b/>
          <w:color w:val="auto"/>
          <w:sz w:val="28"/>
          <w:szCs w:val="28"/>
          <w:highlight w:val="none"/>
        </w:rPr>
      </w:pPr>
      <w:bookmarkStart w:id="1193" w:name="_Toc357410804"/>
    </w:p>
    <w:p w14:paraId="1E0386F2">
      <w:pPr>
        <w:shd w:val="clear"/>
        <w:snapToGrid w:val="0"/>
        <w:spacing w:line="400" w:lineRule="exact"/>
        <w:ind w:firstLine="843" w:firstLineChars="300"/>
        <w:outlineLvl w:val="0"/>
        <w:rPr>
          <w:rFonts w:ascii="宋体" w:hAnsi="宋体"/>
          <w:b/>
          <w:color w:val="auto"/>
          <w:sz w:val="28"/>
          <w:szCs w:val="28"/>
          <w:highlight w:val="none"/>
          <w:u w:val="single"/>
        </w:rPr>
      </w:pPr>
      <w:bookmarkStart w:id="1194" w:name="_Toc8872"/>
      <w:bookmarkStart w:id="1195" w:name="_Toc22593"/>
      <w:bookmarkStart w:id="1196" w:name="_Toc12188"/>
      <w:bookmarkStart w:id="1197" w:name="_Toc30137"/>
      <w:bookmarkStart w:id="1198" w:name="_Toc10364"/>
      <w:bookmarkStart w:id="1199" w:name="_Toc5746"/>
      <w:bookmarkStart w:id="1200" w:name="_Toc16342"/>
      <w:bookmarkStart w:id="1201" w:name="_Toc22113"/>
      <w:bookmarkStart w:id="1202" w:name="_Toc25430"/>
      <w:bookmarkStart w:id="1203" w:name="_Toc13940"/>
      <w:bookmarkStart w:id="1204" w:name="_Toc22488"/>
      <w:bookmarkStart w:id="1205" w:name="_Toc28210"/>
      <w:bookmarkStart w:id="1206" w:name="_Toc14058"/>
      <w:bookmarkStart w:id="1207" w:name="_Toc26306"/>
      <w:bookmarkStart w:id="1208" w:name="_Toc25649"/>
      <w:bookmarkStart w:id="1209" w:name="_Toc4067"/>
      <w:bookmarkStart w:id="1210" w:name="_Toc9391"/>
      <w:bookmarkStart w:id="1211" w:name="_Toc20659"/>
      <w:bookmarkStart w:id="1212" w:name="_Toc17675"/>
      <w:bookmarkStart w:id="1213" w:name="_Toc8537"/>
      <w:bookmarkStart w:id="1214" w:name="_Toc17846"/>
      <w:bookmarkStart w:id="1215" w:name="_Toc16028"/>
      <w:bookmarkStart w:id="1216" w:name="_Toc6716"/>
      <w:bookmarkStart w:id="1217" w:name="_Toc29921"/>
      <w:bookmarkStart w:id="1218" w:name="_Toc3296"/>
      <w:bookmarkStart w:id="1219" w:name="_Toc23036"/>
      <w:bookmarkStart w:id="1220" w:name="_Toc28393"/>
      <w:bookmarkStart w:id="1221" w:name="_Toc1524"/>
      <w:bookmarkStart w:id="1222" w:name="_Toc2901"/>
      <w:bookmarkStart w:id="1223" w:name="_Toc20381"/>
      <w:bookmarkStart w:id="1224" w:name="_Toc28230"/>
      <w:bookmarkStart w:id="1225" w:name="_Toc23866"/>
      <w:bookmarkStart w:id="1226" w:name="_Toc7263"/>
      <w:bookmarkStart w:id="1227" w:name="_Toc29466"/>
      <w:bookmarkStart w:id="1228" w:name="_Toc30056"/>
      <w:bookmarkStart w:id="1229" w:name="_Toc20230"/>
      <w:bookmarkStart w:id="1230" w:name="_Toc11591"/>
      <w:bookmarkStart w:id="1231" w:name="_Toc30532"/>
      <w:bookmarkStart w:id="1232" w:name="_Toc22503"/>
      <w:bookmarkStart w:id="1233" w:name="_Toc10375"/>
      <w:bookmarkStart w:id="1234" w:name="_Toc25826"/>
      <w:bookmarkStart w:id="1235" w:name="_Toc1515"/>
      <w:bookmarkStart w:id="1236" w:name="_Toc28384"/>
      <w:bookmarkStart w:id="1237" w:name="_Toc8331"/>
      <w:bookmarkStart w:id="1238" w:name="_Toc27211"/>
      <w:r>
        <w:rPr>
          <w:rFonts w:hint="eastAsia" w:ascii="宋体" w:hAnsi="宋体"/>
          <w:b/>
          <w:color w:val="auto"/>
          <w:sz w:val="28"/>
          <w:szCs w:val="28"/>
          <w:highlight w:val="none"/>
        </w:rPr>
        <w:t>供应商名称：</w:t>
      </w:r>
      <w:r>
        <w:rPr>
          <w:rFonts w:hint="eastAsia" w:ascii="宋体" w:hAnsi="宋体"/>
          <w:b/>
          <w:color w:val="auto"/>
          <w:sz w:val="28"/>
          <w:szCs w:val="28"/>
          <w:highlight w:val="none"/>
          <w:u w:val="single"/>
        </w:rPr>
        <w:t xml:space="preserve">                              （盖单位公章）</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14:paraId="27E7A0EA">
      <w:pPr>
        <w:shd w:val="clear"/>
        <w:snapToGrid w:val="0"/>
        <w:spacing w:line="400" w:lineRule="exact"/>
        <w:ind w:firstLine="843" w:firstLineChars="300"/>
        <w:rPr>
          <w:rFonts w:ascii="宋体" w:hAnsi="宋体"/>
          <w:b/>
          <w:color w:val="auto"/>
          <w:sz w:val="28"/>
          <w:szCs w:val="28"/>
          <w:highlight w:val="none"/>
          <w:u w:val="single"/>
        </w:rPr>
      </w:pPr>
      <w:bookmarkStart w:id="1239" w:name="_Toc357410805"/>
    </w:p>
    <w:p w14:paraId="6D7336DB">
      <w:pPr>
        <w:shd w:val="clear"/>
        <w:snapToGrid w:val="0"/>
        <w:spacing w:line="400" w:lineRule="exact"/>
        <w:ind w:firstLine="843" w:firstLineChars="300"/>
        <w:outlineLvl w:val="0"/>
        <w:rPr>
          <w:rFonts w:hint="eastAsia" w:ascii="宋体" w:hAnsi="宋体" w:eastAsia="宋体"/>
          <w:b/>
          <w:color w:val="auto"/>
          <w:sz w:val="28"/>
          <w:szCs w:val="28"/>
          <w:highlight w:val="none"/>
          <w:u w:val="single"/>
          <w:lang w:val="en-US" w:eastAsia="zh-CN"/>
        </w:rPr>
      </w:pPr>
      <w:bookmarkStart w:id="1240" w:name="_Toc31987"/>
      <w:bookmarkStart w:id="1241" w:name="_Toc1664"/>
      <w:bookmarkStart w:id="1242" w:name="_Toc27133"/>
      <w:bookmarkStart w:id="1243" w:name="_Toc1386"/>
      <w:bookmarkStart w:id="1244" w:name="_Toc22640"/>
      <w:bookmarkStart w:id="1245" w:name="_Toc15104"/>
      <w:bookmarkStart w:id="1246" w:name="_Toc32187"/>
      <w:bookmarkStart w:id="1247" w:name="_Toc23335"/>
      <w:bookmarkStart w:id="1248" w:name="_Toc11671"/>
      <w:bookmarkStart w:id="1249" w:name="_Toc3189"/>
      <w:bookmarkStart w:id="1250" w:name="_Toc5957"/>
      <w:bookmarkStart w:id="1251" w:name="_Toc12741"/>
      <w:bookmarkStart w:id="1252" w:name="_Toc18001"/>
      <w:bookmarkStart w:id="1253" w:name="_Toc15718"/>
      <w:bookmarkStart w:id="1254" w:name="_Toc28946"/>
      <w:bookmarkStart w:id="1255" w:name="_Toc26968"/>
      <w:bookmarkStart w:id="1256" w:name="_Toc11368"/>
      <w:bookmarkStart w:id="1257" w:name="_Toc3062"/>
      <w:bookmarkStart w:id="1258" w:name="_Toc3929"/>
      <w:bookmarkStart w:id="1259" w:name="_Toc20607"/>
      <w:bookmarkStart w:id="1260" w:name="_Toc4503"/>
      <w:bookmarkStart w:id="1261" w:name="_Toc28597"/>
      <w:bookmarkStart w:id="1262" w:name="_Toc13577"/>
      <w:bookmarkStart w:id="1263" w:name="_Toc20728"/>
      <w:bookmarkStart w:id="1264" w:name="_Toc6602"/>
      <w:bookmarkStart w:id="1265" w:name="_Toc29992"/>
      <w:bookmarkStart w:id="1266" w:name="_Toc13416"/>
      <w:bookmarkStart w:id="1267" w:name="_Toc18156"/>
      <w:bookmarkStart w:id="1268" w:name="_Toc24426"/>
      <w:bookmarkStart w:id="1269" w:name="_Toc5533"/>
      <w:bookmarkStart w:id="1270" w:name="_Toc19335"/>
      <w:bookmarkStart w:id="1271" w:name="_Toc868"/>
      <w:bookmarkStart w:id="1272" w:name="_Toc25342"/>
      <w:bookmarkStart w:id="1273" w:name="_Toc5268"/>
      <w:bookmarkStart w:id="1274" w:name="_Toc27216"/>
      <w:bookmarkStart w:id="1275" w:name="_Toc32348"/>
      <w:bookmarkStart w:id="1276" w:name="_Toc27319"/>
      <w:bookmarkStart w:id="1277" w:name="_Toc13235"/>
      <w:bookmarkStart w:id="1278" w:name="_Toc20723"/>
      <w:bookmarkStart w:id="1279" w:name="_Toc15570"/>
      <w:bookmarkStart w:id="1280" w:name="_Toc6549"/>
      <w:bookmarkStart w:id="1281" w:name="_Toc29545"/>
      <w:bookmarkStart w:id="1282" w:name="_Toc5621"/>
      <w:bookmarkStart w:id="1283" w:name="_Toc16593"/>
      <w:r>
        <w:rPr>
          <w:rFonts w:hint="eastAsia" w:ascii="宋体" w:hAnsi="宋体"/>
          <w:b/>
          <w:color w:val="auto"/>
          <w:sz w:val="28"/>
          <w:szCs w:val="28"/>
          <w:highlight w:val="none"/>
        </w:rPr>
        <w:t>法定代表人或其授权代表（签字或盖章）：</w:t>
      </w:r>
      <w:r>
        <w:rPr>
          <w:rFonts w:hint="eastAsia" w:ascii="宋体" w:hAnsi="宋体"/>
          <w:b/>
          <w:color w:val="auto"/>
          <w:w w:val="90"/>
          <w:sz w:val="28"/>
          <w:szCs w:val="28"/>
          <w:highlight w:val="none"/>
          <w:u w:val="none"/>
        </w:rPr>
        <w:t>____________________</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Pr>
          <w:rFonts w:hint="eastAsia" w:ascii="宋体" w:hAnsi="宋体"/>
          <w:b/>
          <w:color w:val="auto"/>
          <w:w w:val="90"/>
          <w:sz w:val="28"/>
          <w:szCs w:val="28"/>
          <w:highlight w:val="none"/>
          <w:u w:val="none"/>
          <w:lang w:val="en-US" w:eastAsia="zh-CN"/>
        </w:rPr>
        <w:t xml:space="preserve"> </w:t>
      </w:r>
    </w:p>
    <w:p w14:paraId="3634A9D6">
      <w:pPr>
        <w:shd w:val="clear"/>
        <w:snapToGrid w:val="0"/>
        <w:spacing w:line="400" w:lineRule="exact"/>
        <w:ind w:firstLine="843" w:firstLineChars="300"/>
        <w:rPr>
          <w:rFonts w:ascii="宋体" w:hAnsi="宋体"/>
          <w:b/>
          <w:color w:val="auto"/>
          <w:sz w:val="28"/>
          <w:szCs w:val="28"/>
          <w:highlight w:val="none"/>
        </w:rPr>
      </w:pPr>
    </w:p>
    <w:p w14:paraId="7FC73611">
      <w:pPr>
        <w:shd w:val="clear"/>
        <w:snapToGrid w:val="0"/>
        <w:spacing w:line="400" w:lineRule="exact"/>
        <w:ind w:firstLine="843" w:firstLineChars="300"/>
        <w:outlineLvl w:val="0"/>
        <w:rPr>
          <w:rFonts w:ascii="宋体" w:hAnsi="宋体"/>
          <w:b/>
          <w:color w:val="auto"/>
          <w:sz w:val="28"/>
          <w:szCs w:val="28"/>
          <w:highlight w:val="none"/>
          <w:u w:val="single"/>
        </w:rPr>
      </w:pPr>
      <w:bookmarkStart w:id="1284" w:name="_Toc19195"/>
      <w:bookmarkStart w:id="1285" w:name="_Toc1966"/>
      <w:bookmarkStart w:id="1286" w:name="_Toc28360"/>
      <w:bookmarkStart w:id="1287" w:name="_Toc6349"/>
      <w:bookmarkStart w:id="1288" w:name="_Toc27702"/>
      <w:bookmarkStart w:id="1289" w:name="_Toc13688"/>
      <w:bookmarkStart w:id="1290" w:name="_Toc21064"/>
      <w:bookmarkStart w:id="1291" w:name="_Toc2989"/>
      <w:bookmarkStart w:id="1292" w:name="_Toc5758"/>
      <w:bookmarkStart w:id="1293" w:name="_Toc11952"/>
      <w:bookmarkStart w:id="1294" w:name="_Toc23084"/>
      <w:bookmarkStart w:id="1295" w:name="_Toc18087"/>
      <w:bookmarkStart w:id="1296" w:name="_Toc28097"/>
      <w:bookmarkStart w:id="1297" w:name="_Toc12999"/>
      <w:bookmarkStart w:id="1298" w:name="_Toc2032"/>
      <w:bookmarkStart w:id="1299" w:name="_Toc13600"/>
      <w:bookmarkStart w:id="1300" w:name="_Toc8224"/>
      <w:bookmarkStart w:id="1301" w:name="_Toc13763"/>
      <w:bookmarkStart w:id="1302" w:name="_Toc16651"/>
      <w:bookmarkStart w:id="1303" w:name="_Toc17786"/>
      <w:bookmarkStart w:id="1304" w:name="_Toc6565"/>
      <w:bookmarkStart w:id="1305" w:name="_Toc701"/>
      <w:bookmarkStart w:id="1306" w:name="_Toc9670"/>
      <w:bookmarkStart w:id="1307" w:name="_Toc14135"/>
      <w:bookmarkStart w:id="1308" w:name="_Toc4774"/>
      <w:bookmarkStart w:id="1309" w:name="_Toc15728"/>
      <w:bookmarkStart w:id="1310" w:name="_Toc18174"/>
      <w:bookmarkStart w:id="1311" w:name="_Toc281"/>
      <w:bookmarkStart w:id="1312" w:name="_Toc4078"/>
      <w:bookmarkStart w:id="1313" w:name="_Toc9819"/>
      <w:bookmarkStart w:id="1314" w:name="_Toc15987"/>
      <w:bookmarkStart w:id="1315" w:name="_Toc1028"/>
      <w:bookmarkStart w:id="1316" w:name="_Toc14887"/>
      <w:r>
        <w:rPr>
          <w:rFonts w:hint="eastAsia" w:ascii="宋体" w:hAnsi="宋体"/>
          <w:b/>
          <w:color w:val="auto"/>
          <w:sz w:val="28"/>
          <w:szCs w:val="28"/>
          <w:highlight w:val="none"/>
        </w:rPr>
        <w:t>供应商地址：</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r>
        <w:rPr>
          <w:rFonts w:hint="eastAsia" w:ascii="宋体" w:hAnsi="宋体"/>
          <w:b/>
          <w:color w:val="auto"/>
          <w:sz w:val="28"/>
          <w:szCs w:val="28"/>
          <w:highlight w:val="none"/>
          <w:u w:val="single"/>
        </w:rPr>
        <w:t xml:space="preserve">                              </w:t>
      </w:r>
      <w:bookmarkEnd w:id="1272"/>
      <w:bookmarkEnd w:id="1273"/>
      <w:bookmarkEnd w:id="1274"/>
      <w:bookmarkEnd w:id="1275"/>
      <w:bookmarkEnd w:id="1276"/>
      <w:bookmarkEnd w:id="1277"/>
      <w:bookmarkEnd w:id="1278"/>
      <w:bookmarkEnd w:id="1279"/>
      <w:bookmarkEnd w:id="1280"/>
      <w:bookmarkEnd w:id="1281"/>
      <w:bookmarkEnd w:id="1282"/>
      <w:bookmarkEnd w:id="1283"/>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lang w:val="en-US" w:eastAsia="zh-CN"/>
        </w:rPr>
        <w:t xml:space="preserve">  </w:t>
      </w:r>
      <w:r>
        <w:rPr>
          <w:rFonts w:hint="eastAsia" w:ascii="宋体" w:hAnsi="宋体"/>
          <w:b/>
          <w:color w:val="auto"/>
          <w:sz w:val="28"/>
          <w:szCs w:val="28"/>
          <w:highlight w:val="none"/>
          <w:u w:val="single"/>
        </w:rPr>
        <w:t xml:space="preserve">   </w:t>
      </w:r>
    </w:p>
    <w:p w14:paraId="75B8972E">
      <w:pPr>
        <w:shd w:val="clear"/>
        <w:snapToGrid w:val="0"/>
        <w:spacing w:line="400" w:lineRule="exact"/>
        <w:ind w:firstLine="0" w:firstLineChars="0"/>
        <w:rPr>
          <w:rFonts w:ascii="宋体" w:hAnsi="宋体"/>
          <w:b/>
          <w:color w:val="auto"/>
          <w:sz w:val="28"/>
          <w:szCs w:val="28"/>
          <w:highlight w:val="none"/>
          <w:u w:val="single"/>
        </w:rPr>
      </w:pPr>
    </w:p>
    <w:p w14:paraId="56E99355">
      <w:pPr>
        <w:shd w:val="clear"/>
        <w:spacing w:line="400" w:lineRule="exact"/>
        <w:ind w:firstLine="0" w:firstLineChars="0"/>
        <w:jc w:val="center"/>
        <w:rPr>
          <w:rFonts w:ascii="宋体" w:hAnsi="宋体"/>
          <w:b/>
          <w:color w:val="auto"/>
          <w:sz w:val="28"/>
          <w:szCs w:val="28"/>
          <w:highlight w:val="none"/>
        </w:rPr>
      </w:pPr>
    </w:p>
    <w:p w14:paraId="52EDDD61">
      <w:pPr>
        <w:shd w:val="clear"/>
        <w:snapToGrid w:val="0"/>
        <w:spacing w:line="400" w:lineRule="exact"/>
        <w:ind w:firstLine="3092" w:firstLineChars="1100"/>
        <w:outlineLvl w:val="0"/>
        <w:rPr>
          <w:rFonts w:ascii="宋体" w:hAnsi="宋体"/>
          <w:b/>
          <w:color w:val="auto"/>
          <w:sz w:val="28"/>
          <w:szCs w:val="28"/>
          <w:highlight w:val="none"/>
        </w:rPr>
      </w:pPr>
      <w:bookmarkStart w:id="1317" w:name="_Toc22173"/>
      <w:bookmarkStart w:id="1318" w:name="_Toc8770"/>
      <w:bookmarkStart w:id="1319" w:name="_Toc8436"/>
      <w:bookmarkStart w:id="1320" w:name="_Toc28563"/>
      <w:bookmarkStart w:id="1321" w:name="_Toc5590"/>
      <w:bookmarkStart w:id="1322" w:name="_Toc19033"/>
      <w:bookmarkStart w:id="1323" w:name="_Toc290"/>
      <w:bookmarkStart w:id="1324" w:name="_Toc14572"/>
      <w:bookmarkStart w:id="1325" w:name="_Toc21687"/>
      <w:bookmarkStart w:id="1326" w:name="_Toc10056"/>
      <w:bookmarkStart w:id="1327" w:name="_Toc20627"/>
      <w:bookmarkStart w:id="1328" w:name="_Toc15058"/>
      <w:bookmarkStart w:id="1329" w:name="_Toc10696"/>
      <w:bookmarkStart w:id="1330" w:name="_Toc22474"/>
      <w:bookmarkStart w:id="1331" w:name="_Toc24375"/>
      <w:bookmarkStart w:id="1332" w:name="_Toc6986"/>
      <w:bookmarkStart w:id="1333" w:name="_Toc8744"/>
      <w:bookmarkStart w:id="1334" w:name="_Toc3656"/>
      <w:bookmarkStart w:id="1335" w:name="_Toc23472"/>
      <w:bookmarkStart w:id="1336" w:name="_Toc5603"/>
      <w:bookmarkStart w:id="1337" w:name="_Toc9271"/>
      <w:bookmarkStart w:id="1338" w:name="_Toc22247"/>
      <w:bookmarkStart w:id="1339" w:name="_Toc31138"/>
      <w:bookmarkStart w:id="1340" w:name="_Toc5966"/>
      <w:bookmarkStart w:id="1341" w:name="_Toc24169"/>
      <w:bookmarkStart w:id="1342" w:name="_Toc4124"/>
      <w:bookmarkStart w:id="1343" w:name="_Toc19800"/>
      <w:bookmarkStart w:id="1344" w:name="_Toc16862"/>
      <w:bookmarkStart w:id="1345" w:name="_Toc2845"/>
      <w:bookmarkStart w:id="1346" w:name="_Toc9801"/>
      <w:bookmarkStart w:id="1347" w:name="_Toc26447"/>
      <w:bookmarkStart w:id="1348" w:name="_Toc15552"/>
      <w:bookmarkStart w:id="1349" w:name="_Toc5528"/>
      <w:bookmarkStart w:id="1350" w:name="_Toc26302"/>
      <w:bookmarkStart w:id="1351" w:name="_Toc19972"/>
      <w:bookmarkStart w:id="1352" w:name="_Toc10805"/>
      <w:bookmarkStart w:id="1353" w:name="_Toc1460"/>
      <w:bookmarkStart w:id="1354" w:name="_Toc16586"/>
      <w:bookmarkStart w:id="1355" w:name="_Toc3654"/>
      <w:bookmarkStart w:id="1356" w:name="_Toc19534"/>
      <w:bookmarkStart w:id="1357" w:name="_Toc22490"/>
      <w:bookmarkStart w:id="1358" w:name="_Toc11315"/>
      <w:bookmarkStart w:id="1359" w:name="_Toc2780"/>
      <w:bookmarkStart w:id="1360" w:name="_Toc32038"/>
      <w:bookmarkStart w:id="1361" w:name="_Toc30283"/>
      <w:r>
        <w:rPr>
          <w:rFonts w:hint="eastAsia" w:ascii="宋体" w:hAnsi="宋体"/>
          <w:b/>
          <w:color w:val="auto"/>
          <w:sz w:val="28"/>
          <w:szCs w:val="28"/>
          <w:highlight w:val="none"/>
        </w:rPr>
        <w:t>日期：    年   月   日</w:t>
      </w:r>
      <w:bookmarkEnd w:id="1239"/>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14:paraId="2C85DD54">
      <w:pPr>
        <w:shd w:val="clear"/>
        <w:spacing w:line="400" w:lineRule="exact"/>
        <w:ind w:firstLine="0" w:firstLineChars="0"/>
        <w:jc w:val="center"/>
        <w:rPr>
          <w:rFonts w:ascii="宋体" w:hAnsi="宋体"/>
          <w:b/>
          <w:color w:val="auto"/>
          <w:sz w:val="28"/>
          <w:szCs w:val="28"/>
          <w:highlight w:val="none"/>
        </w:rPr>
        <w:sectPr>
          <w:headerReference r:id="rId5" w:type="default"/>
          <w:footerReference r:id="rId6" w:type="default"/>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start="1"/>
          <w:cols w:space="720" w:num="1"/>
          <w:docGrid w:type="lines" w:linePitch="312" w:charSpace="0"/>
        </w:sectPr>
      </w:pPr>
    </w:p>
    <w:p w14:paraId="68A74314">
      <w:pPr>
        <w:shd w:val="clear"/>
        <w:ind w:firstLine="0" w:firstLineChars="0"/>
        <w:jc w:val="center"/>
        <w:rPr>
          <w:rFonts w:hint="eastAsia" w:ascii="Times New Roman" w:hAnsi="Times New Roman" w:eastAsia="宋体"/>
          <w:b/>
          <w:bCs/>
          <w:color w:val="auto"/>
          <w:sz w:val="30"/>
          <w:szCs w:val="30"/>
          <w:highlight w:val="none"/>
          <w:lang w:val="en-GB"/>
        </w:rPr>
      </w:pPr>
      <w:bookmarkStart w:id="1362" w:name="_Toc13650"/>
      <w:bookmarkStart w:id="1363" w:name="_Toc23003"/>
      <w:bookmarkStart w:id="1364" w:name="_Toc20801"/>
      <w:bookmarkStart w:id="1365" w:name="_Toc1715"/>
      <w:bookmarkStart w:id="1366" w:name="_Toc17622"/>
      <w:bookmarkStart w:id="1367" w:name="_Toc15554"/>
      <w:bookmarkStart w:id="1368" w:name="_Toc12431"/>
      <w:bookmarkStart w:id="1369" w:name="_Toc26650"/>
      <w:bookmarkStart w:id="1370" w:name="_Toc3046"/>
      <w:bookmarkStart w:id="1371" w:name="_Toc27249"/>
      <w:bookmarkStart w:id="1372" w:name="_Toc16548"/>
      <w:bookmarkStart w:id="1373" w:name="_Toc28989"/>
      <w:bookmarkStart w:id="1374" w:name="_Toc25263"/>
      <w:bookmarkStart w:id="1375" w:name="_Toc716"/>
      <w:bookmarkStart w:id="1376" w:name="_Toc18641"/>
      <w:bookmarkStart w:id="1377" w:name="_Toc21750"/>
      <w:bookmarkStart w:id="1378" w:name="_Toc15879"/>
      <w:bookmarkStart w:id="1379" w:name="_Toc16036"/>
      <w:bookmarkStart w:id="1380" w:name="_Toc31976"/>
      <w:bookmarkStart w:id="1381" w:name="_Toc32420"/>
      <w:bookmarkStart w:id="1382" w:name="_Toc16307"/>
      <w:bookmarkStart w:id="1383" w:name="_Toc26036"/>
      <w:bookmarkStart w:id="1384" w:name="_Toc12364"/>
      <w:bookmarkStart w:id="1385" w:name="_Toc19275"/>
      <w:bookmarkStart w:id="1386" w:name="_Toc19002"/>
      <w:bookmarkStart w:id="1387" w:name="_Toc8266"/>
      <w:bookmarkStart w:id="1388" w:name="_Toc7483"/>
      <w:bookmarkStart w:id="1389" w:name="_Toc25871"/>
      <w:bookmarkStart w:id="1390" w:name="_Toc6538"/>
      <w:bookmarkStart w:id="1391" w:name="_Toc3666"/>
      <w:bookmarkStart w:id="1392" w:name="_Toc10187"/>
      <w:bookmarkStart w:id="1393" w:name="_Toc17361"/>
      <w:bookmarkStart w:id="1394" w:name="_Toc20535"/>
      <w:bookmarkStart w:id="1395" w:name="_Toc27711"/>
      <w:bookmarkStart w:id="1396" w:name="_Toc18896"/>
      <w:bookmarkStart w:id="1397" w:name="_Toc15729"/>
      <w:bookmarkStart w:id="1398" w:name="_Toc20463"/>
      <w:bookmarkStart w:id="1399" w:name="_Toc11932"/>
      <w:bookmarkStart w:id="1400" w:name="_Toc29720"/>
      <w:bookmarkStart w:id="1401" w:name="_Toc101321802"/>
      <w:r>
        <w:rPr>
          <w:rFonts w:hint="eastAsia" w:ascii="Times New Roman" w:hAnsi="Times New Roman" w:eastAsia="宋体"/>
          <w:b/>
          <w:bCs/>
          <w:color w:val="auto"/>
          <w:sz w:val="30"/>
          <w:szCs w:val="30"/>
          <w:highlight w:val="none"/>
          <w:lang w:val="en-US" w:eastAsia="zh-CN"/>
        </w:rPr>
        <w:t>自</w:t>
      </w:r>
      <w:r>
        <w:rPr>
          <w:rFonts w:hint="eastAsia" w:ascii="Times New Roman" w:hAnsi="Times New Roman" w:eastAsia="宋体"/>
          <w:b/>
          <w:bCs/>
          <w:color w:val="auto"/>
          <w:sz w:val="30"/>
          <w:szCs w:val="30"/>
          <w:highlight w:val="none"/>
          <w:lang w:val="en-GB"/>
        </w:rPr>
        <w:t>评分对应表</w:t>
      </w:r>
    </w:p>
    <w:p w14:paraId="34A45035">
      <w:pPr>
        <w:shd w:val="clear"/>
        <w:spacing w:line="580" w:lineRule="exact"/>
        <w:rPr>
          <w:rFonts w:ascii="宋体" w:hAnsi="宋体" w:cs="宋体"/>
          <w:color w:val="auto"/>
          <w:sz w:val="24"/>
          <w:highlight w:val="none"/>
          <w:u w:val="singl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标项：</w:t>
      </w:r>
      <w:r>
        <w:rPr>
          <w:rFonts w:hint="eastAsia" w:ascii="宋体" w:hAnsi="宋体" w:cs="宋体"/>
          <w:color w:val="auto"/>
          <w:sz w:val="24"/>
          <w:highlight w:val="none"/>
          <w:u w:val="single"/>
        </w:rPr>
        <w:t xml:space="preserve">          </w:t>
      </w:r>
    </w:p>
    <w:tbl>
      <w:tblPr>
        <w:tblStyle w:val="40"/>
        <w:tblW w:w="96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977"/>
        <w:gridCol w:w="2336"/>
      </w:tblGrid>
      <w:tr w14:paraId="6631A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69DA5A5F">
            <w:pPr>
              <w:keepNext w:val="0"/>
              <w:keepLines w:val="0"/>
              <w:suppressLineNumbers w:val="0"/>
              <w:shd w:val="clear"/>
              <w:spacing w:before="0" w:beforeAutospacing="0" w:after="0" w:afterAutospacing="0" w:line="580" w:lineRule="exact"/>
              <w:ind w:left="0" w:leftChars="0" w:right="0" w:firstLine="0" w:firstLineChars="0"/>
              <w:jc w:val="center"/>
              <w:rPr>
                <w:rFonts w:hint="default" w:ascii="宋体" w:hAnsi="宋体" w:cs="宋体"/>
                <w:color w:val="auto"/>
                <w:sz w:val="24"/>
                <w:highlight w:val="none"/>
              </w:rPr>
            </w:pPr>
            <w:r>
              <w:rPr>
                <w:rFonts w:hint="eastAsia" w:ascii="宋体" w:hAnsi="宋体" w:cs="宋体"/>
                <w:color w:val="auto"/>
                <w:sz w:val="24"/>
                <w:highlight w:val="none"/>
              </w:rPr>
              <w:t>评分项目</w:t>
            </w:r>
          </w:p>
        </w:tc>
        <w:tc>
          <w:tcPr>
            <w:tcW w:w="3977" w:type="dxa"/>
            <w:tcBorders>
              <w:top w:val="single" w:color="auto" w:sz="4" w:space="0"/>
              <w:left w:val="nil"/>
              <w:bottom w:val="single" w:color="auto" w:sz="4" w:space="0"/>
              <w:right w:val="single" w:color="auto" w:sz="4" w:space="0"/>
            </w:tcBorders>
            <w:vAlign w:val="center"/>
          </w:tcPr>
          <w:p w14:paraId="52992053">
            <w:pPr>
              <w:keepNext w:val="0"/>
              <w:keepLines w:val="0"/>
              <w:suppressLineNumbers w:val="0"/>
              <w:shd w:val="clear"/>
              <w:spacing w:before="0" w:beforeAutospacing="0" w:after="0" w:afterAutospacing="0" w:line="580" w:lineRule="exact"/>
              <w:ind w:left="0" w:leftChars="0" w:right="0" w:firstLine="0" w:firstLineChars="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文件页码</w:t>
            </w:r>
          </w:p>
        </w:tc>
        <w:tc>
          <w:tcPr>
            <w:tcW w:w="2336" w:type="dxa"/>
            <w:tcBorders>
              <w:top w:val="single" w:color="auto" w:sz="4" w:space="0"/>
              <w:left w:val="nil"/>
              <w:bottom w:val="single" w:color="auto" w:sz="4" w:space="0"/>
              <w:right w:val="single" w:color="auto" w:sz="4" w:space="0"/>
            </w:tcBorders>
            <w:vAlign w:val="center"/>
          </w:tcPr>
          <w:p w14:paraId="66926046">
            <w:pPr>
              <w:keepNext w:val="0"/>
              <w:keepLines w:val="0"/>
              <w:suppressLineNumbers w:val="0"/>
              <w:shd w:val="clear"/>
              <w:spacing w:before="0" w:beforeAutospacing="0" w:after="0" w:afterAutospacing="0" w:line="580" w:lineRule="exact"/>
              <w:ind w:left="0" w:leftChars="0" w:right="0"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自评分</w:t>
            </w:r>
          </w:p>
        </w:tc>
      </w:tr>
      <w:tr w14:paraId="53EE8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03" w:type="dxa"/>
            <w:tcBorders>
              <w:top w:val="single" w:color="auto" w:sz="4" w:space="0"/>
              <w:left w:val="single" w:color="auto" w:sz="4" w:space="0"/>
              <w:bottom w:val="single" w:color="auto" w:sz="4" w:space="0"/>
              <w:right w:val="single" w:color="auto" w:sz="4" w:space="0"/>
            </w:tcBorders>
          </w:tcPr>
          <w:p w14:paraId="2AA6DF95">
            <w:pPr>
              <w:keepNext w:val="0"/>
              <w:keepLines w:val="0"/>
              <w:suppressLineNumbers w:val="0"/>
              <w:shd w:val="clear"/>
              <w:spacing w:before="0" w:beforeAutospacing="0" w:after="0" w:afterAutospacing="0" w:line="580" w:lineRule="exact"/>
              <w:ind w:left="0" w:leftChars="0" w:right="0" w:firstLine="0" w:firstLineChars="0"/>
              <w:jc w:val="center"/>
              <w:rPr>
                <w:rFonts w:hint="default" w:ascii="宋体" w:hAnsi="宋体" w:cs="宋体"/>
                <w:color w:val="auto"/>
                <w:sz w:val="24"/>
                <w:highlight w:val="none"/>
              </w:rPr>
            </w:pPr>
          </w:p>
        </w:tc>
        <w:tc>
          <w:tcPr>
            <w:tcW w:w="3977" w:type="dxa"/>
            <w:tcBorders>
              <w:top w:val="single" w:color="auto" w:sz="4" w:space="0"/>
              <w:left w:val="nil"/>
              <w:bottom w:val="single" w:color="auto" w:sz="4" w:space="0"/>
              <w:right w:val="single" w:color="auto" w:sz="4" w:space="0"/>
            </w:tcBorders>
          </w:tcPr>
          <w:p w14:paraId="1042CF9E">
            <w:pPr>
              <w:keepNext w:val="0"/>
              <w:keepLines w:val="0"/>
              <w:suppressLineNumbers w:val="0"/>
              <w:shd w:val="clear"/>
              <w:spacing w:before="0" w:beforeAutospacing="0" w:after="0" w:afterAutospacing="0" w:line="580" w:lineRule="exact"/>
              <w:ind w:left="0" w:right="0"/>
              <w:jc w:val="center"/>
              <w:rPr>
                <w:rFonts w:hint="default" w:ascii="宋体" w:hAnsi="宋体" w:cs="宋体"/>
                <w:color w:val="auto"/>
                <w:sz w:val="24"/>
                <w:highlight w:val="none"/>
              </w:rPr>
            </w:pPr>
          </w:p>
        </w:tc>
        <w:tc>
          <w:tcPr>
            <w:tcW w:w="2336" w:type="dxa"/>
            <w:tcBorders>
              <w:top w:val="single" w:color="auto" w:sz="4" w:space="0"/>
              <w:left w:val="nil"/>
              <w:bottom w:val="single" w:color="auto" w:sz="4" w:space="0"/>
              <w:right w:val="single" w:color="auto" w:sz="4" w:space="0"/>
            </w:tcBorders>
          </w:tcPr>
          <w:p w14:paraId="1CC83C3C">
            <w:pPr>
              <w:keepNext w:val="0"/>
              <w:keepLines w:val="0"/>
              <w:suppressLineNumbers w:val="0"/>
              <w:shd w:val="clear"/>
              <w:spacing w:before="0" w:beforeAutospacing="0" w:after="0" w:afterAutospacing="0" w:line="580" w:lineRule="exact"/>
              <w:ind w:left="0" w:right="0"/>
              <w:jc w:val="center"/>
              <w:rPr>
                <w:rFonts w:hint="default" w:ascii="宋体" w:hAnsi="宋体" w:cs="宋体"/>
                <w:color w:val="auto"/>
                <w:sz w:val="24"/>
                <w:highlight w:val="none"/>
              </w:rPr>
            </w:pPr>
          </w:p>
        </w:tc>
      </w:tr>
      <w:tr w14:paraId="43048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03" w:type="dxa"/>
            <w:tcBorders>
              <w:top w:val="single" w:color="auto" w:sz="4" w:space="0"/>
              <w:left w:val="single" w:color="auto" w:sz="4" w:space="0"/>
              <w:bottom w:val="single" w:color="auto" w:sz="4" w:space="0"/>
              <w:right w:val="single" w:color="auto" w:sz="4" w:space="0"/>
            </w:tcBorders>
          </w:tcPr>
          <w:p w14:paraId="5DCFFCB7">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3977" w:type="dxa"/>
            <w:tcBorders>
              <w:top w:val="single" w:color="auto" w:sz="4" w:space="0"/>
              <w:left w:val="nil"/>
              <w:bottom w:val="single" w:color="auto" w:sz="4" w:space="0"/>
              <w:right w:val="single" w:color="auto" w:sz="4" w:space="0"/>
            </w:tcBorders>
          </w:tcPr>
          <w:p w14:paraId="655E39C2">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2336" w:type="dxa"/>
            <w:tcBorders>
              <w:top w:val="single" w:color="auto" w:sz="4" w:space="0"/>
              <w:left w:val="nil"/>
              <w:bottom w:val="single" w:color="auto" w:sz="4" w:space="0"/>
              <w:right w:val="single" w:color="auto" w:sz="4" w:space="0"/>
            </w:tcBorders>
          </w:tcPr>
          <w:p w14:paraId="676EE00B">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r>
      <w:tr w14:paraId="3A6E5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03" w:type="dxa"/>
            <w:tcBorders>
              <w:top w:val="single" w:color="auto" w:sz="4" w:space="0"/>
              <w:left w:val="single" w:color="auto" w:sz="4" w:space="0"/>
              <w:bottom w:val="single" w:color="auto" w:sz="4" w:space="0"/>
              <w:right w:val="single" w:color="auto" w:sz="4" w:space="0"/>
            </w:tcBorders>
          </w:tcPr>
          <w:p w14:paraId="41621415">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3977" w:type="dxa"/>
            <w:tcBorders>
              <w:top w:val="single" w:color="auto" w:sz="4" w:space="0"/>
              <w:left w:val="nil"/>
              <w:bottom w:val="single" w:color="auto" w:sz="4" w:space="0"/>
              <w:right w:val="single" w:color="auto" w:sz="4" w:space="0"/>
            </w:tcBorders>
          </w:tcPr>
          <w:p w14:paraId="6BA2BE20">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2336" w:type="dxa"/>
            <w:tcBorders>
              <w:top w:val="single" w:color="auto" w:sz="4" w:space="0"/>
              <w:left w:val="nil"/>
              <w:bottom w:val="single" w:color="auto" w:sz="4" w:space="0"/>
              <w:right w:val="single" w:color="auto" w:sz="4" w:space="0"/>
            </w:tcBorders>
          </w:tcPr>
          <w:p w14:paraId="6D7CADCC">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r>
      <w:tr w14:paraId="179B6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03" w:type="dxa"/>
            <w:tcBorders>
              <w:top w:val="single" w:color="auto" w:sz="4" w:space="0"/>
              <w:left w:val="single" w:color="auto" w:sz="4" w:space="0"/>
              <w:bottom w:val="single" w:color="auto" w:sz="4" w:space="0"/>
              <w:right w:val="single" w:color="auto" w:sz="4" w:space="0"/>
            </w:tcBorders>
          </w:tcPr>
          <w:p w14:paraId="03BEACF6">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3977" w:type="dxa"/>
            <w:tcBorders>
              <w:top w:val="single" w:color="auto" w:sz="4" w:space="0"/>
              <w:left w:val="nil"/>
              <w:bottom w:val="single" w:color="auto" w:sz="4" w:space="0"/>
              <w:right w:val="single" w:color="auto" w:sz="4" w:space="0"/>
            </w:tcBorders>
          </w:tcPr>
          <w:p w14:paraId="29507394">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2336" w:type="dxa"/>
            <w:tcBorders>
              <w:top w:val="single" w:color="auto" w:sz="4" w:space="0"/>
              <w:left w:val="nil"/>
              <w:bottom w:val="single" w:color="auto" w:sz="4" w:space="0"/>
              <w:right w:val="single" w:color="auto" w:sz="4" w:space="0"/>
            </w:tcBorders>
          </w:tcPr>
          <w:p w14:paraId="501872A7">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r>
      <w:tr w14:paraId="62117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03" w:type="dxa"/>
            <w:tcBorders>
              <w:top w:val="single" w:color="auto" w:sz="4" w:space="0"/>
              <w:left w:val="single" w:color="auto" w:sz="4" w:space="0"/>
              <w:bottom w:val="single" w:color="auto" w:sz="4" w:space="0"/>
              <w:right w:val="single" w:color="auto" w:sz="4" w:space="0"/>
            </w:tcBorders>
          </w:tcPr>
          <w:p w14:paraId="1C678290">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3977" w:type="dxa"/>
            <w:tcBorders>
              <w:top w:val="single" w:color="auto" w:sz="4" w:space="0"/>
              <w:left w:val="nil"/>
              <w:bottom w:val="single" w:color="auto" w:sz="4" w:space="0"/>
              <w:right w:val="single" w:color="auto" w:sz="4" w:space="0"/>
            </w:tcBorders>
          </w:tcPr>
          <w:p w14:paraId="5A3BE974">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2336" w:type="dxa"/>
            <w:tcBorders>
              <w:top w:val="single" w:color="auto" w:sz="4" w:space="0"/>
              <w:left w:val="nil"/>
              <w:bottom w:val="single" w:color="auto" w:sz="4" w:space="0"/>
              <w:right w:val="single" w:color="auto" w:sz="4" w:space="0"/>
            </w:tcBorders>
          </w:tcPr>
          <w:p w14:paraId="3A1DADF7">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r>
      <w:tr w14:paraId="0AE9E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03" w:type="dxa"/>
            <w:tcBorders>
              <w:top w:val="single" w:color="auto" w:sz="4" w:space="0"/>
              <w:left w:val="single" w:color="auto" w:sz="4" w:space="0"/>
              <w:bottom w:val="single" w:color="auto" w:sz="4" w:space="0"/>
              <w:right w:val="single" w:color="auto" w:sz="4" w:space="0"/>
            </w:tcBorders>
          </w:tcPr>
          <w:p w14:paraId="7FEEEE0D">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3977" w:type="dxa"/>
            <w:tcBorders>
              <w:top w:val="single" w:color="auto" w:sz="4" w:space="0"/>
              <w:left w:val="nil"/>
              <w:bottom w:val="single" w:color="auto" w:sz="4" w:space="0"/>
              <w:right w:val="single" w:color="auto" w:sz="4" w:space="0"/>
            </w:tcBorders>
          </w:tcPr>
          <w:p w14:paraId="28DDFC6A">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2336" w:type="dxa"/>
            <w:tcBorders>
              <w:top w:val="single" w:color="auto" w:sz="4" w:space="0"/>
              <w:left w:val="nil"/>
              <w:bottom w:val="single" w:color="auto" w:sz="4" w:space="0"/>
              <w:right w:val="single" w:color="auto" w:sz="4" w:space="0"/>
            </w:tcBorders>
          </w:tcPr>
          <w:p w14:paraId="4DAAF143">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r>
      <w:tr w14:paraId="77FF8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03" w:type="dxa"/>
            <w:tcBorders>
              <w:top w:val="single" w:color="auto" w:sz="4" w:space="0"/>
              <w:left w:val="single" w:color="auto" w:sz="4" w:space="0"/>
              <w:bottom w:val="single" w:color="auto" w:sz="4" w:space="0"/>
              <w:right w:val="single" w:color="auto" w:sz="4" w:space="0"/>
            </w:tcBorders>
          </w:tcPr>
          <w:p w14:paraId="5498C873">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3977" w:type="dxa"/>
            <w:tcBorders>
              <w:top w:val="single" w:color="auto" w:sz="4" w:space="0"/>
              <w:left w:val="nil"/>
              <w:bottom w:val="single" w:color="auto" w:sz="4" w:space="0"/>
              <w:right w:val="single" w:color="auto" w:sz="4" w:space="0"/>
            </w:tcBorders>
          </w:tcPr>
          <w:p w14:paraId="3AC99B25">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2336" w:type="dxa"/>
            <w:tcBorders>
              <w:top w:val="single" w:color="auto" w:sz="4" w:space="0"/>
              <w:left w:val="nil"/>
              <w:bottom w:val="single" w:color="auto" w:sz="4" w:space="0"/>
              <w:right w:val="single" w:color="auto" w:sz="4" w:space="0"/>
            </w:tcBorders>
          </w:tcPr>
          <w:p w14:paraId="5A2DDB24">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r>
      <w:tr w14:paraId="7A453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03" w:type="dxa"/>
            <w:tcBorders>
              <w:top w:val="single" w:color="auto" w:sz="4" w:space="0"/>
              <w:left w:val="single" w:color="auto" w:sz="4" w:space="0"/>
              <w:bottom w:val="single" w:color="auto" w:sz="4" w:space="0"/>
              <w:right w:val="single" w:color="auto" w:sz="4" w:space="0"/>
            </w:tcBorders>
          </w:tcPr>
          <w:p w14:paraId="5C5D8487">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3977" w:type="dxa"/>
            <w:tcBorders>
              <w:top w:val="single" w:color="auto" w:sz="4" w:space="0"/>
              <w:left w:val="nil"/>
              <w:bottom w:val="single" w:color="auto" w:sz="4" w:space="0"/>
              <w:right w:val="single" w:color="auto" w:sz="4" w:space="0"/>
            </w:tcBorders>
          </w:tcPr>
          <w:p w14:paraId="78C2E064">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2336" w:type="dxa"/>
            <w:tcBorders>
              <w:top w:val="single" w:color="auto" w:sz="4" w:space="0"/>
              <w:left w:val="nil"/>
              <w:bottom w:val="single" w:color="auto" w:sz="4" w:space="0"/>
              <w:right w:val="single" w:color="auto" w:sz="4" w:space="0"/>
            </w:tcBorders>
          </w:tcPr>
          <w:p w14:paraId="17E73B91">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r>
      <w:tr w14:paraId="6ADFC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03" w:type="dxa"/>
            <w:tcBorders>
              <w:top w:val="single" w:color="auto" w:sz="4" w:space="0"/>
              <w:left w:val="single" w:color="auto" w:sz="4" w:space="0"/>
              <w:bottom w:val="single" w:color="auto" w:sz="4" w:space="0"/>
              <w:right w:val="single" w:color="auto" w:sz="4" w:space="0"/>
            </w:tcBorders>
          </w:tcPr>
          <w:p w14:paraId="78F706E7">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3977" w:type="dxa"/>
            <w:tcBorders>
              <w:top w:val="single" w:color="auto" w:sz="4" w:space="0"/>
              <w:left w:val="nil"/>
              <w:bottom w:val="single" w:color="auto" w:sz="4" w:space="0"/>
              <w:right w:val="single" w:color="auto" w:sz="4" w:space="0"/>
            </w:tcBorders>
          </w:tcPr>
          <w:p w14:paraId="3864519B">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c>
          <w:tcPr>
            <w:tcW w:w="2336" w:type="dxa"/>
            <w:tcBorders>
              <w:top w:val="single" w:color="auto" w:sz="4" w:space="0"/>
              <w:left w:val="nil"/>
              <w:bottom w:val="single" w:color="auto" w:sz="4" w:space="0"/>
              <w:right w:val="single" w:color="auto" w:sz="4" w:space="0"/>
            </w:tcBorders>
          </w:tcPr>
          <w:p w14:paraId="310D1DFE">
            <w:pPr>
              <w:keepNext w:val="0"/>
              <w:keepLines w:val="0"/>
              <w:suppressLineNumbers w:val="0"/>
              <w:shd w:val="clear"/>
              <w:spacing w:before="0" w:beforeAutospacing="0" w:after="0" w:afterAutospacing="0" w:line="580" w:lineRule="exact"/>
              <w:ind w:left="0" w:right="0"/>
              <w:rPr>
                <w:rFonts w:hint="default" w:ascii="宋体" w:hAnsi="宋体" w:cs="宋体"/>
                <w:color w:val="auto"/>
                <w:sz w:val="24"/>
                <w:highlight w:val="none"/>
              </w:rPr>
            </w:pPr>
          </w:p>
        </w:tc>
      </w:tr>
    </w:tbl>
    <w:p w14:paraId="27335D89">
      <w:pPr>
        <w:shd w:val="clear"/>
        <w:snapToGrid w:val="0"/>
        <w:spacing w:before="120" w:beforeLines="50" w:after="50" w:line="360" w:lineRule="auto"/>
        <w:rPr>
          <w:rFonts w:ascii="宋体" w:hAnsi="宋体" w:cs="宋体"/>
          <w:color w:val="auto"/>
          <w:sz w:val="24"/>
          <w:highlight w:val="none"/>
        </w:rPr>
      </w:pPr>
    </w:p>
    <w:p w14:paraId="73109DB1">
      <w:pPr>
        <w:shd w:val="clear"/>
        <w:snapToGrid w:val="0"/>
        <w:spacing w:before="120" w:beforeLines="50" w:after="50" w:line="360" w:lineRule="auto"/>
        <w:rPr>
          <w:rFonts w:ascii="宋体" w:hAnsi="宋体" w:cs="宋体"/>
          <w:color w:val="auto"/>
          <w:sz w:val="24"/>
          <w:highlight w:val="none"/>
        </w:rPr>
      </w:pPr>
    </w:p>
    <w:p w14:paraId="083C2BEB">
      <w:pPr>
        <w:shd w:val="clear"/>
        <w:snapToGrid w:val="0"/>
        <w:spacing w:line="480" w:lineRule="exact"/>
        <w:ind w:firstLine="4560" w:firstLineChars="1900"/>
        <w:rPr>
          <w:rFonts w:ascii="宋体" w:hAnsi="宋体"/>
          <w:color w:val="auto"/>
          <w:highlight w:val="none"/>
          <w:lang w:val="zh-CN"/>
        </w:rPr>
      </w:pPr>
      <w:r>
        <w:rPr>
          <w:rFonts w:hint="eastAsia" w:ascii="宋体" w:hAnsi="宋体"/>
          <w:color w:val="auto"/>
          <w:highlight w:val="none"/>
          <w:lang w:val="zh-CN"/>
        </w:rPr>
        <w:t>供应商名称（盖章）：</w:t>
      </w:r>
    </w:p>
    <w:p w14:paraId="3C7620BF">
      <w:pPr>
        <w:shd w:val="clear"/>
        <w:snapToGrid w:val="0"/>
        <w:spacing w:line="480" w:lineRule="exact"/>
        <w:ind w:firstLine="4560" w:firstLineChars="1900"/>
        <w:rPr>
          <w:rFonts w:ascii="宋体" w:hAnsi="宋体"/>
          <w:color w:val="auto"/>
          <w:highlight w:val="none"/>
        </w:rPr>
      </w:pPr>
      <w:r>
        <w:rPr>
          <w:rFonts w:hint="eastAsia" w:ascii="宋体" w:hAnsi="宋体"/>
          <w:color w:val="auto"/>
          <w:highlight w:val="none"/>
          <w:lang w:val="zh-CN"/>
        </w:rPr>
        <w:t>法定代表人或授权委托人（签字或盖章）：</w:t>
      </w:r>
    </w:p>
    <w:p w14:paraId="7FF944B4">
      <w:pPr>
        <w:shd w:val="clear"/>
        <w:snapToGrid w:val="0"/>
        <w:spacing w:line="480" w:lineRule="exact"/>
        <w:ind w:firstLine="4560" w:firstLineChars="1900"/>
        <w:rPr>
          <w:rFonts w:ascii="宋体" w:hAnsi="宋体"/>
          <w:color w:val="auto"/>
          <w:highlight w:val="none"/>
          <w:lang w:val="zh-CN"/>
        </w:rPr>
      </w:pPr>
      <w:r>
        <w:rPr>
          <w:rFonts w:hint="eastAsia" w:ascii="宋体" w:hAnsi="宋体"/>
          <w:color w:val="auto"/>
          <w:highlight w:val="none"/>
          <w:lang w:val="zh-CN"/>
        </w:rPr>
        <w:t>日期：     年   月   日</w:t>
      </w:r>
    </w:p>
    <w:p w14:paraId="257114DC">
      <w:pPr>
        <w:shd w:val="clear"/>
        <w:ind w:firstLine="0" w:firstLineChars="0"/>
        <w:jc w:val="left"/>
        <w:outlineLvl w:val="9"/>
        <w:rPr>
          <w:rFonts w:hint="eastAsia" w:ascii="宋体" w:hAnsi="宋体" w:cs="宋体"/>
          <w:b/>
          <w:bCs/>
          <w:color w:val="auto"/>
          <w:highlight w:val="none"/>
        </w:rPr>
      </w:pPr>
    </w:p>
    <w:p w14:paraId="71E171D9">
      <w:pPr>
        <w:shd w:val="clear"/>
        <w:ind w:firstLine="0" w:firstLineChars="0"/>
        <w:jc w:val="left"/>
        <w:outlineLvl w:val="9"/>
        <w:rPr>
          <w:rFonts w:hint="eastAsia" w:ascii="宋体" w:hAnsi="宋体" w:cs="宋体"/>
          <w:b/>
          <w:bCs/>
          <w:color w:val="auto"/>
          <w:highlight w:val="none"/>
        </w:rPr>
      </w:pPr>
    </w:p>
    <w:p w14:paraId="65EBA709">
      <w:pPr>
        <w:shd w:val="clear"/>
        <w:ind w:firstLine="0" w:firstLineChars="0"/>
        <w:jc w:val="left"/>
        <w:outlineLvl w:val="9"/>
        <w:rPr>
          <w:rFonts w:hint="eastAsia" w:ascii="宋体" w:hAnsi="宋体" w:cs="宋体"/>
          <w:b/>
          <w:bCs/>
          <w:color w:val="auto"/>
          <w:highlight w:val="none"/>
        </w:rPr>
      </w:pPr>
    </w:p>
    <w:p w14:paraId="32215690">
      <w:pPr>
        <w:shd w:val="clear"/>
        <w:ind w:firstLine="0" w:firstLineChars="0"/>
        <w:jc w:val="left"/>
        <w:outlineLvl w:val="9"/>
        <w:rPr>
          <w:rFonts w:hint="eastAsia" w:ascii="宋体" w:hAnsi="宋体" w:cs="宋体"/>
          <w:b/>
          <w:bCs/>
          <w:color w:val="auto"/>
          <w:highlight w:val="none"/>
        </w:rPr>
      </w:pPr>
    </w:p>
    <w:p w14:paraId="1BC879BC">
      <w:pPr>
        <w:shd w:val="clear"/>
        <w:ind w:firstLine="0" w:firstLineChars="0"/>
        <w:jc w:val="left"/>
        <w:outlineLvl w:val="1"/>
        <w:rPr>
          <w:rFonts w:hint="eastAsia" w:ascii="宋体" w:hAnsi="宋体" w:cs="宋体"/>
          <w:b/>
          <w:bCs/>
          <w:color w:val="auto"/>
          <w:highlight w:val="none"/>
        </w:rPr>
      </w:pPr>
      <w:bookmarkStart w:id="1402" w:name="_Toc19951"/>
      <w:bookmarkStart w:id="1403" w:name="_Toc31813"/>
    </w:p>
    <w:p w14:paraId="28202876">
      <w:pPr>
        <w:shd w:val="clear"/>
        <w:ind w:firstLine="0" w:firstLineChars="0"/>
        <w:jc w:val="left"/>
        <w:outlineLvl w:val="1"/>
        <w:rPr>
          <w:rFonts w:hint="eastAsia" w:ascii="宋体" w:hAnsi="宋体" w:cs="宋体"/>
          <w:b/>
          <w:bCs/>
          <w:color w:val="auto"/>
          <w:highlight w:val="none"/>
        </w:rPr>
      </w:pPr>
    </w:p>
    <w:p w14:paraId="00F5F29C">
      <w:pPr>
        <w:shd w:val="clear"/>
        <w:ind w:firstLine="0" w:firstLineChars="0"/>
        <w:jc w:val="left"/>
        <w:outlineLvl w:val="1"/>
        <w:rPr>
          <w:rFonts w:ascii="宋体" w:hAnsi="宋体" w:cs="宋体"/>
          <w:b/>
          <w:bCs/>
          <w:color w:val="auto"/>
          <w:highlight w:val="none"/>
        </w:rPr>
      </w:pPr>
      <w:r>
        <w:rPr>
          <w:rFonts w:hint="eastAsia" w:ascii="宋体" w:hAnsi="宋体" w:cs="宋体"/>
          <w:b/>
          <w:bCs/>
          <w:color w:val="auto"/>
          <w:highlight w:val="none"/>
        </w:rPr>
        <w:t>附件</w:t>
      </w:r>
      <w:r>
        <w:rPr>
          <w:rFonts w:ascii="宋体" w:hAnsi="宋体" w:cs="宋体"/>
          <w:b/>
          <w:bCs/>
          <w:color w:val="auto"/>
          <w:highlight w:val="none"/>
        </w:rPr>
        <w:t>1</w:t>
      </w:r>
      <w:bookmarkEnd w:id="1362"/>
      <w:bookmarkEnd w:id="1363"/>
      <w:bookmarkEnd w:id="1364"/>
      <w:bookmarkEnd w:id="1402"/>
      <w:bookmarkEnd w:id="1403"/>
    </w:p>
    <w:p w14:paraId="650A95E1">
      <w:pPr>
        <w:shd w:val="clear"/>
        <w:adjustRightInd/>
        <w:ind w:firstLine="0" w:firstLineChars="0"/>
        <w:jc w:val="center"/>
        <w:textAlignment w:val="auto"/>
        <w:outlineLvl w:val="1"/>
        <w:rPr>
          <w:rFonts w:hint="eastAsia" w:ascii="宋体" w:hAnsi="宋体" w:eastAsia="宋体" w:cs="宋体"/>
          <w:b/>
          <w:color w:val="auto"/>
          <w:sz w:val="32"/>
          <w:szCs w:val="32"/>
          <w:highlight w:val="none"/>
        </w:rPr>
      </w:pPr>
      <w:bookmarkStart w:id="1404" w:name="_Toc2674"/>
      <w:r>
        <w:rPr>
          <w:rFonts w:hint="eastAsia" w:ascii="宋体" w:hAnsi="宋体" w:eastAsia="宋体" w:cs="宋体"/>
          <w:b/>
          <w:color w:val="auto"/>
          <w:sz w:val="32"/>
          <w:szCs w:val="32"/>
          <w:highlight w:val="none"/>
        </w:rPr>
        <w:t>供应商基本情况表</w:t>
      </w:r>
      <w:bookmarkEnd w:id="1404"/>
    </w:p>
    <w:tbl>
      <w:tblPr>
        <w:tblStyle w:val="40"/>
        <w:tblpPr w:leftFromText="180" w:rightFromText="180" w:vertAnchor="text" w:horzAnchor="page" w:tblpXSpec="center" w:tblpY="504"/>
        <w:tblOverlap w:val="never"/>
        <w:tblW w:w="9735"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708"/>
        <w:gridCol w:w="1735"/>
        <w:gridCol w:w="3135"/>
      </w:tblGrid>
      <w:tr w14:paraId="184C87D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35" w:type="dxa"/>
            <w:gridSpan w:val="4"/>
            <w:tcBorders>
              <w:top w:val="thinThickSmallGap" w:color="auto" w:sz="12" w:space="0"/>
            </w:tcBorders>
            <w:noWrap/>
            <w:vAlign w:val="center"/>
          </w:tcPr>
          <w:p w14:paraId="2A7985BD">
            <w:pPr>
              <w:keepNext w:val="0"/>
              <w:keepLines w:val="0"/>
              <w:suppressLineNumbers w:val="0"/>
              <w:shd w:val="clear"/>
              <w:snapToGrid w:val="0"/>
              <w:spacing w:before="93" w:beforeAutospacing="0" w:after="93" w:afterAutospacing="0" w:line="400" w:lineRule="exact"/>
              <w:ind w:left="0" w:right="0" w:firstLine="0" w:firstLineChars="0"/>
              <w:jc w:val="center"/>
              <w:rPr>
                <w:rFonts w:hint="default" w:asci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信息</w:t>
            </w:r>
          </w:p>
        </w:tc>
      </w:tr>
      <w:tr w14:paraId="629A9D5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47F12F6B">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企业名称</w:t>
            </w:r>
          </w:p>
        </w:tc>
        <w:tc>
          <w:tcPr>
            <w:tcW w:w="7578" w:type="dxa"/>
            <w:gridSpan w:val="3"/>
            <w:noWrap/>
            <w:vAlign w:val="center"/>
          </w:tcPr>
          <w:p w14:paraId="79401565">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r>
      <w:tr w14:paraId="797CAF7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0BD2F17F">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性质</w:t>
            </w:r>
          </w:p>
        </w:tc>
        <w:tc>
          <w:tcPr>
            <w:tcW w:w="7578" w:type="dxa"/>
            <w:gridSpan w:val="3"/>
            <w:noWrap/>
            <w:vAlign w:val="center"/>
          </w:tcPr>
          <w:p w14:paraId="56AF5A11">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r>
              <w:rPr>
                <w:rFonts w:hint="eastAsia" w:ascii="宋体" w:hAnsi="宋体" w:cs="宋体"/>
                <w:color w:val="auto"/>
                <w:highlight w:val="none"/>
              </w:rPr>
              <w:t>单位□</w:t>
            </w:r>
            <w:r>
              <w:rPr>
                <w:rFonts w:hint="eastAsia" w:ascii="宋体" w:hAnsi="宋体" w:cs="宋体"/>
                <w:color w:val="auto"/>
                <w:highlight w:val="none"/>
                <w:lang w:val="en-US" w:eastAsia="zh-CN"/>
              </w:rPr>
              <w:t xml:space="preserve">                                </w:t>
            </w:r>
            <w:r>
              <w:rPr>
                <w:rFonts w:hint="eastAsia" w:ascii="宋体" w:hAnsi="宋体" w:cs="宋体"/>
                <w:color w:val="auto"/>
                <w:highlight w:val="none"/>
              </w:rPr>
              <w:t>个人□</w:t>
            </w:r>
          </w:p>
        </w:tc>
      </w:tr>
      <w:tr w14:paraId="18708C8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0C6D4579">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统一社会信用代码</w:t>
            </w:r>
          </w:p>
        </w:tc>
        <w:tc>
          <w:tcPr>
            <w:tcW w:w="2708" w:type="dxa"/>
            <w:noWrap/>
            <w:vAlign w:val="center"/>
          </w:tcPr>
          <w:p w14:paraId="733B2CEF">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c>
          <w:tcPr>
            <w:tcW w:w="1735" w:type="dxa"/>
            <w:noWrap/>
            <w:vAlign w:val="center"/>
          </w:tcPr>
          <w:p w14:paraId="2623B1E9">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r>
              <w:rPr>
                <w:rFonts w:hint="eastAsia" w:ascii="宋体" w:hAnsi="宋体" w:cs="宋体"/>
                <w:color w:val="auto"/>
                <w:highlight w:val="none"/>
              </w:rPr>
              <w:t>注册资金</w:t>
            </w:r>
          </w:p>
        </w:tc>
        <w:tc>
          <w:tcPr>
            <w:tcW w:w="3135" w:type="dxa"/>
            <w:noWrap/>
            <w:vAlign w:val="center"/>
          </w:tcPr>
          <w:p w14:paraId="7E954D6C">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r>
      <w:tr w14:paraId="4BBE9D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75B093A1">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法定代表人</w:t>
            </w:r>
          </w:p>
        </w:tc>
        <w:tc>
          <w:tcPr>
            <w:tcW w:w="2708" w:type="dxa"/>
            <w:noWrap/>
            <w:vAlign w:val="center"/>
          </w:tcPr>
          <w:p w14:paraId="1384BFEE">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c>
          <w:tcPr>
            <w:tcW w:w="1735" w:type="dxa"/>
            <w:noWrap/>
            <w:vAlign w:val="center"/>
          </w:tcPr>
          <w:p w14:paraId="480CDADD">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r>
              <w:rPr>
                <w:rFonts w:hint="eastAsia" w:ascii="宋体" w:hAnsi="宋体" w:cs="宋体"/>
                <w:color w:val="auto"/>
                <w:highlight w:val="none"/>
              </w:rPr>
              <w:t>身份证号码</w:t>
            </w:r>
          </w:p>
        </w:tc>
        <w:tc>
          <w:tcPr>
            <w:tcW w:w="3135" w:type="dxa"/>
            <w:noWrap/>
            <w:vAlign w:val="center"/>
          </w:tcPr>
          <w:p w14:paraId="10E883A5">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r>
      <w:tr w14:paraId="055828E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05F43C69">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通信地址</w:t>
            </w:r>
          </w:p>
        </w:tc>
        <w:tc>
          <w:tcPr>
            <w:tcW w:w="2708" w:type="dxa"/>
            <w:noWrap/>
            <w:vAlign w:val="center"/>
          </w:tcPr>
          <w:p w14:paraId="43CDBEEC">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c>
          <w:tcPr>
            <w:tcW w:w="1735" w:type="dxa"/>
            <w:noWrap/>
            <w:vAlign w:val="center"/>
          </w:tcPr>
          <w:p w14:paraId="166FE721">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r>
              <w:rPr>
                <w:rFonts w:hint="eastAsia" w:ascii="宋体" w:hAnsi="宋体" w:cs="宋体"/>
                <w:color w:val="auto"/>
                <w:highlight w:val="none"/>
              </w:rPr>
              <w:t>邮政编码</w:t>
            </w:r>
          </w:p>
        </w:tc>
        <w:tc>
          <w:tcPr>
            <w:tcW w:w="3135" w:type="dxa"/>
            <w:noWrap/>
            <w:vAlign w:val="center"/>
          </w:tcPr>
          <w:p w14:paraId="54C64EBB">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r>
      <w:tr w14:paraId="44DCD4F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58D5B71B">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公司电话</w:t>
            </w:r>
          </w:p>
        </w:tc>
        <w:tc>
          <w:tcPr>
            <w:tcW w:w="2708" w:type="dxa"/>
            <w:noWrap/>
            <w:vAlign w:val="center"/>
          </w:tcPr>
          <w:p w14:paraId="7EF6796A">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c>
          <w:tcPr>
            <w:tcW w:w="1735" w:type="dxa"/>
            <w:noWrap/>
            <w:vAlign w:val="center"/>
          </w:tcPr>
          <w:p w14:paraId="7D408DF4">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r>
              <w:rPr>
                <w:rFonts w:hint="eastAsia" w:ascii="宋体" w:hAnsi="宋体" w:cs="宋体"/>
                <w:color w:val="auto"/>
                <w:highlight w:val="none"/>
              </w:rPr>
              <w:t>传真</w:t>
            </w:r>
          </w:p>
        </w:tc>
        <w:tc>
          <w:tcPr>
            <w:tcW w:w="3135" w:type="dxa"/>
            <w:noWrap/>
            <w:vAlign w:val="center"/>
          </w:tcPr>
          <w:p w14:paraId="3CDB0C11">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r>
      <w:tr w14:paraId="28C5FDA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27D5FE54">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公司网址</w:t>
            </w:r>
          </w:p>
        </w:tc>
        <w:tc>
          <w:tcPr>
            <w:tcW w:w="2708" w:type="dxa"/>
            <w:noWrap/>
            <w:vAlign w:val="center"/>
          </w:tcPr>
          <w:p w14:paraId="34DF7E9B">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c>
          <w:tcPr>
            <w:tcW w:w="1735" w:type="dxa"/>
            <w:noWrap/>
            <w:vAlign w:val="center"/>
          </w:tcPr>
          <w:p w14:paraId="79FB2150">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r>
              <w:rPr>
                <w:rFonts w:hint="eastAsia" w:ascii="宋体" w:hAnsi="宋体" w:cs="宋体"/>
                <w:color w:val="auto"/>
                <w:highlight w:val="none"/>
              </w:rPr>
              <w:t>电子邮箱</w:t>
            </w:r>
          </w:p>
        </w:tc>
        <w:tc>
          <w:tcPr>
            <w:tcW w:w="3135" w:type="dxa"/>
            <w:noWrap/>
            <w:vAlign w:val="center"/>
          </w:tcPr>
          <w:p w14:paraId="3645F70D">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r>
      <w:tr w14:paraId="4B28F94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4520020A">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开户银行及账号</w:t>
            </w:r>
          </w:p>
        </w:tc>
        <w:tc>
          <w:tcPr>
            <w:tcW w:w="7578" w:type="dxa"/>
            <w:gridSpan w:val="3"/>
            <w:noWrap/>
            <w:vAlign w:val="center"/>
          </w:tcPr>
          <w:p w14:paraId="070F8CF9">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r>
      <w:tr w14:paraId="2994C02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678DB110">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企业资质</w:t>
            </w:r>
          </w:p>
        </w:tc>
        <w:tc>
          <w:tcPr>
            <w:tcW w:w="7578" w:type="dxa"/>
            <w:gridSpan w:val="3"/>
            <w:noWrap/>
            <w:vAlign w:val="center"/>
          </w:tcPr>
          <w:p w14:paraId="4A79B31D">
            <w:pPr>
              <w:keepNext w:val="0"/>
              <w:keepLines w:val="0"/>
              <w:suppressLineNumbers w:val="0"/>
              <w:shd w:val="clea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before="156" w:beforeAutospacing="0" w:after="156" w:afterAutospacing="0" w:line="400" w:lineRule="exact"/>
              <w:ind w:left="0" w:right="0" w:firstLine="0" w:firstLineChars="0"/>
              <w:jc w:val="left"/>
              <w:rPr>
                <w:rFonts w:hint="default" w:ascii="宋体" w:cs="宋体"/>
                <w:b/>
                <w:color w:val="auto"/>
                <w:highlight w:val="none"/>
              </w:rPr>
            </w:pPr>
          </w:p>
        </w:tc>
      </w:tr>
      <w:tr w14:paraId="21CE5CC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57" w:type="dxa"/>
            <w:noWrap/>
            <w:vAlign w:val="center"/>
          </w:tcPr>
          <w:p w14:paraId="563B3011">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权威认证</w:t>
            </w:r>
          </w:p>
        </w:tc>
        <w:tc>
          <w:tcPr>
            <w:tcW w:w="7578" w:type="dxa"/>
            <w:gridSpan w:val="3"/>
            <w:noWrap/>
            <w:vAlign w:val="center"/>
          </w:tcPr>
          <w:p w14:paraId="5A42F2B6">
            <w:pPr>
              <w:keepNext w:val="0"/>
              <w:keepLines w:val="0"/>
              <w:suppressLineNumbers w:val="0"/>
              <w:shd w:val="clear"/>
              <w:snapToGrid w:val="0"/>
              <w:spacing w:before="156" w:beforeAutospacing="0" w:after="156" w:afterAutospacing="0" w:line="400" w:lineRule="exact"/>
              <w:ind w:left="0" w:right="0" w:firstLine="0" w:firstLineChars="0"/>
              <w:rPr>
                <w:rFonts w:hint="default" w:ascii="宋体" w:cs="宋体"/>
                <w:color w:val="auto"/>
                <w:highlight w:val="none"/>
              </w:rPr>
            </w:pPr>
          </w:p>
        </w:tc>
      </w:tr>
      <w:tr w14:paraId="1B56562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783D9250">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企业获奖（如有）</w:t>
            </w:r>
          </w:p>
        </w:tc>
        <w:tc>
          <w:tcPr>
            <w:tcW w:w="7578" w:type="dxa"/>
            <w:gridSpan w:val="3"/>
            <w:noWrap/>
            <w:vAlign w:val="center"/>
          </w:tcPr>
          <w:p w14:paraId="5FB47372">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r>
      <w:tr w14:paraId="39EF6B6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157" w:type="dxa"/>
            <w:noWrap/>
            <w:vAlign w:val="center"/>
          </w:tcPr>
          <w:p w14:paraId="7BC7E1F8">
            <w:pPr>
              <w:keepNext w:val="0"/>
              <w:keepLines w:val="0"/>
              <w:suppressLineNumbers w:val="0"/>
              <w:shd w:val="clear"/>
              <w:snapToGrid w:val="0"/>
              <w:spacing w:before="93" w:beforeAutospacing="0" w:after="93" w:afterAutospacing="0" w:line="400" w:lineRule="exact"/>
              <w:ind w:left="0" w:right="0" w:firstLine="0" w:firstLineChars="0"/>
              <w:jc w:val="left"/>
              <w:rPr>
                <w:rFonts w:hint="default" w:ascii="宋体" w:cs="宋体"/>
                <w:color w:val="auto"/>
                <w:highlight w:val="none"/>
              </w:rPr>
            </w:pPr>
            <w:r>
              <w:rPr>
                <w:rFonts w:hint="eastAsia" w:ascii="宋体" w:hAnsi="宋体" w:cs="宋体"/>
                <w:color w:val="auto"/>
                <w:highlight w:val="none"/>
              </w:rPr>
              <w:t>备注</w:t>
            </w:r>
          </w:p>
        </w:tc>
        <w:tc>
          <w:tcPr>
            <w:tcW w:w="7578" w:type="dxa"/>
            <w:gridSpan w:val="3"/>
            <w:noWrap/>
            <w:vAlign w:val="center"/>
          </w:tcPr>
          <w:p w14:paraId="7BA731BC">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r>
      <w:tr w14:paraId="33E20F6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35" w:type="dxa"/>
            <w:gridSpan w:val="4"/>
            <w:noWrap/>
            <w:vAlign w:val="center"/>
          </w:tcPr>
          <w:p w14:paraId="45555BE3">
            <w:pPr>
              <w:keepNext w:val="0"/>
              <w:keepLines w:val="0"/>
              <w:suppressLineNumbers w:val="0"/>
              <w:shd w:val="clear"/>
              <w:snapToGrid w:val="0"/>
              <w:spacing w:before="93" w:beforeAutospacing="0" w:after="93" w:afterAutospacing="0" w:line="400" w:lineRule="exact"/>
              <w:ind w:left="0" w:right="0" w:firstLine="0" w:firstLineChars="0"/>
              <w:jc w:val="center"/>
              <w:rPr>
                <w:rFonts w:hint="default" w:asci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联系人信息</w:t>
            </w:r>
          </w:p>
        </w:tc>
      </w:tr>
      <w:tr w14:paraId="7A1FE65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50892A93">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r>
              <w:rPr>
                <w:rFonts w:hint="eastAsia" w:ascii="宋体" w:hAnsi="宋体" w:cs="宋体"/>
                <w:color w:val="auto"/>
                <w:highlight w:val="none"/>
              </w:rPr>
              <w:t>姓名</w:t>
            </w:r>
          </w:p>
        </w:tc>
        <w:tc>
          <w:tcPr>
            <w:tcW w:w="2708" w:type="dxa"/>
            <w:noWrap/>
            <w:vAlign w:val="center"/>
          </w:tcPr>
          <w:p w14:paraId="2A3740F6">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c>
          <w:tcPr>
            <w:tcW w:w="1735" w:type="dxa"/>
            <w:noWrap/>
            <w:vAlign w:val="center"/>
          </w:tcPr>
          <w:p w14:paraId="2B5D08F7">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r>
              <w:rPr>
                <w:rFonts w:hint="eastAsia" w:ascii="宋体" w:hAnsi="宋体" w:cs="宋体"/>
                <w:color w:val="auto"/>
                <w:highlight w:val="none"/>
              </w:rPr>
              <w:t>手机</w:t>
            </w:r>
          </w:p>
        </w:tc>
        <w:tc>
          <w:tcPr>
            <w:tcW w:w="3135" w:type="dxa"/>
            <w:noWrap/>
            <w:vAlign w:val="center"/>
          </w:tcPr>
          <w:p w14:paraId="0A8E33F8">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r>
      <w:tr w14:paraId="241CB84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47D3DC26">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r>
              <w:rPr>
                <w:rFonts w:hint="eastAsia" w:ascii="宋体" w:hAnsi="宋体" w:cs="宋体"/>
                <w:color w:val="auto"/>
                <w:highlight w:val="none"/>
              </w:rPr>
              <w:t>固定电话</w:t>
            </w:r>
          </w:p>
        </w:tc>
        <w:tc>
          <w:tcPr>
            <w:tcW w:w="2708" w:type="dxa"/>
            <w:noWrap/>
            <w:vAlign w:val="center"/>
          </w:tcPr>
          <w:p w14:paraId="3386FE39">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c>
          <w:tcPr>
            <w:tcW w:w="1735" w:type="dxa"/>
            <w:noWrap/>
            <w:vAlign w:val="center"/>
          </w:tcPr>
          <w:p w14:paraId="426EF20B">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r>
              <w:rPr>
                <w:rFonts w:hint="eastAsia" w:ascii="宋体" w:hAnsi="宋体" w:cs="宋体"/>
                <w:color w:val="auto"/>
                <w:highlight w:val="none"/>
              </w:rPr>
              <w:t>电子邮箱</w:t>
            </w:r>
          </w:p>
        </w:tc>
        <w:tc>
          <w:tcPr>
            <w:tcW w:w="3135" w:type="dxa"/>
            <w:noWrap/>
            <w:vAlign w:val="center"/>
          </w:tcPr>
          <w:p w14:paraId="41E7C92E">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p>
        </w:tc>
      </w:tr>
      <w:tr w14:paraId="72F53C7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35" w:type="dxa"/>
            <w:gridSpan w:val="4"/>
            <w:tcBorders>
              <w:bottom w:val="thinThickSmallGap" w:color="auto" w:sz="12" w:space="0"/>
            </w:tcBorders>
            <w:noWrap/>
            <w:vAlign w:val="center"/>
          </w:tcPr>
          <w:p w14:paraId="58D12231">
            <w:pPr>
              <w:keepNext w:val="0"/>
              <w:keepLines w:val="0"/>
              <w:suppressLineNumbers w:val="0"/>
              <w:shd w:val="clear"/>
              <w:snapToGrid w:val="0"/>
              <w:spacing w:before="93" w:beforeAutospacing="0" w:after="93" w:afterAutospacing="0" w:line="400" w:lineRule="exact"/>
              <w:ind w:left="0" w:right="0" w:firstLine="0" w:firstLineChars="0"/>
              <w:rPr>
                <w:rFonts w:hint="default" w:ascii="宋体" w:cs="宋体"/>
                <w:color w:val="auto"/>
                <w:highlight w:val="none"/>
              </w:rPr>
            </w:pPr>
            <w:r>
              <w:rPr>
                <w:rFonts w:hint="eastAsia" w:ascii="宋体" w:hAnsi="宋体" w:cs="宋体"/>
                <w:color w:val="auto"/>
                <w:highlight w:val="none"/>
              </w:rPr>
              <w:t>企业简介：（可另附页或企业对外宣传手册）</w:t>
            </w:r>
          </w:p>
        </w:tc>
      </w:tr>
    </w:tbl>
    <w:p w14:paraId="4B3BBBB3">
      <w:pPr>
        <w:shd w:val="clear"/>
        <w:ind w:firstLine="0" w:firstLineChars="0"/>
        <w:jc w:val="center"/>
        <w:rPr>
          <w:rFonts w:hint="eastAsia"/>
          <w:b/>
          <w:bCs/>
          <w:color w:val="auto"/>
          <w:sz w:val="30"/>
          <w:szCs w:val="30"/>
          <w:highlight w:val="none"/>
        </w:rPr>
      </w:pPr>
    </w:p>
    <w:p w14:paraId="7CC2A62F">
      <w:pPr>
        <w:shd w:val="clear"/>
        <w:snapToGrid w:val="0"/>
        <w:spacing w:line="480" w:lineRule="exact"/>
        <w:ind w:firstLine="3840" w:firstLineChars="1600"/>
        <w:rPr>
          <w:rFonts w:ascii="宋体" w:hAnsi="宋体"/>
          <w:color w:val="auto"/>
          <w:highlight w:val="none"/>
          <w:lang w:val="zh-CN"/>
        </w:rPr>
      </w:pPr>
      <w:bookmarkStart w:id="1405" w:name="_Toc28874"/>
      <w:bookmarkStart w:id="1406" w:name="_Toc2533"/>
      <w:bookmarkStart w:id="1407" w:name="_Toc54"/>
      <w:bookmarkStart w:id="1408" w:name="_Toc14816"/>
      <w:bookmarkStart w:id="1409" w:name="_Toc675"/>
      <w:bookmarkStart w:id="1410" w:name="_Toc6689"/>
      <w:bookmarkStart w:id="1411" w:name="_Toc11280"/>
      <w:bookmarkStart w:id="1412" w:name="_Toc11824"/>
      <w:bookmarkStart w:id="1413" w:name="_Toc13190"/>
      <w:bookmarkStart w:id="1414" w:name="_Toc18350"/>
      <w:bookmarkStart w:id="1415" w:name="_Toc11875"/>
      <w:bookmarkStart w:id="1416" w:name="_Toc2572"/>
      <w:bookmarkStart w:id="1417" w:name="_Toc24391"/>
      <w:bookmarkStart w:id="1418" w:name="_Toc24787"/>
      <w:bookmarkStart w:id="1419" w:name="_Toc28692"/>
      <w:bookmarkStart w:id="1420" w:name="_Toc7082"/>
      <w:bookmarkStart w:id="1421" w:name="_Toc32311"/>
      <w:bookmarkStart w:id="1422" w:name="_Toc27191"/>
      <w:r>
        <w:rPr>
          <w:rFonts w:hint="eastAsia" w:ascii="宋体" w:hAnsi="宋体"/>
          <w:color w:val="auto"/>
          <w:highlight w:val="none"/>
          <w:lang w:val="zh-CN"/>
        </w:rPr>
        <w:t>供应商名称（盖章）：</w:t>
      </w:r>
    </w:p>
    <w:p w14:paraId="5B94FF8D">
      <w:pPr>
        <w:shd w:val="clear"/>
        <w:snapToGrid w:val="0"/>
        <w:spacing w:line="480" w:lineRule="exact"/>
        <w:ind w:firstLine="3840" w:firstLineChars="1600"/>
        <w:rPr>
          <w:rFonts w:ascii="宋体" w:hAnsi="宋体"/>
          <w:color w:val="auto"/>
          <w:highlight w:val="none"/>
        </w:rPr>
      </w:pPr>
      <w:r>
        <w:rPr>
          <w:rFonts w:hint="eastAsia" w:ascii="宋体" w:hAnsi="宋体"/>
          <w:color w:val="auto"/>
          <w:highlight w:val="none"/>
          <w:lang w:val="zh-CN"/>
        </w:rPr>
        <w:t>法定代表人或授权委托人（签字或盖章）：</w:t>
      </w:r>
    </w:p>
    <w:p w14:paraId="55F75690">
      <w:pPr>
        <w:shd w:val="clear"/>
        <w:snapToGrid w:val="0"/>
        <w:spacing w:line="480" w:lineRule="exact"/>
        <w:ind w:firstLine="3840" w:firstLineChars="1600"/>
        <w:rPr>
          <w:color w:val="auto"/>
          <w:highlight w:val="none"/>
        </w:rPr>
        <w:sectPr>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720" w:num="1"/>
          <w:docGrid w:type="lines" w:linePitch="312" w:charSpace="0"/>
        </w:sectPr>
      </w:pPr>
      <w:r>
        <w:rPr>
          <w:rFonts w:hint="eastAsia" w:ascii="宋体" w:hAnsi="宋体"/>
          <w:color w:val="auto"/>
          <w:highlight w:val="none"/>
          <w:lang w:val="zh-CN"/>
        </w:rPr>
        <w:t>日期：     年   月   日</w:t>
      </w:r>
    </w:p>
    <w:p w14:paraId="26E57A32">
      <w:pPr>
        <w:shd w:val="clear"/>
        <w:ind w:firstLine="0" w:firstLineChars="0"/>
        <w:jc w:val="left"/>
        <w:outlineLvl w:val="1"/>
        <w:rPr>
          <w:rFonts w:hint="eastAsia" w:ascii="宋体" w:hAnsi="宋体" w:eastAsia="宋体" w:cs="宋体"/>
          <w:b/>
          <w:bCs/>
          <w:color w:val="auto"/>
          <w:sz w:val="30"/>
          <w:szCs w:val="30"/>
          <w:highlight w:val="none"/>
          <w:lang w:val="en-US" w:eastAsia="zh-CN"/>
        </w:rPr>
      </w:pPr>
      <w:bookmarkStart w:id="1423" w:name="_Toc31713"/>
      <w:bookmarkStart w:id="1424" w:name="_Toc11117"/>
      <w:bookmarkStart w:id="1425" w:name="_Toc18837"/>
      <w:bookmarkStart w:id="1426" w:name="_Toc3740"/>
      <w:r>
        <w:rPr>
          <w:rFonts w:hint="eastAsia" w:ascii="宋体" w:hAnsi="宋体" w:cs="宋体"/>
          <w:b/>
          <w:bCs/>
          <w:color w:val="auto"/>
          <w:highlight w:val="none"/>
        </w:rPr>
        <w:t>附件</w:t>
      </w:r>
      <w:r>
        <w:rPr>
          <w:rFonts w:hint="eastAsia" w:ascii="宋体" w:hAnsi="宋体" w:cs="宋体"/>
          <w:b/>
          <w:bCs/>
          <w:color w:val="auto"/>
          <w:highlight w:val="none"/>
          <w:lang w:val="en-US" w:eastAsia="zh-CN"/>
        </w:rPr>
        <w:t>2</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411FDA01">
      <w:pPr>
        <w:shd w:val="clear"/>
        <w:adjustRightInd w:val="0"/>
        <w:ind w:firstLine="0" w:firstLineChars="0"/>
        <w:jc w:val="center"/>
        <w:textAlignment w:val="baseline"/>
        <w:rPr>
          <w:rFonts w:hint="eastAsia" w:ascii="宋体" w:hAnsi="宋体" w:eastAsia="宋体" w:cs="宋体"/>
          <w:b/>
          <w:color w:val="auto"/>
          <w:sz w:val="32"/>
          <w:szCs w:val="32"/>
          <w:highlight w:val="none"/>
        </w:rPr>
      </w:pPr>
      <w:bookmarkStart w:id="1427" w:name="_Toc30725"/>
      <w:r>
        <w:rPr>
          <w:rFonts w:hint="eastAsia" w:ascii="宋体" w:hAnsi="宋体" w:eastAsia="宋体" w:cs="宋体"/>
          <w:b/>
          <w:color w:val="auto"/>
          <w:sz w:val="32"/>
          <w:szCs w:val="32"/>
          <w:highlight w:val="none"/>
        </w:rPr>
        <w:t>符合参加</w:t>
      </w:r>
      <w:r>
        <w:rPr>
          <w:rFonts w:hint="eastAsia" w:ascii="宋体" w:hAnsi="宋体" w:cs="宋体"/>
          <w:b/>
          <w:color w:val="auto"/>
          <w:sz w:val="32"/>
          <w:szCs w:val="32"/>
          <w:highlight w:val="none"/>
          <w:lang w:eastAsia="zh-CN"/>
        </w:rPr>
        <w:t>采购</w:t>
      </w:r>
      <w:r>
        <w:rPr>
          <w:rFonts w:hint="eastAsia" w:ascii="宋体" w:hAnsi="宋体" w:eastAsia="宋体" w:cs="宋体"/>
          <w:b/>
          <w:color w:val="auto"/>
          <w:sz w:val="32"/>
          <w:szCs w:val="32"/>
          <w:highlight w:val="none"/>
        </w:rPr>
        <w:t>活动应当具备的一般条件的承诺函</w:t>
      </w:r>
      <w:bookmarkEnd w:id="1427"/>
    </w:p>
    <w:p w14:paraId="45F6F0E4">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采购人</w:t>
      </w:r>
      <w:r>
        <w:rPr>
          <w:rFonts w:hint="eastAsia" w:ascii="宋体" w:hAnsi="宋体" w:cs="宋体"/>
          <w:color w:val="auto"/>
          <w:highlight w:val="none"/>
          <w:u w:val="single"/>
          <w:lang w:eastAsia="zh-CN"/>
        </w:rPr>
        <w:t>）</w:t>
      </w:r>
      <w:r>
        <w:rPr>
          <w:rFonts w:hint="eastAsia" w:ascii="宋体" w:hAnsi="宋体" w:eastAsia="宋体" w:cs="宋体"/>
          <w:color w:val="auto"/>
          <w:highlight w:val="none"/>
        </w:rPr>
        <w:t>：</w:t>
      </w:r>
    </w:p>
    <w:p w14:paraId="5474B72D">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rPr>
          <w:i w:val="0"/>
          <w:iCs w:val="0"/>
          <w:caps w:val="0"/>
          <w:color w:val="auto"/>
          <w:spacing w:val="0"/>
          <w:highlight w:val="none"/>
        </w:rPr>
      </w:pPr>
      <w:r>
        <w:rPr>
          <w:i w:val="0"/>
          <w:iCs w:val="0"/>
          <w:caps w:val="0"/>
          <w:color w:val="auto"/>
          <w:spacing w:val="0"/>
          <w:highlight w:val="none"/>
        </w:rPr>
        <w:t>我方参加</w:t>
      </w:r>
      <w:r>
        <w:rPr>
          <w:i w:val="0"/>
          <w:iCs w:val="0"/>
          <w:caps w:val="0"/>
          <w:color w:val="auto"/>
          <w:spacing w:val="0"/>
          <w:highlight w:val="none"/>
          <w:u w:val="single"/>
        </w:rPr>
        <w:t>项目</w:t>
      </w:r>
      <w:r>
        <w:rPr>
          <w:rFonts w:hint="eastAsia"/>
          <w:i w:val="0"/>
          <w:iCs w:val="0"/>
          <w:caps w:val="0"/>
          <w:color w:val="auto"/>
          <w:spacing w:val="0"/>
          <w:highlight w:val="none"/>
          <w:u w:val="single"/>
          <w:lang w:val="en-US" w:eastAsia="zh-CN"/>
        </w:rPr>
        <w:t>名称</w:t>
      </w:r>
      <w:r>
        <w:rPr>
          <w:i w:val="0"/>
          <w:iCs w:val="0"/>
          <w:caps w:val="0"/>
          <w:color w:val="auto"/>
          <w:spacing w:val="0"/>
          <w:highlight w:val="none"/>
          <w:u w:val="single"/>
        </w:rPr>
        <w:t>（项目编号)</w:t>
      </w:r>
      <w:r>
        <w:rPr>
          <w:rFonts w:hint="eastAsia"/>
          <w:i w:val="0"/>
          <w:iCs w:val="0"/>
          <w:caps w:val="0"/>
          <w:color w:val="auto"/>
          <w:spacing w:val="0"/>
          <w:highlight w:val="none"/>
          <w:lang w:eastAsia="zh-CN"/>
        </w:rPr>
        <w:t>采购</w:t>
      </w:r>
      <w:r>
        <w:rPr>
          <w:i w:val="0"/>
          <w:iCs w:val="0"/>
          <w:caps w:val="0"/>
          <w:color w:val="auto"/>
          <w:spacing w:val="0"/>
          <w:highlight w:val="none"/>
        </w:rPr>
        <w:t>活动，郑重承诺：</w:t>
      </w:r>
    </w:p>
    <w:p w14:paraId="00841182">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outlineLvl w:val="1"/>
        <w:rPr>
          <w:rFonts w:hint="eastAsia" w:ascii="宋体" w:hAnsi="宋体" w:eastAsia="宋体" w:cs="宋体"/>
          <w:i w:val="0"/>
          <w:iCs w:val="0"/>
          <w:caps w:val="0"/>
          <w:color w:val="auto"/>
          <w:spacing w:val="0"/>
          <w:highlight w:val="none"/>
        </w:rPr>
      </w:pPr>
      <w:bookmarkStart w:id="1428" w:name="_Toc26842"/>
      <w:bookmarkStart w:id="1429" w:name="_Toc41"/>
      <w:bookmarkStart w:id="1430" w:name="_Toc10787"/>
      <w:bookmarkStart w:id="1431" w:name="_Toc11593"/>
      <w:bookmarkStart w:id="1432" w:name="_Toc21843"/>
      <w:r>
        <w:rPr>
          <w:rFonts w:hint="eastAsia" w:ascii="宋体" w:hAnsi="宋体" w:eastAsia="宋体" w:cs="宋体"/>
          <w:i w:val="0"/>
          <w:iCs w:val="0"/>
          <w:caps w:val="0"/>
          <w:color w:val="auto"/>
          <w:spacing w:val="0"/>
          <w:highlight w:val="none"/>
        </w:rPr>
        <w:t>一、具备《中华人民共和国政府采购法》第二十二条规定的条件：</w:t>
      </w:r>
      <w:bookmarkEnd w:id="1428"/>
      <w:bookmarkEnd w:id="1429"/>
      <w:bookmarkEnd w:id="1430"/>
      <w:bookmarkEnd w:id="1431"/>
      <w:bookmarkEnd w:id="1432"/>
    </w:p>
    <w:p w14:paraId="6AF89651">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rPr>
        <w:t>1</w:t>
      </w:r>
      <w:r>
        <w:rPr>
          <w:rFonts w:hint="eastAsia" w:ascii="宋体" w:hAnsi="宋体" w:eastAsia="宋体" w:cs="宋体"/>
          <w:i w:val="0"/>
          <w:iCs w:val="0"/>
          <w:caps w:val="0"/>
          <w:color w:val="auto"/>
          <w:spacing w:val="0"/>
          <w:highlight w:val="none"/>
          <w:lang w:eastAsia="zh-CN"/>
        </w:rPr>
        <w:t>.</w:t>
      </w:r>
      <w:r>
        <w:rPr>
          <w:rFonts w:hint="eastAsia" w:ascii="宋体" w:hAnsi="宋体" w:eastAsia="宋体" w:cs="宋体"/>
          <w:i w:val="0"/>
          <w:iCs w:val="0"/>
          <w:caps w:val="0"/>
          <w:color w:val="auto"/>
          <w:spacing w:val="0"/>
          <w:highlight w:val="none"/>
        </w:rPr>
        <w:t>具有独立承担民事</w:t>
      </w:r>
      <w:r>
        <w:rPr>
          <w:rFonts w:hint="eastAsia" w:ascii="宋体" w:hAnsi="宋体" w:eastAsia="宋体" w:cs="宋体"/>
          <w:i w:val="0"/>
          <w:iCs w:val="0"/>
          <w:caps w:val="0"/>
          <w:color w:val="auto"/>
          <w:spacing w:val="0"/>
          <w:highlight w:val="none"/>
          <w:lang w:val="en-US" w:eastAsia="zh-CN"/>
        </w:rPr>
        <w:t>责</w:t>
      </w:r>
      <w:r>
        <w:rPr>
          <w:rFonts w:hint="eastAsia" w:ascii="宋体" w:hAnsi="宋体" w:eastAsia="宋体" w:cs="宋体"/>
          <w:i w:val="0"/>
          <w:iCs w:val="0"/>
          <w:caps w:val="0"/>
          <w:color w:val="auto"/>
          <w:spacing w:val="0"/>
          <w:highlight w:val="none"/>
        </w:rPr>
        <w:t>任的能力；</w:t>
      </w:r>
    </w:p>
    <w:p w14:paraId="011EB8A4">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rPr>
        <w:t>2.具有良好的商业信誉和健全的财务会计制度；</w:t>
      </w:r>
    </w:p>
    <w:p w14:paraId="505EA667">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rPr>
        <w:t>3</w:t>
      </w:r>
      <w:r>
        <w:rPr>
          <w:rFonts w:hint="eastAsia" w:ascii="宋体" w:hAnsi="宋体" w:eastAsia="宋体" w:cs="宋体"/>
          <w:i w:val="0"/>
          <w:iCs w:val="0"/>
          <w:caps w:val="0"/>
          <w:color w:val="auto"/>
          <w:spacing w:val="0"/>
          <w:highlight w:val="none"/>
          <w:lang w:eastAsia="zh-CN"/>
        </w:rPr>
        <w:t>.</w:t>
      </w:r>
      <w:r>
        <w:rPr>
          <w:rFonts w:hint="eastAsia" w:ascii="宋体" w:hAnsi="宋体" w:eastAsia="宋体" w:cs="宋体"/>
          <w:i w:val="0"/>
          <w:iCs w:val="0"/>
          <w:caps w:val="0"/>
          <w:color w:val="auto"/>
          <w:spacing w:val="0"/>
          <w:highlight w:val="none"/>
        </w:rPr>
        <w:t>具有履行合同所必需的设备和专业技术能力；</w:t>
      </w:r>
    </w:p>
    <w:p w14:paraId="4149CC0B">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rPr>
        <w:t>4.有依法缴纳税收和社会保障资金的良好记录；</w:t>
      </w:r>
    </w:p>
    <w:p w14:paraId="5266A991">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rPr>
        <w:t>5.参加</w:t>
      </w:r>
      <w:r>
        <w:rPr>
          <w:rFonts w:hint="eastAsia" w:ascii="宋体" w:hAnsi="宋体" w:cs="宋体"/>
          <w:i w:val="0"/>
          <w:iCs w:val="0"/>
          <w:caps w:val="0"/>
          <w:color w:val="auto"/>
          <w:spacing w:val="0"/>
          <w:highlight w:val="none"/>
          <w:lang w:eastAsia="zh-CN"/>
        </w:rPr>
        <w:t>采购</w:t>
      </w:r>
      <w:r>
        <w:rPr>
          <w:rFonts w:hint="eastAsia" w:ascii="宋体" w:hAnsi="宋体" w:eastAsia="宋体" w:cs="宋体"/>
          <w:i w:val="0"/>
          <w:iCs w:val="0"/>
          <w:caps w:val="0"/>
          <w:color w:val="auto"/>
          <w:spacing w:val="0"/>
          <w:highlight w:val="none"/>
        </w:rPr>
        <w:t>活动前三年内，在经营活动中没有重大违法记录；</w:t>
      </w:r>
    </w:p>
    <w:p w14:paraId="00C82722">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rPr>
        <w:t>6</w:t>
      </w:r>
      <w:r>
        <w:rPr>
          <w:rFonts w:hint="eastAsia" w:ascii="宋体" w:hAnsi="宋体" w:eastAsia="宋体" w:cs="宋体"/>
          <w:i w:val="0"/>
          <w:iCs w:val="0"/>
          <w:caps w:val="0"/>
          <w:color w:val="auto"/>
          <w:spacing w:val="0"/>
          <w:highlight w:val="none"/>
          <w:lang w:eastAsia="zh-CN"/>
        </w:rPr>
        <w:t>.</w:t>
      </w:r>
      <w:r>
        <w:rPr>
          <w:rFonts w:hint="eastAsia" w:ascii="宋体" w:hAnsi="宋体" w:eastAsia="宋体" w:cs="宋体"/>
          <w:i w:val="0"/>
          <w:iCs w:val="0"/>
          <w:caps w:val="0"/>
          <w:color w:val="auto"/>
          <w:spacing w:val="0"/>
          <w:highlight w:val="none"/>
        </w:rPr>
        <w:t>具有法律、行政法规规定的其他条件。</w:t>
      </w:r>
    </w:p>
    <w:p w14:paraId="0B71F330">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rPr>
        <w:t>二、未被“信用中国”（www.creditchina.gov.cn)、中国政府采购网（www.ccgp.gov.cn）列入失信被执行人、重大税收违法案件当事人名单、</w:t>
      </w:r>
      <w:r>
        <w:rPr>
          <w:rFonts w:hint="eastAsia" w:ascii="宋体" w:hAnsi="宋体" w:cs="宋体"/>
          <w:i w:val="0"/>
          <w:iCs w:val="0"/>
          <w:caps w:val="0"/>
          <w:color w:val="auto"/>
          <w:spacing w:val="0"/>
          <w:highlight w:val="none"/>
          <w:lang w:eastAsia="zh-CN"/>
        </w:rPr>
        <w:t>采购</w:t>
      </w:r>
      <w:r>
        <w:rPr>
          <w:rFonts w:hint="eastAsia" w:ascii="宋体" w:hAnsi="宋体" w:eastAsia="宋体" w:cs="宋体"/>
          <w:i w:val="0"/>
          <w:iCs w:val="0"/>
          <w:caps w:val="0"/>
          <w:color w:val="auto"/>
          <w:spacing w:val="0"/>
          <w:highlight w:val="none"/>
        </w:rPr>
        <w:t>严重违法失信行为记录名单。</w:t>
      </w:r>
    </w:p>
    <w:p w14:paraId="4DCBF91C">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outlineLvl w:val="1"/>
        <w:rPr>
          <w:rFonts w:hint="eastAsia" w:ascii="宋体" w:hAnsi="宋体" w:eastAsia="宋体" w:cs="宋体"/>
          <w:i w:val="0"/>
          <w:iCs w:val="0"/>
          <w:caps w:val="0"/>
          <w:color w:val="auto"/>
          <w:spacing w:val="0"/>
          <w:highlight w:val="none"/>
        </w:rPr>
      </w:pPr>
      <w:bookmarkStart w:id="1433" w:name="_Toc19826"/>
      <w:bookmarkStart w:id="1434" w:name="_Toc5546"/>
      <w:bookmarkStart w:id="1435" w:name="_Toc28085"/>
      <w:bookmarkStart w:id="1436" w:name="_Toc30150"/>
      <w:bookmarkStart w:id="1437" w:name="_Toc31870"/>
      <w:r>
        <w:rPr>
          <w:rFonts w:hint="eastAsia" w:ascii="宋体" w:hAnsi="宋体" w:eastAsia="宋体" w:cs="宋体"/>
          <w:i w:val="0"/>
          <w:iCs w:val="0"/>
          <w:caps w:val="0"/>
          <w:color w:val="auto"/>
          <w:spacing w:val="0"/>
          <w:highlight w:val="none"/>
        </w:rPr>
        <w:t>三、没有下列情形：</w:t>
      </w:r>
      <w:bookmarkEnd w:id="1433"/>
      <w:bookmarkEnd w:id="1434"/>
      <w:bookmarkEnd w:id="1435"/>
      <w:bookmarkEnd w:id="1436"/>
      <w:bookmarkEnd w:id="1437"/>
    </w:p>
    <w:p w14:paraId="0C3B063C">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lang w:val="en-US" w:eastAsia="zh-CN"/>
        </w:rPr>
        <w:t>1</w:t>
      </w:r>
      <w:r>
        <w:rPr>
          <w:rFonts w:hint="eastAsia" w:ascii="宋体" w:hAnsi="宋体" w:eastAsia="宋体" w:cs="宋体"/>
          <w:i w:val="0"/>
          <w:iCs w:val="0"/>
          <w:caps w:val="0"/>
          <w:color w:val="auto"/>
          <w:spacing w:val="0"/>
          <w:highlight w:val="none"/>
        </w:rPr>
        <w:t>.单位负责人为同一人或者存在直接控股、管理关系的不同供应商参加同一合同项下的</w:t>
      </w:r>
      <w:r>
        <w:rPr>
          <w:rFonts w:hint="eastAsia" w:ascii="宋体" w:hAnsi="宋体" w:cs="宋体"/>
          <w:i w:val="0"/>
          <w:iCs w:val="0"/>
          <w:caps w:val="0"/>
          <w:color w:val="auto"/>
          <w:spacing w:val="0"/>
          <w:highlight w:val="none"/>
          <w:lang w:eastAsia="zh-CN"/>
        </w:rPr>
        <w:t>采购</w:t>
      </w:r>
      <w:r>
        <w:rPr>
          <w:rFonts w:hint="eastAsia" w:ascii="宋体" w:hAnsi="宋体" w:eastAsia="宋体" w:cs="宋体"/>
          <w:i w:val="0"/>
          <w:iCs w:val="0"/>
          <w:caps w:val="0"/>
          <w:color w:val="auto"/>
          <w:spacing w:val="0"/>
          <w:highlight w:val="none"/>
        </w:rPr>
        <w:t>活动的；</w:t>
      </w:r>
    </w:p>
    <w:p w14:paraId="7E125DE7">
      <w:pPr>
        <w:pStyle w:val="32"/>
        <w:keepNext w:val="0"/>
        <w:keepLines w:val="0"/>
        <w:pageBreakBefore w:val="0"/>
        <w:widowControl/>
        <w:suppressLineNumbers w:val="0"/>
        <w:shd w:val="clear"/>
        <w:kinsoku/>
        <w:wordWrap/>
        <w:overflowPunct/>
        <w:topLinePunct w:val="0"/>
        <w:autoSpaceDE/>
        <w:autoSpaceDN/>
        <w:bidi w:val="0"/>
        <w:adjustRightInd/>
        <w:snapToGrid/>
        <w:spacing w:line="360" w:lineRule="auto"/>
        <w:ind w:left="0" w:firstLine="0"/>
        <w:textAlignment w:val="auto"/>
        <w:rPr>
          <w:rFonts w:hint="eastAsia" w:hAnsi="宋体"/>
          <w:color w:val="auto"/>
          <w:sz w:val="28"/>
          <w:szCs w:val="28"/>
          <w:highlight w:val="none"/>
        </w:rPr>
      </w:pPr>
      <w:r>
        <w:rPr>
          <w:rFonts w:hint="eastAsia" w:ascii="宋体" w:hAnsi="宋体" w:eastAsia="宋体" w:cs="宋体"/>
          <w:i w:val="0"/>
          <w:iCs w:val="0"/>
          <w:caps w:val="0"/>
          <w:color w:val="auto"/>
          <w:spacing w:val="0"/>
          <w:highlight w:val="none"/>
        </w:rPr>
        <w:t>我方对上述承诺的内容事项真实性负责，如有虚假，由我方承担相关法律责任。</w:t>
      </w:r>
    </w:p>
    <w:p w14:paraId="33C6809B">
      <w:pPr>
        <w:shd w:val="clear"/>
        <w:ind w:firstLine="4320" w:firstLineChars="1800"/>
        <w:rPr>
          <w:rFonts w:hint="eastAsia"/>
          <w:color w:val="auto"/>
          <w:highlight w:val="none"/>
        </w:rPr>
      </w:pPr>
    </w:p>
    <w:p w14:paraId="71B949A9">
      <w:pPr>
        <w:pStyle w:val="4"/>
        <w:rPr>
          <w:rFonts w:hint="eastAsia"/>
          <w:color w:val="auto"/>
          <w:highlight w:val="none"/>
        </w:rPr>
      </w:pPr>
    </w:p>
    <w:p w14:paraId="0B3D041A">
      <w:pPr>
        <w:rPr>
          <w:rFonts w:hint="eastAsia"/>
        </w:rPr>
      </w:pPr>
    </w:p>
    <w:p w14:paraId="6641DE1B">
      <w:pPr>
        <w:shd w:val="clear"/>
        <w:snapToGrid w:val="0"/>
        <w:spacing w:line="480" w:lineRule="exact"/>
        <w:ind w:firstLine="3840" w:firstLineChars="1600"/>
        <w:rPr>
          <w:rFonts w:ascii="宋体" w:hAnsi="宋体"/>
          <w:color w:val="auto"/>
          <w:highlight w:val="none"/>
          <w:lang w:val="zh-CN"/>
        </w:rPr>
      </w:pPr>
      <w:r>
        <w:rPr>
          <w:rFonts w:hint="eastAsia" w:ascii="宋体" w:hAnsi="宋体"/>
          <w:color w:val="auto"/>
          <w:highlight w:val="none"/>
          <w:lang w:val="zh-CN"/>
        </w:rPr>
        <w:t>供应商名称（盖章）：</w:t>
      </w:r>
    </w:p>
    <w:p w14:paraId="4C32849A">
      <w:pPr>
        <w:shd w:val="clear"/>
        <w:snapToGrid w:val="0"/>
        <w:spacing w:line="480" w:lineRule="exact"/>
        <w:ind w:firstLine="3840" w:firstLineChars="1600"/>
        <w:rPr>
          <w:rFonts w:ascii="宋体" w:hAnsi="宋体"/>
          <w:color w:val="auto"/>
          <w:highlight w:val="none"/>
        </w:rPr>
      </w:pPr>
      <w:r>
        <w:rPr>
          <w:rFonts w:hint="eastAsia" w:ascii="宋体" w:hAnsi="宋体"/>
          <w:color w:val="auto"/>
          <w:highlight w:val="none"/>
          <w:lang w:val="zh-CN"/>
        </w:rPr>
        <w:t>法定代表人或授权委托人（签字或盖章）：</w:t>
      </w:r>
    </w:p>
    <w:p w14:paraId="32C0F7A0">
      <w:pPr>
        <w:shd w:val="clear"/>
        <w:snapToGrid w:val="0"/>
        <w:spacing w:line="480" w:lineRule="exact"/>
        <w:ind w:firstLine="3840" w:firstLineChars="1600"/>
        <w:rPr>
          <w:color w:val="auto"/>
          <w:highlight w:val="none"/>
        </w:rPr>
        <w:sectPr>
          <w:headerReference r:id="rId7" w:type="default"/>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720" w:num="1"/>
          <w:docGrid w:type="lines" w:linePitch="312" w:charSpace="0"/>
        </w:sectPr>
      </w:pPr>
      <w:r>
        <w:rPr>
          <w:rFonts w:hint="eastAsia" w:ascii="宋体" w:hAnsi="宋体"/>
          <w:color w:val="auto"/>
          <w:highlight w:val="none"/>
          <w:lang w:val="zh-CN"/>
        </w:rPr>
        <w:t>日期：     年   月   日</w:t>
      </w:r>
    </w:p>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14:paraId="345027E0">
      <w:pPr>
        <w:shd w:val="clear"/>
        <w:ind w:firstLine="0" w:firstLineChars="0"/>
        <w:jc w:val="left"/>
        <w:outlineLvl w:val="1"/>
        <w:rPr>
          <w:rFonts w:hint="eastAsia" w:ascii="宋体" w:hAnsi="宋体" w:eastAsia="宋体" w:cs="宋体"/>
          <w:b/>
          <w:bCs/>
          <w:color w:val="auto"/>
          <w:highlight w:val="none"/>
          <w:lang w:val="en-US" w:eastAsia="zh-CN"/>
        </w:rPr>
      </w:pPr>
      <w:bookmarkStart w:id="1438" w:name="_Toc32677"/>
      <w:bookmarkStart w:id="1439" w:name="_Toc10883"/>
      <w:bookmarkStart w:id="1440" w:name="_Toc16358"/>
      <w:bookmarkStart w:id="1441" w:name="_Toc26238"/>
      <w:bookmarkStart w:id="1442" w:name="_Toc26694"/>
      <w:bookmarkStart w:id="1443" w:name="_Toc21522"/>
      <w:bookmarkStart w:id="1444" w:name="_Toc4013"/>
      <w:bookmarkStart w:id="1445" w:name="_Toc15649"/>
      <w:bookmarkStart w:id="1446" w:name="_Toc20874"/>
      <w:bookmarkStart w:id="1447" w:name="_Toc26662"/>
      <w:bookmarkStart w:id="1448" w:name="_Toc13987"/>
      <w:bookmarkStart w:id="1449" w:name="_Toc2824"/>
      <w:bookmarkStart w:id="1450" w:name="_Toc27986"/>
      <w:bookmarkStart w:id="1451" w:name="_Toc2372"/>
      <w:bookmarkStart w:id="1452" w:name="_Toc26140"/>
      <w:bookmarkStart w:id="1453" w:name="_Toc10635"/>
      <w:bookmarkStart w:id="1454" w:name="_Toc21274"/>
      <w:bookmarkStart w:id="1455" w:name="_Toc24267"/>
      <w:bookmarkStart w:id="1456" w:name="_Toc13336"/>
      <w:bookmarkStart w:id="1457" w:name="_Toc10018"/>
      <w:bookmarkStart w:id="1458" w:name="_Toc10833"/>
      <w:bookmarkStart w:id="1459" w:name="_Toc11648"/>
      <w:bookmarkStart w:id="1460" w:name="_Toc27046"/>
      <w:bookmarkStart w:id="1461" w:name="_Toc20905"/>
      <w:bookmarkStart w:id="1462" w:name="_Toc30127"/>
      <w:bookmarkStart w:id="1463" w:name="_Toc4943"/>
      <w:bookmarkStart w:id="1464" w:name="_Toc16284"/>
      <w:bookmarkStart w:id="1465" w:name="_Toc16564"/>
      <w:bookmarkStart w:id="1466" w:name="_Toc31820"/>
      <w:bookmarkStart w:id="1467" w:name="_Toc26747"/>
      <w:bookmarkStart w:id="1468" w:name="_Toc30800"/>
      <w:bookmarkStart w:id="1469" w:name="_Toc10028"/>
      <w:bookmarkStart w:id="1470" w:name="_Toc23362"/>
      <w:bookmarkStart w:id="1471" w:name="_Toc23247"/>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3</w:t>
      </w:r>
    </w:p>
    <w:p w14:paraId="3108CDD0">
      <w:pPr>
        <w:shd w:val="clear"/>
        <w:adjustRightInd/>
        <w:ind w:firstLine="0" w:firstLineChars="0"/>
        <w:jc w:val="center"/>
        <w:textAlignment w:val="auto"/>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4E64BC02">
      <w:pPr>
        <w:ind w:firstLine="0" w:firstLineChars="0"/>
        <w:rPr>
          <w:rFonts w:hint="eastAsia"/>
        </w:rPr>
      </w:pPr>
    </w:p>
    <w:p w14:paraId="76DBBE58">
      <w:pPr>
        <w:pStyle w:val="146"/>
        <w:spacing w:line="530" w:lineRule="exact"/>
        <w:ind w:firstLine="480"/>
        <w:rPr>
          <w:rFonts w:hint="eastAsia"/>
          <w:sz w:val="24"/>
          <w:szCs w:val="24"/>
        </w:rPr>
      </w:pPr>
      <w:r>
        <w:rPr>
          <w:rFonts w:hint="eastAsia"/>
          <w:color w:val="000000"/>
          <w:sz w:val="24"/>
          <w:szCs w:val="24"/>
        </w:rPr>
        <w:t>本公司（联合体）郑重声明，根据《政府采购促进中小企业发展管理办法》（财库〔2020 ） 46号）的规定，本公司 （联合体）参加</w:t>
      </w:r>
      <w:r>
        <w:rPr>
          <w:rFonts w:hint="eastAsia"/>
          <w:color w:val="000000"/>
          <w:sz w:val="24"/>
          <w:szCs w:val="24"/>
          <w:u w:val="single"/>
        </w:rPr>
        <w:t>（单位名称）</w:t>
      </w:r>
      <w:r>
        <w:rPr>
          <w:rFonts w:hint="eastAsia"/>
          <w:color w:val="000000"/>
          <w:sz w:val="24"/>
          <w:szCs w:val="24"/>
        </w:rPr>
        <w:t>的</w:t>
      </w:r>
      <w:r>
        <w:rPr>
          <w:rFonts w:hint="eastAsia"/>
          <w:color w:val="000000"/>
          <w:sz w:val="24"/>
          <w:szCs w:val="24"/>
          <w:u w:val="single"/>
        </w:rPr>
        <w:t>（项目名称）</w:t>
      </w:r>
      <w:r>
        <w:rPr>
          <w:rFonts w:hint="eastAsia"/>
          <w:color w:val="000000"/>
          <w:sz w:val="24"/>
          <w:szCs w:val="24"/>
        </w:rPr>
        <w:t>采购活动，工程的施工单位全部为符合政策要求的中小企业（或者：服务 全部由符合政策要求的中小企业承接）。相关企业（含联合体中的中小企业、签订分包意向协议的中小企业）的具体情 况如下：</w:t>
      </w:r>
    </w:p>
    <w:p w14:paraId="7F5B5263">
      <w:pPr>
        <w:pStyle w:val="146"/>
        <w:numPr>
          <w:ilvl w:val="0"/>
          <w:numId w:val="9"/>
        </w:numPr>
        <w:tabs>
          <w:tab w:val="left" w:pos="1193"/>
          <w:tab w:val="left" w:pos="6974"/>
        </w:tabs>
        <w:spacing w:line="525" w:lineRule="exact"/>
        <w:ind w:firstLine="480"/>
        <w:rPr>
          <w:rFonts w:hint="eastAsia"/>
          <w:sz w:val="24"/>
          <w:szCs w:val="24"/>
        </w:rPr>
      </w:pPr>
      <w:bookmarkStart w:id="1472" w:name="bookmark35"/>
      <w:bookmarkEnd w:id="1472"/>
      <w:r>
        <w:rPr>
          <w:rFonts w:hint="eastAsia"/>
          <w:color w:val="000000"/>
          <w:sz w:val="24"/>
          <w:szCs w:val="24"/>
          <w:u w:val="single"/>
        </w:rPr>
        <w:t>（标的名称）</w:t>
      </w:r>
      <w:r>
        <w:rPr>
          <w:rFonts w:hint="eastAsia"/>
          <w:color w:val="000000"/>
          <w:sz w:val="24"/>
          <w:szCs w:val="24"/>
        </w:rPr>
        <w:t>,属于</w:t>
      </w:r>
      <w:r>
        <w:rPr>
          <w:rFonts w:hint="eastAsia"/>
          <w:color w:val="000000"/>
          <w:sz w:val="24"/>
          <w:szCs w:val="24"/>
          <w:u w:val="single"/>
        </w:rPr>
        <w:t>（采购文件中明确的所属行业）</w:t>
      </w:r>
      <w:r>
        <w:rPr>
          <w:rFonts w:hint="eastAsia"/>
          <w:color w:val="000000"/>
          <w:sz w:val="24"/>
          <w:szCs w:val="24"/>
        </w:rPr>
        <w:t>, 承建（承接）企业为</w:t>
      </w:r>
      <w:r>
        <w:rPr>
          <w:rFonts w:hint="eastAsia"/>
          <w:color w:val="000000"/>
          <w:sz w:val="24"/>
          <w:szCs w:val="24"/>
          <w:u w:val="single"/>
        </w:rPr>
        <w:t>（企业名称）</w:t>
      </w:r>
      <w:r>
        <w:rPr>
          <w:rFonts w:hint="eastAsia"/>
          <w:color w:val="000000"/>
          <w:sz w:val="24"/>
          <w:szCs w:val="24"/>
        </w:rPr>
        <w:t>,从业人员</w:t>
      </w:r>
      <w:r>
        <w:rPr>
          <w:rFonts w:hint="eastAsia"/>
          <w:sz w:val="24"/>
          <w:szCs w:val="24"/>
          <w:u w:val="single"/>
        </w:rPr>
        <w:t xml:space="preserve"> </w:t>
      </w:r>
      <w:r>
        <w:rPr>
          <w:rFonts w:hint="eastAsia"/>
          <w:sz w:val="24"/>
          <w:szCs w:val="24"/>
          <w:u w:val="single"/>
          <w:lang w:val="en-US" w:eastAsia="zh-CN"/>
        </w:rPr>
        <w:t xml:space="preserve">    </w:t>
      </w:r>
      <w:r>
        <w:rPr>
          <w:rFonts w:hint="eastAsia"/>
          <w:color w:val="000000"/>
          <w:sz w:val="24"/>
          <w:szCs w:val="24"/>
        </w:rPr>
        <w:t>人，营业 收入为</w:t>
      </w:r>
      <w:r>
        <w:rPr>
          <w:rFonts w:hint="eastAsia"/>
          <w:color w:val="000000"/>
          <w:sz w:val="24"/>
          <w:szCs w:val="24"/>
          <w:u w:val="single"/>
          <w:lang w:val="en-US" w:eastAsia="zh-CN" w:bidi="zh-CN"/>
        </w:rPr>
        <w:t xml:space="preserve">         </w:t>
      </w:r>
      <w:r>
        <w:rPr>
          <w:rFonts w:hint="eastAsia"/>
          <w:color w:val="000000"/>
          <w:sz w:val="24"/>
          <w:szCs w:val="24"/>
          <w:lang w:val="en-US" w:eastAsia="zh-CN" w:bidi="zh-CN"/>
        </w:rPr>
        <w:t xml:space="preserve"> </w:t>
      </w:r>
      <w:r>
        <w:rPr>
          <w:rFonts w:hint="eastAsia"/>
          <w:color w:val="000000"/>
          <w:sz w:val="24"/>
          <w:szCs w:val="24"/>
        </w:rPr>
        <w:t>万元，资产总额为</w:t>
      </w:r>
      <w:r>
        <w:rPr>
          <w:rFonts w:hint="eastAsia"/>
          <w:color w:val="000000"/>
          <w:sz w:val="24"/>
          <w:szCs w:val="24"/>
          <w:u w:val="single"/>
          <w:lang w:val="en-US" w:eastAsia="zh-CN" w:bidi="zh-CN"/>
        </w:rPr>
        <w:t xml:space="preserve">     </w:t>
      </w:r>
      <w:r>
        <w:rPr>
          <w:rFonts w:hint="eastAsia"/>
          <w:color w:val="000000"/>
          <w:sz w:val="24"/>
          <w:szCs w:val="24"/>
        </w:rPr>
        <w:t>万元</w:t>
      </w:r>
      <w:r>
        <w:rPr>
          <w:rFonts w:hint="eastAsia"/>
          <w:color w:val="000000"/>
          <w:sz w:val="24"/>
          <w:szCs w:val="24"/>
          <w:lang w:val="en-US" w:eastAsia="zh-CN" w:bidi="en-US"/>
        </w:rPr>
        <w:t>，</w:t>
      </w:r>
      <w:r>
        <w:rPr>
          <w:rFonts w:hint="eastAsia"/>
          <w:color w:val="000000"/>
          <w:sz w:val="24"/>
          <w:szCs w:val="24"/>
        </w:rPr>
        <w:t>属于</w:t>
      </w:r>
      <w:r>
        <w:rPr>
          <w:rFonts w:hint="eastAsia"/>
          <w:color w:val="000000"/>
          <w:sz w:val="24"/>
          <w:szCs w:val="24"/>
          <w:u w:val="single"/>
        </w:rPr>
        <w:t>（中型企业、 小型企业、微型企业）</w:t>
      </w:r>
      <w:r>
        <w:rPr>
          <w:rFonts w:hint="eastAsia"/>
          <w:color w:val="000000"/>
          <w:sz w:val="24"/>
          <w:szCs w:val="24"/>
          <w:lang w:eastAsia="zh-CN"/>
        </w:rPr>
        <w:t>；</w:t>
      </w:r>
    </w:p>
    <w:p w14:paraId="35F4D403">
      <w:pPr>
        <w:pStyle w:val="146"/>
        <w:numPr>
          <w:ilvl w:val="0"/>
          <w:numId w:val="9"/>
        </w:numPr>
        <w:tabs>
          <w:tab w:val="left" w:pos="1193"/>
          <w:tab w:val="left" w:pos="6965"/>
        </w:tabs>
        <w:spacing w:line="528" w:lineRule="exact"/>
        <w:ind w:firstLine="480"/>
        <w:rPr>
          <w:rFonts w:hint="eastAsia"/>
          <w:sz w:val="24"/>
          <w:szCs w:val="24"/>
        </w:rPr>
      </w:pPr>
      <w:bookmarkStart w:id="1473" w:name="bookmark36"/>
      <w:bookmarkEnd w:id="1473"/>
      <w:r>
        <w:rPr>
          <w:rFonts w:hint="eastAsia"/>
          <w:color w:val="000000"/>
          <w:sz w:val="24"/>
          <w:szCs w:val="24"/>
          <w:u w:val="single"/>
        </w:rPr>
        <w:t>（标的名称）</w:t>
      </w:r>
      <w:r>
        <w:rPr>
          <w:rFonts w:hint="eastAsia"/>
          <w:color w:val="000000"/>
          <w:sz w:val="24"/>
          <w:szCs w:val="24"/>
        </w:rPr>
        <w:t>,属于</w:t>
      </w:r>
      <w:r>
        <w:rPr>
          <w:rFonts w:hint="eastAsia"/>
          <w:color w:val="000000"/>
          <w:sz w:val="24"/>
          <w:szCs w:val="24"/>
          <w:u w:val="single"/>
        </w:rPr>
        <w:t>（采购文件中明确的所属行业）</w:t>
      </w:r>
      <w:r>
        <w:rPr>
          <w:rFonts w:hint="eastAsia"/>
          <w:color w:val="000000"/>
          <w:sz w:val="24"/>
          <w:szCs w:val="24"/>
        </w:rPr>
        <w:t>, 承建（承接）企业为</w:t>
      </w:r>
      <w:r>
        <w:rPr>
          <w:rFonts w:hint="eastAsia"/>
          <w:color w:val="000000"/>
          <w:sz w:val="24"/>
          <w:szCs w:val="24"/>
          <w:u w:val="single"/>
        </w:rPr>
        <w:t>（企业名称）</w:t>
      </w:r>
      <w:r>
        <w:rPr>
          <w:rFonts w:hint="eastAsia"/>
          <w:color w:val="000000"/>
          <w:sz w:val="24"/>
          <w:szCs w:val="24"/>
        </w:rPr>
        <w:t>,从业人员</w:t>
      </w:r>
      <w:r>
        <w:rPr>
          <w:rFonts w:hint="eastAsia"/>
          <w:sz w:val="24"/>
          <w:szCs w:val="24"/>
          <w:u w:val="single"/>
        </w:rPr>
        <w:t xml:space="preserve"> </w:t>
      </w:r>
      <w:r>
        <w:rPr>
          <w:rFonts w:hint="eastAsia"/>
          <w:sz w:val="24"/>
          <w:szCs w:val="24"/>
          <w:u w:val="single"/>
          <w:lang w:val="en-US" w:eastAsia="zh-CN"/>
        </w:rPr>
        <w:t xml:space="preserve">      </w:t>
      </w:r>
      <w:r>
        <w:rPr>
          <w:rFonts w:hint="eastAsia"/>
          <w:color w:val="000000"/>
          <w:sz w:val="24"/>
          <w:szCs w:val="24"/>
        </w:rPr>
        <w:t>人，营业收入为</w:t>
      </w:r>
      <w:r>
        <w:rPr>
          <w:rFonts w:hint="eastAsia"/>
          <w:color w:val="000000"/>
          <w:sz w:val="24"/>
          <w:szCs w:val="24"/>
          <w:u w:val="single"/>
          <w:lang w:val="en-US" w:eastAsia="zh-CN" w:bidi="zh-CN"/>
        </w:rPr>
        <w:t xml:space="preserve">   </w:t>
      </w:r>
      <w:r>
        <w:rPr>
          <w:rFonts w:hint="eastAsia"/>
          <w:color w:val="000000"/>
          <w:sz w:val="24"/>
          <w:szCs w:val="24"/>
        </w:rPr>
        <w:t>万元，资产总额为</w:t>
      </w:r>
      <w:r>
        <w:rPr>
          <w:rFonts w:hint="eastAsia"/>
          <w:color w:val="000000"/>
          <w:sz w:val="24"/>
          <w:szCs w:val="24"/>
          <w:u w:val="single"/>
          <w:lang w:val="en-US" w:eastAsia="zh-CN" w:bidi="zh-CN"/>
        </w:rPr>
        <w:t xml:space="preserve">     </w:t>
      </w:r>
      <w:r>
        <w:rPr>
          <w:rFonts w:hint="eastAsia"/>
          <w:color w:val="000000"/>
          <w:sz w:val="24"/>
          <w:szCs w:val="24"/>
        </w:rPr>
        <w:t>万元，属于</w:t>
      </w:r>
      <w:r>
        <w:rPr>
          <w:rFonts w:hint="eastAsia"/>
          <w:color w:val="000000"/>
          <w:sz w:val="24"/>
          <w:szCs w:val="24"/>
          <w:u w:val="single"/>
        </w:rPr>
        <w:t>（中型企业、 小型企业、微型企</w:t>
      </w:r>
      <w:r>
        <w:rPr>
          <w:rFonts w:hint="eastAsia"/>
          <w:color w:val="000000"/>
          <w:sz w:val="24"/>
          <w:szCs w:val="24"/>
          <w:u w:val="single"/>
          <w:lang w:val="zh-CN" w:eastAsia="zh-CN" w:bidi="zh-CN"/>
        </w:rPr>
        <w:t>业）</w:t>
      </w:r>
      <w:r>
        <w:rPr>
          <w:rFonts w:hint="eastAsia"/>
          <w:color w:val="000000"/>
          <w:sz w:val="24"/>
          <w:szCs w:val="24"/>
          <w:lang w:val="zh-CN" w:eastAsia="zh-CN" w:bidi="zh-CN"/>
        </w:rPr>
        <w:t>；</w:t>
      </w:r>
    </w:p>
    <w:p w14:paraId="76A2D6C6">
      <w:pPr>
        <w:pStyle w:val="146"/>
        <w:tabs>
          <w:tab w:val="left" w:leader="dot" w:pos="-1212"/>
        </w:tabs>
        <w:spacing w:line="520" w:lineRule="exact"/>
        <w:ind w:firstLine="480"/>
        <w:rPr>
          <w:rFonts w:hint="eastAsia"/>
          <w:color w:val="000000"/>
          <w:sz w:val="24"/>
          <w:szCs w:val="24"/>
          <w:lang w:val="en-US" w:eastAsia="zh-CN" w:bidi="en-US"/>
        </w:rPr>
      </w:pPr>
    </w:p>
    <w:p w14:paraId="1E0888BA">
      <w:pPr>
        <w:pStyle w:val="146"/>
        <w:tabs>
          <w:tab w:val="left" w:leader="dot" w:pos="-1212"/>
        </w:tabs>
        <w:spacing w:line="520" w:lineRule="exact"/>
        <w:ind w:firstLine="480"/>
        <w:rPr>
          <w:rFonts w:hint="eastAsia"/>
          <w:sz w:val="24"/>
          <w:szCs w:val="24"/>
        </w:rPr>
      </w:pPr>
      <w:r>
        <w:rPr>
          <w:rFonts w:hint="eastAsia"/>
          <w:color w:val="000000"/>
          <w:sz w:val="24"/>
          <w:szCs w:val="24"/>
          <w:lang w:val="en-US" w:eastAsia="zh-CN" w:bidi="en-US"/>
        </w:rPr>
        <w:tab/>
      </w:r>
      <w:r>
        <w:rPr>
          <w:rFonts w:hint="eastAsia"/>
          <w:color w:val="000000"/>
          <w:sz w:val="24"/>
          <w:szCs w:val="24"/>
          <w:lang w:val="en-US" w:eastAsia="zh-CN" w:bidi="en-US"/>
        </w:rPr>
        <w:t>……</w:t>
      </w:r>
    </w:p>
    <w:p w14:paraId="7DFBAF4D">
      <w:pPr>
        <w:pStyle w:val="146"/>
        <w:spacing w:line="520" w:lineRule="exact"/>
        <w:ind w:firstLine="480"/>
        <w:rPr>
          <w:rFonts w:hint="eastAsia"/>
          <w:color w:val="000000"/>
          <w:sz w:val="24"/>
          <w:szCs w:val="24"/>
        </w:rPr>
      </w:pPr>
    </w:p>
    <w:p w14:paraId="026B5D9B">
      <w:pPr>
        <w:pStyle w:val="146"/>
        <w:spacing w:line="520" w:lineRule="exact"/>
        <w:ind w:firstLine="480"/>
        <w:rPr>
          <w:rFonts w:hint="eastAsia"/>
          <w:sz w:val="24"/>
          <w:szCs w:val="24"/>
        </w:rPr>
      </w:pPr>
      <w:r>
        <w:rPr>
          <w:rFonts w:hint="eastAsia"/>
          <w:color w:val="000000"/>
          <w:sz w:val="24"/>
          <w:szCs w:val="24"/>
        </w:rPr>
        <w:t>以上企业，不属于大企业的分支机构，不存在控股股东为大企业的情形，也不存在与大企业的负责人为同一人的情形。</w:t>
      </w:r>
    </w:p>
    <w:p w14:paraId="71E83161">
      <w:pPr>
        <w:pStyle w:val="146"/>
        <w:spacing w:line="520" w:lineRule="exact"/>
        <w:ind w:firstLine="480"/>
        <w:rPr>
          <w:rFonts w:hint="eastAsia"/>
          <w:sz w:val="24"/>
          <w:szCs w:val="24"/>
        </w:rPr>
      </w:pPr>
      <w:r>
        <w:rPr>
          <w:rFonts w:hint="eastAsia"/>
          <w:color w:val="000000"/>
          <w:sz w:val="24"/>
          <w:szCs w:val="24"/>
        </w:rPr>
        <w:t>本企业对上述声明内容的真实性负责。如有虚假，将依 法承担相应责任。</w:t>
      </w:r>
    </w:p>
    <w:p w14:paraId="713C498E">
      <w:pPr>
        <w:pStyle w:val="146"/>
        <w:spacing w:line="562" w:lineRule="exact"/>
        <w:ind w:left="3860" w:firstLine="480"/>
        <w:jc w:val="left"/>
        <w:rPr>
          <w:rFonts w:hint="eastAsia"/>
          <w:color w:val="000000"/>
          <w:sz w:val="24"/>
          <w:szCs w:val="24"/>
        </w:rPr>
      </w:pPr>
    </w:p>
    <w:p w14:paraId="375BF844">
      <w:pPr>
        <w:pStyle w:val="146"/>
        <w:spacing w:line="562" w:lineRule="exact"/>
        <w:ind w:left="3860" w:firstLine="480"/>
        <w:jc w:val="left"/>
        <w:rPr>
          <w:rFonts w:hint="eastAsia"/>
          <w:color w:val="000000"/>
          <w:sz w:val="24"/>
          <w:szCs w:val="24"/>
        </w:rPr>
      </w:pPr>
    </w:p>
    <w:p w14:paraId="2417A8EB">
      <w:pPr>
        <w:pStyle w:val="146"/>
        <w:spacing w:line="562" w:lineRule="exact"/>
        <w:ind w:left="3860" w:firstLine="480"/>
        <w:jc w:val="left"/>
        <w:rPr>
          <w:rFonts w:hint="eastAsia"/>
          <w:color w:val="000000"/>
          <w:sz w:val="24"/>
          <w:szCs w:val="24"/>
          <w:u w:val="single"/>
          <w:lang w:val="en-US" w:eastAsia="zh-CN"/>
        </w:rPr>
      </w:pPr>
      <w:r>
        <w:rPr>
          <w:rFonts w:hint="eastAsia"/>
          <w:color w:val="000000"/>
          <w:sz w:val="24"/>
          <w:szCs w:val="24"/>
        </w:rPr>
        <w:t>企业名称（盖章）：</w:t>
      </w:r>
      <w:r>
        <w:rPr>
          <w:rFonts w:hint="eastAsia"/>
          <w:color w:val="000000"/>
          <w:sz w:val="24"/>
          <w:szCs w:val="24"/>
          <w:u w:val="single"/>
          <w:lang w:val="en-US" w:eastAsia="zh-CN"/>
        </w:rPr>
        <w:t xml:space="preserve">              </w:t>
      </w:r>
    </w:p>
    <w:p w14:paraId="0D6DB398">
      <w:pPr>
        <w:pStyle w:val="146"/>
        <w:spacing w:line="562" w:lineRule="exact"/>
        <w:ind w:left="3860" w:firstLine="480"/>
        <w:jc w:val="left"/>
        <w:rPr>
          <w:rFonts w:hint="eastAsia"/>
          <w:sz w:val="24"/>
          <w:szCs w:val="24"/>
        </w:rPr>
      </w:pPr>
      <w:r>
        <w:rPr>
          <w:rFonts w:hint="eastAsia"/>
          <w:color w:val="000000"/>
          <w:sz w:val="24"/>
          <w:szCs w:val="24"/>
        </w:rPr>
        <w:t xml:space="preserve"> 日期：</w:t>
      </w:r>
      <w:r>
        <w:rPr>
          <w:rFonts w:hint="eastAsia"/>
          <w:sz w:val="24"/>
          <w:szCs w:val="24"/>
        </w:rPr>
        <w:tab/>
      </w:r>
    </w:p>
    <w:p w14:paraId="2A52E41C">
      <w:pPr>
        <w:pStyle w:val="147"/>
        <w:spacing w:line="240" w:lineRule="auto"/>
        <w:ind w:firstLine="480"/>
        <w:jc w:val="left"/>
        <w:rPr>
          <w:rFonts w:hint="eastAsia"/>
          <w:color w:val="000000"/>
          <w:sz w:val="24"/>
          <w:szCs w:val="24"/>
        </w:rPr>
      </w:pPr>
    </w:p>
    <w:p w14:paraId="5AD1CF4D">
      <w:pPr>
        <w:pStyle w:val="147"/>
        <w:spacing w:line="240" w:lineRule="auto"/>
        <w:ind w:firstLine="480"/>
        <w:jc w:val="left"/>
        <w:rPr>
          <w:rFonts w:hint="eastAsia"/>
          <w:color w:val="000000"/>
          <w:sz w:val="24"/>
          <w:szCs w:val="24"/>
        </w:rPr>
      </w:pPr>
    </w:p>
    <w:p w14:paraId="1369C43F">
      <w:pPr>
        <w:pStyle w:val="147"/>
        <w:spacing w:line="240" w:lineRule="auto"/>
        <w:ind w:firstLine="480"/>
        <w:jc w:val="left"/>
        <w:rPr>
          <w:rFonts w:hint="eastAsia"/>
          <w:color w:val="000000"/>
          <w:sz w:val="24"/>
          <w:szCs w:val="24"/>
        </w:rPr>
      </w:pPr>
    </w:p>
    <w:p w14:paraId="309A75D9">
      <w:pPr>
        <w:pStyle w:val="147"/>
        <w:spacing w:line="240" w:lineRule="auto"/>
        <w:ind w:firstLine="480"/>
        <w:jc w:val="left"/>
        <w:rPr>
          <w:rFonts w:hint="eastAsia"/>
          <w:lang w:val="zh-CN"/>
        </w:rPr>
      </w:pPr>
      <w:r>
        <w:rPr>
          <w:rFonts w:hint="eastAsia"/>
          <w:color w:val="000000"/>
          <w:sz w:val="24"/>
          <w:szCs w:val="24"/>
        </w:rPr>
        <w:t>1</w:t>
      </w:r>
      <w:r>
        <w:rPr>
          <w:rFonts w:hint="eastAsia"/>
          <w:color w:val="000000"/>
          <w:sz w:val="24"/>
          <w:szCs w:val="24"/>
          <w:lang w:eastAsia="zh-CN"/>
        </w:rPr>
        <w:t>.</w:t>
      </w:r>
      <w:r>
        <w:rPr>
          <w:rFonts w:hint="eastAsia"/>
          <w:color w:val="000000"/>
          <w:sz w:val="24"/>
          <w:szCs w:val="24"/>
        </w:rPr>
        <w:t>从业人员、营业收入、资产总额填报上一年度数据，无上一年度数据的新成立企业可不填报。</w:t>
      </w:r>
    </w:p>
    <w:p w14:paraId="4528F6F3">
      <w:pPr>
        <w:spacing w:line="360" w:lineRule="auto"/>
        <w:ind w:firstLine="0" w:firstLineChars="0"/>
        <w:jc w:val="center"/>
        <w:rPr>
          <w:rFonts w:ascii="宋体" w:hAnsi="宋体" w:cs="宋体"/>
          <w:b/>
          <w:sz w:val="30"/>
          <w:szCs w:val="30"/>
          <w:lang w:val="zh-CN"/>
        </w:rPr>
      </w:pPr>
      <w:r>
        <w:rPr>
          <w:rFonts w:hint="eastAsia" w:ascii="宋体" w:hAnsi="宋体" w:cs="宋体"/>
          <w:b/>
          <w:sz w:val="30"/>
          <w:szCs w:val="30"/>
          <w:lang w:val="zh-CN"/>
        </w:rPr>
        <w:t>监狱企业声明函</w:t>
      </w:r>
    </w:p>
    <w:p w14:paraId="25926BC4">
      <w:pPr>
        <w:spacing w:line="360" w:lineRule="auto"/>
        <w:ind w:firstLine="0" w:firstLineChars="0"/>
        <w:jc w:val="center"/>
        <w:rPr>
          <w:rFonts w:ascii="宋体" w:hAnsi="宋体" w:cs="宋体"/>
          <w:b/>
          <w:sz w:val="30"/>
          <w:szCs w:val="30"/>
          <w:lang w:val="zh-CN"/>
        </w:rPr>
      </w:pPr>
      <w:r>
        <w:rPr>
          <w:rFonts w:hint="eastAsia" w:ascii="宋体" w:hAnsi="宋体" w:cs="宋体"/>
          <w:b/>
          <w:sz w:val="30"/>
          <w:szCs w:val="30"/>
          <w:lang w:val="zh-CN"/>
        </w:rPr>
        <w:t>【非监狱企业不需提供】</w:t>
      </w:r>
    </w:p>
    <w:p w14:paraId="387842C7">
      <w:pPr>
        <w:widowControl/>
        <w:adjustRightInd w:val="0"/>
        <w:snapToGrid w:val="0"/>
        <w:ind w:firstLine="480"/>
        <w:jc w:val="left"/>
        <w:rPr>
          <w:rFonts w:ascii="宋体" w:hAnsi="宋体" w:cs="宋体"/>
          <w:szCs w:val="21"/>
        </w:rPr>
      </w:pPr>
      <w:r>
        <w:rPr>
          <w:rFonts w:hint="eastAsia" w:ascii="宋体" w:hAnsi="宋体" w:cs="宋体"/>
          <w:szCs w:val="21"/>
        </w:rPr>
        <w:t>本企业郑重声明，根据《关于政府采购支持监狱企业发展有关问题的通知》（财库[2016]68号）的规定，本企业为</w:t>
      </w:r>
      <w:r>
        <w:rPr>
          <w:rFonts w:hint="eastAsia" w:ascii="宋体" w:hAnsi="宋体" w:cs="宋体"/>
          <w:szCs w:val="21"/>
          <w:u w:val="single"/>
        </w:rPr>
        <w:t>监狱企业</w:t>
      </w:r>
      <w:r>
        <w:rPr>
          <w:rFonts w:hint="eastAsia" w:ascii="宋体" w:hAnsi="宋体" w:cs="宋体"/>
          <w:szCs w:val="21"/>
        </w:rPr>
        <w:t>。</w:t>
      </w:r>
    </w:p>
    <w:p w14:paraId="2A8D852C">
      <w:pPr>
        <w:widowControl/>
        <w:adjustRightInd w:val="0"/>
        <w:snapToGrid w:val="0"/>
        <w:ind w:firstLine="480"/>
        <w:jc w:val="left"/>
        <w:rPr>
          <w:rFonts w:ascii="宋体" w:hAnsi="宋体" w:cs="宋体"/>
          <w:szCs w:val="21"/>
        </w:rPr>
      </w:pPr>
      <w:r>
        <w:rPr>
          <w:rFonts w:hint="eastAsia" w:ascii="宋体" w:hAnsi="宋体" w:cs="宋体"/>
          <w:szCs w:val="21"/>
        </w:rPr>
        <w:t>根据上述标准，我企业属于</w:t>
      </w:r>
      <w:r>
        <w:rPr>
          <w:rFonts w:hint="eastAsia" w:ascii="宋体" w:hAnsi="宋体" w:cs="宋体"/>
          <w:szCs w:val="21"/>
          <w:u w:val="single"/>
        </w:rPr>
        <w:t>监狱企业</w:t>
      </w:r>
      <w:r>
        <w:rPr>
          <w:rFonts w:hint="eastAsia" w:ascii="宋体" w:hAnsi="宋体" w:cs="宋体"/>
          <w:szCs w:val="21"/>
        </w:rPr>
        <w:t>的理由为：</w:t>
      </w:r>
    </w:p>
    <w:p w14:paraId="01BE038E">
      <w:pPr>
        <w:widowControl/>
        <w:adjustRightInd w:val="0"/>
        <w:snapToGrid w:val="0"/>
        <w:ind w:firstLine="480"/>
        <w:rPr>
          <w:rFonts w:ascii="宋体" w:hAnsi="宋体" w:cs="宋体"/>
          <w:szCs w:val="21"/>
        </w:rPr>
      </w:pPr>
      <w:r>
        <w:rPr>
          <w:rFonts w:hint="eastAsia" w:ascii="宋体" w:hAnsi="宋体" w:cs="宋体"/>
          <w:szCs w:val="21"/>
        </w:rPr>
        <w:t>本企业为参加（项目名称：</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）采购活动提供本企业的产品。</w:t>
      </w:r>
    </w:p>
    <w:p w14:paraId="2108A16E">
      <w:pPr>
        <w:widowControl/>
        <w:adjustRightInd w:val="0"/>
        <w:snapToGrid w:val="0"/>
        <w:ind w:firstLine="480"/>
        <w:rPr>
          <w:rFonts w:ascii="宋体" w:hAnsi="宋体" w:cs="宋体"/>
          <w:szCs w:val="21"/>
        </w:rPr>
      </w:pPr>
      <w:r>
        <w:rPr>
          <w:rFonts w:hint="eastAsia" w:ascii="宋体" w:hAnsi="宋体" w:cs="宋体"/>
          <w:szCs w:val="21"/>
        </w:rPr>
        <w:t>本企业对上述声明的真实性负责。如有虚假，将依法承担相应责任。</w:t>
      </w:r>
    </w:p>
    <w:p w14:paraId="53461B6A">
      <w:pPr>
        <w:adjustRightInd w:val="0"/>
        <w:snapToGrid w:val="0"/>
        <w:ind w:firstLine="480"/>
        <w:jc w:val="center"/>
        <w:rPr>
          <w:rFonts w:ascii="宋体" w:hAnsi="宋体" w:cs="宋体"/>
          <w:szCs w:val="21"/>
        </w:rPr>
      </w:pPr>
    </w:p>
    <w:p w14:paraId="0B653E04">
      <w:pPr>
        <w:adjustRightInd w:val="0"/>
        <w:snapToGrid w:val="0"/>
        <w:ind w:firstLine="480"/>
        <w:jc w:val="center"/>
        <w:rPr>
          <w:rFonts w:ascii="宋体" w:hAnsi="宋体" w:cs="宋体"/>
          <w:szCs w:val="21"/>
        </w:rPr>
      </w:pPr>
    </w:p>
    <w:p w14:paraId="4EA365A2">
      <w:pPr>
        <w:adjustRightInd w:val="0"/>
        <w:snapToGrid w:val="0"/>
        <w:ind w:firstLine="480"/>
        <w:jc w:val="center"/>
        <w:rPr>
          <w:rFonts w:ascii="宋体" w:hAnsi="宋体" w:cs="宋体"/>
          <w:szCs w:val="21"/>
        </w:rPr>
      </w:pPr>
    </w:p>
    <w:p w14:paraId="12AADEED">
      <w:pPr>
        <w:adjustRightInd w:val="0"/>
        <w:snapToGrid w:val="0"/>
        <w:ind w:firstLine="480"/>
        <w:rPr>
          <w:rFonts w:ascii="宋体" w:hAnsi="宋体" w:cs="宋体"/>
          <w:szCs w:val="21"/>
        </w:rPr>
      </w:pPr>
    </w:p>
    <w:p w14:paraId="4947BBBD">
      <w:pPr>
        <w:adjustRightInd w:val="0"/>
        <w:snapToGrid w:val="0"/>
        <w:ind w:firstLine="480"/>
        <w:jc w:val="center"/>
        <w:rPr>
          <w:rFonts w:ascii="宋体" w:hAnsi="宋体" w:cs="宋体"/>
          <w:szCs w:val="21"/>
        </w:rPr>
      </w:pPr>
    </w:p>
    <w:p w14:paraId="2AA32AC8">
      <w:pPr>
        <w:adjustRightInd w:val="0"/>
        <w:snapToGrid w:val="0"/>
        <w:ind w:firstLine="480"/>
        <w:jc w:val="center"/>
        <w:rPr>
          <w:rFonts w:ascii="宋体" w:hAnsi="宋体" w:cs="宋体"/>
          <w:szCs w:val="21"/>
        </w:rPr>
      </w:pPr>
    </w:p>
    <w:p w14:paraId="013941B3">
      <w:pPr>
        <w:adjustRightInd w:val="0"/>
        <w:snapToGrid w:val="0"/>
        <w:ind w:firstLine="480"/>
        <w:jc w:val="center"/>
        <w:rPr>
          <w:rFonts w:ascii="宋体" w:hAnsi="宋体" w:cs="宋体"/>
          <w:szCs w:val="21"/>
        </w:rPr>
      </w:pPr>
    </w:p>
    <w:p w14:paraId="7DF49943">
      <w:pPr>
        <w:adjustRightInd w:val="0"/>
        <w:snapToGrid w:val="0"/>
        <w:ind w:firstLine="480"/>
        <w:jc w:val="center"/>
        <w:rPr>
          <w:rFonts w:ascii="宋体" w:hAnsi="宋体" w:cs="宋体"/>
          <w:szCs w:val="21"/>
        </w:rPr>
      </w:pPr>
    </w:p>
    <w:p w14:paraId="1D81CEAF">
      <w:pPr>
        <w:adjustRightInd w:val="0"/>
        <w:snapToGrid w:val="0"/>
        <w:ind w:firstLine="5040" w:firstLineChars="2100"/>
        <w:rPr>
          <w:rFonts w:ascii="宋体" w:hAnsi="宋体" w:cs="宋体"/>
          <w:szCs w:val="21"/>
          <w:u w:val="single"/>
        </w:rPr>
      </w:pPr>
      <w:r>
        <w:rPr>
          <w:rFonts w:hint="eastAsia" w:ascii="宋体" w:hAnsi="宋体" w:cs="宋体"/>
          <w:szCs w:val="21"/>
        </w:rPr>
        <w:t>供应商名称（盖章）：</w:t>
      </w:r>
      <w:r>
        <w:rPr>
          <w:rFonts w:hint="eastAsia" w:ascii="宋体" w:hAnsi="宋体" w:cs="宋体"/>
          <w:szCs w:val="21"/>
          <w:u w:val="single"/>
        </w:rPr>
        <w:t xml:space="preserve">            </w:t>
      </w:r>
    </w:p>
    <w:p w14:paraId="0D707509">
      <w:pPr>
        <w:adjustRightInd w:val="0"/>
        <w:snapToGrid w:val="0"/>
        <w:ind w:firstLine="3600" w:firstLineChars="1500"/>
        <w:rPr>
          <w:rFonts w:ascii="宋体" w:hAnsi="宋体" w:cs="宋体"/>
          <w:szCs w:val="21"/>
        </w:rPr>
      </w:pPr>
    </w:p>
    <w:p w14:paraId="0EA374D1">
      <w:pPr>
        <w:adjustRightInd w:val="0"/>
        <w:snapToGrid w:val="0"/>
        <w:ind w:firstLine="5040" w:firstLineChars="2100"/>
        <w:rPr>
          <w:rFonts w:ascii="宋体" w:hAnsi="宋体" w:cs="宋体"/>
          <w:szCs w:val="21"/>
        </w:rPr>
      </w:pPr>
      <w:r>
        <w:rPr>
          <w:rFonts w:hint="eastAsia" w:ascii="宋体" w:hAnsi="宋体" w:cs="宋体"/>
          <w:szCs w:val="21"/>
        </w:rPr>
        <w:t>日期：    年   月   日</w:t>
      </w:r>
    </w:p>
    <w:p w14:paraId="3C28643B">
      <w:pPr>
        <w:widowControl/>
        <w:snapToGrid w:val="0"/>
        <w:ind w:firstLine="0" w:firstLineChars="0"/>
        <w:rPr>
          <w:rFonts w:ascii="宋体" w:hAnsi="宋体" w:cs="宋体"/>
          <w:szCs w:val="21"/>
        </w:rPr>
      </w:pPr>
    </w:p>
    <w:p w14:paraId="198368F9">
      <w:pPr>
        <w:widowControl/>
        <w:snapToGrid w:val="0"/>
        <w:ind w:firstLine="480"/>
        <w:rPr>
          <w:rFonts w:ascii="宋体" w:hAnsi="宋体" w:cs="宋体"/>
          <w:szCs w:val="21"/>
        </w:rPr>
      </w:pPr>
      <w:r>
        <w:rPr>
          <w:rFonts w:hint="eastAsia" w:ascii="宋体" w:hAnsi="宋体" w:cs="宋体"/>
          <w:szCs w:val="21"/>
        </w:rPr>
        <w:t>供应商为监狱企业的提供此函。</w:t>
      </w:r>
    </w:p>
    <w:p w14:paraId="0FA97CE6">
      <w:pPr>
        <w:widowControl/>
        <w:snapToGrid w:val="0"/>
        <w:ind w:firstLine="480"/>
        <w:rPr>
          <w:rFonts w:ascii="宋体" w:hAnsi="宋体" w:cs="宋体"/>
          <w:szCs w:val="21"/>
        </w:rPr>
      </w:pPr>
      <w:r>
        <w:rPr>
          <w:rFonts w:hint="eastAsia" w:ascii="宋体" w:hAnsi="宋体" w:cs="宋体"/>
          <w:szCs w:val="21"/>
        </w:rPr>
        <w:t>监狱企业参加政府采购活动时，应当提供由省级以上监狱管理局、戒毒管理局（含新疆生产建设兵团）出具的属于监狱企业的证明文件。</w:t>
      </w:r>
    </w:p>
    <w:p w14:paraId="3A74663A">
      <w:pPr>
        <w:adjustRightInd w:val="0"/>
        <w:snapToGrid w:val="0"/>
        <w:ind w:firstLine="0" w:firstLineChars="0"/>
        <w:jc w:val="center"/>
        <w:textAlignment w:val="baseline"/>
        <w:rPr>
          <w:rFonts w:ascii="宋体" w:hAnsi="宋体"/>
          <w:sz w:val="28"/>
          <w:szCs w:val="28"/>
        </w:rPr>
      </w:pPr>
      <w:r>
        <w:rPr>
          <w:rFonts w:hint="eastAsia" w:ascii="宋体" w:hAnsi="宋体" w:cs="宋体"/>
          <w:bCs/>
          <w:szCs w:val="21"/>
        </w:rPr>
        <w:br w:type="page"/>
      </w:r>
      <w:r>
        <w:rPr>
          <w:rFonts w:hint="eastAsia" w:ascii="宋体" w:hAnsi="宋体" w:eastAsia="宋体" w:cs="宋体"/>
          <w:b/>
          <w:sz w:val="30"/>
          <w:szCs w:val="30"/>
          <w:lang w:val="zh-CN"/>
        </w:rPr>
        <w:t>残疾人福利性单位声明函</w:t>
      </w:r>
    </w:p>
    <w:p w14:paraId="54284BDD">
      <w:pPr>
        <w:spacing w:line="360" w:lineRule="auto"/>
        <w:ind w:firstLine="0" w:firstLineChars="0"/>
        <w:jc w:val="center"/>
        <w:rPr>
          <w:rFonts w:hint="eastAsia" w:ascii="宋体" w:hAnsi="宋体" w:eastAsia="宋体" w:cs="宋体"/>
          <w:b/>
          <w:sz w:val="30"/>
          <w:szCs w:val="30"/>
          <w:lang w:val="zh-CN"/>
        </w:rPr>
      </w:pPr>
      <w:r>
        <w:rPr>
          <w:rFonts w:hint="eastAsia" w:ascii="宋体" w:hAnsi="宋体" w:eastAsia="宋体" w:cs="宋体"/>
          <w:b/>
          <w:sz w:val="30"/>
          <w:szCs w:val="30"/>
          <w:lang w:val="zh-CN"/>
        </w:rPr>
        <w:t>【非残疾人福利性单位不需提供】</w:t>
      </w:r>
    </w:p>
    <w:p w14:paraId="27420076">
      <w:pPr>
        <w:snapToGrid w:val="0"/>
        <w:ind w:firstLine="480"/>
        <w:rPr>
          <w:rFonts w:ascii="宋体" w:hAnsi="宋体"/>
          <w:szCs w:val="21"/>
        </w:rPr>
      </w:pPr>
      <w:r>
        <w:rPr>
          <w:rFonts w:hint="eastAsia" w:ascii="宋体" w:hAnsi="宋体"/>
          <w:szCs w:val="21"/>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szCs w:val="21"/>
          <w:u w:val="single"/>
        </w:rPr>
        <w:t>（采购人名称）</w:t>
      </w:r>
      <w:r>
        <w:rPr>
          <w:rFonts w:hint="eastAsia" w:ascii="宋体" w:hAnsi="宋体"/>
          <w:szCs w:val="21"/>
        </w:rPr>
        <w:t>单位的</w:t>
      </w:r>
      <w:r>
        <w:rPr>
          <w:rFonts w:hint="eastAsia" w:ascii="宋体" w:hAnsi="宋体"/>
          <w:szCs w:val="21"/>
          <w:u w:val="single"/>
        </w:rPr>
        <w:t>（项目名称）</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14:paraId="62E09639">
      <w:pPr>
        <w:snapToGrid w:val="0"/>
        <w:ind w:firstLine="480"/>
        <w:rPr>
          <w:rFonts w:ascii="宋体" w:hAnsi="宋体"/>
          <w:szCs w:val="21"/>
        </w:rPr>
      </w:pPr>
      <w:r>
        <w:rPr>
          <w:rFonts w:hint="eastAsia" w:ascii="宋体" w:hAnsi="宋体"/>
          <w:szCs w:val="21"/>
        </w:rPr>
        <w:t>本单位对上述声明的真实性负责。如有虚假，将依法承担相应责任。</w:t>
      </w:r>
    </w:p>
    <w:p w14:paraId="3A389166">
      <w:pPr>
        <w:snapToGrid w:val="0"/>
        <w:ind w:firstLine="480"/>
        <w:rPr>
          <w:rFonts w:ascii="宋体" w:hAnsi="宋体"/>
          <w:szCs w:val="21"/>
        </w:rPr>
      </w:pPr>
      <w:r>
        <w:rPr>
          <w:rFonts w:hint="eastAsia" w:ascii="宋体" w:hAnsi="宋体"/>
          <w:szCs w:val="21"/>
        </w:rPr>
        <w:t xml:space="preserve"> </w:t>
      </w:r>
    </w:p>
    <w:p w14:paraId="1B3F8045">
      <w:pPr>
        <w:snapToGrid w:val="0"/>
        <w:ind w:firstLine="480"/>
        <w:rPr>
          <w:rFonts w:ascii="宋体" w:hAnsi="宋体"/>
          <w:szCs w:val="21"/>
        </w:rPr>
      </w:pPr>
      <w:r>
        <w:rPr>
          <w:rFonts w:hint="eastAsia" w:ascii="宋体" w:hAnsi="宋体"/>
          <w:szCs w:val="21"/>
        </w:rPr>
        <w:t xml:space="preserve"> </w:t>
      </w:r>
    </w:p>
    <w:p w14:paraId="1168FBB0">
      <w:pPr>
        <w:adjustRightInd w:val="0"/>
        <w:snapToGrid w:val="0"/>
        <w:ind w:firstLine="480"/>
        <w:rPr>
          <w:rFonts w:ascii="宋体" w:hAnsi="宋体"/>
          <w:szCs w:val="21"/>
        </w:rPr>
      </w:pPr>
      <w:r>
        <w:rPr>
          <w:rFonts w:hint="eastAsia" w:ascii="宋体" w:hAnsi="宋体"/>
          <w:szCs w:val="21"/>
        </w:rPr>
        <w:t xml:space="preserve"> </w:t>
      </w:r>
    </w:p>
    <w:p w14:paraId="5E207A82">
      <w:pPr>
        <w:adjustRightInd w:val="0"/>
        <w:snapToGrid w:val="0"/>
        <w:ind w:firstLine="480"/>
        <w:rPr>
          <w:rFonts w:ascii="宋体" w:hAnsi="宋体"/>
          <w:szCs w:val="21"/>
        </w:rPr>
      </w:pPr>
      <w:r>
        <w:rPr>
          <w:rFonts w:hint="eastAsia" w:ascii="宋体" w:hAnsi="宋体"/>
          <w:szCs w:val="21"/>
        </w:rPr>
        <w:t xml:space="preserve"> </w:t>
      </w:r>
    </w:p>
    <w:p w14:paraId="1BFAC983">
      <w:pPr>
        <w:adjustRightInd w:val="0"/>
        <w:snapToGrid w:val="0"/>
        <w:ind w:firstLine="480"/>
        <w:rPr>
          <w:rFonts w:ascii="宋体" w:hAnsi="宋体"/>
          <w:szCs w:val="21"/>
        </w:rPr>
      </w:pPr>
      <w:r>
        <w:rPr>
          <w:rFonts w:hint="eastAsia" w:ascii="宋体" w:hAnsi="宋体"/>
          <w:szCs w:val="21"/>
        </w:rPr>
        <w:t xml:space="preserve"> </w:t>
      </w:r>
    </w:p>
    <w:p w14:paraId="13E999FA">
      <w:pPr>
        <w:adjustRightInd w:val="0"/>
        <w:snapToGrid w:val="0"/>
        <w:ind w:firstLine="480"/>
        <w:rPr>
          <w:rFonts w:ascii="宋体" w:hAnsi="宋体"/>
          <w:szCs w:val="21"/>
        </w:rPr>
      </w:pPr>
      <w:r>
        <w:rPr>
          <w:rFonts w:hint="eastAsia" w:ascii="宋体" w:hAnsi="宋体"/>
          <w:szCs w:val="21"/>
        </w:rPr>
        <w:t xml:space="preserve"> </w:t>
      </w:r>
    </w:p>
    <w:p w14:paraId="3544B9C4">
      <w:pPr>
        <w:adjustRightInd w:val="0"/>
        <w:snapToGrid w:val="0"/>
        <w:ind w:firstLine="480"/>
        <w:rPr>
          <w:rFonts w:ascii="宋体" w:hAnsi="宋体"/>
          <w:szCs w:val="21"/>
        </w:rPr>
      </w:pPr>
      <w:r>
        <w:rPr>
          <w:rFonts w:hint="eastAsia" w:ascii="宋体" w:hAnsi="宋体"/>
          <w:szCs w:val="21"/>
        </w:rPr>
        <w:t xml:space="preserve"> </w:t>
      </w:r>
    </w:p>
    <w:p w14:paraId="34630A36">
      <w:pPr>
        <w:adjustRightInd w:val="0"/>
        <w:snapToGrid w:val="0"/>
        <w:ind w:firstLine="4080" w:firstLineChars="17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2ADF4A25">
      <w:pPr>
        <w:adjustRightInd w:val="0"/>
        <w:snapToGrid w:val="0"/>
        <w:ind w:firstLine="3600" w:firstLineChars="1500"/>
        <w:rPr>
          <w:rFonts w:ascii="宋体" w:hAnsi="宋体"/>
          <w:szCs w:val="21"/>
        </w:rPr>
      </w:pPr>
      <w:r>
        <w:rPr>
          <w:rFonts w:hint="eastAsia" w:ascii="宋体" w:hAnsi="宋体"/>
          <w:szCs w:val="21"/>
        </w:rPr>
        <w:t xml:space="preserve"> </w:t>
      </w:r>
    </w:p>
    <w:p w14:paraId="6B8A2D5E">
      <w:pPr>
        <w:adjustRightInd w:val="0"/>
        <w:snapToGrid w:val="0"/>
        <w:ind w:firstLine="4080" w:firstLineChars="1700"/>
        <w:rPr>
          <w:rFonts w:ascii="宋体" w:hAnsi="宋体"/>
          <w:szCs w:val="21"/>
        </w:rPr>
      </w:pPr>
      <w:r>
        <w:rPr>
          <w:rFonts w:hint="eastAsia" w:ascii="宋体" w:hAnsi="宋体"/>
          <w:szCs w:val="21"/>
        </w:rPr>
        <w:t>日期：    年   月  日</w:t>
      </w:r>
    </w:p>
    <w:p w14:paraId="1806A9C4">
      <w:pPr>
        <w:adjustRightInd w:val="0"/>
        <w:snapToGrid w:val="0"/>
        <w:ind w:firstLine="480"/>
        <w:rPr>
          <w:rFonts w:ascii="宋体" w:hAnsi="宋体"/>
          <w:szCs w:val="21"/>
        </w:rPr>
      </w:pPr>
      <w:r>
        <w:rPr>
          <w:rFonts w:hint="eastAsia" w:ascii="宋体" w:hAnsi="宋体"/>
          <w:szCs w:val="21"/>
        </w:rPr>
        <w:t xml:space="preserve"> </w:t>
      </w:r>
    </w:p>
    <w:p w14:paraId="099AD8C5">
      <w:pPr>
        <w:adjustRightInd w:val="0"/>
        <w:snapToGrid w:val="0"/>
        <w:ind w:firstLine="480"/>
        <w:rPr>
          <w:rFonts w:ascii="宋体" w:hAnsi="宋体"/>
          <w:szCs w:val="21"/>
        </w:rPr>
      </w:pPr>
      <w:r>
        <w:rPr>
          <w:rFonts w:hint="eastAsia" w:ascii="宋体" w:hAnsi="宋体"/>
          <w:szCs w:val="21"/>
        </w:rPr>
        <w:t xml:space="preserve">  </w:t>
      </w:r>
    </w:p>
    <w:p w14:paraId="6963FE86">
      <w:pPr>
        <w:adjustRightInd w:val="0"/>
        <w:snapToGrid w:val="0"/>
        <w:ind w:firstLine="480"/>
        <w:rPr>
          <w:rFonts w:ascii="宋体" w:hAnsi="宋体"/>
          <w:szCs w:val="21"/>
        </w:rPr>
      </w:pPr>
      <w:r>
        <w:rPr>
          <w:rFonts w:hint="eastAsia" w:ascii="宋体" w:hAnsi="宋体"/>
          <w:szCs w:val="21"/>
        </w:rPr>
        <w:t xml:space="preserve"> </w:t>
      </w:r>
    </w:p>
    <w:p w14:paraId="415D92B3">
      <w:pPr>
        <w:adjustRightInd w:val="0"/>
        <w:snapToGrid w:val="0"/>
        <w:ind w:firstLine="480"/>
        <w:rPr>
          <w:rFonts w:ascii="宋体" w:hAnsi="宋体"/>
          <w:color w:val="FF0000"/>
          <w:szCs w:val="21"/>
        </w:rPr>
      </w:pPr>
      <w:r>
        <w:rPr>
          <w:rFonts w:hint="eastAsia" w:ascii="宋体" w:hAnsi="宋体"/>
          <w:szCs w:val="21"/>
        </w:rPr>
        <w:t>供应商为残疾人福利性单位的提供此函。</w:t>
      </w:r>
    </w:p>
    <w:p w14:paraId="4DAEEE73">
      <w:pPr>
        <w:shd w:val="clear"/>
        <w:ind w:firstLine="0" w:firstLineChars="0"/>
        <w:jc w:val="left"/>
        <w:outlineLvl w:val="1"/>
        <w:rPr>
          <w:rFonts w:hint="eastAsia" w:ascii="宋体" w:hAnsi="宋体"/>
          <w:szCs w:val="21"/>
        </w:rPr>
      </w:pPr>
      <w:r>
        <w:rPr>
          <w:rFonts w:hint="eastAsia" w:ascii="宋体" w:hAnsi="宋体"/>
          <w:szCs w:val="21"/>
        </w:rPr>
        <w:t>备注：成交供应商为残疾人福利性单位的，应当随成交结果同时公告其《残疾人福利性单位声明函》，接受社会监督。</w:t>
      </w:r>
    </w:p>
    <w:p w14:paraId="08277369">
      <w:pPr>
        <w:pStyle w:val="36"/>
        <w:rPr>
          <w:rFonts w:hint="eastAsia" w:ascii="宋体" w:hAnsi="宋体"/>
          <w:szCs w:val="21"/>
        </w:rPr>
      </w:pPr>
    </w:p>
    <w:p w14:paraId="587011F7">
      <w:pPr>
        <w:rPr>
          <w:rFonts w:hint="eastAsia" w:ascii="宋体" w:hAnsi="宋体"/>
          <w:szCs w:val="21"/>
        </w:rPr>
      </w:pPr>
    </w:p>
    <w:p w14:paraId="5CC2ED31">
      <w:pPr>
        <w:pStyle w:val="36"/>
        <w:rPr>
          <w:rFonts w:hint="eastAsia"/>
        </w:rPr>
      </w:pPr>
    </w:p>
    <w:p w14:paraId="034248AC">
      <w:pPr>
        <w:shd w:val="clear"/>
        <w:ind w:firstLine="0" w:firstLineChars="0"/>
        <w:jc w:val="left"/>
        <w:outlineLvl w:val="1"/>
        <w:rPr>
          <w:rFonts w:hint="eastAsia" w:ascii="宋体" w:hAnsi="宋体" w:eastAsia="宋体" w:cs="宋体"/>
          <w:b/>
          <w:bCs/>
          <w:color w:val="auto"/>
          <w:highlight w:val="none"/>
          <w:lang w:eastAsia="zh-CN" w:bidi="ar"/>
        </w:rPr>
      </w:pPr>
      <w:r>
        <w:rPr>
          <w:rFonts w:hint="eastAsia" w:ascii="宋体" w:hAnsi="宋体" w:cs="宋体"/>
          <w:b/>
          <w:bCs/>
          <w:color w:val="auto"/>
          <w:highlight w:val="none"/>
          <w:lang w:bidi="ar"/>
        </w:rPr>
        <w:t>附件</w:t>
      </w:r>
      <w:bookmarkEnd w:id="1438"/>
      <w:r>
        <w:rPr>
          <w:rFonts w:hint="eastAsia" w:ascii="宋体" w:hAnsi="宋体" w:cs="宋体"/>
          <w:b/>
          <w:bCs/>
          <w:color w:val="auto"/>
          <w:highlight w:val="none"/>
          <w:lang w:val="en-US" w:eastAsia="zh-CN" w:bidi="ar"/>
        </w:rPr>
        <w:t>4</w:t>
      </w:r>
    </w:p>
    <w:p w14:paraId="60B42CCB">
      <w:pPr>
        <w:shd w:val="clear"/>
        <w:adjustRightInd w:val="0"/>
        <w:snapToGrid w:val="0"/>
        <w:ind w:firstLine="0" w:firstLineChars="0"/>
        <w:jc w:val="center"/>
        <w:textAlignment w:val="baseline"/>
        <w:rPr>
          <w:rFonts w:ascii="宋体" w:hAnsi="宋体"/>
          <w:color w:val="auto"/>
          <w:sz w:val="32"/>
          <w:szCs w:val="32"/>
          <w:highlight w:val="none"/>
        </w:rPr>
      </w:pPr>
      <w:r>
        <w:rPr>
          <w:rFonts w:hint="eastAsia" w:ascii="宋体" w:hAnsi="宋体"/>
          <w:b/>
          <w:color w:val="auto"/>
          <w:sz w:val="32"/>
          <w:szCs w:val="32"/>
          <w:highlight w:val="none"/>
        </w:rPr>
        <w:t>磋 商 函</w:t>
      </w:r>
    </w:p>
    <w:p w14:paraId="16AED3E2">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 xml:space="preserve">                </w:t>
      </w:r>
      <w:r>
        <w:rPr>
          <w:rFonts w:hint="eastAsia" w:ascii="宋体" w:hAnsi="宋体"/>
          <w:color w:val="auto"/>
          <w:highlight w:val="none"/>
        </w:rPr>
        <w:t>：</w:t>
      </w:r>
    </w:p>
    <w:p w14:paraId="3B42C3BF">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__________________(供应商全称)系中华人民共和国合法企业，现授权_________ (授权委托人姓名</w:t>
      </w:r>
      <w:r>
        <w:rPr>
          <w:rFonts w:hint="eastAsia" w:ascii="宋体" w:hAnsi="宋体"/>
          <w:color w:val="auto"/>
          <w:highlight w:val="none"/>
          <w:u w:val="single"/>
        </w:rPr>
        <w:t>)          (</w:t>
      </w:r>
      <w:r>
        <w:rPr>
          <w:rFonts w:hint="eastAsia" w:ascii="宋体" w:hAnsi="宋体"/>
          <w:color w:val="auto"/>
          <w:highlight w:val="none"/>
        </w:rPr>
        <w:t>职务、职称)为全权代表，参加贵方组织的</w:t>
      </w:r>
      <w:r>
        <w:rPr>
          <w:rFonts w:hint="eastAsia" w:ascii="宋体" w:hAnsi="宋体"/>
          <w:color w:val="auto"/>
          <w:highlight w:val="none"/>
          <w:u w:val="single"/>
        </w:rPr>
        <w:t xml:space="preserve">                （</w:t>
      </w:r>
      <w:r>
        <w:rPr>
          <w:rFonts w:hint="eastAsia" w:ascii="宋体" w:hAnsi="宋体"/>
          <w:color w:val="auto"/>
          <w:highlight w:val="none"/>
        </w:rPr>
        <w:t>采购项目名称)采购的有关活动，并对此项目进行磋商。为便于贵方公正、择优地确定</w:t>
      </w:r>
      <w:r>
        <w:rPr>
          <w:rFonts w:hint="eastAsia" w:ascii="宋体" w:hAnsi="宋体"/>
          <w:color w:val="auto"/>
          <w:highlight w:val="none"/>
          <w:lang w:eastAsia="zh-CN"/>
        </w:rPr>
        <w:t>乙方</w:t>
      </w:r>
      <w:r>
        <w:rPr>
          <w:rFonts w:hint="eastAsia" w:ascii="宋体" w:hAnsi="宋体"/>
          <w:color w:val="auto"/>
          <w:highlight w:val="none"/>
        </w:rPr>
        <w:t>，我方就本次磋商有关事项郑重承诺如下：</w:t>
      </w:r>
    </w:p>
    <w:p w14:paraId="6CEA7F45">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1.我方向贵方提交的所有磋商响应文件、资料都是准确的和真实的。</w:t>
      </w:r>
    </w:p>
    <w:p w14:paraId="0FDB9766">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2.我方承诺已经具备《中华人民共和国政府采购法》中规定的参加</w:t>
      </w:r>
      <w:r>
        <w:rPr>
          <w:rFonts w:hint="eastAsia" w:ascii="宋体" w:hAnsi="宋体"/>
          <w:color w:val="auto"/>
          <w:highlight w:val="none"/>
          <w:lang w:eastAsia="zh-CN"/>
        </w:rPr>
        <w:t>采购</w:t>
      </w:r>
      <w:r>
        <w:rPr>
          <w:rFonts w:hint="eastAsia" w:ascii="宋体" w:hAnsi="宋体"/>
          <w:color w:val="auto"/>
          <w:highlight w:val="none"/>
        </w:rPr>
        <w:t>活动的供应商应当具备的条件：</w:t>
      </w:r>
    </w:p>
    <w:p w14:paraId="27FBD837">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（1）具有独立承担民事责任的能力；</w:t>
      </w:r>
    </w:p>
    <w:p w14:paraId="56431922">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（2）遵守国家法律、行政法规，具有良好的信誉和商业道德；</w:t>
      </w:r>
    </w:p>
    <w:p w14:paraId="357E6008">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（3）具有履行合同的能力和良好</w:t>
      </w:r>
      <w:r>
        <w:rPr>
          <w:rFonts w:hint="eastAsia" w:ascii="宋体" w:hAnsi="宋体"/>
          <w:color w:val="auto"/>
          <w:highlight w:val="none"/>
          <w:lang w:eastAsia="zh-CN"/>
        </w:rPr>
        <w:t>的</w:t>
      </w:r>
      <w:r>
        <w:rPr>
          <w:rFonts w:hint="eastAsia" w:ascii="宋体" w:hAnsi="宋体"/>
          <w:color w:val="auto"/>
          <w:highlight w:val="none"/>
        </w:rPr>
        <w:t>履行合同记录；</w:t>
      </w:r>
    </w:p>
    <w:p w14:paraId="699E7831">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（4）具有良好的资金、财务状况及依法缴纳税收和社会保障资金的记录；</w:t>
      </w:r>
    </w:p>
    <w:p w14:paraId="5EC36AF0">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（5）前三年内没有违反</w:t>
      </w:r>
      <w:r>
        <w:rPr>
          <w:rFonts w:hint="eastAsia" w:ascii="宋体" w:hAnsi="宋体"/>
          <w:color w:val="auto"/>
          <w:highlight w:val="none"/>
          <w:lang w:eastAsia="zh-CN"/>
        </w:rPr>
        <w:t>采购</w:t>
      </w:r>
      <w:r>
        <w:rPr>
          <w:rFonts w:hint="eastAsia" w:ascii="宋体" w:hAnsi="宋体"/>
          <w:color w:val="auto"/>
          <w:highlight w:val="none"/>
        </w:rPr>
        <w:t>法规、政策的记录；</w:t>
      </w:r>
    </w:p>
    <w:p w14:paraId="74D421F3">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（6）没有发生重大经济纠纷、经济犯罪和走私犯罪记录；</w:t>
      </w:r>
    </w:p>
    <w:p w14:paraId="6E1BE5D4">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3.提供供应商须知规定的全部磋商响应文件，包括：</w:t>
      </w:r>
    </w:p>
    <w:p w14:paraId="0E2E6304">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竞争性磋商响应文件</w:t>
      </w:r>
    </w:p>
    <w:p w14:paraId="353CD55D">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供应商须知要求的供应商提交的全部文件；</w:t>
      </w:r>
    </w:p>
    <w:p w14:paraId="531088CB">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4.如成交，我方将保证忠实地执行双方所签订的合同，并承担合同规定的责任和义务。</w:t>
      </w:r>
    </w:p>
    <w:p w14:paraId="0E4E8857">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5.</w:t>
      </w:r>
      <w:r>
        <w:rPr>
          <w:rFonts w:hint="eastAsia" w:ascii="宋体" w:hAnsi="宋体"/>
          <w:color w:val="auto"/>
          <w:highlight w:val="none"/>
          <w:lang w:val="en-US" w:eastAsia="zh-CN"/>
        </w:rPr>
        <w:t>服务期限</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645DF99B">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6.保证遵守磋商文件中的其他有关条款。</w:t>
      </w:r>
    </w:p>
    <w:p w14:paraId="4E11899D">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7.我方的磋商响应有效期</w:t>
      </w:r>
      <w:r>
        <w:rPr>
          <w:rFonts w:hint="eastAsia" w:ascii="宋体" w:hAnsi="宋体"/>
          <w:color w:val="auto"/>
          <w:highlight w:val="none"/>
          <w:lang w:eastAsia="zh-CN"/>
        </w:rPr>
        <w:t>自</w:t>
      </w:r>
      <w:r>
        <w:rPr>
          <w:rFonts w:hint="eastAsia" w:ascii="宋体" w:hAnsi="宋体"/>
          <w:color w:val="auto"/>
          <w:highlight w:val="none"/>
        </w:rPr>
        <w:t>开标日起90天内有效。</w:t>
      </w:r>
    </w:p>
    <w:p w14:paraId="4A5B5A3A">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8.我方在磋商响应之前已经与贵方进行了充分的沟通，完全理解并接受磋商文件的各项规定和要求，对磋商文件的合理性、合法性不再有异议。</w:t>
      </w:r>
    </w:p>
    <w:p w14:paraId="69483E02">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9.我方愿意向贵方提供真实完整的任何与该项磋商响应有关的数据、情况和技术资料。若贵方需要，我方愿意提供我方</w:t>
      </w:r>
      <w:r>
        <w:rPr>
          <w:rFonts w:hint="eastAsia" w:ascii="宋体" w:hAnsi="宋体"/>
          <w:color w:val="auto"/>
          <w:highlight w:val="none"/>
          <w:lang w:eastAsia="zh-CN"/>
        </w:rPr>
        <w:t>做出</w:t>
      </w:r>
      <w:r>
        <w:rPr>
          <w:rFonts w:hint="eastAsia" w:ascii="宋体" w:hAnsi="宋体"/>
          <w:color w:val="auto"/>
          <w:highlight w:val="none"/>
        </w:rPr>
        <w:t>的一切承诺的证明材料。</w:t>
      </w:r>
    </w:p>
    <w:p w14:paraId="2B8B35A2">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10.我方已详细审核全部磋商文件，包括磋商文件的澄清或修改文件（如有的话）、参考资料及有关附件，已经了解我方对于磋商文件、采购过程、采购结果有依法进行询问、质疑、投诉的权利及相关渠道和要求。</w:t>
      </w:r>
    </w:p>
    <w:p w14:paraId="2E9DC47F">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11.我方将严格遵守《中华人民共和国政府采购法》第七十七条规定：供应商有下列情形之一的，处以采购金额5‰以上10‰以下的罚款，列入不良行为记录名单，在一至三年内禁止参加</w:t>
      </w:r>
      <w:r>
        <w:rPr>
          <w:rFonts w:hint="eastAsia" w:ascii="宋体" w:hAnsi="宋体"/>
          <w:color w:val="auto"/>
          <w:highlight w:val="none"/>
          <w:lang w:eastAsia="zh-CN"/>
        </w:rPr>
        <w:t>采购</w:t>
      </w:r>
      <w:r>
        <w:rPr>
          <w:rFonts w:hint="eastAsia" w:ascii="宋体" w:hAnsi="宋体"/>
          <w:color w:val="auto"/>
          <w:highlight w:val="none"/>
        </w:rPr>
        <w:t>活动；有违法所得的，并处没收违法所得；情节严重的，由工商行政管理机关吊销营业执照；构成犯罪的，依法追究刑事责任：</w:t>
      </w:r>
    </w:p>
    <w:p w14:paraId="687E91EB">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（一）提供虚假材料谋取</w:t>
      </w:r>
      <w:r>
        <w:rPr>
          <w:rFonts w:hint="eastAsia" w:ascii="宋体" w:hAnsi="宋体"/>
          <w:color w:val="auto"/>
          <w:highlight w:val="none"/>
          <w:lang w:eastAsia="zh-CN"/>
        </w:rPr>
        <w:t>中标、成交</w:t>
      </w:r>
      <w:r>
        <w:rPr>
          <w:rFonts w:hint="eastAsia" w:ascii="宋体" w:hAnsi="宋体"/>
          <w:color w:val="auto"/>
          <w:highlight w:val="none"/>
        </w:rPr>
        <w:t>的；</w:t>
      </w:r>
    </w:p>
    <w:p w14:paraId="00AD8D69">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（二）采取不正当手段诋毁、排挤其他供应商的；</w:t>
      </w:r>
    </w:p>
    <w:p w14:paraId="4B9F4069">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（三）与采购人、</w:t>
      </w:r>
      <w:r>
        <w:rPr>
          <w:rFonts w:hint="eastAsia" w:ascii="宋体" w:hAnsi="宋体"/>
          <w:color w:val="auto"/>
          <w:highlight w:val="none"/>
          <w:lang w:eastAsia="zh-CN"/>
        </w:rPr>
        <w:t>其他</w:t>
      </w:r>
      <w:r>
        <w:rPr>
          <w:rFonts w:hint="eastAsia" w:ascii="宋体" w:hAnsi="宋体"/>
          <w:color w:val="auto"/>
          <w:highlight w:val="none"/>
        </w:rPr>
        <w:t>供应商或者采购代理机构恶意串通的；</w:t>
      </w:r>
    </w:p>
    <w:p w14:paraId="77F40D98">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（四）向采购人、采购代理机构行贿或者提供其他不正当利益的；</w:t>
      </w:r>
    </w:p>
    <w:p w14:paraId="1C1AD2FE">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（五）在磋商采购过程中与采购人进行协商磋商的；</w:t>
      </w:r>
    </w:p>
    <w:p w14:paraId="56B98687">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（六）拒绝有关部门监督检查或提供虚假情况的。</w:t>
      </w:r>
    </w:p>
    <w:p w14:paraId="2EA0A49B">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r>
        <w:rPr>
          <w:rFonts w:hint="eastAsia" w:ascii="宋体" w:hAnsi="宋体"/>
          <w:color w:val="auto"/>
          <w:highlight w:val="none"/>
        </w:rPr>
        <w:t>12.如</w:t>
      </w:r>
      <w:r>
        <w:rPr>
          <w:rFonts w:hint="eastAsia" w:ascii="宋体" w:hAnsi="宋体"/>
          <w:color w:val="auto"/>
          <w:highlight w:val="none"/>
          <w:lang w:eastAsia="zh-CN"/>
        </w:rPr>
        <w:t>成交</w:t>
      </w:r>
      <w:r>
        <w:rPr>
          <w:rFonts w:hint="eastAsia" w:ascii="宋体" w:hAnsi="宋体"/>
          <w:color w:val="auto"/>
          <w:highlight w:val="none"/>
        </w:rPr>
        <w:t>，本磋商响应文件至本项目合同履行完毕止均保持有效，本供应商将按“</w:t>
      </w:r>
      <w:r>
        <w:rPr>
          <w:rFonts w:hint="eastAsia" w:ascii="宋体" w:hAnsi="宋体"/>
          <w:color w:val="auto"/>
          <w:highlight w:val="none"/>
          <w:lang w:eastAsia="zh-CN"/>
        </w:rPr>
        <w:t>磋商文件</w:t>
      </w:r>
      <w:r>
        <w:rPr>
          <w:rFonts w:hint="eastAsia" w:ascii="宋体" w:hAnsi="宋体"/>
          <w:color w:val="auto"/>
          <w:highlight w:val="none"/>
        </w:rPr>
        <w:t>”及</w:t>
      </w:r>
      <w:r>
        <w:rPr>
          <w:rFonts w:hint="eastAsia" w:ascii="宋体" w:hAnsi="宋体"/>
          <w:color w:val="auto"/>
          <w:highlight w:val="none"/>
          <w:lang w:eastAsia="zh-CN"/>
        </w:rPr>
        <w:t>采购法律法规</w:t>
      </w:r>
      <w:r>
        <w:rPr>
          <w:rFonts w:hint="eastAsia" w:ascii="宋体" w:hAnsi="宋体"/>
          <w:color w:val="auto"/>
          <w:highlight w:val="none"/>
        </w:rPr>
        <w:t>的规定履行合同责任和义务。</w:t>
      </w:r>
    </w:p>
    <w:p w14:paraId="5EA46C34">
      <w:pPr>
        <w:keepNext w:val="0"/>
        <w:keepLines w:val="0"/>
        <w:pageBreakBefore w:val="0"/>
        <w:widowControl w:val="0"/>
        <w:shd w:val="clear"/>
        <w:kinsoku/>
        <w:wordWrap/>
        <w:overflowPunct/>
        <w:topLinePunct w:val="0"/>
        <w:autoSpaceDE/>
        <w:autoSpaceDN/>
        <w:bidi w:val="0"/>
        <w:adjustRightInd/>
        <w:spacing w:line="312" w:lineRule="auto"/>
        <w:ind w:firstLine="960" w:firstLineChars="400"/>
        <w:textAlignment w:val="auto"/>
        <w:rPr>
          <w:rFonts w:ascii="宋体" w:hAnsi="宋体"/>
          <w:color w:val="auto"/>
          <w:highlight w:val="none"/>
        </w:rPr>
      </w:pPr>
      <w:r>
        <w:rPr>
          <w:rFonts w:hint="eastAsia" w:ascii="宋体" w:hAnsi="宋体"/>
          <w:color w:val="auto"/>
          <w:highlight w:val="none"/>
        </w:rPr>
        <w:t>与本磋商响应有关的一切正式往来信函请寄：</w:t>
      </w:r>
    </w:p>
    <w:p w14:paraId="2ACE931C">
      <w:pPr>
        <w:keepNext w:val="0"/>
        <w:keepLines w:val="0"/>
        <w:pageBreakBefore w:val="0"/>
        <w:widowControl w:val="0"/>
        <w:shd w:val="clear"/>
        <w:kinsoku/>
        <w:wordWrap/>
        <w:overflowPunct/>
        <w:topLinePunct w:val="0"/>
        <w:autoSpaceDE/>
        <w:autoSpaceDN/>
        <w:bidi w:val="0"/>
        <w:adjustRightInd/>
        <w:spacing w:line="312" w:lineRule="auto"/>
        <w:ind w:firstLine="960" w:firstLineChars="400"/>
        <w:textAlignment w:val="auto"/>
        <w:rPr>
          <w:rFonts w:ascii="宋体" w:hAnsi="宋体"/>
          <w:color w:val="auto"/>
          <w:highlight w:val="none"/>
        </w:rPr>
      </w:pPr>
      <w:r>
        <w:rPr>
          <w:rFonts w:hint="eastAsia" w:ascii="宋体" w:hAnsi="宋体"/>
          <w:color w:val="auto"/>
          <w:highlight w:val="none"/>
        </w:rPr>
        <w:t>地址：______________________________     邮编：____________</w:t>
      </w:r>
    </w:p>
    <w:p w14:paraId="0C08F396">
      <w:pPr>
        <w:keepNext w:val="0"/>
        <w:keepLines w:val="0"/>
        <w:pageBreakBefore w:val="0"/>
        <w:widowControl w:val="0"/>
        <w:shd w:val="clear"/>
        <w:kinsoku/>
        <w:wordWrap/>
        <w:overflowPunct/>
        <w:topLinePunct w:val="0"/>
        <w:autoSpaceDE/>
        <w:autoSpaceDN/>
        <w:bidi w:val="0"/>
        <w:adjustRightInd/>
        <w:spacing w:line="312" w:lineRule="auto"/>
        <w:ind w:firstLine="960" w:firstLineChars="400"/>
        <w:textAlignment w:val="auto"/>
        <w:rPr>
          <w:rFonts w:ascii="宋体" w:hAnsi="宋体"/>
          <w:b/>
          <w:bCs/>
          <w:color w:val="auto"/>
          <w:kern w:val="0"/>
          <w:szCs w:val="21"/>
          <w:highlight w:val="none"/>
        </w:rPr>
      </w:pPr>
      <w:r>
        <w:rPr>
          <w:rFonts w:hint="eastAsia" w:ascii="宋体" w:hAnsi="宋体"/>
          <w:color w:val="auto"/>
          <w:highlight w:val="none"/>
        </w:rPr>
        <w:t>电话：______________________________     传真：_________</w:t>
      </w:r>
      <w:r>
        <w:rPr>
          <w:rFonts w:hint="eastAsia" w:ascii="宋体" w:hAnsi="宋体"/>
          <w:color w:val="auto"/>
          <w:szCs w:val="21"/>
          <w:highlight w:val="none"/>
        </w:rPr>
        <w:t>___</w:t>
      </w:r>
    </w:p>
    <w:p w14:paraId="531EAC0A">
      <w:pPr>
        <w:keepNext w:val="0"/>
        <w:keepLines w:val="0"/>
        <w:pageBreakBefore w:val="0"/>
        <w:widowControl w:val="0"/>
        <w:shd w:val="clear"/>
        <w:kinsoku/>
        <w:wordWrap/>
        <w:overflowPunct/>
        <w:topLinePunct w:val="0"/>
        <w:autoSpaceDE/>
        <w:autoSpaceDN/>
        <w:bidi w:val="0"/>
        <w:adjustRightInd/>
        <w:spacing w:line="312" w:lineRule="auto"/>
        <w:ind w:firstLine="480"/>
        <w:textAlignment w:val="auto"/>
        <w:rPr>
          <w:rFonts w:ascii="宋体" w:hAnsi="宋体"/>
          <w:color w:val="auto"/>
          <w:highlight w:val="none"/>
        </w:rPr>
      </w:pPr>
    </w:p>
    <w:p w14:paraId="723A5EFD">
      <w:pPr>
        <w:keepNext w:val="0"/>
        <w:keepLines w:val="0"/>
        <w:pageBreakBefore w:val="0"/>
        <w:widowControl w:val="0"/>
        <w:shd w:val="clear"/>
        <w:kinsoku/>
        <w:wordWrap/>
        <w:overflowPunct/>
        <w:topLinePunct w:val="0"/>
        <w:autoSpaceDE/>
        <w:autoSpaceDN/>
        <w:bidi w:val="0"/>
        <w:adjustRightInd/>
        <w:snapToGrid w:val="0"/>
        <w:spacing w:line="312" w:lineRule="auto"/>
        <w:ind w:firstLine="3840" w:firstLineChars="1600"/>
        <w:textAlignment w:val="auto"/>
        <w:rPr>
          <w:rFonts w:hint="eastAsia" w:ascii="宋体" w:hAnsi="宋体"/>
          <w:color w:val="auto"/>
          <w:highlight w:val="none"/>
          <w:lang w:val="zh-CN"/>
        </w:rPr>
      </w:pPr>
    </w:p>
    <w:p w14:paraId="5101E0A1">
      <w:pPr>
        <w:keepNext w:val="0"/>
        <w:keepLines w:val="0"/>
        <w:pageBreakBefore w:val="0"/>
        <w:widowControl w:val="0"/>
        <w:shd w:val="clear"/>
        <w:kinsoku/>
        <w:wordWrap/>
        <w:overflowPunct/>
        <w:topLinePunct w:val="0"/>
        <w:autoSpaceDE/>
        <w:autoSpaceDN/>
        <w:bidi w:val="0"/>
        <w:adjustRightInd/>
        <w:snapToGrid w:val="0"/>
        <w:spacing w:line="312" w:lineRule="auto"/>
        <w:ind w:firstLine="3840" w:firstLineChars="1600"/>
        <w:textAlignment w:val="auto"/>
        <w:rPr>
          <w:rFonts w:hint="eastAsia" w:ascii="宋体" w:hAnsi="宋体"/>
          <w:color w:val="auto"/>
          <w:highlight w:val="none"/>
          <w:lang w:val="zh-CN"/>
        </w:rPr>
      </w:pPr>
    </w:p>
    <w:p w14:paraId="7ED789F5">
      <w:pPr>
        <w:shd w:val="clear"/>
        <w:snapToGrid w:val="0"/>
        <w:spacing w:line="480" w:lineRule="exact"/>
        <w:ind w:firstLine="3840" w:firstLineChars="1600"/>
        <w:rPr>
          <w:rFonts w:ascii="宋体" w:hAnsi="宋体"/>
          <w:color w:val="auto"/>
          <w:highlight w:val="none"/>
          <w:lang w:val="zh-CN"/>
        </w:rPr>
      </w:pPr>
      <w:bookmarkStart w:id="1474" w:name="_Toc5756"/>
      <w:r>
        <w:rPr>
          <w:rFonts w:hint="eastAsia" w:ascii="宋体" w:hAnsi="宋体"/>
          <w:color w:val="auto"/>
          <w:highlight w:val="none"/>
          <w:lang w:val="zh-CN"/>
        </w:rPr>
        <w:t>供应商名称（盖章）：</w:t>
      </w:r>
    </w:p>
    <w:p w14:paraId="7CEC9FE2">
      <w:pPr>
        <w:shd w:val="clear"/>
        <w:snapToGrid w:val="0"/>
        <w:spacing w:line="480" w:lineRule="exact"/>
        <w:ind w:firstLine="3840" w:firstLineChars="1600"/>
        <w:rPr>
          <w:rFonts w:ascii="宋体" w:hAnsi="宋体"/>
          <w:color w:val="auto"/>
          <w:highlight w:val="none"/>
        </w:rPr>
      </w:pPr>
      <w:r>
        <w:rPr>
          <w:rFonts w:hint="eastAsia" w:ascii="宋体" w:hAnsi="宋体"/>
          <w:color w:val="auto"/>
          <w:highlight w:val="none"/>
          <w:lang w:val="zh-CN"/>
        </w:rPr>
        <w:t>法定代表人或授权委托人（签字或盖章）：</w:t>
      </w:r>
    </w:p>
    <w:p w14:paraId="78623ACD">
      <w:pPr>
        <w:shd w:val="clear"/>
        <w:snapToGrid w:val="0"/>
        <w:spacing w:line="480" w:lineRule="exact"/>
        <w:ind w:firstLine="3840" w:firstLineChars="1600"/>
        <w:rPr>
          <w:color w:val="auto"/>
          <w:highlight w:val="none"/>
        </w:rPr>
        <w:sectPr>
          <w:headerReference r:id="rId8" w:type="default"/>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720" w:num="1"/>
          <w:docGrid w:type="lines" w:linePitch="312" w:charSpace="0"/>
        </w:sectPr>
      </w:pPr>
      <w:r>
        <w:rPr>
          <w:rFonts w:hint="eastAsia" w:ascii="宋体" w:hAnsi="宋体"/>
          <w:color w:val="auto"/>
          <w:highlight w:val="none"/>
          <w:lang w:val="zh-CN"/>
        </w:rPr>
        <w:t>日期：     年   月   日</w:t>
      </w:r>
    </w:p>
    <w:p w14:paraId="7DBDCA6A">
      <w:pPr>
        <w:shd w:val="clear"/>
        <w:spacing w:line="360" w:lineRule="auto"/>
        <w:ind w:firstLine="0" w:firstLineChars="0"/>
        <w:jc w:val="left"/>
        <w:outlineLvl w:val="0"/>
        <w:rPr>
          <w:rFonts w:hint="default" w:ascii="宋体" w:hAnsi="宋体" w:eastAsia="宋体"/>
          <w:b/>
          <w:color w:val="auto"/>
          <w:sz w:val="30"/>
          <w:szCs w:val="30"/>
          <w:highlight w:val="none"/>
          <w:lang w:val="en-US" w:eastAsia="zh-CN"/>
        </w:rPr>
      </w:pPr>
      <w:r>
        <w:rPr>
          <w:rStyle w:val="117"/>
          <w:rFonts w:hint="eastAsia" w:ascii="宋体" w:hAnsi="宋体" w:eastAsia="宋体" w:cs="宋体"/>
          <w:color w:val="auto"/>
          <w:szCs w:val="28"/>
          <w:highlight w:val="none"/>
          <w:lang w:val="zh-CN"/>
        </w:rPr>
        <w:t>附件</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74"/>
      <w:r>
        <w:rPr>
          <w:rStyle w:val="117"/>
          <w:rFonts w:hint="eastAsia" w:ascii="宋体" w:hAnsi="宋体" w:cs="宋体"/>
          <w:color w:val="auto"/>
          <w:szCs w:val="28"/>
          <w:highlight w:val="none"/>
          <w:lang w:val="en-US" w:eastAsia="zh-CN"/>
        </w:rPr>
        <w:t>5</w:t>
      </w:r>
    </w:p>
    <w:p w14:paraId="01F8AF56">
      <w:pPr>
        <w:pStyle w:val="4"/>
        <w:numPr>
          <w:ilvl w:val="1"/>
          <w:numId w:val="0"/>
        </w:numPr>
        <w:shd w:val="clear"/>
        <w:spacing w:before="156" w:after="156"/>
        <w:ind w:leftChars="0"/>
        <w:jc w:val="center"/>
        <w:rPr>
          <w:rFonts w:hint="eastAsia" w:ascii="Times New Roman" w:hAnsi="Times New Roman" w:cs="宋体"/>
          <w:b/>
          <w:color w:val="auto"/>
          <w:szCs w:val="30"/>
          <w:highlight w:val="none"/>
          <w:lang w:val="en-GB"/>
        </w:rPr>
      </w:pPr>
      <w:bookmarkStart w:id="1475" w:name="_Toc32680"/>
      <w:bookmarkStart w:id="1476" w:name="_Toc12286"/>
      <w:bookmarkStart w:id="1477" w:name="_Toc24272"/>
      <w:bookmarkStart w:id="1478" w:name="_Toc25982"/>
      <w:bookmarkStart w:id="1479" w:name="_Toc28549"/>
      <w:bookmarkStart w:id="1480" w:name="_Toc17669"/>
      <w:bookmarkStart w:id="1481" w:name="_Toc22518"/>
      <w:bookmarkStart w:id="1482" w:name="_Toc22110"/>
      <w:bookmarkStart w:id="1483" w:name="_Toc6889"/>
      <w:bookmarkStart w:id="1484" w:name="_Toc30503"/>
      <w:bookmarkStart w:id="1485" w:name="_Toc27670"/>
      <w:bookmarkStart w:id="1486" w:name="_Toc13710"/>
      <w:bookmarkStart w:id="1487" w:name="_Toc10964"/>
      <w:bookmarkStart w:id="1488" w:name="_Toc31861"/>
      <w:bookmarkStart w:id="1489" w:name="_Toc1477"/>
      <w:bookmarkStart w:id="1490" w:name="_Toc16942"/>
      <w:bookmarkStart w:id="1491" w:name="_Toc8666"/>
      <w:bookmarkStart w:id="1492" w:name="_Toc21652"/>
      <w:bookmarkStart w:id="1493" w:name="_Toc22257"/>
      <w:bookmarkStart w:id="1494" w:name="_Toc4350"/>
      <w:bookmarkStart w:id="1495" w:name="_Toc14716"/>
      <w:bookmarkStart w:id="1496" w:name="_Toc1093"/>
      <w:bookmarkStart w:id="1497" w:name="_Toc11205"/>
      <w:bookmarkStart w:id="1498" w:name="_Toc27843"/>
      <w:bookmarkStart w:id="1499" w:name="_Toc17718"/>
      <w:bookmarkStart w:id="1500" w:name="_Toc20078"/>
      <w:r>
        <w:rPr>
          <w:rFonts w:hint="eastAsia" w:ascii="Times New Roman" w:hAnsi="Times New Roman" w:cs="宋体"/>
          <w:b/>
          <w:color w:val="auto"/>
          <w:szCs w:val="30"/>
          <w:highlight w:val="none"/>
          <w:lang w:val="en-GB"/>
        </w:rPr>
        <w:t>（一）法定代表人身份证明</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14:paraId="279C2DCF">
      <w:pPr>
        <w:shd w:val="clear"/>
        <w:spacing w:line="440" w:lineRule="exact"/>
        <w:ind w:firstLine="400"/>
        <w:rPr>
          <w:rFonts w:ascii="宋体" w:cs="宋体"/>
          <w:color w:val="auto"/>
          <w:sz w:val="20"/>
          <w:szCs w:val="20"/>
          <w:highlight w:val="none"/>
        </w:rPr>
      </w:pPr>
    </w:p>
    <w:p w14:paraId="631E670F">
      <w:pPr>
        <w:shd w:val="clear"/>
        <w:spacing w:line="440" w:lineRule="exact"/>
        <w:ind w:firstLine="480"/>
        <w:rPr>
          <w:rFonts w:ascii="宋体" w:cs="宋体"/>
          <w:color w:val="auto"/>
          <w:szCs w:val="21"/>
          <w:highlight w:val="none"/>
        </w:rPr>
      </w:pPr>
    </w:p>
    <w:p w14:paraId="774925A8">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24E4A9A7">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单位性质：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5EF953CE">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地址：</w:t>
      </w:r>
      <w:r>
        <w:rPr>
          <w:rFonts w:ascii="宋体" w:hAnsi="宋体" w:cs="宋体"/>
          <w:color w:val="auto"/>
          <w:szCs w:val="21"/>
          <w:highlight w:val="none"/>
          <w:u w:val="single"/>
        </w:rPr>
        <w:t xml:space="preserve">                                   </w:t>
      </w:r>
    </w:p>
    <w:p w14:paraId="6A1BDF4E">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成立时间：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540BB354">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经营期限：</w:t>
      </w:r>
      <w:r>
        <w:rPr>
          <w:rFonts w:ascii="宋体" w:hAnsi="宋体" w:cs="宋体"/>
          <w:color w:val="auto"/>
          <w:szCs w:val="21"/>
          <w:highlight w:val="none"/>
          <w:u w:val="single"/>
        </w:rPr>
        <w:t xml:space="preserve">                               </w:t>
      </w:r>
    </w:p>
    <w:p w14:paraId="579D85B6">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姓名：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性别：</w:t>
      </w:r>
      <w:r>
        <w:rPr>
          <w:rFonts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ascii="宋体" w:hAnsi="宋体" w:cs="宋体"/>
          <w:color w:val="auto"/>
          <w:szCs w:val="21"/>
          <w:highlight w:val="none"/>
          <w:u w:val="single"/>
        </w:rPr>
        <w:t xml:space="preserve">        </w:t>
      </w:r>
    </w:p>
    <w:p w14:paraId="22783298">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名称）的法定代表人。</w:t>
      </w:r>
    </w:p>
    <w:p w14:paraId="4A0831A4">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特此证明。</w:t>
      </w:r>
    </w:p>
    <w:p w14:paraId="32EE966A">
      <w:pPr>
        <w:shd w:val="clear"/>
        <w:spacing w:line="440" w:lineRule="exact"/>
        <w:ind w:firstLine="480"/>
        <w:rPr>
          <w:rFonts w:ascii="宋体" w:cs="宋体"/>
          <w:color w:val="auto"/>
          <w:szCs w:val="21"/>
          <w:highlight w:val="none"/>
        </w:rPr>
      </w:pPr>
    </w:p>
    <w:p w14:paraId="5113321D">
      <w:pPr>
        <w:shd w:val="clear"/>
        <w:spacing w:line="440" w:lineRule="exact"/>
        <w:ind w:firstLine="480"/>
        <w:rPr>
          <w:rFonts w:ascii="宋体" w:cs="宋体"/>
          <w:color w:val="auto"/>
          <w:szCs w:val="21"/>
          <w:highlight w:val="none"/>
        </w:rPr>
      </w:pPr>
    </w:p>
    <w:p w14:paraId="43306C11">
      <w:pPr>
        <w:shd w:val="clear"/>
        <w:spacing w:line="440" w:lineRule="exact"/>
        <w:ind w:firstLine="48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AD3410F">
      <w:pPr>
        <w:shd w:val="clear"/>
        <w:ind w:firstLine="0" w:firstLineChars="0"/>
        <w:jc w:val="center"/>
        <w:outlineLvl w:val="0"/>
        <w:rPr>
          <w:rFonts w:asci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bookmarkStart w:id="1501" w:name="_Toc31160"/>
      <w:bookmarkStart w:id="1502" w:name="_Toc22714"/>
      <w:bookmarkStart w:id="1503" w:name="_Toc28078"/>
      <w:bookmarkStart w:id="1504" w:name="_Toc20713"/>
      <w:bookmarkStart w:id="1505" w:name="_Toc10861"/>
      <w:bookmarkStart w:id="1506" w:name="_Toc10004"/>
      <w:bookmarkStart w:id="1507" w:name="_Toc21833"/>
      <w:bookmarkStart w:id="1508" w:name="_Toc28444"/>
      <w:bookmarkStart w:id="1509" w:name="_Toc29970"/>
      <w:bookmarkStart w:id="1510" w:name="_Toc19015"/>
      <w:bookmarkStart w:id="1511" w:name="_Toc22795"/>
      <w:bookmarkStart w:id="1512" w:name="_Toc21947"/>
      <w:bookmarkStart w:id="1513" w:name="_Toc29931"/>
      <w:bookmarkStart w:id="1514" w:name="_Toc6331"/>
      <w:bookmarkStart w:id="1515" w:name="_Toc11204"/>
      <w:bookmarkStart w:id="1516" w:name="_Toc12460"/>
      <w:bookmarkStart w:id="1517" w:name="_Toc6606"/>
      <w:bookmarkStart w:id="1518" w:name="_Toc2147"/>
      <w:bookmarkStart w:id="1519" w:name="_Toc24982"/>
      <w:bookmarkStart w:id="1520" w:name="_Toc9135"/>
      <w:bookmarkStart w:id="1521" w:name="_Toc29612"/>
      <w:bookmarkStart w:id="1522" w:name="_Toc13566"/>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r>
        <w:rPr>
          <w:rFonts w:ascii="宋体" w:hAnsi="宋体" w:cs="宋体"/>
          <w:color w:val="auto"/>
          <w:szCs w:val="21"/>
          <w:highlight w:val="none"/>
        </w:rPr>
        <w:t xml:space="preserve">      </w:t>
      </w:r>
    </w:p>
    <w:p w14:paraId="7CA1EDD7">
      <w:pPr>
        <w:shd w:val="clear"/>
        <w:ind w:firstLine="0" w:firstLineChars="0"/>
        <w:jc w:val="center"/>
        <w:rPr>
          <w:rFonts w:ascii="宋体" w:cs="宋体"/>
          <w:color w:val="auto"/>
          <w:szCs w:val="21"/>
          <w:highlight w:val="none"/>
        </w:rPr>
      </w:pPr>
    </w:p>
    <w:p w14:paraId="4A01C308">
      <w:pPr>
        <w:shd w:val="clear"/>
        <w:ind w:firstLine="0" w:firstLineChars="0"/>
        <w:jc w:val="center"/>
        <w:rPr>
          <w:rFonts w:ascii="宋体" w:cs="宋体"/>
          <w:color w:val="auto"/>
          <w:szCs w:val="21"/>
          <w:highlight w:val="none"/>
        </w:rPr>
      </w:pPr>
    </w:p>
    <w:p w14:paraId="18416718">
      <w:pPr>
        <w:pStyle w:val="54"/>
        <w:shd w:val="clear"/>
        <w:ind w:firstLine="420"/>
        <w:rPr>
          <w:rFonts w:hAnsi="宋体" w:cs="宋体"/>
          <w:color w:val="auto"/>
          <w:szCs w:val="21"/>
          <w:highlight w:val="none"/>
        </w:rPr>
      </w:pPr>
    </w:p>
    <w:tbl>
      <w:tblPr>
        <w:tblStyle w:val="4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663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14:paraId="68D705F3">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5C96CB21">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6E087DB2">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r>
              <w:rPr>
                <w:rFonts w:hint="eastAsia" w:ascii="宋体" w:hAnsi="宋体" w:cs="宋体"/>
                <w:color w:val="auto"/>
                <w:kern w:val="0"/>
                <w:highlight w:val="none"/>
              </w:rPr>
              <w:t>粘贴法人身份证复印件</w:t>
            </w:r>
          </w:p>
          <w:p w14:paraId="0455AF29">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0C610ECB">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tc>
      </w:tr>
    </w:tbl>
    <w:p w14:paraId="0B7C0571">
      <w:pPr>
        <w:shd w:val="clear"/>
        <w:ind w:firstLine="0" w:firstLineChars="0"/>
        <w:jc w:val="center"/>
        <w:rPr>
          <w:rFonts w:ascii="宋体" w:cs="宋体"/>
          <w:color w:val="auto"/>
          <w:szCs w:val="21"/>
          <w:highlight w:val="none"/>
        </w:rPr>
      </w:pPr>
    </w:p>
    <w:p w14:paraId="372FC4C9">
      <w:pPr>
        <w:shd w:val="clear"/>
        <w:ind w:firstLine="0" w:firstLineChars="0"/>
        <w:jc w:val="center"/>
        <w:rPr>
          <w:rFonts w:ascii="宋体" w:cs="宋体"/>
          <w:color w:val="auto"/>
          <w:szCs w:val="21"/>
          <w:highlight w:val="none"/>
        </w:rPr>
      </w:pPr>
    </w:p>
    <w:p w14:paraId="051A5525">
      <w:pPr>
        <w:shd w:val="clear"/>
        <w:ind w:firstLine="0" w:firstLineChars="0"/>
        <w:jc w:val="center"/>
        <w:rPr>
          <w:rFonts w:ascii="宋体" w:cs="宋体"/>
          <w:color w:val="auto"/>
          <w:szCs w:val="21"/>
          <w:highlight w:val="none"/>
        </w:rPr>
      </w:pPr>
    </w:p>
    <w:p w14:paraId="7C8DD491">
      <w:pPr>
        <w:pStyle w:val="17"/>
        <w:shd w:val="clear"/>
        <w:ind w:firstLine="480"/>
        <w:rPr>
          <w:rFonts w:ascii="宋体" w:cs="宋体"/>
          <w:color w:val="auto"/>
          <w:szCs w:val="21"/>
          <w:highlight w:val="none"/>
        </w:rPr>
      </w:pPr>
    </w:p>
    <w:p w14:paraId="5595E13A">
      <w:pPr>
        <w:shd w:val="clear"/>
        <w:rPr>
          <w:rFonts w:ascii="宋体" w:cs="宋体"/>
          <w:color w:val="auto"/>
          <w:szCs w:val="21"/>
          <w:highlight w:val="none"/>
        </w:rPr>
      </w:pPr>
    </w:p>
    <w:p w14:paraId="7D33AE53">
      <w:pPr>
        <w:pStyle w:val="37"/>
        <w:shd w:val="clear"/>
        <w:ind w:left="0" w:leftChars="0" w:firstLine="0" w:firstLineChars="0"/>
        <w:rPr>
          <w:color w:val="auto"/>
          <w:highlight w:val="none"/>
        </w:rPr>
      </w:pPr>
    </w:p>
    <w:p w14:paraId="411E680D">
      <w:pPr>
        <w:shd w:val="clear"/>
        <w:ind w:firstLine="0" w:firstLineChars="0"/>
        <w:jc w:val="center"/>
        <w:outlineLvl w:val="0"/>
        <w:rPr>
          <w:b/>
          <w:bCs/>
          <w:color w:val="auto"/>
          <w:sz w:val="30"/>
          <w:szCs w:val="30"/>
          <w:highlight w:val="none"/>
        </w:rPr>
      </w:pPr>
      <w:bookmarkStart w:id="1523" w:name="_Toc28688"/>
      <w:bookmarkStart w:id="1524" w:name="_Toc27464"/>
      <w:bookmarkStart w:id="1525" w:name="_Toc24368"/>
      <w:bookmarkStart w:id="1526" w:name="_Toc14511"/>
      <w:bookmarkStart w:id="1527" w:name="_Toc15429"/>
      <w:bookmarkStart w:id="1528" w:name="_Toc5856"/>
      <w:bookmarkStart w:id="1529" w:name="_Toc28171"/>
      <w:bookmarkStart w:id="1530" w:name="_Toc16952"/>
      <w:bookmarkStart w:id="1531" w:name="_Toc17137"/>
      <w:bookmarkStart w:id="1532" w:name="_Toc27105"/>
      <w:bookmarkStart w:id="1533" w:name="_Toc28764"/>
      <w:bookmarkStart w:id="1534" w:name="_Toc19975"/>
      <w:bookmarkStart w:id="1535" w:name="_Toc13567"/>
      <w:bookmarkStart w:id="1536" w:name="_Toc31057"/>
      <w:bookmarkStart w:id="1537" w:name="_Toc6047"/>
      <w:bookmarkStart w:id="1538" w:name="_Toc5660"/>
      <w:bookmarkStart w:id="1539" w:name="_Toc15138"/>
      <w:bookmarkStart w:id="1540" w:name="_Toc19046"/>
      <w:bookmarkStart w:id="1541" w:name="_Toc9115"/>
      <w:bookmarkStart w:id="1542" w:name="_Toc28463"/>
      <w:bookmarkStart w:id="1543" w:name="_Toc10731"/>
      <w:bookmarkStart w:id="1544" w:name="_Toc27519"/>
      <w:bookmarkStart w:id="1545" w:name="_Toc3849"/>
      <w:bookmarkStart w:id="1546" w:name="_Toc23747"/>
      <w:r>
        <w:rPr>
          <w:rFonts w:hint="eastAsia"/>
          <w:b/>
          <w:bCs/>
          <w:color w:val="auto"/>
          <w:sz w:val="30"/>
          <w:szCs w:val="30"/>
          <w:highlight w:val="none"/>
          <w:lang w:val="en-GB"/>
        </w:rPr>
        <w:t>（二）</w:t>
      </w:r>
      <w:r>
        <w:rPr>
          <w:rFonts w:hint="eastAsia" w:ascii="宋体" w:eastAsia="宋体" w:cs="宋体"/>
          <w:b/>
          <w:bCs w:val="0"/>
          <w:sz w:val="28"/>
          <w:szCs w:val="28"/>
          <w:highlight w:val="none"/>
        </w:rPr>
        <w:t>法定代表人</w:t>
      </w:r>
      <w:r>
        <w:rPr>
          <w:rFonts w:hint="eastAsia"/>
          <w:b/>
          <w:bCs/>
          <w:color w:val="auto"/>
          <w:sz w:val="30"/>
          <w:szCs w:val="30"/>
          <w:highlight w:val="none"/>
          <w:lang w:val="en-GB"/>
        </w:rPr>
        <w:t>授权委托书</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14:paraId="59C321DA">
      <w:pPr>
        <w:shd w:val="clear"/>
        <w:snapToGrid w:val="0"/>
        <w:ind w:firstLine="482"/>
        <w:jc w:val="center"/>
        <w:rPr>
          <w:rFonts w:ascii="宋体" w:cs="宋体"/>
          <w:b/>
          <w:color w:val="auto"/>
          <w:highlight w:val="none"/>
        </w:rPr>
      </w:pPr>
    </w:p>
    <w:p w14:paraId="2E1C1F70">
      <w:pPr>
        <w:shd w:val="clear"/>
        <w:ind w:firstLine="480"/>
        <w:rPr>
          <w:rFonts w:ascii="宋体" w:cs="宋体"/>
          <w:color w:val="auto"/>
          <w:highlight w:val="none"/>
          <w:lang w:val="zh-CN"/>
        </w:rPr>
      </w:pPr>
      <w:r>
        <w:rPr>
          <w:rFonts w:hint="eastAsia" w:ascii="宋体" w:hAnsi="宋体" w:cs="宋体"/>
          <w:color w:val="auto"/>
          <w:highlight w:val="none"/>
          <w:lang w:val="zh-CN"/>
        </w:rPr>
        <w:t>本人</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lang w:val="zh-CN"/>
        </w:rPr>
        <w:t>系</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（供应商名称）</w:t>
      </w:r>
      <w:r>
        <w:rPr>
          <w:rFonts w:ascii="宋体" w:hAnsi="宋体" w:cs="宋体"/>
          <w:color w:val="auto"/>
          <w:highlight w:val="none"/>
          <w:u w:val="single"/>
          <w:lang w:val="zh-CN"/>
        </w:rPr>
        <w:t xml:space="preserve">      </w:t>
      </w:r>
      <w:r>
        <w:rPr>
          <w:rFonts w:hint="eastAsia" w:ascii="宋体" w:hAnsi="宋体" w:cs="宋体"/>
          <w:color w:val="auto"/>
          <w:highlight w:val="none"/>
          <w:lang w:val="zh-CN"/>
        </w:rPr>
        <w:t>的法定代表人，现授权</w:t>
      </w:r>
    </w:p>
    <w:p w14:paraId="3D182166">
      <w:pPr>
        <w:shd w:val="clear"/>
        <w:ind w:firstLine="0" w:firstLineChars="0"/>
        <w:rPr>
          <w:rFonts w:asci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身份证号码</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hint="eastAsia" w:ascii="宋体" w:hAnsi="宋体" w:cs="宋体"/>
          <w:color w:val="auto"/>
          <w:highlight w:val="none"/>
          <w:lang w:val="zh-CN"/>
        </w:rPr>
        <w:t>为我方代理人。授权代理人根据授权对象</w:t>
      </w:r>
    </w:p>
    <w:p w14:paraId="4F6C6C12">
      <w:pPr>
        <w:shd w:val="clear"/>
        <w:ind w:firstLine="0" w:firstLineChars="0"/>
        <w:rPr>
          <w:rFonts w:asci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投</w:t>
      </w:r>
      <w:r>
        <w:rPr>
          <w:rFonts w:hint="eastAsia" w:ascii="宋体" w:hAnsi="宋体" w:cs="宋体"/>
          <w:color w:val="auto"/>
          <w:highlight w:val="none"/>
          <w:lang w:val="zh-CN"/>
        </w:rPr>
        <w:t>标，以我方名义签署、澄清、说明、补正、提交、撤回、修改相应文件，签订合同和处理有关事宜，其法律后果由我方承担。</w:t>
      </w:r>
    </w:p>
    <w:p w14:paraId="1626033A">
      <w:pPr>
        <w:shd w:val="clear"/>
        <w:ind w:firstLine="480"/>
        <w:rPr>
          <w:rFonts w:ascii="宋体" w:cs="宋体"/>
          <w:color w:val="auto"/>
          <w:highlight w:val="none"/>
          <w:lang w:val="zh-CN"/>
        </w:rPr>
      </w:pPr>
    </w:p>
    <w:p w14:paraId="16E05A68">
      <w:pPr>
        <w:shd w:val="clear"/>
        <w:ind w:firstLine="480"/>
        <w:rPr>
          <w:rFonts w:ascii="宋体" w:cs="宋体"/>
          <w:color w:val="auto"/>
          <w:highlight w:val="none"/>
          <w:lang w:val="zh-CN"/>
        </w:rPr>
      </w:pPr>
      <w:r>
        <w:rPr>
          <w:rFonts w:hint="eastAsia" w:ascii="宋体" w:hAnsi="宋体" w:cs="宋体"/>
          <w:color w:val="auto"/>
          <w:highlight w:val="none"/>
          <w:lang w:val="zh-CN"/>
        </w:rPr>
        <w:t>委托期限：</w:t>
      </w:r>
      <w:r>
        <w:rPr>
          <w:rFonts w:hint="eastAsia" w:ascii="宋体" w:hAnsi="宋体" w:cs="宋体"/>
          <w:color w:val="auto"/>
          <w:highlight w:val="none"/>
          <w:lang w:val="en-US" w:eastAsia="zh-CN"/>
        </w:rPr>
        <w:t>自</w:t>
      </w:r>
      <w:r>
        <w:rPr>
          <w:rFonts w:hint="eastAsia" w:ascii="宋体" w:hAnsi="宋体" w:cs="宋体"/>
          <w:color w:val="auto"/>
          <w:highlight w:val="none"/>
          <w:lang w:val="zh-CN"/>
        </w:rPr>
        <w:t>2025年</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lang w:val="zh-CN"/>
        </w:rPr>
        <w:t>日</w:t>
      </w:r>
      <w:r>
        <w:rPr>
          <w:rFonts w:ascii="宋体" w:hAnsi="宋体" w:cs="宋体"/>
          <w:color w:val="auto"/>
          <w:highlight w:val="none"/>
          <w:lang w:val="zh-CN"/>
        </w:rPr>
        <w:t>—</w:t>
      </w:r>
      <w:r>
        <w:rPr>
          <w:rFonts w:hint="eastAsia" w:ascii="宋体" w:hAnsi="宋体" w:cs="宋体"/>
          <w:color w:val="auto"/>
          <w:highlight w:val="none"/>
          <w:lang w:val="zh-CN"/>
        </w:rPr>
        <w:t>2025年</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lang w:val="zh-CN"/>
        </w:rPr>
        <w:t>日止。</w:t>
      </w:r>
    </w:p>
    <w:p w14:paraId="0AD1DE7E">
      <w:pPr>
        <w:shd w:val="clear"/>
        <w:ind w:firstLine="480"/>
        <w:rPr>
          <w:rFonts w:ascii="宋体" w:cs="宋体"/>
          <w:color w:val="auto"/>
          <w:highlight w:val="none"/>
          <w:lang w:val="zh-CN"/>
        </w:rPr>
      </w:pPr>
      <w:r>
        <w:rPr>
          <w:rFonts w:hint="eastAsia" w:ascii="宋体" w:hAnsi="宋体" w:cs="宋体"/>
          <w:color w:val="auto"/>
          <w:highlight w:val="none"/>
          <w:lang w:val="zh-CN"/>
        </w:rPr>
        <w:t>授权代理人无转委托权。</w:t>
      </w:r>
    </w:p>
    <w:p w14:paraId="65452709">
      <w:pPr>
        <w:shd w:val="clear"/>
        <w:snapToGrid w:val="0"/>
        <w:spacing w:line="312" w:lineRule="auto"/>
        <w:ind w:firstLine="0" w:firstLineChars="0"/>
        <w:rPr>
          <w:rFonts w:ascii="宋体" w:cs="宋体"/>
          <w:color w:val="auto"/>
          <w:highlight w:val="none"/>
          <w:lang w:val="zh-CN"/>
        </w:rPr>
      </w:pPr>
    </w:p>
    <w:p w14:paraId="13A95A57">
      <w:pPr>
        <w:shd w:val="clear"/>
        <w:adjustRightInd w:val="0"/>
        <w:snapToGrid w:val="0"/>
        <w:spacing w:line="360" w:lineRule="auto"/>
        <w:ind w:firstLine="4080" w:firstLineChars="1700"/>
        <w:textAlignment w:val="baseline"/>
        <w:rPr>
          <w:rFonts w:hint="eastAsia" w:ascii="宋体" w:hAnsi="宋体" w:cs="宋体"/>
          <w:color w:val="auto"/>
          <w:highlight w:val="none"/>
          <w:lang w:val="zh-CN"/>
        </w:rPr>
      </w:pPr>
    </w:p>
    <w:p w14:paraId="6C4C4951">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名称（盖章）</w:t>
      </w:r>
      <w:r>
        <w:rPr>
          <w:rFonts w:hint="eastAsia" w:ascii="宋体" w:hAnsi="宋体" w:cs="宋体"/>
          <w:color w:val="auto"/>
          <w:highlight w:val="none"/>
          <w:lang w:eastAsia="zh-CN"/>
        </w:rPr>
        <w:t>：</w:t>
      </w:r>
    </w:p>
    <w:p w14:paraId="31932396">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法定代表人（签字或盖章）</w:t>
      </w:r>
      <w:r>
        <w:rPr>
          <w:rFonts w:hint="eastAsia" w:ascii="宋体" w:hAnsi="宋体" w:cs="宋体"/>
          <w:color w:val="auto"/>
          <w:highlight w:val="none"/>
          <w:lang w:eastAsia="zh-CN"/>
        </w:rPr>
        <w:t>：</w:t>
      </w:r>
    </w:p>
    <w:p w14:paraId="54AB9376">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法定代表人移动电话</w:t>
      </w:r>
      <w:r>
        <w:rPr>
          <w:rFonts w:hint="eastAsia" w:ascii="宋体" w:hAnsi="宋体" w:cs="宋体"/>
          <w:color w:val="auto"/>
          <w:highlight w:val="none"/>
          <w:lang w:eastAsia="zh-CN"/>
        </w:rPr>
        <w:t>：</w:t>
      </w:r>
    </w:p>
    <w:p w14:paraId="66DC3AB8">
      <w:pPr>
        <w:shd w:val="clear"/>
        <w:adjustRightInd w:val="0"/>
        <w:snapToGrid w:val="0"/>
        <w:spacing w:line="360" w:lineRule="auto"/>
        <w:ind w:firstLine="4080" w:firstLineChars="1700"/>
        <w:textAlignment w:val="baseline"/>
        <w:rPr>
          <w:rFonts w:hint="eastAsia" w:ascii="宋体" w:hAnsi="宋体" w:cs="宋体"/>
          <w:color w:val="auto"/>
          <w:highlight w:val="none"/>
          <w:lang w:val="zh-CN"/>
        </w:rPr>
      </w:pPr>
      <w:r>
        <w:rPr>
          <w:rFonts w:hint="eastAsia" w:ascii="宋体" w:hAnsi="宋体" w:cs="宋体"/>
          <w:color w:val="auto"/>
          <w:highlight w:val="none"/>
        </w:rPr>
        <w:t>授权代理人移动电话</w:t>
      </w:r>
      <w:r>
        <w:rPr>
          <w:rFonts w:hint="eastAsia" w:ascii="宋体" w:hAnsi="宋体" w:cs="宋体"/>
          <w:color w:val="auto"/>
          <w:highlight w:val="none"/>
          <w:lang w:eastAsia="zh-CN"/>
        </w:rPr>
        <w:t>：</w:t>
      </w:r>
    </w:p>
    <w:p w14:paraId="44A0A2E5">
      <w:pPr>
        <w:shd w:val="clear"/>
        <w:adjustRightInd w:val="0"/>
        <w:snapToGrid w:val="0"/>
        <w:spacing w:line="360" w:lineRule="auto"/>
        <w:ind w:firstLine="4080" w:firstLineChars="1700"/>
        <w:textAlignment w:val="baseline"/>
        <w:rPr>
          <w:rFonts w:ascii="宋体" w:cs="宋体"/>
          <w:b/>
          <w:bCs/>
          <w:color w:val="auto"/>
          <w:highlight w:val="none"/>
        </w:rPr>
      </w:pPr>
      <w:r>
        <w:rPr>
          <w:rFonts w:hint="eastAsia" w:ascii="宋体" w:hAnsi="宋体" w:cs="宋体"/>
          <w:color w:val="auto"/>
          <w:highlight w:val="none"/>
        </w:rPr>
        <w:t>授权委托日期：</w:t>
      </w: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ascii="宋体" w:hAnsi="宋体" w:cs="宋体"/>
          <w:bCs/>
          <w:color w:val="auto"/>
          <w:highlight w:val="none"/>
        </w:rPr>
        <w:t xml:space="preserve"> </w:t>
      </w:r>
      <w:r>
        <w:rPr>
          <w:rFonts w:hint="eastAsia" w:ascii="宋体" w:hAnsi="宋体" w:cs="宋体"/>
          <w:bCs/>
          <w:color w:val="auto"/>
          <w:highlight w:val="none"/>
        </w:rPr>
        <w:t>月</w:t>
      </w:r>
      <w:r>
        <w:rPr>
          <w:rFonts w:ascii="宋体" w:hAnsi="宋体" w:cs="宋体"/>
          <w:bCs/>
          <w:color w:val="auto"/>
          <w:highlight w:val="none"/>
        </w:rPr>
        <w:t xml:space="preserve">  </w:t>
      </w:r>
      <w:r>
        <w:rPr>
          <w:rFonts w:hint="eastAsia" w:ascii="宋体" w:hAnsi="宋体" w:cs="宋体"/>
          <w:bCs/>
          <w:color w:val="auto"/>
          <w:highlight w:val="none"/>
        </w:rPr>
        <w:t>日</w:t>
      </w:r>
    </w:p>
    <w:p w14:paraId="5F0A2669">
      <w:pPr>
        <w:shd w:val="clear"/>
        <w:spacing w:line="360" w:lineRule="exact"/>
        <w:ind w:left="2699" w:firstLine="480"/>
        <w:rPr>
          <w:rFonts w:ascii="宋体" w:cs="宋体"/>
          <w:color w:val="auto"/>
          <w:kern w:val="0"/>
          <w:highlight w:val="none"/>
        </w:rPr>
      </w:pPr>
    </w:p>
    <w:tbl>
      <w:tblPr>
        <w:tblStyle w:val="4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45A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Pr>
          <w:p w14:paraId="7C7C2D55">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45B07278">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79E9DD33">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r>
              <w:rPr>
                <w:rFonts w:hint="eastAsia" w:ascii="宋体" w:hAnsi="宋体" w:cs="宋体"/>
                <w:color w:val="auto"/>
                <w:kern w:val="0"/>
                <w:highlight w:val="none"/>
              </w:rPr>
              <w:t>粘贴法人授权代表身份证复印件</w:t>
            </w:r>
          </w:p>
          <w:p w14:paraId="65B10079">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67CF7856">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tc>
      </w:tr>
    </w:tbl>
    <w:p w14:paraId="5DB1F1C4">
      <w:pPr>
        <w:shd w:val="clear"/>
        <w:adjustRightInd w:val="0"/>
        <w:snapToGrid w:val="0"/>
        <w:spacing w:line="360" w:lineRule="exact"/>
        <w:ind w:firstLine="480"/>
        <w:jc w:val="center"/>
        <w:rPr>
          <w:rFonts w:ascii="宋体" w:cs="宋体"/>
          <w:color w:val="auto"/>
          <w:kern w:val="0"/>
          <w:highlight w:val="none"/>
          <w:lang w:val="zh-CN"/>
        </w:rPr>
      </w:pPr>
    </w:p>
    <w:p w14:paraId="6F068D93">
      <w:pPr>
        <w:shd w:val="clear"/>
        <w:adjustRightInd w:val="0"/>
        <w:snapToGrid w:val="0"/>
        <w:spacing w:line="360" w:lineRule="exact"/>
        <w:ind w:firstLine="480"/>
        <w:jc w:val="center"/>
        <w:rPr>
          <w:rFonts w:ascii="宋体" w:cs="宋体"/>
          <w:color w:val="auto"/>
          <w:kern w:val="0"/>
          <w:highlight w:val="none"/>
          <w:lang w:val="zh-CN"/>
        </w:rPr>
      </w:pPr>
    </w:p>
    <w:tbl>
      <w:tblPr>
        <w:tblStyle w:val="4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333D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14:paraId="635B7FD5">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5B4E3066">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2433338A">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r>
              <w:rPr>
                <w:rFonts w:hint="eastAsia" w:ascii="宋体" w:hAnsi="宋体" w:cs="宋体"/>
                <w:color w:val="auto"/>
                <w:kern w:val="0"/>
                <w:highlight w:val="none"/>
              </w:rPr>
              <w:t>粘贴法人身份证复印件</w:t>
            </w:r>
          </w:p>
          <w:p w14:paraId="5E833AD0">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22175400">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tc>
      </w:tr>
    </w:tbl>
    <w:p w14:paraId="01EF7634">
      <w:pPr>
        <w:pStyle w:val="17"/>
        <w:shd w:val="clear"/>
        <w:ind w:firstLine="480"/>
        <w:rPr>
          <w:color w:val="auto"/>
          <w:highlight w:val="none"/>
        </w:rPr>
        <w:sectPr>
          <w:headerReference r:id="rId10" w:type="first"/>
          <w:headerReference r:id="rId9" w:type="even"/>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720" w:num="1"/>
          <w:docGrid w:type="lines" w:linePitch="312" w:charSpace="0"/>
        </w:sectPr>
      </w:pPr>
    </w:p>
    <w:p w14:paraId="543D8A82">
      <w:pPr>
        <w:shd w:val="clear"/>
        <w:spacing w:line="360" w:lineRule="auto"/>
        <w:ind w:firstLine="0" w:firstLineChars="0"/>
        <w:jc w:val="left"/>
        <w:outlineLvl w:val="0"/>
        <w:rPr>
          <w:rStyle w:val="117"/>
          <w:rFonts w:hint="default" w:ascii="宋体" w:hAnsi="宋体" w:eastAsia="宋体" w:cs="宋体"/>
          <w:color w:val="auto"/>
          <w:szCs w:val="28"/>
          <w:highlight w:val="none"/>
          <w:lang w:val="en-US" w:eastAsia="zh-CN"/>
        </w:rPr>
      </w:pPr>
      <w:bookmarkStart w:id="1547" w:name="_Toc20287"/>
      <w:bookmarkStart w:id="1548" w:name="_Toc21945"/>
      <w:bookmarkStart w:id="1549" w:name="_Toc2445"/>
      <w:bookmarkStart w:id="1550" w:name="_Toc19741"/>
      <w:bookmarkStart w:id="1551" w:name="_Toc3028"/>
      <w:bookmarkStart w:id="1552" w:name="_Toc29247"/>
      <w:bookmarkStart w:id="1553" w:name="_Toc21240"/>
      <w:bookmarkStart w:id="1554" w:name="_Toc5251"/>
      <w:bookmarkStart w:id="1555" w:name="_Toc7311"/>
      <w:bookmarkStart w:id="1556" w:name="_Toc14714"/>
      <w:bookmarkStart w:id="1557" w:name="_Toc14614"/>
      <w:bookmarkStart w:id="1558" w:name="_Toc10287"/>
      <w:bookmarkStart w:id="1559" w:name="_Toc23667"/>
      <w:bookmarkStart w:id="1560" w:name="_Toc13151"/>
      <w:bookmarkStart w:id="1561" w:name="_Toc8238"/>
      <w:bookmarkStart w:id="1562" w:name="_Toc11386"/>
      <w:bookmarkStart w:id="1563" w:name="_Toc29325"/>
      <w:bookmarkStart w:id="1564" w:name="_Toc5348"/>
      <w:bookmarkStart w:id="1565" w:name="_Toc30521"/>
      <w:bookmarkStart w:id="1566" w:name="_Toc15933"/>
      <w:bookmarkStart w:id="1567" w:name="_Toc19749"/>
      <w:bookmarkStart w:id="1568" w:name="_Toc11990"/>
      <w:bookmarkStart w:id="1569" w:name="_Toc20026"/>
      <w:bookmarkStart w:id="1570" w:name="_Toc12479"/>
      <w:r>
        <w:rPr>
          <w:rStyle w:val="117"/>
          <w:rFonts w:hint="eastAsia" w:ascii="宋体" w:hAnsi="宋体" w:eastAsia="宋体" w:cs="宋体"/>
          <w:color w:val="auto"/>
          <w:szCs w:val="28"/>
          <w:highlight w:val="none"/>
          <w:lang w:val="zh-CN"/>
        </w:rPr>
        <w:t>附件</w:t>
      </w:r>
      <w:bookmarkEnd w:id="1462"/>
      <w:bookmarkEnd w:id="1463"/>
      <w:bookmarkEnd w:id="1464"/>
      <w:bookmarkEnd w:id="1465"/>
      <w:bookmarkEnd w:id="1466"/>
      <w:bookmarkEnd w:id="1467"/>
      <w:bookmarkEnd w:id="1468"/>
      <w:bookmarkEnd w:id="1469"/>
      <w:bookmarkEnd w:id="1470"/>
      <w:bookmarkEnd w:id="1471"/>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Pr>
          <w:rStyle w:val="117"/>
          <w:rFonts w:hint="eastAsia" w:ascii="宋体" w:hAnsi="宋体" w:cs="宋体"/>
          <w:color w:val="auto"/>
          <w:szCs w:val="28"/>
          <w:highlight w:val="none"/>
          <w:lang w:val="en-US" w:eastAsia="zh-CN"/>
        </w:rPr>
        <w:t>6</w:t>
      </w:r>
    </w:p>
    <w:bookmarkEnd w:id="1401"/>
    <w:bookmarkEnd w:id="1570"/>
    <w:p w14:paraId="1BFED4F3">
      <w:pPr>
        <w:shd w:val="clear"/>
        <w:spacing w:line="420" w:lineRule="auto"/>
        <w:ind w:firstLine="0" w:firstLineChars="0"/>
        <w:jc w:val="center"/>
        <w:rPr>
          <w:rFonts w:ascii="宋体" w:hAnsi="宋体"/>
          <w:b/>
          <w:bCs/>
          <w:color w:val="auto"/>
          <w:sz w:val="30"/>
          <w:szCs w:val="30"/>
          <w:highlight w:val="none"/>
        </w:rPr>
      </w:pPr>
      <w:bookmarkStart w:id="1571" w:name="_Toc13480"/>
      <w:bookmarkStart w:id="1572" w:name="_Toc28427"/>
      <w:r>
        <w:rPr>
          <w:rFonts w:hint="eastAsia" w:ascii="宋体" w:hAnsi="宋体"/>
          <w:b/>
          <w:bCs/>
          <w:color w:val="auto"/>
          <w:sz w:val="30"/>
          <w:szCs w:val="30"/>
          <w:highlight w:val="none"/>
          <w:lang w:val="en-US" w:eastAsia="zh-CN"/>
        </w:rPr>
        <w:t>类似</w:t>
      </w:r>
      <w:r>
        <w:rPr>
          <w:rFonts w:hint="eastAsia" w:ascii="宋体" w:hAnsi="宋体"/>
          <w:b/>
          <w:bCs/>
          <w:color w:val="auto"/>
          <w:sz w:val="30"/>
          <w:szCs w:val="30"/>
          <w:highlight w:val="none"/>
        </w:rPr>
        <w:t>业绩一览表</w:t>
      </w:r>
    </w:p>
    <w:p w14:paraId="27F7F353">
      <w:pPr>
        <w:pStyle w:val="22"/>
        <w:shd w:val="clear"/>
        <w:adjustRightInd w:val="0"/>
        <w:snapToGrid w:val="0"/>
        <w:spacing w:line="360" w:lineRule="auto"/>
        <w:ind w:left="178" w:firstLine="480"/>
        <w:jc w:val="left"/>
        <w:rPr>
          <w:color w:val="auto"/>
          <w:highlight w:val="none"/>
        </w:rPr>
      </w:pPr>
      <w:r>
        <w:rPr>
          <w:rFonts w:hint="eastAsia"/>
          <w:color w:val="auto"/>
          <w:highlight w:val="none"/>
        </w:rPr>
        <w:t>项目名称：</w:t>
      </w:r>
    </w:p>
    <w:p w14:paraId="492D9358">
      <w:pPr>
        <w:pStyle w:val="22"/>
        <w:shd w:val="clear"/>
        <w:adjustRightInd w:val="0"/>
        <w:snapToGrid w:val="0"/>
        <w:spacing w:line="360" w:lineRule="auto"/>
        <w:ind w:left="178" w:firstLine="480"/>
        <w:jc w:val="left"/>
        <w:rPr>
          <w:rFonts w:hAnsi="宋体"/>
          <w:b/>
          <w:color w:val="auto"/>
          <w:sz w:val="28"/>
          <w:szCs w:val="28"/>
          <w:highlight w:val="none"/>
        </w:rPr>
      </w:pPr>
      <w:r>
        <w:rPr>
          <w:rFonts w:hint="eastAsia"/>
          <w:color w:val="auto"/>
          <w:highlight w:val="none"/>
          <w:lang w:eastAsia="zh-CN"/>
        </w:rPr>
        <w:t>项目编号</w:t>
      </w:r>
      <w:r>
        <w:rPr>
          <w:rFonts w:hint="eastAsia"/>
          <w:color w:val="auto"/>
          <w:highlight w:val="none"/>
        </w:rPr>
        <w:t>：</w:t>
      </w:r>
    </w:p>
    <w:tbl>
      <w:tblPr>
        <w:tblStyle w:val="40"/>
        <w:tblW w:w="9975"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638"/>
        <w:gridCol w:w="2420"/>
        <w:gridCol w:w="1975"/>
        <w:gridCol w:w="2138"/>
      </w:tblGrid>
      <w:tr w14:paraId="1A52CAA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804" w:type="dxa"/>
            <w:vMerge w:val="restart"/>
            <w:tcBorders>
              <w:top w:val="thinThickSmallGap" w:color="auto" w:sz="12" w:space="0"/>
            </w:tcBorders>
            <w:vAlign w:val="center"/>
          </w:tcPr>
          <w:p w14:paraId="3C762DCA">
            <w:pPr>
              <w:keepNext w:val="0"/>
              <w:keepLines w:val="0"/>
              <w:suppressLineNumbers w:val="0"/>
              <w:shd w:val="clear"/>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lang w:eastAsia="zh-CN"/>
              </w:rPr>
              <w:t>采购人</w:t>
            </w:r>
            <w:r>
              <w:rPr>
                <w:rFonts w:hint="eastAsia" w:ascii="宋体" w:hAnsi="宋体" w:cs="宋体"/>
                <w:color w:val="auto"/>
                <w:highlight w:val="none"/>
              </w:rPr>
              <w:t>名称</w:t>
            </w:r>
          </w:p>
        </w:tc>
        <w:tc>
          <w:tcPr>
            <w:tcW w:w="1638" w:type="dxa"/>
            <w:vMerge w:val="restart"/>
            <w:tcBorders>
              <w:top w:val="thinThickSmallGap" w:color="auto" w:sz="12" w:space="0"/>
            </w:tcBorders>
            <w:vAlign w:val="center"/>
          </w:tcPr>
          <w:p w14:paraId="008569E7">
            <w:pPr>
              <w:keepNext w:val="0"/>
              <w:keepLines w:val="0"/>
              <w:suppressLineNumbers w:val="0"/>
              <w:shd w:val="clear"/>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rPr>
              <w:t>项目名称</w:t>
            </w:r>
          </w:p>
        </w:tc>
        <w:tc>
          <w:tcPr>
            <w:tcW w:w="2420" w:type="dxa"/>
            <w:vMerge w:val="restart"/>
            <w:tcBorders>
              <w:top w:val="thinThickSmallGap" w:color="auto" w:sz="12" w:space="0"/>
            </w:tcBorders>
            <w:vAlign w:val="center"/>
          </w:tcPr>
          <w:p w14:paraId="52567AD9">
            <w:pPr>
              <w:keepNext w:val="0"/>
              <w:keepLines w:val="0"/>
              <w:suppressLineNumbers w:val="0"/>
              <w:shd w:val="clear"/>
              <w:snapToGrid w:val="0"/>
              <w:spacing w:before="0" w:beforeAutospacing="0" w:after="0" w:afterAutospacing="0" w:line="320" w:lineRule="exact"/>
              <w:ind w:left="0" w:right="0" w:firstLine="0" w:firstLineChars="0"/>
              <w:jc w:val="center"/>
              <w:rPr>
                <w:rFonts w:hint="default" w:ascii="宋体" w:eastAsia="宋体" w:cs="宋体"/>
                <w:color w:val="auto"/>
                <w:highlight w:val="none"/>
                <w:lang w:val="en-US" w:eastAsia="zh-CN"/>
              </w:rPr>
            </w:pPr>
            <w:r>
              <w:rPr>
                <w:rFonts w:hint="eastAsia" w:ascii="宋体" w:hAnsi="宋体" w:cs="宋体"/>
                <w:color w:val="auto"/>
                <w:highlight w:val="none"/>
                <w:lang w:val="en-US" w:eastAsia="zh-CN"/>
              </w:rPr>
              <w:t>服务期限</w:t>
            </w:r>
          </w:p>
        </w:tc>
        <w:tc>
          <w:tcPr>
            <w:tcW w:w="1975" w:type="dxa"/>
            <w:vMerge w:val="restart"/>
            <w:tcBorders>
              <w:top w:val="thinThickSmallGap" w:color="auto" w:sz="12" w:space="0"/>
            </w:tcBorders>
            <w:vAlign w:val="center"/>
          </w:tcPr>
          <w:p w14:paraId="02D196B0">
            <w:pPr>
              <w:keepNext w:val="0"/>
              <w:keepLines w:val="0"/>
              <w:suppressLineNumbers w:val="0"/>
              <w:shd w:val="clear"/>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rPr>
              <w:t>项目</w:t>
            </w:r>
            <w:r>
              <w:rPr>
                <w:rFonts w:hint="eastAsia" w:ascii="宋体" w:hAnsi="宋体" w:cs="宋体"/>
                <w:color w:val="auto"/>
                <w:highlight w:val="none"/>
                <w:lang w:val="en-US" w:eastAsia="zh-CN"/>
              </w:rPr>
              <w:t>预算</w:t>
            </w:r>
            <w:r>
              <w:rPr>
                <w:rFonts w:hint="eastAsia" w:ascii="宋体" w:hAnsi="宋体" w:cs="宋体"/>
                <w:color w:val="auto"/>
                <w:highlight w:val="none"/>
              </w:rPr>
              <w:t>金额</w:t>
            </w:r>
          </w:p>
          <w:p w14:paraId="1A202778">
            <w:pPr>
              <w:keepNext w:val="0"/>
              <w:keepLines w:val="0"/>
              <w:suppressLineNumbers w:val="0"/>
              <w:shd w:val="clear"/>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rPr>
              <w:t>（万元）</w:t>
            </w:r>
          </w:p>
        </w:tc>
        <w:tc>
          <w:tcPr>
            <w:tcW w:w="2138" w:type="dxa"/>
            <w:vMerge w:val="restart"/>
            <w:tcBorders>
              <w:top w:val="thinThickSmallGap" w:color="auto" w:sz="12" w:space="0"/>
            </w:tcBorders>
            <w:vAlign w:val="center"/>
          </w:tcPr>
          <w:p w14:paraId="0E75190C">
            <w:pPr>
              <w:keepNext w:val="0"/>
              <w:keepLines w:val="0"/>
              <w:suppressLineNumbers w:val="0"/>
              <w:shd w:val="clear"/>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lang w:eastAsia="zh-CN"/>
              </w:rPr>
              <w:t>采购人</w:t>
            </w:r>
            <w:r>
              <w:rPr>
                <w:rFonts w:hint="eastAsia" w:ascii="宋体" w:hAnsi="宋体" w:cs="宋体"/>
                <w:color w:val="auto"/>
                <w:highlight w:val="none"/>
              </w:rPr>
              <w:t>联系人及</w:t>
            </w:r>
          </w:p>
          <w:p w14:paraId="627DF7A5">
            <w:pPr>
              <w:keepNext w:val="0"/>
              <w:keepLines w:val="0"/>
              <w:suppressLineNumbers w:val="0"/>
              <w:shd w:val="clear"/>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rPr>
              <w:t>联系电话</w:t>
            </w:r>
          </w:p>
        </w:tc>
      </w:tr>
      <w:tr w14:paraId="783952E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804" w:type="dxa"/>
            <w:vMerge w:val="continue"/>
            <w:vAlign w:val="center"/>
          </w:tcPr>
          <w:p w14:paraId="41842C2E">
            <w:pPr>
              <w:keepNext w:val="0"/>
              <w:keepLines w:val="0"/>
              <w:widowControl/>
              <w:suppressLineNumbers w:val="0"/>
              <w:shd w:val="clear"/>
              <w:spacing w:before="0" w:beforeAutospacing="0" w:after="0" w:afterAutospacing="0" w:line="320" w:lineRule="exact"/>
              <w:ind w:left="0" w:right="0" w:firstLine="0" w:firstLineChars="0"/>
              <w:jc w:val="left"/>
              <w:rPr>
                <w:rFonts w:hint="default" w:ascii="宋体" w:cs="宋体"/>
                <w:color w:val="auto"/>
                <w:highlight w:val="none"/>
              </w:rPr>
            </w:pPr>
          </w:p>
        </w:tc>
        <w:tc>
          <w:tcPr>
            <w:tcW w:w="1638" w:type="dxa"/>
            <w:vMerge w:val="continue"/>
            <w:vAlign w:val="center"/>
          </w:tcPr>
          <w:p w14:paraId="18D7E32C">
            <w:pPr>
              <w:keepNext w:val="0"/>
              <w:keepLines w:val="0"/>
              <w:widowControl/>
              <w:suppressLineNumbers w:val="0"/>
              <w:shd w:val="clear"/>
              <w:spacing w:before="0" w:beforeAutospacing="0" w:after="0" w:afterAutospacing="0" w:line="320" w:lineRule="exact"/>
              <w:ind w:left="0" w:right="0" w:firstLine="0" w:firstLineChars="0"/>
              <w:jc w:val="left"/>
              <w:rPr>
                <w:rFonts w:hint="default" w:ascii="宋体" w:cs="宋体"/>
                <w:color w:val="auto"/>
                <w:highlight w:val="none"/>
              </w:rPr>
            </w:pPr>
          </w:p>
        </w:tc>
        <w:tc>
          <w:tcPr>
            <w:tcW w:w="2420" w:type="dxa"/>
            <w:vMerge w:val="continue"/>
            <w:vAlign w:val="center"/>
          </w:tcPr>
          <w:p w14:paraId="1660091D">
            <w:pPr>
              <w:keepNext w:val="0"/>
              <w:keepLines w:val="0"/>
              <w:widowControl/>
              <w:suppressLineNumbers w:val="0"/>
              <w:shd w:val="clear"/>
              <w:spacing w:before="0" w:beforeAutospacing="0" w:after="0" w:afterAutospacing="0" w:line="320" w:lineRule="exact"/>
              <w:ind w:left="0" w:right="0" w:firstLine="0" w:firstLineChars="0"/>
              <w:jc w:val="left"/>
              <w:rPr>
                <w:rFonts w:hint="default" w:ascii="宋体" w:cs="宋体"/>
                <w:color w:val="auto"/>
                <w:highlight w:val="none"/>
              </w:rPr>
            </w:pPr>
          </w:p>
        </w:tc>
        <w:tc>
          <w:tcPr>
            <w:tcW w:w="1975" w:type="dxa"/>
            <w:vMerge w:val="continue"/>
            <w:vAlign w:val="center"/>
          </w:tcPr>
          <w:p w14:paraId="5809C0F1">
            <w:pPr>
              <w:keepNext w:val="0"/>
              <w:keepLines w:val="0"/>
              <w:widowControl/>
              <w:suppressLineNumbers w:val="0"/>
              <w:shd w:val="clear"/>
              <w:spacing w:before="0" w:beforeAutospacing="0" w:after="0" w:afterAutospacing="0" w:line="320" w:lineRule="exact"/>
              <w:ind w:left="0" w:right="0" w:firstLine="0" w:firstLineChars="0"/>
              <w:jc w:val="left"/>
              <w:rPr>
                <w:rFonts w:hint="default" w:ascii="宋体" w:cs="宋体"/>
                <w:color w:val="auto"/>
                <w:highlight w:val="none"/>
              </w:rPr>
            </w:pPr>
          </w:p>
        </w:tc>
        <w:tc>
          <w:tcPr>
            <w:tcW w:w="2138" w:type="dxa"/>
            <w:vMerge w:val="continue"/>
            <w:vAlign w:val="center"/>
          </w:tcPr>
          <w:p w14:paraId="120BB18B">
            <w:pPr>
              <w:keepNext w:val="0"/>
              <w:keepLines w:val="0"/>
              <w:widowControl/>
              <w:suppressLineNumbers w:val="0"/>
              <w:shd w:val="clear"/>
              <w:spacing w:before="0" w:beforeAutospacing="0" w:after="0" w:afterAutospacing="0" w:line="320" w:lineRule="exact"/>
              <w:ind w:left="0" w:right="0" w:firstLine="0" w:firstLineChars="0"/>
              <w:jc w:val="left"/>
              <w:rPr>
                <w:rFonts w:hint="default" w:ascii="宋体" w:cs="宋体"/>
                <w:color w:val="auto"/>
                <w:highlight w:val="none"/>
              </w:rPr>
            </w:pPr>
          </w:p>
        </w:tc>
      </w:tr>
      <w:tr w14:paraId="578337B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Pr>
          <w:p w14:paraId="4DE0A3A9">
            <w:pPr>
              <w:keepNext w:val="0"/>
              <w:keepLines w:val="0"/>
              <w:suppressLineNumbers w:val="0"/>
              <w:shd w:val="clear"/>
              <w:snapToGrid w:val="0"/>
              <w:spacing w:before="0" w:beforeAutospacing="0" w:after="0" w:afterAutospacing="0" w:line="320" w:lineRule="exact"/>
              <w:ind w:left="0" w:right="0" w:firstLine="0" w:firstLineChars="0"/>
              <w:jc w:val="left"/>
              <w:rPr>
                <w:rFonts w:hint="default" w:ascii="宋体" w:cs="宋体"/>
                <w:color w:val="auto"/>
                <w:highlight w:val="none"/>
              </w:rPr>
            </w:pPr>
          </w:p>
        </w:tc>
        <w:tc>
          <w:tcPr>
            <w:tcW w:w="1638" w:type="dxa"/>
          </w:tcPr>
          <w:p w14:paraId="639C1873">
            <w:pPr>
              <w:keepNext w:val="0"/>
              <w:keepLines w:val="0"/>
              <w:suppressLineNumbers w:val="0"/>
              <w:shd w:val="clear"/>
              <w:snapToGrid w:val="0"/>
              <w:spacing w:before="0" w:beforeAutospacing="0" w:after="0" w:afterAutospacing="0" w:line="320" w:lineRule="exact"/>
              <w:ind w:left="0" w:right="0" w:firstLine="0" w:firstLineChars="0"/>
              <w:jc w:val="left"/>
              <w:rPr>
                <w:rFonts w:hint="default" w:ascii="宋体" w:cs="宋体"/>
                <w:color w:val="auto"/>
                <w:highlight w:val="none"/>
              </w:rPr>
            </w:pPr>
          </w:p>
        </w:tc>
        <w:tc>
          <w:tcPr>
            <w:tcW w:w="2420" w:type="dxa"/>
          </w:tcPr>
          <w:p w14:paraId="2B14569F">
            <w:pPr>
              <w:keepNext w:val="0"/>
              <w:keepLines w:val="0"/>
              <w:suppressLineNumbers w:val="0"/>
              <w:shd w:val="clear"/>
              <w:snapToGrid w:val="0"/>
              <w:spacing w:before="0" w:beforeAutospacing="0" w:after="0" w:afterAutospacing="0" w:line="320" w:lineRule="exact"/>
              <w:ind w:left="0" w:right="0" w:firstLine="0" w:firstLineChars="0"/>
              <w:jc w:val="left"/>
              <w:rPr>
                <w:rFonts w:hint="default" w:ascii="宋体" w:cs="宋体"/>
                <w:color w:val="auto"/>
                <w:highlight w:val="none"/>
              </w:rPr>
            </w:pPr>
          </w:p>
        </w:tc>
        <w:tc>
          <w:tcPr>
            <w:tcW w:w="1975" w:type="dxa"/>
          </w:tcPr>
          <w:p w14:paraId="361B8C4D">
            <w:pPr>
              <w:keepNext w:val="0"/>
              <w:keepLines w:val="0"/>
              <w:suppressLineNumbers w:val="0"/>
              <w:shd w:val="clear"/>
              <w:snapToGrid w:val="0"/>
              <w:spacing w:before="0" w:beforeAutospacing="0" w:after="0" w:afterAutospacing="0" w:line="320" w:lineRule="exact"/>
              <w:ind w:left="0" w:right="0" w:firstLine="0" w:firstLineChars="0"/>
              <w:jc w:val="left"/>
              <w:rPr>
                <w:rFonts w:hint="default" w:ascii="宋体" w:cs="宋体"/>
                <w:color w:val="auto"/>
                <w:highlight w:val="none"/>
              </w:rPr>
            </w:pPr>
          </w:p>
        </w:tc>
        <w:tc>
          <w:tcPr>
            <w:tcW w:w="2138" w:type="dxa"/>
          </w:tcPr>
          <w:p w14:paraId="01A2662E">
            <w:pPr>
              <w:keepNext w:val="0"/>
              <w:keepLines w:val="0"/>
              <w:suppressLineNumbers w:val="0"/>
              <w:shd w:val="clear"/>
              <w:snapToGrid w:val="0"/>
              <w:spacing w:before="0" w:beforeAutospacing="0" w:after="0" w:afterAutospacing="0" w:line="320" w:lineRule="exact"/>
              <w:ind w:left="0" w:right="0" w:firstLine="0" w:firstLineChars="0"/>
              <w:jc w:val="left"/>
              <w:rPr>
                <w:rFonts w:hint="default" w:ascii="宋体" w:cs="宋体"/>
                <w:color w:val="auto"/>
                <w:highlight w:val="none"/>
              </w:rPr>
            </w:pPr>
          </w:p>
        </w:tc>
      </w:tr>
      <w:tr w14:paraId="711B2F3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Pr>
          <w:p w14:paraId="1398DB74">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638" w:type="dxa"/>
          </w:tcPr>
          <w:p w14:paraId="653B10AC">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420" w:type="dxa"/>
          </w:tcPr>
          <w:p w14:paraId="4FD248B5">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975" w:type="dxa"/>
          </w:tcPr>
          <w:p w14:paraId="7CF44FA5">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138" w:type="dxa"/>
          </w:tcPr>
          <w:p w14:paraId="1C60ED03">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r>
      <w:tr w14:paraId="472A66F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Pr>
          <w:p w14:paraId="5676B150">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638" w:type="dxa"/>
          </w:tcPr>
          <w:p w14:paraId="25845F39">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420" w:type="dxa"/>
          </w:tcPr>
          <w:p w14:paraId="5C88168C">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975" w:type="dxa"/>
          </w:tcPr>
          <w:p w14:paraId="258B3708">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138" w:type="dxa"/>
          </w:tcPr>
          <w:p w14:paraId="2DC30A4F">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r>
      <w:tr w14:paraId="3B07430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Pr>
          <w:p w14:paraId="04D6A3E3">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638" w:type="dxa"/>
          </w:tcPr>
          <w:p w14:paraId="6C0DED2A">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420" w:type="dxa"/>
          </w:tcPr>
          <w:p w14:paraId="364F98D6">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975" w:type="dxa"/>
          </w:tcPr>
          <w:p w14:paraId="682DC657">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138" w:type="dxa"/>
          </w:tcPr>
          <w:p w14:paraId="5A420EF6">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r>
      <w:tr w14:paraId="5AD9EDD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Pr>
          <w:p w14:paraId="2D44A445">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638" w:type="dxa"/>
          </w:tcPr>
          <w:p w14:paraId="4425797D">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420" w:type="dxa"/>
          </w:tcPr>
          <w:p w14:paraId="6A4DF5E9">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975" w:type="dxa"/>
          </w:tcPr>
          <w:p w14:paraId="0A6ADBE8">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138" w:type="dxa"/>
          </w:tcPr>
          <w:p w14:paraId="5D18C846">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r>
      <w:tr w14:paraId="1AF7D8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Pr>
          <w:p w14:paraId="59B05CBA">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638" w:type="dxa"/>
          </w:tcPr>
          <w:p w14:paraId="0654A666">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420" w:type="dxa"/>
          </w:tcPr>
          <w:p w14:paraId="5E608333">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975" w:type="dxa"/>
          </w:tcPr>
          <w:p w14:paraId="02BBC1CF">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138" w:type="dxa"/>
          </w:tcPr>
          <w:p w14:paraId="28FC02F7">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r>
      <w:tr w14:paraId="11182A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Borders>
              <w:bottom w:val="thinThickSmallGap" w:color="auto" w:sz="12" w:space="0"/>
            </w:tcBorders>
          </w:tcPr>
          <w:p w14:paraId="2BFEF6DD">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638" w:type="dxa"/>
            <w:tcBorders>
              <w:bottom w:val="thinThickSmallGap" w:color="auto" w:sz="12" w:space="0"/>
            </w:tcBorders>
          </w:tcPr>
          <w:p w14:paraId="57738AFC">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420" w:type="dxa"/>
            <w:tcBorders>
              <w:bottom w:val="thinThickSmallGap" w:color="auto" w:sz="12" w:space="0"/>
            </w:tcBorders>
          </w:tcPr>
          <w:p w14:paraId="00EACBFD">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975" w:type="dxa"/>
            <w:tcBorders>
              <w:bottom w:val="thinThickSmallGap" w:color="auto" w:sz="12" w:space="0"/>
            </w:tcBorders>
          </w:tcPr>
          <w:p w14:paraId="65280320">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138" w:type="dxa"/>
            <w:tcBorders>
              <w:bottom w:val="thinThickSmallGap" w:color="auto" w:sz="12" w:space="0"/>
            </w:tcBorders>
          </w:tcPr>
          <w:p w14:paraId="0D4925FA">
            <w:pPr>
              <w:keepNext w:val="0"/>
              <w:keepLines w:val="0"/>
              <w:suppressLineNumbers w:val="0"/>
              <w:shd w:val="clear"/>
              <w:snapToGrid w:val="0"/>
              <w:spacing w:before="0" w:beforeAutospacing="0" w:after="0" w:afterAutospacing="0" w:line="400" w:lineRule="exact"/>
              <w:ind w:left="0" w:right="0" w:firstLine="0" w:firstLineChars="0"/>
              <w:jc w:val="left"/>
              <w:rPr>
                <w:rFonts w:hint="default" w:ascii="宋体" w:cs="宋体"/>
                <w:color w:val="auto"/>
                <w:highlight w:val="none"/>
              </w:rPr>
            </w:pPr>
          </w:p>
        </w:tc>
      </w:tr>
    </w:tbl>
    <w:p w14:paraId="00689B01">
      <w:pPr>
        <w:pStyle w:val="34"/>
        <w:shd w:val="clear"/>
        <w:ind w:firstLine="0" w:firstLineChars="0"/>
        <w:jc w:val="both"/>
        <w:outlineLvl w:val="9"/>
        <w:rPr>
          <w:color w:val="auto"/>
          <w:highlight w:val="none"/>
        </w:rPr>
      </w:pPr>
    </w:p>
    <w:bookmarkEnd w:id="1571"/>
    <w:bookmarkEnd w:id="1572"/>
    <w:p w14:paraId="11D7A3DC">
      <w:pPr>
        <w:shd w:val="clear"/>
        <w:autoSpaceDE w:val="0"/>
        <w:autoSpaceDN w:val="0"/>
        <w:adjustRightInd w:val="0"/>
        <w:snapToGrid w:val="0"/>
        <w:spacing w:after="156" w:afterLines="50"/>
        <w:ind w:firstLine="0" w:firstLineChars="0"/>
        <w:jc w:val="center"/>
        <w:rPr>
          <w:rFonts w:ascii="宋体" w:hAnsi="宋体"/>
          <w:b/>
          <w:color w:val="auto"/>
          <w:sz w:val="30"/>
          <w:szCs w:val="30"/>
          <w:highlight w:val="none"/>
          <w:lang w:val="zh-CN"/>
        </w:rPr>
      </w:pPr>
    </w:p>
    <w:p w14:paraId="5878F4B8">
      <w:pPr>
        <w:shd w:val="clear"/>
        <w:snapToGrid w:val="0"/>
        <w:spacing w:line="480" w:lineRule="exact"/>
        <w:ind w:firstLine="3840" w:firstLineChars="1600"/>
        <w:rPr>
          <w:rFonts w:ascii="宋体" w:hAnsi="宋体"/>
          <w:color w:val="auto"/>
          <w:highlight w:val="none"/>
          <w:lang w:val="zh-CN"/>
        </w:rPr>
      </w:pPr>
      <w:r>
        <w:rPr>
          <w:rFonts w:hint="eastAsia" w:ascii="宋体" w:hAnsi="宋体"/>
          <w:color w:val="auto"/>
          <w:highlight w:val="none"/>
          <w:lang w:val="zh-CN"/>
        </w:rPr>
        <w:t>供应商名称（盖章）：</w:t>
      </w:r>
    </w:p>
    <w:p w14:paraId="5F38D460">
      <w:pPr>
        <w:shd w:val="clear"/>
        <w:snapToGrid w:val="0"/>
        <w:spacing w:line="480" w:lineRule="exact"/>
        <w:ind w:firstLine="3840" w:firstLineChars="1600"/>
        <w:rPr>
          <w:rFonts w:ascii="宋体" w:hAnsi="宋体"/>
          <w:color w:val="auto"/>
          <w:highlight w:val="none"/>
        </w:rPr>
      </w:pPr>
      <w:r>
        <w:rPr>
          <w:rFonts w:hint="eastAsia" w:ascii="宋体" w:hAnsi="宋体"/>
          <w:color w:val="auto"/>
          <w:highlight w:val="none"/>
          <w:lang w:val="zh-CN"/>
        </w:rPr>
        <w:t>法定代表人或授权委托人（签字或盖章）：</w:t>
      </w:r>
    </w:p>
    <w:p w14:paraId="494C75D2">
      <w:pPr>
        <w:shd w:val="clear"/>
        <w:snapToGrid w:val="0"/>
        <w:spacing w:line="480" w:lineRule="exact"/>
        <w:ind w:firstLine="3840" w:firstLineChars="1600"/>
        <w:rPr>
          <w:color w:val="auto"/>
          <w:highlight w:val="none"/>
        </w:rPr>
        <w:sectPr>
          <w:headerReference r:id="rId11" w:type="default"/>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720" w:num="1"/>
          <w:docGrid w:type="lines" w:linePitch="312" w:charSpace="0"/>
        </w:sectPr>
      </w:pPr>
      <w:r>
        <w:rPr>
          <w:rFonts w:hint="eastAsia" w:ascii="宋体" w:hAnsi="宋体"/>
          <w:color w:val="auto"/>
          <w:highlight w:val="none"/>
          <w:lang w:val="zh-CN"/>
        </w:rPr>
        <w:t>日期：     年   月   日</w:t>
      </w:r>
    </w:p>
    <w:p w14:paraId="2A4F1EC7">
      <w:pPr>
        <w:shd w:val="clear"/>
        <w:ind w:firstLine="0" w:firstLineChars="0"/>
        <w:outlineLvl w:val="2"/>
        <w:rPr>
          <w:rFonts w:hint="default" w:ascii="宋体" w:hAnsi="宋体" w:eastAsia="宋体" w:cs="宋体"/>
          <w:b/>
          <w:bCs/>
          <w:color w:val="000000" w:themeColor="text1"/>
          <w:highlight w:val="none"/>
          <w:lang w:val="en-US" w:eastAsia="zh-CN" w:bidi="ar"/>
          <w14:textFill>
            <w14:solidFill>
              <w14:schemeClr w14:val="tx1"/>
            </w14:solidFill>
          </w14:textFill>
        </w:rPr>
      </w:pPr>
      <w:r>
        <w:rPr>
          <w:rFonts w:hint="eastAsia" w:ascii="宋体" w:hAnsi="宋体" w:eastAsia="宋体" w:cs="宋体"/>
          <w:b/>
          <w:bCs/>
          <w:color w:val="000000" w:themeColor="text1"/>
          <w:highlight w:val="none"/>
          <w:lang w:bidi="ar"/>
          <w14:textFill>
            <w14:solidFill>
              <w14:schemeClr w14:val="tx1"/>
            </w14:solidFill>
          </w14:textFill>
        </w:rPr>
        <w:t>附件</w:t>
      </w:r>
      <w:r>
        <w:rPr>
          <w:rFonts w:hint="eastAsia" w:ascii="宋体" w:hAnsi="宋体" w:cs="宋体"/>
          <w:b/>
          <w:bCs/>
          <w:color w:val="000000" w:themeColor="text1"/>
          <w:highlight w:val="none"/>
          <w:lang w:val="en-US" w:eastAsia="zh-CN" w:bidi="ar"/>
          <w14:textFill>
            <w14:solidFill>
              <w14:schemeClr w14:val="tx1"/>
            </w14:solidFill>
          </w14:textFill>
        </w:rPr>
        <w:t>7</w:t>
      </w:r>
    </w:p>
    <w:p w14:paraId="1FC244C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技术要求偏离表</w:t>
      </w:r>
    </w:p>
    <w:tbl>
      <w:tblPr>
        <w:tblStyle w:val="40"/>
        <w:tblW w:w="1026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605"/>
        <w:gridCol w:w="2310"/>
        <w:gridCol w:w="1530"/>
        <w:gridCol w:w="2460"/>
        <w:gridCol w:w="1380"/>
      </w:tblGrid>
      <w:tr w14:paraId="464A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75" w:type="dxa"/>
            <w:tcBorders>
              <w:top w:val="thinThickSmallGap" w:color="auto" w:sz="12" w:space="0"/>
              <w:left w:val="thinThickSmallGap" w:color="auto" w:sz="12" w:space="0"/>
            </w:tcBorders>
            <w:noWrap w:val="0"/>
            <w:vAlign w:val="center"/>
          </w:tcPr>
          <w:p w14:paraId="15B48FF7">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605" w:type="dxa"/>
            <w:tcBorders>
              <w:top w:val="thinThickSmallGap" w:color="auto" w:sz="12" w:space="0"/>
            </w:tcBorders>
            <w:noWrap w:val="0"/>
            <w:vAlign w:val="center"/>
          </w:tcPr>
          <w:p w14:paraId="66C3C7A1">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产品名称</w:t>
            </w:r>
          </w:p>
        </w:tc>
        <w:tc>
          <w:tcPr>
            <w:tcW w:w="2310" w:type="dxa"/>
            <w:tcBorders>
              <w:top w:val="thinThickSmallGap" w:color="auto" w:sz="12" w:space="0"/>
            </w:tcBorders>
            <w:noWrap w:val="0"/>
            <w:vAlign w:val="center"/>
          </w:tcPr>
          <w:p w14:paraId="2F32EB56">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文件技术要求</w:t>
            </w:r>
          </w:p>
        </w:tc>
        <w:tc>
          <w:tcPr>
            <w:tcW w:w="1530" w:type="dxa"/>
            <w:tcBorders>
              <w:top w:val="thinThickSmallGap" w:color="auto" w:sz="12" w:space="0"/>
            </w:tcBorders>
            <w:noWrap w:val="0"/>
            <w:vAlign w:val="center"/>
          </w:tcPr>
          <w:p w14:paraId="3718A13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投标文件响应品牌型号</w:t>
            </w:r>
          </w:p>
        </w:tc>
        <w:tc>
          <w:tcPr>
            <w:tcW w:w="2460" w:type="dxa"/>
            <w:tcBorders>
              <w:top w:val="thinThickSmallGap" w:color="auto" w:sz="12" w:space="0"/>
            </w:tcBorders>
            <w:noWrap w:val="0"/>
            <w:vAlign w:val="center"/>
          </w:tcPr>
          <w:p w14:paraId="4D727941">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投标文件响应技术性能及指标</w:t>
            </w:r>
          </w:p>
        </w:tc>
        <w:tc>
          <w:tcPr>
            <w:tcW w:w="1380" w:type="dxa"/>
            <w:tcBorders>
              <w:top w:val="thinThickSmallGap" w:color="auto" w:sz="12" w:space="0"/>
              <w:left w:val="single" w:color="auto" w:sz="4" w:space="0"/>
              <w:right w:val="thickThinSmallGap" w:color="auto" w:sz="12" w:space="0"/>
            </w:tcBorders>
            <w:noWrap w:val="0"/>
            <w:vAlign w:val="center"/>
          </w:tcPr>
          <w:p w14:paraId="58953572">
            <w:pPr>
              <w:keepNext w:val="0"/>
              <w:keepLines w:val="0"/>
              <w:suppressLineNumbers w:val="0"/>
              <w:spacing w:before="0" w:beforeAutospacing="0" w:after="0" w:afterAutospacing="0"/>
              <w:ind w:left="6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偏离情况</w:t>
            </w:r>
          </w:p>
        </w:tc>
      </w:tr>
      <w:tr w14:paraId="41EB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tcBorders>
              <w:left w:val="thinThickSmallGap" w:color="auto" w:sz="12" w:space="0"/>
            </w:tcBorders>
            <w:noWrap w:val="0"/>
            <w:vAlign w:val="center"/>
          </w:tcPr>
          <w:p w14:paraId="5A14A4BC">
            <w:pPr>
              <w:pStyle w:val="94"/>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605" w:type="dxa"/>
            <w:noWrap w:val="0"/>
            <w:vAlign w:val="center"/>
          </w:tcPr>
          <w:p w14:paraId="0620471D">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2310" w:type="dxa"/>
            <w:noWrap w:val="0"/>
            <w:vAlign w:val="center"/>
          </w:tcPr>
          <w:p w14:paraId="5538DFF9">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530" w:type="dxa"/>
            <w:noWrap w:val="0"/>
            <w:vAlign w:val="center"/>
          </w:tcPr>
          <w:p w14:paraId="24CBD9A9">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2460" w:type="dxa"/>
            <w:noWrap w:val="0"/>
            <w:vAlign w:val="center"/>
          </w:tcPr>
          <w:p w14:paraId="298E9F86">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380" w:type="dxa"/>
            <w:tcBorders>
              <w:left w:val="single" w:color="auto" w:sz="4" w:space="0"/>
              <w:right w:val="thickThinSmallGap" w:color="auto" w:sz="12" w:space="0"/>
            </w:tcBorders>
            <w:noWrap w:val="0"/>
            <w:vAlign w:val="center"/>
          </w:tcPr>
          <w:p w14:paraId="6108C54F">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5A1E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tcBorders>
              <w:left w:val="thinThickSmallGap" w:color="auto" w:sz="12" w:space="0"/>
            </w:tcBorders>
            <w:noWrap w:val="0"/>
            <w:vAlign w:val="center"/>
          </w:tcPr>
          <w:p w14:paraId="06495BDA">
            <w:pPr>
              <w:pStyle w:val="94"/>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605" w:type="dxa"/>
            <w:noWrap w:val="0"/>
            <w:vAlign w:val="center"/>
          </w:tcPr>
          <w:p w14:paraId="7DA83B5E">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2310" w:type="dxa"/>
            <w:noWrap w:val="0"/>
            <w:vAlign w:val="center"/>
          </w:tcPr>
          <w:p w14:paraId="15861756">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530" w:type="dxa"/>
            <w:noWrap w:val="0"/>
            <w:vAlign w:val="center"/>
          </w:tcPr>
          <w:p w14:paraId="39769770">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2460" w:type="dxa"/>
            <w:noWrap w:val="0"/>
            <w:vAlign w:val="center"/>
          </w:tcPr>
          <w:p w14:paraId="2F829648">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380" w:type="dxa"/>
            <w:tcBorders>
              <w:left w:val="single" w:color="auto" w:sz="4" w:space="0"/>
              <w:right w:val="thickThinSmallGap" w:color="auto" w:sz="12" w:space="0"/>
            </w:tcBorders>
            <w:noWrap w:val="0"/>
            <w:vAlign w:val="center"/>
          </w:tcPr>
          <w:p w14:paraId="2B47FDA2">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5965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tcBorders>
              <w:left w:val="thinThickSmallGap" w:color="auto" w:sz="12" w:space="0"/>
            </w:tcBorders>
            <w:noWrap w:val="0"/>
            <w:vAlign w:val="center"/>
          </w:tcPr>
          <w:p w14:paraId="233AA96F">
            <w:pPr>
              <w:pStyle w:val="94"/>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605" w:type="dxa"/>
            <w:noWrap w:val="0"/>
            <w:vAlign w:val="center"/>
          </w:tcPr>
          <w:p w14:paraId="13D1CE9C">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2310" w:type="dxa"/>
            <w:noWrap w:val="0"/>
            <w:vAlign w:val="center"/>
          </w:tcPr>
          <w:p w14:paraId="56627F2F">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530" w:type="dxa"/>
            <w:noWrap w:val="0"/>
            <w:vAlign w:val="center"/>
          </w:tcPr>
          <w:p w14:paraId="34439523">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2460" w:type="dxa"/>
            <w:noWrap w:val="0"/>
            <w:vAlign w:val="center"/>
          </w:tcPr>
          <w:p w14:paraId="1A045D3D">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380" w:type="dxa"/>
            <w:tcBorders>
              <w:left w:val="single" w:color="auto" w:sz="4" w:space="0"/>
              <w:right w:val="thickThinSmallGap" w:color="auto" w:sz="12" w:space="0"/>
            </w:tcBorders>
            <w:noWrap w:val="0"/>
            <w:vAlign w:val="center"/>
          </w:tcPr>
          <w:p w14:paraId="3B8E031D">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166B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tcBorders>
              <w:left w:val="thinThickSmallGap" w:color="auto" w:sz="12" w:space="0"/>
            </w:tcBorders>
            <w:noWrap w:val="0"/>
            <w:vAlign w:val="center"/>
          </w:tcPr>
          <w:p w14:paraId="039717E7">
            <w:pPr>
              <w:pStyle w:val="94"/>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605" w:type="dxa"/>
            <w:noWrap w:val="0"/>
            <w:vAlign w:val="center"/>
          </w:tcPr>
          <w:p w14:paraId="306CC34B">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2310" w:type="dxa"/>
            <w:noWrap w:val="0"/>
            <w:vAlign w:val="center"/>
          </w:tcPr>
          <w:p w14:paraId="2CD548B9">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530" w:type="dxa"/>
            <w:noWrap w:val="0"/>
            <w:vAlign w:val="center"/>
          </w:tcPr>
          <w:p w14:paraId="0162D622">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2460" w:type="dxa"/>
            <w:noWrap w:val="0"/>
            <w:vAlign w:val="center"/>
          </w:tcPr>
          <w:p w14:paraId="33702227">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380" w:type="dxa"/>
            <w:tcBorders>
              <w:left w:val="single" w:color="auto" w:sz="4" w:space="0"/>
              <w:right w:val="thickThinSmallGap" w:color="auto" w:sz="12" w:space="0"/>
            </w:tcBorders>
            <w:noWrap w:val="0"/>
            <w:vAlign w:val="center"/>
          </w:tcPr>
          <w:p w14:paraId="71449A8C">
            <w:pPr>
              <w:keepNext w:val="0"/>
              <w:keepLines w:val="0"/>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02E7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tcBorders>
              <w:left w:val="thinThickSmallGap" w:color="auto" w:sz="12" w:space="0"/>
            </w:tcBorders>
            <w:noWrap w:val="0"/>
            <w:vAlign w:val="top"/>
          </w:tcPr>
          <w:p w14:paraId="6EAE651C">
            <w:pPr>
              <w:pStyle w:val="94"/>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605" w:type="dxa"/>
            <w:noWrap w:val="0"/>
            <w:vAlign w:val="top"/>
          </w:tcPr>
          <w:p w14:paraId="5DE11349">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2310" w:type="dxa"/>
            <w:noWrap w:val="0"/>
            <w:vAlign w:val="top"/>
          </w:tcPr>
          <w:p w14:paraId="67FF9972">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1530" w:type="dxa"/>
            <w:noWrap w:val="0"/>
            <w:vAlign w:val="top"/>
          </w:tcPr>
          <w:p w14:paraId="1D02BA94">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2460" w:type="dxa"/>
            <w:noWrap w:val="0"/>
            <w:vAlign w:val="top"/>
          </w:tcPr>
          <w:p w14:paraId="524E1B5E">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1380" w:type="dxa"/>
            <w:tcBorders>
              <w:left w:val="single" w:color="auto" w:sz="4" w:space="0"/>
              <w:right w:val="thickThinSmallGap" w:color="auto" w:sz="12" w:space="0"/>
            </w:tcBorders>
            <w:noWrap w:val="0"/>
            <w:vAlign w:val="top"/>
          </w:tcPr>
          <w:p w14:paraId="3FD553D1">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r>
      <w:tr w14:paraId="04FF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tcBorders>
              <w:left w:val="thinThickSmallGap" w:color="auto" w:sz="12" w:space="0"/>
            </w:tcBorders>
            <w:noWrap w:val="0"/>
            <w:vAlign w:val="top"/>
          </w:tcPr>
          <w:p w14:paraId="4B514BA9">
            <w:pPr>
              <w:pStyle w:val="94"/>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605" w:type="dxa"/>
            <w:noWrap w:val="0"/>
            <w:vAlign w:val="top"/>
          </w:tcPr>
          <w:p w14:paraId="00D9AD70">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2310" w:type="dxa"/>
            <w:noWrap w:val="0"/>
            <w:vAlign w:val="top"/>
          </w:tcPr>
          <w:p w14:paraId="3B75AFB9">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1530" w:type="dxa"/>
            <w:noWrap w:val="0"/>
            <w:vAlign w:val="top"/>
          </w:tcPr>
          <w:p w14:paraId="3241DFB4">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2460" w:type="dxa"/>
            <w:noWrap w:val="0"/>
            <w:vAlign w:val="top"/>
          </w:tcPr>
          <w:p w14:paraId="79E87246">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1380" w:type="dxa"/>
            <w:tcBorders>
              <w:left w:val="single" w:color="auto" w:sz="4" w:space="0"/>
              <w:right w:val="thickThinSmallGap" w:color="auto" w:sz="12" w:space="0"/>
            </w:tcBorders>
            <w:noWrap w:val="0"/>
            <w:vAlign w:val="top"/>
          </w:tcPr>
          <w:p w14:paraId="7FA9C3D6">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r>
      <w:tr w14:paraId="5F74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tcBorders>
              <w:left w:val="thinThickSmallGap" w:color="auto" w:sz="12" w:space="0"/>
            </w:tcBorders>
            <w:noWrap w:val="0"/>
            <w:vAlign w:val="top"/>
          </w:tcPr>
          <w:p w14:paraId="6F4D91A5">
            <w:pPr>
              <w:pStyle w:val="94"/>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605" w:type="dxa"/>
            <w:noWrap w:val="0"/>
            <w:vAlign w:val="top"/>
          </w:tcPr>
          <w:p w14:paraId="568126DA">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2310" w:type="dxa"/>
            <w:noWrap w:val="0"/>
            <w:vAlign w:val="top"/>
          </w:tcPr>
          <w:p w14:paraId="5C07CF41">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1530" w:type="dxa"/>
            <w:noWrap w:val="0"/>
            <w:vAlign w:val="top"/>
          </w:tcPr>
          <w:p w14:paraId="776B158C">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2460" w:type="dxa"/>
            <w:noWrap w:val="0"/>
            <w:vAlign w:val="top"/>
          </w:tcPr>
          <w:p w14:paraId="2C56616C">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1380" w:type="dxa"/>
            <w:tcBorders>
              <w:left w:val="single" w:color="auto" w:sz="4" w:space="0"/>
              <w:right w:val="thickThinSmallGap" w:color="auto" w:sz="12" w:space="0"/>
            </w:tcBorders>
            <w:noWrap w:val="0"/>
            <w:vAlign w:val="top"/>
          </w:tcPr>
          <w:p w14:paraId="0F66E75A">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r>
      <w:tr w14:paraId="2266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5" w:type="dxa"/>
            <w:tcBorders>
              <w:left w:val="thinThickSmallGap" w:color="auto" w:sz="12" w:space="0"/>
            </w:tcBorders>
            <w:noWrap w:val="0"/>
            <w:vAlign w:val="top"/>
          </w:tcPr>
          <w:p w14:paraId="7EB5924B">
            <w:pPr>
              <w:pStyle w:val="94"/>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605" w:type="dxa"/>
            <w:noWrap w:val="0"/>
            <w:vAlign w:val="top"/>
          </w:tcPr>
          <w:p w14:paraId="158B8D0B">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2310" w:type="dxa"/>
            <w:noWrap w:val="0"/>
            <w:vAlign w:val="top"/>
          </w:tcPr>
          <w:p w14:paraId="3A364C14">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1530" w:type="dxa"/>
            <w:noWrap w:val="0"/>
            <w:vAlign w:val="top"/>
          </w:tcPr>
          <w:p w14:paraId="7CBCAF2F">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2460" w:type="dxa"/>
            <w:noWrap w:val="0"/>
            <w:vAlign w:val="top"/>
          </w:tcPr>
          <w:p w14:paraId="0315B266">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c>
          <w:tcPr>
            <w:tcW w:w="1380" w:type="dxa"/>
            <w:tcBorders>
              <w:left w:val="single" w:color="auto" w:sz="4" w:space="0"/>
              <w:right w:val="thickThinSmallGap" w:color="auto" w:sz="12" w:space="0"/>
            </w:tcBorders>
            <w:noWrap w:val="0"/>
            <w:vAlign w:val="top"/>
          </w:tcPr>
          <w:p w14:paraId="44747C01">
            <w:pPr>
              <w:keepNext w:val="0"/>
              <w:keepLines w:val="0"/>
              <w:suppressLineNumbers w:val="0"/>
              <w:spacing w:before="0" w:beforeAutospacing="0" w:after="0" w:afterAutospacing="0"/>
              <w:ind w:left="0" w:right="0" w:firstLine="480"/>
              <w:jc w:val="left"/>
              <w:rPr>
                <w:rFonts w:hint="eastAsia" w:ascii="宋体" w:hAnsi="宋体" w:eastAsia="宋体" w:cs="宋体"/>
                <w:color w:val="000000"/>
                <w:sz w:val="24"/>
                <w:szCs w:val="24"/>
              </w:rPr>
            </w:pPr>
          </w:p>
        </w:tc>
      </w:tr>
    </w:tbl>
    <w:p w14:paraId="2852ABB8">
      <w:pPr>
        <w:pStyle w:val="16"/>
        <w:spacing w:line="400" w:lineRule="exact"/>
        <w:ind w:firstLine="0" w:firstLineChars="0"/>
        <w:rPr>
          <w:rFonts w:hint="eastAsia" w:ascii="宋体" w:hAnsi="宋体" w:eastAsia="宋体" w:cs="宋体"/>
          <w:sz w:val="24"/>
          <w:szCs w:val="24"/>
          <w:u w:val="none"/>
        </w:rPr>
      </w:pPr>
      <w:r>
        <w:rPr>
          <w:rFonts w:hint="eastAsia" w:ascii="宋体" w:hAnsi="宋体" w:eastAsia="宋体" w:cs="宋体"/>
          <w:sz w:val="24"/>
          <w:szCs w:val="24"/>
          <w:lang w:val="zh-CN"/>
        </w:rPr>
        <w:t>注：</w:t>
      </w:r>
      <w:r>
        <w:rPr>
          <w:rFonts w:hint="eastAsia" w:ascii="宋体" w:hAnsi="宋体" w:eastAsia="宋体" w:cs="宋体"/>
          <w:sz w:val="24"/>
          <w:szCs w:val="24"/>
        </w:rPr>
        <w:t>1、在填写其中的技术响应内容时，</w:t>
      </w:r>
      <w:r>
        <w:rPr>
          <w:rFonts w:hint="eastAsia" w:ascii="宋体" w:hAnsi="宋体" w:eastAsia="宋体" w:cs="宋体"/>
          <w:sz w:val="24"/>
          <w:szCs w:val="24"/>
          <w:lang w:eastAsia="zh-CN"/>
        </w:rPr>
        <w:t>投标</w:t>
      </w:r>
      <w:r>
        <w:rPr>
          <w:rFonts w:hint="eastAsia" w:ascii="宋体" w:hAnsi="宋体" w:eastAsia="宋体" w:cs="宋体"/>
          <w:sz w:val="24"/>
          <w:szCs w:val="24"/>
        </w:rPr>
        <w:t>响应单位必须对照本</w:t>
      </w:r>
      <w:r>
        <w:rPr>
          <w:rFonts w:hint="eastAsia" w:ascii="宋体" w:hAnsi="宋体" w:eastAsia="宋体" w:cs="宋体"/>
          <w:sz w:val="24"/>
          <w:szCs w:val="24"/>
          <w:lang w:eastAsia="zh-CN"/>
        </w:rPr>
        <w:t>采购</w:t>
      </w:r>
      <w:r>
        <w:rPr>
          <w:rFonts w:hint="eastAsia" w:ascii="宋体" w:hAnsi="宋体" w:eastAsia="宋体" w:cs="宋体"/>
          <w:sz w:val="24"/>
          <w:szCs w:val="24"/>
        </w:rPr>
        <w:t>文件“技术要求”中各指标项逐条说明，写出各自响应产品的具体参数响应内容</w:t>
      </w:r>
      <w:r>
        <w:rPr>
          <w:rFonts w:hint="eastAsia" w:ascii="宋体" w:hAnsi="宋体" w:eastAsia="宋体" w:cs="宋体"/>
          <w:sz w:val="24"/>
          <w:szCs w:val="24"/>
          <w:u w:val="none"/>
        </w:rPr>
        <w:t>且不局限于本</w:t>
      </w:r>
      <w:r>
        <w:rPr>
          <w:rFonts w:hint="eastAsia" w:ascii="宋体" w:hAnsi="宋体" w:eastAsia="宋体" w:cs="宋体"/>
          <w:sz w:val="24"/>
          <w:szCs w:val="24"/>
          <w:u w:val="none"/>
          <w:lang w:eastAsia="zh-CN"/>
        </w:rPr>
        <w:t>采购</w:t>
      </w:r>
      <w:r>
        <w:rPr>
          <w:rFonts w:hint="eastAsia" w:ascii="宋体" w:hAnsi="宋体" w:eastAsia="宋体" w:cs="宋体"/>
          <w:sz w:val="24"/>
          <w:szCs w:val="24"/>
          <w:u w:val="none"/>
        </w:rPr>
        <w:t>文件技术要求，不得以“符合”或“满足”等词语作简单回答，否则</w:t>
      </w:r>
      <w:r>
        <w:rPr>
          <w:rFonts w:hint="eastAsia" w:ascii="宋体" w:hAnsi="宋体" w:eastAsia="宋体" w:cs="宋体"/>
          <w:sz w:val="24"/>
          <w:szCs w:val="24"/>
          <w:u w:val="none"/>
          <w:lang w:eastAsia="zh-CN"/>
        </w:rPr>
        <w:t>评标</w:t>
      </w:r>
      <w:r>
        <w:rPr>
          <w:rFonts w:hint="eastAsia" w:ascii="宋体" w:hAnsi="宋体" w:eastAsia="宋体" w:cs="宋体"/>
          <w:sz w:val="24"/>
          <w:szCs w:val="24"/>
          <w:u w:val="none"/>
        </w:rPr>
        <w:t>小组有权视其响应文件未实质响应</w:t>
      </w:r>
      <w:r>
        <w:rPr>
          <w:rFonts w:hint="eastAsia" w:ascii="宋体" w:hAnsi="宋体" w:eastAsia="宋体" w:cs="宋体"/>
          <w:sz w:val="24"/>
          <w:szCs w:val="24"/>
          <w:u w:val="none"/>
          <w:lang w:eastAsia="zh-CN"/>
        </w:rPr>
        <w:t>采购</w:t>
      </w:r>
      <w:r>
        <w:rPr>
          <w:rFonts w:hint="eastAsia" w:ascii="宋体" w:hAnsi="宋体" w:eastAsia="宋体" w:cs="宋体"/>
          <w:sz w:val="24"/>
          <w:szCs w:val="24"/>
          <w:u w:val="none"/>
        </w:rPr>
        <w:t>文件要求；</w:t>
      </w:r>
    </w:p>
    <w:p w14:paraId="15DFF23F">
      <w:pPr>
        <w:pStyle w:val="16"/>
        <w:spacing w:line="400" w:lineRule="exact"/>
        <w:ind w:firstLine="480"/>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w:t>
      </w:r>
      <w:r>
        <w:rPr>
          <w:rFonts w:hint="eastAsia" w:ascii="宋体" w:hAnsi="宋体" w:eastAsia="宋体" w:cs="宋体"/>
          <w:sz w:val="24"/>
          <w:szCs w:val="24"/>
        </w:rPr>
        <w:t>响应单位应根据</w:t>
      </w:r>
      <w:r>
        <w:rPr>
          <w:rFonts w:hint="eastAsia" w:ascii="宋体" w:hAnsi="宋体" w:eastAsia="宋体" w:cs="宋体"/>
          <w:sz w:val="24"/>
          <w:szCs w:val="24"/>
          <w:lang w:val="en-US" w:eastAsia="zh-CN"/>
        </w:rPr>
        <w:t>产品</w:t>
      </w:r>
      <w:r>
        <w:rPr>
          <w:rFonts w:hint="eastAsia" w:ascii="宋体" w:hAnsi="宋体" w:eastAsia="宋体" w:cs="宋体"/>
          <w:sz w:val="24"/>
          <w:szCs w:val="24"/>
        </w:rPr>
        <w:t>本身的性能指标、对照</w:t>
      </w:r>
      <w:r>
        <w:rPr>
          <w:rFonts w:hint="eastAsia" w:ascii="宋体" w:hAnsi="宋体" w:eastAsia="宋体" w:cs="宋体"/>
          <w:sz w:val="24"/>
          <w:szCs w:val="24"/>
          <w:lang w:eastAsia="zh-CN"/>
        </w:rPr>
        <w:t>采购</w:t>
      </w:r>
      <w:r>
        <w:rPr>
          <w:rFonts w:hint="eastAsia" w:ascii="宋体" w:hAnsi="宋体" w:eastAsia="宋体" w:cs="宋体"/>
          <w:sz w:val="24"/>
          <w:szCs w:val="24"/>
        </w:rPr>
        <w:t xml:space="preserve">文件要求在“偏离情况”栏注明“正偏离”、“负偏离”或“无偏离”。 </w:t>
      </w:r>
      <w:r>
        <w:rPr>
          <w:rFonts w:hint="eastAsia" w:ascii="宋体" w:hAnsi="宋体" w:eastAsia="宋体" w:cs="宋体"/>
          <w:color w:val="auto"/>
          <w:sz w:val="24"/>
          <w:szCs w:val="24"/>
        </w:rPr>
        <w:t xml:space="preserve"> 带▲的负偏离取消其</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响应资格。</w:t>
      </w:r>
    </w:p>
    <w:p w14:paraId="0D81CFED">
      <w:pPr>
        <w:shd w:val="clear"/>
        <w:snapToGrid w:val="0"/>
        <w:spacing w:before="50" w:line="400" w:lineRule="exact"/>
        <w:ind w:firstLine="723"/>
        <w:jc w:val="center"/>
        <w:rPr>
          <w:rFonts w:hint="eastAsia" w:ascii="宋体" w:hAnsi="宋体" w:cs="宋体"/>
          <w:b/>
          <w:bCs/>
          <w:color w:val="FF0000"/>
          <w:highlight w:val="none"/>
          <w:lang w:val="en-US" w:eastAsia="zh-CN" w:bidi="ar"/>
        </w:rPr>
      </w:pPr>
    </w:p>
    <w:p w14:paraId="756F31FA">
      <w:pPr>
        <w:pStyle w:val="33"/>
        <w:widowControl w:val="0"/>
        <w:shd w:val="clear"/>
        <w:spacing w:before="0" w:beforeAutospacing="0" w:after="0" w:afterAutospacing="0" w:line="300" w:lineRule="auto"/>
        <w:ind w:firstLine="480"/>
        <w:jc w:val="both"/>
        <w:rPr>
          <w:rFonts w:hint="eastAsia" w:ascii="宋体" w:hAnsi="宋体" w:cs="宋体"/>
          <w:color w:val="FF0000"/>
          <w:highlight w:val="none"/>
          <w:lang w:bidi="ar"/>
        </w:rPr>
      </w:pPr>
    </w:p>
    <w:p w14:paraId="4EA72780">
      <w:pPr>
        <w:pStyle w:val="33"/>
        <w:widowControl w:val="0"/>
        <w:shd w:val="clear"/>
        <w:spacing w:before="0" w:beforeAutospacing="0" w:after="0" w:afterAutospacing="0" w:line="300" w:lineRule="auto"/>
        <w:ind w:firstLine="480"/>
        <w:jc w:val="both"/>
        <w:rPr>
          <w:rFonts w:hint="eastAsia" w:ascii="宋体" w:hAnsi="宋体" w:cs="宋体"/>
          <w:color w:val="FF0000"/>
          <w:highlight w:val="none"/>
          <w:lang w:bidi="ar"/>
        </w:rPr>
      </w:pPr>
    </w:p>
    <w:p w14:paraId="160E0A4E">
      <w:pPr>
        <w:pStyle w:val="33"/>
        <w:widowControl w:val="0"/>
        <w:shd w:val="clear"/>
        <w:spacing w:before="0" w:beforeAutospacing="0" w:after="0" w:afterAutospacing="0" w:line="300" w:lineRule="auto"/>
        <w:ind w:firstLine="480"/>
        <w:jc w:val="both"/>
        <w:rPr>
          <w:rFonts w:hint="eastAsia" w:ascii="宋体" w:hAnsi="宋体" w:cs="宋体"/>
          <w:color w:val="FF0000"/>
          <w:highlight w:val="none"/>
          <w:lang w:bidi="ar"/>
        </w:rPr>
      </w:pPr>
    </w:p>
    <w:p w14:paraId="297D571B">
      <w:pPr>
        <w:shd w:val="clear"/>
        <w:snapToGrid w:val="0"/>
        <w:spacing w:line="480" w:lineRule="exact"/>
        <w:ind w:firstLine="3840" w:firstLineChars="1600"/>
        <w:rPr>
          <w:rFonts w:ascii="宋体" w:hAnsi="宋体"/>
          <w:color w:val="auto"/>
          <w:highlight w:val="none"/>
          <w:lang w:val="zh-CN"/>
        </w:rPr>
      </w:pPr>
      <w:r>
        <w:rPr>
          <w:rFonts w:hint="eastAsia" w:ascii="宋体" w:hAnsi="宋体"/>
          <w:color w:val="auto"/>
          <w:highlight w:val="none"/>
          <w:lang w:val="zh-CN"/>
        </w:rPr>
        <w:t>供应商名称（盖章）：</w:t>
      </w:r>
    </w:p>
    <w:p w14:paraId="4700DD05">
      <w:pPr>
        <w:shd w:val="clear"/>
        <w:snapToGrid w:val="0"/>
        <w:spacing w:line="480" w:lineRule="exact"/>
        <w:ind w:firstLine="3840" w:firstLineChars="1600"/>
        <w:rPr>
          <w:rFonts w:ascii="宋体" w:hAnsi="宋体"/>
          <w:color w:val="auto"/>
          <w:highlight w:val="none"/>
        </w:rPr>
      </w:pPr>
      <w:r>
        <w:rPr>
          <w:rFonts w:hint="eastAsia" w:ascii="宋体" w:hAnsi="宋体"/>
          <w:color w:val="auto"/>
          <w:highlight w:val="none"/>
          <w:lang w:val="zh-CN"/>
        </w:rPr>
        <w:t>法定代表人或授权委托人（签字或盖章）：</w:t>
      </w:r>
    </w:p>
    <w:p w14:paraId="4E74C71D">
      <w:pPr>
        <w:shd w:val="clear"/>
        <w:snapToGrid w:val="0"/>
        <w:spacing w:line="480" w:lineRule="exact"/>
        <w:ind w:firstLine="3840" w:firstLineChars="1600"/>
        <w:rPr>
          <w:color w:val="auto"/>
          <w:highlight w:val="none"/>
        </w:rPr>
        <w:sectPr>
          <w:headerReference r:id="rId12" w:type="default"/>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720" w:num="1"/>
          <w:docGrid w:type="lines" w:linePitch="312" w:charSpace="0"/>
        </w:sectPr>
      </w:pPr>
      <w:r>
        <w:rPr>
          <w:rFonts w:hint="eastAsia" w:ascii="宋体" w:hAnsi="宋体"/>
          <w:color w:val="auto"/>
          <w:highlight w:val="none"/>
          <w:lang w:val="zh-CN"/>
        </w:rPr>
        <w:t>日期：     年   月   日</w:t>
      </w:r>
    </w:p>
    <w:p w14:paraId="37C52A4F">
      <w:pPr>
        <w:shd w:val="clear"/>
        <w:ind w:firstLine="0" w:firstLineChars="0"/>
        <w:outlineLvl w:val="2"/>
        <w:rPr>
          <w:rFonts w:hint="default" w:ascii="宋体" w:hAnsi="宋体" w:eastAsia="宋体" w:cs="宋体"/>
          <w:b/>
          <w:bCs/>
          <w:color w:val="000000" w:themeColor="text1"/>
          <w:highlight w:val="none"/>
          <w:lang w:val="en-US" w:eastAsia="zh-CN" w:bidi="ar"/>
          <w14:textFill>
            <w14:solidFill>
              <w14:schemeClr w14:val="tx1"/>
            </w14:solidFill>
          </w14:textFill>
        </w:rPr>
      </w:pPr>
      <w:r>
        <w:rPr>
          <w:rFonts w:hint="eastAsia" w:ascii="宋体" w:hAnsi="宋体" w:eastAsia="宋体" w:cs="宋体"/>
          <w:b/>
          <w:bCs/>
          <w:color w:val="000000" w:themeColor="text1"/>
          <w:highlight w:val="none"/>
          <w:lang w:bidi="ar"/>
          <w14:textFill>
            <w14:solidFill>
              <w14:schemeClr w14:val="tx1"/>
            </w14:solidFill>
          </w14:textFill>
        </w:rPr>
        <w:t>附件</w:t>
      </w:r>
      <w:r>
        <w:rPr>
          <w:rFonts w:hint="eastAsia" w:ascii="宋体" w:hAnsi="宋体" w:cs="宋体"/>
          <w:b/>
          <w:bCs/>
          <w:color w:val="000000" w:themeColor="text1"/>
          <w:highlight w:val="none"/>
          <w:lang w:val="en-US" w:eastAsia="zh-CN" w:bidi="ar"/>
          <w14:textFill>
            <w14:solidFill>
              <w14:schemeClr w14:val="tx1"/>
            </w14:solidFill>
          </w14:textFill>
        </w:rPr>
        <w:t>8</w:t>
      </w:r>
    </w:p>
    <w:p w14:paraId="16BF35AF">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商务要求偏离表</w:t>
      </w:r>
    </w:p>
    <w:tbl>
      <w:tblPr>
        <w:tblStyle w:val="40"/>
        <w:tblpPr w:leftFromText="180" w:rightFromText="180" w:vertAnchor="text" w:horzAnchor="margin" w:tblpXSpec="center" w:tblpY="190"/>
        <w:tblW w:w="97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2670"/>
        <w:gridCol w:w="1866"/>
        <w:gridCol w:w="2502"/>
        <w:gridCol w:w="1834"/>
      </w:tblGrid>
      <w:tr w14:paraId="5D9D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920" w:type="dxa"/>
            <w:tcBorders>
              <w:top w:val="single" w:color="000000" w:sz="4" w:space="0"/>
              <w:left w:val="single" w:color="000000" w:sz="4" w:space="0"/>
              <w:bottom w:val="single" w:color="000000" w:sz="4" w:space="0"/>
              <w:right w:val="single" w:color="000000" w:sz="4" w:space="0"/>
            </w:tcBorders>
            <w:noWrap w:val="0"/>
            <w:vAlign w:val="center"/>
          </w:tcPr>
          <w:p w14:paraId="6C2DF24D">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序号</w:t>
            </w:r>
          </w:p>
        </w:tc>
        <w:tc>
          <w:tcPr>
            <w:tcW w:w="2670" w:type="dxa"/>
            <w:tcBorders>
              <w:top w:val="single" w:color="000000" w:sz="4" w:space="0"/>
              <w:left w:val="single" w:color="auto" w:sz="4" w:space="0"/>
              <w:bottom w:val="single" w:color="000000" w:sz="4" w:space="0"/>
              <w:right w:val="single" w:color="000000" w:sz="4" w:space="0"/>
            </w:tcBorders>
            <w:noWrap w:val="0"/>
            <w:vAlign w:val="center"/>
          </w:tcPr>
          <w:p w14:paraId="78CD3B65">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333333"/>
                <w:sz w:val="24"/>
                <w:szCs w:val="24"/>
                <w:lang w:val="zh-CN"/>
              </w:rPr>
            </w:pPr>
            <w:r>
              <w:rPr>
                <w:rFonts w:hint="eastAsia" w:ascii="宋体" w:hAnsi="宋体" w:cs="宋体"/>
                <w:color w:val="333333"/>
                <w:sz w:val="24"/>
                <w:szCs w:val="24"/>
                <w:lang w:val="en-US" w:eastAsia="zh-CN"/>
              </w:rPr>
              <w:t>采购</w:t>
            </w:r>
            <w:r>
              <w:rPr>
                <w:rFonts w:hint="eastAsia" w:ascii="宋体" w:hAnsi="宋体" w:eastAsia="宋体" w:cs="宋体"/>
                <w:color w:val="333333"/>
                <w:sz w:val="24"/>
                <w:szCs w:val="24"/>
                <w:lang w:val="zh-CN"/>
              </w:rPr>
              <w:t>文件条目号</w:t>
            </w:r>
          </w:p>
        </w:tc>
        <w:tc>
          <w:tcPr>
            <w:tcW w:w="1866" w:type="dxa"/>
            <w:tcBorders>
              <w:top w:val="single" w:color="000000" w:sz="4" w:space="0"/>
              <w:left w:val="single" w:color="auto" w:sz="4" w:space="0"/>
              <w:bottom w:val="single" w:color="000000" w:sz="4" w:space="0"/>
              <w:right w:val="single" w:color="000000" w:sz="4" w:space="0"/>
            </w:tcBorders>
            <w:noWrap w:val="0"/>
            <w:vAlign w:val="center"/>
          </w:tcPr>
          <w:p w14:paraId="37EDD7EF">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333333"/>
                <w:sz w:val="24"/>
                <w:szCs w:val="24"/>
                <w:lang w:val="zh-CN"/>
              </w:rPr>
            </w:pPr>
            <w:r>
              <w:rPr>
                <w:rFonts w:hint="eastAsia" w:ascii="宋体" w:hAnsi="宋体" w:cs="宋体"/>
                <w:color w:val="333333"/>
                <w:sz w:val="24"/>
                <w:szCs w:val="24"/>
                <w:lang w:val="en-US" w:eastAsia="zh-CN"/>
              </w:rPr>
              <w:t>采购</w:t>
            </w:r>
            <w:r>
              <w:rPr>
                <w:rFonts w:hint="eastAsia" w:ascii="宋体" w:hAnsi="宋体" w:eastAsia="宋体" w:cs="宋体"/>
                <w:color w:val="333333"/>
                <w:sz w:val="24"/>
                <w:szCs w:val="24"/>
                <w:lang w:val="zh-CN"/>
              </w:rPr>
              <w:t>文件要求</w:t>
            </w:r>
          </w:p>
        </w:tc>
        <w:tc>
          <w:tcPr>
            <w:tcW w:w="2502" w:type="dxa"/>
            <w:tcBorders>
              <w:top w:val="single" w:color="000000" w:sz="4" w:space="0"/>
              <w:left w:val="single" w:color="auto" w:sz="4" w:space="0"/>
              <w:bottom w:val="single" w:color="000000" w:sz="4" w:space="0"/>
              <w:right w:val="single" w:color="000000" w:sz="4" w:space="0"/>
            </w:tcBorders>
            <w:noWrap w:val="0"/>
            <w:vAlign w:val="center"/>
          </w:tcPr>
          <w:p w14:paraId="2D68507E">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333333"/>
                <w:sz w:val="24"/>
                <w:szCs w:val="24"/>
                <w:lang w:val="zh-CN"/>
              </w:rPr>
            </w:pPr>
            <w:r>
              <w:rPr>
                <w:rFonts w:hint="eastAsia" w:ascii="宋体" w:hAnsi="宋体" w:cs="宋体"/>
                <w:color w:val="333333"/>
                <w:sz w:val="24"/>
                <w:szCs w:val="24"/>
                <w:lang w:val="en-US" w:eastAsia="zh-CN"/>
              </w:rPr>
              <w:t>投标</w:t>
            </w:r>
            <w:r>
              <w:rPr>
                <w:rFonts w:hint="eastAsia" w:ascii="宋体" w:hAnsi="宋体" w:eastAsia="宋体" w:cs="宋体"/>
                <w:color w:val="333333"/>
                <w:sz w:val="24"/>
                <w:szCs w:val="24"/>
                <w:lang w:val="zh-CN"/>
              </w:rPr>
              <w:t>文件响应内容</w:t>
            </w:r>
          </w:p>
        </w:tc>
        <w:tc>
          <w:tcPr>
            <w:tcW w:w="1834" w:type="dxa"/>
            <w:tcBorders>
              <w:top w:val="single" w:color="000000" w:sz="4" w:space="0"/>
              <w:left w:val="single" w:color="auto" w:sz="4" w:space="0"/>
              <w:bottom w:val="single" w:color="000000" w:sz="4" w:space="0"/>
              <w:right w:val="single" w:color="000000" w:sz="4" w:space="0"/>
            </w:tcBorders>
            <w:noWrap w:val="0"/>
            <w:vAlign w:val="center"/>
          </w:tcPr>
          <w:p w14:paraId="058102B3">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偏离说明</w:t>
            </w:r>
          </w:p>
        </w:tc>
      </w:tr>
      <w:tr w14:paraId="0C16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920" w:type="dxa"/>
            <w:tcBorders>
              <w:top w:val="single" w:color="auto" w:sz="4" w:space="0"/>
              <w:left w:val="single" w:color="000000" w:sz="4" w:space="0"/>
              <w:bottom w:val="single" w:color="000000" w:sz="4" w:space="0"/>
              <w:right w:val="single" w:color="000000" w:sz="4" w:space="0"/>
            </w:tcBorders>
            <w:noWrap w:val="0"/>
            <w:vAlign w:val="center"/>
          </w:tcPr>
          <w:p w14:paraId="16A80994">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333333"/>
                <w:sz w:val="24"/>
                <w:szCs w:val="24"/>
              </w:rPr>
            </w:pPr>
          </w:p>
        </w:tc>
        <w:tc>
          <w:tcPr>
            <w:tcW w:w="2670" w:type="dxa"/>
            <w:tcBorders>
              <w:top w:val="single" w:color="auto" w:sz="4" w:space="0"/>
              <w:left w:val="single" w:color="auto" w:sz="4" w:space="0"/>
              <w:bottom w:val="single" w:color="000000" w:sz="4" w:space="0"/>
              <w:right w:val="single" w:color="000000" w:sz="4" w:space="0"/>
            </w:tcBorders>
            <w:noWrap w:val="0"/>
            <w:vAlign w:val="center"/>
          </w:tcPr>
          <w:p w14:paraId="123979D6">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宋体"/>
                <w:color w:val="333333"/>
                <w:sz w:val="24"/>
                <w:szCs w:val="24"/>
                <w:lang w:val="zh-CN"/>
              </w:rPr>
            </w:pPr>
          </w:p>
        </w:tc>
        <w:tc>
          <w:tcPr>
            <w:tcW w:w="1866" w:type="dxa"/>
            <w:tcBorders>
              <w:top w:val="single" w:color="auto" w:sz="4" w:space="0"/>
              <w:left w:val="single" w:color="auto" w:sz="4" w:space="0"/>
              <w:bottom w:val="single" w:color="000000" w:sz="4" w:space="0"/>
              <w:right w:val="single" w:color="000000" w:sz="4" w:space="0"/>
            </w:tcBorders>
            <w:noWrap w:val="0"/>
            <w:vAlign w:val="center"/>
          </w:tcPr>
          <w:p w14:paraId="3634FBCF">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502" w:type="dxa"/>
            <w:tcBorders>
              <w:top w:val="single" w:color="auto" w:sz="4" w:space="0"/>
              <w:left w:val="single" w:color="auto" w:sz="4" w:space="0"/>
              <w:bottom w:val="single" w:color="000000" w:sz="4" w:space="0"/>
              <w:right w:val="single" w:color="000000" w:sz="4" w:space="0"/>
            </w:tcBorders>
            <w:noWrap w:val="0"/>
            <w:vAlign w:val="center"/>
          </w:tcPr>
          <w:p w14:paraId="23C6CEB2">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34" w:type="dxa"/>
            <w:tcBorders>
              <w:top w:val="single" w:color="auto" w:sz="4" w:space="0"/>
              <w:left w:val="single" w:color="auto" w:sz="4" w:space="0"/>
              <w:bottom w:val="single" w:color="000000" w:sz="4" w:space="0"/>
              <w:right w:val="single" w:color="000000" w:sz="4" w:space="0"/>
            </w:tcBorders>
            <w:noWrap w:val="0"/>
            <w:vAlign w:val="center"/>
          </w:tcPr>
          <w:p w14:paraId="5F99F2EF">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r>
      <w:tr w14:paraId="0FAA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920" w:type="dxa"/>
            <w:tcBorders>
              <w:top w:val="single" w:color="auto" w:sz="4" w:space="0"/>
              <w:left w:val="single" w:color="000000" w:sz="4" w:space="0"/>
              <w:bottom w:val="single" w:color="000000" w:sz="4" w:space="0"/>
              <w:right w:val="single" w:color="000000" w:sz="4" w:space="0"/>
            </w:tcBorders>
            <w:noWrap w:val="0"/>
            <w:vAlign w:val="center"/>
          </w:tcPr>
          <w:p w14:paraId="7DD8632F">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333333"/>
                <w:sz w:val="24"/>
                <w:szCs w:val="24"/>
              </w:rPr>
            </w:pPr>
          </w:p>
        </w:tc>
        <w:tc>
          <w:tcPr>
            <w:tcW w:w="2670" w:type="dxa"/>
            <w:tcBorders>
              <w:top w:val="single" w:color="auto" w:sz="4" w:space="0"/>
              <w:left w:val="single" w:color="auto" w:sz="4" w:space="0"/>
              <w:bottom w:val="single" w:color="000000" w:sz="4" w:space="0"/>
              <w:right w:val="single" w:color="000000" w:sz="4" w:space="0"/>
            </w:tcBorders>
            <w:noWrap w:val="0"/>
            <w:vAlign w:val="center"/>
          </w:tcPr>
          <w:p w14:paraId="301FD395">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宋体"/>
                <w:color w:val="333333"/>
                <w:sz w:val="24"/>
                <w:szCs w:val="24"/>
              </w:rPr>
            </w:pPr>
          </w:p>
        </w:tc>
        <w:tc>
          <w:tcPr>
            <w:tcW w:w="1866" w:type="dxa"/>
            <w:tcBorders>
              <w:top w:val="single" w:color="auto" w:sz="4" w:space="0"/>
              <w:left w:val="single" w:color="auto" w:sz="4" w:space="0"/>
              <w:bottom w:val="single" w:color="000000" w:sz="4" w:space="0"/>
              <w:right w:val="single" w:color="000000" w:sz="4" w:space="0"/>
            </w:tcBorders>
            <w:noWrap w:val="0"/>
            <w:vAlign w:val="center"/>
          </w:tcPr>
          <w:p w14:paraId="7AE6B364">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502" w:type="dxa"/>
            <w:tcBorders>
              <w:top w:val="single" w:color="auto" w:sz="4" w:space="0"/>
              <w:left w:val="single" w:color="auto" w:sz="4" w:space="0"/>
              <w:bottom w:val="single" w:color="000000" w:sz="4" w:space="0"/>
              <w:right w:val="single" w:color="000000" w:sz="4" w:space="0"/>
            </w:tcBorders>
            <w:noWrap w:val="0"/>
            <w:vAlign w:val="center"/>
          </w:tcPr>
          <w:p w14:paraId="0E697004">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34" w:type="dxa"/>
            <w:tcBorders>
              <w:top w:val="single" w:color="auto" w:sz="4" w:space="0"/>
              <w:left w:val="single" w:color="auto" w:sz="4" w:space="0"/>
              <w:bottom w:val="single" w:color="000000" w:sz="4" w:space="0"/>
              <w:right w:val="single" w:color="000000" w:sz="4" w:space="0"/>
            </w:tcBorders>
            <w:noWrap w:val="0"/>
            <w:vAlign w:val="center"/>
          </w:tcPr>
          <w:p w14:paraId="71CBA85B">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r>
      <w:tr w14:paraId="684C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920" w:type="dxa"/>
            <w:tcBorders>
              <w:top w:val="single" w:color="auto" w:sz="4" w:space="0"/>
              <w:left w:val="single" w:color="000000" w:sz="4" w:space="0"/>
              <w:bottom w:val="single" w:color="000000" w:sz="4" w:space="0"/>
              <w:right w:val="single" w:color="000000" w:sz="4" w:space="0"/>
            </w:tcBorders>
            <w:noWrap w:val="0"/>
            <w:vAlign w:val="center"/>
          </w:tcPr>
          <w:p w14:paraId="28A781CD">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333333"/>
                <w:sz w:val="24"/>
                <w:szCs w:val="24"/>
              </w:rPr>
            </w:pPr>
          </w:p>
        </w:tc>
        <w:tc>
          <w:tcPr>
            <w:tcW w:w="2670" w:type="dxa"/>
            <w:tcBorders>
              <w:top w:val="single" w:color="auto" w:sz="4" w:space="0"/>
              <w:left w:val="single" w:color="auto" w:sz="4" w:space="0"/>
              <w:bottom w:val="single" w:color="000000" w:sz="4" w:space="0"/>
              <w:right w:val="single" w:color="000000" w:sz="4" w:space="0"/>
            </w:tcBorders>
            <w:noWrap w:val="0"/>
            <w:vAlign w:val="center"/>
          </w:tcPr>
          <w:p w14:paraId="6655F8A3">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宋体"/>
                <w:color w:val="333333"/>
                <w:sz w:val="24"/>
                <w:szCs w:val="24"/>
                <w:lang w:val="zh-CN"/>
              </w:rPr>
            </w:pPr>
          </w:p>
        </w:tc>
        <w:tc>
          <w:tcPr>
            <w:tcW w:w="1866" w:type="dxa"/>
            <w:tcBorders>
              <w:top w:val="single" w:color="auto" w:sz="4" w:space="0"/>
              <w:left w:val="single" w:color="auto" w:sz="4" w:space="0"/>
              <w:bottom w:val="single" w:color="000000" w:sz="4" w:space="0"/>
              <w:right w:val="single" w:color="000000" w:sz="4" w:space="0"/>
            </w:tcBorders>
            <w:noWrap w:val="0"/>
            <w:vAlign w:val="center"/>
          </w:tcPr>
          <w:p w14:paraId="70BF5B4C">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502" w:type="dxa"/>
            <w:tcBorders>
              <w:top w:val="single" w:color="auto" w:sz="4" w:space="0"/>
              <w:left w:val="single" w:color="auto" w:sz="4" w:space="0"/>
              <w:bottom w:val="single" w:color="000000" w:sz="4" w:space="0"/>
              <w:right w:val="single" w:color="000000" w:sz="4" w:space="0"/>
            </w:tcBorders>
            <w:noWrap w:val="0"/>
            <w:vAlign w:val="center"/>
          </w:tcPr>
          <w:p w14:paraId="0B88F1DF">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34" w:type="dxa"/>
            <w:tcBorders>
              <w:top w:val="single" w:color="auto" w:sz="4" w:space="0"/>
              <w:left w:val="single" w:color="auto" w:sz="4" w:space="0"/>
              <w:bottom w:val="single" w:color="000000" w:sz="4" w:space="0"/>
              <w:right w:val="single" w:color="000000" w:sz="4" w:space="0"/>
            </w:tcBorders>
            <w:noWrap w:val="0"/>
            <w:vAlign w:val="center"/>
          </w:tcPr>
          <w:p w14:paraId="52E10CCB">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r>
      <w:tr w14:paraId="599E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920" w:type="dxa"/>
            <w:tcBorders>
              <w:top w:val="single" w:color="auto" w:sz="4" w:space="0"/>
              <w:left w:val="single" w:color="000000" w:sz="4" w:space="0"/>
              <w:bottom w:val="single" w:color="000000" w:sz="4" w:space="0"/>
              <w:right w:val="single" w:color="000000" w:sz="4" w:space="0"/>
            </w:tcBorders>
            <w:noWrap w:val="0"/>
            <w:vAlign w:val="center"/>
          </w:tcPr>
          <w:p w14:paraId="494AB3DA">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333333"/>
                <w:sz w:val="24"/>
                <w:szCs w:val="24"/>
              </w:rPr>
            </w:pPr>
          </w:p>
        </w:tc>
        <w:tc>
          <w:tcPr>
            <w:tcW w:w="2670" w:type="dxa"/>
            <w:tcBorders>
              <w:top w:val="single" w:color="auto" w:sz="4" w:space="0"/>
              <w:left w:val="single" w:color="auto" w:sz="4" w:space="0"/>
              <w:bottom w:val="single" w:color="000000" w:sz="4" w:space="0"/>
              <w:right w:val="single" w:color="000000" w:sz="4" w:space="0"/>
            </w:tcBorders>
            <w:noWrap w:val="0"/>
            <w:vAlign w:val="center"/>
          </w:tcPr>
          <w:p w14:paraId="022F24F5">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宋体"/>
                <w:color w:val="333333"/>
                <w:sz w:val="24"/>
                <w:szCs w:val="24"/>
                <w:lang w:val="zh-CN"/>
              </w:rPr>
            </w:pPr>
          </w:p>
        </w:tc>
        <w:tc>
          <w:tcPr>
            <w:tcW w:w="1866" w:type="dxa"/>
            <w:tcBorders>
              <w:top w:val="single" w:color="auto" w:sz="4" w:space="0"/>
              <w:left w:val="single" w:color="auto" w:sz="4" w:space="0"/>
              <w:bottom w:val="single" w:color="000000" w:sz="4" w:space="0"/>
              <w:right w:val="single" w:color="000000" w:sz="4" w:space="0"/>
            </w:tcBorders>
            <w:noWrap w:val="0"/>
            <w:vAlign w:val="center"/>
          </w:tcPr>
          <w:p w14:paraId="4FABD2E0">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502" w:type="dxa"/>
            <w:tcBorders>
              <w:top w:val="single" w:color="auto" w:sz="4" w:space="0"/>
              <w:left w:val="single" w:color="auto" w:sz="4" w:space="0"/>
              <w:bottom w:val="single" w:color="000000" w:sz="4" w:space="0"/>
              <w:right w:val="single" w:color="000000" w:sz="4" w:space="0"/>
            </w:tcBorders>
            <w:noWrap w:val="0"/>
            <w:vAlign w:val="center"/>
          </w:tcPr>
          <w:p w14:paraId="1549F3FC">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34" w:type="dxa"/>
            <w:tcBorders>
              <w:top w:val="single" w:color="auto" w:sz="4" w:space="0"/>
              <w:left w:val="single" w:color="auto" w:sz="4" w:space="0"/>
              <w:bottom w:val="single" w:color="000000" w:sz="4" w:space="0"/>
              <w:right w:val="single" w:color="000000" w:sz="4" w:space="0"/>
            </w:tcBorders>
            <w:noWrap w:val="0"/>
            <w:vAlign w:val="center"/>
          </w:tcPr>
          <w:p w14:paraId="23A9C9E6">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r>
      <w:tr w14:paraId="5634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920" w:type="dxa"/>
            <w:tcBorders>
              <w:top w:val="single" w:color="auto" w:sz="4" w:space="0"/>
              <w:left w:val="single" w:color="000000" w:sz="4" w:space="0"/>
              <w:bottom w:val="single" w:color="000000" w:sz="4" w:space="0"/>
              <w:right w:val="single" w:color="000000" w:sz="4" w:space="0"/>
            </w:tcBorders>
            <w:noWrap w:val="0"/>
            <w:vAlign w:val="center"/>
          </w:tcPr>
          <w:p w14:paraId="3A55E85C">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333333"/>
                <w:sz w:val="24"/>
                <w:szCs w:val="24"/>
                <w:lang w:eastAsia="zh-CN"/>
              </w:rPr>
            </w:pPr>
          </w:p>
        </w:tc>
        <w:tc>
          <w:tcPr>
            <w:tcW w:w="2670" w:type="dxa"/>
            <w:tcBorders>
              <w:top w:val="single" w:color="auto" w:sz="4" w:space="0"/>
              <w:left w:val="single" w:color="auto" w:sz="4" w:space="0"/>
              <w:bottom w:val="single" w:color="000000" w:sz="4" w:space="0"/>
              <w:right w:val="single" w:color="000000" w:sz="4" w:space="0"/>
            </w:tcBorders>
            <w:noWrap w:val="0"/>
            <w:vAlign w:val="center"/>
          </w:tcPr>
          <w:p w14:paraId="69CDDCBD">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333333"/>
                <w:sz w:val="24"/>
                <w:szCs w:val="24"/>
                <w:lang w:val="zh-CN" w:eastAsia="zh-CN"/>
              </w:rPr>
            </w:pPr>
          </w:p>
        </w:tc>
        <w:tc>
          <w:tcPr>
            <w:tcW w:w="1866" w:type="dxa"/>
            <w:tcBorders>
              <w:top w:val="single" w:color="auto" w:sz="4" w:space="0"/>
              <w:left w:val="single" w:color="auto" w:sz="4" w:space="0"/>
              <w:bottom w:val="single" w:color="000000" w:sz="4" w:space="0"/>
              <w:right w:val="single" w:color="000000" w:sz="4" w:space="0"/>
            </w:tcBorders>
            <w:noWrap w:val="0"/>
            <w:vAlign w:val="center"/>
          </w:tcPr>
          <w:p w14:paraId="23CD5D16">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502" w:type="dxa"/>
            <w:tcBorders>
              <w:top w:val="single" w:color="auto" w:sz="4" w:space="0"/>
              <w:left w:val="single" w:color="auto" w:sz="4" w:space="0"/>
              <w:bottom w:val="single" w:color="000000" w:sz="4" w:space="0"/>
              <w:right w:val="single" w:color="000000" w:sz="4" w:space="0"/>
            </w:tcBorders>
            <w:noWrap w:val="0"/>
            <w:vAlign w:val="center"/>
          </w:tcPr>
          <w:p w14:paraId="1D777931">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34" w:type="dxa"/>
            <w:tcBorders>
              <w:top w:val="single" w:color="auto" w:sz="4" w:space="0"/>
              <w:left w:val="single" w:color="auto" w:sz="4" w:space="0"/>
              <w:bottom w:val="single" w:color="000000" w:sz="4" w:space="0"/>
              <w:right w:val="single" w:color="000000" w:sz="4" w:space="0"/>
            </w:tcBorders>
            <w:noWrap w:val="0"/>
            <w:vAlign w:val="center"/>
          </w:tcPr>
          <w:p w14:paraId="4B3B4EA5">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r>
      <w:tr w14:paraId="7DB4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920" w:type="dxa"/>
            <w:tcBorders>
              <w:top w:val="single" w:color="auto" w:sz="4" w:space="0"/>
              <w:left w:val="single" w:color="000000" w:sz="4" w:space="0"/>
              <w:bottom w:val="single" w:color="auto" w:sz="4" w:space="0"/>
              <w:right w:val="single" w:color="000000" w:sz="4" w:space="0"/>
            </w:tcBorders>
            <w:noWrap w:val="0"/>
            <w:vAlign w:val="center"/>
          </w:tcPr>
          <w:p w14:paraId="5177F09A">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333333"/>
                <w:sz w:val="24"/>
                <w:szCs w:val="24"/>
                <w:lang w:val="en-US" w:eastAsia="zh-CN"/>
              </w:rPr>
            </w:pPr>
          </w:p>
        </w:tc>
        <w:tc>
          <w:tcPr>
            <w:tcW w:w="2670" w:type="dxa"/>
            <w:tcBorders>
              <w:top w:val="single" w:color="auto" w:sz="4" w:space="0"/>
              <w:left w:val="single" w:color="auto" w:sz="4" w:space="0"/>
              <w:bottom w:val="single" w:color="auto" w:sz="4" w:space="0"/>
              <w:right w:val="single" w:color="000000" w:sz="4" w:space="0"/>
            </w:tcBorders>
            <w:noWrap w:val="0"/>
            <w:vAlign w:val="center"/>
          </w:tcPr>
          <w:p w14:paraId="7B85F599">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333333"/>
                <w:sz w:val="24"/>
                <w:szCs w:val="24"/>
                <w:lang w:val="zh-CN"/>
              </w:rPr>
            </w:pPr>
          </w:p>
        </w:tc>
        <w:tc>
          <w:tcPr>
            <w:tcW w:w="1866" w:type="dxa"/>
            <w:tcBorders>
              <w:top w:val="single" w:color="auto" w:sz="4" w:space="0"/>
              <w:left w:val="single" w:color="auto" w:sz="4" w:space="0"/>
              <w:bottom w:val="single" w:color="auto" w:sz="4" w:space="0"/>
              <w:right w:val="single" w:color="000000" w:sz="4" w:space="0"/>
            </w:tcBorders>
            <w:noWrap w:val="0"/>
            <w:vAlign w:val="center"/>
          </w:tcPr>
          <w:p w14:paraId="5F550DAA">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502" w:type="dxa"/>
            <w:tcBorders>
              <w:top w:val="single" w:color="auto" w:sz="4" w:space="0"/>
              <w:left w:val="single" w:color="auto" w:sz="4" w:space="0"/>
              <w:bottom w:val="single" w:color="auto" w:sz="4" w:space="0"/>
              <w:right w:val="single" w:color="000000" w:sz="4" w:space="0"/>
            </w:tcBorders>
            <w:noWrap w:val="0"/>
            <w:vAlign w:val="center"/>
          </w:tcPr>
          <w:p w14:paraId="7EE39269">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34" w:type="dxa"/>
            <w:tcBorders>
              <w:top w:val="single" w:color="auto" w:sz="4" w:space="0"/>
              <w:left w:val="single" w:color="auto" w:sz="4" w:space="0"/>
              <w:bottom w:val="single" w:color="auto" w:sz="4" w:space="0"/>
              <w:right w:val="single" w:color="000000" w:sz="4" w:space="0"/>
            </w:tcBorders>
            <w:noWrap w:val="0"/>
            <w:vAlign w:val="center"/>
          </w:tcPr>
          <w:p w14:paraId="6DA65B38">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r>
      <w:tr w14:paraId="702D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920" w:type="dxa"/>
            <w:tcBorders>
              <w:top w:val="single" w:color="auto" w:sz="4" w:space="0"/>
              <w:left w:val="single" w:color="000000" w:sz="4" w:space="0"/>
              <w:bottom w:val="single" w:color="auto" w:sz="4" w:space="0"/>
              <w:right w:val="single" w:color="000000" w:sz="4" w:space="0"/>
            </w:tcBorders>
            <w:noWrap w:val="0"/>
            <w:vAlign w:val="center"/>
          </w:tcPr>
          <w:p w14:paraId="036F5FE0">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670" w:type="dxa"/>
            <w:tcBorders>
              <w:top w:val="single" w:color="auto" w:sz="4" w:space="0"/>
              <w:left w:val="single" w:color="auto" w:sz="4" w:space="0"/>
              <w:bottom w:val="single" w:color="auto" w:sz="4" w:space="0"/>
              <w:right w:val="single" w:color="000000" w:sz="4" w:space="0"/>
            </w:tcBorders>
            <w:noWrap w:val="0"/>
            <w:vAlign w:val="center"/>
          </w:tcPr>
          <w:p w14:paraId="076D73F2">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66" w:type="dxa"/>
            <w:tcBorders>
              <w:top w:val="single" w:color="auto" w:sz="4" w:space="0"/>
              <w:left w:val="single" w:color="auto" w:sz="4" w:space="0"/>
              <w:bottom w:val="single" w:color="auto" w:sz="4" w:space="0"/>
              <w:right w:val="single" w:color="000000" w:sz="4" w:space="0"/>
            </w:tcBorders>
            <w:noWrap w:val="0"/>
            <w:vAlign w:val="center"/>
          </w:tcPr>
          <w:p w14:paraId="18E03907">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502" w:type="dxa"/>
            <w:tcBorders>
              <w:top w:val="single" w:color="auto" w:sz="4" w:space="0"/>
              <w:left w:val="single" w:color="auto" w:sz="4" w:space="0"/>
              <w:bottom w:val="single" w:color="auto" w:sz="4" w:space="0"/>
              <w:right w:val="single" w:color="000000" w:sz="4" w:space="0"/>
            </w:tcBorders>
            <w:noWrap w:val="0"/>
            <w:vAlign w:val="center"/>
          </w:tcPr>
          <w:p w14:paraId="3C969C4B">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34" w:type="dxa"/>
            <w:tcBorders>
              <w:top w:val="single" w:color="auto" w:sz="4" w:space="0"/>
              <w:left w:val="single" w:color="auto" w:sz="4" w:space="0"/>
              <w:bottom w:val="single" w:color="auto" w:sz="4" w:space="0"/>
              <w:right w:val="single" w:color="000000" w:sz="4" w:space="0"/>
            </w:tcBorders>
            <w:noWrap w:val="0"/>
            <w:vAlign w:val="center"/>
          </w:tcPr>
          <w:p w14:paraId="5645F229">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r>
      <w:tr w14:paraId="2ADD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920" w:type="dxa"/>
            <w:tcBorders>
              <w:top w:val="single" w:color="auto" w:sz="4" w:space="0"/>
              <w:left w:val="single" w:color="000000" w:sz="4" w:space="0"/>
              <w:bottom w:val="single" w:color="auto" w:sz="4" w:space="0"/>
              <w:right w:val="single" w:color="000000" w:sz="4" w:space="0"/>
            </w:tcBorders>
            <w:noWrap w:val="0"/>
            <w:vAlign w:val="center"/>
          </w:tcPr>
          <w:p w14:paraId="5687445B">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670" w:type="dxa"/>
            <w:tcBorders>
              <w:top w:val="single" w:color="auto" w:sz="4" w:space="0"/>
              <w:left w:val="single" w:color="auto" w:sz="4" w:space="0"/>
              <w:bottom w:val="single" w:color="auto" w:sz="4" w:space="0"/>
              <w:right w:val="single" w:color="000000" w:sz="4" w:space="0"/>
            </w:tcBorders>
            <w:noWrap w:val="0"/>
            <w:vAlign w:val="center"/>
          </w:tcPr>
          <w:p w14:paraId="1ACC8EF9">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66" w:type="dxa"/>
            <w:tcBorders>
              <w:top w:val="single" w:color="auto" w:sz="4" w:space="0"/>
              <w:left w:val="single" w:color="auto" w:sz="4" w:space="0"/>
              <w:bottom w:val="single" w:color="auto" w:sz="4" w:space="0"/>
              <w:right w:val="single" w:color="000000" w:sz="4" w:space="0"/>
            </w:tcBorders>
            <w:noWrap w:val="0"/>
            <w:vAlign w:val="center"/>
          </w:tcPr>
          <w:p w14:paraId="68238C1F">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502" w:type="dxa"/>
            <w:tcBorders>
              <w:top w:val="single" w:color="auto" w:sz="4" w:space="0"/>
              <w:left w:val="single" w:color="auto" w:sz="4" w:space="0"/>
              <w:bottom w:val="single" w:color="auto" w:sz="4" w:space="0"/>
              <w:right w:val="single" w:color="000000" w:sz="4" w:space="0"/>
            </w:tcBorders>
            <w:noWrap w:val="0"/>
            <w:vAlign w:val="center"/>
          </w:tcPr>
          <w:p w14:paraId="5BEF9777">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34" w:type="dxa"/>
            <w:tcBorders>
              <w:top w:val="single" w:color="auto" w:sz="4" w:space="0"/>
              <w:left w:val="single" w:color="auto" w:sz="4" w:space="0"/>
              <w:bottom w:val="single" w:color="auto" w:sz="4" w:space="0"/>
              <w:right w:val="single" w:color="000000" w:sz="4" w:space="0"/>
            </w:tcBorders>
            <w:noWrap w:val="0"/>
            <w:vAlign w:val="center"/>
          </w:tcPr>
          <w:p w14:paraId="70E0529B">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r>
      <w:tr w14:paraId="23DC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920" w:type="dxa"/>
            <w:tcBorders>
              <w:top w:val="single" w:color="auto" w:sz="4" w:space="0"/>
              <w:left w:val="single" w:color="000000" w:sz="4" w:space="0"/>
              <w:bottom w:val="single" w:color="auto" w:sz="4" w:space="0"/>
              <w:right w:val="single" w:color="000000" w:sz="4" w:space="0"/>
            </w:tcBorders>
            <w:noWrap w:val="0"/>
            <w:vAlign w:val="center"/>
          </w:tcPr>
          <w:p w14:paraId="3F5508B5">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670" w:type="dxa"/>
            <w:tcBorders>
              <w:top w:val="single" w:color="auto" w:sz="4" w:space="0"/>
              <w:left w:val="single" w:color="auto" w:sz="4" w:space="0"/>
              <w:bottom w:val="single" w:color="auto" w:sz="4" w:space="0"/>
              <w:right w:val="single" w:color="000000" w:sz="4" w:space="0"/>
            </w:tcBorders>
            <w:noWrap w:val="0"/>
            <w:vAlign w:val="center"/>
          </w:tcPr>
          <w:p w14:paraId="0C58790E">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66" w:type="dxa"/>
            <w:tcBorders>
              <w:top w:val="single" w:color="auto" w:sz="4" w:space="0"/>
              <w:left w:val="single" w:color="auto" w:sz="4" w:space="0"/>
              <w:bottom w:val="single" w:color="auto" w:sz="4" w:space="0"/>
              <w:right w:val="single" w:color="000000" w:sz="4" w:space="0"/>
            </w:tcBorders>
            <w:noWrap w:val="0"/>
            <w:vAlign w:val="center"/>
          </w:tcPr>
          <w:p w14:paraId="289A792F">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502" w:type="dxa"/>
            <w:tcBorders>
              <w:top w:val="single" w:color="auto" w:sz="4" w:space="0"/>
              <w:left w:val="single" w:color="auto" w:sz="4" w:space="0"/>
              <w:bottom w:val="single" w:color="auto" w:sz="4" w:space="0"/>
              <w:right w:val="single" w:color="000000" w:sz="4" w:space="0"/>
            </w:tcBorders>
            <w:noWrap w:val="0"/>
            <w:vAlign w:val="center"/>
          </w:tcPr>
          <w:p w14:paraId="1BE0AA97">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34" w:type="dxa"/>
            <w:tcBorders>
              <w:top w:val="single" w:color="auto" w:sz="4" w:space="0"/>
              <w:left w:val="single" w:color="auto" w:sz="4" w:space="0"/>
              <w:bottom w:val="single" w:color="auto" w:sz="4" w:space="0"/>
              <w:right w:val="single" w:color="000000" w:sz="4" w:space="0"/>
            </w:tcBorders>
            <w:noWrap w:val="0"/>
            <w:vAlign w:val="center"/>
          </w:tcPr>
          <w:p w14:paraId="2D7DEA50">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r>
      <w:tr w14:paraId="3BE2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920" w:type="dxa"/>
            <w:tcBorders>
              <w:top w:val="single" w:color="auto" w:sz="4" w:space="0"/>
              <w:left w:val="single" w:color="000000" w:sz="4" w:space="0"/>
              <w:bottom w:val="single" w:color="000000" w:sz="4" w:space="0"/>
              <w:right w:val="single" w:color="000000" w:sz="4" w:space="0"/>
            </w:tcBorders>
            <w:noWrap w:val="0"/>
            <w:vAlign w:val="center"/>
          </w:tcPr>
          <w:p w14:paraId="7653EF18">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670" w:type="dxa"/>
            <w:tcBorders>
              <w:top w:val="single" w:color="auto" w:sz="4" w:space="0"/>
              <w:left w:val="single" w:color="auto" w:sz="4" w:space="0"/>
              <w:bottom w:val="single" w:color="000000" w:sz="4" w:space="0"/>
              <w:right w:val="single" w:color="000000" w:sz="4" w:space="0"/>
            </w:tcBorders>
            <w:noWrap w:val="0"/>
            <w:vAlign w:val="center"/>
          </w:tcPr>
          <w:p w14:paraId="21EC6572">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66" w:type="dxa"/>
            <w:tcBorders>
              <w:top w:val="single" w:color="auto" w:sz="4" w:space="0"/>
              <w:left w:val="single" w:color="auto" w:sz="4" w:space="0"/>
              <w:bottom w:val="single" w:color="000000" w:sz="4" w:space="0"/>
              <w:right w:val="single" w:color="000000" w:sz="4" w:space="0"/>
            </w:tcBorders>
            <w:noWrap w:val="0"/>
            <w:vAlign w:val="center"/>
          </w:tcPr>
          <w:p w14:paraId="3B2D2E21">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2502" w:type="dxa"/>
            <w:tcBorders>
              <w:top w:val="single" w:color="auto" w:sz="4" w:space="0"/>
              <w:left w:val="single" w:color="auto" w:sz="4" w:space="0"/>
              <w:bottom w:val="single" w:color="000000" w:sz="4" w:space="0"/>
              <w:right w:val="single" w:color="000000" w:sz="4" w:space="0"/>
            </w:tcBorders>
            <w:noWrap w:val="0"/>
            <w:vAlign w:val="center"/>
          </w:tcPr>
          <w:p w14:paraId="71A08954">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c>
          <w:tcPr>
            <w:tcW w:w="1834" w:type="dxa"/>
            <w:tcBorders>
              <w:top w:val="single" w:color="auto" w:sz="4" w:space="0"/>
              <w:left w:val="single" w:color="auto" w:sz="4" w:space="0"/>
              <w:bottom w:val="single" w:color="000000" w:sz="4" w:space="0"/>
              <w:right w:val="single" w:color="000000" w:sz="4" w:space="0"/>
            </w:tcBorders>
            <w:noWrap w:val="0"/>
            <w:vAlign w:val="center"/>
          </w:tcPr>
          <w:p w14:paraId="49FE48B7">
            <w:pPr>
              <w:keepNext w:val="0"/>
              <w:keepLines w:val="0"/>
              <w:suppressLineNumbers w:val="0"/>
              <w:spacing w:before="0" w:beforeAutospacing="0" w:after="0" w:afterAutospacing="0"/>
              <w:ind w:left="0" w:right="0" w:firstLine="480"/>
              <w:jc w:val="center"/>
              <w:rPr>
                <w:rFonts w:hint="eastAsia" w:ascii="宋体" w:hAnsi="宋体" w:eastAsia="宋体" w:cs="宋体"/>
                <w:color w:val="333333"/>
                <w:sz w:val="24"/>
                <w:szCs w:val="24"/>
                <w:lang w:val="zh-CN"/>
              </w:rPr>
            </w:pPr>
          </w:p>
        </w:tc>
      </w:tr>
    </w:tbl>
    <w:p w14:paraId="39426D9B">
      <w:pPr>
        <w:spacing w:line="480" w:lineRule="auto"/>
        <w:ind w:firstLine="480"/>
        <w:rPr>
          <w:rFonts w:hint="eastAsia" w:ascii="宋体" w:hAnsi="宋体" w:eastAsia="宋体" w:cs="宋体"/>
          <w:kern w:val="2"/>
          <w:sz w:val="24"/>
          <w:szCs w:val="24"/>
          <w:u w:val="none"/>
          <w:lang w:val="zh-CN" w:eastAsia="zh-CN" w:bidi="ar-SA"/>
        </w:rPr>
      </w:pPr>
      <w:r>
        <w:rPr>
          <w:rFonts w:hint="eastAsia" w:ascii="宋体" w:hAnsi="宋体" w:eastAsia="宋体" w:cs="宋体"/>
          <w:kern w:val="2"/>
          <w:sz w:val="24"/>
          <w:szCs w:val="24"/>
          <w:u w:val="none"/>
          <w:lang w:val="zh-CN" w:eastAsia="zh-CN" w:bidi="ar-SA"/>
        </w:rPr>
        <w:t>注：1.无偏离请注明“完全响应”，有偏离请详细填写。</w:t>
      </w:r>
    </w:p>
    <w:p w14:paraId="22C6DCB3">
      <w:pPr>
        <w:spacing w:line="480" w:lineRule="auto"/>
        <w:ind w:firstLine="1024" w:firstLineChars="427"/>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zh-CN" w:eastAsia="zh-CN" w:bidi="ar-SA"/>
        </w:rPr>
        <w:t>2.本表与</w:t>
      </w:r>
      <w:r>
        <w:rPr>
          <w:rFonts w:hint="eastAsia" w:ascii="宋体" w:hAnsi="宋体" w:eastAsia="宋体" w:cs="宋体"/>
          <w:kern w:val="2"/>
          <w:sz w:val="24"/>
          <w:szCs w:val="24"/>
          <w:u w:val="none"/>
          <w:lang w:val="en-US" w:eastAsia="zh-CN" w:bidi="ar-SA"/>
        </w:rPr>
        <w:t>投标</w:t>
      </w:r>
      <w:r>
        <w:rPr>
          <w:rFonts w:hint="eastAsia" w:ascii="宋体" w:hAnsi="宋体" w:eastAsia="宋体" w:cs="宋体"/>
          <w:kern w:val="2"/>
          <w:sz w:val="24"/>
          <w:szCs w:val="24"/>
          <w:u w:val="none"/>
          <w:lang w:val="zh-CN" w:eastAsia="zh-CN" w:bidi="ar-SA"/>
        </w:rPr>
        <w:t>响应文件其他表述前后不一致的，如果是非实质性条款，</w:t>
      </w:r>
      <w:r>
        <w:rPr>
          <w:rFonts w:hint="eastAsia" w:ascii="宋体" w:hAnsi="宋体" w:eastAsia="宋体" w:cs="宋体"/>
          <w:kern w:val="2"/>
          <w:sz w:val="24"/>
          <w:szCs w:val="24"/>
          <w:u w:val="none"/>
          <w:lang w:val="en-US" w:eastAsia="zh-CN" w:bidi="ar-SA"/>
        </w:rPr>
        <w:t>投标</w:t>
      </w:r>
      <w:r>
        <w:rPr>
          <w:rFonts w:hint="eastAsia" w:ascii="宋体" w:hAnsi="宋体" w:eastAsia="宋体" w:cs="宋体"/>
          <w:kern w:val="2"/>
          <w:sz w:val="24"/>
          <w:szCs w:val="24"/>
          <w:u w:val="none"/>
          <w:lang w:val="zh-CN" w:eastAsia="zh-CN" w:bidi="ar-SA"/>
        </w:rPr>
        <w:t>响应方可以承诺修改；如果是实质性条款，则不得修改，按</w:t>
      </w:r>
      <w:r>
        <w:rPr>
          <w:rFonts w:hint="eastAsia" w:ascii="宋体" w:hAnsi="宋体" w:eastAsia="宋体" w:cs="宋体"/>
          <w:kern w:val="2"/>
          <w:sz w:val="24"/>
          <w:szCs w:val="24"/>
          <w:u w:val="none"/>
          <w:lang w:val="en-US" w:eastAsia="zh-CN" w:bidi="ar-SA"/>
        </w:rPr>
        <w:t>采购</w:t>
      </w:r>
      <w:r>
        <w:rPr>
          <w:rFonts w:hint="eastAsia" w:ascii="宋体" w:hAnsi="宋体" w:eastAsia="宋体" w:cs="宋体"/>
          <w:kern w:val="2"/>
          <w:sz w:val="24"/>
          <w:szCs w:val="24"/>
          <w:u w:val="none"/>
          <w:lang w:val="zh-CN" w:eastAsia="zh-CN" w:bidi="ar-SA"/>
        </w:rPr>
        <w:t>文件要求取消</w:t>
      </w:r>
      <w:r>
        <w:rPr>
          <w:rFonts w:hint="eastAsia" w:ascii="宋体" w:hAnsi="宋体" w:eastAsia="宋体" w:cs="宋体"/>
          <w:kern w:val="2"/>
          <w:sz w:val="24"/>
          <w:szCs w:val="24"/>
          <w:u w:val="none"/>
          <w:lang w:val="en-US" w:eastAsia="zh-CN" w:bidi="ar-SA"/>
        </w:rPr>
        <w:t>投标</w:t>
      </w:r>
      <w:r>
        <w:rPr>
          <w:rFonts w:hint="eastAsia" w:ascii="宋体" w:hAnsi="宋体" w:eastAsia="宋体" w:cs="宋体"/>
          <w:kern w:val="2"/>
          <w:sz w:val="24"/>
          <w:szCs w:val="24"/>
          <w:u w:val="none"/>
          <w:lang w:val="zh-CN" w:eastAsia="zh-CN" w:bidi="ar-SA"/>
        </w:rPr>
        <w:t>资格。</w:t>
      </w:r>
    </w:p>
    <w:p w14:paraId="18618D37">
      <w:pPr>
        <w:pStyle w:val="33"/>
        <w:widowControl w:val="0"/>
        <w:shd w:val="clear"/>
        <w:spacing w:before="0" w:beforeAutospacing="0" w:after="0" w:afterAutospacing="0" w:line="300" w:lineRule="auto"/>
        <w:ind w:firstLine="480"/>
        <w:rPr>
          <w:rFonts w:hint="eastAsia" w:cs="宋体"/>
          <w:color w:val="FF0000"/>
          <w:kern w:val="2"/>
          <w:highlight w:val="none"/>
        </w:rPr>
      </w:pPr>
      <w:r>
        <w:rPr>
          <w:rFonts w:hint="eastAsia" w:cs="宋体"/>
          <w:color w:val="FF0000"/>
          <w:kern w:val="2"/>
          <w:highlight w:val="none"/>
          <w:lang w:bidi="ar"/>
        </w:rPr>
        <w:t xml:space="preserve"> </w:t>
      </w:r>
    </w:p>
    <w:p w14:paraId="7C5A9AD6">
      <w:pPr>
        <w:shd w:val="clear"/>
        <w:snapToGrid w:val="0"/>
        <w:spacing w:line="480" w:lineRule="exact"/>
        <w:ind w:firstLine="0" w:firstLineChars="0"/>
        <w:jc w:val="left"/>
        <w:rPr>
          <w:rFonts w:hint="eastAsia"/>
        </w:rPr>
      </w:pPr>
      <w:r>
        <w:rPr>
          <w:rFonts w:hint="eastAsia" w:ascii="宋体" w:hAnsi="宋体" w:cs="宋体"/>
          <w:color w:val="FF0000"/>
          <w:highlight w:val="none"/>
          <w:lang w:bidi="ar"/>
        </w:rPr>
        <w:t xml:space="preserve"> </w:t>
      </w:r>
    </w:p>
    <w:p w14:paraId="3E332CEE">
      <w:pPr>
        <w:shd w:val="clear"/>
        <w:snapToGrid w:val="0"/>
        <w:spacing w:line="480" w:lineRule="exact"/>
        <w:ind w:firstLine="3840" w:firstLineChars="1600"/>
        <w:rPr>
          <w:rFonts w:ascii="宋体" w:hAnsi="宋体"/>
          <w:color w:val="auto"/>
          <w:highlight w:val="none"/>
          <w:lang w:val="zh-CN"/>
        </w:rPr>
      </w:pPr>
      <w:r>
        <w:rPr>
          <w:rFonts w:hint="eastAsia" w:ascii="宋体" w:hAnsi="宋体"/>
          <w:color w:val="auto"/>
          <w:highlight w:val="none"/>
          <w:lang w:val="zh-CN"/>
        </w:rPr>
        <w:t>供应商名称（盖章）：</w:t>
      </w:r>
    </w:p>
    <w:p w14:paraId="790B7FDC">
      <w:pPr>
        <w:shd w:val="clear"/>
        <w:snapToGrid w:val="0"/>
        <w:spacing w:line="480" w:lineRule="exact"/>
        <w:ind w:firstLine="3840" w:firstLineChars="1600"/>
        <w:rPr>
          <w:rFonts w:ascii="宋体" w:hAnsi="宋体"/>
          <w:color w:val="auto"/>
          <w:highlight w:val="none"/>
        </w:rPr>
      </w:pPr>
      <w:r>
        <w:rPr>
          <w:rFonts w:hint="eastAsia" w:ascii="宋体" w:hAnsi="宋体"/>
          <w:color w:val="auto"/>
          <w:highlight w:val="none"/>
          <w:lang w:val="zh-CN"/>
        </w:rPr>
        <w:t>法定代表人或授权委托人（签字或盖章）：</w:t>
      </w:r>
    </w:p>
    <w:p w14:paraId="00FAFF41">
      <w:pPr>
        <w:shd w:val="clear"/>
        <w:snapToGrid w:val="0"/>
        <w:spacing w:line="480" w:lineRule="exact"/>
        <w:ind w:firstLine="3840" w:firstLineChars="1600"/>
        <w:rPr>
          <w:color w:val="auto"/>
          <w:highlight w:val="none"/>
        </w:rPr>
        <w:sectPr>
          <w:headerReference r:id="rId13" w:type="default"/>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720" w:num="1"/>
          <w:docGrid w:type="lines" w:linePitch="312" w:charSpace="0"/>
        </w:sectPr>
      </w:pPr>
      <w:r>
        <w:rPr>
          <w:rFonts w:hint="eastAsia" w:ascii="宋体" w:hAnsi="宋体"/>
          <w:color w:val="auto"/>
          <w:highlight w:val="none"/>
          <w:lang w:val="zh-CN"/>
        </w:rPr>
        <w:t>日期：     年   月   日</w:t>
      </w:r>
    </w:p>
    <w:p w14:paraId="7341ED5D">
      <w:pPr>
        <w:ind w:firstLine="0" w:firstLineChars="0"/>
        <w:jc w:val="left"/>
        <w:outlineLvl w:val="1"/>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附件</w:t>
      </w:r>
      <w:r>
        <w:rPr>
          <w:rFonts w:hint="eastAsia" w:ascii="宋体" w:hAnsi="宋体" w:cs="宋体"/>
          <w:b/>
          <w:bCs/>
          <w:color w:val="auto"/>
          <w:lang w:val="en-US" w:eastAsia="zh-CN"/>
        </w:rPr>
        <w:t>9</w:t>
      </w:r>
    </w:p>
    <w:p w14:paraId="3F1BEBBE">
      <w:pPr>
        <w:pStyle w:val="148"/>
        <w:spacing w:line="500" w:lineRule="exact"/>
        <w:ind w:firstLine="0" w:firstLineChars="0"/>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技术支持及服务承诺书</w:t>
      </w:r>
    </w:p>
    <w:p w14:paraId="15B1319E">
      <w:pPr>
        <w:widowControl/>
        <w:ind w:firstLine="480"/>
        <w:jc w:val="center"/>
        <w:textAlignment w:val="baseline"/>
        <w:rPr>
          <w:rFonts w:hint="eastAsia" w:ascii="宋体" w:hAnsi="宋体" w:cs="宋体"/>
          <w:color w:val="000000"/>
          <w:kern w:val="0"/>
        </w:rPr>
      </w:pPr>
    </w:p>
    <w:tbl>
      <w:tblPr>
        <w:tblStyle w:val="40"/>
        <w:tblW w:w="9597" w:type="dxa"/>
        <w:jc w:val="center"/>
        <w:tblLayout w:type="fixed"/>
        <w:tblCellMar>
          <w:top w:w="0" w:type="dxa"/>
          <w:left w:w="0" w:type="dxa"/>
          <w:bottom w:w="0" w:type="dxa"/>
          <w:right w:w="0" w:type="dxa"/>
        </w:tblCellMar>
      </w:tblPr>
      <w:tblGrid>
        <w:gridCol w:w="1085"/>
        <w:gridCol w:w="5088"/>
        <w:gridCol w:w="1628"/>
        <w:gridCol w:w="1796"/>
      </w:tblGrid>
      <w:tr w14:paraId="4F12183A">
        <w:tblPrEx>
          <w:tblCellMar>
            <w:top w:w="0" w:type="dxa"/>
            <w:left w:w="0" w:type="dxa"/>
            <w:bottom w:w="0" w:type="dxa"/>
            <w:right w:w="0" w:type="dxa"/>
          </w:tblCellMar>
        </w:tblPrEx>
        <w:trPr>
          <w:cantSplit/>
          <w:trHeight w:val="829" w:hRule="atLeast"/>
          <w:jc w:val="center"/>
        </w:trPr>
        <w:tc>
          <w:tcPr>
            <w:tcW w:w="1085" w:type="dxa"/>
            <w:tcBorders>
              <w:top w:val="single" w:color="auto" w:sz="8" w:space="0"/>
              <w:left w:val="single" w:color="auto" w:sz="8" w:space="0"/>
              <w:bottom w:val="single" w:color="auto" w:sz="8" w:space="0"/>
              <w:right w:val="single" w:color="auto" w:sz="8" w:space="0"/>
            </w:tcBorders>
            <w:noWrap w:val="0"/>
            <w:vAlign w:val="center"/>
          </w:tcPr>
          <w:p w14:paraId="57011A77">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5088" w:type="dxa"/>
            <w:tcBorders>
              <w:top w:val="single" w:color="auto" w:sz="8" w:space="0"/>
              <w:left w:val="nil"/>
              <w:bottom w:val="single" w:color="auto" w:sz="8" w:space="0"/>
              <w:right w:val="single" w:color="auto" w:sz="4" w:space="0"/>
            </w:tcBorders>
            <w:noWrap w:val="0"/>
            <w:vAlign w:val="center"/>
          </w:tcPr>
          <w:p w14:paraId="442C0C1B">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质量保障措施及服务内容</w:t>
            </w:r>
          </w:p>
        </w:tc>
        <w:tc>
          <w:tcPr>
            <w:tcW w:w="1628" w:type="dxa"/>
            <w:tcBorders>
              <w:top w:val="single" w:color="auto" w:sz="8" w:space="0"/>
              <w:left w:val="single" w:color="auto" w:sz="4" w:space="0"/>
              <w:bottom w:val="single" w:color="auto" w:sz="8" w:space="0"/>
              <w:right w:val="single" w:color="auto" w:sz="8" w:space="0"/>
            </w:tcBorders>
            <w:noWrap w:val="0"/>
            <w:vAlign w:val="center"/>
          </w:tcPr>
          <w:p w14:paraId="4F7B6ADB">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承  诺</w:t>
            </w:r>
          </w:p>
        </w:tc>
        <w:tc>
          <w:tcPr>
            <w:tcW w:w="17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EEC4366">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0FA93B17">
        <w:tblPrEx>
          <w:tblCellMar>
            <w:top w:w="0" w:type="dxa"/>
            <w:left w:w="0" w:type="dxa"/>
            <w:bottom w:w="0" w:type="dxa"/>
            <w:right w:w="0" w:type="dxa"/>
          </w:tblCellMar>
        </w:tblPrEx>
        <w:trPr>
          <w:cantSplit/>
          <w:trHeight w:val="829" w:hRule="atLeast"/>
          <w:jc w:val="center"/>
        </w:trPr>
        <w:tc>
          <w:tcPr>
            <w:tcW w:w="1085" w:type="dxa"/>
            <w:tcBorders>
              <w:top w:val="single" w:color="auto" w:sz="8" w:space="0"/>
              <w:left w:val="single" w:color="auto" w:sz="8" w:space="0"/>
              <w:bottom w:val="single" w:color="auto" w:sz="8" w:space="0"/>
              <w:right w:val="single" w:color="auto" w:sz="8" w:space="0"/>
            </w:tcBorders>
            <w:noWrap w:val="0"/>
            <w:vAlign w:val="center"/>
          </w:tcPr>
          <w:p w14:paraId="4F2FE75A">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5088" w:type="dxa"/>
            <w:tcBorders>
              <w:top w:val="single" w:color="auto" w:sz="8" w:space="0"/>
              <w:left w:val="nil"/>
              <w:bottom w:val="single" w:color="auto" w:sz="8" w:space="0"/>
              <w:right w:val="single" w:color="auto" w:sz="4" w:space="0"/>
            </w:tcBorders>
            <w:noWrap w:val="0"/>
            <w:vAlign w:val="center"/>
          </w:tcPr>
          <w:p w14:paraId="16513960">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保修时间及保修范围</w:t>
            </w:r>
          </w:p>
        </w:tc>
        <w:tc>
          <w:tcPr>
            <w:tcW w:w="1628" w:type="dxa"/>
            <w:tcBorders>
              <w:top w:val="single" w:color="auto" w:sz="8" w:space="0"/>
              <w:left w:val="single" w:color="auto" w:sz="4" w:space="0"/>
              <w:bottom w:val="single" w:color="auto" w:sz="8" w:space="0"/>
              <w:right w:val="single" w:color="auto" w:sz="8" w:space="0"/>
            </w:tcBorders>
            <w:noWrap w:val="0"/>
            <w:vAlign w:val="center"/>
          </w:tcPr>
          <w:p w14:paraId="3EA03049">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p>
        </w:tc>
        <w:tc>
          <w:tcPr>
            <w:tcW w:w="17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454D613">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p>
        </w:tc>
      </w:tr>
      <w:tr w14:paraId="64572603">
        <w:tblPrEx>
          <w:tblCellMar>
            <w:top w:w="0" w:type="dxa"/>
            <w:left w:w="0" w:type="dxa"/>
            <w:bottom w:w="0" w:type="dxa"/>
            <w:right w:w="0" w:type="dxa"/>
          </w:tblCellMar>
        </w:tblPrEx>
        <w:trPr>
          <w:cantSplit/>
          <w:trHeight w:val="643" w:hRule="atLeast"/>
          <w:jc w:val="center"/>
        </w:trPr>
        <w:tc>
          <w:tcPr>
            <w:tcW w:w="1085" w:type="dxa"/>
            <w:tcBorders>
              <w:top w:val="nil"/>
              <w:left w:val="single" w:color="auto" w:sz="8" w:space="0"/>
              <w:bottom w:val="single" w:color="auto" w:sz="8" w:space="0"/>
              <w:right w:val="single" w:color="auto" w:sz="8" w:space="0"/>
            </w:tcBorders>
            <w:noWrap w:val="0"/>
            <w:vAlign w:val="center"/>
          </w:tcPr>
          <w:p w14:paraId="7E1DD01E">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p>
        </w:tc>
        <w:tc>
          <w:tcPr>
            <w:tcW w:w="5088" w:type="dxa"/>
            <w:tcBorders>
              <w:top w:val="nil"/>
              <w:left w:val="nil"/>
              <w:bottom w:val="single" w:color="auto" w:sz="8" w:space="0"/>
              <w:right w:val="single" w:color="auto" w:sz="4" w:space="0"/>
            </w:tcBorders>
            <w:noWrap w:val="0"/>
            <w:vAlign w:val="center"/>
          </w:tcPr>
          <w:p w14:paraId="397E9826">
            <w:pPr>
              <w:keepNext w:val="0"/>
              <w:keepLines w:val="0"/>
              <w:widowControl/>
              <w:suppressLineNumbers w:val="0"/>
              <w:spacing w:before="0" w:beforeAutospacing="0" w:after="0" w:afterAutospacing="0"/>
              <w:ind w:left="0" w:right="0" w:firstLine="0" w:firstLineChars="0"/>
              <w:jc w:val="center"/>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highlight w:val="none"/>
                <w:lang w:val="en-US" w:eastAsia="zh-CN"/>
              </w:rPr>
              <w:t>质保期</w:t>
            </w:r>
          </w:p>
        </w:tc>
        <w:tc>
          <w:tcPr>
            <w:tcW w:w="1628" w:type="dxa"/>
            <w:tcBorders>
              <w:top w:val="nil"/>
              <w:left w:val="single" w:color="auto" w:sz="4" w:space="0"/>
              <w:bottom w:val="single" w:color="auto" w:sz="8" w:space="0"/>
              <w:right w:val="single" w:color="auto" w:sz="8" w:space="0"/>
            </w:tcBorders>
            <w:noWrap w:val="0"/>
            <w:vAlign w:val="center"/>
          </w:tcPr>
          <w:p w14:paraId="422DA990">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7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825C5F6">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0E5D35D6">
        <w:tblPrEx>
          <w:tblCellMar>
            <w:top w:w="0" w:type="dxa"/>
            <w:left w:w="0" w:type="dxa"/>
            <w:bottom w:w="0" w:type="dxa"/>
            <w:right w:w="0" w:type="dxa"/>
          </w:tblCellMar>
        </w:tblPrEx>
        <w:trPr>
          <w:cantSplit/>
          <w:trHeight w:val="705" w:hRule="atLeast"/>
          <w:jc w:val="center"/>
        </w:trPr>
        <w:tc>
          <w:tcPr>
            <w:tcW w:w="1085" w:type="dxa"/>
            <w:tcBorders>
              <w:top w:val="nil"/>
              <w:left w:val="single" w:color="auto" w:sz="8" w:space="0"/>
              <w:bottom w:val="single" w:color="auto" w:sz="8" w:space="0"/>
              <w:right w:val="single" w:color="auto" w:sz="8" w:space="0"/>
            </w:tcBorders>
            <w:noWrap w:val="0"/>
            <w:vAlign w:val="center"/>
          </w:tcPr>
          <w:p w14:paraId="23BB6027">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p>
        </w:tc>
        <w:tc>
          <w:tcPr>
            <w:tcW w:w="5088" w:type="dxa"/>
            <w:tcBorders>
              <w:top w:val="nil"/>
              <w:left w:val="nil"/>
              <w:bottom w:val="single" w:color="auto" w:sz="8" w:space="0"/>
              <w:right w:val="single" w:color="auto" w:sz="4" w:space="0"/>
            </w:tcBorders>
            <w:noWrap w:val="0"/>
            <w:vAlign w:val="center"/>
          </w:tcPr>
          <w:p w14:paraId="0D47B569">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有关技术人员现场免费提供安装、调试服务</w:t>
            </w:r>
          </w:p>
        </w:tc>
        <w:tc>
          <w:tcPr>
            <w:tcW w:w="1628" w:type="dxa"/>
            <w:tcBorders>
              <w:top w:val="nil"/>
              <w:left w:val="single" w:color="auto" w:sz="4" w:space="0"/>
              <w:bottom w:val="single" w:color="auto" w:sz="8" w:space="0"/>
              <w:right w:val="single" w:color="auto" w:sz="8" w:space="0"/>
            </w:tcBorders>
            <w:noWrap w:val="0"/>
            <w:vAlign w:val="center"/>
          </w:tcPr>
          <w:p w14:paraId="4D64BA73">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p w14:paraId="39C9ACA7">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7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03B744">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52A33070">
        <w:tblPrEx>
          <w:tblCellMar>
            <w:top w:w="0" w:type="dxa"/>
            <w:left w:w="0" w:type="dxa"/>
            <w:bottom w:w="0" w:type="dxa"/>
            <w:right w:w="0" w:type="dxa"/>
          </w:tblCellMar>
        </w:tblPrEx>
        <w:trPr>
          <w:cantSplit/>
          <w:trHeight w:val="643" w:hRule="atLeast"/>
          <w:jc w:val="center"/>
        </w:trPr>
        <w:tc>
          <w:tcPr>
            <w:tcW w:w="1085" w:type="dxa"/>
            <w:tcBorders>
              <w:top w:val="nil"/>
              <w:left w:val="single" w:color="auto" w:sz="8" w:space="0"/>
              <w:bottom w:val="single" w:color="auto" w:sz="8" w:space="0"/>
              <w:right w:val="single" w:color="auto" w:sz="8" w:space="0"/>
            </w:tcBorders>
            <w:noWrap w:val="0"/>
            <w:vAlign w:val="center"/>
          </w:tcPr>
          <w:p w14:paraId="3D6839BB">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p>
        </w:tc>
        <w:tc>
          <w:tcPr>
            <w:tcW w:w="5088" w:type="dxa"/>
            <w:tcBorders>
              <w:top w:val="nil"/>
              <w:left w:val="nil"/>
              <w:bottom w:val="single" w:color="auto" w:sz="8" w:space="0"/>
              <w:right w:val="single" w:color="auto" w:sz="4" w:space="0"/>
            </w:tcBorders>
            <w:noWrap w:val="0"/>
            <w:vAlign w:val="center"/>
          </w:tcPr>
          <w:p w14:paraId="0481D639">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免费换货期限</w:t>
            </w:r>
          </w:p>
        </w:tc>
        <w:tc>
          <w:tcPr>
            <w:tcW w:w="1628" w:type="dxa"/>
            <w:tcBorders>
              <w:top w:val="nil"/>
              <w:left w:val="single" w:color="auto" w:sz="4" w:space="0"/>
              <w:bottom w:val="single" w:color="auto" w:sz="8" w:space="0"/>
              <w:right w:val="single" w:color="auto" w:sz="8" w:space="0"/>
            </w:tcBorders>
            <w:noWrap w:val="0"/>
            <w:vAlign w:val="center"/>
          </w:tcPr>
          <w:p w14:paraId="2509C4A4">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7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EEFF6C">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7866B675">
        <w:tblPrEx>
          <w:tblCellMar>
            <w:top w:w="0" w:type="dxa"/>
            <w:left w:w="0" w:type="dxa"/>
            <w:bottom w:w="0" w:type="dxa"/>
            <w:right w:w="0" w:type="dxa"/>
          </w:tblCellMar>
        </w:tblPrEx>
        <w:trPr>
          <w:cantSplit/>
          <w:trHeight w:val="643" w:hRule="atLeast"/>
          <w:jc w:val="center"/>
        </w:trPr>
        <w:tc>
          <w:tcPr>
            <w:tcW w:w="1085" w:type="dxa"/>
            <w:tcBorders>
              <w:top w:val="nil"/>
              <w:left w:val="single" w:color="auto" w:sz="8" w:space="0"/>
              <w:bottom w:val="single" w:color="auto" w:sz="8" w:space="0"/>
              <w:right w:val="single" w:color="auto" w:sz="8" w:space="0"/>
            </w:tcBorders>
            <w:noWrap w:val="0"/>
            <w:vAlign w:val="center"/>
          </w:tcPr>
          <w:p w14:paraId="36CCBF7E">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5088" w:type="dxa"/>
            <w:tcBorders>
              <w:top w:val="nil"/>
              <w:left w:val="nil"/>
              <w:bottom w:val="single" w:color="auto" w:sz="8" w:space="0"/>
              <w:right w:val="single" w:color="auto" w:sz="4" w:space="0"/>
            </w:tcBorders>
            <w:noWrap w:val="0"/>
            <w:vAlign w:val="center"/>
          </w:tcPr>
          <w:p w14:paraId="5CD96352">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免费上门服务期限</w:t>
            </w:r>
          </w:p>
        </w:tc>
        <w:tc>
          <w:tcPr>
            <w:tcW w:w="1628" w:type="dxa"/>
            <w:tcBorders>
              <w:top w:val="nil"/>
              <w:left w:val="single" w:color="auto" w:sz="4" w:space="0"/>
              <w:bottom w:val="single" w:color="auto" w:sz="8" w:space="0"/>
              <w:right w:val="single" w:color="auto" w:sz="8" w:space="0"/>
            </w:tcBorders>
            <w:noWrap w:val="0"/>
            <w:vAlign w:val="center"/>
          </w:tcPr>
          <w:p w14:paraId="56D054F2">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7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9655C5">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73B7EFAA">
        <w:tblPrEx>
          <w:tblCellMar>
            <w:top w:w="0" w:type="dxa"/>
            <w:left w:w="0" w:type="dxa"/>
            <w:bottom w:w="0" w:type="dxa"/>
            <w:right w:w="0" w:type="dxa"/>
          </w:tblCellMar>
        </w:tblPrEx>
        <w:trPr>
          <w:cantSplit/>
          <w:trHeight w:val="643" w:hRule="atLeast"/>
          <w:jc w:val="center"/>
        </w:trPr>
        <w:tc>
          <w:tcPr>
            <w:tcW w:w="1085" w:type="dxa"/>
            <w:tcBorders>
              <w:top w:val="nil"/>
              <w:left w:val="single" w:color="auto" w:sz="8" w:space="0"/>
              <w:bottom w:val="single" w:color="auto" w:sz="8" w:space="0"/>
              <w:right w:val="single" w:color="auto" w:sz="8" w:space="0"/>
            </w:tcBorders>
            <w:noWrap w:val="0"/>
            <w:vAlign w:val="center"/>
          </w:tcPr>
          <w:p w14:paraId="120E538B">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p>
        </w:tc>
        <w:tc>
          <w:tcPr>
            <w:tcW w:w="5088" w:type="dxa"/>
            <w:tcBorders>
              <w:top w:val="nil"/>
              <w:left w:val="nil"/>
              <w:bottom w:val="single" w:color="auto" w:sz="8" w:space="0"/>
              <w:right w:val="single" w:color="auto" w:sz="4" w:space="0"/>
            </w:tcBorders>
            <w:noWrap w:val="0"/>
            <w:vAlign w:val="center"/>
          </w:tcPr>
          <w:p w14:paraId="4E78C1CC">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质保期内产品故障服务响应时限</w:t>
            </w:r>
          </w:p>
        </w:tc>
        <w:tc>
          <w:tcPr>
            <w:tcW w:w="1628" w:type="dxa"/>
            <w:tcBorders>
              <w:top w:val="nil"/>
              <w:left w:val="single" w:color="auto" w:sz="4" w:space="0"/>
              <w:bottom w:val="single" w:color="auto" w:sz="8" w:space="0"/>
              <w:right w:val="single" w:color="auto" w:sz="8" w:space="0"/>
            </w:tcBorders>
            <w:noWrap w:val="0"/>
            <w:vAlign w:val="center"/>
          </w:tcPr>
          <w:p w14:paraId="03100DBD">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7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D8D17F1">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085F9F87">
        <w:tblPrEx>
          <w:tblCellMar>
            <w:top w:w="0" w:type="dxa"/>
            <w:left w:w="0" w:type="dxa"/>
            <w:bottom w:w="0" w:type="dxa"/>
            <w:right w:w="0" w:type="dxa"/>
          </w:tblCellMar>
        </w:tblPrEx>
        <w:trPr>
          <w:cantSplit/>
          <w:trHeight w:val="643" w:hRule="atLeast"/>
          <w:jc w:val="center"/>
        </w:trPr>
        <w:tc>
          <w:tcPr>
            <w:tcW w:w="1085" w:type="dxa"/>
            <w:tcBorders>
              <w:top w:val="nil"/>
              <w:left w:val="single" w:color="auto" w:sz="8" w:space="0"/>
              <w:bottom w:val="single" w:color="auto" w:sz="4" w:space="0"/>
              <w:right w:val="single" w:color="auto" w:sz="8" w:space="0"/>
            </w:tcBorders>
            <w:noWrap w:val="0"/>
            <w:vAlign w:val="center"/>
          </w:tcPr>
          <w:p w14:paraId="70398192">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p>
        </w:tc>
        <w:tc>
          <w:tcPr>
            <w:tcW w:w="5088" w:type="dxa"/>
            <w:tcBorders>
              <w:top w:val="nil"/>
              <w:left w:val="nil"/>
              <w:bottom w:val="single" w:color="auto" w:sz="4" w:space="0"/>
              <w:right w:val="single" w:color="auto" w:sz="4" w:space="0"/>
            </w:tcBorders>
            <w:noWrap w:val="0"/>
            <w:vAlign w:val="center"/>
          </w:tcPr>
          <w:p w14:paraId="1F52DAC4">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质保期满后的保修服务费用</w:t>
            </w:r>
          </w:p>
        </w:tc>
        <w:tc>
          <w:tcPr>
            <w:tcW w:w="1628" w:type="dxa"/>
            <w:tcBorders>
              <w:top w:val="nil"/>
              <w:left w:val="single" w:color="auto" w:sz="4" w:space="0"/>
              <w:bottom w:val="single" w:color="auto" w:sz="4" w:space="0"/>
              <w:right w:val="single" w:color="auto" w:sz="8" w:space="0"/>
            </w:tcBorders>
            <w:noWrap w:val="0"/>
            <w:vAlign w:val="center"/>
          </w:tcPr>
          <w:p w14:paraId="7C93B7E3">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796"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4497661F">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48CC6855">
        <w:tblPrEx>
          <w:tblCellMar>
            <w:top w:w="0" w:type="dxa"/>
            <w:left w:w="0" w:type="dxa"/>
            <w:bottom w:w="0" w:type="dxa"/>
            <w:right w:w="0" w:type="dxa"/>
          </w:tblCellMar>
        </w:tblPrEx>
        <w:trPr>
          <w:cantSplit/>
          <w:trHeight w:val="632" w:hRule="atLeast"/>
          <w:jc w:val="center"/>
        </w:trPr>
        <w:tc>
          <w:tcPr>
            <w:tcW w:w="1085" w:type="dxa"/>
            <w:tcBorders>
              <w:top w:val="single" w:color="auto" w:sz="4" w:space="0"/>
              <w:left w:val="single" w:color="auto" w:sz="8" w:space="0"/>
              <w:bottom w:val="single" w:color="auto" w:sz="4" w:space="0"/>
              <w:right w:val="single" w:color="auto" w:sz="8" w:space="0"/>
            </w:tcBorders>
            <w:noWrap w:val="0"/>
            <w:vAlign w:val="center"/>
          </w:tcPr>
          <w:p w14:paraId="44FB10E5">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p>
        </w:tc>
        <w:tc>
          <w:tcPr>
            <w:tcW w:w="5088" w:type="dxa"/>
            <w:tcBorders>
              <w:top w:val="single" w:color="auto" w:sz="4" w:space="0"/>
              <w:left w:val="nil"/>
              <w:bottom w:val="single" w:color="auto" w:sz="4" w:space="0"/>
              <w:right w:val="single" w:color="auto" w:sz="4" w:space="0"/>
            </w:tcBorders>
            <w:noWrap w:val="0"/>
            <w:vAlign w:val="center"/>
          </w:tcPr>
          <w:p w14:paraId="5163F4AE">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交货时间</w:t>
            </w:r>
          </w:p>
        </w:tc>
        <w:tc>
          <w:tcPr>
            <w:tcW w:w="1628" w:type="dxa"/>
            <w:tcBorders>
              <w:top w:val="single" w:color="auto" w:sz="4" w:space="0"/>
              <w:left w:val="single" w:color="auto" w:sz="4" w:space="0"/>
              <w:bottom w:val="single" w:color="auto" w:sz="4" w:space="0"/>
              <w:right w:val="single" w:color="auto" w:sz="8" w:space="0"/>
            </w:tcBorders>
            <w:noWrap w:val="0"/>
            <w:vAlign w:val="center"/>
          </w:tcPr>
          <w:p w14:paraId="7C7CC308">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796"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72DED92B">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4FD0980D">
        <w:tblPrEx>
          <w:tblCellMar>
            <w:top w:w="0" w:type="dxa"/>
            <w:left w:w="0" w:type="dxa"/>
            <w:bottom w:w="0" w:type="dxa"/>
            <w:right w:w="0" w:type="dxa"/>
          </w:tblCellMar>
        </w:tblPrEx>
        <w:trPr>
          <w:cantSplit/>
          <w:trHeight w:val="632" w:hRule="atLeast"/>
          <w:jc w:val="center"/>
        </w:trPr>
        <w:tc>
          <w:tcPr>
            <w:tcW w:w="1085" w:type="dxa"/>
            <w:tcBorders>
              <w:top w:val="single" w:color="auto" w:sz="4" w:space="0"/>
              <w:left w:val="single" w:color="auto" w:sz="8" w:space="0"/>
              <w:bottom w:val="single" w:color="auto" w:sz="4" w:space="0"/>
              <w:right w:val="single" w:color="auto" w:sz="8" w:space="0"/>
            </w:tcBorders>
            <w:noWrap w:val="0"/>
            <w:vAlign w:val="center"/>
          </w:tcPr>
          <w:p w14:paraId="0527D225">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p>
        </w:tc>
        <w:tc>
          <w:tcPr>
            <w:tcW w:w="5088" w:type="dxa"/>
            <w:tcBorders>
              <w:top w:val="single" w:color="auto" w:sz="4" w:space="0"/>
              <w:left w:val="nil"/>
              <w:bottom w:val="single" w:color="auto" w:sz="4" w:space="0"/>
              <w:right w:val="single" w:color="auto" w:sz="4" w:space="0"/>
            </w:tcBorders>
            <w:noWrap w:val="0"/>
            <w:vAlign w:val="center"/>
          </w:tcPr>
          <w:p w14:paraId="37A5757E">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是否有提供备品备件</w:t>
            </w:r>
          </w:p>
        </w:tc>
        <w:tc>
          <w:tcPr>
            <w:tcW w:w="1628" w:type="dxa"/>
            <w:tcBorders>
              <w:top w:val="single" w:color="auto" w:sz="4" w:space="0"/>
              <w:left w:val="single" w:color="auto" w:sz="4" w:space="0"/>
              <w:bottom w:val="single" w:color="auto" w:sz="4" w:space="0"/>
              <w:right w:val="single" w:color="auto" w:sz="8" w:space="0"/>
            </w:tcBorders>
            <w:noWrap w:val="0"/>
            <w:vAlign w:val="center"/>
          </w:tcPr>
          <w:p w14:paraId="316B84DC">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796"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68181B92">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2C05D9ED">
        <w:tblPrEx>
          <w:tblCellMar>
            <w:top w:w="0" w:type="dxa"/>
            <w:left w:w="0" w:type="dxa"/>
            <w:bottom w:w="0" w:type="dxa"/>
            <w:right w:w="0" w:type="dxa"/>
          </w:tblCellMar>
        </w:tblPrEx>
        <w:trPr>
          <w:cantSplit/>
          <w:trHeight w:val="632" w:hRule="atLeast"/>
          <w:jc w:val="center"/>
        </w:trPr>
        <w:tc>
          <w:tcPr>
            <w:tcW w:w="1085" w:type="dxa"/>
            <w:tcBorders>
              <w:top w:val="single" w:color="auto" w:sz="4" w:space="0"/>
              <w:left w:val="single" w:color="auto" w:sz="8" w:space="0"/>
              <w:bottom w:val="single" w:color="auto" w:sz="4" w:space="0"/>
              <w:right w:val="single" w:color="auto" w:sz="8" w:space="0"/>
            </w:tcBorders>
            <w:noWrap w:val="0"/>
            <w:vAlign w:val="center"/>
          </w:tcPr>
          <w:p w14:paraId="608FCF7F">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5088" w:type="dxa"/>
            <w:tcBorders>
              <w:top w:val="single" w:color="auto" w:sz="4" w:space="0"/>
              <w:left w:val="nil"/>
              <w:bottom w:val="single" w:color="auto" w:sz="4" w:space="0"/>
              <w:right w:val="single" w:color="auto" w:sz="4" w:space="0"/>
            </w:tcBorders>
            <w:noWrap w:val="0"/>
            <w:vAlign w:val="center"/>
          </w:tcPr>
          <w:p w14:paraId="3D9F179E">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是否有质保期外的服务承诺</w:t>
            </w:r>
          </w:p>
        </w:tc>
        <w:tc>
          <w:tcPr>
            <w:tcW w:w="1628" w:type="dxa"/>
            <w:tcBorders>
              <w:top w:val="single" w:color="auto" w:sz="4" w:space="0"/>
              <w:left w:val="single" w:color="auto" w:sz="4" w:space="0"/>
              <w:bottom w:val="single" w:color="auto" w:sz="4" w:space="0"/>
              <w:right w:val="single" w:color="auto" w:sz="8" w:space="0"/>
            </w:tcBorders>
            <w:noWrap w:val="0"/>
            <w:vAlign w:val="center"/>
          </w:tcPr>
          <w:p w14:paraId="7C5D0DCD">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796"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0EE17C30">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783AB817">
        <w:tblPrEx>
          <w:tblCellMar>
            <w:top w:w="0" w:type="dxa"/>
            <w:left w:w="0" w:type="dxa"/>
            <w:bottom w:w="0" w:type="dxa"/>
            <w:right w:w="0" w:type="dxa"/>
          </w:tblCellMar>
        </w:tblPrEx>
        <w:trPr>
          <w:cantSplit/>
          <w:trHeight w:val="632" w:hRule="atLeast"/>
          <w:jc w:val="center"/>
        </w:trPr>
        <w:tc>
          <w:tcPr>
            <w:tcW w:w="1085" w:type="dxa"/>
            <w:tcBorders>
              <w:top w:val="single" w:color="auto" w:sz="4" w:space="0"/>
              <w:left w:val="single" w:color="auto" w:sz="8" w:space="0"/>
              <w:bottom w:val="single" w:color="auto" w:sz="4" w:space="0"/>
              <w:right w:val="single" w:color="auto" w:sz="8" w:space="0"/>
            </w:tcBorders>
            <w:noWrap w:val="0"/>
            <w:vAlign w:val="center"/>
          </w:tcPr>
          <w:p w14:paraId="1F2D3EEF">
            <w:pPr>
              <w:keepNext w:val="0"/>
              <w:keepLines w:val="0"/>
              <w:widowControl/>
              <w:suppressLineNumbers w:val="0"/>
              <w:spacing w:before="0" w:beforeAutospacing="0" w:after="0" w:afterAutospacing="0"/>
              <w:ind w:left="0" w:right="0" w:firstLine="0" w:firstLineChar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5088" w:type="dxa"/>
            <w:tcBorders>
              <w:top w:val="single" w:color="auto" w:sz="4" w:space="0"/>
              <w:left w:val="nil"/>
              <w:bottom w:val="single" w:color="auto" w:sz="4" w:space="0"/>
              <w:right w:val="single" w:color="auto" w:sz="4" w:space="0"/>
            </w:tcBorders>
            <w:noWrap w:val="0"/>
            <w:vAlign w:val="center"/>
          </w:tcPr>
          <w:p w14:paraId="3B228B67">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货物品牌是否原装正品</w:t>
            </w:r>
          </w:p>
        </w:tc>
        <w:tc>
          <w:tcPr>
            <w:tcW w:w="1628" w:type="dxa"/>
            <w:tcBorders>
              <w:top w:val="single" w:color="auto" w:sz="4" w:space="0"/>
              <w:left w:val="single" w:color="auto" w:sz="4" w:space="0"/>
              <w:bottom w:val="single" w:color="auto" w:sz="4" w:space="0"/>
              <w:right w:val="single" w:color="auto" w:sz="8" w:space="0"/>
            </w:tcBorders>
            <w:noWrap w:val="0"/>
            <w:vAlign w:val="center"/>
          </w:tcPr>
          <w:p w14:paraId="40D0ED9D">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796"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261EBA01">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r w14:paraId="4084AF6E">
        <w:tblPrEx>
          <w:tblCellMar>
            <w:top w:w="0" w:type="dxa"/>
            <w:left w:w="0" w:type="dxa"/>
            <w:bottom w:w="0" w:type="dxa"/>
            <w:right w:w="0" w:type="dxa"/>
          </w:tblCellMar>
        </w:tblPrEx>
        <w:trPr>
          <w:cantSplit/>
          <w:trHeight w:val="643" w:hRule="atLeast"/>
          <w:jc w:val="center"/>
        </w:trPr>
        <w:tc>
          <w:tcPr>
            <w:tcW w:w="1085" w:type="dxa"/>
            <w:tcBorders>
              <w:top w:val="single" w:color="auto" w:sz="4" w:space="0"/>
              <w:left w:val="single" w:color="auto" w:sz="8" w:space="0"/>
              <w:bottom w:val="single" w:color="auto" w:sz="4" w:space="0"/>
              <w:right w:val="single" w:color="auto" w:sz="8" w:space="0"/>
            </w:tcBorders>
            <w:noWrap w:val="0"/>
            <w:vAlign w:val="center"/>
          </w:tcPr>
          <w:p w14:paraId="5D9448F1">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p>
        </w:tc>
        <w:tc>
          <w:tcPr>
            <w:tcW w:w="5088" w:type="dxa"/>
            <w:tcBorders>
              <w:top w:val="single" w:color="auto" w:sz="4" w:space="0"/>
              <w:left w:val="nil"/>
              <w:bottom w:val="single" w:color="auto" w:sz="4" w:space="0"/>
              <w:right w:val="single" w:color="auto" w:sz="4" w:space="0"/>
            </w:tcBorders>
            <w:noWrap w:val="0"/>
            <w:vAlign w:val="center"/>
          </w:tcPr>
          <w:p w14:paraId="567C3D9B">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1628" w:type="dxa"/>
            <w:tcBorders>
              <w:top w:val="single" w:color="auto" w:sz="4" w:space="0"/>
              <w:left w:val="single" w:color="auto" w:sz="4" w:space="0"/>
              <w:bottom w:val="single" w:color="auto" w:sz="4" w:space="0"/>
              <w:right w:val="single" w:color="auto" w:sz="8" w:space="0"/>
            </w:tcBorders>
            <w:noWrap w:val="0"/>
            <w:vAlign w:val="center"/>
          </w:tcPr>
          <w:p w14:paraId="310EF01F">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c>
          <w:tcPr>
            <w:tcW w:w="1796"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47E59410">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sz w:val="24"/>
                <w:szCs w:val="24"/>
              </w:rPr>
            </w:pPr>
          </w:p>
        </w:tc>
      </w:tr>
    </w:tbl>
    <w:p w14:paraId="7E041AD1">
      <w:pPr>
        <w:ind w:firstLine="0" w:firstLineChars="0"/>
        <w:jc w:val="both"/>
        <w:outlineLvl w:val="0"/>
        <w:rPr>
          <w:rFonts w:hint="eastAsia"/>
          <w:b/>
          <w:bCs/>
          <w:color w:val="auto"/>
          <w:sz w:val="30"/>
          <w:szCs w:val="30"/>
        </w:rPr>
      </w:pPr>
    </w:p>
    <w:p w14:paraId="646F601F">
      <w:pPr>
        <w:pStyle w:val="48"/>
        <w:rPr>
          <w:rFonts w:hint="eastAsia"/>
        </w:rPr>
      </w:pPr>
    </w:p>
    <w:p w14:paraId="5384330A">
      <w:pPr>
        <w:shd w:val="clear"/>
        <w:snapToGrid w:val="0"/>
        <w:spacing w:line="480" w:lineRule="exact"/>
        <w:ind w:firstLine="3840" w:firstLineChars="1600"/>
        <w:rPr>
          <w:rFonts w:ascii="宋体" w:hAnsi="宋体"/>
          <w:color w:val="auto"/>
          <w:highlight w:val="none"/>
          <w:lang w:val="zh-CN"/>
        </w:rPr>
      </w:pPr>
      <w:r>
        <w:rPr>
          <w:rFonts w:hint="eastAsia" w:ascii="宋体" w:hAnsi="宋体"/>
          <w:color w:val="auto"/>
          <w:highlight w:val="none"/>
          <w:lang w:val="zh-CN"/>
        </w:rPr>
        <w:t>供应商名称（盖章）：</w:t>
      </w:r>
    </w:p>
    <w:p w14:paraId="0E0BB59E">
      <w:pPr>
        <w:shd w:val="clear"/>
        <w:snapToGrid w:val="0"/>
        <w:spacing w:line="480" w:lineRule="exact"/>
        <w:ind w:firstLine="3840" w:firstLineChars="1600"/>
        <w:rPr>
          <w:rFonts w:ascii="宋体" w:hAnsi="宋体"/>
          <w:color w:val="auto"/>
          <w:highlight w:val="none"/>
        </w:rPr>
      </w:pPr>
      <w:r>
        <w:rPr>
          <w:rFonts w:hint="eastAsia" w:ascii="宋体" w:hAnsi="宋体"/>
          <w:color w:val="auto"/>
          <w:highlight w:val="none"/>
          <w:lang w:val="zh-CN"/>
        </w:rPr>
        <w:t>法定代表人或授权委托人（签字或盖章）：</w:t>
      </w:r>
    </w:p>
    <w:p w14:paraId="28CC67E2">
      <w:pPr>
        <w:shd w:val="clear"/>
        <w:snapToGrid w:val="0"/>
        <w:spacing w:line="480" w:lineRule="exact"/>
        <w:ind w:firstLine="3840" w:firstLineChars="1600"/>
        <w:rPr>
          <w:color w:val="auto"/>
          <w:highlight w:val="none"/>
        </w:rPr>
        <w:sectPr>
          <w:headerReference r:id="rId14" w:type="default"/>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720" w:num="1"/>
          <w:docGrid w:type="lines" w:linePitch="312" w:charSpace="0"/>
        </w:sectPr>
      </w:pPr>
      <w:r>
        <w:rPr>
          <w:rFonts w:hint="eastAsia" w:ascii="宋体" w:hAnsi="宋体"/>
          <w:color w:val="auto"/>
          <w:highlight w:val="none"/>
          <w:lang w:val="zh-CN"/>
        </w:rPr>
        <w:t>日期：     年   月   日</w:t>
      </w:r>
    </w:p>
    <w:p w14:paraId="413345E3">
      <w:pPr>
        <w:shd w:val="clear"/>
        <w:ind w:firstLine="0" w:firstLineChars="0"/>
        <w:outlineLvl w:val="2"/>
        <w:rPr>
          <w:rFonts w:hint="default" w:ascii="宋体" w:hAnsi="宋体" w:eastAsia="宋体" w:cs="宋体"/>
          <w:b/>
          <w:bCs/>
          <w:color w:val="auto"/>
          <w:highlight w:val="none"/>
          <w:lang w:val="en-US" w:eastAsia="zh-CN" w:bidi="ar"/>
        </w:rPr>
      </w:pPr>
      <w:r>
        <w:rPr>
          <w:rFonts w:hint="eastAsia" w:ascii="宋体" w:hAnsi="宋体" w:eastAsia="宋体" w:cs="宋体"/>
          <w:b/>
          <w:bCs/>
          <w:color w:val="auto"/>
          <w:highlight w:val="none"/>
          <w:lang w:bidi="ar"/>
        </w:rPr>
        <w:t>附件</w:t>
      </w:r>
      <w:r>
        <w:rPr>
          <w:rFonts w:hint="eastAsia" w:ascii="宋体" w:hAnsi="宋体" w:cs="宋体"/>
          <w:b/>
          <w:bCs/>
          <w:color w:val="auto"/>
          <w:highlight w:val="none"/>
          <w:lang w:val="en-US" w:eastAsia="zh-CN" w:bidi="ar"/>
        </w:rPr>
        <w:t>10</w:t>
      </w:r>
    </w:p>
    <w:p w14:paraId="424F0BE6">
      <w:pPr>
        <w:shd w:val="clear"/>
        <w:tabs>
          <w:tab w:val="left" w:pos="900"/>
        </w:tabs>
        <w:spacing w:line="360" w:lineRule="auto"/>
        <w:ind w:firstLine="0" w:firstLineChars="0"/>
        <w:jc w:val="center"/>
        <w:rPr>
          <w:rFonts w:hint="eastAsia" w:ascii="宋体" w:hAnsi="宋体" w:cs="宋体"/>
          <w:b/>
          <w:color w:val="auto"/>
          <w:spacing w:val="-4"/>
          <w:sz w:val="32"/>
          <w:szCs w:val="32"/>
          <w:highlight w:val="none"/>
        </w:rPr>
      </w:pPr>
      <w:r>
        <w:rPr>
          <w:rFonts w:hint="eastAsia" w:ascii="宋体" w:hAnsi="宋体" w:cs="宋体"/>
          <w:b/>
          <w:color w:val="auto"/>
          <w:spacing w:val="-4"/>
          <w:sz w:val="32"/>
          <w:szCs w:val="32"/>
          <w:highlight w:val="none"/>
        </w:rPr>
        <w:t>首次报价表</w:t>
      </w:r>
    </w:p>
    <w:p w14:paraId="2116FB36">
      <w:pPr>
        <w:shd w:val="clear"/>
        <w:tabs>
          <w:tab w:val="left" w:pos="900"/>
        </w:tabs>
        <w:spacing w:line="360" w:lineRule="auto"/>
        <w:ind w:firstLine="464"/>
        <w:rPr>
          <w:rFonts w:hint="eastAsia" w:ascii="宋体" w:hAnsi="宋体" w:cs="宋体"/>
          <w:color w:val="auto"/>
          <w:spacing w:val="-4"/>
          <w:highlight w:val="none"/>
          <w:u w:val="single"/>
        </w:rPr>
      </w:pPr>
      <w:r>
        <w:rPr>
          <w:rFonts w:hint="eastAsia" w:ascii="宋体" w:hAnsi="宋体" w:cs="宋体"/>
          <w:color w:val="auto"/>
          <w:spacing w:val="-4"/>
          <w:highlight w:val="none"/>
        </w:rPr>
        <w:t xml:space="preserve">                                                             货币形式：</w:t>
      </w:r>
      <w:r>
        <w:rPr>
          <w:rFonts w:hint="eastAsia" w:ascii="宋体" w:hAnsi="宋体" w:cs="宋体"/>
          <w:color w:val="auto"/>
          <w:spacing w:val="-4"/>
          <w:highlight w:val="none"/>
          <w:u w:val="single"/>
        </w:rPr>
        <w:t>人民币/元</w:t>
      </w:r>
      <w:r>
        <w:rPr>
          <w:rFonts w:hint="eastAsia" w:ascii="宋体" w:hAnsi="宋体" w:cs="宋体"/>
          <w:color w:val="auto"/>
          <w:spacing w:val="-4"/>
          <w:highlight w:val="none"/>
        </w:rPr>
        <w:t xml:space="preserve">                              </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3"/>
        <w:gridCol w:w="6973"/>
      </w:tblGrid>
      <w:tr w14:paraId="6774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733" w:type="dxa"/>
            <w:noWrap w:val="0"/>
            <w:vAlign w:val="center"/>
          </w:tcPr>
          <w:p w14:paraId="5A2CAEBE">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bookmarkStart w:id="1573" w:name="_Toc1063"/>
            <w:bookmarkStart w:id="1574" w:name="_Toc21436"/>
            <w:bookmarkStart w:id="1575" w:name="_Toc13879"/>
            <w:bookmarkStart w:id="1576" w:name="_Toc14900"/>
            <w:bookmarkStart w:id="1577" w:name="_Toc9583"/>
            <w:bookmarkStart w:id="1578" w:name="_Toc22904"/>
            <w:bookmarkStart w:id="1579" w:name="_Toc27964"/>
            <w:bookmarkStart w:id="1580" w:name="_Toc20079"/>
            <w:bookmarkStart w:id="1581" w:name="_Toc19159"/>
            <w:r>
              <w:rPr>
                <w:rFonts w:hint="eastAsia" w:ascii="宋体" w:hAnsi="宋体" w:eastAsia="宋体" w:cs="宋体"/>
                <w:color w:val="000000"/>
                <w:sz w:val="24"/>
                <w:szCs w:val="24"/>
              </w:rPr>
              <w:t>项目编号</w:t>
            </w:r>
          </w:p>
        </w:tc>
        <w:tc>
          <w:tcPr>
            <w:tcW w:w="6973" w:type="dxa"/>
            <w:noWrap w:val="0"/>
            <w:vAlign w:val="top"/>
          </w:tcPr>
          <w:p w14:paraId="3C9711F6">
            <w:pPr>
              <w:keepNext w:val="0"/>
              <w:keepLines w:val="0"/>
              <w:suppressLineNumbers w:val="0"/>
              <w:shd w:val="clear"/>
              <w:adjustRightInd w:val="0"/>
              <w:snapToGrid w:val="0"/>
              <w:spacing w:before="0" w:beforeAutospacing="0" w:after="0" w:afterAutospacing="0" w:line="312" w:lineRule="auto"/>
              <w:ind w:left="0" w:right="0" w:firstLine="480"/>
              <w:rPr>
                <w:rFonts w:hint="eastAsia" w:ascii="宋体" w:hAnsi="宋体" w:cs="宋体"/>
                <w:color w:val="auto"/>
                <w:highlight w:val="none"/>
              </w:rPr>
            </w:pPr>
          </w:p>
          <w:p w14:paraId="4B1D7766">
            <w:pPr>
              <w:keepNext w:val="0"/>
              <w:keepLines w:val="0"/>
              <w:suppressLineNumbers w:val="0"/>
              <w:shd w:val="clear"/>
              <w:adjustRightInd w:val="0"/>
              <w:snapToGrid w:val="0"/>
              <w:spacing w:before="0" w:beforeAutospacing="0" w:after="0" w:afterAutospacing="0" w:line="312" w:lineRule="auto"/>
              <w:ind w:left="0" w:right="0" w:firstLine="480"/>
              <w:rPr>
                <w:rFonts w:hint="eastAsia" w:ascii="宋体" w:hAnsi="宋体" w:cs="宋体"/>
                <w:color w:val="auto"/>
                <w:highlight w:val="none"/>
              </w:rPr>
            </w:pPr>
          </w:p>
        </w:tc>
      </w:tr>
      <w:tr w14:paraId="760C3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733" w:type="dxa"/>
            <w:noWrap w:val="0"/>
            <w:vAlign w:val="center"/>
          </w:tcPr>
          <w:p w14:paraId="68EFF6E1">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973" w:type="dxa"/>
            <w:noWrap w:val="0"/>
            <w:vAlign w:val="top"/>
          </w:tcPr>
          <w:p w14:paraId="1A1952EE">
            <w:pPr>
              <w:keepNext w:val="0"/>
              <w:keepLines w:val="0"/>
              <w:suppressLineNumbers w:val="0"/>
              <w:shd w:val="clear"/>
              <w:adjustRightInd w:val="0"/>
              <w:snapToGrid w:val="0"/>
              <w:spacing w:before="0" w:beforeAutospacing="0" w:after="0" w:afterAutospacing="0" w:line="312" w:lineRule="auto"/>
              <w:ind w:left="0" w:right="0" w:firstLine="480"/>
              <w:rPr>
                <w:rFonts w:hint="eastAsia" w:ascii="宋体" w:hAnsi="宋体" w:cs="宋体"/>
                <w:color w:val="auto"/>
                <w:highlight w:val="none"/>
              </w:rPr>
            </w:pPr>
          </w:p>
        </w:tc>
      </w:tr>
      <w:tr w14:paraId="5A876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733" w:type="dxa"/>
            <w:noWrap w:val="0"/>
            <w:vAlign w:val="center"/>
          </w:tcPr>
          <w:p w14:paraId="11A0F4FF">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服务期限</w:t>
            </w:r>
          </w:p>
        </w:tc>
        <w:tc>
          <w:tcPr>
            <w:tcW w:w="6973" w:type="dxa"/>
            <w:noWrap w:val="0"/>
            <w:vAlign w:val="top"/>
          </w:tcPr>
          <w:p w14:paraId="759A259D">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firstLine="0" w:firstLineChars="0"/>
              <w:jc w:val="left"/>
              <w:textAlignment w:val="auto"/>
              <w:rPr>
                <w:rFonts w:hint="eastAsia" w:ascii="宋体" w:hAnsi="宋体" w:cs="宋体"/>
                <w:color w:val="auto"/>
                <w:highlight w:val="none"/>
              </w:rPr>
            </w:pPr>
            <w:r>
              <w:rPr>
                <w:rFonts w:hint="eastAsia" w:hAnsi="宋体" w:cs="宋体"/>
                <w:color w:val="auto"/>
                <w:kern w:val="2"/>
                <w:sz w:val="24"/>
                <w:szCs w:val="24"/>
                <w:highlight w:val="none"/>
                <w:lang w:val="en-US" w:eastAsia="zh-CN" w:bidi="ar-SA"/>
              </w:rPr>
              <w:t>合同签订后，接采购人通知后的30日历天内完成项目所有工作并通过验收合格。</w:t>
            </w:r>
          </w:p>
        </w:tc>
      </w:tr>
      <w:tr w14:paraId="353A1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733" w:type="dxa"/>
            <w:noWrap w:val="0"/>
            <w:vAlign w:val="center"/>
          </w:tcPr>
          <w:p w14:paraId="1038207B">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eastAsia="zh-CN"/>
              </w:rPr>
              <w:t>报价</w:t>
            </w:r>
          </w:p>
        </w:tc>
        <w:tc>
          <w:tcPr>
            <w:tcW w:w="6973" w:type="dxa"/>
            <w:noWrap w:val="0"/>
            <w:vAlign w:val="center"/>
          </w:tcPr>
          <w:p w14:paraId="35923401">
            <w:pPr>
              <w:keepNext w:val="0"/>
              <w:keepLines w:val="0"/>
              <w:widowControl/>
              <w:suppressLineNumbers w:val="0"/>
              <w:spacing w:before="0" w:beforeAutospacing="0" w:after="0" w:afterAutospacing="0"/>
              <w:ind w:left="0" w:right="0"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bl>
    <w:p w14:paraId="4FB1A1EF">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华文中宋" w:hAnsi="华文中宋" w:eastAsia="华文中宋" w:cs="微软雅黑"/>
          <w:color w:val="auto"/>
          <w:sz w:val="24"/>
          <w:highlight w:val="none"/>
          <w:lang w:eastAsia="zh-CN"/>
        </w:rPr>
      </w:pPr>
      <w:r>
        <w:rPr>
          <w:rFonts w:hint="eastAsia" w:ascii="华文中宋" w:hAnsi="华文中宋" w:eastAsia="华文中宋" w:cs="微软雅黑"/>
          <w:color w:val="auto"/>
          <w:sz w:val="24"/>
          <w:highlight w:val="none"/>
          <w:lang w:eastAsia="zh-CN"/>
        </w:rPr>
        <w:t>注：投标报价应为提供本次采购全包干价，</w:t>
      </w:r>
      <w:r>
        <w:rPr>
          <w:rFonts w:hint="eastAsia" w:ascii="宋体" w:hAnsi="宋体" w:eastAsia="宋体" w:cs="宋体"/>
          <w:color w:val="auto"/>
          <w:kern w:val="2"/>
          <w:sz w:val="24"/>
          <w:szCs w:val="24"/>
          <w:lang w:val="en-US" w:eastAsia="zh-CN" w:bidi="ar-SA"/>
        </w:rPr>
        <w:t>包括但不限于货物、随配附件、材料、备品备件、工具、运输费、保险费、装卸费（含二次搬运）、</w:t>
      </w:r>
      <w:r>
        <w:rPr>
          <w:rFonts w:hint="eastAsia" w:ascii="宋体" w:hAnsi="宋体" w:cs="宋体"/>
          <w:color w:val="auto"/>
          <w:kern w:val="2"/>
          <w:sz w:val="24"/>
          <w:szCs w:val="24"/>
          <w:lang w:val="en-US" w:eastAsia="zh-CN" w:bidi="ar-SA"/>
        </w:rPr>
        <w:t>安装调试费、设计费、</w:t>
      </w:r>
      <w:r>
        <w:rPr>
          <w:rFonts w:hint="eastAsia" w:ascii="宋体" w:hAnsi="宋体" w:eastAsia="宋体" w:cs="宋体"/>
          <w:color w:val="auto"/>
          <w:kern w:val="2"/>
          <w:sz w:val="24"/>
          <w:szCs w:val="24"/>
          <w:highlight w:val="none"/>
          <w:lang w:val="en-US" w:eastAsia="zh-CN" w:bidi="ar-SA"/>
        </w:rPr>
        <w:t>现场施工配合费、采</w:t>
      </w:r>
      <w:r>
        <w:rPr>
          <w:rFonts w:hint="eastAsia" w:ascii="宋体" w:hAnsi="宋体" w:eastAsia="宋体" w:cs="宋体"/>
          <w:color w:val="auto"/>
          <w:kern w:val="2"/>
          <w:sz w:val="24"/>
          <w:szCs w:val="24"/>
          <w:lang w:val="en-US" w:eastAsia="zh-CN" w:bidi="ar-SA"/>
        </w:rPr>
        <w:t>购代理费、售后服务、培训费、</w:t>
      </w:r>
      <w:r>
        <w:rPr>
          <w:rFonts w:hint="eastAsia" w:ascii="宋体" w:hAnsi="宋体" w:eastAsia="宋体" w:cs="宋体"/>
          <w:color w:val="auto"/>
          <w:kern w:val="2"/>
          <w:sz w:val="24"/>
          <w:szCs w:val="24"/>
          <w:lang w:val="zh-CN" w:eastAsia="zh-CN" w:bidi="ar-SA"/>
        </w:rPr>
        <w:t>税金和利润等完成合同所需的一切本身和不可或缺的所有工作开支、政策性文件规定及合同包含的所有风险、责任等各项全部费用。</w:t>
      </w:r>
      <w:r>
        <w:rPr>
          <w:rFonts w:hint="eastAsia" w:ascii="宋体" w:hAnsi="宋体" w:eastAsia="宋体" w:cs="宋体"/>
          <w:color w:val="auto"/>
          <w:sz w:val="24"/>
          <w:highlight w:val="none"/>
          <w:lang w:val="en-US" w:eastAsia="zh-CN"/>
        </w:rPr>
        <w:t>如有漏项，视同已包含在其它项目中，总价不做调整。</w:t>
      </w:r>
    </w:p>
    <w:p w14:paraId="407C241D">
      <w:pPr>
        <w:spacing w:line="480" w:lineRule="auto"/>
        <w:ind w:firstLine="480"/>
        <w:rPr>
          <w:rFonts w:hint="eastAsia" w:ascii="华文中宋" w:hAnsi="华文中宋" w:eastAsia="华文中宋" w:cs="微软雅黑"/>
          <w:color w:val="auto"/>
          <w:kern w:val="2"/>
          <w:sz w:val="24"/>
          <w:szCs w:val="24"/>
          <w:highlight w:val="none"/>
          <w:lang w:val="en-US" w:eastAsia="zh-CN" w:bidi="ar-SA"/>
        </w:rPr>
      </w:pPr>
      <w:r>
        <w:rPr>
          <w:rFonts w:hint="eastAsia" w:ascii="华文中宋" w:hAnsi="华文中宋" w:eastAsia="华文中宋" w:cs="微软雅黑"/>
          <w:color w:val="auto"/>
          <w:kern w:val="2"/>
          <w:sz w:val="24"/>
          <w:szCs w:val="24"/>
          <w:highlight w:val="none"/>
          <w:lang w:val="en-US" w:eastAsia="zh-CN" w:bidi="ar-SA"/>
        </w:rPr>
        <w:t>1. 本次报价仅做磋商参考，不做成交依据。</w:t>
      </w:r>
    </w:p>
    <w:p w14:paraId="07386D47">
      <w:pPr>
        <w:spacing w:line="480" w:lineRule="auto"/>
        <w:ind w:firstLine="480"/>
        <w:rPr>
          <w:rFonts w:hint="eastAsia" w:ascii="华文中宋" w:hAnsi="华文中宋" w:eastAsia="华文中宋" w:cs="微软雅黑"/>
          <w:color w:val="auto"/>
          <w:kern w:val="2"/>
          <w:sz w:val="24"/>
          <w:szCs w:val="24"/>
          <w:highlight w:val="none"/>
          <w:lang w:val="en-US" w:eastAsia="zh-CN" w:bidi="ar-SA"/>
        </w:rPr>
      </w:pPr>
      <w:r>
        <w:rPr>
          <w:rFonts w:hint="eastAsia" w:ascii="华文中宋" w:hAnsi="华文中宋" w:eastAsia="华文中宋" w:cs="微软雅黑"/>
          <w:color w:val="auto"/>
          <w:kern w:val="2"/>
          <w:sz w:val="24"/>
          <w:szCs w:val="24"/>
          <w:highlight w:val="none"/>
          <w:lang w:val="en-US" w:eastAsia="zh-CN" w:bidi="ar-SA"/>
        </w:rPr>
        <w:t>2.</w:t>
      </w:r>
      <w:r>
        <w:rPr>
          <w:rFonts w:hint="eastAsia" w:ascii="宋体" w:hAnsi="宋体" w:eastAsia="宋体" w:cs="宋体"/>
          <w:color w:val="auto"/>
          <w:highlight w:val="none"/>
          <w:lang w:val="zh-CN"/>
        </w:rPr>
        <w:t>▲</w:t>
      </w:r>
      <w:r>
        <w:rPr>
          <w:rFonts w:hint="eastAsia" w:ascii="华文中宋" w:hAnsi="华文中宋" w:eastAsia="华文中宋" w:cs="微软雅黑"/>
          <w:color w:val="auto"/>
          <w:kern w:val="2"/>
          <w:sz w:val="24"/>
          <w:szCs w:val="24"/>
          <w:highlight w:val="none"/>
          <w:lang w:val="en-US" w:eastAsia="zh-CN" w:bidi="ar-SA"/>
        </w:rPr>
        <w:t xml:space="preserve"> 报价填写必须为印刷体打印，手写无效报价，不清楚或模糊等原因而导致磋商小组无法确认，其报价无效。</w:t>
      </w:r>
    </w:p>
    <w:p w14:paraId="29C73E2C">
      <w:pPr>
        <w:spacing w:line="480" w:lineRule="auto"/>
        <w:ind w:right="-48" w:rightChars="-20" w:firstLine="480"/>
        <w:rPr>
          <w:rFonts w:hint="eastAsia" w:ascii="华文中宋" w:hAnsi="华文中宋" w:eastAsia="华文中宋" w:cs="微软雅黑"/>
          <w:color w:val="auto"/>
          <w:kern w:val="2"/>
          <w:sz w:val="24"/>
          <w:szCs w:val="24"/>
          <w:highlight w:val="none"/>
          <w:lang w:val="zh-CN" w:eastAsia="zh-CN" w:bidi="ar-SA"/>
        </w:rPr>
      </w:pPr>
      <w:r>
        <w:rPr>
          <w:rFonts w:hint="eastAsia" w:ascii="华文中宋" w:hAnsi="华文中宋" w:eastAsia="华文中宋" w:cs="微软雅黑"/>
          <w:color w:val="auto"/>
          <w:kern w:val="2"/>
          <w:sz w:val="24"/>
          <w:szCs w:val="24"/>
          <w:highlight w:val="none"/>
          <w:lang w:val="en-US" w:eastAsia="zh-CN" w:bidi="ar-SA"/>
        </w:rPr>
        <w:t>3．填写此表时不得改变表格的形式。</w:t>
      </w:r>
    </w:p>
    <w:p w14:paraId="24C9179A">
      <w:pPr>
        <w:shd w:val="clear"/>
        <w:tabs>
          <w:tab w:val="left" w:pos="900"/>
        </w:tabs>
        <w:spacing w:line="360" w:lineRule="auto"/>
        <w:ind w:firstLine="0" w:firstLineChars="0"/>
        <w:rPr>
          <w:rStyle w:val="117"/>
          <w:rFonts w:hint="default" w:ascii="宋体" w:hAnsi="宋体" w:eastAsia="宋体" w:cs="宋体"/>
          <w:color w:val="auto"/>
          <w:szCs w:val="28"/>
          <w:highlight w:val="none"/>
          <w:lang w:val="en-US" w:eastAsia="zh-CN"/>
        </w:rPr>
      </w:pPr>
    </w:p>
    <w:p w14:paraId="07C672A9">
      <w:pPr>
        <w:pStyle w:val="17"/>
        <w:rPr>
          <w:rStyle w:val="117"/>
          <w:rFonts w:hint="default" w:ascii="宋体" w:hAnsi="宋体" w:eastAsia="宋体" w:cs="宋体"/>
          <w:bCs/>
          <w:color w:val="auto"/>
          <w:szCs w:val="28"/>
          <w:highlight w:val="none"/>
          <w:lang w:val="en-US" w:eastAsia="zh-CN"/>
        </w:rPr>
      </w:pPr>
    </w:p>
    <w:p w14:paraId="2203E8E1">
      <w:pPr>
        <w:rPr>
          <w:rFonts w:hint="default"/>
          <w:lang w:val="en-US" w:eastAsia="zh-CN"/>
        </w:rPr>
      </w:pPr>
    </w:p>
    <w:bookmarkEnd w:id="1573"/>
    <w:bookmarkEnd w:id="1574"/>
    <w:bookmarkEnd w:id="1575"/>
    <w:bookmarkEnd w:id="1576"/>
    <w:bookmarkEnd w:id="1577"/>
    <w:bookmarkEnd w:id="1578"/>
    <w:bookmarkEnd w:id="1579"/>
    <w:bookmarkEnd w:id="1580"/>
    <w:bookmarkEnd w:id="1581"/>
    <w:p w14:paraId="75AEC852">
      <w:pPr>
        <w:shd w:val="clear"/>
        <w:snapToGrid w:val="0"/>
        <w:spacing w:line="480" w:lineRule="exact"/>
        <w:ind w:firstLine="3840" w:firstLineChars="1600"/>
        <w:rPr>
          <w:rFonts w:ascii="宋体" w:hAnsi="宋体"/>
          <w:color w:val="auto"/>
          <w:highlight w:val="none"/>
          <w:lang w:val="zh-CN"/>
        </w:rPr>
      </w:pPr>
      <w:r>
        <w:rPr>
          <w:rFonts w:hint="eastAsia" w:ascii="宋体" w:hAnsi="宋体"/>
          <w:color w:val="auto"/>
          <w:highlight w:val="none"/>
          <w:lang w:val="zh-CN"/>
        </w:rPr>
        <w:t>供应商名称（盖章）：</w:t>
      </w:r>
    </w:p>
    <w:p w14:paraId="7E4A62C4">
      <w:pPr>
        <w:shd w:val="clear"/>
        <w:snapToGrid w:val="0"/>
        <w:spacing w:line="480" w:lineRule="exact"/>
        <w:ind w:firstLine="3840" w:firstLineChars="1600"/>
        <w:rPr>
          <w:rFonts w:ascii="宋体" w:hAnsi="宋体"/>
          <w:color w:val="auto"/>
          <w:highlight w:val="none"/>
        </w:rPr>
      </w:pPr>
      <w:r>
        <w:rPr>
          <w:rFonts w:hint="eastAsia" w:ascii="宋体" w:hAnsi="宋体"/>
          <w:color w:val="auto"/>
          <w:highlight w:val="none"/>
          <w:lang w:val="zh-CN"/>
        </w:rPr>
        <w:t>法定代表人或授权委托人（签字或盖章）：</w:t>
      </w:r>
    </w:p>
    <w:p w14:paraId="475E6352">
      <w:pPr>
        <w:shd w:val="clear"/>
        <w:snapToGrid w:val="0"/>
        <w:spacing w:line="480" w:lineRule="exact"/>
        <w:ind w:firstLine="3840" w:firstLineChars="1600"/>
        <w:rPr>
          <w:color w:val="auto"/>
          <w:highlight w:val="none"/>
        </w:rPr>
        <w:sectPr>
          <w:headerReference r:id="rId15" w:type="default"/>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720" w:num="1"/>
          <w:docGrid w:type="lines" w:linePitch="312" w:charSpace="0"/>
        </w:sectPr>
      </w:pPr>
      <w:r>
        <w:rPr>
          <w:rFonts w:hint="eastAsia" w:ascii="宋体" w:hAnsi="宋体"/>
          <w:color w:val="auto"/>
          <w:highlight w:val="none"/>
          <w:lang w:val="zh-CN"/>
        </w:rPr>
        <w:t>日期：     年   月   日</w:t>
      </w:r>
    </w:p>
    <w:p w14:paraId="7B783551">
      <w:pPr>
        <w:shd w:val="clear"/>
        <w:tabs>
          <w:tab w:val="left" w:pos="900"/>
        </w:tabs>
        <w:spacing w:line="360" w:lineRule="auto"/>
        <w:ind w:firstLine="0" w:firstLineChars="0"/>
        <w:outlineLvl w:val="0"/>
        <w:rPr>
          <w:rFonts w:hint="default" w:ascii="宋体" w:hAnsi="宋体" w:eastAsia="宋体"/>
          <w:b/>
          <w:color w:val="auto"/>
          <w:spacing w:val="-4"/>
          <w:sz w:val="32"/>
          <w:szCs w:val="32"/>
          <w:highlight w:val="none"/>
          <w:lang w:val="en-US" w:eastAsia="zh-CN"/>
        </w:rPr>
      </w:pPr>
      <w:bookmarkStart w:id="1582" w:name="_Toc17212"/>
      <w:r>
        <w:rPr>
          <w:rStyle w:val="117"/>
          <w:rFonts w:hint="eastAsia" w:ascii="宋体" w:hAnsi="宋体" w:eastAsia="宋体" w:cs="宋体"/>
          <w:color w:val="auto"/>
          <w:szCs w:val="28"/>
          <w:highlight w:val="none"/>
        </w:rPr>
        <w:t>附件</w:t>
      </w:r>
      <w:bookmarkEnd w:id="1582"/>
      <w:r>
        <w:rPr>
          <w:rStyle w:val="117"/>
          <w:rFonts w:hint="eastAsia" w:ascii="宋体" w:hAnsi="宋体" w:cs="宋体"/>
          <w:color w:val="auto"/>
          <w:szCs w:val="28"/>
          <w:highlight w:val="none"/>
          <w:lang w:val="en-US" w:eastAsia="zh-CN"/>
        </w:rPr>
        <w:t>11</w:t>
      </w:r>
    </w:p>
    <w:p w14:paraId="407843BA">
      <w:pPr>
        <w:shd w:val="clear"/>
        <w:tabs>
          <w:tab w:val="left" w:pos="900"/>
        </w:tabs>
        <w:spacing w:line="360" w:lineRule="auto"/>
        <w:ind w:firstLine="0" w:firstLineChars="0"/>
        <w:jc w:val="center"/>
        <w:rPr>
          <w:rFonts w:hint="eastAsia" w:ascii="宋体" w:hAnsi="宋体" w:eastAsia="宋体" w:cs="宋体"/>
          <w:b/>
          <w:color w:val="auto"/>
          <w:spacing w:val="-4"/>
          <w:sz w:val="32"/>
          <w:szCs w:val="32"/>
          <w:highlight w:val="none"/>
          <w:lang w:val="en-US" w:eastAsia="zh-CN"/>
        </w:rPr>
      </w:pPr>
      <w:r>
        <w:rPr>
          <w:rFonts w:hint="eastAsia" w:ascii="宋体" w:hAnsi="宋体" w:eastAsia="宋体" w:cs="宋体"/>
          <w:b/>
          <w:color w:val="auto"/>
          <w:spacing w:val="-4"/>
          <w:sz w:val="32"/>
          <w:szCs w:val="32"/>
          <w:highlight w:val="none"/>
          <w:lang w:val="en-US" w:eastAsia="zh-CN"/>
        </w:rPr>
        <w:t>报价明细表</w:t>
      </w:r>
    </w:p>
    <w:p w14:paraId="3DB7C4F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项目编号：</w:t>
      </w:r>
    </w:p>
    <w:p w14:paraId="2AE48DA6">
      <w:pPr>
        <w:keepNext w:val="0"/>
        <w:keepLines w:val="0"/>
        <w:pageBreakBefore w:val="0"/>
        <w:widowControl w:val="0"/>
        <w:kinsoku/>
        <w:wordWrap/>
        <w:overflowPunct/>
        <w:topLinePunct w:val="0"/>
        <w:autoSpaceDE/>
        <w:autoSpaceDN/>
        <w:bidi w:val="0"/>
        <w:snapToGrid w:val="0"/>
        <w:spacing w:line="440" w:lineRule="exact"/>
        <w:ind w:left="0" w:leftChars="0" w:firstLine="0" w:firstLineChars="0"/>
        <w:textAlignment w:val="auto"/>
        <w:rPr>
          <w:rFonts w:hint="eastAsia" w:ascii="宋体" w:hAnsi="宋体" w:eastAsia="宋体" w:cs="宋体"/>
          <w:b/>
          <w:bCs/>
          <w:color w:val="242424"/>
          <w:sz w:val="24"/>
          <w:szCs w:val="24"/>
          <w:highlight w:val="none"/>
        </w:rPr>
      </w:pPr>
      <w:r>
        <w:rPr>
          <w:rFonts w:hint="eastAsia" w:ascii="宋体" w:hAnsi="宋体" w:eastAsia="宋体" w:cs="宋体"/>
          <w:bCs/>
          <w:sz w:val="24"/>
          <w:szCs w:val="24"/>
          <w:highlight w:val="none"/>
        </w:rPr>
        <w:t xml:space="preserve">项目名称：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金额单位：元</w:t>
      </w:r>
    </w:p>
    <w:tbl>
      <w:tblPr>
        <w:tblStyle w:val="41"/>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223"/>
        <w:gridCol w:w="2361"/>
        <w:gridCol w:w="949"/>
        <w:gridCol w:w="949"/>
        <w:gridCol w:w="1298"/>
        <w:gridCol w:w="1238"/>
      </w:tblGrid>
      <w:tr w14:paraId="38A7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78" w:type="dxa"/>
            <w:noWrap w:val="0"/>
            <w:vAlign w:val="center"/>
          </w:tcPr>
          <w:p w14:paraId="0FA3C47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223" w:type="dxa"/>
            <w:noWrap w:val="0"/>
            <w:vAlign w:val="center"/>
          </w:tcPr>
          <w:p w14:paraId="4A623A9E">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2361" w:type="dxa"/>
            <w:noWrap w:val="0"/>
            <w:vAlign w:val="center"/>
          </w:tcPr>
          <w:p w14:paraId="0EFE54D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品牌、规格型号</w:t>
            </w:r>
          </w:p>
          <w:p w14:paraId="5263863A">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（技术参数）</w:t>
            </w:r>
          </w:p>
        </w:tc>
        <w:tc>
          <w:tcPr>
            <w:tcW w:w="949" w:type="dxa"/>
            <w:noWrap w:val="0"/>
            <w:vAlign w:val="center"/>
          </w:tcPr>
          <w:p w14:paraId="557FDF3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c>
          <w:tcPr>
            <w:tcW w:w="949" w:type="dxa"/>
            <w:noWrap w:val="0"/>
            <w:vAlign w:val="center"/>
          </w:tcPr>
          <w:p w14:paraId="7FD285D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w:t>
            </w:r>
          </w:p>
        </w:tc>
        <w:tc>
          <w:tcPr>
            <w:tcW w:w="1298" w:type="dxa"/>
            <w:noWrap w:val="0"/>
            <w:vAlign w:val="center"/>
          </w:tcPr>
          <w:p w14:paraId="4C47ED05">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单价</w:t>
            </w:r>
          </w:p>
          <w:p w14:paraId="79C92F1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（元）</w:t>
            </w:r>
          </w:p>
        </w:tc>
        <w:tc>
          <w:tcPr>
            <w:tcW w:w="1238" w:type="dxa"/>
            <w:noWrap w:val="0"/>
            <w:vAlign w:val="center"/>
          </w:tcPr>
          <w:p w14:paraId="7D11239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总价</w:t>
            </w:r>
          </w:p>
          <w:p w14:paraId="59E13012">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（元）</w:t>
            </w:r>
          </w:p>
        </w:tc>
      </w:tr>
      <w:tr w14:paraId="5548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0E9D12A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2223" w:type="dxa"/>
            <w:noWrap w:val="0"/>
            <w:vAlign w:val="center"/>
          </w:tcPr>
          <w:p w14:paraId="17A9D08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257A690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5B3CD6F9">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5911C6D2">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1B3F533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76CD6A1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689C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13745E5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2223" w:type="dxa"/>
            <w:noWrap w:val="0"/>
            <w:vAlign w:val="center"/>
          </w:tcPr>
          <w:p w14:paraId="7B16BB5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59EC90A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729AAA7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6F87A59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30B80C6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7EBB270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0711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1DF565CE">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p>
        </w:tc>
        <w:tc>
          <w:tcPr>
            <w:tcW w:w="2223" w:type="dxa"/>
            <w:noWrap w:val="0"/>
            <w:vAlign w:val="center"/>
          </w:tcPr>
          <w:p w14:paraId="6DFCA82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70A82B03">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5633320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5C03CAC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6F82B00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7D3245A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5325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0E3F5F9B">
            <w:pPr>
              <w:keepNext w:val="0"/>
              <w:keepLines w:val="0"/>
              <w:suppressLineNumbers w:val="0"/>
              <w:spacing w:before="0" w:beforeAutospacing="0" w:after="0" w:afterAutospacing="0"/>
              <w:ind w:left="0" w:right="0"/>
              <w:jc w:val="center"/>
              <w:rPr>
                <w:rFonts w:hint="default"/>
                <w:lang w:val="en-US" w:eastAsia="zh-CN"/>
              </w:rPr>
            </w:pPr>
          </w:p>
        </w:tc>
        <w:tc>
          <w:tcPr>
            <w:tcW w:w="2223" w:type="dxa"/>
            <w:noWrap w:val="0"/>
            <w:vAlign w:val="center"/>
          </w:tcPr>
          <w:p w14:paraId="119D72DE">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18232552">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698A344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384E24C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2F424A23">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096155C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54F2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022FE0E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7D05985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73F0C318">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391AA31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7986E38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4067FB8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7E45BA4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051D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377ED83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0B17331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41222C4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5484437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69154658">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69C2C17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007BF954">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24F4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19B9B98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02412E8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71F92894">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5848A964">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18DEEC58">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2DB6AC34">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328E2826">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11A2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5976324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01142BD3">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21A5647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3D75917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55917D9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3A95EDF9">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6BFE7E42">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2F7E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689750C9">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647BF3E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0A9E62D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3F40BE8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1CE33DE6">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3FC7D0C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3B7D2288">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14CF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3A9DEAD8">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7D720746">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2E7CA166">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7D38591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25E134F9">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0BE38009">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40619C5E">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38FF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7830995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39FFA1FC">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5F0D0C19">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74C4919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68DF944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3800E5C3">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15A1F50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10CA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10F7132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7F177AD2">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3A39689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5A10188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4C7686E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0C15906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40CB3AE8">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61DC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4BABB83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65DD1BF6">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360C29B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1BF5828E">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165A04C8">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73EAE96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30F5BA8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0D55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6519D21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09EB73DC">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4B1BAF7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4E5A214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22B6E1F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65311ED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6907962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1615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73F766EC">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7C72C21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35E57D4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1B94293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0ED1C918">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26016E5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34C05D7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4009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706E984C">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2E9E510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6ADE3DBC">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072CDE33">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040F97C2">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189D55D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4834A6B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6F52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6AB8070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7CFAEA7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3A975F4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025FB78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1A421EF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248E4C8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167E33FC">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23DA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6529199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020499F4">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101F65E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60E5CE3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09C7D778">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43E6E16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78EF4DE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182A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42BA8604">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17BE349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1AC1B77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39A550D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4030D87E">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0927EF7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03EC96B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3FB3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324C9A09">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2587FBF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1B65F0A2">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7D83A768">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4EF4033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50E00A0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130590A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5ADF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0F35D8D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7770B0D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05A1709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6F3B54C6">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3A88EC54">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7BA498F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255FBAD4">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160E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357D0F3E">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61BBAFC8">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4A89319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31BD7EC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27ED4CD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646ABC16">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274A7A9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7CF0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8" w:type="dxa"/>
            <w:noWrap w:val="0"/>
            <w:vAlign w:val="center"/>
          </w:tcPr>
          <w:p w14:paraId="4E0FBDE2">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223" w:type="dxa"/>
            <w:noWrap w:val="0"/>
            <w:vAlign w:val="center"/>
          </w:tcPr>
          <w:p w14:paraId="10D79DC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2361" w:type="dxa"/>
            <w:noWrap w:val="0"/>
            <w:vAlign w:val="center"/>
          </w:tcPr>
          <w:p w14:paraId="6DF28CDD">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75B8C0D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949" w:type="dxa"/>
            <w:noWrap w:val="0"/>
            <w:vAlign w:val="center"/>
          </w:tcPr>
          <w:p w14:paraId="67FDC03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98" w:type="dxa"/>
            <w:noWrap w:val="0"/>
            <w:vAlign w:val="center"/>
          </w:tcPr>
          <w:p w14:paraId="1DD024AE">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1238" w:type="dxa"/>
            <w:noWrap w:val="0"/>
            <w:vAlign w:val="center"/>
          </w:tcPr>
          <w:p w14:paraId="3F16B279">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6961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201" w:type="dxa"/>
            <w:gridSpan w:val="2"/>
            <w:noWrap w:val="0"/>
            <w:vAlign w:val="center"/>
          </w:tcPr>
          <w:p w14:paraId="76E1E98F">
            <w:pPr>
              <w:keepNext w:val="0"/>
              <w:keepLines w:val="0"/>
              <w:suppressLineNumbers w:val="0"/>
              <w:snapToGrid w:val="0"/>
              <w:spacing w:before="0" w:beforeAutospacing="0" w:after="0" w:afterAutospacing="0" w:line="360" w:lineRule="exact"/>
              <w:ind w:left="0" w:leftChars="0" w:right="0" w:firstLine="0" w:firstLineChars="0"/>
              <w:jc w:val="center"/>
              <w:rPr>
                <w:rFonts w:hint="eastAsia" w:ascii="宋体" w:hAnsi="宋体" w:eastAsia="宋体" w:cs="宋体"/>
                <w:color w:val="242424"/>
                <w:kern w:val="0"/>
                <w:sz w:val="24"/>
                <w:szCs w:val="24"/>
              </w:rPr>
            </w:pPr>
            <w:r>
              <w:rPr>
                <w:rFonts w:hint="eastAsia" w:ascii="宋体" w:hAnsi="宋体" w:eastAsia="宋体" w:cs="宋体"/>
                <w:color w:val="242424"/>
                <w:kern w:val="0"/>
                <w:sz w:val="24"/>
                <w:szCs w:val="24"/>
              </w:rPr>
              <w:t>投 标 总 价</w:t>
            </w:r>
          </w:p>
        </w:tc>
        <w:tc>
          <w:tcPr>
            <w:tcW w:w="6795" w:type="dxa"/>
            <w:gridSpan w:val="5"/>
            <w:noWrap w:val="0"/>
            <w:vAlign w:val="center"/>
          </w:tcPr>
          <w:p w14:paraId="4B09DD78">
            <w:pPr>
              <w:keepNext w:val="0"/>
              <w:keepLines w:val="0"/>
              <w:suppressLineNumbers w:val="0"/>
              <w:wordWrap w:val="0"/>
              <w:overflowPunct w:val="0"/>
              <w:autoSpaceDE w:val="0"/>
              <w:autoSpaceDN w:val="0"/>
              <w:snapToGrid w:val="0"/>
              <w:spacing w:before="0" w:beforeAutospacing="0" w:after="0" w:afterAutospacing="0" w:line="360" w:lineRule="exact"/>
              <w:ind w:left="0" w:leftChars="0" w:right="0" w:firstLine="0" w:firstLineChars="0"/>
              <w:jc w:val="center"/>
              <w:rPr>
                <w:rFonts w:hint="eastAsia" w:ascii="宋体" w:hAnsi="宋体" w:eastAsia="宋体" w:cs="宋体"/>
                <w:color w:val="242424"/>
                <w:kern w:val="0"/>
                <w:sz w:val="24"/>
                <w:szCs w:val="24"/>
              </w:rPr>
            </w:pPr>
            <w:r>
              <w:rPr>
                <w:rFonts w:hint="eastAsia" w:ascii="宋体" w:hAnsi="宋体" w:eastAsia="宋体" w:cs="宋体"/>
                <w:color w:val="242424"/>
                <w:kern w:val="0"/>
                <w:sz w:val="24"/>
                <w:szCs w:val="24"/>
              </w:rPr>
              <w:t xml:space="preserve">人民币大写： </w:t>
            </w:r>
            <w:r>
              <w:rPr>
                <w:rFonts w:hint="eastAsia" w:ascii="宋体" w:hAnsi="宋体" w:eastAsia="宋体" w:cs="宋体"/>
                <w:color w:val="242424"/>
                <w:kern w:val="0"/>
                <w:sz w:val="24"/>
                <w:szCs w:val="24"/>
                <w:u w:val="single"/>
              </w:rPr>
              <w:t xml:space="preserve">              </w:t>
            </w:r>
            <w:r>
              <w:rPr>
                <w:rFonts w:hint="eastAsia" w:ascii="宋体" w:hAnsi="宋体" w:eastAsia="宋体" w:cs="宋体"/>
                <w:color w:val="242424"/>
                <w:kern w:val="0"/>
                <w:sz w:val="24"/>
                <w:szCs w:val="24"/>
                <w:u w:val="none"/>
              </w:rPr>
              <w:t xml:space="preserve"> 元 </w:t>
            </w:r>
            <w:r>
              <w:rPr>
                <w:rFonts w:hint="eastAsia" w:ascii="宋体" w:hAnsi="宋体" w:eastAsia="宋体" w:cs="宋体"/>
                <w:color w:val="242424"/>
                <w:kern w:val="0"/>
                <w:sz w:val="24"/>
                <w:szCs w:val="24"/>
              </w:rPr>
              <w:t xml:space="preserve"> （小写：</w:t>
            </w:r>
            <w:r>
              <w:rPr>
                <w:rFonts w:hint="default" w:ascii="Arial" w:hAnsi="Arial" w:eastAsia="宋体" w:cs="Arial"/>
                <w:color w:val="242424"/>
                <w:kern w:val="0"/>
                <w:sz w:val="24"/>
                <w:szCs w:val="24"/>
              </w:rPr>
              <w:t>¥</w:t>
            </w:r>
            <w:r>
              <w:rPr>
                <w:rFonts w:hint="eastAsia" w:ascii="宋体" w:hAnsi="宋体" w:eastAsia="宋体" w:cs="宋体"/>
                <w:color w:val="242424"/>
                <w:kern w:val="0"/>
                <w:sz w:val="24"/>
                <w:szCs w:val="24"/>
                <w:u w:val="single"/>
              </w:rPr>
              <w:t xml:space="preserve">       </w:t>
            </w:r>
            <w:r>
              <w:rPr>
                <w:rFonts w:hint="eastAsia" w:ascii="宋体" w:hAnsi="宋体" w:eastAsia="宋体" w:cs="宋体"/>
                <w:color w:val="242424"/>
                <w:kern w:val="0"/>
                <w:sz w:val="24"/>
                <w:szCs w:val="24"/>
              </w:rPr>
              <w:t>元 ）</w:t>
            </w:r>
          </w:p>
        </w:tc>
      </w:tr>
    </w:tbl>
    <w:p w14:paraId="0946DDD7">
      <w:pPr>
        <w:adjustRightInd w:val="0"/>
        <w:snapToGrid w:val="0"/>
        <w:spacing w:before="120" w:beforeLines="50" w:line="312" w:lineRule="auto"/>
        <w:rPr>
          <w:rFonts w:hint="eastAsia" w:ascii="宋体" w:hAnsi="宋体" w:eastAsia="宋体" w:cs="宋体"/>
          <w:sz w:val="24"/>
          <w:szCs w:val="24"/>
        </w:rPr>
      </w:pPr>
      <w:r>
        <w:rPr>
          <w:rFonts w:hint="eastAsia" w:ascii="宋体" w:hAnsi="宋体" w:eastAsia="宋体" w:cs="宋体"/>
          <w:sz w:val="24"/>
          <w:szCs w:val="24"/>
        </w:rPr>
        <w:t>注：1.采用印刷体打印，字迹清晰，不得手工填写，不允许选择性报价。</w:t>
      </w:r>
    </w:p>
    <w:p w14:paraId="488BFACF">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3DB5012C">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2533AFEB">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424DC61A">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034A89FE">
      <w:pPr>
        <w:shd w:val="clear"/>
        <w:snapToGrid w:val="0"/>
        <w:spacing w:line="480" w:lineRule="exact"/>
        <w:ind w:firstLine="4560" w:firstLineChars="1900"/>
        <w:rPr>
          <w:rFonts w:ascii="宋体" w:hAnsi="宋体"/>
          <w:color w:val="auto"/>
          <w:highlight w:val="none"/>
          <w:lang w:val="zh-CN"/>
        </w:rPr>
      </w:pPr>
      <w:r>
        <w:rPr>
          <w:rFonts w:hint="eastAsia" w:ascii="宋体" w:hAnsi="宋体"/>
          <w:color w:val="auto"/>
          <w:highlight w:val="none"/>
          <w:lang w:val="zh-CN"/>
        </w:rPr>
        <w:t>供应商名称（盖章）：</w:t>
      </w:r>
    </w:p>
    <w:p w14:paraId="3B4B2DEA">
      <w:pPr>
        <w:shd w:val="clear"/>
        <w:snapToGrid w:val="0"/>
        <w:spacing w:line="480" w:lineRule="exact"/>
        <w:ind w:firstLine="4560" w:firstLineChars="1900"/>
        <w:rPr>
          <w:rFonts w:ascii="宋体" w:hAnsi="宋体"/>
          <w:color w:val="auto"/>
          <w:highlight w:val="none"/>
        </w:rPr>
      </w:pPr>
      <w:r>
        <w:rPr>
          <w:rFonts w:hint="eastAsia" w:ascii="宋体" w:hAnsi="宋体"/>
          <w:color w:val="auto"/>
          <w:highlight w:val="none"/>
          <w:lang w:val="zh-CN"/>
        </w:rPr>
        <w:t>法定代表人或授权委托人（签字或盖章）：</w:t>
      </w:r>
    </w:p>
    <w:p w14:paraId="21637D64">
      <w:pPr>
        <w:shd w:val="clear"/>
        <w:snapToGrid w:val="0"/>
        <w:spacing w:line="480" w:lineRule="exact"/>
        <w:ind w:firstLine="4560" w:firstLineChars="1900"/>
        <w:rPr>
          <w:rFonts w:ascii="宋体" w:hAnsi="宋体"/>
          <w:color w:val="auto"/>
          <w:highlight w:val="none"/>
          <w:lang w:val="zh-CN"/>
        </w:rPr>
      </w:pPr>
      <w:r>
        <w:rPr>
          <w:rFonts w:hint="eastAsia" w:ascii="宋体" w:hAnsi="宋体"/>
          <w:color w:val="auto"/>
          <w:highlight w:val="none"/>
          <w:lang w:val="zh-CN"/>
        </w:rPr>
        <w:t>日期：     年   月   日</w:t>
      </w:r>
    </w:p>
    <w:p w14:paraId="20A7B9C9">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6368B7AA">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23F3B5A2">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3510AC4E">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24B90F7F">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0FCF7ED2">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64037E84">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48E41130">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4EB9F26C">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23B6FC38">
      <w:pPr>
        <w:shd w:val="clear"/>
        <w:spacing w:line="460" w:lineRule="exact"/>
        <w:ind w:firstLine="0" w:firstLineChars="0"/>
        <w:jc w:val="center"/>
        <w:rPr>
          <w:rFonts w:hint="eastAsia" w:ascii="宋体" w:hAnsi="宋体"/>
          <w:b/>
          <w:color w:val="auto"/>
          <w:spacing w:val="-4"/>
          <w:sz w:val="32"/>
          <w:szCs w:val="32"/>
          <w:highlight w:val="none"/>
          <w:lang w:val="en-US" w:eastAsia="zh-CN"/>
        </w:rPr>
      </w:pPr>
    </w:p>
    <w:p w14:paraId="46BBBE63">
      <w:pPr>
        <w:shd w:val="clear"/>
        <w:tabs>
          <w:tab w:val="left" w:pos="900"/>
        </w:tabs>
        <w:spacing w:line="360" w:lineRule="auto"/>
        <w:ind w:firstLine="0" w:firstLineChars="0"/>
        <w:outlineLvl w:val="0"/>
        <w:rPr>
          <w:rStyle w:val="117"/>
          <w:rFonts w:hint="eastAsia" w:ascii="宋体" w:hAnsi="宋体" w:eastAsia="宋体" w:cs="宋体"/>
          <w:color w:val="auto"/>
          <w:szCs w:val="28"/>
          <w:highlight w:val="none"/>
        </w:rPr>
      </w:pPr>
    </w:p>
    <w:p w14:paraId="716A4B62">
      <w:pPr>
        <w:shd w:val="clear"/>
        <w:tabs>
          <w:tab w:val="left" w:pos="900"/>
        </w:tabs>
        <w:spacing w:line="360" w:lineRule="auto"/>
        <w:ind w:firstLine="0" w:firstLineChars="0"/>
        <w:outlineLvl w:val="0"/>
        <w:rPr>
          <w:rStyle w:val="117"/>
          <w:rFonts w:hint="eastAsia" w:ascii="宋体" w:hAnsi="宋体" w:eastAsia="宋体" w:cs="宋体"/>
          <w:color w:val="auto"/>
          <w:szCs w:val="28"/>
          <w:highlight w:val="none"/>
        </w:rPr>
      </w:pPr>
    </w:p>
    <w:p w14:paraId="439DE533">
      <w:pPr>
        <w:shd w:val="clear"/>
        <w:tabs>
          <w:tab w:val="left" w:pos="900"/>
        </w:tabs>
        <w:spacing w:line="360" w:lineRule="auto"/>
        <w:ind w:firstLine="0" w:firstLineChars="0"/>
        <w:outlineLvl w:val="0"/>
        <w:rPr>
          <w:rFonts w:hint="eastAsia" w:ascii="宋体" w:hAnsi="宋体"/>
          <w:b/>
          <w:color w:val="auto"/>
          <w:spacing w:val="-4"/>
          <w:sz w:val="32"/>
          <w:szCs w:val="32"/>
          <w:highlight w:val="none"/>
          <w:lang w:val="en-US" w:eastAsia="zh-CN"/>
        </w:rPr>
      </w:pPr>
      <w:r>
        <w:rPr>
          <w:rStyle w:val="117"/>
          <w:rFonts w:hint="eastAsia" w:ascii="宋体" w:hAnsi="宋体" w:eastAsia="宋体" w:cs="宋体"/>
          <w:color w:val="auto"/>
          <w:szCs w:val="28"/>
          <w:highlight w:val="none"/>
        </w:rPr>
        <w:t>附件</w:t>
      </w:r>
      <w:r>
        <w:rPr>
          <w:rStyle w:val="117"/>
          <w:rFonts w:hint="eastAsia" w:ascii="宋体" w:hAnsi="宋体" w:cs="宋体"/>
          <w:color w:val="auto"/>
          <w:szCs w:val="28"/>
          <w:highlight w:val="none"/>
          <w:lang w:val="en-US" w:eastAsia="zh-CN"/>
        </w:rPr>
        <w:t>12</w:t>
      </w:r>
    </w:p>
    <w:p w14:paraId="16187A58">
      <w:pPr>
        <w:shd w:val="clear"/>
        <w:spacing w:line="460" w:lineRule="exact"/>
        <w:ind w:firstLine="0" w:firstLineChars="0"/>
        <w:jc w:val="center"/>
        <w:rPr>
          <w:rFonts w:ascii="宋体" w:hAnsi="宋体"/>
          <w:b/>
          <w:color w:val="auto"/>
          <w:spacing w:val="-4"/>
          <w:sz w:val="32"/>
          <w:szCs w:val="32"/>
          <w:highlight w:val="none"/>
        </w:rPr>
      </w:pPr>
      <w:r>
        <w:rPr>
          <w:rFonts w:hint="eastAsia" w:ascii="宋体" w:hAnsi="宋体"/>
          <w:b/>
          <w:color w:val="auto"/>
          <w:spacing w:val="-4"/>
          <w:sz w:val="32"/>
          <w:szCs w:val="32"/>
          <w:highlight w:val="none"/>
          <w:lang w:val="en-US" w:eastAsia="zh-CN"/>
        </w:rPr>
        <w:t>最终</w:t>
      </w:r>
      <w:r>
        <w:rPr>
          <w:rFonts w:hint="eastAsia" w:ascii="宋体" w:hAnsi="宋体"/>
          <w:b/>
          <w:color w:val="auto"/>
          <w:spacing w:val="-4"/>
          <w:sz w:val="32"/>
          <w:szCs w:val="32"/>
          <w:highlight w:val="none"/>
        </w:rPr>
        <w:t>报价表</w:t>
      </w:r>
    </w:p>
    <w:p w14:paraId="06D85BF7">
      <w:pPr>
        <w:shd w:val="clear"/>
        <w:tabs>
          <w:tab w:val="left" w:pos="900"/>
        </w:tabs>
        <w:spacing w:line="360" w:lineRule="auto"/>
        <w:ind w:firstLine="464"/>
        <w:rPr>
          <w:rFonts w:hint="eastAsia" w:ascii="宋体" w:hAnsi="宋体"/>
          <w:color w:val="auto"/>
          <w:spacing w:val="-4"/>
          <w:highlight w:val="none"/>
        </w:rPr>
      </w:pPr>
      <w:r>
        <w:rPr>
          <w:rFonts w:hint="eastAsia" w:ascii="宋体" w:hAnsi="宋体"/>
          <w:color w:val="auto"/>
          <w:spacing w:val="-4"/>
          <w:highlight w:val="none"/>
        </w:rPr>
        <w:t xml:space="preserve">               </w:t>
      </w:r>
    </w:p>
    <w:p w14:paraId="1F6F7037">
      <w:pPr>
        <w:shd w:val="clear"/>
        <w:tabs>
          <w:tab w:val="left" w:pos="900"/>
        </w:tabs>
        <w:spacing w:line="360" w:lineRule="auto"/>
        <w:ind w:firstLine="464"/>
        <w:rPr>
          <w:rFonts w:ascii="宋体" w:hAnsi="宋体"/>
          <w:color w:val="auto"/>
          <w:spacing w:val="-4"/>
          <w:highlight w:val="none"/>
          <w:u w:val="single"/>
        </w:rPr>
      </w:pPr>
      <w:r>
        <w:rPr>
          <w:rFonts w:hint="eastAsia" w:ascii="宋体" w:hAnsi="宋体"/>
          <w:color w:val="auto"/>
          <w:spacing w:val="-4"/>
          <w:highlight w:val="none"/>
        </w:rPr>
        <w:t xml:space="preserve">                                              </w:t>
      </w:r>
      <w:r>
        <w:rPr>
          <w:rFonts w:hint="eastAsia" w:ascii="宋体" w:hAnsi="宋体"/>
          <w:color w:val="auto"/>
          <w:spacing w:val="-4"/>
          <w:highlight w:val="none"/>
          <w:lang w:val="en-US" w:eastAsia="zh-CN"/>
        </w:rPr>
        <w:t xml:space="preserve">             </w:t>
      </w:r>
      <w:r>
        <w:rPr>
          <w:rFonts w:hint="eastAsia" w:ascii="宋体" w:hAnsi="宋体"/>
          <w:color w:val="auto"/>
          <w:spacing w:val="-4"/>
          <w:highlight w:val="none"/>
        </w:rPr>
        <w:t>货币形式：</w:t>
      </w:r>
      <w:r>
        <w:rPr>
          <w:rFonts w:hint="eastAsia" w:ascii="宋体" w:hAnsi="宋体"/>
          <w:color w:val="auto"/>
          <w:spacing w:val="-4"/>
          <w:highlight w:val="none"/>
          <w:u w:val="single"/>
        </w:rPr>
        <w:t>人民币/元</w:t>
      </w:r>
      <w:r>
        <w:rPr>
          <w:rFonts w:hint="eastAsia" w:ascii="宋体" w:hAnsi="宋体"/>
          <w:color w:val="auto"/>
          <w:spacing w:val="-4"/>
          <w:highlight w:val="none"/>
        </w:rPr>
        <w:t xml:space="preserve">  </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3"/>
        <w:gridCol w:w="6973"/>
      </w:tblGrid>
      <w:tr w14:paraId="6FC4F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733" w:type="dxa"/>
            <w:noWrap w:val="0"/>
            <w:vAlign w:val="center"/>
          </w:tcPr>
          <w:p w14:paraId="73E31E53">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000000"/>
                <w:sz w:val="24"/>
                <w:szCs w:val="24"/>
              </w:rPr>
              <w:t>项目编号</w:t>
            </w:r>
          </w:p>
        </w:tc>
        <w:tc>
          <w:tcPr>
            <w:tcW w:w="6973" w:type="dxa"/>
            <w:noWrap w:val="0"/>
            <w:vAlign w:val="center"/>
          </w:tcPr>
          <w:p w14:paraId="1290A813">
            <w:pPr>
              <w:keepNext w:val="0"/>
              <w:keepLines w:val="0"/>
              <w:suppressLineNumbers w:val="0"/>
              <w:shd w:val="clear"/>
              <w:adjustRightInd w:val="0"/>
              <w:snapToGrid w:val="0"/>
              <w:spacing w:before="0" w:beforeAutospacing="0" w:after="0" w:afterAutospacing="0" w:line="312" w:lineRule="auto"/>
              <w:ind w:left="0" w:right="0" w:firstLine="480"/>
              <w:jc w:val="center"/>
              <w:rPr>
                <w:rFonts w:hint="eastAsia" w:ascii="宋体" w:hAnsi="宋体" w:cs="宋体"/>
                <w:color w:val="auto"/>
                <w:highlight w:val="none"/>
              </w:rPr>
            </w:pPr>
          </w:p>
          <w:p w14:paraId="35E5C285">
            <w:pPr>
              <w:keepNext w:val="0"/>
              <w:keepLines w:val="0"/>
              <w:suppressLineNumbers w:val="0"/>
              <w:shd w:val="clear"/>
              <w:adjustRightInd w:val="0"/>
              <w:snapToGrid w:val="0"/>
              <w:spacing w:before="0" w:beforeAutospacing="0" w:after="0" w:afterAutospacing="0" w:line="312" w:lineRule="auto"/>
              <w:ind w:left="0" w:right="0" w:firstLine="480"/>
              <w:jc w:val="center"/>
              <w:rPr>
                <w:rFonts w:hint="eastAsia" w:ascii="宋体" w:hAnsi="宋体" w:cs="宋体"/>
                <w:color w:val="auto"/>
                <w:highlight w:val="none"/>
              </w:rPr>
            </w:pPr>
          </w:p>
        </w:tc>
      </w:tr>
      <w:tr w14:paraId="48A7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733" w:type="dxa"/>
            <w:noWrap w:val="0"/>
            <w:vAlign w:val="center"/>
          </w:tcPr>
          <w:p w14:paraId="48360D71">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000000"/>
                <w:sz w:val="24"/>
                <w:szCs w:val="24"/>
              </w:rPr>
              <w:t>项目名称</w:t>
            </w:r>
          </w:p>
        </w:tc>
        <w:tc>
          <w:tcPr>
            <w:tcW w:w="6973" w:type="dxa"/>
            <w:noWrap w:val="0"/>
            <w:vAlign w:val="center"/>
          </w:tcPr>
          <w:p w14:paraId="6B775C06">
            <w:pPr>
              <w:keepNext w:val="0"/>
              <w:keepLines w:val="0"/>
              <w:suppressLineNumbers w:val="0"/>
              <w:shd w:val="clear"/>
              <w:adjustRightInd w:val="0"/>
              <w:snapToGrid w:val="0"/>
              <w:spacing w:before="0" w:beforeAutospacing="0" w:after="0" w:afterAutospacing="0" w:line="312" w:lineRule="auto"/>
              <w:ind w:left="0" w:right="0" w:firstLine="480"/>
              <w:jc w:val="center"/>
              <w:rPr>
                <w:rFonts w:hint="eastAsia" w:ascii="宋体" w:hAnsi="宋体" w:cs="宋体"/>
                <w:color w:val="auto"/>
                <w:highlight w:val="none"/>
              </w:rPr>
            </w:pPr>
          </w:p>
        </w:tc>
      </w:tr>
      <w:tr w14:paraId="47C88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733" w:type="dxa"/>
            <w:noWrap w:val="0"/>
            <w:vAlign w:val="center"/>
          </w:tcPr>
          <w:p w14:paraId="13663232">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000000"/>
                <w:sz w:val="24"/>
                <w:szCs w:val="24"/>
                <w:lang w:val="en-US" w:eastAsia="zh-CN"/>
              </w:rPr>
              <w:t>服务期限</w:t>
            </w:r>
          </w:p>
        </w:tc>
        <w:tc>
          <w:tcPr>
            <w:tcW w:w="6973" w:type="dxa"/>
            <w:noWrap w:val="0"/>
            <w:vAlign w:val="center"/>
          </w:tcPr>
          <w:p w14:paraId="38AEADE6">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firstLine="0" w:firstLineChars="0"/>
              <w:jc w:val="left"/>
              <w:textAlignment w:val="auto"/>
              <w:rPr>
                <w:rFonts w:hint="eastAsia" w:ascii="宋体" w:hAnsi="宋体" w:cs="宋体"/>
                <w:color w:val="auto"/>
                <w:highlight w:val="none"/>
              </w:rPr>
            </w:pPr>
            <w:r>
              <w:rPr>
                <w:rFonts w:hint="eastAsia" w:hAnsi="宋体" w:cs="宋体"/>
                <w:color w:val="auto"/>
                <w:kern w:val="2"/>
                <w:sz w:val="24"/>
                <w:szCs w:val="24"/>
                <w:highlight w:val="none"/>
                <w:lang w:val="en-US" w:eastAsia="zh-CN" w:bidi="ar-SA"/>
              </w:rPr>
              <w:t>合同签订后，接采购人通知后的30日历天内完成项目所有工作并通过验收合格。</w:t>
            </w:r>
          </w:p>
        </w:tc>
      </w:tr>
      <w:tr w14:paraId="5DD76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733" w:type="dxa"/>
            <w:noWrap w:val="0"/>
            <w:vAlign w:val="center"/>
          </w:tcPr>
          <w:p w14:paraId="18797923">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最终</w:t>
            </w:r>
            <w:r>
              <w:rPr>
                <w:rFonts w:hint="eastAsia" w:ascii="宋体" w:hAnsi="宋体" w:eastAsia="宋体" w:cs="宋体"/>
                <w:color w:val="000000"/>
                <w:sz w:val="24"/>
                <w:szCs w:val="24"/>
                <w:lang w:eastAsia="zh-CN"/>
              </w:rPr>
              <w:t>报价</w:t>
            </w:r>
          </w:p>
        </w:tc>
        <w:tc>
          <w:tcPr>
            <w:tcW w:w="6973" w:type="dxa"/>
            <w:noWrap w:val="0"/>
            <w:vAlign w:val="center"/>
          </w:tcPr>
          <w:p w14:paraId="2A0B5348">
            <w:pPr>
              <w:keepNext w:val="0"/>
              <w:keepLines w:val="0"/>
              <w:widowControl/>
              <w:suppressLineNumbers w:val="0"/>
              <w:spacing w:before="0" w:beforeAutospacing="0" w:after="0" w:afterAutospacing="0"/>
              <w:ind w:left="0" w:right="0"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人民币大写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元；小写¥：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w:t>
            </w:r>
          </w:p>
        </w:tc>
      </w:tr>
    </w:tbl>
    <w:p w14:paraId="32BB1463">
      <w:pPr>
        <w:shd w:val="clear"/>
        <w:tabs>
          <w:tab w:val="left" w:pos="900"/>
        </w:tabs>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注：</w:t>
      </w:r>
    </w:p>
    <w:p w14:paraId="1C592FBF">
      <w:pPr>
        <w:spacing w:line="360" w:lineRule="auto"/>
        <w:ind w:firstLine="480" w:firstLineChars="200"/>
        <w:rPr>
          <w:rFonts w:ascii="华文中宋" w:hAnsi="华文中宋" w:eastAsia="华文中宋" w:cs="微软雅黑"/>
          <w:b w:val="0"/>
          <w:bCs w:val="0"/>
          <w:color w:val="auto"/>
          <w:sz w:val="24"/>
          <w:highlight w:val="none"/>
        </w:rPr>
      </w:pPr>
      <w:r>
        <w:rPr>
          <w:rFonts w:hint="eastAsia" w:ascii="华文中宋" w:hAnsi="华文中宋" w:eastAsia="华文中宋" w:cs="微软雅黑"/>
          <w:b w:val="0"/>
          <w:bCs w:val="0"/>
          <w:color w:val="auto"/>
          <w:sz w:val="24"/>
          <w:highlight w:val="none"/>
        </w:rPr>
        <w:t>1.</w:t>
      </w:r>
      <w:r>
        <w:rPr>
          <w:rFonts w:hint="eastAsia" w:ascii="华文中宋" w:hAnsi="华文中宋" w:eastAsia="华文中宋" w:cs="微软雅黑"/>
          <w:b w:val="0"/>
          <w:bCs w:val="0"/>
          <w:color w:val="auto"/>
          <w:sz w:val="24"/>
          <w:highlight w:val="none"/>
          <w:u w:val="none"/>
        </w:rPr>
        <w:t>此表无需在制作竞争性磋商响应文件时填写，但供应商须提前打印并签字加盖公章，作为磋商过程</w:t>
      </w:r>
      <w:r>
        <w:rPr>
          <w:rFonts w:hint="eastAsia" w:ascii="华文中宋" w:hAnsi="华文中宋" w:eastAsia="华文中宋" w:cs="微软雅黑"/>
          <w:b w:val="0"/>
          <w:bCs w:val="0"/>
          <w:color w:val="auto"/>
          <w:sz w:val="24"/>
          <w:highlight w:val="none"/>
          <w:u w:val="none"/>
          <w:lang w:val="en-US" w:eastAsia="zh-CN"/>
        </w:rPr>
        <w:t>最终</w:t>
      </w:r>
      <w:r>
        <w:rPr>
          <w:rFonts w:hint="eastAsia" w:ascii="华文中宋" w:hAnsi="华文中宋" w:eastAsia="华文中宋" w:cs="微软雅黑"/>
          <w:b w:val="0"/>
          <w:bCs w:val="0"/>
          <w:color w:val="auto"/>
          <w:sz w:val="24"/>
          <w:highlight w:val="none"/>
          <w:u w:val="none"/>
        </w:rPr>
        <w:t>报价时填写。</w:t>
      </w:r>
    </w:p>
    <w:p w14:paraId="015E688F">
      <w:pPr>
        <w:spacing w:line="360" w:lineRule="auto"/>
        <w:ind w:firstLine="480" w:firstLineChars="200"/>
        <w:rPr>
          <w:rFonts w:ascii="华文中宋" w:hAnsi="华文中宋" w:eastAsia="华文中宋" w:cs="微软雅黑"/>
          <w:b w:val="0"/>
          <w:bCs w:val="0"/>
          <w:color w:val="auto"/>
          <w:sz w:val="24"/>
          <w:highlight w:val="none"/>
        </w:rPr>
      </w:pPr>
      <w:r>
        <w:rPr>
          <w:rFonts w:hint="eastAsia" w:ascii="华文中宋" w:hAnsi="华文中宋" w:eastAsia="华文中宋" w:cs="微软雅黑"/>
          <w:b w:val="0"/>
          <w:bCs w:val="0"/>
          <w:color w:val="auto"/>
          <w:sz w:val="24"/>
          <w:highlight w:val="none"/>
        </w:rPr>
        <w:t>2.此表填写后需单独装入信封在规定时间递交工作人员。</w:t>
      </w:r>
    </w:p>
    <w:p w14:paraId="01832BB7">
      <w:pPr>
        <w:spacing w:line="360" w:lineRule="auto"/>
        <w:ind w:firstLine="480"/>
        <w:rPr>
          <w:rFonts w:hint="eastAsia" w:ascii="华文中宋" w:hAnsi="华文中宋" w:eastAsia="华文中宋"/>
          <w:b w:val="0"/>
          <w:bCs w:val="0"/>
          <w:color w:val="auto"/>
          <w:sz w:val="24"/>
          <w:highlight w:val="none"/>
        </w:rPr>
      </w:pPr>
      <w:r>
        <w:rPr>
          <w:rFonts w:hint="eastAsia" w:ascii="华文中宋" w:hAnsi="华文中宋" w:eastAsia="华文中宋" w:cs="微软雅黑"/>
          <w:b w:val="0"/>
          <w:bCs w:val="0"/>
          <w:color w:val="auto"/>
          <w:sz w:val="24"/>
          <w:highlight w:val="none"/>
        </w:rPr>
        <w:t>3.填写此表时不得改变表格的形式</w:t>
      </w:r>
      <w:r>
        <w:rPr>
          <w:rFonts w:hint="eastAsia" w:ascii="华文中宋" w:hAnsi="华文中宋" w:eastAsia="华文中宋"/>
          <w:b w:val="0"/>
          <w:bCs w:val="0"/>
          <w:color w:val="auto"/>
          <w:sz w:val="24"/>
          <w:highlight w:val="none"/>
        </w:rPr>
        <w:t>。</w:t>
      </w:r>
    </w:p>
    <w:p w14:paraId="11F0D941">
      <w:pPr>
        <w:shd w:val="clear"/>
        <w:spacing w:line="360" w:lineRule="auto"/>
        <w:ind w:firstLine="240"/>
        <w:rPr>
          <w:color w:val="auto"/>
          <w:highlight w:val="none"/>
        </w:rPr>
      </w:pPr>
    </w:p>
    <w:p w14:paraId="3535E17F">
      <w:pPr>
        <w:pStyle w:val="53"/>
        <w:shd w:val="clear"/>
        <w:ind w:firstLine="0" w:firstLineChars="0"/>
        <w:rPr>
          <w:color w:val="auto"/>
          <w:highlight w:val="none"/>
        </w:rPr>
      </w:pPr>
    </w:p>
    <w:p w14:paraId="2B43BD80">
      <w:pPr>
        <w:pStyle w:val="54"/>
      </w:pPr>
    </w:p>
    <w:p w14:paraId="01BD2283">
      <w:pPr>
        <w:shd w:val="clear"/>
        <w:snapToGrid w:val="0"/>
        <w:spacing w:line="480" w:lineRule="exact"/>
        <w:ind w:firstLine="4560" w:firstLineChars="1900"/>
        <w:rPr>
          <w:rFonts w:ascii="宋体" w:hAnsi="宋体"/>
          <w:color w:val="auto"/>
          <w:highlight w:val="none"/>
          <w:lang w:val="zh-CN"/>
        </w:rPr>
      </w:pPr>
      <w:r>
        <w:rPr>
          <w:rFonts w:hint="eastAsia" w:ascii="宋体" w:hAnsi="宋体"/>
          <w:color w:val="auto"/>
          <w:highlight w:val="none"/>
          <w:lang w:val="zh-CN"/>
        </w:rPr>
        <w:t>供应商名称（盖章）：</w:t>
      </w:r>
    </w:p>
    <w:p w14:paraId="69C6FB48">
      <w:pPr>
        <w:shd w:val="clear"/>
        <w:snapToGrid w:val="0"/>
        <w:spacing w:line="480" w:lineRule="exact"/>
        <w:ind w:firstLine="4560" w:firstLineChars="1900"/>
        <w:rPr>
          <w:rFonts w:ascii="宋体" w:hAnsi="宋体"/>
          <w:color w:val="auto"/>
          <w:highlight w:val="none"/>
        </w:rPr>
      </w:pPr>
      <w:r>
        <w:rPr>
          <w:rFonts w:hint="eastAsia" w:ascii="宋体" w:hAnsi="宋体"/>
          <w:color w:val="auto"/>
          <w:highlight w:val="none"/>
          <w:lang w:val="zh-CN"/>
        </w:rPr>
        <w:t>法定代表人或授权委托人（签字或盖章）：</w:t>
      </w:r>
    </w:p>
    <w:p w14:paraId="69EA52D2">
      <w:pPr>
        <w:shd w:val="clear"/>
        <w:snapToGrid w:val="0"/>
        <w:spacing w:line="480" w:lineRule="exact"/>
        <w:ind w:firstLine="4560" w:firstLineChars="1900"/>
        <w:rPr>
          <w:rFonts w:ascii="宋体" w:hAnsi="宋体"/>
          <w:color w:val="auto"/>
          <w:highlight w:val="none"/>
          <w:lang w:val="zh-CN"/>
        </w:rPr>
      </w:pPr>
      <w:r>
        <w:rPr>
          <w:rFonts w:hint="eastAsia" w:ascii="宋体" w:hAnsi="宋体"/>
          <w:color w:val="auto"/>
          <w:highlight w:val="none"/>
          <w:lang w:val="zh-CN"/>
        </w:rPr>
        <w:t>日期：     年   月   日</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1110"/>
    <w:bookmarkEnd w:id="1111"/>
    <w:p w14:paraId="5EDAA3E3">
      <w:pPr>
        <w:shd w:val="clear"/>
        <w:ind w:firstLine="0" w:firstLineChars="0"/>
        <w:rPr>
          <w:color w:val="auto"/>
          <w:highlight w:val="none"/>
        </w:rPr>
      </w:pPr>
    </w:p>
    <w:p w14:paraId="355F27D1">
      <w:pPr>
        <w:shd w:val="clear"/>
        <w:ind w:firstLine="0" w:firstLineChars="0"/>
        <w:rPr>
          <w:color w:val="auto"/>
          <w:highlight w:val="none"/>
        </w:rPr>
      </w:pPr>
    </w:p>
    <w:p w14:paraId="76257B63">
      <w:pPr>
        <w:shd w:val="clear"/>
        <w:ind w:firstLine="0" w:firstLineChars="0"/>
        <w:outlineLvl w:val="9"/>
        <w:rPr>
          <w:rFonts w:hint="eastAsia" w:ascii="宋体" w:hAnsi="宋体" w:eastAsia="宋体" w:cs="宋体"/>
          <w:b/>
          <w:bCs/>
          <w:color w:val="auto"/>
          <w:highlight w:val="none"/>
          <w:lang w:eastAsia="zh-CN"/>
        </w:rPr>
      </w:pPr>
      <w:bookmarkStart w:id="1583" w:name="_Toc21296"/>
    </w:p>
    <w:p w14:paraId="4E14C07B">
      <w:pPr>
        <w:pStyle w:val="36"/>
        <w:shd w:val="clear"/>
        <w:ind w:left="0" w:leftChars="0" w:firstLine="0" w:firstLineChars="0"/>
        <w:rPr>
          <w:rFonts w:hint="eastAsia" w:ascii="宋体" w:hAnsi="宋体" w:eastAsia="宋体" w:cs="宋体"/>
          <w:b/>
          <w:bCs/>
          <w:color w:val="auto"/>
          <w:highlight w:val="none"/>
          <w:lang w:eastAsia="zh-CN"/>
        </w:rPr>
      </w:pPr>
    </w:p>
    <w:bookmarkEnd w:id="1583"/>
    <w:p w14:paraId="173215D0">
      <w:pPr>
        <w:shd w:val="clear"/>
        <w:ind w:left="0" w:leftChars="0" w:firstLine="0" w:firstLineChars="0"/>
        <w:rPr>
          <w:rFonts w:hint="eastAsia"/>
          <w:color w:val="auto"/>
          <w:highlight w:val="none"/>
          <w:lang w:eastAsia="zh-CN"/>
        </w:rPr>
      </w:pPr>
    </w:p>
    <w:sectPr>
      <w:headerReference r:id="rId16" w:type="default"/>
      <w:pgSz w:w="11906" w:h="16838"/>
      <w:pgMar w:top="1440" w:right="1080" w:bottom="1440" w:left="1080" w:header="964" w:footer="907" w:gutter="0"/>
      <w:pgBorders>
        <w:top w:val="thinThickSmallGap" w:color="auto" w:sz="12" w:space="10"/>
        <w:left w:val="none" w:sz="0" w:space="0"/>
        <w:bottom w:val="thinThickSmallGap" w:color="auto" w:sz="12" w:space="10"/>
        <w:right w:val="none" w:sz="0" w:space="0"/>
      </w:pgBorders>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微软雅黑 Light">
    <w:panose1 w:val="020B0502040204020203"/>
    <w:charset w:val="86"/>
    <w:family w:val="swiss"/>
    <w:pitch w:val="default"/>
    <w:sig w:usb0="80000287" w:usb1="2ACF0010" w:usb2="00000016" w:usb3="00000000" w:csb0="0004001F" w:csb1="00000000"/>
  </w:font>
  <w:font w:name="Verdana">
    <w:panose1 w:val="020B0604030504040204"/>
    <w:charset w:val="00"/>
    <w:family w:val="swiss"/>
    <w:pitch w:val="default"/>
    <w:sig w:usb0="A00006FF" w:usb1="4000205B" w:usb2="00000010" w:usb3="00000000" w:csb0="2000019F"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MingLiU_x0004_falt">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C4DB">
    <w:pPr>
      <w:pStyle w:val="26"/>
      <w:ind w:left="0" w:leftChars="0" w:firstLine="0" w:firstLineChars="0"/>
      <w:rPr>
        <w:rFonts w:hint="default" w:ascii="宋体" w:hAnsi="宋体" w:eastAsia="宋体" w:cs="宋体"/>
        <w:b/>
        <w:bCs/>
        <w:lang w:val="en-US" w:eastAsia="zh-CN"/>
      </w:rPr>
    </w:pPr>
    <w:r>
      <w:rPr>
        <w:rFonts w:hint="eastAsia" w:ascii="宋体" w:hAnsi="宋体" w:eastAsia="宋体" w:cs="宋体"/>
        <w:b/>
        <w:bCs/>
      </w:rPr>
      <mc:AlternateContent>
        <mc:Choice Requires="wps">
          <w:drawing>
            <wp:anchor distT="0" distB="0" distL="114300" distR="114300" simplePos="0" relativeHeight="251659264" behindDoc="0" locked="0" layoutInCell="1" allowOverlap="1">
              <wp:simplePos x="0" y="0"/>
              <wp:positionH relativeFrom="margin">
                <wp:posOffset>2522855</wp:posOffset>
              </wp:positionH>
              <wp:positionV relativeFrom="paragraph">
                <wp:posOffset>6985</wp:posOffset>
              </wp:positionV>
              <wp:extent cx="1334135" cy="40513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334135" cy="405130"/>
                      </a:xfrm>
                      <a:prstGeom prst="rect">
                        <a:avLst/>
                      </a:prstGeom>
                      <a:noFill/>
                      <a:ln>
                        <a:noFill/>
                      </a:ln>
                    </wps:spPr>
                    <wps:txbx>
                      <w:txbxContent>
                        <w:p w14:paraId="16DD8AB0">
                          <w:pPr>
                            <w:pStyle w:val="26"/>
                            <w:rPr>
                              <w:rFonts w:hint="eastAsia" w:ascii="宋体" w:hAnsi="宋体"/>
                              <w:b/>
                              <w:bCs/>
                            </w:rPr>
                          </w:pPr>
                          <w:r>
                            <w:rPr>
                              <w:rFonts w:hint="eastAsia" w:ascii="宋体" w:hAnsi="宋体"/>
                              <w:b/>
                              <w:bCs/>
                            </w:rPr>
                            <w:t xml:space="preserve">第 </w:t>
                          </w:r>
                          <w:r>
                            <w:rPr>
                              <w:rFonts w:hint="eastAsia" w:ascii="宋体" w:hAnsi="宋体"/>
                              <w:b/>
                              <w:bCs/>
                            </w:rPr>
                            <w:fldChar w:fldCharType="begin"/>
                          </w:r>
                          <w:r>
                            <w:rPr>
                              <w:rFonts w:hint="eastAsia" w:ascii="宋体" w:hAnsi="宋体"/>
                              <w:b/>
                              <w:bCs/>
                            </w:rPr>
                            <w:instrText xml:space="preserve"> PAGE  \* MERGEFORMAT </w:instrText>
                          </w:r>
                          <w:r>
                            <w:rPr>
                              <w:rFonts w:hint="eastAsia" w:ascii="宋体" w:hAnsi="宋体"/>
                              <w:b/>
                              <w:bCs/>
                            </w:rPr>
                            <w:fldChar w:fldCharType="separate"/>
                          </w:r>
                          <w:r>
                            <w:rPr>
                              <w:rFonts w:hint="eastAsia" w:ascii="宋体" w:hAnsi="宋体"/>
                              <w:b/>
                              <w:bCs/>
                            </w:rPr>
                            <w:t>1</w:t>
                          </w:r>
                          <w:r>
                            <w:rPr>
                              <w:rFonts w:hint="eastAsia" w:ascii="宋体" w:hAnsi="宋体"/>
                              <w:b/>
                              <w:bCs/>
                            </w:rPr>
                            <w:fldChar w:fldCharType="end"/>
                          </w:r>
                          <w:r>
                            <w:rPr>
                              <w:rFonts w:hint="eastAsia" w:ascii="宋体" w:hAnsi="宋体"/>
                              <w:b/>
                              <w:bCs/>
                            </w:rPr>
                            <w:t xml:space="preserve"> 页 共 </w:t>
                          </w:r>
                          <w:r>
                            <w:rPr>
                              <w:rFonts w:hint="eastAsia" w:ascii="宋体" w:hAnsi="宋体"/>
                              <w:b/>
                              <w:bCs/>
                            </w:rPr>
                            <w:fldChar w:fldCharType="begin"/>
                          </w:r>
                          <w:r>
                            <w:rPr>
                              <w:rFonts w:hint="eastAsia" w:ascii="宋体" w:hAnsi="宋体"/>
                              <w:b/>
                              <w:bCs/>
                            </w:rPr>
                            <w:instrText xml:space="preserve"> NUMPAGES  \* MERGEFORMAT </w:instrText>
                          </w:r>
                          <w:r>
                            <w:rPr>
                              <w:rFonts w:hint="eastAsia" w:ascii="宋体" w:hAnsi="宋体"/>
                              <w:b/>
                              <w:bCs/>
                            </w:rPr>
                            <w:fldChar w:fldCharType="separate"/>
                          </w:r>
                          <w:r>
                            <w:rPr>
                              <w:rFonts w:hint="eastAsia" w:ascii="宋体" w:hAnsi="宋体"/>
                              <w:b/>
                              <w:bCs/>
                            </w:rPr>
                            <w:t>74</w:t>
                          </w:r>
                          <w:r>
                            <w:rPr>
                              <w:rFonts w:hint="eastAsia" w:ascii="宋体" w:hAnsi="宋体"/>
                              <w:b/>
                              <w:bCs/>
                            </w:rPr>
                            <w:fldChar w:fldCharType="end"/>
                          </w:r>
                          <w:r>
                            <w:rPr>
                              <w:rFonts w:hint="eastAsia" w:ascii="宋体" w:hAnsi="宋体"/>
                              <w:b/>
                              <w:bCs/>
                            </w:rPr>
                            <w:t xml:space="preserve"> 页</w:t>
                          </w:r>
                        </w:p>
                      </w:txbxContent>
                    </wps:txbx>
                    <wps:bodyPr wrap="square" lIns="0" tIns="0" rIns="0" bIns="0" upright="0">
                      <a:noAutofit/>
                    </wps:bodyPr>
                  </wps:wsp>
                </a:graphicData>
              </a:graphic>
            </wp:anchor>
          </w:drawing>
        </mc:Choice>
        <mc:Fallback>
          <w:pict>
            <v:shape id="文本框 1029" o:spid="_x0000_s1026" o:spt="202" type="#_x0000_t202" style="position:absolute;left:0pt;margin-left:198.65pt;margin-top:0.55pt;height:31.9pt;width:105.05pt;mso-position-horizontal-relative:margin;z-index:251659264;mso-width-relative:page;mso-height-relative:page;" filled="f" stroked="f" coordsize="21600,21600" o:gfxdata="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OWt7dcAAAAIAQAADwAAAAAAAAABACAAAAAi&#10;AAAAZHJzL2Rvd25yZXYueG1sUEsBAhQAFAAAAAgAh07iQA/IDVvSAQAAnQMAAA4AAAAAAAAAAQAg&#10;AAAAJgEAAGRycy9lMm9Eb2MueG1sUEsFBgAAAAAGAAYAWQEAAGoFAAAAAA==&#10;">
              <v:fill on="f" focussize="0,0"/>
              <v:stroke on="f"/>
              <v:imagedata o:title=""/>
              <o:lock v:ext="edit" aspectratio="f"/>
              <v:textbox inset="0mm,0mm,0mm,0mm">
                <w:txbxContent>
                  <w:p w14:paraId="16DD8AB0">
                    <w:pPr>
                      <w:pStyle w:val="26"/>
                      <w:rPr>
                        <w:rFonts w:hint="eastAsia" w:ascii="宋体" w:hAnsi="宋体"/>
                        <w:b/>
                        <w:bCs/>
                      </w:rPr>
                    </w:pPr>
                    <w:r>
                      <w:rPr>
                        <w:rFonts w:hint="eastAsia" w:ascii="宋体" w:hAnsi="宋体"/>
                        <w:b/>
                        <w:bCs/>
                      </w:rPr>
                      <w:t xml:space="preserve">第 </w:t>
                    </w:r>
                    <w:r>
                      <w:rPr>
                        <w:rFonts w:hint="eastAsia" w:ascii="宋体" w:hAnsi="宋体"/>
                        <w:b/>
                        <w:bCs/>
                      </w:rPr>
                      <w:fldChar w:fldCharType="begin"/>
                    </w:r>
                    <w:r>
                      <w:rPr>
                        <w:rFonts w:hint="eastAsia" w:ascii="宋体" w:hAnsi="宋体"/>
                        <w:b/>
                        <w:bCs/>
                      </w:rPr>
                      <w:instrText xml:space="preserve"> PAGE  \* MERGEFORMAT </w:instrText>
                    </w:r>
                    <w:r>
                      <w:rPr>
                        <w:rFonts w:hint="eastAsia" w:ascii="宋体" w:hAnsi="宋体"/>
                        <w:b/>
                        <w:bCs/>
                      </w:rPr>
                      <w:fldChar w:fldCharType="separate"/>
                    </w:r>
                    <w:r>
                      <w:rPr>
                        <w:rFonts w:hint="eastAsia" w:ascii="宋体" w:hAnsi="宋体"/>
                        <w:b/>
                        <w:bCs/>
                      </w:rPr>
                      <w:t>1</w:t>
                    </w:r>
                    <w:r>
                      <w:rPr>
                        <w:rFonts w:hint="eastAsia" w:ascii="宋体" w:hAnsi="宋体"/>
                        <w:b/>
                        <w:bCs/>
                      </w:rPr>
                      <w:fldChar w:fldCharType="end"/>
                    </w:r>
                    <w:r>
                      <w:rPr>
                        <w:rFonts w:hint="eastAsia" w:ascii="宋体" w:hAnsi="宋体"/>
                        <w:b/>
                        <w:bCs/>
                      </w:rPr>
                      <w:t xml:space="preserve"> 页 共 </w:t>
                    </w:r>
                    <w:r>
                      <w:rPr>
                        <w:rFonts w:hint="eastAsia" w:ascii="宋体" w:hAnsi="宋体"/>
                        <w:b/>
                        <w:bCs/>
                      </w:rPr>
                      <w:fldChar w:fldCharType="begin"/>
                    </w:r>
                    <w:r>
                      <w:rPr>
                        <w:rFonts w:hint="eastAsia" w:ascii="宋体" w:hAnsi="宋体"/>
                        <w:b/>
                        <w:bCs/>
                      </w:rPr>
                      <w:instrText xml:space="preserve"> NUMPAGES  \* MERGEFORMAT </w:instrText>
                    </w:r>
                    <w:r>
                      <w:rPr>
                        <w:rFonts w:hint="eastAsia" w:ascii="宋体" w:hAnsi="宋体"/>
                        <w:b/>
                        <w:bCs/>
                      </w:rPr>
                      <w:fldChar w:fldCharType="separate"/>
                    </w:r>
                    <w:r>
                      <w:rPr>
                        <w:rFonts w:hint="eastAsia" w:ascii="宋体" w:hAnsi="宋体"/>
                        <w:b/>
                        <w:bCs/>
                      </w:rPr>
                      <w:t>74</w:t>
                    </w:r>
                    <w:r>
                      <w:rPr>
                        <w:rFonts w:hint="eastAsia" w:ascii="宋体" w:hAnsi="宋体"/>
                        <w:b/>
                        <w:bCs/>
                      </w:rPr>
                      <w:fldChar w:fldCharType="end"/>
                    </w:r>
                    <w:r>
                      <w:rPr>
                        <w:rFonts w:hint="eastAsia" w:ascii="宋体" w:hAnsi="宋体"/>
                        <w:b/>
                        <w:bCs/>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EC7D2">
    <w:pPr>
      <w:pStyle w:val="27"/>
      <w:pBdr>
        <w:top w:val="none" w:color="auto" w:sz="0" w:space="0"/>
        <w:left w:val="none" w:color="auto" w:sz="0" w:space="0"/>
        <w:bottom w:val="none" w:color="auto" w:sz="0" w:space="1"/>
        <w:right w:val="none" w:color="auto" w:sz="0" w:space="0"/>
        <w:between w:val="none" w:color="auto" w:sz="0" w:space="0"/>
      </w:pBdr>
      <w:ind w:firstLine="0" w:firstLineChars="0"/>
      <w:jc w:val="left"/>
    </w:pPr>
    <w:r>
      <w:rPr>
        <w:rFonts w:hint="eastAsia" w:ascii="宋体" w:hAnsi="宋体" w:cs="宋体"/>
        <w:b/>
        <w:bCs/>
        <w:sz w:val="16"/>
        <w:szCs w:val="16"/>
        <w:lang w:eastAsia="zh-CN"/>
      </w:rPr>
      <w:t>龙游县湖镇镇张家埠村未来乡村生活馆亮化采购项目</w:t>
    </w:r>
    <w:r>
      <w:rPr>
        <w:rFonts w:hint="eastAsia" w:ascii="宋体" w:hAnsi="宋体" w:cs="宋体"/>
        <w:b/>
        <w:bCs/>
        <w:sz w:val="16"/>
        <w:szCs w:val="16"/>
        <w:lang w:val="en-US" w:eastAsia="zh-CN"/>
      </w:rPr>
      <w:t xml:space="preserve">的竞争性磋商文件                                  项目编号：LYHZCG2025-021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87D5B">
    <w:pPr>
      <w:pStyle w:val="27"/>
      <w:pBdr>
        <w:top w:val="none" w:color="auto" w:sz="0" w:space="0"/>
        <w:left w:val="none" w:color="auto" w:sz="0" w:space="0"/>
        <w:bottom w:val="none" w:color="auto" w:sz="0" w:space="1"/>
        <w:right w:val="none" w:color="auto" w:sz="0" w:space="0"/>
        <w:between w:val="none" w:color="auto" w:sz="0" w:space="0"/>
      </w:pBdr>
      <w:ind w:firstLine="0" w:firstLineChars="0"/>
      <w:jc w:val="left"/>
    </w:pPr>
    <w:r>
      <w:rPr>
        <w:rFonts w:hint="eastAsia" w:ascii="宋体" w:hAnsi="宋体" w:cs="宋体"/>
        <w:b/>
        <w:bCs/>
        <w:sz w:val="16"/>
        <w:szCs w:val="16"/>
        <w:lang w:eastAsia="zh-CN"/>
      </w:rPr>
      <w:t>龙游县湖镇镇张家埠村未来乡村生活馆亮化采购项目</w:t>
    </w:r>
    <w:r>
      <w:rPr>
        <w:rFonts w:hint="eastAsia" w:ascii="宋体" w:hAnsi="宋体" w:cs="宋体"/>
        <w:b/>
        <w:bCs/>
        <w:sz w:val="16"/>
        <w:szCs w:val="16"/>
        <w:lang w:val="en-US" w:eastAsia="zh-CN"/>
      </w:rPr>
      <w:t xml:space="preserve">的竞争性磋商文件                                   项目编号：LYHZCG2025-021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46DA2">
    <w:pPr>
      <w:snapToGrid w:val="0"/>
      <w:spacing w:line="360" w:lineRule="auto"/>
      <w:ind w:right="240" w:rightChars="100" w:firstLine="0" w:firstLineChars="0"/>
      <w:jc w:val="left"/>
      <w:rPr>
        <w:rFonts w:hint="eastAsia"/>
      </w:rPr>
    </w:pPr>
    <w:r>
      <w:rPr>
        <w:rFonts w:hint="eastAsia" w:ascii="黑体" w:hAnsi="黑体" w:eastAsia="黑体" w:cs="黑体"/>
        <w:b/>
        <w:sz w:val="18"/>
        <w:szCs w:val="18"/>
        <w:lang w:val="zh-CN"/>
      </w:rPr>
      <w:t>龙游县湖镇镇张家埠村未来乡村生活馆亮化采购项目的竞争性磋商文件</w:t>
    </w:r>
    <w:r>
      <w:rPr>
        <w:rFonts w:hint="eastAsia" w:ascii="黑体" w:hAnsi="黑体" w:eastAsia="黑体" w:cs="黑体"/>
        <w:b/>
        <w:sz w:val="18"/>
        <w:szCs w:val="18"/>
      </w:rPr>
      <w:t xml:space="preserve"> </w:t>
    </w:r>
    <w:r>
      <w:rPr>
        <w:rFonts w:hint="eastAsia" w:ascii="黑体" w:hAnsi="黑体" w:eastAsia="黑体" w:cs="黑体"/>
        <w:b/>
        <w:sz w:val="18"/>
        <w:szCs w:val="18"/>
        <w:lang w:val="en-US" w:eastAsia="zh-CN"/>
      </w:rPr>
      <w:t xml:space="preserve">                   </w:t>
    </w:r>
    <w:r>
      <w:rPr>
        <w:rFonts w:hint="eastAsia" w:ascii="黑体" w:hAnsi="黑体" w:eastAsia="黑体" w:cs="黑体"/>
        <w:b/>
        <w:sz w:val="18"/>
        <w:szCs w:val="18"/>
        <w:lang w:val="zh-CN"/>
      </w:rPr>
      <w:t>项目编号：LYHZCG2025-021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C36F">
    <w:pPr>
      <w:pStyle w:val="27"/>
      <w:pBdr>
        <w:top w:val="none" w:color="auto" w:sz="0" w:space="0"/>
        <w:left w:val="none" w:color="auto" w:sz="0" w:space="0"/>
        <w:bottom w:val="none" w:color="auto" w:sz="0" w:space="1"/>
        <w:right w:val="none" w:color="auto" w:sz="0" w:space="0"/>
        <w:between w:val="none" w:color="auto" w:sz="0" w:space="0"/>
      </w:pBdr>
      <w:ind w:firstLine="0" w:firstLineChars="0"/>
      <w:jc w:val="left"/>
    </w:pPr>
    <w:r>
      <w:rPr>
        <w:rFonts w:hint="eastAsia" w:ascii="宋体" w:hAnsi="宋体" w:cs="宋体"/>
        <w:b/>
        <w:bCs/>
        <w:sz w:val="16"/>
        <w:szCs w:val="16"/>
        <w:lang w:eastAsia="zh-CN"/>
      </w:rPr>
      <w:t>龙游县湖镇镇张家埠村未来乡村生活馆亮化采购项目</w:t>
    </w:r>
    <w:r>
      <w:rPr>
        <w:rFonts w:hint="eastAsia" w:ascii="宋体" w:hAnsi="宋体" w:cs="宋体"/>
        <w:b/>
        <w:bCs/>
        <w:sz w:val="16"/>
        <w:szCs w:val="16"/>
        <w:lang w:val="en-US" w:eastAsia="zh-CN"/>
      </w:rPr>
      <w:t xml:space="preserve">的竞争性磋商文件                                 项目编号： LYHZCG2025-021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2DF7">
    <w:pPr>
      <w:pStyle w:val="27"/>
      <w:pBdr>
        <w:top w:val="none" w:color="auto" w:sz="0" w:space="0"/>
        <w:left w:val="none" w:color="auto" w:sz="0" w:space="0"/>
        <w:bottom w:val="none" w:color="auto" w:sz="0" w:space="1"/>
        <w:right w:val="none" w:color="auto" w:sz="0" w:space="0"/>
        <w:between w:val="none" w:color="auto" w:sz="0" w:space="0"/>
      </w:pBdr>
      <w:ind w:firstLine="0" w:firstLineChars="0"/>
      <w:jc w:val="left"/>
    </w:pPr>
    <w:r>
      <w:rPr>
        <w:rFonts w:hint="eastAsia" w:ascii="宋体" w:hAnsi="宋体" w:cs="宋体"/>
        <w:b/>
        <w:bCs/>
        <w:sz w:val="16"/>
        <w:szCs w:val="16"/>
        <w:lang w:eastAsia="zh-CN"/>
      </w:rPr>
      <w:t>龙游县湖镇镇张家埠村未来乡村生活馆亮化采购项目</w:t>
    </w:r>
    <w:r>
      <w:rPr>
        <w:rFonts w:hint="eastAsia" w:ascii="宋体" w:hAnsi="宋体" w:cs="宋体"/>
        <w:b/>
        <w:bCs/>
        <w:sz w:val="16"/>
        <w:szCs w:val="16"/>
        <w:lang w:val="en-US" w:eastAsia="zh-CN"/>
      </w:rPr>
      <w:t xml:space="preserve">的竞争性磋商文件                                   项目编号：LYHZCG2025-021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BA919">
    <w:pPr>
      <w:pStyle w:val="27"/>
      <w:ind w:firstLine="36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BD46">
    <w:pPr>
      <w:pStyle w:val="27"/>
      <w:ind w:firstLine="36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A9E7">
    <w:pPr>
      <w:pStyle w:val="27"/>
      <w:pBdr>
        <w:top w:val="none" w:color="auto" w:sz="0" w:space="0"/>
        <w:left w:val="none" w:color="auto" w:sz="0" w:space="0"/>
        <w:bottom w:val="none" w:color="auto" w:sz="0" w:space="1"/>
        <w:right w:val="none" w:color="auto" w:sz="0" w:space="0"/>
        <w:between w:val="none" w:color="auto" w:sz="0" w:space="0"/>
      </w:pBdr>
      <w:ind w:firstLine="0" w:firstLineChars="0"/>
      <w:jc w:val="left"/>
    </w:pPr>
    <w:r>
      <w:rPr>
        <w:rFonts w:hint="eastAsia" w:ascii="宋体" w:hAnsi="宋体" w:cs="宋体"/>
        <w:b/>
        <w:bCs/>
        <w:sz w:val="16"/>
        <w:szCs w:val="16"/>
        <w:lang w:eastAsia="zh-CN"/>
      </w:rPr>
      <w:t>龙游县湖镇镇张家埠村未来乡村生活馆亮化采购项目</w:t>
    </w:r>
    <w:r>
      <w:rPr>
        <w:rFonts w:hint="eastAsia" w:ascii="宋体" w:hAnsi="宋体" w:cs="宋体"/>
        <w:b/>
        <w:bCs/>
        <w:sz w:val="16"/>
        <w:szCs w:val="16"/>
        <w:lang w:val="en-US" w:eastAsia="zh-CN"/>
      </w:rPr>
      <w:t xml:space="preserve">的竞争性磋商文件                                   项目编号：LYHZCG2025-021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D897">
    <w:pPr>
      <w:pStyle w:val="27"/>
      <w:pBdr>
        <w:top w:val="none" w:color="auto" w:sz="0" w:space="0"/>
        <w:left w:val="none" w:color="auto" w:sz="0" w:space="0"/>
        <w:bottom w:val="none" w:color="auto" w:sz="0" w:space="1"/>
        <w:right w:val="none" w:color="auto" w:sz="0" w:space="0"/>
        <w:between w:val="none" w:color="auto" w:sz="0" w:space="0"/>
      </w:pBdr>
      <w:ind w:firstLine="0" w:firstLineChars="0"/>
      <w:jc w:val="left"/>
    </w:pPr>
    <w:r>
      <w:rPr>
        <w:rFonts w:hint="eastAsia" w:ascii="宋体" w:hAnsi="宋体" w:cs="宋体"/>
        <w:b/>
        <w:bCs/>
        <w:sz w:val="16"/>
        <w:szCs w:val="16"/>
        <w:lang w:eastAsia="zh-CN"/>
      </w:rPr>
      <w:t>龙游县湖镇镇张家埠村未来乡村生活馆亮化采购项目</w:t>
    </w:r>
    <w:r>
      <w:rPr>
        <w:rFonts w:hint="eastAsia" w:ascii="宋体" w:hAnsi="宋体" w:cs="宋体"/>
        <w:b/>
        <w:bCs/>
        <w:sz w:val="16"/>
        <w:szCs w:val="16"/>
        <w:lang w:val="en-US" w:eastAsia="zh-CN"/>
      </w:rPr>
      <w:t xml:space="preserve">的竞争性磋商文件                                  项目编号：LYHZCG2025-021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E0432">
    <w:pPr>
      <w:pStyle w:val="27"/>
      <w:pBdr>
        <w:top w:val="none" w:color="auto" w:sz="0" w:space="0"/>
        <w:left w:val="none" w:color="auto" w:sz="0" w:space="0"/>
        <w:bottom w:val="none" w:color="auto" w:sz="0" w:space="1"/>
        <w:right w:val="none" w:color="auto" w:sz="0" w:space="0"/>
        <w:between w:val="none" w:color="auto" w:sz="0" w:space="0"/>
      </w:pBdr>
      <w:ind w:firstLine="0" w:firstLineChars="0"/>
      <w:jc w:val="left"/>
    </w:pPr>
    <w:r>
      <w:rPr>
        <w:rFonts w:hint="eastAsia" w:ascii="宋体" w:hAnsi="宋体" w:cs="宋体"/>
        <w:b/>
        <w:bCs/>
        <w:sz w:val="16"/>
        <w:szCs w:val="16"/>
        <w:lang w:eastAsia="zh-CN"/>
      </w:rPr>
      <w:t>龙游县湖镇镇张家埠村未来乡村生活馆亮化采购项目</w:t>
    </w:r>
    <w:r>
      <w:rPr>
        <w:rFonts w:hint="eastAsia" w:ascii="宋体" w:hAnsi="宋体" w:cs="宋体"/>
        <w:b/>
        <w:bCs/>
        <w:sz w:val="16"/>
        <w:szCs w:val="16"/>
        <w:lang w:val="en-US" w:eastAsia="zh-CN"/>
      </w:rPr>
      <w:t xml:space="preserve">的竞争性磋商文件                                   项目编号：LYHZCG2025-021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2D7EB">
    <w:pPr>
      <w:pStyle w:val="27"/>
      <w:pBdr>
        <w:top w:val="none" w:color="auto" w:sz="0" w:space="0"/>
        <w:left w:val="none" w:color="auto" w:sz="0" w:space="0"/>
        <w:bottom w:val="none" w:color="auto" w:sz="0" w:space="1"/>
        <w:right w:val="none" w:color="auto" w:sz="0" w:space="0"/>
        <w:between w:val="none" w:color="auto" w:sz="0" w:space="0"/>
      </w:pBdr>
      <w:ind w:firstLine="0" w:firstLineChars="0"/>
      <w:jc w:val="left"/>
    </w:pPr>
    <w:r>
      <w:rPr>
        <w:rFonts w:hint="eastAsia" w:ascii="宋体" w:hAnsi="宋体" w:cs="宋体"/>
        <w:b/>
        <w:bCs/>
        <w:sz w:val="16"/>
        <w:szCs w:val="16"/>
        <w:lang w:eastAsia="zh-CN"/>
      </w:rPr>
      <w:t>龙游县湖镇镇张家埠村未来乡村生活馆亮化采购项目</w:t>
    </w:r>
    <w:r>
      <w:rPr>
        <w:rFonts w:hint="eastAsia" w:ascii="宋体" w:hAnsi="宋体" w:cs="宋体"/>
        <w:b/>
        <w:bCs/>
        <w:sz w:val="16"/>
        <w:szCs w:val="16"/>
        <w:lang w:val="en-US" w:eastAsia="zh-CN"/>
      </w:rPr>
      <w:t xml:space="preserve">的竞争性磋商文件                                   项目编号：LYHZCG2025-021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66377"/>
    <w:multiLevelType w:val="singleLevel"/>
    <w:tmpl w:val="95F66377"/>
    <w:lvl w:ilvl="0" w:tentative="0">
      <w:start w:val="5"/>
      <w:numFmt w:val="chineseCounting"/>
      <w:suff w:val="space"/>
      <w:lvlText w:val="第%1章"/>
      <w:lvlJc w:val="left"/>
      <w:rPr>
        <w:rFonts w:hint="eastAsia"/>
      </w:rPr>
    </w:lvl>
  </w:abstractNum>
  <w:abstractNum w:abstractNumId="1">
    <w:nsid w:val="C92B9991"/>
    <w:multiLevelType w:val="singleLevel"/>
    <w:tmpl w:val="C92B9991"/>
    <w:lvl w:ilvl="0" w:tentative="0">
      <w:start w:val="1"/>
      <w:numFmt w:val="decimal"/>
      <w:lvlText w:val="%1."/>
      <w:lvlJc w:val="left"/>
      <w:pPr>
        <w:tabs>
          <w:tab w:val="left" w:pos="312"/>
        </w:tabs>
      </w:pPr>
    </w:lvl>
  </w:abstractNum>
  <w:abstractNum w:abstractNumId="2">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3">
    <w:nsid w:val="DDB42B29"/>
    <w:multiLevelType w:val="singleLevel"/>
    <w:tmpl w:val="DDB42B29"/>
    <w:lvl w:ilvl="0" w:tentative="0">
      <w:start w:val="2"/>
      <w:numFmt w:val="chineseCounting"/>
      <w:suff w:val="space"/>
      <w:lvlText w:val="第%1章"/>
      <w:lvlJc w:val="left"/>
      <w:rPr>
        <w:rFonts w:hint="eastAsia"/>
      </w:rPr>
    </w:lvl>
  </w:abstractNum>
  <w:abstractNum w:abstractNumId="4">
    <w:nsid w:val="00000002"/>
    <w:multiLevelType w:val="multilevel"/>
    <w:tmpl w:val="00000002"/>
    <w:lvl w:ilvl="0" w:tentative="0">
      <w:start w:val="1"/>
      <w:numFmt w:val="decimal"/>
      <w:suff w:val="space"/>
      <w:lvlText w:val="第%1章"/>
      <w:lvlJc w:val="left"/>
      <w:pPr>
        <w:ind w:left="4537" w:hanging="425"/>
      </w:pPr>
      <w:rPr>
        <w:rFonts w:hint="eastAsia"/>
      </w:rPr>
    </w:lvl>
    <w:lvl w:ilvl="1" w:tentative="0">
      <w:start w:val="1"/>
      <w:numFmt w:val="decimal"/>
      <w:suff w:val="space"/>
      <w:lvlText w:val="%1.%2."/>
      <w:lvlJc w:val="left"/>
      <w:pPr>
        <w:ind w:left="7274" w:hanging="5430"/>
      </w:pPr>
      <w:rPr>
        <w:rFonts w:hint="eastAsia"/>
        <w:color w:val="333333"/>
      </w:rPr>
    </w:lvl>
    <w:lvl w:ilvl="2" w:tentative="0">
      <w:start w:val="1"/>
      <w:numFmt w:val="decimal"/>
      <w:pStyle w:val="5"/>
      <w:suff w:val="space"/>
      <w:lvlText w:val="%1.%2.%3. "/>
      <w:lvlJc w:val="left"/>
      <w:pPr>
        <w:ind w:left="1400" w:hanging="1400"/>
      </w:pPr>
      <w:rPr>
        <w:rFonts w:hint="eastAsia"/>
        <w:color w:val="auto"/>
      </w:rPr>
    </w:lvl>
    <w:lvl w:ilvl="3" w:tentative="0">
      <w:start w:val="1"/>
      <w:numFmt w:val="decimal"/>
      <w:suff w:val="space"/>
      <w:lvlText w:val="%1.%2.%3.%4."/>
      <w:lvlJc w:val="left"/>
      <w:pPr>
        <w:ind w:left="1277" w:hanging="851"/>
      </w:pPr>
      <w:rPr>
        <w:rFonts w:hint="eastAsia" w:ascii="宋体" w:hAnsi="宋体" w:eastAsia="宋体"/>
      </w:rPr>
    </w:lvl>
    <w:lvl w:ilvl="4" w:tentative="0">
      <w:start w:val="1"/>
      <w:numFmt w:val="decimal"/>
      <w:lvlText w:val="%1.%2.%3.%4.%5."/>
      <w:lvlJc w:val="left"/>
      <w:pPr>
        <w:tabs>
          <w:tab w:val="left" w:pos="992"/>
        </w:tabs>
        <w:ind w:left="0" w:firstLine="0"/>
      </w:pPr>
      <w:rPr>
        <w:rFonts w:hint="eastAsia"/>
        <w:color w:val="auto"/>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0" w:firstLine="0"/>
      </w:pPr>
      <w:rPr>
        <w:rFonts w:hint="eastAsia"/>
      </w:rPr>
    </w:lvl>
    <w:lvl w:ilvl="8" w:tentative="0">
      <w:start w:val="1"/>
      <w:numFmt w:val="decimal"/>
      <w:lvlText w:val="%1.%2.%3.%4.%5.%6.%7.%8.%9."/>
      <w:lvlJc w:val="left"/>
      <w:pPr>
        <w:tabs>
          <w:tab w:val="left" w:pos="1559"/>
        </w:tabs>
        <w:ind w:left="0" w:firstLine="0"/>
      </w:pPr>
      <w:rPr>
        <w:rFonts w:hint="eastAsia"/>
      </w:rPr>
    </w:lvl>
  </w:abstractNum>
  <w:abstractNum w:abstractNumId="5">
    <w:nsid w:val="00000005"/>
    <w:multiLevelType w:val="multilevel"/>
    <w:tmpl w:val="00000005"/>
    <w:lvl w:ilvl="0" w:tentative="0">
      <w:start w:val="1"/>
      <w:numFmt w:val="decimal"/>
      <w:suff w:val="nothing"/>
      <w:lvlText w:val="%1."/>
      <w:lvlJc w:val="left"/>
      <w:pPr>
        <w:tabs>
          <w:tab w:val="left" w:pos="0"/>
        </w:tabs>
        <w:ind w:left="465" w:hanging="425"/>
      </w:pPr>
      <w:rPr>
        <w:rFonts w:hint="default" w:ascii="宋体" w:hAnsi="宋体" w:eastAsia="宋体" w:cs="宋体"/>
        <w:spacing w:val="28"/>
        <w:sz w:val="24"/>
        <w:szCs w:val="24"/>
      </w:rPr>
    </w:lvl>
    <w:lvl w:ilvl="1" w:tentative="0">
      <w:start w:val="1"/>
      <w:numFmt w:val="decimal"/>
      <w:lvlText w:val="%1.%2."/>
      <w:lvlJc w:val="left"/>
      <w:pPr>
        <w:ind w:left="-298" w:hanging="567"/>
      </w:pPr>
      <w:rPr>
        <w:rFonts w:hint="default"/>
      </w:rPr>
    </w:lvl>
    <w:lvl w:ilvl="2" w:tentative="0">
      <w:start w:val="1"/>
      <w:numFmt w:val="decimal"/>
      <w:lvlText w:val="%1.%2.%3."/>
      <w:lvlJc w:val="left"/>
      <w:pPr>
        <w:ind w:left="-156" w:hanging="709"/>
      </w:pPr>
      <w:rPr>
        <w:rFonts w:hint="default"/>
      </w:rPr>
    </w:lvl>
    <w:lvl w:ilvl="3" w:tentative="0">
      <w:start w:val="1"/>
      <w:numFmt w:val="decimal"/>
      <w:lvlText w:val="%1.%2.%3.%4."/>
      <w:lvlJc w:val="left"/>
      <w:pPr>
        <w:ind w:left="-15" w:hanging="850"/>
      </w:pPr>
      <w:rPr>
        <w:rFonts w:hint="default"/>
      </w:rPr>
    </w:lvl>
    <w:lvl w:ilvl="4" w:tentative="0">
      <w:start w:val="1"/>
      <w:numFmt w:val="decimal"/>
      <w:lvlText w:val="%1.%2.%3.%4.%5."/>
      <w:lvlJc w:val="left"/>
      <w:pPr>
        <w:ind w:left="126" w:hanging="991"/>
      </w:pPr>
      <w:rPr>
        <w:rFonts w:hint="default"/>
      </w:rPr>
    </w:lvl>
    <w:lvl w:ilvl="5" w:tentative="0">
      <w:start w:val="1"/>
      <w:numFmt w:val="decimal"/>
      <w:lvlText w:val="%1.%2.%3.%4.%5.%6."/>
      <w:lvlJc w:val="left"/>
      <w:pPr>
        <w:ind w:left="269" w:hanging="1134"/>
      </w:pPr>
      <w:rPr>
        <w:rFonts w:hint="default"/>
      </w:rPr>
    </w:lvl>
    <w:lvl w:ilvl="6" w:tentative="0">
      <w:start w:val="1"/>
      <w:numFmt w:val="decimal"/>
      <w:lvlText w:val="%1.%2.%3.%4.%5.%6.%7."/>
      <w:lvlJc w:val="left"/>
      <w:pPr>
        <w:ind w:left="410" w:hanging="1275"/>
      </w:pPr>
      <w:rPr>
        <w:rFonts w:hint="default"/>
      </w:rPr>
    </w:lvl>
    <w:lvl w:ilvl="7" w:tentative="0">
      <w:start w:val="1"/>
      <w:numFmt w:val="decimal"/>
      <w:lvlText w:val="%1.%2.%3.%4.%5.%6.%7.%8."/>
      <w:lvlJc w:val="left"/>
      <w:pPr>
        <w:ind w:left="553" w:hanging="1418"/>
      </w:pPr>
      <w:rPr>
        <w:rFonts w:hint="default"/>
      </w:rPr>
    </w:lvl>
    <w:lvl w:ilvl="8" w:tentative="0">
      <w:start w:val="1"/>
      <w:numFmt w:val="decimal"/>
      <w:lvlText w:val="%1.%2.%3.%4.%5.%6.%7.%8.%9."/>
      <w:lvlJc w:val="left"/>
      <w:pPr>
        <w:ind w:left="693" w:hanging="1558"/>
      </w:pPr>
      <w:rPr>
        <w:rFonts w:hint="default"/>
      </w:rPr>
    </w:lvl>
  </w:abstractNum>
  <w:abstractNum w:abstractNumId="6">
    <w:nsid w:val="00000009"/>
    <w:multiLevelType w:val="multilevel"/>
    <w:tmpl w:val="00000009"/>
    <w:lvl w:ilvl="0" w:tentative="0">
      <w:start w:val="1"/>
      <w:numFmt w:val="decimal"/>
      <w:lvlText w:val="第%1条"/>
      <w:lvlJc w:val="left"/>
      <w:pPr>
        <w:tabs>
          <w:tab w:val="left" w:pos="5117"/>
        </w:tabs>
        <w:ind w:left="5117" w:hanging="1418"/>
      </w:pPr>
      <w:rPr>
        <w:rFonts w:hint="eastAsia"/>
      </w:rPr>
    </w:lvl>
    <w:lvl w:ilvl="1" w:tentative="0">
      <w:start w:val="1"/>
      <w:numFmt w:val="decimal"/>
      <w:lvlText w:val="%1.%2"/>
      <w:lvlJc w:val="left"/>
      <w:pPr>
        <w:ind w:left="638" w:hanging="624"/>
      </w:pPr>
      <w:rPr>
        <w:rFonts w:hint="eastAsia" w:ascii="Times New Roman" w:hAnsi="Times New Roman" w:cs="Times New Roman"/>
        <w:b/>
        <w:bCs w:val="0"/>
        <w:i w:val="0"/>
        <w:iCs w:val="0"/>
        <w:caps w:val="0"/>
        <w:smallCaps w:val="0"/>
        <w:vanish w:val="0"/>
        <w:color w:val="000000"/>
        <w:spacing w:val="0"/>
        <w:kern w:val="0"/>
        <w:position w:val="0"/>
        <w:sz w:val="28"/>
        <w:szCs w:val="28"/>
        <w:u w:val="none"/>
        <w:vertAlign w:val="baseline"/>
      </w:rPr>
    </w:lvl>
    <w:lvl w:ilvl="2" w:tentative="0">
      <w:start w:val="1"/>
      <w:numFmt w:val="decimal"/>
      <w:lvlText w:val="%1.%2.%3"/>
      <w:lvlJc w:val="left"/>
      <w:pPr>
        <w:tabs>
          <w:tab w:val="left" w:pos="2837"/>
        </w:tabs>
        <w:ind w:left="2240" w:hanging="680"/>
      </w:pPr>
      <w:rPr>
        <w:rFonts w:hint="eastAsia" w:ascii="Times New Roman" w:hAnsi="Times New Roman" w:cs="Times New Roman"/>
        <w:b w:val="0"/>
        <w:bCs w:val="0"/>
        <w:i w:val="0"/>
        <w:iCs w:val="0"/>
        <w:caps w:val="0"/>
        <w:smallCaps w:val="0"/>
        <w:vanish w:val="0"/>
        <w:color w:val="auto"/>
        <w:spacing w:val="0"/>
        <w:kern w:val="0"/>
        <w:position w:val="0"/>
        <w:u w:val="none"/>
        <w:vertAlign w:val="baseline"/>
      </w:rPr>
    </w:lvl>
    <w:lvl w:ilvl="3" w:tentative="0">
      <w:start w:val="1"/>
      <w:numFmt w:val="lowerLetter"/>
      <w:pStyle w:val="7"/>
      <w:lvlText w:val="(%4)"/>
      <w:lvlJc w:val="left"/>
      <w:pPr>
        <w:ind w:left="5359" w:hanging="397"/>
      </w:pPr>
      <w:rPr>
        <w:rFonts w:hint="default" w:ascii="Times New Roman" w:hAnsi="Times New Roman" w:cs="Times New Roman"/>
      </w:rPr>
    </w:lvl>
    <w:lvl w:ilvl="4" w:tentative="0">
      <w:start w:val="1"/>
      <w:numFmt w:val="lowerRoman"/>
      <w:pStyle w:val="8"/>
      <w:lvlText w:val="(%5)"/>
      <w:lvlJc w:val="left"/>
      <w:pPr>
        <w:ind w:left="2297" w:hanging="312"/>
      </w:pPr>
      <w:rPr>
        <w:rFonts w:hint="eastAsia"/>
      </w:rPr>
    </w:lvl>
    <w:lvl w:ilvl="5" w:tentative="0">
      <w:start w:val="1"/>
      <w:numFmt w:val="decimal"/>
      <w:lvlText w:val="%1.%2.%3.%4.%5.%6"/>
      <w:lvlJc w:val="left"/>
      <w:pPr>
        <w:ind w:left="3274" w:hanging="1134"/>
      </w:pPr>
      <w:rPr>
        <w:rFonts w:hint="eastAsia"/>
      </w:rPr>
    </w:lvl>
    <w:lvl w:ilvl="6" w:tentative="0">
      <w:start w:val="1"/>
      <w:numFmt w:val="decimal"/>
      <w:lvlText w:val="%1.%2.%3.%4.%5.%6.%7"/>
      <w:lvlJc w:val="left"/>
      <w:pPr>
        <w:ind w:left="3841" w:hanging="1276"/>
      </w:pPr>
      <w:rPr>
        <w:rFonts w:hint="eastAsia"/>
      </w:rPr>
    </w:lvl>
    <w:lvl w:ilvl="7" w:tentative="0">
      <w:start w:val="1"/>
      <w:numFmt w:val="decimal"/>
      <w:lvlText w:val="%1.%2.%3.%4.%5.%6.%7.%8"/>
      <w:lvlJc w:val="left"/>
      <w:pPr>
        <w:ind w:left="4408" w:hanging="1418"/>
      </w:pPr>
      <w:rPr>
        <w:rFonts w:hint="eastAsia"/>
      </w:rPr>
    </w:lvl>
    <w:lvl w:ilvl="8" w:tentative="0">
      <w:start w:val="1"/>
      <w:numFmt w:val="decimal"/>
      <w:lvlText w:val="%1.%2.%3.%4.%5.%6.%7.%8.%9"/>
      <w:lvlJc w:val="left"/>
      <w:pPr>
        <w:ind w:left="5116" w:hanging="1700"/>
      </w:pPr>
      <w:rPr>
        <w:rFonts w:hint="eastAsia"/>
      </w:rPr>
    </w:lvl>
  </w:abstractNum>
  <w:abstractNum w:abstractNumId="7">
    <w:nsid w:val="0BADAADE"/>
    <w:multiLevelType w:val="multilevel"/>
    <w:tmpl w:val="0BADAADE"/>
    <w:lvl w:ilvl="0" w:tentative="0">
      <w:start w:val="1"/>
      <w:numFmt w:val="decimal"/>
      <w:suff w:val="nothing"/>
      <w:lvlText w:val="%1."/>
      <w:lvlJc w:val="left"/>
      <w:pPr>
        <w:tabs>
          <w:tab w:val="left" w:pos="0"/>
        </w:tabs>
        <w:ind w:left="905" w:hanging="425"/>
      </w:pPr>
      <w:rPr>
        <w:rFonts w:hint="default" w:ascii="宋体" w:hAnsi="宋体" w:eastAsia="宋体" w:cs="宋体"/>
        <w:spacing w:val="28"/>
        <w:sz w:val="24"/>
        <w:szCs w:val="24"/>
      </w:rPr>
    </w:lvl>
    <w:lvl w:ilvl="1" w:tentative="0">
      <w:start w:val="1"/>
      <w:numFmt w:val="decimal"/>
      <w:suff w:val="nothing"/>
      <w:lvlText w:val="%1.%2."/>
      <w:lvlJc w:val="left"/>
      <w:pPr>
        <w:tabs>
          <w:tab w:val="left" w:pos="0"/>
        </w:tabs>
        <w:ind w:left="1047" w:hanging="567"/>
      </w:pPr>
      <w:rPr>
        <w:rFonts w:hint="default" w:ascii="Arial" w:hAnsi="Arial"/>
        <w:spacing w:val="28"/>
      </w:rPr>
    </w:lvl>
    <w:lvl w:ilvl="2" w:tentative="0">
      <w:start w:val="1"/>
      <w:numFmt w:val="decimal"/>
      <w:lvlText w:val="%1.%2.%3."/>
      <w:lvlJc w:val="left"/>
      <w:pPr>
        <w:ind w:left="1189" w:hanging="709"/>
      </w:pPr>
      <w:rPr>
        <w:rFonts w:hint="default"/>
      </w:rPr>
    </w:lvl>
    <w:lvl w:ilvl="3" w:tentative="0">
      <w:start w:val="1"/>
      <w:numFmt w:val="decimal"/>
      <w:lvlText w:val="%1.%2.%3.%4."/>
      <w:lvlJc w:val="left"/>
      <w:pPr>
        <w:ind w:left="1330" w:hanging="850"/>
      </w:pPr>
      <w:rPr>
        <w:rFonts w:hint="default"/>
      </w:rPr>
    </w:lvl>
    <w:lvl w:ilvl="4" w:tentative="0">
      <w:start w:val="1"/>
      <w:numFmt w:val="decimal"/>
      <w:lvlText w:val="%1.%2.%3.%4.%5."/>
      <w:lvlJc w:val="left"/>
      <w:pPr>
        <w:ind w:left="1471" w:hanging="991"/>
      </w:pPr>
      <w:rPr>
        <w:rFonts w:hint="default"/>
      </w:rPr>
    </w:lvl>
    <w:lvl w:ilvl="5" w:tentative="0">
      <w:start w:val="1"/>
      <w:numFmt w:val="decimal"/>
      <w:lvlText w:val="%1.%2.%3.%4.%5.%6."/>
      <w:lvlJc w:val="left"/>
      <w:pPr>
        <w:ind w:left="1614" w:hanging="1134"/>
      </w:pPr>
      <w:rPr>
        <w:rFonts w:hint="default"/>
      </w:rPr>
    </w:lvl>
    <w:lvl w:ilvl="6" w:tentative="0">
      <w:start w:val="1"/>
      <w:numFmt w:val="decimal"/>
      <w:lvlText w:val="%1.%2.%3.%4.%5.%6.%7."/>
      <w:lvlJc w:val="left"/>
      <w:pPr>
        <w:ind w:left="1755" w:hanging="1275"/>
      </w:pPr>
      <w:rPr>
        <w:rFonts w:hint="default"/>
      </w:rPr>
    </w:lvl>
    <w:lvl w:ilvl="7" w:tentative="0">
      <w:start w:val="1"/>
      <w:numFmt w:val="decimal"/>
      <w:lvlText w:val="%1.%2.%3.%4.%5.%6.%7.%8."/>
      <w:lvlJc w:val="left"/>
      <w:pPr>
        <w:ind w:left="1898" w:hanging="1418"/>
      </w:pPr>
      <w:rPr>
        <w:rFonts w:hint="default"/>
      </w:rPr>
    </w:lvl>
    <w:lvl w:ilvl="8" w:tentative="0">
      <w:start w:val="1"/>
      <w:numFmt w:val="decimal"/>
      <w:lvlText w:val="%1.%2.%3.%4.%5.%6.%7.%8.%9."/>
      <w:lvlJc w:val="left"/>
      <w:pPr>
        <w:ind w:left="2038" w:hanging="1558"/>
      </w:pPr>
      <w:rPr>
        <w:rFonts w:hint="default"/>
      </w:rPr>
    </w:lvl>
  </w:abstractNum>
  <w:abstractNum w:abstractNumId="8">
    <w:nsid w:val="621669EB"/>
    <w:multiLevelType w:val="multilevel"/>
    <w:tmpl w:val="621669EB"/>
    <w:lvl w:ilvl="0" w:tentative="0">
      <w:start w:val="1"/>
      <w:numFmt w:val="decimal"/>
      <w:suff w:val="nothing"/>
      <w:lvlText w:val="%1."/>
      <w:lvlJc w:val="left"/>
      <w:pPr>
        <w:tabs>
          <w:tab w:val="left" w:pos="0"/>
        </w:tabs>
        <w:ind w:left="425" w:hanging="425"/>
      </w:pPr>
      <w:rPr>
        <w:rFonts w:hint="default" w:ascii="宋体" w:hAnsi="宋体" w:eastAsia="宋体" w:cs="宋体"/>
        <w:sz w:val="24"/>
        <w:szCs w:val="24"/>
      </w:rPr>
    </w:lvl>
    <w:lvl w:ilvl="1" w:tentative="0">
      <w:start w:val="1"/>
      <w:numFmt w:val="decimal"/>
      <w:suff w:val="nothing"/>
      <w:lvlText w:val="%1.%2."/>
      <w:lvlJc w:val="left"/>
      <w:pPr>
        <w:tabs>
          <w:tab w:val="left" w:pos="0"/>
        </w:tabs>
        <w:ind w:left="850" w:hanging="453"/>
      </w:pPr>
      <w:rPr>
        <w:rFonts w:hint="default" w:ascii="宋体" w:hAnsi="宋体" w:eastAsia="宋体" w:cs="宋体"/>
        <w:sz w:val="22"/>
      </w:rPr>
    </w:lvl>
    <w:lvl w:ilvl="2" w:tentative="0">
      <w:start w:val="1"/>
      <w:numFmt w:val="decimal"/>
      <w:suff w:val="nothing"/>
      <w:lvlText w:val="%1.%2.%3."/>
      <w:lvlJc w:val="left"/>
      <w:pPr>
        <w:tabs>
          <w:tab w:val="left" w:pos="0"/>
        </w:tabs>
        <w:ind w:left="1508" w:hanging="708"/>
      </w:pPr>
      <w:rPr>
        <w:rFonts w:hint="default" w:ascii="宋体" w:hAnsi="宋体" w:eastAsia="宋体" w:cs="宋体"/>
        <w:sz w:val="24"/>
        <w:szCs w:val="24"/>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num w:numId="1">
    <w:abstractNumId w:val="4"/>
  </w:num>
  <w:num w:numId="2">
    <w:abstractNumId w:val="6"/>
  </w:num>
  <w:num w:numId="3">
    <w:abstractNumId w:val="5"/>
  </w:num>
  <w:num w:numId="4">
    <w:abstractNumId w:val="7"/>
  </w:num>
  <w:num w:numId="5">
    <w:abstractNumId w:val="3"/>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jQ1ZDBmYzc3OGU4NDUwNjc1ZWE0NTU5MDIzZWEifQ=="/>
  </w:docVars>
  <w:rsids>
    <w:rsidRoot w:val="00172A27"/>
    <w:rsid w:val="00071213"/>
    <w:rsid w:val="00093C72"/>
    <w:rsid w:val="00105735"/>
    <w:rsid w:val="0014406D"/>
    <w:rsid w:val="00145155"/>
    <w:rsid w:val="001D0C3C"/>
    <w:rsid w:val="001F3ADA"/>
    <w:rsid w:val="00246D1E"/>
    <w:rsid w:val="002E01C1"/>
    <w:rsid w:val="004664BD"/>
    <w:rsid w:val="005A7208"/>
    <w:rsid w:val="00693B17"/>
    <w:rsid w:val="007402CA"/>
    <w:rsid w:val="007A148D"/>
    <w:rsid w:val="007A1658"/>
    <w:rsid w:val="007D6E67"/>
    <w:rsid w:val="007E132F"/>
    <w:rsid w:val="007F6C6F"/>
    <w:rsid w:val="00852625"/>
    <w:rsid w:val="00906786"/>
    <w:rsid w:val="00AF4D55"/>
    <w:rsid w:val="00B87BBB"/>
    <w:rsid w:val="00BA3803"/>
    <w:rsid w:val="00C11035"/>
    <w:rsid w:val="00C14B91"/>
    <w:rsid w:val="00C30AC0"/>
    <w:rsid w:val="00C34DAD"/>
    <w:rsid w:val="00C5386F"/>
    <w:rsid w:val="00C8236B"/>
    <w:rsid w:val="00CB1EB4"/>
    <w:rsid w:val="00D3629E"/>
    <w:rsid w:val="00D647FE"/>
    <w:rsid w:val="00D854D8"/>
    <w:rsid w:val="00DA3EA5"/>
    <w:rsid w:val="00DE47E5"/>
    <w:rsid w:val="00DF3269"/>
    <w:rsid w:val="00E15234"/>
    <w:rsid w:val="00E533EB"/>
    <w:rsid w:val="00E7657F"/>
    <w:rsid w:val="00F44F67"/>
    <w:rsid w:val="00F51708"/>
    <w:rsid w:val="010805F1"/>
    <w:rsid w:val="010C0502"/>
    <w:rsid w:val="010D37CA"/>
    <w:rsid w:val="011078C7"/>
    <w:rsid w:val="01136D44"/>
    <w:rsid w:val="01137640"/>
    <w:rsid w:val="011A3B3E"/>
    <w:rsid w:val="012B4701"/>
    <w:rsid w:val="012D2227"/>
    <w:rsid w:val="0136557F"/>
    <w:rsid w:val="01413308"/>
    <w:rsid w:val="015A3730"/>
    <w:rsid w:val="0167398B"/>
    <w:rsid w:val="017B11E4"/>
    <w:rsid w:val="017D5318"/>
    <w:rsid w:val="018E53BB"/>
    <w:rsid w:val="0196601E"/>
    <w:rsid w:val="01A4698D"/>
    <w:rsid w:val="01C10859"/>
    <w:rsid w:val="01C74429"/>
    <w:rsid w:val="01D37057"/>
    <w:rsid w:val="01DB4BFD"/>
    <w:rsid w:val="01E07299"/>
    <w:rsid w:val="01EB45BC"/>
    <w:rsid w:val="01F55DAA"/>
    <w:rsid w:val="01F6325B"/>
    <w:rsid w:val="01F82835"/>
    <w:rsid w:val="01FE6DF2"/>
    <w:rsid w:val="01FF3BC3"/>
    <w:rsid w:val="020C62E0"/>
    <w:rsid w:val="022341B6"/>
    <w:rsid w:val="022A6766"/>
    <w:rsid w:val="022E0D6C"/>
    <w:rsid w:val="0236335D"/>
    <w:rsid w:val="024C2B81"/>
    <w:rsid w:val="02520FC1"/>
    <w:rsid w:val="02532161"/>
    <w:rsid w:val="02685C0C"/>
    <w:rsid w:val="02691984"/>
    <w:rsid w:val="026C0197"/>
    <w:rsid w:val="026C6D7F"/>
    <w:rsid w:val="026D3223"/>
    <w:rsid w:val="027D71DE"/>
    <w:rsid w:val="02816CCE"/>
    <w:rsid w:val="028C467A"/>
    <w:rsid w:val="028D5673"/>
    <w:rsid w:val="0299478B"/>
    <w:rsid w:val="029D33DC"/>
    <w:rsid w:val="02A7502B"/>
    <w:rsid w:val="02B103E1"/>
    <w:rsid w:val="02B4383B"/>
    <w:rsid w:val="02B524D4"/>
    <w:rsid w:val="02C34EEE"/>
    <w:rsid w:val="02C46BBB"/>
    <w:rsid w:val="02E35293"/>
    <w:rsid w:val="02F96C9D"/>
    <w:rsid w:val="02FF7BF3"/>
    <w:rsid w:val="030568CC"/>
    <w:rsid w:val="030B2A3C"/>
    <w:rsid w:val="03100052"/>
    <w:rsid w:val="0314051C"/>
    <w:rsid w:val="03200295"/>
    <w:rsid w:val="03266AD1"/>
    <w:rsid w:val="032F4ADE"/>
    <w:rsid w:val="03323B24"/>
    <w:rsid w:val="03362A79"/>
    <w:rsid w:val="035A7749"/>
    <w:rsid w:val="035B12CD"/>
    <w:rsid w:val="037203C5"/>
    <w:rsid w:val="037E3B5A"/>
    <w:rsid w:val="03866E32"/>
    <w:rsid w:val="038B3EE8"/>
    <w:rsid w:val="039667A9"/>
    <w:rsid w:val="03976088"/>
    <w:rsid w:val="039E11BA"/>
    <w:rsid w:val="03A52548"/>
    <w:rsid w:val="03AC7D7B"/>
    <w:rsid w:val="03B77A2E"/>
    <w:rsid w:val="03BE7AAE"/>
    <w:rsid w:val="03DB525E"/>
    <w:rsid w:val="03E13B52"/>
    <w:rsid w:val="03E21CB5"/>
    <w:rsid w:val="03E5328D"/>
    <w:rsid w:val="03E6032D"/>
    <w:rsid w:val="03EB0949"/>
    <w:rsid w:val="03F434D0"/>
    <w:rsid w:val="03F84D6E"/>
    <w:rsid w:val="041D6583"/>
    <w:rsid w:val="042B1DDB"/>
    <w:rsid w:val="04405D6F"/>
    <w:rsid w:val="044665DA"/>
    <w:rsid w:val="04477AA3"/>
    <w:rsid w:val="045E663F"/>
    <w:rsid w:val="04610FA8"/>
    <w:rsid w:val="0476578F"/>
    <w:rsid w:val="04874344"/>
    <w:rsid w:val="049031F8"/>
    <w:rsid w:val="049F343C"/>
    <w:rsid w:val="04AE367F"/>
    <w:rsid w:val="04B213C1"/>
    <w:rsid w:val="04B50EB1"/>
    <w:rsid w:val="04B52C5F"/>
    <w:rsid w:val="04C66C1A"/>
    <w:rsid w:val="04DC0AA0"/>
    <w:rsid w:val="04F73278"/>
    <w:rsid w:val="04F80D9E"/>
    <w:rsid w:val="04F96FF0"/>
    <w:rsid w:val="04FA2D68"/>
    <w:rsid w:val="04FA68C4"/>
    <w:rsid w:val="04FE46FF"/>
    <w:rsid w:val="04FF212C"/>
    <w:rsid w:val="05032CAF"/>
    <w:rsid w:val="052E656D"/>
    <w:rsid w:val="05526700"/>
    <w:rsid w:val="0563090D"/>
    <w:rsid w:val="056A3A4A"/>
    <w:rsid w:val="056E06C9"/>
    <w:rsid w:val="057448C8"/>
    <w:rsid w:val="05791EDF"/>
    <w:rsid w:val="057F0CBE"/>
    <w:rsid w:val="05816FE5"/>
    <w:rsid w:val="05947C79"/>
    <w:rsid w:val="0599432F"/>
    <w:rsid w:val="059D3E1F"/>
    <w:rsid w:val="05A15BA4"/>
    <w:rsid w:val="05A848E9"/>
    <w:rsid w:val="05B146DA"/>
    <w:rsid w:val="05B64EE1"/>
    <w:rsid w:val="05B80C59"/>
    <w:rsid w:val="05B8129E"/>
    <w:rsid w:val="05DD06BF"/>
    <w:rsid w:val="05DE1D42"/>
    <w:rsid w:val="05E01F80"/>
    <w:rsid w:val="05E41A4E"/>
    <w:rsid w:val="05EA4B8A"/>
    <w:rsid w:val="05EF1759"/>
    <w:rsid w:val="05F11A75"/>
    <w:rsid w:val="06043E9E"/>
    <w:rsid w:val="060769A0"/>
    <w:rsid w:val="060D2627"/>
    <w:rsid w:val="06154247"/>
    <w:rsid w:val="0627193B"/>
    <w:rsid w:val="062A5508"/>
    <w:rsid w:val="062C6F51"/>
    <w:rsid w:val="062D1C62"/>
    <w:rsid w:val="062F259D"/>
    <w:rsid w:val="063858F6"/>
    <w:rsid w:val="063F2283"/>
    <w:rsid w:val="06400C4E"/>
    <w:rsid w:val="0661309E"/>
    <w:rsid w:val="066B4501"/>
    <w:rsid w:val="06732DD2"/>
    <w:rsid w:val="067A4160"/>
    <w:rsid w:val="067A5F0E"/>
    <w:rsid w:val="067B393C"/>
    <w:rsid w:val="067E4274"/>
    <w:rsid w:val="0683127D"/>
    <w:rsid w:val="069D59F4"/>
    <w:rsid w:val="06A27213"/>
    <w:rsid w:val="06B53645"/>
    <w:rsid w:val="06C76C7A"/>
    <w:rsid w:val="06CC4290"/>
    <w:rsid w:val="06CE0008"/>
    <w:rsid w:val="06D849E3"/>
    <w:rsid w:val="06D959FD"/>
    <w:rsid w:val="06DF0467"/>
    <w:rsid w:val="06F832D7"/>
    <w:rsid w:val="070457D8"/>
    <w:rsid w:val="070E198C"/>
    <w:rsid w:val="07183962"/>
    <w:rsid w:val="072F4F4B"/>
    <w:rsid w:val="0736472E"/>
    <w:rsid w:val="074F739B"/>
    <w:rsid w:val="075229E7"/>
    <w:rsid w:val="075B263E"/>
    <w:rsid w:val="075F46F8"/>
    <w:rsid w:val="07695F38"/>
    <w:rsid w:val="07727B34"/>
    <w:rsid w:val="07740BAF"/>
    <w:rsid w:val="0776134C"/>
    <w:rsid w:val="077E558A"/>
    <w:rsid w:val="079B438E"/>
    <w:rsid w:val="07A31495"/>
    <w:rsid w:val="07A7609C"/>
    <w:rsid w:val="07AE0529"/>
    <w:rsid w:val="07B436A2"/>
    <w:rsid w:val="07B44CBC"/>
    <w:rsid w:val="07B76CEE"/>
    <w:rsid w:val="07BB27EF"/>
    <w:rsid w:val="07CD4764"/>
    <w:rsid w:val="07D21D7A"/>
    <w:rsid w:val="07D96C64"/>
    <w:rsid w:val="07DE24CD"/>
    <w:rsid w:val="07FE2B6F"/>
    <w:rsid w:val="08012DE3"/>
    <w:rsid w:val="0806458B"/>
    <w:rsid w:val="080D38E6"/>
    <w:rsid w:val="08145EEF"/>
    <w:rsid w:val="08202AE5"/>
    <w:rsid w:val="083D65AA"/>
    <w:rsid w:val="084522DC"/>
    <w:rsid w:val="0852282F"/>
    <w:rsid w:val="085441FA"/>
    <w:rsid w:val="08600E1B"/>
    <w:rsid w:val="08721333"/>
    <w:rsid w:val="08777BCA"/>
    <w:rsid w:val="087924EA"/>
    <w:rsid w:val="08907D33"/>
    <w:rsid w:val="08955281"/>
    <w:rsid w:val="08993539"/>
    <w:rsid w:val="08A560A9"/>
    <w:rsid w:val="08AF2064"/>
    <w:rsid w:val="08B446C5"/>
    <w:rsid w:val="08BA4CE8"/>
    <w:rsid w:val="08C6530F"/>
    <w:rsid w:val="08F0070A"/>
    <w:rsid w:val="08F16230"/>
    <w:rsid w:val="08F558FB"/>
    <w:rsid w:val="08FA3336"/>
    <w:rsid w:val="08FC0E5C"/>
    <w:rsid w:val="090048DC"/>
    <w:rsid w:val="090412D1"/>
    <w:rsid w:val="091339FA"/>
    <w:rsid w:val="09271C52"/>
    <w:rsid w:val="09273A00"/>
    <w:rsid w:val="092C7268"/>
    <w:rsid w:val="09306D58"/>
    <w:rsid w:val="09414834"/>
    <w:rsid w:val="094C24EB"/>
    <w:rsid w:val="094C607F"/>
    <w:rsid w:val="095962AF"/>
    <w:rsid w:val="095A3DD5"/>
    <w:rsid w:val="095E1B17"/>
    <w:rsid w:val="095F13EB"/>
    <w:rsid w:val="09626C78"/>
    <w:rsid w:val="09646A02"/>
    <w:rsid w:val="09684744"/>
    <w:rsid w:val="09772BD9"/>
    <w:rsid w:val="097D1872"/>
    <w:rsid w:val="09815AA0"/>
    <w:rsid w:val="09866978"/>
    <w:rsid w:val="09896468"/>
    <w:rsid w:val="09954D8D"/>
    <w:rsid w:val="099A0675"/>
    <w:rsid w:val="099D3C99"/>
    <w:rsid w:val="09A339CE"/>
    <w:rsid w:val="09B07664"/>
    <w:rsid w:val="09B63701"/>
    <w:rsid w:val="09B74D83"/>
    <w:rsid w:val="09B94F9F"/>
    <w:rsid w:val="09BF286D"/>
    <w:rsid w:val="09C37BCC"/>
    <w:rsid w:val="09C53944"/>
    <w:rsid w:val="09DA326D"/>
    <w:rsid w:val="09E051CB"/>
    <w:rsid w:val="09E71B0D"/>
    <w:rsid w:val="09F2225F"/>
    <w:rsid w:val="0A1162CB"/>
    <w:rsid w:val="0A1812E5"/>
    <w:rsid w:val="0A20501F"/>
    <w:rsid w:val="0A222B45"/>
    <w:rsid w:val="0A287A2F"/>
    <w:rsid w:val="0A334D52"/>
    <w:rsid w:val="0A3E54A5"/>
    <w:rsid w:val="0A417EAB"/>
    <w:rsid w:val="0A4931A5"/>
    <w:rsid w:val="0A4E292F"/>
    <w:rsid w:val="0A6071C9"/>
    <w:rsid w:val="0A7113D6"/>
    <w:rsid w:val="0A7416D6"/>
    <w:rsid w:val="0A79028B"/>
    <w:rsid w:val="0A7B6B00"/>
    <w:rsid w:val="0A7C73DE"/>
    <w:rsid w:val="0A856C30"/>
    <w:rsid w:val="0A870BFA"/>
    <w:rsid w:val="0A883515"/>
    <w:rsid w:val="0A9B28F7"/>
    <w:rsid w:val="0AA66C44"/>
    <w:rsid w:val="0AA84FB8"/>
    <w:rsid w:val="0AAE262A"/>
    <w:rsid w:val="0AAE2FD3"/>
    <w:rsid w:val="0ABF0569"/>
    <w:rsid w:val="0AC110ED"/>
    <w:rsid w:val="0AC97464"/>
    <w:rsid w:val="0ACA2D4B"/>
    <w:rsid w:val="0AD904A9"/>
    <w:rsid w:val="0AE55920"/>
    <w:rsid w:val="0AF076B7"/>
    <w:rsid w:val="0B0264D2"/>
    <w:rsid w:val="0B064214"/>
    <w:rsid w:val="0B153DB2"/>
    <w:rsid w:val="0B1D330C"/>
    <w:rsid w:val="0B2475F1"/>
    <w:rsid w:val="0B2775D7"/>
    <w:rsid w:val="0B277817"/>
    <w:rsid w:val="0B2B3C7B"/>
    <w:rsid w:val="0B350656"/>
    <w:rsid w:val="0B372620"/>
    <w:rsid w:val="0B381EF4"/>
    <w:rsid w:val="0B4B7E79"/>
    <w:rsid w:val="0B5273A7"/>
    <w:rsid w:val="0B532D06"/>
    <w:rsid w:val="0B5964AA"/>
    <w:rsid w:val="0B597A11"/>
    <w:rsid w:val="0B5F56D3"/>
    <w:rsid w:val="0B626F71"/>
    <w:rsid w:val="0B696551"/>
    <w:rsid w:val="0B6B1F32"/>
    <w:rsid w:val="0B6B49F7"/>
    <w:rsid w:val="0B7F5D75"/>
    <w:rsid w:val="0B892750"/>
    <w:rsid w:val="0B9D09F9"/>
    <w:rsid w:val="0BB7550F"/>
    <w:rsid w:val="0BBA4FFF"/>
    <w:rsid w:val="0BBC48D3"/>
    <w:rsid w:val="0BD7170D"/>
    <w:rsid w:val="0BE107DE"/>
    <w:rsid w:val="0BE5207C"/>
    <w:rsid w:val="0BF73B5D"/>
    <w:rsid w:val="0C004C5B"/>
    <w:rsid w:val="0C02009E"/>
    <w:rsid w:val="0C1A5F83"/>
    <w:rsid w:val="0C1F7B9B"/>
    <w:rsid w:val="0C2D3A23"/>
    <w:rsid w:val="0C321F45"/>
    <w:rsid w:val="0C366586"/>
    <w:rsid w:val="0C3758FA"/>
    <w:rsid w:val="0C3C77C2"/>
    <w:rsid w:val="0C4B6D63"/>
    <w:rsid w:val="0C637445"/>
    <w:rsid w:val="0C6A07D3"/>
    <w:rsid w:val="0C6D3E1F"/>
    <w:rsid w:val="0C7A4281"/>
    <w:rsid w:val="0C8A49D1"/>
    <w:rsid w:val="0C8F1FE8"/>
    <w:rsid w:val="0C917B0E"/>
    <w:rsid w:val="0CA24F56"/>
    <w:rsid w:val="0CA830A9"/>
    <w:rsid w:val="0CA91673"/>
    <w:rsid w:val="0CAA7290"/>
    <w:rsid w:val="0CAF4438"/>
    <w:rsid w:val="0CC53C5B"/>
    <w:rsid w:val="0CCA74C4"/>
    <w:rsid w:val="0CCD6E01"/>
    <w:rsid w:val="0CD6163A"/>
    <w:rsid w:val="0CD875CA"/>
    <w:rsid w:val="0CDD09B3"/>
    <w:rsid w:val="0CDE6F4C"/>
    <w:rsid w:val="0CF86BB7"/>
    <w:rsid w:val="0CFA68BB"/>
    <w:rsid w:val="0D006A41"/>
    <w:rsid w:val="0D215336"/>
    <w:rsid w:val="0D232C17"/>
    <w:rsid w:val="0D2E1801"/>
    <w:rsid w:val="0D3112F1"/>
    <w:rsid w:val="0D38267F"/>
    <w:rsid w:val="0D3B5CCB"/>
    <w:rsid w:val="0D3E26CF"/>
    <w:rsid w:val="0D5A0848"/>
    <w:rsid w:val="0D5C5417"/>
    <w:rsid w:val="0D6276FC"/>
    <w:rsid w:val="0D6C3835"/>
    <w:rsid w:val="0D705975"/>
    <w:rsid w:val="0D725B91"/>
    <w:rsid w:val="0D7336B7"/>
    <w:rsid w:val="0D7840AA"/>
    <w:rsid w:val="0D881D7B"/>
    <w:rsid w:val="0D9F0B3B"/>
    <w:rsid w:val="0D9F44AC"/>
    <w:rsid w:val="0DA34952"/>
    <w:rsid w:val="0DA63DC7"/>
    <w:rsid w:val="0DA77735"/>
    <w:rsid w:val="0DAA753B"/>
    <w:rsid w:val="0DB717F6"/>
    <w:rsid w:val="0DC31E81"/>
    <w:rsid w:val="0DC74CC3"/>
    <w:rsid w:val="0DD71E98"/>
    <w:rsid w:val="0DDA1988"/>
    <w:rsid w:val="0DDF6EFF"/>
    <w:rsid w:val="0DEE39B4"/>
    <w:rsid w:val="0DEF71E2"/>
    <w:rsid w:val="0DF45274"/>
    <w:rsid w:val="0E04203D"/>
    <w:rsid w:val="0E11167B"/>
    <w:rsid w:val="0E124C7E"/>
    <w:rsid w:val="0E15651D"/>
    <w:rsid w:val="0E2449B2"/>
    <w:rsid w:val="0E245572"/>
    <w:rsid w:val="0E3177FA"/>
    <w:rsid w:val="0E4B7C54"/>
    <w:rsid w:val="0E4C3AF6"/>
    <w:rsid w:val="0E4E414E"/>
    <w:rsid w:val="0E4F4361"/>
    <w:rsid w:val="0E59242C"/>
    <w:rsid w:val="0E641A79"/>
    <w:rsid w:val="0E6878A6"/>
    <w:rsid w:val="0E6C0832"/>
    <w:rsid w:val="0E6D695C"/>
    <w:rsid w:val="0E7019A5"/>
    <w:rsid w:val="0E7476E7"/>
    <w:rsid w:val="0E811E04"/>
    <w:rsid w:val="0EBF1938"/>
    <w:rsid w:val="0EC22051"/>
    <w:rsid w:val="0ECF491D"/>
    <w:rsid w:val="0EE3661B"/>
    <w:rsid w:val="0EEC54CF"/>
    <w:rsid w:val="0EF73E51"/>
    <w:rsid w:val="0EF80318"/>
    <w:rsid w:val="0F096081"/>
    <w:rsid w:val="0F0D4A89"/>
    <w:rsid w:val="0F0F7410"/>
    <w:rsid w:val="0F167A21"/>
    <w:rsid w:val="0F206587"/>
    <w:rsid w:val="0F3256D7"/>
    <w:rsid w:val="0F4870A8"/>
    <w:rsid w:val="0F503CB0"/>
    <w:rsid w:val="0F683AC1"/>
    <w:rsid w:val="0F707EAE"/>
    <w:rsid w:val="0F7F00F1"/>
    <w:rsid w:val="0F8D06EA"/>
    <w:rsid w:val="0F9A13CF"/>
    <w:rsid w:val="0FA364D6"/>
    <w:rsid w:val="0FA61B22"/>
    <w:rsid w:val="0FB6788B"/>
    <w:rsid w:val="0FB8775E"/>
    <w:rsid w:val="0FB96F8C"/>
    <w:rsid w:val="0FC24482"/>
    <w:rsid w:val="0FC603E2"/>
    <w:rsid w:val="0FDD78C1"/>
    <w:rsid w:val="0FE10DAC"/>
    <w:rsid w:val="0FED59A3"/>
    <w:rsid w:val="0FF24D67"/>
    <w:rsid w:val="0FFC08DA"/>
    <w:rsid w:val="0FFF7484"/>
    <w:rsid w:val="10134F57"/>
    <w:rsid w:val="10184D43"/>
    <w:rsid w:val="10207B26"/>
    <w:rsid w:val="102B2027"/>
    <w:rsid w:val="102D2243"/>
    <w:rsid w:val="10352EA6"/>
    <w:rsid w:val="103B23E7"/>
    <w:rsid w:val="10545A22"/>
    <w:rsid w:val="105626F1"/>
    <w:rsid w:val="106528F0"/>
    <w:rsid w:val="106D2640"/>
    <w:rsid w:val="10755FB8"/>
    <w:rsid w:val="107F43C2"/>
    <w:rsid w:val="10944070"/>
    <w:rsid w:val="109B71AD"/>
    <w:rsid w:val="10A67900"/>
    <w:rsid w:val="10AE7FBC"/>
    <w:rsid w:val="10B254EE"/>
    <w:rsid w:val="10B93AD7"/>
    <w:rsid w:val="10BB33AB"/>
    <w:rsid w:val="10BB784F"/>
    <w:rsid w:val="10BE1C3F"/>
    <w:rsid w:val="10BF3769"/>
    <w:rsid w:val="10C138F3"/>
    <w:rsid w:val="10CD30DE"/>
    <w:rsid w:val="10CE3500"/>
    <w:rsid w:val="10D12BCF"/>
    <w:rsid w:val="10F22B45"/>
    <w:rsid w:val="10F26F99"/>
    <w:rsid w:val="10F863AD"/>
    <w:rsid w:val="1102547E"/>
    <w:rsid w:val="1105353C"/>
    <w:rsid w:val="11073A7F"/>
    <w:rsid w:val="110A700B"/>
    <w:rsid w:val="11164A85"/>
    <w:rsid w:val="11195E41"/>
    <w:rsid w:val="111E1B8C"/>
    <w:rsid w:val="111F1247"/>
    <w:rsid w:val="11224C53"/>
    <w:rsid w:val="112F5B47"/>
    <w:rsid w:val="113B0990"/>
    <w:rsid w:val="114063F2"/>
    <w:rsid w:val="114A472F"/>
    <w:rsid w:val="114B7E5C"/>
    <w:rsid w:val="11544EAF"/>
    <w:rsid w:val="11553F80"/>
    <w:rsid w:val="116056D4"/>
    <w:rsid w:val="11641C95"/>
    <w:rsid w:val="11674BFA"/>
    <w:rsid w:val="11735051"/>
    <w:rsid w:val="117A3266"/>
    <w:rsid w:val="118235FA"/>
    <w:rsid w:val="119C3706"/>
    <w:rsid w:val="11A33015"/>
    <w:rsid w:val="11AF6C09"/>
    <w:rsid w:val="11B60016"/>
    <w:rsid w:val="11B61DC5"/>
    <w:rsid w:val="11C97D4A"/>
    <w:rsid w:val="11D71176"/>
    <w:rsid w:val="11EE77B0"/>
    <w:rsid w:val="11FE0A14"/>
    <w:rsid w:val="11FE6E0B"/>
    <w:rsid w:val="12017F94"/>
    <w:rsid w:val="120E7E53"/>
    <w:rsid w:val="121E62E8"/>
    <w:rsid w:val="12260CDB"/>
    <w:rsid w:val="12262B5E"/>
    <w:rsid w:val="12343ED2"/>
    <w:rsid w:val="12381244"/>
    <w:rsid w:val="123B77F4"/>
    <w:rsid w:val="123C3BC8"/>
    <w:rsid w:val="124F64A1"/>
    <w:rsid w:val="1253770F"/>
    <w:rsid w:val="125E4936"/>
    <w:rsid w:val="126407FA"/>
    <w:rsid w:val="12955EAD"/>
    <w:rsid w:val="12A4173C"/>
    <w:rsid w:val="12A71ECD"/>
    <w:rsid w:val="12A915BD"/>
    <w:rsid w:val="12AD766B"/>
    <w:rsid w:val="12B75DF4"/>
    <w:rsid w:val="12BB58E4"/>
    <w:rsid w:val="12C16C73"/>
    <w:rsid w:val="12C55CEB"/>
    <w:rsid w:val="12D442DB"/>
    <w:rsid w:val="12D6183D"/>
    <w:rsid w:val="12D65981"/>
    <w:rsid w:val="12D71423"/>
    <w:rsid w:val="12D9220E"/>
    <w:rsid w:val="12DC585B"/>
    <w:rsid w:val="12E50BB3"/>
    <w:rsid w:val="12EF1A32"/>
    <w:rsid w:val="12F2507E"/>
    <w:rsid w:val="132B4B1A"/>
    <w:rsid w:val="13347445"/>
    <w:rsid w:val="133F3180"/>
    <w:rsid w:val="133F3A40"/>
    <w:rsid w:val="13476E38"/>
    <w:rsid w:val="136F4921"/>
    <w:rsid w:val="137439B9"/>
    <w:rsid w:val="137D7AA1"/>
    <w:rsid w:val="13815438"/>
    <w:rsid w:val="13855EF2"/>
    <w:rsid w:val="13856EC8"/>
    <w:rsid w:val="13901C58"/>
    <w:rsid w:val="1391403E"/>
    <w:rsid w:val="13961581"/>
    <w:rsid w:val="139D148E"/>
    <w:rsid w:val="13B93E9B"/>
    <w:rsid w:val="13B97C0E"/>
    <w:rsid w:val="13BE7816"/>
    <w:rsid w:val="13C06F2A"/>
    <w:rsid w:val="13C81BB0"/>
    <w:rsid w:val="13DD5D2E"/>
    <w:rsid w:val="13E84433"/>
    <w:rsid w:val="13FA41EA"/>
    <w:rsid w:val="1408160C"/>
    <w:rsid w:val="14103A0E"/>
    <w:rsid w:val="14135862"/>
    <w:rsid w:val="14154F63"/>
    <w:rsid w:val="141A488D"/>
    <w:rsid w:val="141D612B"/>
    <w:rsid w:val="14221993"/>
    <w:rsid w:val="143B224F"/>
    <w:rsid w:val="1444190A"/>
    <w:rsid w:val="14575AE1"/>
    <w:rsid w:val="145C0862"/>
    <w:rsid w:val="145C3ADA"/>
    <w:rsid w:val="145F4995"/>
    <w:rsid w:val="146435E6"/>
    <w:rsid w:val="14643D5A"/>
    <w:rsid w:val="146975C2"/>
    <w:rsid w:val="146B2BE1"/>
    <w:rsid w:val="14773A8D"/>
    <w:rsid w:val="1478409D"/>
    <w:rsid w:val="147E12BF"/>
    <w:rsid w:val="14830684"/>
    <w:rsid w:val="14952165"/>
    <w:rsid w:val="149C1746"/>
    <w:rsid w:val="149C7709"/>
    <w:rsid w:val="14A16D5C"/>
    <w:rsid w:val="14A625C4"/>
    <w:rsid w:val="14AA20B4"/>
    <w:rsid w:val="14B103A0"/>
    <w:rsid w:val="14B4569B"/>
    <w:rsid w:val="14C8078D"/>
    <w:rsid w:val="14D32F95"/>
    <w:rsid w:val="14D64C58"/>
    <w:rsid w:val="14DF1632"/>
    <w:rsid w:val="14ED1FA1"/>
    <w:rsid w:val="14ED3D4F"/>
    <w:rsid w:val="14EF1875"/>
    <w:rsid w:val="14F7697C"/>
    <w:rsid w:val="14FC3F92"/>
    <w:rsid w:val="15080B89"/>
    <w:rsid w:val="15233B2D"/>
    <w:rsid w:val="152B4878"/>
    <w:rsid w:val="1537321C"/>
    <w:rsid w:val="154222ED"/>
    <w:rsid w:val="1548072A"/>
    <w:rsid w:val="15485429"/>
    <w:rsid w:val="154A7175"/>
    <w:rsid w:val="154D2A40"/>
    <w:rsid w:val="155418F7"/>
    <w:rsid w:val="155B515D"/>
    <w:rsid w:val="156C0552"/>
    <w:rsid w:val="156C736A"/>
    <w:rsid w:val="156F29B6"/>
    <w:rsid w:val="158E5532"/>
    <w:rsid w:val="1594241D"/>
    <w:rsid w:val="15977269"/>
    <w:rsid w:val="159B13C1"/>
    <w:rsid w:val="15A27412"/>
    <w:rsid w:val="15A308B2"/>
    <w:rsid w:val="15C50828"/>
    <w:rsid w:val="15CE3B81"/>
    <w:rsid w:val="15DB2014"/>
    <w:rsid w:val="15DF7B3C"/>
    <w:rsid w:val="15E11B06"/>
    <w:rsid w:val="15F1161D"/>
    <w:rsid w:val="15F36266"/>
    <w:rsid w:val="15F5735F"/>
    <w:rsid w:val="15FA21E5"/>
    <w:rsid w:val="15FC399F"/>
    <w:rsid w:val="160B0931"/>
    <w:rsid w:val="160E0421"/>
    <w:rsid w:val="16135A37"/>
    <w:rsid w:val="161517B0"/>
    <w:rsid w:val="161A6908"/>
    <w:rsid w:val="16227A29"/>
    <w:rsid w:val="16254F36"/>
    <w:rsid w:val="162B4B2F"/>
    <w:rsid w:val="162D6610"/>
    <w:rsid w:val="16343DB8"/>
    <w:rsid w:val="16575086"/>
    <w:rsid w:val="165822AD"/>
    <w:rsid w:val="165D4F05"/>
    <w:rsid w:val="1667171F"/>
    <w:rsid w:val="16687B01"/>
    <w:rsid w:val="1674297A"/>
    <w:rsid w:val="16773CB9"/>
    <w:rsid w:val="16774218"/>
    <w:rsid w:val="16842491"/>
    <w:rsid w:val="16881F81"/>
    <w:rsid w:val="16895CFA"/>
    <w:rsid w:val="168D16A5"/>
    <w:rsid w:val="169326D4"/>
    <w:rsid w:val="16957B06"/>
    <w:rsid w:val="16996B5E"/>
    <w:rsid w:val="169E17A5"/>
    <w:rsid w:val="16A161AD"/>
    <w:rsid w:val="16A3500D"/>
    <w:rsid w:val="16A50D85"/>
    <w:rsid w:val="16AD5DAE"/>
    <w:rsid w:val="16B25250"/>
    <w:rsid w:val="16BB0CBF"/>
    <w:rsid w:val="16C240F4"/>
    <w:rsid w:val="16C254E6"/>
    <w:rsid w:val="16CA07EC"/>
    <w:rsid w:val="16CA453D"/>
    <w:rsid w:val="16DC051F"/>
    <w:rsid w:val="16E55626"/>
    <w:rsid w:val="17033CFE"/>
    <w:rsid w:val="170610F8"/>
    <w:rsid w:val="170D4891"/>
    <w:rsid w:val="171E4694"/>
    <w:rsid w:val="171E6442"/>
    <w:rsid w:val="171F481C"/>
    <w:rsid w:val="1720040C"/>
    <w:rsid w:val="17255A22"/>
    <w:rsid w:val="17297264"/>
    <w:rsid w:val="17321EED"/>
    <w:rsid w:val="17400AAE"/>
    <w:rsid w:val="1740285C"/>
    <w:rsid w:val="17465999"/>
    <w:rsid w:val="177469AA"/>
    <w:rsid w:val="177D5F83"/>
    <w:rsid w:val="177E5132"/>
    <w:rsid w:val="17852965"/>
    <w:rsid w:val="17854713"/>
    <w:rsid w:val="178A289D"/>
    <w:rsid w:val="179606CE"/>
    <w:rsid w:val="179C380B"/>
    <w:rsid w:val="17A32DEB"/>
    <w:rsid w:val="17A54DB5"/>
    <w:rsid w:val="17A74689"/>
    <w:rsid w:val="17A821AF"/>
    <w:rsid w:val="17BA35A6"/>
    <w:rsid w:val="17CA0378"/>
    <w:rsid w:val="17D17958"/>
    <w:rsid w:val="17D734C7"/>
    <w:rsid w:val="17EC02EE"/>
    <w:rsid w:val="17F43C6D"/>
    <w:rsid w:val="17FB0E6B"/>
    <w:rsid w:val="17FF44C5"/>
    <w:rsid w:val="1800023D"/>
    <w:rsid w:val="1805593D"/>
    <w:rsid w:val="18160762"/>
    <w:rsid w:val="18187335"/>
    <w:rsid w:val="182934BB"/>
    <w:rsid w:val="182B47C5"/>
    <w:rsid w:val="183323C1"/>
    <w:rsid w:val="183A374F"/>
    <w:rsid w:val="183C2E02"/>
    <w:rsid w:val="184273A9"/>
    <w:rsid w:val="184B770B"/>
    <w:rsid w:val="185E159D"/>
    <w:rsid w:val="18626802"/>
    <w:rsid w:val="1864257A"/>
    <w:rsid w:val="1867206B"/>
    <w:rsid w:val="18707171"/>
    <w:rsid w:val="1876405C"/>
    <w:rsid w:val="18805297"/>
    <w:rsid w:val="18826F82"/>
    <w:rsid w:val="188B4CDC"/>
    <w:rsid w:val="18962D37"/>
    <w:rsid w:val="18B232E6"/>
    <w:rsid w:val="18B34E3F"/>
    <w:rsid w:val="18CC7AD3"/>
    <w:rsid w:val="18CE4886"/>
    <w:rsid w:val="18CE61F2"/>
    <w:rsid w:val="18D71994"/>
    <w:rsid w:val="18DD19B3"/>
    <w:rsid w:val="18E11E1D"/>
    <w:rsid w:val="18F11B74"/>
    <w:rsid w:val="18F733EE"/>
    <w:rsid w:val="18FC6C57"/>
    <w:rsid w:val="19151CD1"/>
    <w:rsid w:val="193463F1"/>
    <w:rsid w:val="1942020C"/>
    <w:rsid w:val="194559EE"/>
    <w:rsid w:val="194859F8"/>
    <w:rsid w:val="19570331"/>
    <w:rsid w:val="195B397D"/>
    <w:rsid w:val="19671C4C"/>
    <w:rsid w:val="196F7429"/>
    <w:rsid w:val="197A28E2"/>
    <w:rsid w:val="197D39A0"/>
    <w:rsid w:val="19856C4C"/>
    <w:rsid w:val="198D78AF"/>
    <w:rsid w:val="199944A6"/>
    <w:rsid w:val="19A90B8D"/>
    <w:rsid w:val="19B46FFB"/>
    <w:rsid w:val="19BE3F0C"/>
    <w:rsid w:val="19CC2AA0"/>
    <w:rsid w:val="19CC6629"/>
    <w:rsid w:val="19D21766"/>
    <w:rsid w:val="19D50EAB"/>
    <w:rsid w:val="19D90D46"/>
    <w:rsid w:val="19E40662"/>
    <w:rsid w:val="19ED6CCD"/>
    <w:rsid w:val="19F85670"/>
    <w:rsid w:val="19FB2E2A"/>
    <w:rsid w:val="19FC0182"/>
    <w:rsid w:val="1A001E86"/>
    <w:rsid w:val="1A0C3E6B"/>
    <w:rsid w:val="1A0D279E"/>
    <w:rsid w:val="1A141D7E"/>
    <w:rsid w:val="1A252FCC"/>
    <w:rsid w:val="1A3D3083"/>
    <w:rsid w:val="1A484140"/>
    <w:rsid w:val="1A501008"/>
    <w:rsid w:val="1A5D54D3"/>
    <w:rsid w:val="1A641850"/>
    <w:rsid w:val="1A69031C"/>
    <w:rsid w:val="1A6E76E0"/>
    <w:rsid w:val="1A807414"/>
    <w:rsid w:val="1A864A2A"/>
    <w:rsid w:val="1A8B1CC3"/>
    <w:rsid w:val="1A9829AF"/>
    <w:rsid w:val="1AAC5768"/>
    <w:rsid w:val="1AB86BAD"/>
    <w:rsid w:val="1AC05CAC"/>
    <w:rsid w:val="1AC90F06"/>
    <w:rsid w:val="1AC9116B"/>
    <w:rsid w:val="1AD12A73"/>
    <w:rsid w:val="1AD87250"/>
    <w:rsid w:val="1ADD6614"/>
    <w:rsid w:val="1AE17EB2"/>
    <w:rsid w:val="1AEE2FA0"/>
    <w:rsid w:val="1B020211"/>
    <w:rsid w:val="1B03607B"/>
    <w:rsid w:val="1B0B0967"/>
    <w:rsid w:val="1B0D0CA7"/>
    <w:rsid w:val="1B0E121B"/>
    <w:rsid w:val="1B1D495C"/>
    <w:rsid w:val="1B244243"/>
    <w:rsid w:val="1B26355A"/>
    <w:rsid w:val="1B281F85"/>
    <w:rsid w:val="1B2B737F"/>
    <w:rsid w:val="1B2D1349"/>
    <w:rsid w:val="1B3426D8"/>
    <w:rsid w:val="1B5164C2"/>
    <w:rsid w:val="1B6B3C20"/>
    <w:rsid w:val="1B710103"/>
    <w:rsid w:val="1B76513B"/>
    <w:rsid w:val="1B7900EB"/>
    <w:rsid w:val="1B794464"/>
    <w:rsid w:val="1B79458F"/>
    <w:rsid w:val="1B7A3E63"/>
    <w:rsid w:val="1B8151F1"/>
    <w:rsid w:val="1B8167F4"/>
    <w:rsid w:val="1BA12927"/>
    <w:rsid w:val="1BA15893"/>
    <w:rsid w:val="1BAA4748"/>
    <w:rsid w:val="1BAD5FE6"/>
    <w:rsid w:val="1BB7152E"/>
    <w:rsid w:val="1BBE6445"/>
    <w:rsid w:val="1BC53330"/>
    <w:rsid w:val="1BC97744"/>
    <w:rsid w:val="1BCD6688"/>
    <w:rsid w:val="1BDC2DB4"/>
    <w:rsid w:val="1BDE0896"/>
    <w:rsid w:val="1BE35EAC"/>
    <w:rsid w:val="1BE72BED"/>
    <w:rsid w:val="1BE86AF3"/>
    <w:rsid w:val="1C0D4CD7"/>
    <w:rsid w:val="1C197B20"/>
    <w:rsid w:val="1C2E0965"/>
    <w:rsid w:val="1C3D55BC"/>
    <w:rsid w:val="1C450915"/>
    <w:rsid w:val="1C482B6C"/>
    <w:rsid w:val="1C51261C"/>
    <w:rsid w:val="1C546BAA"/>
    <w:rsid w:val="1C5823F6"/>
    <w:rsid w:val="1C60574F"/>
    <w:rsid w:val="1C640D9B"/>
    <w:rsid w:val="1C651D66"/>
    <w:rsid w:val="1C7B2C32"/>
    <w:rsid w:val="1C7C0CF5"/>
    <w:rsid w:val="1C7D2DCC"/>
    <w:rsid w:val="1C874A89"/>
    <w:rsid w:val="1C915908"/>
    <w:rsid w:val="1C931680"/>
    <w:rsid w:val="1C963371"/>
    <w:rsid w:val="1CAE3636"/>
    <w:rsid w:val="1CB87339"/>
    <w:rsid w:val="1CBB4733"/>
    <w:rsid w:val="1CBC0BD7"/>
    <w:rsid w:val="1CBF11D3"/>
    <w:rsid w:val="1CC84F0A"/>
    <w:rsid w:val="1CD419C1"/>
    <w:rsid w:val="1CD4427F"/>
    <w:rsid w:val="1CDC4DD5"/>
    <w:rsid w:val="1CDE64F7"/>
    <w:rsid w:val="1CEB6DC6"/>
    <w:rsid w:val="1CF069ED"/>
    <w:rsid w:val="1CF10155"/>
    <w:rsid w:val="1CF16909"/>
    <w:rsid w:val="1D0E6F20"/>
    <w:rsid w:val="1D190CB9"/>
    <w:rsid w:val="1D2624F4"/>
    <w:rsid w:val="1D295B40"/>
    <w:rsid w:val="1D343BCB"/>
    <w:rsid w:val="1D3758A2"/>
    <w:rsid w:val="1D383FD6"/>
    <w:rsid w:val="1D38456D"/>
    <w:rsid w:val="1D3D4DA3"/>
    <w:rsid w:val="1D3F5364"/>
    <w:rsid w:val="1D4F618B"/>
    <w:rsid w:val="1D5410B5"/>
    <w:rsid w:val="1D5F5A06"/>
    <w:rsid w:val="1D686669"/>
    <w:rsid w:val="1D6923E1"/>
    <w:rsid w:val="1D6B6159"/>
    <w:rsid w:val="1D7454C0"/>
    <w:rsid w:val="1D7E5E8C"/>
    <w:rsid w:val="1D9572F6"/>
    <w:rsid w:val="1DA17DCD"/>
    <w:rsid w:val="1DB871F2"/>
    <w:rsid w:val="1DBA2C3C"/>
    <w:rsid w:val="1DC07CF2"/>
    <w:rsid w:val="1DC93E21"/>
    <w:rsid w:val="1DDE6DCB"/>
    <w:rsid w:val="1DE67372"/>
    <w:rsid w:val="1DF3687A"/>
    <w:rsid w:val="1E110AAE"/>
    <w:rsid w:val="1E14572D"/>
    <w:rsid w:val="1E227571"/>
    <w:rsid w:val="1E2527AC"/>
    <w:rsid w:val="1E2C58E8"/>
    <w:rsid w:val="1E51534F"/>
    <w:rsid w:val="1E58492F"/>
    <w:rsid w:val="1E6257AE"/>
    <w:rsid w:val="1E70261F"/>
    <w:rsid w:val="1E7B061E"/>
    <w:rsid w:val="1E851F92"/>
    <w:rsid w:val="1E8872C6"/>
    <w:rsid w:val="1E8B705A"/>
    <w:rsid w:val="1E9516DF"/>
    <w:rsid w:val="1E990AA4"/>
    <w:rsid w:val="1EA5569B"/>
    <w:rsid w:val="1EA77665"/>
    <w:rsid w:val="1EC365DA"/>
    <w:rsid w:val="1EC91389"/>
    <w:rsid w:val="1ED41ADC"/>
    <w:rsid w:val="1EDA1BF1"/>
    <w:rsid w:val="1EE80B44"/>
    <w:rsid w:val="1EF328AA"/>
    <w:rsid w:val="1EFB71AA"/>
    <w:rsid w:val="1F085043"/>
    <w:rsid w:val="1F240CB5"/>
    <w:rsid w:val="1F274302"/>
    <w:rsid w:val="1F376557"/>
    <w:rsid w:val="1F666BD8"/>
    <w:rsid w:val="1F770DE5"/>
    <w:rsid w:val="1F811E74"/>
    <w:rsid w:val="1F8D0609"/>
    <w:rsid w:val="1F9C4138"/>
    <w:rsid w:val="1F9D6372"/>
    <w:rsid w:val="1FA25D14"/>
    <w:rsid w:val="1FA85442"/>
    <w:rsid w:val="1FA94D17"/>
    <w:rsid w:val="1FB02549"/>
    <w:rsid w:val="1FC4516E"/>
    <w:rsid w:val="1FD5226C"/>
    <w:rsid w:val="1FD55EEA"/>
    <w:rsid w:val="1FDE0E64"/>
    <w:rsid w:val="1FE12702"/>
    <w:rsid w:val="1FE8712A"/>
    <w:rsid w:val="1FF02946"/>
    <w:rsid w:val="1FF67F41"/>
    <w:rsid w:val="1FFF6E7D"/>
    <w:rsid w:val="20057E35"/>
    <w:rsid w:val="201B0752"/>
    <w:rsid w:val="201C229F"/>
    <w:rsid w:val="201C575E"/>
    <w:rsid w:val="20207629"/>
    <w:rsid w:val="20231539"/>
    <w:rsid w:val="20251DD7"/>
    <w:rsid w:val="202C6073"/>
    <w:rsid w:val="20321899"/>
    <w:rsid w:val="20346CD6"/>
    <w:rsid w:val="20347977"/>
    <w:rsid w:val="20365699"/>
    <w:rsid w:val="20392E91"/>
    <w:rsid w:val="20482782"/>
    <w:rsid w:val="20634806"/>
    <w:rsid w:val="2063580D"/>
    <w:rsid w:val="206B5FD1"/>
    <w:rsid w:val="206C0909"/>
    <w:rsid w:val="207215AC"/>
    <w:rsid w:val="2081311F"/>
    <w:rsid w:val="208714FC"/>
    <w:rsid w:val="209A3FEE"/>
    <w:rsid w:val="209B1AB6"/>
    <w:rsid w:val="20A224E3"/>
    <w:rsid w:val="20A41EC8"/>
    <w:rsid w:val="20A756FA"/>
    <w:rsid w:val="20C0450A"/>
    <w:rsid w:val="20C31443"/>
    <w:rsid w:val="20D06E6A"/>
    <w:rsid w:val="20D544E0"/>
    <w:rsid w:val="20DF4E94"/>
    <w:rsid w:val="20E00C0C"/>
    <w:rsid w:val="20E71F9A"/>
    <w:rsid w:val="20E93F65"/>
    <w:rsid w:val="20F326ED"/>
    <w:rsid w:val="20F54D49"/>
    <w:rsid w:val="21020B82"/>
    <w:rsid w:val="21132D8F"/>
    <w:rsid w:val="211803A6"/>
    <w:rsid w:val="21244F9D"/>
    <w:rsid w:val="213571AA"/>
    <w:rsid w:val="214848ED"/>
    <w:rsid w:val="21596C18"/>
    <w:rsid w:val="21616461"/>
    <w:rsid w:val="21676C37"/>
    <w:rsid w:val="217B1982"/>
    <w:rsid w:val="21843B03"/>
    <w:rsid w:val="21863561"/>
    <w:rsid w:val="218E2416"/>
    <w:rsid w:val="218E442B"/>
    <w:rsid w:val="218E68BA"/>
    <w:rsid w:val="219D6288"/>
    <w:rsid w:val="21A67760"/>
    <w:rsid w:val="21AB2FC8"/>
    <w:rsid w:val="21B849B9"/>
    <w:rsid w:val="21BF4CC5"/>
    <w:rsid w:val="21C32C2D"/>
    <w:rsid w:val="21C5052E"/>
    <w:rsid w:val="21C83B7A"/>
    <w:rsid w:val="21CB366A"/>
    <w:rsid w:val="21CD73E2"/>
    <w:rsid w:val="21D472BF"/>
    <w:rsid w:val="21DB7603"/>
    <w:rsid w:val="21DC13D3"/>
    <w:rsid w:val="21DC7625"/>
    <w:rsid w:val="21E32C07"/>
    <w:rsid w:val="21ED021A"/>
    <w:rsid w:val="21EF00AC"/>
    <w:rsid w:val="21F20BF7"/>
    <w:rsid w:val="21F769B4"/>
    <w:rsid w:val="220628F4"/>
    <w:rsid w:val="220A5F40"/>
    <w:rsid w:val="221E7C3E"/>
    <w:rsid w:val="221F0316"/>
    <w:rsid w:val="222334A6"/>
    <w:rsid w:val="22342FBD"/>
    <w:rsid w:val="22396826"/>
    <w:rsid w:val="223B259E"/>
    <w:rsid w:val="224A7974"/>
    <w:rsid w:val="225406A1"/>
    <w:rsid w:val="225C2514"/>
    <w:rsid w:val="225C42C2"/>
    <w:rsid w:val="2265331F"/>
    <w:rsid w:val="22664DEC"/>
    <w:rsid w:val="22737F8A"/>
    <w:rsid w:val="22741E52"/>
    <w:rsid w:val="22813D29"/>
    <w:rsid w:val="228D6B72"/>
    <w:rsid w:val="228F6446"/>
    <w:rsid w:val="22983B0C"/>
    <w:rsid w:val="22995058"/>
    <w:rsid w:val="22A140A3"/>
    <w:rsid w:val="22A4542C"/>
    <w:rsid w:val="22AE7535"/>
    <w:rsid w:val="22CB1EBB"/>
    <w:rsid w:val="22D327D6"/>
    <w:rsid w:val="22D537A4"/>
    <w:rsid w:val="22DB1C8D"/>
    <w:rsid w:val="22E03145"/>
    <w:rsid w:val="22F26038"/>
    <w:rsid w:val="22F664C5"/>
    <w:rsid w:val="22F8223D"/>
    <w:rsid w:val="22F86B31"/>
    <w:rsid w:val="22FA68B7"/>
    <w:rsid w:val="22FD3746"/>
    <w:rsid w:val="23011D9A"/>
    <w:rsid w:val="2302130E"/>
    <w:rsid w:val="23033B66"/>
    <w:rsid w:val="230B6414"/>
    <w:rsid w:val="230C3FDD"/>
    <w:rsid w:val="23117BD8"/>
    <w:rsid w:val="231A0405"/>
    <w:rsid w:val="231A6657"/>
    <w:rsid w:val="23343382"/>
    <w:rsid w:val="23366E19"/>
    <w:rsid w:val="234436D4"/>
    <w:rsid w:val="23536A45"/>
    <w:rsid w:val="23564C2D"/>
    <w:rsid w:val="235F050E"/>
    <w:rsid w:val="236901F0"/>
    <w:rsid w:val="23694EE9"/>
    <w:rsid w:val="236C6787"/>
    <w:rsid w:val="237044C9"/>
    <w:rsid w:val="237F295E"/>
    <w:rsid w:val="23836C18"/>
    <w:rsid w:val="238E494F"/>
    <w:rsid w:val="238F65A2"/>
    <w:rsid w:val="23953F30"/>
    <w:rsid w:val="239A243B"/>
    <w:rsid w:val="239F21B0"/>
    <w:rsid w:val="239F6B5C"/>
    <w:rsid w:val="23A67EEB"/>
    <w:rsid w:val="23C12442"/>
    <w:rsid w:val="23C34A7A"/>
    <w:rsid w:val="23DD39CC"/>
    <w:rsid w:val="23E427C1"/>
    <w:rsid w:val="23E629DD"/>
    <w:rsid w:val="23F70746"/>
    <w:rsid w:val="23F83815"/>
    <w:rsid w:val="23FE7D27"/>
    <w:rsid w:val="24034DE3"/>
    <w:rsid w:val="24066BDB"/>
    <w:rsid w:val="241A739C"/>
    <w:rsid w:val="241F1A4B"/>
    <w:rsid w:val="242A28CA"/>
    <w:rsid w:val="242F6132"/>
    <w:rsid w:val="243E45C7"/>
    <w:rsid w:val="24530BF2"/>
    <w:rsid w:val="245D1DDC"/>
    <w:rsid w:val="246B4C91"/>
    <w:rsid w:val="247D5FFB"/>
    <w:rsid w:val="247E2C16"/>
    <w:rsid w:val="24831FDA"/>
    <w:rsid w:val="24883A94"/>
    <w:rsid w:val="248A15BB"/>
    <w:rsid w:val="248C70E1"/>
    <w:rsid w:val="248F097F"/>
    <w:rsid w:val="24945F95"/>
    <w:rsid w:val="24961D0D"/>
    <w:rsid w:val="24967F76"/>
    <w:rsid w:val="24A24B56"/>
    <w:rsid w:val="24A50FEC"/>
    <w:rsid w:val="24B10123"/>
    <w:rsid w:val="24B46637"/>
    <w:rsid w:val="24B50D41"/>
    <w:rsid w:val="24C26FA6"/>
    <w:rsid w:val="24CF1A07"/>
    <w:rsid w:val="24D10F97"/>
    <w:rsid w:val="24D97E4C"/>
    <w:rsid w:val="24E011DB"/>
    <w:rsid w:val="24E231A5"/>
    <w:rsid w:val="24F654C3"/>
    <w:rsid w:val="24F86524"/>
    <w:rsid w:val="250A6257"/>
    <w:rsid w:val="25150073"/>
    <w:rsid w:val="251A689D"/>
    <w:rsid w:val="25307707"/>
    <w:rsid w:val="253634F0"/>
    <w:rsid w:val="25492600"/>
    <w:rsid w:val="25500501"/>
    <w:rsid w:val="25551A83"/>
    <w:rsid w:val="25624FED"/>
    <w:rsid w:val="25626093"/>
    <w:rsid w:val="25641E0C"/>
    <w:rsid w:val="256516E0"/>
    <w:rsid w:val="25695674"/>
    <w:rsid w:val="2575691F"/>
    <w:rsid w:val="25857CF7"/>
    <w:rsid w:val="258B1155"/>
    <w:rsid w:val="258E6E89"/>
    <w:rsid w:val="25DA71B4"/>
    <w:rsid w:val="25DD4100"/>
    <w:rsid w:val="25E20F82"/>
    <w:rsid w:val="25E76599"/>
    <w:rsid w:val="25EF3DCB"/>
    <w:rsid w:val="25F051B0"/>
    <w:rsid w:val="25F412DD"/>
    <w:rsid w:val="26094761"/>
    <w:rsid w:val="260E0D4B"/>
    <w:rsid w:val="261E2FC0"/>
    <w:rsid w:val="2623733E"/>
    <w:rsid w:val="262B728D"/>
    <w:rsid w:val="26306192"/>
    <w:rsid w:val="26424B34"/>
    <w:rsid w:val="26555BF8"/>
    <w:rsid w:val="266B24A0"/>
    <w:rsid w:val="26720558"/>
    <w:rsid w:val="2676689B"/>
    <w:rsid w:val="267C4F33"/>
    <w:rsid w:val="2685584E"/>
    <w:rsid w:val="2690510D"/>
    <w:rsid w:val="26916BE7"/>
    <w:rsid w:val="26927623"/>
    <w:rsid w:val="26951BEF"/>
    <w:rsid w:val="26997893"/>
    <w:rsid w:val="26AD1590"/>
    <w:rsid w:val="26B866BF"/>
    <w:rsid w:val="26B96187"/>
    <w:rsid w:val="26C37DBA"/>
    <w:rsid w:val="26CD496D"/>
    <w:rsid w:val="26DE799C"/>
    <w:rsid w:val="26E52AD8"/>
    <w:rsid w:val="26ED7BDF"/>
    <w:rsid w:val="26FE3B9A"/>
    <w:rsid w:val="2700348A"/>
    <w:rsid w:val="270A0791"/>
    <w:rsid w:val="270A253F"/>
    <w:rsid w:val="270B2978"/>
    <w:rsid w:val="27165388"/>
    <w:rsid w:val="27175F98"/>
    <w:rsid w:val="271D48AB"/>
    <w:rsid w:val="272F1FA5"/>
    <w:rsid w:val="2762237B"/>
    <w:rsid w:val="276460F3"/>
    <w:rsid w:val="27686199"/>
    <w:rsid w:val="27870ABE"/>
    <w:rsid w:val="279E7A32"/>
    <w:rsid w:val="27A04C51"/>
    <w:rsid w:val="27A938FD"/>
    <w:rsid w:val="27B30E28"/>
    <w:rsid w:val="27C13FD0"/>
    <w:rsid w:val="27C941A8"/>
    <w:rsid w:val="27D417C1"/>
    <w:rsid w:val="27D56FF1"/>
    <w:rsid w:val="27DA1D38"/>
    <w:rsid w:val="27DF5779"/>
    <w:rsid w:val="27EA6525"/>
    <w:rsid w:val="27FD29EE"/>
    <w:rsid w:val="280A60D5"/>
    <w:rsid w:val="28327F9F"/>
    <w:rsid w:val="28347D91"/>
    <w:rsid w:val="283F446A"/>
    <w:rsid w:val="284B72B3"/>
    <w:rsid w:val="285E0D94"/>
    <w:rsid w:val="285F68BA"/>
    <w:rsid w:val="28681C13"/>
    <w:rsid w:val="28697392"/>
    <w:rsid w:val="287C746C"/>
    <w:rsid w:val="28A6098D"/>
    <w:rsid w:val="28A6273B"/>
    <w:rsid w:val="28BA7250"/>
    <w:rsid w:val="28BF5B5B"/>
    <w:rsid w:val="28C00ECC"/>
    <w:rsid w:val="28CA642A"/>
    <w:rsid w:val="28D479CA"/>
    <w:rsid w:val="28D92B11"/>
    <w:rsid w:val="28EF2D30"/>
    <w:rsid w:val="291D0C4F"/>
    <w:rsid w:val="29226266"/>
    <w:rsid w:val="292627E9"/>
    <w:rsid w:val="293724CF"/>
    <w:rsid w:val="2946642F"/>
    <w:rsid w:val="295403E9"/>
    <w:rsid w:val="29702DE9"/>
    <w:rsid w:val="297B601E"/>
    <w:rsid w:val="298760C9"/>
    <w:rsid w:val="298761C6"/>
    <w:rsid w:val="299F53A8"/>
    <w:rsid w:val="29A547A1"/>
    <w:rsid w:val="29B82726"/>
    <w:rsid w:val="29CD0B67"/>
    <w:rsid w:val="29D15596"/>
    <w:rsid w:val="29D357B2"/>
    <w:rsid w:val="29D42EB3"/>
    <w:rsid w:val="29DA269C"/>
    <w:rsid w:val="29DC1755"/>
    <w:rsid w:val="29E11FD7"/>
    <w:rsid w:val="29E67293"/>
    <w:rsid w:val="29EC5063"/>
    <w:rsid w:val="29F23E8A"/>
    <w:rsid w:val="2A007C29"/>
    <w:rsid w:val="2A092F82"/>
    <w:rsid w:val="2A094D30"/>
    <w:rsid w:val="2A104310"/>
    <w:rsid w:val="2A131E07"/>
    <w:rsid w:val="2A1D6A2D"/>
    <w:rsid w:val="2A1F09F7"/>
    <w:rsid w:val="2A301011"/>
    <w:rsid w:val="2A3111A3"/>
    <w:rsid w:val="2A427B2F"/>
    <w:rsid w:val="2A443FBA"/>
    <w:rsid w:val="2A473453"/>
    <w:rsid w:val="2A4B17EC"/>
    <w:rsid w:val="2A4B6A12"/>
    <w:rsid w:val="2A4F781B"/>
    <w:rsid w:val="2A556C33"/>
    <w:rsid w:val="2A567526"/>
    <w:rsid w:val="2A5F0DF4"/>
    <w:rsid w:val="2A6603D4"/>
    <w:rsid w:val="2A662182"/>
    <w:rsid w:val="2A792D41"/>
    <w:rsid w:val="2A794C6E"/>
    <w:rsid w:val="2A803E8E"/>
    <w:rsid w:val="2A8104D2"/>
    <w:rsid w:val="2A81794A"/>
    <w:rsid w:val="2A830F86"/>
    <w:rsid w:val="2A952A67"/>
    <w:rsid w:val="2AA54483"/>
    <w:rsid w:val="2ACF5F79"/>
    <w:rsid w:val="2AD4533E"/>
    <w:rsid w:val="2AD5038A"/>
    <w:rsid w:val="2ADD2052"/>
    <w:rsid w:val="2ADD25F1"/>
    <w:rsid w:val="2AEF03C9"/>
    <w:rsid w:val="2AF61758"/>
    <w:rsid w:val="2AFB6D6E"/>
    <w:rsid w:val="2AFD2362"/>
    <w:rsid w:val="2AFE060C"/>
    <w:rsid w:val="2B0B2872"/>
    <w:rsid w:val="2B141B7C"/>
    <w:rsid w:val="2B1B08C2"/>
    <w:rsid w:val="2B2362C5"/>
    <w:rsid w:val="2B2720CA"/>
    <w:rsid w:val="2B42499D"/>
    <w:rsid w:val="2B434271"/>
    <w:rsid w:val="2B45448D"/>
    <w:rsid w:val="2B4B2F48"/>
    <w:rsid w:val="2B4B6F96"/>
    <w:rsid w:val="2B4F70BA"/>
    <w:rsid w:val="2B6C5576"/>
    <w:rsid w:val="2B6D7540"/>
    <w:rsid w:val="2B762638"/>
    <w:rsid w:val="2B7755F5"/>
    <w:rsid w:val="2B7B47B0"/>
    <w:rsid w:val="2B844FB6"/>
    <w:rsid w:val="2B8E1990"/>
    <w:rsid w:val="2B9E594C"/>
    <w:rsid w:val="2B9F3B9D"/>
    <w:rsid w:val="2BA50A88"/>
    <w:rsid w:val="2BB1742D"/>
    <w:rsid w:val="2BB32703"/>
    <w:rsid w:val="2BD50743"/>
    <w:rsid w:val="2BE05501"/>
    <w:rsid w:val="2BF10752"/>
    <w:rsid w:val="2BFE4851"/>
    <w:rsid w:val="2BFF2943"/>
    <w:rsid w:val="2C02041A"/>
    <w:rsid w:val="2C0C6D59"/>
    <w:rsid w:val="2C1005F7"/>
    <w:rsid w:val="2C100E94"/>
    <w:rsid w:val="2C106849"/>
    <w:rsid w:val="2C346626"/>
    <w:rsid w:val="2C387B4E"/>
    <w:rsid w:val="2C396A3A"/>
    <w:rsid w:val="2C3E4D25"/>
    <w:rsid w:val="2C416A03"/>
    <w:rsid w:val="2C4E7372"/>
    <w:rsid w:val="2C5129BE"/>
    <w:rsid w:val="2C5801F0"/>
    <w:rsid w:val="2C5D4204"/>
    <w:rsid w:val="2C610E53"/>
    <w:rsid w:val="2C6A465C"/>
    <w:rsid w:val="2C7566AC"/>
    <w:rsid w:val="2C7D37B3"/>
    <w:rsid w:val="2C866B0B"/>
    <w:rsid w:val="2C8E3B73"/>
    <w:rsid w:val="2C8E3C12"/>
    <w:rsid w:val="2C90798A"/>
    <w:rsid w:val="2C9C00DD"/>
    <w:rsid w:val="2C9C1E8B"/>
    <w:rsid w:val="2CAC6B00"/>
    <w:rsid w:val="2CB37986"/>
    <w:rsid w:val="2CBC220B"/>
    <w:rsid w:val="2CC7597A"/>
    <w:rsid w:val="2CD32D4A"/>
    <w:rsid w:val="2CD53706"/>
    <w:rsid w:val="2CF021D7"/>
    <w:rsid w:val="2CF54DD8"/>
    <w:rsid w:val="2D07221A"/>
    <w:rsid w:val="2D3576E1"/>
    <w:rsid w:val="2D360531"/>
    <w:rsid w:val="2D472A54"/>
    <w:rsid w:val="2D572256"/>
    <w:rsid w:val="2D597F0B"/>
    <w:rsid w:val="2D5E35E4"/>
    <w:rsid w:val="2D614E83"/>
    <w:rsid w:val="2D621327"/>
    <w:rsid w:val="2D652BC5"/>
    <w:rsid w:val="2D6B7AAF"/>
    <w:rsid w:val="2D6D7902"/>
    <w:rsid w:val="2D76092E"/>
    <w:rsid w:val="2D8E211C"/>
    <w:rsid w:val="2D937732"/>
    <w:rsid w:val="2D964B2C"/>
    <w:rsid w:val="2D980C6D"/>
    <w:rsid w:val="2DA01E4F"/>
    <w:rsid w:val="2DB9548A"/>
    <w:rsid w:val="2DBE7855"/>
    <w:rsid w:val="2DC07DFB"/>
    <w:rsid w:val="2DC378EB"/>
    <w:rsid w:val="2DD81875"/>
    <w:rsid w:val="2DE018D9"/>
    <w:rsid w:val="2DEA131C"/>
    <w:rsid w:val="2DF61A6F"/>
    <w:rsid w:val="2DF87595"/>
    <w:rsid w:val="2DF9330D"/>
    <w:rsid w:val="2E026666"/>
    <w:rsid w:val="2E0A72C8"/>
    <w:rsid w:val="2E0E6A94"/>
    <w:rsid w:val="2E1979ED"/>
    <w:rsid w:val="2E1A3284"/>
    <w:rsid w:val="2E275695"/>
    <w:rsid w:val="2E2B09B5"/>
    <w:rsid w:val="2E3A195C"/>
    <w:rsid w:val="2E465B48"/>
    <w:rsid w:val="2E500A96"/>
    <w:rsid w:val="2E584CA5"/>
    <w:rsid w:val="2E60513A"/>
    <w:rsid w:val="2E6A2182"/>
    <w:rsid w:val="2E7330BF"/>
    <w:rsid w:val="2E7B67B8"/>
    <w:rsid w:val="2E854C63"/>
    <w:rsid w:val="2E906AEA"/>
    <w:rsid w:val="2E9A5C9D"/>
    <w:rsid w:val="2E9C260B"/>
    <w:rsid w:val="2EA94D33"/>
    <w:rsid w:val="2EB060C2"/>
    <w:rsid w:val="2EBF6305"/>
    <w:rsid w:val="2ECE02F6"/>
    <w:rsid w:val="2ED00512"/>
    <w:rsid w:val="2EE144CD"/>
    <w:rsid w:val="2EF835C5"/>
    <w:rsid w:val="2EFF42F5"/>
    <w:rsid w:val="2F004A06"/>
    <w:rsid w:val="2F0401BB"/>
    <w:rsid w:val="2F051C71"/>
    <w:rsid w:val="2F1523C9"/>
    <w:rsid w:val="2F1C3757"/>
    <w:rsid w:val="2F1E302B"/>
    <w:rsid w:val="2F234AE5"/>
    <w:rsid w:val="2F287C43"/>
    <w:rsid w:val="2F2B1BEC"/>
    <w:rsid w:val="2F337E9A"/>
    <w:rsid w:val="2F4610D8"/>
    <w:rsid w:val="2F520F27"/>
    <w:rsid w:val="2F5B510C"/>
    <w:rsid w:val="2F6B1FE9"/>
    <w:rsid w:val="2F707965"/>
    <w:rsid w:val="2F8207D1"/>
    <w:rsid w:val="2F864075"/>
    <w:rsid w:val="2F866A13"/>
    <w:rsid w:val="2F911A4F"/>
    <w:rsid w:val="2F9A04D8"/>
    <w:rsid w:val="2F9B467C"/>
    <w:rsid w:val="2F9C03F4"/>
    <w:rsid w:val="2FA85262"/>
    <w:rsid w:val="2FAA7EAA"/>
    <w:rsid w:val="2FB27BEF"/>
    <w:rsid w:val="2FB41D5D"/>
    <w:rsid w:val="2FBD053D"/>
    <w:rsid w:val="2FC0348D"/>
    <w:rsid w:val="2FCA31B3"/>
    <w:rsid w:val="2FDE27BA"/>
    <w:rsid w:val="2FE04785"/>
    <w:rsid w:val="2FE222AB"/>
    <w:rsid w:val="2FEE6EA1"/>
    <w:rsid w:val="2FF124EE"/>
    <w:rsid w:val="2FF67AD2"/>
    <w:rsid w:val="2FF80CC3"/>
    <w:rsid w:val="2FFA3A98"/>
    <w:rsid w:val="2FFE4C0B"/>
    <w:rsid w:val="30045BF1"/>
    <w:rsid w:val="3011493E"/>
    <w:rsid w:val="30136908"/>
    <w:rsid w:val="301E79F3"/>
    <w:rsid w:val="302F1268"/>
    <w:rsid w:val="30314FE0"/>
    <w:rsid w:val="303F55E0"/>
    <w:rsid w:val="304545E8"/>
    <w:rsid w:val="3049232A"/>
    <w:rsid w:val="30495115"/>
    <w:rsid w:val="305A357B"/>
    <w:rsid w:val="30647C47"/>
    <w:rsid w:val="30672CAF"/>
    <w:rsid w:val="30731155"/>
    <w:rsid w:val="30801DF3"/>
    <w:rsid w:val="30943EA7"/>
    <w:rsid w:val="30A55232"/>
    <w:rsid w:val="30B16C8D"/>
    <w:rsid w:val="30C37408"/>
    <w:rsid w:val="30C95219"/>
    <w:rsid w:val="30CC4D09"/>
    <w:rsid w:val="30E014C3"/>
    <w:rsid w:val="30E87D95"/>
    <w:rsid w:val="30EA77A0"/>
    <w:rsid w:val="30EE219E"/>
    <w:rsid w:val="30FE71F8"/>
    <w:rsid w:val="3102072B"/>
    <w:rsid w:val="311741D6"/>
    <w:rsid w:val="312132A7"/>
    <w:rsid w:val="31220B00"/>
    <w:rsid w:val="312468F3"/>
    <w:rsid w:val="31305298"/>
    <w:rsid w:val="313308E4"/>
    <w:rsid w:val="314C7BB2"/>
    <w:rsid w:val="314D3E18"/>
    <w:rsid w:val="315E1E05"/>
    <w:rsid w:val="31615CE3"/>
    <w:rsid w:val="3166515D"/>
    <w:rsid w:val="3172765E"/>
    <w:rsid w:val="31745184"/>
    <w:rsid w:val="317C228B"/>
    <w:rsid w:val="318178A1"/>
    <w:rsid w:val="31876741"/>
    <w:rsid w:val="3192615F"/>
    <w:rsid w:val="319A1263"/>
    <w:rsid w:val="319C0B7F"/>
    <w:rsid w:val="319E48F7"/>
    <w:rsid w:val="31A6555A"/>
    <w:rsid w:val="31A83080"/>
    <w:rsid w:val="31B17224"/>
    <w:rsid w:val="31BB1005"/>
    <w:rsid w:val="31C402F3"/>
    <w:rsid w:val="31D413BE"/>
    <w:rsid w:val="31D61173"/>
    <w:rsid w:val="31E00A6C"/>
    <w:rsid w:val="31E3055C"/>
    <w:rsid w:val="32026C34"/>
    <w:rsid w:val="321214AD"/>
    <w:rsid w:val="321331F9"/>
    <w:rsid w:val="32190A90"/>
    <w:rsid w:val="32317519"/>
    <w:rsid w:val="32373316"/>
    <w:rsid w:val="3247245F"/>
    <w:rsid w:val="32543208"/>
    <w:rsid w:val="32546D64"/>
    <w:rsid w:val="3259209E"/>
    <w:rsid w:val="326C2300"/>
    <w:rsid w:val="3276317E"/>
    <w:rsid w:val="328F4F0B"/>
    <w:rsid w:val="3291620A"/>
    <w:rsid w:val="32955C43"/>
    <w:rsid w:val="329E36B9"/>
    <w:rsid w:val="32A221C5"/>
    <w:rsid w:val="32AC0F0B"/>
    <w:rsid w:val="32C43EEA"/>
    <w:rsid w:val="32E53E60"/>
    <w:rsid w:val="32E77BD8"/>
    <w:rsid w:val="32EE540A"/>
    <w:rsid w:val="32F4700D"/>
    <w:rsid w:val="32FD2435"/>
    <w:rsid w:val="32FF3174"/>
    <w:rsid w:val="33030EB6"/>
    <w:rsid w:val="33042538"/>
    <w:rsid w:val="330E785B"/>
    <w:rsid w:val="331210F9"/>
    <w:rsid w:val="331F2E53"/>
    <w:rsid w:val="331F3816"/>
    <w:rsid w:val="3321121B"/>
    <w:rsid w:val="33226E62"/>
    <w:rsid w:val="332843CF"/>
    <w:rsid w:val="332901F1"/>
    <w:rsid w:val="332C1A8F"/>
    <w:rsid w:val="332D1494"/>
    <w:rsid w:val="332D5F33"/>
    <w:rsid w:val="332D7CE1"/>
    <w:rsid w:val="335C6818"/>
    <w:rsid w:val="3364747B"/>
    <w:rsid w:val="336F654B"/>
    <w:rsid w:val="33760873"/>
    <w:rsid w:val="337625B1"/>
    <w:rsid w:val="33820E0C"/>
    <w:rsid w:val="3388714A"/>
    <w:rsid w:val="338E62A6"/>
    <w:rsid w:val="3395038F"/>
    <w:rsid w:val="33A7222A"/>
    <w:rsid w:val="33B0446E"/>
    <w:rsid w:val="33B84E80"/>
    <w:rsid w:val="33C06DA7"/>
    <w:rsid w:val="33CF0D98"/>
    <w:rsid w:val="33D33597"/>
    <w:rsid w:val="33EF3C9C"/>
    <w:rsid w:val="340071A3"/>
    <w:rsid w:val="34012F1B"/>
    <w:rsid w:val="34076784"/>
    <w:rsid w:val="34346E4D"/>
    <w:rsid w:val="343926B5"/>
    <w:rsid w:val="344A6670"/>
    <w:rsid w:val="344D6161"/>
    <w:rsid w:val="345724F8"/>
    <w:rsid w:val="346314E0"/>
    <w:rsid w:val="348E4659"/>
    <w:rsid w:val="34983880"/>
    <w:rsid w:val="349B6ECC"/>
    <w:rsid w:val="349C14F1"/>
    <w:rsid w:val="34A22009"/>
    <w:rsid w:val="34A55F9D"/>
    <w:rsid w:val="34AB35F2"/>
    <w:rsid w:val="34B017CE"/>
    <w:rsid w:val="34BC6862"/>
    <w:rsid w:val="34C21CFF"/>
    <w:rsid w:val="34C75F13"/>
    <w:rsid w:val="34CE72A2"/>
    <w:rsid w:val="34D20A0C"/>
    <w:rsid w:val="34D67F04"/>
    <w:rsid w:val="34E40873"/>
    <w:rsid w:val="34E601E2"/>
    <w:rsid w:val="34EC597A"/>
    <w:rsid w:val="34F0546A"/>
    <w:rsid w:val="34F27631"/>
    <w:rsid w:val="34F338F2"/>
    <w:rsid w:val="34FD777C"/>
    <w:rsid w:val="34FF745B"/>
    <w:rsid w:val="35022113"/>
    <w:rsid w:val="35043AE4"/>
    <w:rsid w:val="35062AA2"/>
    <w:rsid w:val="35070379"/>
    <w:rsid w:val="350902DA"/>
    <w:rsid w:val="350E7D57"/>
    <w:rsid w:val="35170C48"/>
    <w:rsid w:val="351A24E7"/>
    <w:rsid w:val="35223859"/>
    <w:rsid w:val="352447B8"/>
    <w:rsid w:val="352F7CE5"/>
    <w:rsid w:val="3538296D"/>
    <w:rsid w:val="353F1F4D"/>
    <w:rsid w:val="354B1C79"/>
    <w:rsid w:val="35584DBD"/>
    <w:rsid w:val="35591954"/>
    <w:rsid w:val="355E0625"/>
    <w:rsid w:val="35611EC4"/>
    <w:rsid w:val="35643762"/>
    <w:rsid w:val="35645510"/>
    <w:rsid w:val="356A2329"/>
    <w:rsid w:val="35700359"/>
    <w:rsid w:val="357065AB"/>
    <w:rsid w:val="3592207D"/>
    <w:rsid w:val="3594672F"/>
    <w:rsid w:val="35AB1391"/>
    <w:rsid w:val="35AC20A7"/>
    <w:rsid w:val="35B423F0"/>
    <w:rsid w:val="35BC534C"/>
    <w:rsid w:val="35BE7316"/>
    <w:rsid w:val="35BF6BEA"/>
    <w:rsid w:val="35CD1307"/>
    <w:rsid w:val="35D00DF7"/>
    <w:rsid w:val="35D54660"/>
    <w:rsid w:val="35D82FD6"/>
    <w:rsid w:val="35E6686D"/>
    <w:rsid w:val="35EA010B"/>
    <w:rsid w:val="35F078F2"/>
    <w:rsid w:val="35F204C7"/>
    <w:rsid w:val="35F221F7"/>
    <w:rsid w:val="35F42D38"/>
    <w:rsid w:val="35F76A1B"/>
    <w:rsid w:val="35FE5964"/>
    <w:rsid w:val="35FE7713"/>
    <w:rsid w:val="360A4309"/>
    <w:rsid w:val="3618529B"/>
    <w:rsid w:val="36211653"/>
    <w:rsid w:val="36252EF1"/>
    <w:rsid w:val="362F1FC2"/>
    <w:rsid w:val="36315D3A"/>
    <w:rsid w:val="363B212B"/>
    <w:rsid w:val="363B6426"/>
    <w:rsid w:val="363E0457"/>
    <w:rsid w:val="363E3FB3"/>
    <w:rsid w:val="36407D2B"/>
    <w:rsid w:val="364315C9"/>
    <w:rsid w:val="36617DDC"/>
    <w:rsid w:val="36625C2A"/>
    <w:rsid w:val="36821714"/>
    <w:rsid w:val="369D6F2B"/>
    <w:rsid w:val="36A06A1C"/>
    <w:rsid w:val="36A52284"/>
    <w:rsid w:val="36BA62F4"/>
    <w:rsid w:val="36C46BAE"/>
    <w:rsid w:val="36CB4432"/>
    <w:rsid w:val="36D16FA9"/>
    <w:rsid w:val="36E6490D"/>
    <w:rsid w:val="36EC3A0F"/>
    <w:rsid w:val="36EE59D9"/>
    <w:rsid w:val="36FA0940"/>
    <w:rsid w:val="36FF1994"/>
    <w:rsid w:val="3701395E"/>
    <w:rsid w:val="37023232"/>
    <w:rsid w:val="3705164D"/>
    <w:rsid w:val="37074CED"/>
    <w:rsid w:val="37181AD8"/>
    <w:rsid w:val="371C0798"/>
    <w:rsid w:val="37270EEB"/>
    <w:rsid w:val="373D2A8F"/>
    <w:rsid w:val="373E2AFA"/>
    <w:rsid w:val="373F6160"/>
    <w:rsid w:val="373F7FE3"/>
    <w:rsid w:val="37411FAD"/>
    <w:rsid w:val="37573C7F"/>
    <w:rsid w:val="375F7072"/>
    <w:rsid w:val="37615B4F"/>
    <w:rsid w:val="37621F23"/>
    <w:rsid w:val="37645C9B"/>
    <w:rsid w:val="377203B8"/>
    <w:rsid w:val="3772660A"/>
    <w:rsid w:val="3781684D"/>
    <w:rsid w:val="37863E63"/>
    <w:rsid w:val="37865C12"/>
    <w:rsid w:val="37895702"/>
    <w:rsid w:val="379320DC"/>
    <w:rsid w:val="37976191"/>
    <w:rsid w:val="379A16BD"/>
    <w:rsid w:val="37AC4588"/>
    <w:rsid w:val="37B87D95"/>
    <w:rsid w:val="37C624B2"/>
    <w:rsid w:val="37CF321E"/>
    <w:rsid w:val="37D306C9"/>
    <w:rsid w:val="37E312B6"/>
    <w:rsid w:val="37E34E12"/>
    <w:rsid w:val="38003C16"/>
    <w:rsid w:val="380134EA"/>
    <w:rsid w:val="380B25BB"/>
    <w:rsid w:val="381B101D"/>
    <w:rsid w:val="38221955"/>
    <w:rsid w:val="38305B7D"/>
    <w:rsid w:val="38364586"/>
    <w:rsid w:val="38535627"/>
    <w:rsid w:val="385950D4"/>
    <w:rsid w:val="38741F0E"/>
    <w:rsid w:val="38764344"/>
    <w:rsid w:val="387E4B3B"/>
    <w:rsid w:val="38911C2B"/>
    <w:rsid w:val="389205E6"/>
    <w:rsid w:val="38997BC6"/>
    <w:rsid w:val="38A071A7"/>
    <w:rsid w:val="38A74626"/>
    <w:rsid w:val="38AF2F46"/>
    <w:rsid w:val="38B16CBE"/>
    <w:rsid w:val="38B247E4"/>
    <w:rsid w:val="38B3031A"/>
    <w:rsid w:val="38B64561"/>
    <w:rsid w:val="38B90269"/>
    <w:rsid w:val="38C70CF9"/>
    <w:rsid w:val="38E248D3"/>
    <w:rsid w:val="38EA0422"/>
    <w:rsid w:val="38F17A02"/>
    <w:rsid w:val="39002727"/>
    <w:rsid w:val="39021BFB"/>
    <w:rsid w:val="39090D9D"/>
    <w:rsid w:val="390B715A"/>
    <w:rsid w:val="390C2146"/>
    <w:rsid w:val="39161217"/>
    <w:rsid w:val="391A3B64"/>
    <w:rsid w:val="392456E2"/>
    <w:rsid w:val="3927319D"/>
    <w:rsid w:val="393F076E"/>
    <w:rsid w:val="393F42CA"/>
    <w:rsid w:val="394144E6"/>
    <w:rsid w:val="396F2205"/>
    <w:rsid w:val="396F42D7"/>
    <w:rsid w:val="39781D2F"/>
    <w:rsid w:val="39817BDB"/>
    <w:rsid w:val="398D6777"/>
    <w:rsid w:val="398E6FFF"/>
    <w:rsid w:val="39A131D7"/>
    <w:rsid w:val="39A405D1"/>
    <w:rsid w:val="39B051C8"/>
    <w:rsid w:val="39C8164D"/>
    <w:rsid w:val="39CE38A0"/>
    <w:rsid w:val="39DC7D6B"/>
    <w:rsid w:val="39E41315"/>
    <w:rsid w:val="39EA5676"/>
    <w:rsid w:val="39F028E9"/>
    <w:rsid w:val="39F56F2D"/>
    <w:rsid w:val="39FA6443"/>
    <w:rsid w:val="3A0461D9"/>
    <w:rsid w:val="3A0472C2"/>
    <w:rsid w:val="3A051BD9"/>
    <w:rsid w:val="3A064DE8"/>
    <w:rsid w:val="3A0904C9"/>
    <w:rsid w:val="3A0B12D9"/>
    <w:rsid w:val="3A0B686E"/>
    <w:rsid w:val="3A0D1616"/>
    <w:rsid w:val="3A0D233E"/>
    <w:rsid w:val="3A2E434D"/>
    <w:rsid w:val="3A400359"/>
    <w:rsid w:val="3A414072"/>
    <w:rsid w:val="3A4678DA"/>
    <w:rsid w:val="3A4F17DD"/>
    <w:rsid w:val="3A555D6F"/>
    <w:rsid w:val="3A5A506A"/>
    <w:rsid w:val="3A641913"/>
    <w:rsid w:val="3A684643"/>
    <w:rsid w:val="3A6A35C8"/>
    <w:rsid w:val="3A79380C"/>
    <w:rsid w:val="3A7C3613"/>
    <w:rsid w:val="3A805B11"/>
    <w:rsid w:val="3A816B64"/>
    <w:rsid w:val="3A8328DC"/>
    <w:rsid w:val="3A95616C"/>
    <w:rsid w:val="3A9B3CB1"/>
    <w:rsid w:val="3AB650BA"/>
    <w:rsid w:val="3AB961D9"/>
    <w:rsid w:val="3ABB02C8"/>
    <w:rsid w:val="3ABB3E24"/>
    <w:rsid w:val="3ABD174D"/>
    <w:rsid w:val="3AC54CA3"/>
    <w:rsid w:val="3ACF5B21"/>
    <w:rsid w:val="3ACF6188"/>
    <w:rsid w:val="3AD924FC"/>
    <w:rsid w:val="3AE95B93"/>
    <w:rsid w:val="3AF630AE"/>
    <w:rsid w:val="3AF86EB3"/>
    <w:rsid w:val="3AFB270A"/>
    <w:rsid w:val="3AFD443D"/>
    <w:rsid w:val="3AFE0E69"/>
    <w:rsid w:val="3B060A97"/>
    <w:rsid w:val="3B0E4089"/>
    <w:rsid w:val="3B0F4170"/>
    <w:rsid w:val="3B2D45F6"/>
    <w:rsid w:val="3B305D8D"/>
    <w:rsid w:val="3B3F2CA7"/>
    <w:rsid w:val="3B46460B"/>
    <w:rsid w:val="3B4E27F1"/>
    <w:rsid w:val="3B516536"/>
    <w:rsid w:val="3B556027"/>
    <w:rsid w:val="3B842468"/>
    <w:rsid w:val="3B854432"/>
    <w:rsid w:val="3B9031CD"/>
    <w:rsid w:val="3B944458"/>
    <w:rsid w:val="3B9C1EA7"/>
    <w:rsid w:val="3BA743A8"/>
    <w:rsid w:val="3BA96372"/>
    <w:rsid w:val="3BB15227"/>
    <w:rsid w:val="3BB23479"/>
    <w:rsid w:val="3BB80364"/>
    <w:rsid w:val="3BC14FB6"/>
    <w:rsid w:val="3BE41159"/>
    <w:rsid w:val="3BF56EAB"/>
    <w:rsid w:val="3C0B6B50"/>
    <w:rsid w:val="3C12462C"/>
    <w:rsid w:val="3C1A101E"/>
    <w:rsid w:val="3C1F4887"/>
    <w:rsid w:val="3C1F6635"/>
    <w:rsid w:val="3C2123AD"/>
    <w:rsid w:val="3C256697"/>
    <w:rsid w:val="3C277297"/>
    <w:rsid w:val="3C522566"/>
    <w:rsid w:val="3C5C1637"/>
    <w:rsid w:val="3C601127"/>
    <w:rsid w:val="3C60319D"/>
    <w:rsid w:val="3C885C2D"/>
    <w:rsid w:val="3C8D7A42"/>
    <w:rsid w:val="3C9568F7"/>
    <w:rsid w:val="3CA440E8"/>
    <w:rsid w:val="3CAE1226"/>
    <w:rsid w:val="3CB02484"/>
    <w:rsid w:val="3CC51593"/>
    <w:rsid w:val="3CC5466D"/>
    <w:rsid w:val="3CC86CCC"/>
    <w:rsid w:val="3CE84C78"/>
    <w:rsid w:val="3CEC5B43"/>
    <w:rsid w:val="3D0521A2"/>
    <w:rsid w:val="3D0761C5"/>
    <w:rsid w:val="3D0870C9"/>
    <w:rsid w:val="3D0C1F81"/>
    <w:rsid w:val="3D121CF5"/>
    <w:rsid w:val="3D1837B0"/>
    <w:rsid w:val="3D1B6DFC"/>
    <w:rsid w:val="3D2739F3"/>
    <w:rsid w:val="3D324146"/>
    <w:rsid w:val="3D436353"/>
    <w:rsid w:val="3D4C16AB"/>
    <w:rsid w:val="3D536596"/>
    <w:rsid w:val="3D540560"/>
    <w:rsid w:val="3D6267D9"/>
    <w:rsid w:val="3D6D5956"/>
    <w:rsid w:val="3D6E33D0"/>
    <w:rsid w:val="3D8E0840"/>
    <w:rsid w:val="3D953A3C"/>
    <w:rsid w:val="3DAA0180"/>
    <w:rsid w:val="3DB17760"/>
    <w:rsid w:val="3DC456E6"/>
    <w:rsid w:val="3DC74499"/>
    <w:rsid w:val="3DD27E02"/>
    <w:rsid w:val="3DE25B6C"/>
    <w:rsid w:val="3DE73182"/>
    <w:rsid w:val="3DF064DB"/>
    <w:rsid w:val="3E03620E"/>
    <w:rsid w:val="3E077380"/>
    <w:rsid w:val="3E0B50C2"/>
    <w:rsid w:val="3E175815"/>
    <w:rsid w:val="3E1C72D0"/>
    <w:rsid w:val="3E1F291C"/>
    <w:rsid w:val="3E295549"/>
    <w:rsid w:val="3E2D328B"/>
    <w:rsid w:val="3E3321A7"/>
    <w:rsid w:val="3E336859"/>
    <w:rsid w:val="3E4403FD"/>
    <w:rsid w:val="3E495BEB"/>
    <w:rsid w:val="3E4B7F93"/>
    <w:rsid w:val="3E500AE7"/>
    <w:rsid w:val="3E562DA8"/>
    <w:rsid w:val="3E6C1DD2"/>
    <w:rsid w:val="3E772758"/>
    <w:rsid w:val="3E811967"/>
    <w:rsid w:val="3E8E020D"/>
    <w:rsid w:val="3E8E10D7"/>
    <w:rsid w:val="3E9A6446"/>
    <w:rsid w:val="3EC139D3"/>
    <w:rsid w:val="3ECA5368"/>
    <w:rsid w:val="3EE37A02"/>
    <w:rsid w:val="3EF1250A"/>
    <w:rsid w:val="3EF210C8"/>
    <w:rsid w:val="3EF26282"/>
    <w:rsid w:val="3F0062A9"/>
    <w:rsid w:val="3F042A00"/>
    <w:rsid w:val="3F052628"/>
    <w:rsid w:val="3F057D64"/>
    <w:rsid w:val="3F162E33"/>
    <w:rsid w:val="3F185CE9"/>
    <w:rsid w:val="3F1F2AFF"/>
    <w:rsid w:val="3F2301EA"/>
    <w:rsid w:val="3F3B725B"/>
    <w:rsid w:val="3F542A99"/>
    <w:rsid w:val="3F584337"/>
    <w:rsid w:val="3F5B42E5"/>
    <w:rsid w:val="3F5D0D73"/>
    <w:rsid w:val="3F6C1075"/>
    <w:rsid w:val="3F6E5909"/>
    <w:rsid w:val="3F73699C"/>
    <w:rsid w:val="3F991D2D"/>
    <w:rsid w:val="3FA605EF"/>
    <w:rsid w:val="3FAA2A9A"/>
    <w:rsid w:val="3FAE21A9"/>
    <w:rsid w:val="3FB728E8"/>
    <w:rsid w:val="3FB8125F"/>
    <w:rsid w:val="3FB93DF6"/>
    <w:rsid w:val="3FBF43B6"/>
    <w:rsid w:val="3FC01EDD"/>
    <w:rsid w:val="3FC165DA"/>
    <w:rsid w:val="3FC512A1"/>
    <w:rsid w:val="3FCC53DE"/>
    <w:rsid w:val="3FCF152A"/>
    <w:rsid w:val="3FDA7B9A"/>
    <w:rsid w:val="3FDF05B5"/>
    <w:rsid w:val="3FEB6F5A"/>
    <w:rsid w:val="3FEC2CD2"/>
    <w:rsid w:val="3FF51B86"/>
    <w:rsid w:val="3FF5523D"/>
    <w:rsid w:val="40132284"/>
    <w:rsid w:val="40273D0A"/>
    <w:rsid w:val="402746A5"/>
    <w:rsid w:val="402B4A0B"/>
    <w:rsid w:val="402C30CE"/>
    <w:rsid w:val="402F4312"/>
    <w:rsid w:val="40385F17"/>
    <w:rsid w:val="40490DFC"/>
    <w:rsid w:val="40520D87"/>
    <w:rsid w:val="40541C2A"/>
    <w:rsid w:val="40646D0C"/>
    <w:rsid w:val="40652DEC"/>
    <w:rsid w:val="40694322"/>
    <w:rsid w:val="406C6A5B"/>
    <w:rsid w:val="406E1939"/>
    <w:rsid w:val="406E36E7"/>
    <w:rsid w:val="40752CC7"/>
    <w:rsid w:val="40844CB8"/>
    <w:rsid w:val="409D5D7A"/>
    <w:rsid w:val="40A315E2"/>
    <w:rsid w:val="40A43FE1"/>
    <w:rsid w:val="40A4535A"/>
    <w:rsid w:val="40A67324"/>
    <w:rsid w:val="40B90E06"/>
    <w:rsid w:val="40C76942"/>
    <w:rsid w:val="40CD13D1"/>
    <w:rsid w:val="40FB141E"/>
    <w:rsid w:val="41057DE0"/>
    <w:rsid w:val="41067DC3"/>
    <w:rsid w:val="410A340F"/>
    <w:rsid w:val="410F6C78"/>
    <w:rsid w:val="411615DD"/>
    <w:rsid w:val="411B68D8"/>
    <w:rsid w:val="411E6EBB"/>
    <w:rsid w:val="41210759"/>
    <w:rsid w:val="41220FF0"/>
    <w:rsid w:val="41265D6F"/>
    <w:rsid w:val="4136036B"/>
    <w:rsid w:val="413A1437"/>
    <w:rsid w:val="415B010F"/>
    <w:rsid w:val="416061DE"/>
    <w:rsid w:val="41686388"/>
    <w:rsid w:val="41714917"/>
    <w:rsid w:val="41714ABE"/>
    <w:rsid w:val="417239FA"/>
    <w:rsid w:val="417E3DFD"/>
    <w:rsid w:val="4185518C"/>
    <w:rsid w:val="419B6942"/>
    <w:rsid w:val="41A03D74"/>
    <w:rsid w:val="41AF3E0D"/>
    <w:rsid w:val="41B14C08"/>
    <w:rsid w:val="41D63C39"/>
    <w:rsid w:val="41DB6C24"/>
    <w:rsid w:val="41E225DE"/>
    <w:rsid w:val="41F45E6E"/>
    <w:rsid w:val="41F540C0"/>
    <w:rsid w:val="41F61BE6"/>
    <w:rsid w:val="41FB2309"/>
    <w:rsid w:val="420936C7"/>
    <w:rsid w:val="420F2CA7"/>
    <w:rsid w:val="42177647"/>
    <w:rsid w:val="423D7540"/>
    <w:rsid w:val="423F358D"/>
    <w:rsid w:val="42415557"/>
    <w:rsid w:val="42552DB0"/>
    <w:rsid w:val="425829EB"/>
    <w:rsid w:val="4258464E"/>
    <w:rsid w:val="425863FC"/>
    <w:rsid w:val="425E6B2B"/>
    <w:rsid w:val="426B0B13"/>
    <w:rsid w:val="42725710"/>
    <w:rsid w:val="42756FAE"/>
    <w:rsid w:val="427D5E63"/>
    <w:rsid w:val="427D5FB9"/>
    <w:rsid w:val="4283791D"/>
    <w:rsid w:val="428471F1"/>
    <w:rsid w:val="428C42F8"/>
    <w:rsid w:val="428D7969"/>
    <w:rsid w:val="42912AD5"/>
    <w:rsid w:val="42997141"/>
    <w:rsid w:val="42A03AB3"/>
    <w:rsid w:val="42AD06AB"/>
    <w:rsid w:val="42AD6748"/>
    <w:rsid w:val="42B71375"/>
    <w:rsid w:val="42B75819"/>
    <w:rsid w:val="42B75BFA"/>
    <w:rsid w:val="42BA6AC5"/>
    <w:rsid w:val="42C43A92"/>
    <w:rsid w:val="42C6780A"/>
    <w:rsid w:val="42C73ED4"/>
    <w:rsid w:val="42D02437"/>
    <w:rsid w:val="42E93823"/>
    <w:rsid w:val="42F74E27"/>
    <w:rsid w:val="42F75C15"/>
    <w:rsid w:val="42FB31BC"/>
    <w:rsid w:val="43010842"/>
    <w:rsid w:val="430B09B1"/>
    <w:rsid w:val="431467C7"/>
    <w:rsid w:val="43302ED5"/>
    <w:rsid w:val="434D7F2B"/>
    <w:rsid w:val="43525542"/>
    <w:rsid w:val="43572B58"/>
    <w:rsid w:val="436E4F7B"/>
    <w:rsid w:val="437A441A"/>
    <w:rsid w:val="438356FB"/>
    <w:rsid w:val="438A7C97"/>
    <w:rsid w:val="438C4CBE"/>
    <w:rsid w:val="439873F8"/>
    <w:rsid w:val="43993170"/>
    <w:rsid w:val="43B92000"/>
    <w:rsid w:val="43BD5690"/>
    <w:rsid w:val="43C35C1B"/>
    <w:rsid w:val="43C53F65"/>
    <w:rsid w:val="43CE16C3"/>
    <w:rsid w:val="43D85A47"/>
    <w:rsid w:val="43DA1EAE"/>
    <w:rsid w:val="43DD4E0B"/>
    <w:rsid w:val="43E33F16"/>
    <w:rsid w:val="43EE7018"/>
    <w:rsid w:val="43F2579F"/>
    <w:rsid w:val="44006D4C"/>
    <w:rsid w:val="440634A7"/>
    <w:rsid w:val="441427F7"/>
    <w:rsid w:val="441533B6"/>
    <w:rsid w:val="4416656F"/>
    <w:rsid w:val="44191BBB"/>
    <w:rsid w:val="441A1D24"/>
    <w:rsid w:val="441B46E0"/>
    <w:rsid w:val="442003D6"/>
    <w:rsid w:val="44254A04"/>
    <w:rsid w:val="44305883"/>
    <w:rsid w:val="44314417"/>
    <w:rsid w:val="4431722A"/>
    <w:rsid w:val="44380293"/>
    <w:rsid w:val="444A3B26"/>
    <w:rsid w:val="444C3D3F"/>
    <w:rsid w:val="444D151C"/>
    <w:rsid w:val="444E5D09"/>
    <w:rsid w:val="44574B66"/>
    <w:rsid w:val="44574C64"/>
    <w:rsid w:val="44652202"/>
    <w:rsid w:val="44692B43"/>
    <w:rsid w:val="446E19C5"/>
    <w:rsid w:val="44722751"/>
    <w:rsid w:val="447755E0"/>
    <w:rsid w:val="447926CC"/>
    <w:rsid w:val="447F4114"/>
    <w:rsid w:val="44872FC9"/>
    <w:rsid w:val="448E4357"/>
    <w:rsid w:val="44973E88"/>
    <w:rsid w:val="44A92F3F"/>
    <w:rsid w:val="44B20F16"/>
    <w:rsid w:val="44B92936"/>
    <w:rsid w:val="44C4421D"/>
    <w:rsid w:val="44C47D79"/>
    <w:rsid w:val="44CB3942"/>
    <w:rsid w:val="44CD1324"/>
    <w:rsid w:val="44EE2822"/>
    <w:rsid w:val="44F22B38"/>
    <w:rsid w:val="4503689F"/>
    <w:rsid w:val="450D7972"/>
    <w:rsid w:val="450F35F0"/>
    <w:rsid w:val="45103DD0"/>
    <w:rsid w:val="451413E5"/>
    <w:rsid w:val="451A3E3D"/>
    <w:rsid w:val="452A22D2"/>
    <w:rsid w:val="452B429C"/>
    <w:rsid w:val="4561451C"/>
    <w:rsid w:val="456F4189"/>
    <w:rsid w:val="45703A5D"/>
    <w:rsid w:val="4577128F"/>
    <w:rsid w:val="457E43CC"/>
    <w:rsid w:val="458F615D"/>
    <w:rsid w:val="45924563"/>
    <w:rsid w:val="45967968"/>
    <w:rsid w:val="45991206"/>
    <w:rsid w:val="45AF27D7"/>
    <w:rsid w:val="45B22572"/>
    <w:rsid w:val="45B64647"/>
    <w:rsid w:val="45C51FFB"/>
    <w:rsid w:val="45C67564"/>
    <w:rsid w:val="45CC5137"/>
    <w:rsid w:val="45D53A12"/>
    <w:rsid w:val="45DB181E"/>
    <w:rsid w:val="45E36925"/>
    <w:rsid w:val="45EC3A2B"/>
    <w:rsid w:val="45ED50AE"/>
    <w:rsid w:val="45EF0E26"/>
    <w:rsid w:val="45F0314A"/>
    <w:rsid w:val="45F11042"/>
    <w:rsid w:val="45F41845"/>
    <w:rsid w:val="45FB3C6E"/>
    <w:rsid w:val="461865CE"/>
    <w:rsid w:val="46192347"/>
    <w:rsid w:val="4622744D"/>
    <w:rsid w:val="46240C16"/>
    <w:rsid w:val="46362EF9"/>
    <w:rsid w:val="464135B9"/>
    <w:rsid w:val="46651454"/>
    <w:rsid w:val="466A1160"/>
    <w:rsid w:val="466A5972"/>
    <w:rsid w:val="467D28D5"/>
    <w:rsid w:val="467F0CF9"/>
    <w:rsid w:val="46845A12"/>
    <w:rsid w:val="46935C55"/>
    <w:rsid w:val="469D7A0C"/>
    <w:rsid w:val="469E30C8"/>
    <w:rsid w:val="469F284C"/>
    <w:rsid w:val="46A66AE4"/>
    <w:rsid w:val="46B02CAB"/>
    <w:rsid w:val="46B07A99"/>
    <w:rsid w:val="46BA58D8"/>
    <w:rsid w:val="46DB2D69"/>
    <w:rsid w:val="46DD752E"/>
    <w:rsid w:val="46E14C12"/>
    <w:rsid w:val="46E666CD"/>
    <w:rsid w:val="46E83167"/>
    <w:rsid w:val="46EA1BC3"/>
    <w:rsid w:val="46EB3CE3"/>
    <w:rsid w:val="470B1C8F"/>
    <w:rsid w:val="470E1780"/>
    <w:rsid w:val="471825FE"/>
    <w:rsid w:val="47266AC9"/>
    <w:rsid w:val="473E02B7"/>
    <w:rsid w:val="475278BE"/>
    <w:rsid w:val="47567456"/>
    <w:rsid w:val="47571378"/>
    <w:rsid w:val="47620709"/>
    <w:rsid w:val="476870E2"/>
    <w:rsid w:val="476F0470"/>
    <w:rsid w:val="47705F96"/>
    <w:rsid w:val="4779309D"/>
    <w:rsid w:val="4783201A"/>
    <w:rsid w:val="47841A42"/>
    <w:rsid w:val="47897BD1"/>
    <w:rsid w:val="478C7274"/>
    <w:rsid w:val="47953C4F"/>
    <w:rsid w:val="479E6FA7"/>
    <w:rsid w:val="47A60AB3"/>
    <w:rsid w:val="47C167F2"/>
    <w:rsid w:val="47C3579D"/>
    <w:rsid w:val="47D06858"/>
    <w:rsid w:val="47D76015"/>
    <w:rsid w:val="47E8402A"/>
    <w:rsid w:val="47EF15B1"/>
    <w:rsid w:val="47F46BC7"/>
    <w:rsid w:val="47F941DE"/>
    <w:rsid w:val="4812652E"/>
    <w:rsid w:val="4823125B"/>
    <w:rsid w:val="48315726"/>
    <w:rsid w:val="483671E0"/>
    <w:rsid w:val="483F42E6"/>
    <w:rsid w:val="484216E1"/>
    <w:rsid w:val="485338EE"/>
    <w:rsid w:val="485476CA"/>
    <w:rsid w:val="48581F4C"/>
    <w:rsid w:val="48671147"/>
    <w:rsid w:val="486A0C38"/>
    <w:rsid w:val="487806ED"/>
    <w:rsid w:val="488F68F0"/>
    <w:rsid w:val="48902522"/>
    <w:rsid w:val="489136A5"/>
    <w:rsid w:val="489857A5"/>
    <w:rsid w:val="489D2DBB"/>
    <w:rsid w:val="48A26623"/>
    <w:rsid w:val="48B819A3"/>
    <w:rsid w:val="48C41A79"/>
    <w:rsid w:val="48C7608A"/>
    <w:rsid w:val="48CA4C16"/>
    <w:rsid w:val="48D01517"/>
    <w:rsid w:val="48D04F3E"/>
    <w:rsid w:val="48D72771"/>
    <w:rsid w:val="48DC7D87"/>
    <w:rsid w:val="48DF33D4"/>
    <w:rsid w:val="48F50E49"/>
    <w:rsid w:val="48F775B2"/>
    <w:rsid w:val="48FF5824"/>
    <w:rsid w:val="490B2932"/>
    <w:rsid w:val="49383470"/>
    <w:rsid w:val="493C25D4"/>
    <w:rsid w:val="49425CA3"/>
    <w:rsid w:val="49442E8E"/>
    <w:rsid w:val="4950607F"/>
    <w:rsid w:val="495E69EE"/>
    <w:rsid w:val="496658A3"/>
    <w:rsid w:val="496D09DF"/>
    <w:rsid w:val="498521CD"/>
    <w:rsid w:val="49865F45"/>
    <w:rsid w:val="498E6727"/>
    <w:rsid w:val="49A73A62"/>
    <w:rsid w:val="49AB775A"/>
    <w:rsid w:val="49BA7748"/>
    <w:rsid w:val="49BC1079"/>
    <w:rsid w:val="49C1138B"/>
    <w:rsid w:val="49C5081B"/>
    <w:rsid w:val="49C95F6F"/>
    <w:rsid w:val="49CC7DFC"/>
    <w:rsid w:val="49D46CB0"/>
    <w:rsid w:val="49D765D8"/>
    <w:rsid w:val="49E7203E"/>
    <w:rsid w:val="49F219FE"/>
    <w:rsid w:val="49F25388"/>
    <w:rsid w:val="4A064990"/>
    <w:rsid w:val="4A0A26D2"/>
    <w:rsid w:val="4A1C7C0D"/>
    <w:rsid w:val="4A203ECA"/>
    <w:rsid w:val="4A4B0101"/>
    <w:rsid w:val="4A4F4589"/>
    <w:rsid w:val="4A525E27"/>
    <w:rsid w:val="4A6E0B49"/>
    <w:rsid w:val="4A911C8D"/>
    <w:rsid w:val="4A956670"/>
    <w:rsid w:val="4A987CDE"/>
    <w:rsid w:val="4AA50588"/>
    <w:rsid w:val="4AA91EEB"/>
    <w:rsid w:val="4ACB4AB7"/>
    <w:rsid w:val="4ACE3700"/>
    <w:rsid w:val="4AD34597"/>
    <w:rsid w:val="4AE747C1"/>
    <w:rsid w:val="4AF0648E"/>
    <w:rsid w:val="4AF62C56"/>
    <w:rsid w:val="4B0343DF"/>
    <w:rsid w:val="4B0C25C9"/>
    <w:rsid w:val="4B101F6A"/>
    <w:rsid w:val="4B2C0426"/>
    <w:rsid w:val="4B2D6177"/>
    <w:rsid w:val="4B3774F7"/>
    <w:rsid w:val="4B38501D"/>
    <w:rsid w:val="4B4065AF"/>
    <w:rsid w:val="4B49722A"/>
    <w:rsid w:val="4B505594"/>
    <w:rsid w:val="4B577B99"/>
    <w:rsid w:val="4B5F6A4E"/>
    <w:rsid w:val="4B6040B1"/>
    <w:rsid w:val="4B62209A"/>
    <w:rsid w:val="4B647BC0"/>
    <w:rsid w:val="4B751DCD"/>
    <w:rsid w:val="4B83125E"/>
    <w:rsid w:val="4B944949"/>
    <w:rsid w:val="4BA24D84"/>
    <w:rsid w:val="4BB7203F"/>
    <w:rsid w:val="4BCB40E3"/>
    <w:rsid w:val="4BD44D46"/>
    <w:rsid w:val="4BD765A8"/>
    <w:rsid w:val="4BD765E4"/>
    <w:rsid w:val="4BE17463"/>
    <w:rsid w:val="4C0849DC"/>
    <w:rsid w:val="4C11583C"/>
    <w:rsid w:val="4C1415E6"/>
    <w:rsid w:val="4C207F8B"/>
    <w:rsid w:val="4C240357"/>
    <w:rsid w:val="4C254ACF"/>
    <w:rsid w:val="4C2D08FA"/>
    <w:rsid w:val="4C3C28EB"/>
    <w:rsid w:val="4C5D11DF"/>
    <w:rsid w:val="4C60482B"/>
    <w:rsid w:val="4C6E4D65"/>
    <w:rsid w:val="4C7107E7"/>
    <w:rsid w:val="4C8147A2"/>
    <w:rsid w:val="4C82133E"/>
    <w:rsid w:val="4C871CAA"/>
    <w:rsid w:val="4C887A3C"/>
    <w:rsid w:val="4C8F3363"/>
    <w:rsid w:val="4C9B3AB5"/>
    <w:rsid w:val="4CA7245A"/>
    <w:rsid w:val="4CAD36A2"/>
    <w:rsid w:val="4CAF130F"/>
    <w:rsid w:val="4CB54D28"/>
    <w:rsid w:val="4CBB2B99"/>
    <w:rsid w:val="4CC065F7"/>
    <w:rsid w:val="4CCC3C6F"/>
    <w:rsid w:val="4CD62D3F"/>
    <w:rsid w:val="4CF66F3E"/>
    <w:rsid w:val="4CF907DC"/>
    <w:rsid w:val="4CFE521D"/>
    <w:rsid w:val="4D0A2E03"/>
    <w:rsid w:val="4D0F7FFF"/>
    <w:rsid w:val="4D113D78"/>
    <w:rsid w:val="4D2609ED"/>
    <w:rsid w:val="4D2E0486"/>
    <w:rsid w:val="4D2F39D8"/>
    <w:rsid w:val="4D317F76"/>
    <w:rsid w:val="4D3D691B"/>
    <w:rsid w:val="4D422BEC"/>
    <w:rsid w:val="4D502AF2"/>
    <w:rsid w:val="4D6C7200"/>
    <w:rsid w:val="4D73160D"/>
    <w:rsid w:val="4D826A23"/>
    <w:rsid w:val="4D8B3B2A"/>
    <w:rsid w:val="4D8C1650"/>
    <w:rsid w:val="4DA150FB"/>
    <w:rsid w:val="4DAB41CC"/>
    <w:rsid w:val="4DAB7D28"/>
    <w:rsid w:val="4DB12E65"/>
    <w:rsid w:val="4DCC4AAA"/>
    <w:rsid w:val="4DD0778F"/>
    <w:rsid w:val="4DD077BB"/>
    <w:rsid w:val="4DD51C8D"/>
    <w:rsid w:val="4DD74FC1"/>
    <w:rsid w:val="4DDC25D7"/>
    <w:rsid w:val="4DE82D2A"/>
    <w:rsid w:val="4DF571F5"/>
    <w:rsid w:val="4DF711BF"/>
    <w:rsid w:val="4E0336C0"/>
    <w:rsid w:val="4E121B55"/>
    <w:rsid w:val="4E1242A9"/>
    <w:rsid w:val="4E175DFB"/>
    <w:rsid w:val="4E1C0C26"/>
    <w:rsid w:val="4E1D0882"/>
    <w:rsid w:val="4E244990"/>
    <w:rsid w:val="4E2C1601"/>
    <w:rsid w:val="4E320449"/>
    <w:rsid w:val="4E323FA5"/>
    <w:rsid w:val="4E33128A"/>
    <w:rsid w:val="4E4D5283"/>
    <w:rsid w:val="4E524648"/>
    <w:rsid w:val="4E5A52AA"/>
    <w:rsid w:val="4E600B13"/>
    <w:rsid w:val="4E6E783B"/>
    <w:rsid w:val="4E8A3DE2"/>
    <w:rsid w:val="4E8A5B90"/>
    <w:rsid w:val="4E915170"/>
    <w:rsid w:val="4E946A0E"/>
    <w:rsid w:val="4E9B72EC"/>
    <w:rsid w:val="4EA53C12"/>
    <w:rsid w:val="4EA815FA"/>
    <w:rsid w:val="4EAB591A"/>
    <w:rsid w:val="4EC56BC8"/>
    <w:rsid w:val="4EC92B5C"/>
    <w:rsid w:val="4ECA2430"/>
    <w:rsid w:val="4ED96B17"/>
    <w:rsid w:val="4EEC725B"/>
    <w:rsid w:val="4EF456FF"/>
    <w:rsid w:val="4F006F9C"/>
    <w:rsid w:val="4F02606E"/>
    <w:rsid w:val="4F027E1C"/>
    <w:rsid w:val="4F05774D"/>
    <w:rsid w:val="4F165675"/>
    <w:rsid w:val="4F22484E"/>
    <w:rsid w:val="4F247D92"/>
    <w:rsid w:val="4F530677"/>
    <w:rsid w:val="4F602D94"/>
    <w:rsid w:val="4F6356C6"/>
    <w:rsid w:val="4F6B59C1"/>
    <w:rsid w:val="4F74239C"/>
    <w:rsid w:val="4F77611B"/>
    <w:rsid w:val="4F7B6EAF"/>
    <w:rsid w:val="4F9547EC"/>
    <w:rsid w:val="4F9C201E"/>
    <w:rsid w:val="4FA115B8"/>
    <w:rsid w:val="4FBA6948"/>
    <w:rsid w:val="4FC31CD2"/>
    <w:rsid w:val="4FC96B8B"/>
    <w:rsid w:val="4FCE7A0A"/>
    <w:rsid w:val="4FD521A6"/>
    <w:rsid w:val="4FE94594"/>
    <w:rsid w:val="500205D5"/>
    <w:rsid w:val="50047BC4"/>
    <w:rsid w:val="50106916"/>
    <w:rsid w:val="501A2F43"/>
    <w:rsid w:val="501F67AB"/>
    <w:rsid w:val="50250E63"/>
    <w:rsid w:val="50352A1E"/>
    <w:rsid w:val="50370C57"/>
    <w:rsid w:val="5038161B"/>
    <w:rsid w:val="50406E4E"/>
    <w:rsid w:val="504F52E3"/>
    <w:rsid w:val="50502E09"/>
    <w:rsid w:val="50566671"/>
    <w:rsid w:val="50593ACE"/>
    <w:rsid w:val="50602D42"/>
    <w:rsid w:val="50782C11"/>
    <w:rsid w:val="508C1050"/>
    <w:rsid w:val="5099030C"/>
    <w:rsid w:val="509B4084"/>
    <w:rsid w:val="50AB003F"/>
    <w:rsid w:val="50BF6765"/>
    <w:rsid w:val="50C01D3C"/>
    <w:rsid w:val="50CD6207"/>
    <w:rsid w:val="50CE7637"/>
    <w:rsid w:val="50D15CF8"/>
    <w:rsid w:val="50DB6B76"/>
    <w:rsid w:val="50E517A3"/>
    <w:rsid w:val="50EA0B67"/>
    <w:rsid w:val="50EA5B3B"/>
    <w:rsid w:val="50EC2B32"/>
    <w:rsid w:val="50F04C42"/>
    <w:rsid w:val="50F8649E"/>
    <w:rsid w:val="51081B1D"/>
    <w:rsid w:val="51087240"/>
    <w:rsid w:val="51121655"/>
    <w:rsid w:val="512567E1"/>
    <w:rsid w:val="5128044E"/>
    <w:rsid w:val="51340038"/>
    <w:rsid w:val="5167665C"/>
    <w:rsid w:val="51711289"/>
    <w:rsid w:val="517A7FEF"/>
    <w:rsid w:val="51850890"/>
    <w:rsid w:val="518865EC"/>
    <w:rsid w:val="518C58ED"/>
    <w:rsid w:val="519136D9"/>
    <w:rsid w:val="51986815"/>
    <w:rsid w:val="519B2AC5"/>
    <w:rsid w:val="51A0391C"/>
    <w:rsid w:val="51A53A93"/>
    <w:rsid w:val="51A86C19"/>
    <w:rsid w:val="51AE56FE"/>
    <w:rsid w:val="51BA6964"/>
    <w:rsid w:val="51DC2BA6"/>
    <w:rsid w:val="51DD06CC"/>
    <w:rsid w:val="51F353CA"/>
    <w:rsid w:val="52020133"/>
    <w:rsid w:val="52075C20"/>
    <w:rsid w:val="521265C8"/>
    <w:rsid w:val="52161998"/>
    <w:rsid w:val="52197B0F"/>
    <w:rsid w:val="521E6C88"/>
    <w:rsid w:val="52234810"/>
    <w:rsid w:val="5224454D"/>
    <w:rsid w:val="522678BC"/>
    <w:rsid w:val="52344790"/>
    <w:rsid w:val="523C3645"/>
    <w:rsid w:val="5248023B"/>
    <w:rsid w:val="524E3378"/>
    <w:rsid w:val="5257047F"/>
    <w:rsid w:val="525766D1"/>
    <w:rsid w:val="525B2C73"/>
    <w:rsid w:val="526D1A50"/>
    <w:rsid w:val="526E3F9D"/>
    <w:rsid w:val="52884ADC"/>
    <w:rsid w:val="528F7C18"/>
    <w:rsid w:val="52911BE2"/>
    <w:rsid w:val="529F66D1"/>
    <w:rsid w:val="52A03BD4"/>
    <w:rsid w:val="52A511EA"/>
    <w:rsid w:val="52BB785E"/>
    <w:rsid w:val="52CB42C1"/>
    <w:rsid w:val="52CC1AB7"/>
    <w:rsid w:val="52CF6267"/>
    <w:rsid w:val="52D970E6"/>
    <w:rsid w:val="52ED0DE3"/>
    <w:rsid w:val="52ED3A98"/>
    <w:rsid w:val="52F45CCD"/>
    <w:rsid w:val="52F932E4"/>
    <w:rsid w:val="52FE6B4C"/>
    <w:rsid w:val="52FE7683"/>
    <w:rsid w:val="53023148"/>
    <w:rsid w:val="53034162"/>
    <w:rsid w:val="53114AD1"/>
    <w:rsid w:val="531363EC"/>
    <w:rsid w:val="53166804"/>
    <w:rsid w:val="532319B6"/>
    <w:rsid w:val="5349426B"/>
    <w:rsid w:val="53542C10"/>
    <w:rsid w:val="53656BCB"/>
    <w:rsid w:val="5385101B"/>
    <w:rsid w:val="538D3BC8"/>
    <w:rsid w:val="539354E6"/>
    <w:rsid w:val="539A4AC7"/>
    <w:rsid w:val="53A414A2"/>
    <w:rsid w:val="53A5521A"/>
    <w:rsid w:val="53AA3AEE"/>
    <w:rsid w:val="53B07B19"/>
    <w:rsid w:val="53C5766A"/>
    <w:rsid w:val="53CB1124"/>
    <w:rsid w:val="53CB2ED2"/>
    <w:rsid w:val="53D1600F"/>
    <w:rsid w:val="53D55AFF"/>
    <w:rsid w:val="53E75832"/>
    <w:rsid w:val="53F21C9D"/>
    <w:rsid w:val="53FD32A8"/>
    <w:rsid w:val="540006A2"/>
    <w:rsid w:val="5408687A"/>
    <w:rsid w:val="54104D89"/>
    <w:rsid w:val="54107BDD"/>
    <w:rsid w:val="54162536"/>
    <w:rsid w:val="54375B73"/>
    <w:rsid w:val="544C569C"/>
    <w:rsid w:val="54531D4B"/>
    <w:rsid w:val="545804DE"/>
    <w:rsid w:val="546B0211"/>
    <w:rsid w:val="546E7D01"/>
    <w:rsid w:val="54724797"/>
    <w:rsid w:val="547C7191"/>
    <w:rsid w:val="54864521"/>
    <w:rsid w:val="548A0C7D"/>
    <w:rsid w:val="549B522E"/>
    <w:rsid w:val="54A0435F"/>
    <w:rsid w:val="54AF6B6F"/>
    <w:rsid w:val="54B0628E"/>
    <w:rsid w:val="54BC281B"/>
    <w:rsid w:val="54DD7266"/>
    <w:rsid w:val="54DE6C35"/>
    <w:rsid w:val="54F2623D"/>
    <w:rsid w:val="550A2470"/>
    <w:rsid w:val="55110CEB"/>
    <w:rsid w:val="5512068D"/>
    <w:rsid w:val="551663CF"/>
    <w:rsid w:val="551D5F9C"/>
    <w:rsid w:val="551E7032"/>
    <w:rsid w:val="552705DC"/>
    <w:rsid w:val="552A1D96"/>
    <w:rsid w:val="552B3724"/>
    <w:rsid w:val="55442BB6"/>
    <w:rsid w:val="55480552"/>
    <w:rsid w:val="55540CA5"/>
    <w:rsid w:val="555C7B5A"/>
    <w:rsid w:val="555D3FFE"/>
    <w:rsid w:val="5563538C"/>
    <w:rsid w:val="556E0BD7"/>
    <w:rsid w:val="5577389C"/>
    <w:rsid w:val="558A2919"/>
    <w:rsid w:val="55A35789"/>
    <w:rsid w:val="55A54F38"/>
    <w:rsid w:val="55AA6890"/>
    <w:rsid w:val="55AC3D89"/>
    <w:rsid w:val="55B263DE"/>
    <w:rsid w:val="55B37B1A"/>
    <w:rsid w:val="55CA619E"/>
    <w:rsid w:val="55D6344D"/>
    <w:rsid w:val="55D818D6"/>
    <w:rsid w:val="55E95892"/>
    <w:rsid w:val="56097CE2"/>
    <w:rsid w:val="561B7A15"/>
    <w:rsid w:val="563E571F"/>
    <w:rsid w:val="564766B7"/>
    <w:rsid w:val="56576C9F"/>
    <w:rsid w:val="56622056"/>
    <w:rsid w:val="56645843"/>
    <w:rsid w:val="5671159D"/>
    <w:rsid w:val="56723AD9"/>
    <w:rsid w:val="567535C9"/>
    <w:rsid w:val="56861332"/>
    <w:rsid w:val="56AE2637"/>
    <w:rsid w:val="56C11006"/>
    <w:rsid w:val="56CF2CD9"/>
    <w:rsid w:val="56D20724"/>
    <w:rsid w:val="56D73EF4"/>
    <w:rsid w:val="56E147BB"/>
    <w:rsid w:val="56EB73E7"/>
    <w:rsid w:val="56FC33A3"/>
    <w:rsid w:val="57071EFB"/>
    <w:rsid w:val="57366C5E"/>
    <w:rsid w:val="573963A5"/>
    <w:rsid w:val="57401A2B"/>
    <w:rsid w:val="57407733"/>
    <w:rsid w:val="574B0E81"/>
    <w:rsid w:val="57515644"/>
    <w:rsid w:val="575E405D"/>
    <w:rsid w:val="576073B8"/>
    <w:rsid w:val="576553EC"/>
    <w:rsid w:val="576F173F"/>
    <w:rsid w:val="577B69BD"/>
    <w:rsid w:val="57835872"/>
    <w:rsid w:val="578B2CBE"/>
    <w:rsid w:val="57911D3D"/>
    <w:rsid w:val="57917F8F"/>
    <w:rsid w:val="579420CB"/>
    <w:rsid w:val="57AF3A2D"/>
    <w:rsid w:val="57B217FC"/>
    <w:rsid w:val="57B31562"/>
    <w:rsid w:val="57BB500C"/>
    <w:rsid w:val="57C15027"/>
    <w:rsid w:val="57D460CD"/>
    <w:rsid w:val="57D52571"/>
    <w:rsid w:val="57D936E4"/>
    <w:rsid w:val="57F65AD2"/>
    <w:rsid w:val="57FB2843"/>
    <w:rsid w:val="58005114"/>
    <w:rsid w:val="580C7B37"/>
    <w:rsid w:val="5821678F"/>
    <w:rsid w:val="5822322A"/>
    <w:rsid w:val="58294405"/>
    <w:rsid w:val="582F1556"/>
    <w:rsid w:val="584414FA"/>
    <w:rsid w:val="584722A5"/>
    <w:rsid w:val="584C035A"/>
    <w:rsid w:val="585039A6"/>
    <w:rsid w:val="585D2567"/>
    <w:rsid w:val="586B1A2F"/>
    <w:rsid w:val="586C4999"/>
    <w:rsid w:val="5878114F"/>
    <w:rsid w:val="587A6F3C"/>
    <w:rsid w:val="589C4E3D"/>
    <w:rsid w:val="58A41F44"/>
    <w:rsid w:val="58B32187"/>
    <w:rsid w:val="58C20AB6"/>
    <w:rsid w:val="58C942E7"/>
    <w:rsid w:val="58D17048"/>
    <w:rsid w:val="58DA5965"/>
    <w:rsid w:val="58DC2FA9"/>
    <w:rsid w:val="58E46427"/>
    <w:rsid w:val="58E6430A"/>
    <w:rsid w:val="58E94E48"/>
    <w:rsid w:val="58ED10AE"/>
    <w:rsid w:val="58ED7447"/>
    <w:rsid w:val="58EE0FAF"/>
    <w:rsid w:val="58FC3B2E"/>
    <w:rsid w:val="58FF717A"/>
    <w:rsid w:val="590824D3"/>
    <w:rsid w:val="590B0E34"/>
    <w:rsid w:val="59101387"/>
    <w:rsid w:val="592102E2"/>
    <w:rsid w:val="59374B66"/>
    <w:rsid w:val="59433FB1"/>
    <w:rsid w:val="59443A99"/>
    <w:rsid w:val="59457283"/>
    <w:rsid w:val="59605E6B"/>
    <w:rsid w:val="59617565"/>
    <w:rsid w:val="59617E35"/>
    <w:rsid w:val="59744518"/>
    <w:rsid w:val="5976568E"/>
    <w:rsid w:val="597731B4"/>
    <w:rsid w:val="59914276"/>
    <w:rsid w:val="599B6EA3"/>
    <w:rsid w:val="59A541C5"/>
    <w:rsid w:val="59B44408"/>
    <w:rsid w:val="59B6051E"/>
    <w:rsid w:val="59C503C4"/>
    <w:rsid w:val="59D95C1D"/>
    <w:rsid w:val="59F214ED"/>
    <w:rsid w:val="59F8455A"/>
    <w:rsid w:val="5A0A5DD6"/>
    <w:rsid w:val="5A0E1D6B"/>
    <w:rsid w:val="5A112375"/>
    <w:rsid w:val="5A13761A"/>
    <w:rsid w:val="5A1E08C2"/>
    <w:rsid w:val="5A24333C"/>
    <w:rsid w:val="5A2C0443"/>
    <w:rsid w:val="5A2E3651"/>
    <w:rsid w:val="5A3612C1"/>
    <w:rsid w:val="5A3E17E3"/>
    <w:rsid w:val="5A422E88"/>
    <w:rsid w:val="5A44578C"/>
    <w:rsid w:val="5A596455"/>
    <w:rsid w:val="5A5A6D5E"/>
    <w:rsid w:val="5A5D05FC"/>
    <w:rsid w:val="5A673229"/>
    <w:rsid w:val="5A7122F9"/>
    <w:rsid w:val="5A71375D"/>
    <w:rsid w:val="5A753DA0"/>
    <w:rsid w:val="5A89142B"/>
    <w:rsid w:val="5A92474A"/>
    <w:rsid w:val="5A9702EF"/>
    <w:rsid w:val="5A98025F"/>
    <w:rsid w:val="5AA004E9"/>
    <w:rsid w:val="5AA2724A"/>
    <w:rsid w:val="5AAB1367"/>
    <w:rsid w:val="5AB3646E"/>
    <w:rsid w:val="5ABA37AE"/>
    <w:rsid w:val="5AE3714B"/>
    <w:rsid w:val="5AED7BD2"/>
    <w:rsid w:val="5AF01470"/>
    <w:rsid w:val="5AF70A51"/>
    <w:rsid w:val="5AF81503"/>
    <w:rsid w:val="5B101B12"/>
    <w:rsid w:val="5B1213E7"/>
    <w:rsid w:val="5B2F0099"/>
    <w:rsid w:val="5B394BC5"/>
    <w:rsid w:val="5B3B4331"/>
    <w:rsid w:val="5B595A32"/>
    <w:rsid w:val="5B5E287E"/>
    <w:rsid w:val="5B7E4CCE"/>
    <w:rsid w:val="5B85605C"/>
    <w:rsid w:val="5B8B700B"/>
    <w:rsid w:val="5B8F2A37"/>
    <w:rsid w:val="5BAC5F7F"/>
    <w:rsid w:val="5BB74794"/>
    <w:rsid w:val="5BC433D0"/>
    <w:rsid w:val="5BC95A66"/>
    <w:rsid w:val="5BD90156"/>
    <w:rsid w:val="5BE2700B"/>
    <w:rsid w:val="5BE40B42"/>
    <w:rsid w:val="5BEA4111"/>
    <w:rsid w:val="5BF705DC"/>
    <w:rsid w:val="5C0C6FC2"/>
    <w:rsid w:val="5C182A2D"/>
    <w:rsid w:val="5C1C07A4"/>
    <w:rsid w:val="5C246606"/>
    <w:rsid w:val="5C2B20C3"/>
    <w:rsid w:val="5C2B3F8B"/>
    <w:rsid w:val="5C2C79C1"/>
    <w:rsid w:val="5C3A62DE"/>
    <w:rsid w:val="5C425CFC"/>
    <w:rsid w:val="5C431F37"/>
    <w:rsid w:val="5C4B206E"/>
    <w:rsid w:val="5C4F4537"/>
    <w:rsid w:val="5C56031C"/>
    <w:rsid w:val="5C583771"/>
    <w:rsid w:val="5C5A1297"/>
    <w:rsid w:val="5C626972"/>
    <w:rsid w:val="5C633279"/>
    <w:rsid w:val="5C693288"/>
    <w:rsid w:val="5C8400C2"/>
    <w:rsid w:val="5C904CB9"/>
    <w:rsid w:val="5C922F53"/>
    <w:rsid w:val="5C9347A9"/>
    <w:rsid w:val="5C9522CF"/>
    <w:rsid w:val="5C961BA3"/>
    <w:rsid w:val="5C9702B9"/>
    <w:rsid w:val="5C9A1106"/>
    <w:rsid w:val="5CA40764"/>
    <w:rsid w:val="5CB169DD"/>
    <w:rsid w:val="5CB309A7"/>
    <w:rsid w:val="5CB3755F"/>
    <w:rsid w:val="5CB73713"/>
    <w:rsid w:val="5CD31049"/>
    <w:rsid w:val="5CDA23D8"/>
    <w:rsid w:val="5CE861E2"/>
    <w:rsid w:val="5CEB5E28"/>
    <w:rsid w:val="5CFA45E8"/>
    <w:rsid w:val="5D042FB1"/>
    <w:rsid w:val="5D292A17"/>
    <w:rsid w:val="5D2B15A2"/>
    <w:rsid w:val="5D2C4A60"/>
    <w:rsid w:val="5D35760E"/>
    <w:rsid w:val="5D5932FD"/>
    <w:rsid w:val="5D5C2546"/>
    <w:rsid w:val="5D5E28C7"/>
    <w:rsid w:val="5D6F0D72"/>
    <w:rsid w:val="5D746389"/>
    <w:rsid w:val="5D9D6ED7"/>
    <w:rsid w:val="5DA36C6E"/>
    <w:rsid w:val="5DAF5613"/>
    <w:rsid w:val="5DCA41FA"/>
    <w:rsid w:val="5DCF6A0F"/>
    <w:rsid w:val="5DD9761C"/>
    <w:rsid w:val="5DDE3B09"/>
    <w:rsid w:val="5DEF78BB"/>
    <w:rsid w:val="5DF179D9"/>
    <w:rsid w:val="5E0314BA"/>
    <w:rsid w:val="5E164CF0"/>
    <w:rsid w:val="5E1E62F4"/>
    <w:rsid w:val="5E2F0501"/>
    <w:rsid w:val="5E4E6BDA"/>
    <w:rsid w:val="5E512226"/>
    <w:rsid w:val="5E5A1A90"/>
    <w:rsid w:val="5E684C2A"/>
    <w:rsid w:val="5E6F2A83"/>
    <w:rsid w:val="5E802B0B"/>
    <w:rsid w:val="5E895E64"/>
    <w:rsid w:val="5EA20CD3"/>
    <w:rsid w:val="5EA54933"/>
    <w:rsid w:val="5EB22277"/>
    <w:rsid w:val="5EC46E9C"/>
    <w:rsid w:val="5ED115B9"/>
    <w:rsid w:val="5ED510A9"/>
    <w:rsid w:val="5ED719F0"/>
    <w:rsid w:val="5EDF5A84"/>
    <w:rsid w:val="5EE27322"/>
    <w:rsid w:val="5EEB4428"/>
    <w:rsid w:val="5EF3152F"/>
    <w:rsid w:val="5EF54319"/>
    <w:rsid w:val="5EF808F3"/>
    <w:rsid w:val="5F221E14"/>
    <w:rsid w:val="5F337B7D"/>
    <w:rsid w:val="5F36141C"/>
    <w:rsid w:val="5F41673E"/>
    <w:rsid w:val="5F492E1F"/>
    <w:rsid w:val="5F516A6F"/>
    <w:rsid w:val="5F5D2E4C"/>
    <w:rsid w:val="5F665894"/>
    <w:rsid w:val="5F7E529D"/>
    <w:rsid w:val="5F944AC0"/>
    <w:rsid w:val="5F97635E"/>
    <w:rsid w:val="5FAF18FA"/>
    <w:rsid w:val="5FB707AE"/>
    <w:rsid w:val="5FC609F2"/>
    <w:rsid w:val="5FD44968"/>
    <w:rsid w:val="5FDA449D"/>
    <w:rsid w:val="5FDE3F8D"/>
    <w:rsid w:val="5FE570CA"/>
    <w:rsid w:val="5FEE3180"/>
    <w:rsid w:val="5FF92B75"/>
    <w:rsid w:val="5FFB68ED"/>
    <w:rsid w:val="60065292"/>
    <w:rsid w:val="60182735"/>
    <w:rsid w:val="602776E2"/>
    <w:rsid w:val="602C2F4B"/>
    <w:rsid w:val="603327FA"/>
    <w:rsid w:val="6041169C"/>
    <w:rsid w:val="604275EE"/>
    <w:rsid w:val="604A1623"/>
    <w:rsid w:val="604A1D31"/>
    <w:rsid w:val="60503921"/>
    <w:rsid w:val="60561D75"/>
    <w:rsid w:val="60570CCE"/>
    <w:rsid w:val="6065645C"/>
    <w:rsid w:val="60681AA9"/>
    <w:rsid w:val="60762418"/>
    <w:rsid w:val="60765F74"/>
    <w:rsid w:val="609043B3"/>
    <w:rsid w:val="60964868"/>
    <w:rsid w:val="60A36672"/>
    <w:rsid w:val="60AA20C1"/>
    <w:rsid w:val="60AB55C2"/>
    <w:rsid w:val="60AE06BF"/>
    <w:rsid w:val="60AE1BB1"/>
    <w:rsid w:val="60C200B9"/>
    <w:rsid w:val="60C7396B"/>
    <w:rsid w:val="60CA62C0"/>
    <w:rsid w:val="60CC2038"/>
    <w:rsid w:val="60CE558E"/>
    <w:rsid w:val="60D333C6"/>
    <w:rsid w:val="60D55390"/>
    <w:rsid w:val="60E17038"/>
    <w:rsid w:val="60E17A6A"/>
    <w:rsid w:val="60EC4488"/>
    <w:rsid w:val="60EF3399"/>
    <w:rsid w:val="60FB291D"/>
    <w:rsid w:val="60FB46CB"/>
    <w:rsid w:val="61355E2F"/>
    <w:rsid w:val="613F6CAD"/>
    <w:rsid w:val="614147D4"/>
    <w:rsid w:val="614E5143"/>
    <w:rsid w:val="615D06B3"/>
    <w:rsid w:val="615D1D6D"/>
    <w:rsid w:val="61970898"/>
    <w:rsid w:val="61B825BC"/>
    <w:rsid w:val="61C40F61"/>
    <w:rsid w:val="61C96577"/>
    <w:rsid w:val="61CB7F54"/>
    <w:rsid w:val="61D75138"/>
    <w:rsid w:val="61DA7E1C"/>
    <w:rsid w:val="61E433B1"/>
    <w:rsid w:val="61ED7675"/>
    <w:rsid w:val="61F1384C"/>
    <w:rsid w:val="61F77588"/>
    <w:rsid w:val="62057AA6"/>
    <w:rsid w:val="620722A3"/>
    <w:rsid w:val="62144B45"/>
    <w:rsid w:val="624E61AE"/>
    <w:rsid w:val="6255051B"/>
    <w:rsid w:val="62691B04"/>
    <w:rsid w:val="6271733B"/>
    <w:rsid w:val="627F270B"/>
    <w:rsid w:val="62887FEF"/>
    <w:rsid w:val="628920EB"/>
    <w:rsid w:val="62913539"/>
    <w:rsid w:val="62946B85"/>
    <w:rsid w:val="62B62F9F"/>
    <w:rsid w:val="62B84840"/>
    <w:rsid w:val="62CE1DCE"/>
    <w:rsid w:val="62D81168"/>
    <w:rsid w:val="62DF5116"/>
    <w:rsid w:val="62E93375"/>
    <w:rsid w:val="62EF64B1"/>
    <w:rsid w:val="62F41A14"/>
    <w:rsid w:val="62F41A35"/>
    <w:rsid w:val="630430DC"/>
    <w:rsid w:val="63116428"/>
    <w:rsid w:val="63351768"/>
    <w:rsid w:val="633A4F6F"/>
    <w:rsid w:val="633B042D"/>
    <w:rsid w:val="634738A3"/>
    <w:rsid w:val="6355290C"/>
    <w:rsid w:val="635B58F5"/>
    <w:rsid w:val="636447A9"/>
    <w:rsid w:val="636724EC"/>
    <w:rsid w:val="63783630"/>
    <w:rsid w:val="63846BFA"/>
    <w:rsid w:val="6393508F"/>
    <w:rsid w:val="63957059"/>
    <w:rsid w:val="639C3F43"/>
    <w:rsid w:val="639F7A23"/>
    <w:rsid w:val="63A36368"/>
    <w:rsid w:val="63AC25DF"/>
    <w:rsid w:val="63AE1EC8"/>
    <w:rsid w:val="63BA261B"/>
    <w:rsid w:val="63BF40D6"/>
    <w:rsid w:val="63BF5E84"/>
    <w:rsid w:val="63C43A85"/>
    <w:rsid w:val="63CA447C"/>
    <w:rsid w:val="63D336DD"/>
    <w:rsid w:val="63DC4DF7"/>
    <w:rsid w:val="63E10FFC"/>
    <w:rsid w:val="641C32D6"/>
    <w:rsid w:val="6421269A"/>
    <w:rsid w:val="642D103F"/>
    <w:rsid w:val="642F125B"/>
    <w:rsid w:val="643E324C"/>
    <w:rsid w:val="643E4FFA"/>
    <w:rsid w:val="6454481E"/>
    <w:rsid w:val="64591E34"/>
    <w:rsid w:val="645B2050"/>
    <w:rsid w:val="647153D0"/>
    <w:rsid w:val="6472739A"/>
    <w:rsid w:val="64833457"/>
    <w:rsid w:val="64925346"/>
    <w:rsid w:val="64990483"/>
    <w:rsid w:val="649C61C5"/>
    <w:rsid w:val="64A137DB"/>
    <w:rsid w:val="64B10789"/>
    <w:rsid w:val="64B61035"/>
    <w:rsid w:val="64BB664B"/>
    <w:rsid w:val="64CF7F2F"/>
    <w:rsid w:val="64EA5182"/>
    <w:rsid w:val="64ED07CF"/>
    <w:rsid w:val="64EE1744"/>
    <w:rsid w:val="65080B3A"/>
    <w:rsid w:val="65192256"/>
    <w:rsid w:val="651A5A67"/>
    <w:rsid w:val="6524556B"/>
    <w:rsid w:val="6530009A"/>
    <w:rsid w:val="653308D7"/>
    <w:rsid w:val="6535184E"/>
    <w:rsid w:val="65377536"/>
    <w:rsid w:val="654C3747"/>
    <w:rsid w:val="654F3237"/>
    <w:rsid w:val="655F4AD1"/>
    <w:rsid w:val="65A417D5"/>
    <w:rsid w:val="65A834F4"/>
    <w:rsid w:val="65AD200F"/>
    <w:rsid w:val="65AD68DC"/>
    <w:rsid w:val="65B41720"/>
    <w:rsid w:val="65B92A25"/>
    <w:rsid w:val="65C21C5B"/>
    <w:rsid w:val="65C34A4B"/>
    <w:rsid w:val="65C50665"/>
    <w:rsid w:val="65C94D98"/>
    <w:rsid w:val="65D5198E"/>
    <w:rsid w:val="65DB75C4"/>
    <w:rsid w:val="65E120E1"/>
    <w:rsid w:val="65ED4F2A"/>
    <w:rsid w:val="65FE1814"/>
    <w:rsid w:val="660D1128"/>
    <w:rsid w:val="660E4EA0"/>
    <w:rsid w:val="661A19FC"/>
    <w:rsid w:val="66291CDA"/>
    <w:rsid w:val="662B15AE"/>
    <w:rsid w:val="662F5543"/>
    <w:rsid w:val="66424284"/>
    <w:rsid w:val="664D06D4"/>
    <w:rsid w:val="664D3720"/>
    <w:rsid w:val="664E720E"/>
    <w:rsid w:val="666B40A1"/>
    <w:rsid w:val="666D1BC7"/>
    <w:rsid w:val="66772A46"/>
    <w:rsid w:val="667747F4"/>
    <w:rsid w:val="667A112A"/>
    <w:rsid w:val="66833198"/>
    <w:rsid w:val="668E3734"/>
    <w:rsid w:val="669E7FD2"/>
    <w:rsid w:val="66A55805"/>
    <w:rsid w:val="66AB7DAE"/>
    <w:rsid w:val="66B729FC"/>
    <w:rsid w:val="66BE0674"/>
    <w:rsid w:val="66CD6B09"/>
    <w:rsid w:val="66CF2882"/>
    <w:rsid w:val="66D25ECE"/>
    <w:rsid w:val="66E14363"/>
    <w:rsid w:val="66E856F1"/>
    <w:rsid w:val="66EC51E2"/>
    <w:rsid w:val="66F422E8"/>
    <w:rsid w:val="66FC0397"/>
    <w:rsid w:val="670342D9"/>
    <w:rsid w:val="671309C0"/>
    <w:rsid w:val="67146463"/>
    <w:rsid w:val="6716400D"/>
    <w:rsid w:val="67196FE5"/>
    <w:rsid w:val="671B7875"/>
    <w:rsid w:val="672704EA"/>
    <w:rsid w:val="67310E46"/>
    <w:rsid w:val="67346B89"/>
    <w:rsid w:val="67386FDB"/>
    <w:rsid w:val="67423054"/>
    <w:rsid w:val="675A5CEE"/>
    <w:rsid w:val="67626A2D"/>
    <w:rsid w:val="67694C5E"/>
    <w:rsid w:val="676D4DD7"/>
    <w:rsid w:val="67796C38"/>
    <w:rsid w:val="677F7E04"/>
    <w:rsid w:val="67862CC9"/>
    <w:rsid w:val="678A67A9"/>
    <w:rsid w:val="6795405C"/>
    <w:rsid w:val="679B2BC6"/>
    <w:rsid w:val="67AB0BF9"/>
    <w:rsid w:val="67AE693B"/>
    <w:rsid w:val="67B352D9"/>
    <w:rsid w:val="67C95F8E"/>
    <w:rsid w:val="67D53EC8"/>
    <w:rsid w:val="67D54704"/>
    <w:rsid w:val="67DE3824"/>
    <w:rsid w:val="67E10ABE"/>
    <w:rsid w:val="67E1757F"/>
    <w:rsid w:val="67E57BB0"/>
    <w:rsid w:val="67F83953"/>
    <w:rsid w:val="681C38A5"/>
    <w:rsid w:val="681F15E7"/>
    <w:rsid w:val="682E7AFD"/>
    <w:rsid w:val="683F57E5"/>
    <w:rsid w:val="68517B9D"/>
    <w:rsid w:val="685E6B5F"/>
    <w:rsid w:val="6861575B"/>
    <w:rsid w:val="68680898"/>
    <w:rsid w:val="686D4100"/>
    <w:rsid w:val="68872F66"/>
    <w:rsid w:val="68882CE8"/>
    <w:rsid w:val="68955405"/>
    <w:rsid w:val="689D6067"/>
    <w:rsid w:val="68AD09A1"/>
    <w:rsid w:val="68AF296B"/>
    <w:rsid w:val="68BA38D3"/>
    <w:rsid w:val="68BC7338"/>
    <w:rsid w:val="68C006D4"/>
    <w:rsid w:val="68CC10D2"/>
    <w:rsid w:val="68DE6DAC"/>
    <w:rsid w:val="68E51EE8"/>
    <w:rsid w:val="68EE5B8A"/>
    <w:rsid w:val="68F465CD"/>
    <w:rsid w:val="69034A64"/>
    <w:rsid w:val="690C527B"/>
    <w:rsid w:val="69147BDC"/>
    <w:rsid w:val="69200DE4"/>
    <w:rsid w:val="69342E70"/>
    <w:rsid w:val="693C6962"/>
    <w:rsid w:val="69442C16"/>
    <w:rsid w:val="694545EF"/>
    <w:rsid w:val="69454618"/>
    <w:rsid w:val="69493DE9"/>
    <w:rsid w:val="69526CD7"/>
    <w:rsid w:val="69562DE6"/>
    <w:rsid w:val="695928D6"/>
    <w:rsid w:val="69623539"/>
    <w:rsid w:val="696236D6"/>
    <w:rsid w:val="69643755"/>
    <w:rsid w:val="69653066"/>
    <w:rsid w:val="696574CD"/>
    <w:rsid w:val="696A2422"/>
    <w:rsid w:val="69792935"/>
    <w:rsid w:val="697C7B8E"/>
    <w:rsid w:val="697E40EB"/>
    <w:rsid w:val="697F0666"/>
    <w:rsid w:val="69833A63"/>
    <w:rsid w:val="698711F2"/>
    <w:rsid w:val="698C05B6"/>
    <w:rsid w:val="698E2B71"/>
    <w:rsid w:val="69AE2412"/>
    <w:rsid w:val="69B064ED"/>
    <w:rsid w:val="69C1772D"/>
    <w:rsid w:val="69C2047C"/>
    <w:rsid w:val="69C266CE"/>
    <w:rsid w:val="69C51347"/>
    <w:rsid w:val="69D41F5D"/>
    <w:rsid w:val="69D46F4B"/>
    <w:rsid w:val="69DB153D"/>
    <w:rsid w:val="69DF2DDC"/>
    <w:rsid w:val="69EC54F9"/>
    <w:rsid w:val="6A002D52"/>
    <w:rsid w:val="6A107439"/>
    <w:rsid w:val="6A132A85"/>
    <w:rsid w:val="6A2007D0"/>
    <w:rsid w:val="6A2507B3"/>
    <w:rsid w:val="6A2922A9"/>
    <w:rsid w:val="6A3D42E7"/>
    <w:rsid w:val="6A3D5D54"/>
    <w:rsid w:val="6A425C68"/>
    <w:rsid w:val="6A486BD3"/>
    <w:rsid w:val="6A55599E"/>
    <w:rsid w:val="6A5A06B4"/>
    <w:rsid w:val="6A5C6501"/>
    <w:rsid w:val="6A635322"/>
    <w:rsid w:val="6A694D9B"/>
    <w:rsid w:val="6A696B49"/>
    <w:rsid w:val="6A6C5D44"/>
    <w:rsid w:val="6A6E23B2"/>
    <w:rsid w:val="6A6F2D39"/>
    <w:rsid w:val="6A7A0D56"/>
    <w:rsid w:val="6A7A6FA8"/>
    <w:rsid w:val="6A856939"/>
    <w:rsid w:val="6A880A51"/>
    <w:rsid w:val="6A971908"/>
    <w:rsid w:val="6AA302AD"/>
    <w:rsid w:val="6AA80BCD"/>
    <w:rsid w:val="6AB06526"/>
    <w:rsid w:val="6AB23DFA"/>
    <w:rsid w:val="6AB75B07"/>
    <w:rsid w:val="6AC326FD"/>
    <w:rsid w:val="6AC344AB"/>
    <w:rsid w:val="6AC81AC2"/>
    <w:rsid w:val="6ADA17F5"/>
    <w:rsid w:val="6AF24D91"/>
    <w:rsid w:val="6B08086E"/>
    <w:rsid w:val="6B0F2BA4"/>
    <w:rsid w:val="6B2920F3"/>
    <w:rsid w:val="6B3E3B32"/>
    <w:rsid w:val="6B4F5AA9"/>
    <w:rsid w:val="6B623CC4"/>
    <w:rsid w:val="6B64148A"/>
    <w:rsid w:val="6B6B1AF8"/>
    <w:rsid w:val="6B767770"/>
    <w:rsid w:val="6B79100E"/>
    <w:rsid w:val="6B814558"/>
    <w:rsid w:val="6B882FFF"/>
    <w:rsid w:val="6BA77929"/>
    <w:rsid w:val="6BAF40B2"/>
    <w:rsid w:val="6BBA58AE"/>
    <w:rsid w:val="6BBE265D"/>
    <w:rsid w:val="6BC54253"/>
    <w:rsid w:val="6BC57756"/>
    <w:rsid w:val="6BC95AF1"/>
    <w:rsid w:val="6BF54B38"/>
    <w:rsid w:val="6C1F1BB5"/>
    <w:rsid w:val="6C3513D9"/>
    <w:rsid w:val="6C3D028D"/>
    <w:rsid w:val="6C506213"/>
    <w:rsid w:val="6C68355C"/>
    <w:rsid w:val="6C6A21DC"/>
    <w:rsid w:val="6C852CE3"/>
    <w:rsid w:val="6C891725"/>
    <w:rsid w:val="6C8B2DA7"/>
    <w:rsid w:val="6C904861"/>
    <w:rsid w:val="6C976F8A"/>
    <w:rsid w:val="6C9A50B5"/>
    <w:rsid w:val="6C9A748E"/>
    <w:rsid w:val="6C9F70F3"/>
    <w:rsid w:val="6CAB63EA"/>
    <w:rsid w:val="6CB95B66"/>
    <w:rsid w:val="6CBC0AB6"/>
    <w:rsid w:val="6CC0345F"/>
    <w:rsid w:val="6CC60283"/>
    <w:rsid w:val="6CCB7647"/>
    <w:rsid w:val="6CCE7137"/>
    <w:rsid w:val="6CD80B0F"/>
    <w:rsid w:val="6CE87F8C"/>
    <w:rsid w:val="6CF50B68"/>
    <w:rsid w:val="6D02217A"/>
    <w:rsid w:val="6D0503B6"/>
    <w:rsid w:val="6D08089B"/>
    <w:rsid w:val="6D0B2D0D"/>
    <w:rsid w:val="6D1A54F0"/>
    <w:rsid w:val="6D1F1741"/>
    <w:rsid w:val="6D3C6797"/>
    <w:rsid w:val="6D415B5B"/>
    <w:rsid w:val="6D5261F9"/>
    <w:rsid w:val="6D54588F"/>
    <w:rsid w:val="6D5540D1"/>
    <w:rsid w:val="6D5A2643"/>
    <w:rsid w:val="6D68133A"/>
    <w:rsid w:val="6D68395A"/>
    <w:rsid w:val="6D7221B9"/>
    <w:rsid w:val="6D7B106D"/>
    <w:rsid w:val="6D7B72BF"/>
    <w:rsid w:val="6DA73C10"/>
    <w:rsid w:val="6DAC1227"/>
    <w:rsid w:val="6DAC20EC"/>
    <w:rsid w:val="6DB8406F"/>
    <w:rsid w:val="6DC25DEB"/>
    <w:rsid w:val="6DD537B5"/>
    <w:rsid w:val="6DD644F6"/>
    <w:rsid w:val="6DE309C1"/>
    <w:rsid w:val="6DE54DB4"/>
    <w:rsid w:val="6DED1ACB"/>
    <w:rsid w:val="6DEE7A91"/>
    <w:rsid w:val="6DF227EA"/>
    <w:rsid w:val="6DF6676A"/>
    <w:rsid w:val="6DFE57FA"/>
    <w:rsid w:val="6E030C6E"/>
    <w:rsid w:val="6E076EF0"/>
    <w:rsid w:val="6E1508E0"/>
    <w:rsid w:val="6E322B31"/>
    <w:rsid w:val="6E461717"/>
    <w:rsid w:val="6E4A0A40"/>
    <w:rsid w:val="6E511DCE"/>
    <w:rsid w:val="6E533D98"/>
    <w:rsid w:val="6E662264"/>
    <w:rsid w:val="6E737F96"/>
    <w:rsid w:val="6E784EA5"/>
    <w:rsid w:val="6E7B48A4"/>
    <w:rsid w:val="6E7F3C61"/>
    <w:rsid w:val="6E8B3532"/>
    <w:rsid w:val="6E934195"/>
    <w:rsid w:val="6E9374A3"/>
    <w:rsid w:val="6E9A19C7"/>
    <w:rsid w:val="6E9D1B01"/>
    <w:rsid w:val="6EAE7221"/>
    <w:rsid w:val="6EAF4BC1"/>
    <w:rsid w:val="6EB16810"/>
    <w:rsid w:val="6EBD27B8"/>
    <w:rsid w:val="6ECB2D33"/>
    <w:rsid w:val="6ECD58F9"/>
    <w:rsid w:val="6ED36C87"/>
    <w:rsid w:val="6EE21E54"/>
    <w:rsid w:val="6EE423D3"/>
    <w:rsid w:val="6EE42C42"/>
    <w:rsid w:val="6EF05F86"/>
    <w:rsid w:val="6EF87986"/>
    <w:rsid w:val="6EFC7F8C"/>
    <w:rsid w:val="6F15104E"/>
    <w:rsid w:val="6F162BB4"/>
    <w:rsid w:val="6F1E6154"/>
    <w:rsid w:val="6F282B2F"/>
    <w:rsid w:val="6F28705A"/>
    <w:rsid w:val="6F2B0871"/>
    <w:rsid w:val="6F377216"/>
    <w:rsid w:val="6F3C482C"/>
    <w:rsid w:val="6F475D90"/>
    <w:rsid w:val="6F4A6F49"/>
    <w:rsid w:val="6F4B2CC1"/>
    <w:rsid w:val="6F517D99"/>
    <w:rsid w:val="6F547DC8"/>
    <w:rsid w:val="6F593630"/>
    <w:rsid w:val="6F5C4ECE"/>
    <w:rsid w:val="6F6128C1"/>
    <w:rsid w:val="6F6A1399"/>
    <w:rsid w:val="6F795A80"/>
    <w:rsid w:val="6F8917A1"/>
    <w:rsid w:val="6F92269E"/>
    <w:rsid w:val="6F9B59F7"/>
    <w:rsid w:val="6F9C149C"/>
    <w:rsid w:val="6FAF14A2"/>
    <w:rsid w:val="6FBB5750"/>
    <w:rsid w:val="6FC565D0"/>
    <w:rsid w:val="6FD1766A"/>
    <w:rsid w:val="6FDE3B35"/>
    <w:rsid w:val="6FDF37AC"/>
    <w:rsid w:val="6FE6710E"/>
    <w:rsid w:val="6FED5B27"/>
    <w:rsid w:val="6FF375E1"/>
    <w:rsid w:val="6FF47C38"/>
    <w:rsid w:val="6FF60E7F"/>
    <w:rsid w:val="70063A19"/>
    <w:rsid w:val="70107109"/>
    <w:rsid w:val="70311EB7"/>
    <w:rsid w:val="7043255C"/>
    <w:rsid w:val="70495453"/>
    <w:rsid w:val="70552753"/>
    <w:rsid w:val="705931BC"/>
    <w:rsid w:val="706C69B3"/>
    <w:rsid w:val="707B5963"/>
    <w:rsid w:val="707F60AB"/>
    <w:rsid w:val="70877D29"/>
    <w:rsid w:val="70926274"/>
    <w:rsid w:val="70962660"/>
    <w:rsid w:val="70B00C3E"/>
    <w:rsid w:val="70B82875"/>
    <w:rsid w:val="70B84386"/>
    <w:rsid w:val="70BA3C5B"/>
    <w:rsid w:val="70C00B5C"/>
    <w:rsid w:val="70DD3DED"/>
    <w:rsid w:val="70E150EF"/>
    <w:rsid w:val="70F058CE"/>
    <w:rsid w:val="710475CC"/>
    <w:rsid w:val="710C022E"/>
    <w:rsid w:val="711523BF"/>
    <w:rsid w:val="71154596"/>
    <w:rsid w:val="711D2C54"/>
    <w:rsid w:val="71257C6E"/>
    <w:rsid w:val="7138643A"/>
    <w:rsid w:val="71397275"/>
    <w:rsid w:val="713A123F"/>
    <w:rsid w:val="713E488C"/>
    <w:rsid w:val="713F6856"/>
    <w:rsid w:val="714618DD"/>
    <w:rsid w:val="71493231"/>
    <w:rsid w:val="715440AF"/>
    <w:rsid w:val="71573B9F"/>
    <w:rsid w:val="7157594D"/>
    <w:rsid w:val="71754026"/>
    <w:rsid w:val="718C2D82"/>
    <w:rsid w:val="71922E29"/>
    <w:rsid w:val="71C04EF7"/>
    <w:rsid w:val="71CA5F55"/>
    <w:rsid w:val="71D7319F"/>
    <w:rsid w:val="71E00A34"/>
    <w:rsid w:val="71E614C0"/>
    <w:rsid w:val="71FB09CF"/>
    <w:rsid w:val="71FE170B"/>
    <w:rsid w:val="720A6E64"/>
    <w:rsid w:val="720C6738"/>
    <w:rsid w:val="720F320B"/>
    <w:rsid w:val="721750DD"/>
    <w:rsid w:val="721D0945"/>
    <w:rsid w:val="722021E3"/>
    <w:rsid w:val="72247F25"/>
    <w:rsid w:val="722872EA"/>
    <w:rsid w:val="722A12B4"/>
    <w:rsid w:val="723839D1"/>
    <w:rsid w:val="723B701D"/>
    <w:rsid w:val="72417044"/>
    <w:rsid w:val="724539F8"/>
    <w:rsid w:val="724F2AC9"/>
    <w:rsid w:val="72600832"/>
    <w:rsid w:val="7276525A"/>
    <w:rsid w:val="727D5888"/>
    <w:rsid w:val="72824C4C"/>
    <w:rsid w:val="728A0953"/>
    <w:rsid w:val="72974A35"/>
    <w:rsid w:val="729A01E8"/>
    <w:rsid w:val="72AC1CC9"/>
    <w:rsid w:val="72B85E53"/>
    <w:rsid w:val="72DE2E02"/>
    <w:rsid w:val="72FA0C86"/>
    <w:rsid w:val="73061A67"/>
    <w:rsid w:val="730B6F0E"/>
    <w:rsid w:val="73114053"/>
    <w:rsid w:val="731F149F"/>
    <w:rsid w:val="7320023C"/>
    <w:rsid w:val="73243F55"/>
    <w:rsid w:val="7327214A"/>
    <w:rsid w:val="733D10E9"/>
    <w:rsid w:val="733E5017"/>
    <w:rsid w:val="73467A28"/>
    <w:rsid w:val="734700CA"/>
    <w:rsid w:val="734E2D80"/>
    <w:rsid w:val="7355410F"/>
    <w:rsid w:val="7360663C"/>
    <w:rsid w:val="73651D98"/>
    <w:rsid w:val="736B3908"/>
    <w:rsid w:val="737427E7"/>
    <w:rsid w:val="737C78ED"/>
    <w:rsid w:val="73814F04"/>
    <w:rsid w:val="73950743"/>
    <w:rsid w:val="73966C01"/>
    <w:rsid w:val="73A40BF2"/>
    <w:rsid w:val="73C848E1"/>
    <w:rsid w:val="73CF5C6F"/>
    <w:rsid w:val="73DE4104"/>
    <w:rsid w:val="73EF1E6D"/>
    <w:rsid w:val="740873D3"/>
    <w:rsid w:val="740B2A1F"/>
    <w:rsid w:val="74130AAA"/>
    <w:rsid w:val="7416564C"/>
    <w:rsid w:val="74485A21"/>
    <w:rsid w:val="74517600"/>
    <w:rsid w:val="74620891"/>
    <w:rsid w:val="746565D3"/>
    <w:rsid w:val="74700476"/>
    <w:rsid w:val="74786335"/>
    <w:rsid w:val="748C1DB2"/>
    <w:rsid w:val="7491561A"/>
    <w:rsid w:val="74A3232D"/>
    <w:rsid w:val="74A4534E"/>
    <w:rsid w:val="74AE06F9"/>
    <w:rsid w:val="74B131F9"/>
    <w:rsid w:val="74B51309"/>
    <w:rsid w:val="74C432FA"/>
    <w:rsid w:val="74C96B62"/>
    <w:rsid w:val="74CE73D5"/>
    <w:rsid w:val="74D3178F"/>
    <w:rsid w:val="74DA0D6F"/>
    <w:rsid w:val="74DA51A1"/>
    <w:rsid w:val="74F137B4"/>
    <w:rsid w:val="74F6722B"/>
    <w:rsid w:val="750363F7"/>
    <w:rsid w:val="75054FDB"/>
    <w:rsid w:val="7510034A"/>
    <w:rsid w:val="75137DDD"/>
    <w:rsid w:val="751853F4"/>
    <w:rsid w:val="752124FA"/>
    <w:rsid w:val="75287D2D"/>
    <w:rsid w:val="752B1F37"/>
    <w:rsid w:val="754461E9"/>
    <w:rsid w:val="75475CD9"/>
    <w:rsid w:val="754C32EF"/>
    <w:rsid w:val="7557416E"/>
    <w:rsid w:val="75594B94"/>
    <w:rsid w:val="755D2A7D"/>
    <w:rsid w:val="75656D39"/>
    <w:rsid w:val="75667BB3"/>
    <w:rsid w:val="7568637B"/>
    <w:rsid w:val="756A0FF9"/>
    <w:rsid w:val="75882579"/>
    <w:rsid w:val="759A04FF"/>
    <w:rsid w:val="759B27F7"/>
    <w:rsid w:val="759C7DD3"/>
    <w:rsid w:val="75AA6994"/>
    <w:rsid w:val="75B248A8"/>
    <w:rsid w:val="75B50E95"/>
    <w:rsid w:val="75BE41ED"/>
    <w:rsid w:val="75C15A8B"/>
    <w:rsid w:val="75CE1F56"/>
    <w:rsid w:val="75D00F86"/>
    <w:rsid w:val="75DC0B17"/>
    <w:rsid w:val="75DD762C"/>
    <w:rsid w:val="75DE03EB"/>
    <w:rsid w:val="75E37197"/>
    <w:rsid w:val="75E8126A"/>
    <w:rsid w:val="75EC2630"/>
    <w:rsid w:val="76067942"/>
    <w:rsid w:val="76120095"/>
    <w:rsid w:val="761E4C8C"/>
    <w:rsid w:val="761E6A3A"/>
    <w:rsid w:val="76206C56"/>
    <w:rsid w:val="76236746"/>
    <w:rsid w:val="763C3364"/>
    <w:rsid w:val="763F37BF"/>
    <w:rsid w:val="764F12E9"/>
    <w:rsid w:val="76593F16"/>
    <w:rsid w:val="766104F4"/>
    <w:rsid w:val="766528BB"/>
    <w:rsid w:val="76683A56"/>
    <w:rsid w:val="76685F07"/>
    <w:rsid w:val="7677439C"/>
    <w:rsid w:val="768A032C"/>
    <w:rsid w:val="769B34C2"/>
    <w:rsid w:val="769E5DCD"/>
    <w:rsid w:val="76AD4842"/>
    <w:rsid w:val="76BB072D"/>
    <w:rsid w:val="76BD26F7"/>
    <w:rsid w:val="76BE1FCB"/>
    <w:rsid w:val="76CC3B1E"/>
    <w:rsid w:val="76CE0216"/>
    <w:rsid w:val="76D37824"/>
    <w:rsid w:val="76EE28B0"/>
    <w:rsid w:val="76FA1255"/>
    <w:rsid w:val="76FF686B"/>
    <w:rsid w:val="77071BC4"/>
    <w:rsid w:val="770A3175"/>
    <w:rsid w:val="771816DB"/>
    <w:rsid w:val="77204A34"/>
    <w:rsid w:val="77302EC9"/>
    <w:rsid w:val="773724A9"/>
    <w:rsid w:val="77416E84"/>
    <w:rsid w:val="77444BC6"/>
    <w:rsid w:val="77477CC6"/>
    <w:rsid w:val="775070C7"/>
    <w:rsid w:val="77656090"/>
    <w:rsid w:val="776B3F01"/>
    <w:rsid w:val="7771703D"/>
    <w:rsid w:val="777F5BFE"/>
    <w:rsid w:val="77866F8C"/>
    <w:rsid w:val="77882D05"/>
    <w:rsid w:val="778F07A7"/>
    <w:rsid w:val="77901BB9"/>
    <w:rsid w:val="7798707D"/>
    <w:rsid w:val="77BC29AE"/>
    <w:rsid w:val="77CD3F4E"/>
    <w:rsid w:val="77D064FC"/>
    <w:rsid w:val="77D12AA5"/>
    <w:rsid w:val="77D53A70"/>
    <w:rsid w:val="77DE57E8"/>
    <w:rsid w:val="77E67A2B"/>
    <w:rsid w:val="77EB261B"/>
    <w:rsid w:val="77ED2B68"/>
    <w:rsid w:val="77EF34B5"/>
    <w:rsid w:val="77F17064"/>
    <w:rsid w:val="77F739E6"/>
    <w:rsid w:val="781D021E"/>
    <w:rsid w:val="782347DB"/>
    <w:rsid w:val="782A202B"/>
    <w:rsid w:val="782F13D2"/>
    <w:rsid w:val="78322C70"/>
    <w:rsid w:val="783C6891"/>
    <w:rsid w:val="78432810"/>
    <w:rsid w:val="78484242"/>
    <w:rsid w:val="784D3606"/>
    <w:rsid w:val="785A455E"/>
    <w:rsid w:val="785B21C7"/>
    <w:rsid w:val="78617FA8"/>
    <w:rsid w:val="786D1EFA"/>
    <w:rsid w:val="788B3F35"/>
    <w:rsid w:val="78931A17"/>
    <w:rsid w:val="78933027"/>
    <w:rsid w:val="78A26E65"/>
    <w:rsid w:val="78A27DF6"/>
    <w:rsid w:val="78A43B6E"/>
    <w:rsid w:val="78AC47D1"/>
    <w:rsid w:val="78AF42C1"/>
    <w:rsid w:val="78C64955"/>
    <w:rsid w:val="78CC0EE5"/>
    <w:rsid w:val="78D12489"/>
    <w:rsid w:val="78D14237"/>
    <w:rsid w:val="78D45AB3"/>
    <w:rsid w:val="78DA26BD"/>
    <w:rsid w:val="78E24696"/>
    <w:rsid w:val="78E55F35"/>
    <w:rsid w:val="78E62FB4"/>
    <w:rsid w:val="78EE303B"/>
    <w:rsid w:val="78EF290F"/>
    <w:rsid w:val="78EF5ED9"/>
    <w:rsid w:val="78F85C68"/>
    <w:rsid w:val="78FB46A2"/>
    <w:rsid w:val="79004B1D"/>
    <w:rsid w:val="79022643"/>
    <w:rsid w:val="7906346F"/>
    <w:rsid w:val="7915717A"/>
    <w:rsid w:val="79224A93"/>
    <w:rsid w:val="79324545"/>
    <w:rsid w:val="7944368B"/>
    <w:rsid w:val="79515378"/>
    <w:rsid w:val="796B01E8"/>
    <w:rsid w:val="796F747D"/>
    <w:rsid w:val="79872B48"/>
    <w:rsid w:val="79907C4E"/>
    <w:rsid w:val="79976821"/>
    <w:rsid w:val="79982FA7"/>
    <w:rsid w:val="79994CC3"/>
    <w:rsid w:val="79997C58"/>
    <w:rsid w:val="799C2A97"/>
    <w:rsid w:val="79A90D10"/>
    <w:rsid w:val="79B411FB"/>
    <w:rsid w:val="79B41898"/>
    <w:rsid w:val="79C72734"/>
    <w:rsid w:val="79CE4E96"/>
    <w:rsid w:val="79D044EF"/>
    <w:rsid w:val="79DD6C0C"/>
    <w:rsid w:val="79DE26BC"/>
    <w:rsid w:val="79E1494E"/>
    <w:rsid w:val="79FD603E"/>
    <w:rsid w:val="79FF081E"/>
    <w:rsid w:val="7A081EDB"/>
    <w:rsid w:val="7A240A53"/>
    <w:rsid w:val="7A2E5CC4"/>
    <w:rsid w:val="7A5A101B"/>
    <w:rsid w:val="7A5C2227"/>
    <w:rsid w:val="7A664E53"/>
    <w:rsid w:val="7A7632E8"/>
    <w:rsid w:val="7A794B87"/>
    <w:rsid w:val="7A876BD9"/>
    <w:rsid w:val="7AAA11E4"/>
    <w:rsid w:val="7AB51D1A"/>
    <w:rsid w:val="7AB92158"/>
    <w:rsid w:val="7AB94F83"/>
    <w:rsid w:val="7AD32A1E"/>
    <w:rsid w:val="7AE244DA"/>
    <w:rsid w:val="7AEF0AB6"/>
    <w:rsid w:val="7AFE07D7"/>
    <w:rsid w:val="7B007056"/>
    <w:rsid w:val="7B193C74"/>
    <w:rsid w:val="7B370C49"/>
    <w:rsid w:val="7B5A7E8E"/>
    <w:rsid w:val="7B6475E5"/>
    <w:rsid w:val="7B7C3047"/>
    <w:rsid w:val="7B825CBD"/>
    <w:rsid w:val="7B890DF9"/>
    <w:rsid w:val="7B8B4B71"/>
    <w:rsid w:val="7B8C08E9"/>
    <w:rsid w:val="7B9003DA"/>
    <w:rsid w:val="7B9B28DB"/>
    <w:rsid w:val="7BA63705"/>
    <w:rsid w:val="7BAE0860"/>
    <w:rsid w:val="7BAE260E"/>
    <w:rsid w:val="7BB2745E"/>
    <w:rsid w:val="7BBD4D71"/>
    <w:rsid w:val="7BC40083"/>
    <w:rsid w:val="7BC51F86"/>
    <w:rsid w:val="7BC6204D"/>
    <w:rsid w:val="7BCA42D3"/>
    <w:rsid w:val="7BD1454E"/>
    <w:rsid w:val="7BD25A4D"/>
    <w:rsid w:val="7BDB2785"/>
    <w:rsid w:val="7BDD1145"/>
    <w:rsid w:val="7BFA1CF7"/>
    <w:rsid w:val="7C070AEE"/>
    <w:rsid w:val="7C0D37D8"/>
    <w:rsid w:val="7C2B375B"/>
    <w:rsid w:val="7C2E24D9"/>
    <w:rsid w:val="7C3A4948"/>
    <w:rsid w:val="7C3C499C"/>
    <w:rsid w:val="7C460A98"/>
    <w:rsid w:val="7C4E3880"/>
    <w:rsid w:val="7C4F2043"/>
    <w:rsid w:val="7C5947FA"/>
    <w:rsid w:val="7C63164A"/>
    <w:rsid w:val="7C6D74B4"/>
    <w:rsid w:val="7C790E6E"/>
    <w:rsid w:val="7C827F39"/>
    <w:rsid w:val="7C846CD6"/>
    <w:rsid w:val="7C8E41ED"/>
    <w:rsid w:val="7C8F68E3"/>
    <w:rsid w:val="7C9061B7"/>
    <w:rsid w:val="7C9C4B5C"/>
    <w:rsid w:val="7CA67789"/>
    <w:rsid w:val="7CA67983"/>
    <w:rsid w:val="7CA80E11"/>
    <w:rsid w:val="7CB023B6"/>
    <w:rsid w:val="7CB67090"/>
    <w:rsid w:val="7CBB3234"/>
    <w:rsid w:val="7CC83BA3"/>
    <w:rsid w:val="7CD6629B"/>
    <w:rsid w:val="7CDB7433"/>
    <w:rsid w:val="7CDF4C5F"/>
    <w:rsid w:val="7CF446C7"/>
    <w:rsid w:val="7D172435"/>
    <w:rsid w:val="7D1961AD"/>
    <w:rsid w:val="7D1B031A"/>
    <w:rsid w:val="7D1E3B38"/>
    <w:rsid w:val="7D276B1C"/>
    <w:rsid w:val="7D3D633F"/>
    <w:rsid w:val="7D43322A"/>
    <w:rsid w:val="7D4423A0"/>
    <w:rsid w:val="7D4551F4"/>
    <w:rsid w:val="7D462D04"/>
    <w:rsid w:val="7D4F7E21"/>
    <w:rsid w:val="7D5316BF"/>
    <w:rsid w:val="7D562F5D"/>
    <w:rsid w:val="7D5A05F6"/>
    <w:rsid w:val="7D5B67C5"/>
    <w:rsid w:val="7D5D4F91"/>
    <w:rsid w:val="7D6023B4"/>
    <w:rsid w:val="7D690EE2"/>
    <w:rsid w:val="7D7B29C4"/>
    <w:rsid w:val="7D8A63F4"/>
    <w:rsid w:val="7D913864"/>
    <w:rsid w:val="7D935CC6"/>
    <w:rsid w:val="7D935F5F"/>
    <w:rsid w:val="7DB14637"/>
    <w:rsid w:val="7DB25D11"/>
    <w:rsid w:val="7DB859C6"/>
    <w:rsid w:val="7DC324CA"/>
    <w:rsid w:val="7DC66335"/>
    <w:rsid w:val="7DCB2FF2"/>
    <w:rsid w:val="7DD50326"/>
    <w:rsid w:val="7DD65E4C"/>
    <w:rsid w:val="7DD810CD"/>
    <w:rsid w:val="7DDA593C"/>
    <w:rsid w:val="7DDC25D4"/>
    <w:rsid w:val="7DDE64D6"/>
    <w:rsid w:val="7DE440D5"/>
    <w:rsid w:val="7DE64AF2"/>
    <w:rsid w:val="7DF02678"/>
    <w:rsid w:val="7E00368E"/>
    <w:rsid w:val="7E0D5D12"/>
    <w:rsid w:val="7E176B90"/>
    <w:rsid w:val="7E1E7F1F"/>
    <w:rsid w:val="7E350DC4"/>
    <w:rsid w:val="7E462FD2"/>
    <w:rsid w:val="7E486D4A"/>
    <w:rsid w:val="7E4D4360"/>
    <w:rsid w:val="7E5E4C1D"/>
    <w:rsid w:val="7E6B2559"/>
    <w:rsid w:val="7E77762F"/>
    <w:rsid w:val="7E7E1EFC"/>
    <w:rsid w:val="7E88183C"/>
    <w:rsid w:val="7E8A55B4"/>
    <w:rsid w:val="7E95493E"/>
    <w:rsid w:val="7EAA7A04"/>
    <w:rsid w:val="7EB0669D"/>
    <w:rsid w:val="7EB75F5C"/>
    <w:rsid w:val="7EBC3294"/>
    <w:rsid w:val="7ED92098"/>
    <w:rsid w:val="7EDE7FBA"/>
    <w:rsid w:val="7EF5076D"/>
    <w:rsid w:val="7F044BBB"/>
    <w:rsid w:val="7F0D6840"/>
    <w:rsid w:val="7F164D3F"/>
    <w:rsid w:val="7F1979CC"/>
    <w:rsid w:val="7F3823EB"/>
    <w:rsid w:val="7F3A5573"/>
    <w:rsid w:val="7F437511"/>
    <w:rsid w:val="7F473382"/>
    <w:rsid w:val="7F487904"/>
    <w:rsid w:val="7F532767"/>
    <w:rsid w:val="7F5934A3"/>
    <w:rsid w:val="7F632E12"/>
    <w:rsid w:val="7F6D27E0"/>
    <w:rsid w:val="7F8813C8"/>
    <w:rsid w:val="7F9F6E3D"/>
    <w:rsid w:val="7FA91A6A"/>
    <w:rsid w:val="7FB32706"/>
    <w:rsid w:val="7FBC5DE7"/>
    <w:rsid w:val="7FC06DB4"/>
    <w:rsid w:val="7FC93EBA"/>
    <w:rsid w:val="7FCE7723"/>
    <w:rsid w:val="7FCF6FF7"/>
    <w:rsid w:val="7FD30895"/>
    <w:rsid w:val="7FDC6F33"/>
    <w:rsid w:val="7FEB395A"/>
    <w:rsid w:val="7FF768D9"/>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semiHidden="0" w:name="heading 7"/>
    <w:lsdException w:qFormat="1" w:unhideWhenUsed="0" w:uiPriority="1"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firstLine="360" w:firstLineChars="200"/>
      <w:jc w:val="both"/>
    </w:pPr>
    <w:rPr>
      <w:rFonts w:ascii="Times New Roman" w:hAnsi="Times New Roman" w:eastAsia="宋体" w:cs="宋体"/>
      <w:kern w:val="2"/>
      <w:sz w:val="24"/>
      <w:szCs w:val="24"/>
      <w:lang w:val="en-US" w:eastAsia="zh-CN" w:bidi="ar-SA"/>
    </w:rPr>
  </w:style>
  <w:style w:type="paragraph" w:styleId="3">
    <w:name w:val="heading 1"/>
    <w:basedOn w:val="1"/>
    <w:next w:val="1"/>
    <w:link w:val="115"/>
    <w:autoRedefine/>
    <w:qFormat/>
    <w:uiPriority w:val="0"/>
    <w:pPr>
      <w:tabs>
        <w:tab w:val="left" w:pos="480"/>
      </w:tabs>
      <w:spacing w:beforeLines="100" w:afterLines="100"/>
      <w:outlineLvl w:val="0"/>
    </w:pPr>
    <w:rPr>
      <w:b/>
      <w:sz w:val="36"/>
      <w:szCs w:val="20"/>
    </w:rPr>
  </w:style>
  <w:style w:type="paragraph" w:styleId="4">
    <w:name w:val="heading 2"/>
    <w:basedOn w:val="1"/>
    <w:next w:val="1"/>
    <w:link w:val="75"/>
    <w:autoRedefine/>
    <w:qFormat/>
    <w:uiPriority w:val="0"/>
    <w:pPr>
      <w:keepNext/>
      <w:keepLines/>
      <w:tabs>
        <w:tab w:val="left" w:pos="480"/>
      </w:tabs>
      <w:spacing w:beforeLines="50" w:afterLines="50"/>
      <w:jc w:val="center"/>
      <w:outlineLvl w:val="1"/>
    </w:pPr>
    <w:rPr>
      <w:rFonts w:ascii="Arial" w:hAnsi="Arial"/>
      <w:bCs/>
      <w:sz w:val="30"/>
      <w:szCs w:val="32"/>
    </w:rPr>
  </w:style>
  <w:style w:type="paragraph" w:styleId="5">
    <w:name w:val="heading 3"/>
    <w:basedOn w:val="1"/>
    <w:next w:val="6"/>
    <w:link w:val="117"/>
    <w:autoRedefine/>
    <w:qFormat/>
    <w:uiPriority w:val="0"/>
    <w:pPr>
      <w:keepNext/>
      <w:keepLines/>
      <w:numPr>
        <w:ilvl w:val="2"/>
        <w:numId w:val="1"/>
      </w:numPr>
      <w:tabs>
        <w:tab w:val="left" w:pos="2651"/>
      </w:tabs>
      <w:spacing w:line="240" w:lineRule="auto"/>
      <w:ind w:left="0" w:firstLine="480"/>
      <w:jc w:val="left"/>
      <w:outlineLvl w:val="2"/>
    </w:pPr>
    <w:rPr>
      <w:rFonts w:ascii="仿宋_GB2312" w:hAnsi="仿宋_GB2312"/>
      <w:b/>
      <w:bCs/>
      <w:kern w:val="0"/>
      <w:sz w:val="28"/>
      <w:szCs w:val="20"/>
    </w:rPr>
  </w:style>
  <w:style w:type="paragraph" w:styleId="7">
    <w:name w:val="heading 4"/>
    <w:basedOn w:val="1"/>
    <w:next w:val="1"/>
    <w:autoRedefine/>
    <w:qFormat/>
    <w:uiPriority w:val="0"/>
    <w:pPr>
      <w:keepNext/>
      <w:keepLines/>
      <w:numPr>
        <w:ilvl w:val="3"/>
        <w:numId w:val="2"/>
      </w:numPr>
      <w:spacing w:line="372" w:lineRule="auto"/>
      <w:ind w:firstLine="0" w:firstLineChars="0"/>
      <w:outlineLvl w:val="3"/>
    </w:pPr>
    <w:rPr>
      <w:rFonts w:ascii="Arial" w:hAnsi="Arial" w:eastAsia="黑体"/>
      <w:b/>
      <w:sz w:val="28"/>
    </w:rPr>
  </w:style>
  <w:style w:type="paragraph" w:styleId="8">
    <w:name w:val="heading 5"/>
    <w:basedOn w:val="1"/>
    <w:next w:val="1"/>
    <w:autoRedefine/>
    <w:qFormat/>
    <w:uiPriority w:val="0"/>
    <w:pPr>
      <w:keepNext/>
      <w:keepLines/>
      <w:numPr>
        <w:ilvl w:val="4"/>
        <w:numId w:val="2"/>
      </w:numPr>
      <w:spacing w:line="372" w:lineRule="auto"/>
      <w:ind w:firstLine="0" w:firstLineChars="0"/>
      <w:outlineLvl w:val="4"/>
    </w:pPr>
    <w:rPr>
      <w:b/>
      <w:sz w:val="28"/>
    </w:rPr>
  </w:style>
  <w:style w:type="paragraph" w:styleId="9">
    <w:name w:val="heading 6"/>
    <w:basedOn w:val="1"/>
    <w:next w:val="1"/>
    <w:autoRedefine/>
    <w:qFormat/>
    <w:uiPriority w:val="0"/>
    <w:pPr>
      <w:keepNext/>
      <w:keepLines/>
      <w:spacing w:before="240" w:after="64" w:line="320" w:lineRule="auto"/>
      <w:outlineLvl w:val="5"/>
    </w:pPr>
    <w:rPr>
      <w:rFonts w:ascii="Arial" w:hAnsi="Arial" w:eastAsia="黑体"/>
      <w:b/>
      <w:bCs/>
      <w:szCs w:val="32"/>
    </w:rPr>
  </w:style>
  <w:style w:type="paragraph" w:styleId="10">
    <w:name w:val="heading 7"/>
    <w:basedOn w:val="1"/>
    <w:next w:val="1"/>
    <w:autoRedefine/>
    <w:unhideWhenUsed/>
    <w:qFormat/>
    <w:uiPriority w:val="9"/>
    <w:pPr>
      <w:keepNext/>
      <w:keepLines/>
      <w:spacing w:before="240" w:after="64" w:line="320" w:lineRule="auto"/>
      <w:outlineLvl w:val="6"/>
    </w:pPr>
    <w:rPr>
      <w:b/>
      <w:bCs/>
      <w:sz w:val="24"/>
      <w:szCs w:val="24"/>
    </w:rPr>
  </w:style>
  <w:style w:type="paragraph" w:styleId="11">
    <w:name w:val="heading 8"/>
    <w:basedOn w:val="1"/>
    <w:next w:val="1"/>
    <w:autoRedefine/>
    <w:qFormat/>
    <w:uiPriority w:val="1"/>
    <w:pPr>
      <w:autoSpaceDE w:val="0"/>
      <w:autoSpaceDN w:val="0"/>
      <w:ind w:left="570"/>
      <w:jc w:val="left"/>
      <w:outlineLvl w:val="7"/>
    </w:pPr>
    <w:rPr>
      <w:rFonts w:ascii="宋体" w:hAnsi="宋体" w:eastAsia="宋体" w:cs="宋体"/>
      <w:kern w:val="0"/>
      <w:sz w:val="24"/>
      <w:szCs w:val="24"/>
      <w:lang w:eastAsia="en-US"/>
    </w:rPr>
  </w:style>
  <w:style w:type="paragraph" w:styleId="12">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List 2"/>
    <w:basedOn w:val="1"/>
    <w:autoRedefine/>
    <w:qFormat/>
    <w:uiPriority w:val="99"/>
    <w:pPr>
      <w:ind w:left="100" w:leftChars="200" w:hanging="200" w:hangingChars="200"/>
      <w:contextualSpacing/>
    </w:pPr>
  </w:style>
  <w:style w:type="paragraph" w:styleId="6">
    <w:name w:val="Normal Indent"/>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styleId="13">
    <w:name w:val="caption"/>
    <w:basedOn w:val="1"/>
    <w:next w:val="1"/>
    <w:autoRedefine/>
    <w:qFormat/>
    <w:uiPriority w:val="0"/>
    <w:rPr>
      <w:rFonts w:ascii="Arial" w:hAnsi="Arial" w:eastAsia="黑体" w:cs="Arial"/>
      <w:sz w:val="20"/>
      <w:szCs w:val="20"/>
    </w:rPr>
  </w:style>
  <w:style w:type="paragraph" w:styleId="14">
    <w:name w:val="toa heading"/>
    <w:basedOn w:val="1"/>
    <w:next w:val="1"/>
    <w:autoRedefine/>
    <w:qFormat/>
    <w:uiPriority w:val="99"/>
    <w:pPr>
      <w:spacing w:before="120"/>
    </w:pPr>
    <w:rPr>
      <w:rFonts w:ascii="Arial" w:hAnsi="Arial"/>
      <w:szCs w:val="20"/>
    </w:rPr>
  </w:style>
  <w:style w:type="paragraph" w:styleId="15">
    <w:name w:val="annotation text"/>
    <w:basedOn w:val="1"/>
    <w:link w:val="119"/>
    <w:autoRedefine/>
    <w:qFormat/>
    <w:uiPriority w:val="0"/>
    <w:pPr>
      <w:jc w:val="left"/>
    </w:pPr>
  </w:style>
  <w:style w:type="paragraph" w:styleId="16">
    <w:name w:val="Body Text 3"/>
    <w:basedOn w:val="1"/>
    <w:autoRedefine/>
    <w:qFormat/>
    <w:uiPriority w:val="0"/>
    <w:pPr>
      <w:snapToGrid w:val="0"/>
    </w:pPr>
  </w:style>
  <w:style w:type="paragraph" w:styleId="17">
    <w:name w:val="Body Text"/>
    <w:basedOn w:val="1"/>
    <w:next w:val="1"/>
    <w:link w:val="62"/>
    <w:autoRedefine/>
    <w:qFormat/>
    <w:uiPriority w:val="0"/>
    <w:pPr>
      <w:jc w:val="left"/>
    </w:pPr>
    <w:rPr>
      <w:bCs/>
    </w:rPr>
  </w:style>
  <w:style w:type="paragraph" w:styleId="18">
    <w:name w:val="Body Text Indent"/>
    <w:basedOn w:val="1"/>
    <w:link w:val="82"/>
    <w:autoRedefine/>
    <w:qFormat/>
    <w:uiPriority w:val="0"/>
    <w:pPr>
      <w:ind w:left="420" w:leftChars="200"/>
    </w:pPr>
  </w:style>
  <w:style w:type="paragraph" w:styleId="19">
    <w:name w:val="Block Text"/>
    <w:basedOn w:val="1"/>
    <w:autoRedefine/>
    <w:qFormat/>
    <w:uiPriority w:val="0"/>
    <w:pPr>
      <w:keepNext w:val="0"/>
      <w:keepLines w:val="0"/>
      <w:widowControl w:val="0"/>
      <w:suppressLineNumbers w:val="0"/>
      <w:ind w:left="-359" w:leftChars="-171" w:right="-244" w:rightChars="-244" w:firstLine="501" w:firstLineChars="239"/>
      <w:jc w:val="both"/>
    </w:pPr>
    <w:rPr>
      <w:rFonts w:hint="default" w:ascii="仿宋_GB2312" w:hAnsi="宋体" w:eastAsia="仿宋_GB2312" w:cs="仿宋_GB2312"/>
      <w:kern w:val="2"/>
      <w:sz w:val="30"/>
      <w:szCs w:val="30"/>
      <w:lang w:val="en-US" w:eastAsia="zh-CN" w:bidi="ar"/>
    </w:rPr>
  </w:style>
  <w:style w:type="paragraph" w:styleId="20">
    <w:name w:val="toc 5"/>
    <w:basedOn w:val="1"/>
    <w:next w:val="1"/>
    <w:autoRedefine/>
    <w:qFormat/>
    <w:uiPriority w:val="0"/>
    <w:pPr>
      <w:ind w:left="1680" w:leftChars="800"/>
    </w:pPr>
  </w:style>
  <w:style w:type="paragraph" w:styleId="21">
    <w:name w:val="toc 3"/>
    <w:basedOn w:val="1"/>
    <w:next w:val="1"/>
    <w:autoRedefine/>
    <w:qFormat/>
    <w:uiPriority w:val="0"/>
    <w:pPr>
      <w:ind w:left="840" w:leftChars="400"/>
    </w:pPr>
  </w:style>
  <w:style w:type="paragraph" w:styleId="22">
    <w:name w:val="Plain Text"/>
    <w:basedOn w:val="1"/>
    <w:next w:val="1"/>
    <w:autoRedefine/>
    <w:qFormat/>
    <w:uiPriority w:val="0"/>
    <w:rPr>
      <w:rFonts w:ascii="宋体" w:hAnsi="Courier New"/>
      <w:szCs w:val="20"/>
    </w:rPr>
  </w:style>
  <w:style w:type="paragraph" w:styleId="23">
    <w:name w:val="Date"/>
    <w:basedOn w:val="1"/>
    <w:next w:val="1"/>
    <w:autoRedefine/>
    <w:qFormat/>
    <w:uiPriority w:val="0"/>
    <w:rPr>
      <w:rFonts w:ascii="楷体_GB2312" w:eastAsia="楷体_GB2312"/>
      <w:b/>
      <w:sz w:val="28"/>
    </w:rPr>
  </w:style>
  <w:style w:type="paragraph" w:styleId="24">
    <w:name w:val="Body Text Indent 2"/>
    <w:basedOn w:val="1"/>
    <w:autoRedefine/>
    <w:qFormat/>
    <w:uiPriority w:val="0"/>
    <w:pPr>
      <w:spacing w:line="432" w:lineRule="auto"/>
      <w:ind w:firstLine="480"/>
    </w:pPr>
    <w:rPr>
      <w:szCs w:val="21"/>
    </w:rPr>
  </w:style>
  <w:style w:type="paragraph" w:styleId="25">
    <w:name w:val="Balloon Text"/>
    <w:basedOn w:val="1"/>
    <w:link w:val="81"/>
    <w:autoRedefine/>
    <w:qFormat/>
    <w:uiPriority w:val="0"/>
    <w:pPr>
      <w:spacing w:line="240" w:lineRule="auto"/>
    </w:pPr>
    <w:rPr>
      <w:sz w:val="18"/>
      <w:szCs w:val="18"/>
    </w:rPr>
  </w:style>
  <w:style w:type="paragraph" w:styleId="26">
    <w:name w:val="footer"/>
    <w:basedOn w:val="1"/>
    <w:autoRedefine/>
    <w:qFormat/>
    <w:uiPriority w:val="0"/>
    <w:pPr>
      <w:tabs>
        <w:tab w:val="center" w:pos="4153"/>
        <w:tab w:val="right" w:pos="8306"/>
      </w:tabs>
      <w:snapToGrid w:val="0"/>
      <w:jc w:val="left"/>
    </w:pPr>
    <w:rPr>
      <w:sz w:val="18"/>
      <w:szCs w:val="18"/>
    </w:rPr>
  </w:style>
  <w:style w:type="paragraph" w:styleId="27">
    <w:name w:val="header"/>
    <w:basedOn w:val="1"/>
    <w:next w:val="28"/>
    <w:autoRedefine/>
    <w:qFormat/>
    <w:uiPriority w:val="0"/>
    <w:pPr>
      <w:pBdr>
        <w:bottom w:val="single" w:color="auto" w:sz="6" w:space="1"/>
      </w:pBdr>
      <w:tabs>
        <w:tab w:val="center" w:pos="4153"/>
        <w:tab w:val="right" w:pos="8306"/>
      </w:tabs>
      <w:snapToGrid w:val="0"/>
      <w:jc w:val="center"/>
    </w:pPr>
    <w:rPr>
      <w:b/>
      <w:sz w:val="18"/>
      <w:szCs w:val="18"/>
    </w:rPr>
  </w:style>
  <w:style w:type="paragraph" w:customStyle="1" w:styleId="28">
    <w:name w:val="Quote1"/>
    <w:basedOn w:val="1"/>
    <w:next w:val="1"/>
    <w:unhideWhenUsed/>
    <w:qFormat/>
    <w:uiPriority w:val="99"/>
    <w:pPr>
      <w:widowControl/>
      <w:wordWrap w:val="0"/>
      <w:spacing w:before="200" w:beforeLines="0" w:after="160" w:afterLines="0"/>
      <w:ind w:left="864" w:right="864"/>
      <w:jc w:val="center"/>
    </w:pPr>
    <w:rPr>
      <w:rFonts w:hint="eastAsia" w:ascii="宋体" w:eastAsia="宋体"/>
      <w:i/>
      <w:color w:val="auto"/>
      <w:sz w:val="21"/>
      <w:szCs w:val="24"/>
    </w:rPr>
  </w:style>
  <w:style w:type="paragraph" w:styleId="29">
    <w:name w:val="toc 1"/>
    <w:basedOn w:val="1"/>
    <w:next w:val="1"/>
    <w:autoRedefine/>
    <w:qFormat/>
    <w:uiPriority w:val="0"/>
    <w:pPr>
      <w:tabs>
        <w:tab w:val="right" w:leader="hyphen" w:pos="9628"/>
      </w:tabs>
      <w:spacing w:line="800" w:lineRule="exact"/>
      <w:jc w:val="left"/>
    </w:pPr>
    <w:rPr>
      <w:rFonts w:ascii="新宋体" w:hAnsi="新宋体" w:eastAsia="新宋体"/>
      <w:b/>
      <w:bCs/>
      <w:caps/>
      <w:sz w:val="28"/>
      <w:szCs w:val="28"/>
    </w:rPr>
  </w:style>
  <w:style w:type="paragraph" w:styleId="30">
    <w:name w:val="toc 6"/>
    <w:basedOn w:val="1"/>
    <w:next w:val="1"/>
    <w:autoRedefine/>
    <w:qFormat/>
    <w:uiPriority w:val="39"/>
    <w:pPr>
      <w:spacing w:line="240" w:lineRule="auto"/>
      <w:ind w:left="1050" w:firstLine="0" w:firstLineChars="0"/>
      <w:jc w:val="left"/>
    </w:pPr>
    <w:rPr>
      <w:szCs w:val="21"/>
    </w:rPr>
  </w:style>
  <w:style w:type="paragraph" w:styleId="31">
    <w:name w:val="toc 2"/>
    <w:basedOn w:val="1"/>
    <w:next w:val="1"/>
    <w:autoRedefine/>
    <w:qFormat/>
    <w:uiPriority w:val="0"/>
    <w:pPr>
      <w:tabs>
        <w:tab w:val="right" w:leader="hyphen" w:pos="9628"/>
      </w:tabs>
      <w:spacing w:line="800" w:lineRule="exact"/>
      <w:ind w:left="420" w:leftChars="200"/>
      <w:jc w:val="left"/>
    </w:pPr>
    <w:rPr>
      <w:rFonts w:ascii="宋体" w:hAnsi="宋体"/>
      <w:b/>
      <w:smallCaps/>
    </w:rPr>
  </w:style>
  <w:style w:type="paragraph" w:styleId="32">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3">
    <w:name w:val="Normal (Web)"/>
    <w:basedOn w:val="1"/>
    <w:autoRedefine/>
    <w:qFormat/>
    <w:uiPriority w:val="0"/>
    <w:pPr>
      <w:widowControl/>
      <w:spacing w:before="100" w:beforeAutospacing="1" w:after="100" w:afterAutospacing="1"/>
      <w:jc w:val="left"/>
    </w:pPr>
    <w:rPr>
      <w:rFonts w:ascii="宋体" w:hAnsi="宋体"/>
      <w:kern w:val="0"/>
    </w:rPr>
  </w:style>
  <w:style w:type="paragraph" w:styleId="34">
    <w:name w:val="Title"/>
    <w:basedOn w:val="1"/>
    <w:next w:val="1"/>
    <w:autoRedefine/>
    <w:qFormat/>
    <w:uiPriority w:val="0"/>
    <w:pPr>
      <w:spacing w:before="240" w:after="60"/>
      <w:jc w:val="center"/>
      <w:outlineLvl w:val="0"/>
    </w:pPr>
    <w:rPr>
      <w:rFonts w:ascii="Arial" w:hAnsi="Arial" w:cs="Arial"/>
      <w:b/>
      <w:bCs/>
      <w:sz w:val="32"/>
      <w:szCs w:val="32"/>
    </w:rPr>
  </w:style>
  <w:style w:type="paragraph" w:styleId="35">
    <w:name w:val="annotation subject"/>
    <w:basedOn w:val="15"/>
    <w:next w:val="15"/>
    <w:link w:val="120"/>
    <w:autoRedefine/>
    <w:qFormat/>
    <w:uiPriority w:val="0"/>
    <w:rPr>
      <w:b/>
      <w:bCs/>
    </w:rPr>
  </w:style>
  <w:style w:type="paragraph" w:styleId="36">
    <w:name w:val="Body Text First Indent"/>
    <w:basedOn w:val="17"/>
    <w:next w:val="1"/>
    <w:autoRedefine/>
    <w:qFormat/>
    <w:uiPriority w:val="99"/>
    <w:pPr>
      <w:ind w:firstLine="420" w:firstLineChars="100"/>
    </w:pPr>
  </w:style>
  <w:style w:type="paragraph" w:styleId="37">
    <w:name w:val="Body Text First Indent 2"/>
    <w:basedOn w:val="18"/>
    <w:next w:val="38"/>
    <w:autoRedefine/>
    <w:qFormat/>
    <w:uiPriority w:val="0"/>
    <w:pPr>
      <w:snapToGrid w:val="0"/>
      <w:spacing w:after="120" w:line="240" w:lineRule="auto"/>
      <w:ind w:firstLine="420"/>
    </w:pPr>
    <w:rPr>
      <w:rFonts w:hint="eastAsia" w:ascii="宋体"/>
      <w:kern w:val="0"/>
      <w:sz w:val="21"/>
      <w:szCs w:val="21"/>
    </w:rPr>
  </w:style>
  <w:style w:type="paragraph" w:customStyle="1" w:styleId="38">
    <w:name w:val="文章正文"/>
    <w:basedOn w:val="1"/>
    <w:next w:val="39"/>
    <w:autoRedefine/>
    <w:qFormat/>
    <w:uiPriority w:val="0"/>
    <w:pPr>
      <w:spacing w:line="360" w:lineRule="auto"/>
      <w:ind w:firstLine="200"/>
    </w:pPr>
    <w:rPr>
      <w:rFonts w:ascii="Calibri" w:hAnsi="Calibri" w:cs="Times New Roman"/>
    </w:rPr>
  </w:style>
  <w:style w:type="paragraph" w:customStyle="1" w:styleId="39">
    <w:name w:val="公式样式 变量"/>
    <w:autoRedefine/>
    <w:qFormat/>
    <w:uiPriority w:val="0"/>
    <w:rPr>
      <w:rFonts w:ascii="Times New Roman" w:hAnsi="Times New Roman" w:eastAsia="宋体" w:cs="Times New Roman"/>
      <w:i/>
      <w:lang w:val="en-US" w:eastAsia="zh-CN" w:bidi="ar-SA"/>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autoRedefine/>
    <w:qFormat/>
    <w:uiPriority w:val="0"/>
    <w:rPr>
      <w:b/>
      <w:bCs/>
    </w:rPr>
  </w:style>
  <w:style w:type="character" w:styleId="44">
    <w:name w:val="page number"/>
    <w:basedOn w:val="42"/>
    <w:autoRedefine/>
    <w:qFormat/>
    <w:uiPriority w:val="99"/>
  </w:style>
  <w:style w:type="character" w:styleId="45">
    <w:name w:val="Emphasis"/>
    <w:basedOn w:val="42"/>
    <w:autoRedefine/>
    <w:qFormat/>
    <w:uiPriority w:val="0"/>
    <w:rPr>
      <w:i/>
    </w:rPr>
  </w:style>
  <w:style w:type="character" w:styleId="46">
    <w:name w:val="Hyperlink"/>
    <w:basedOn w:val="42"/>
    <w:autoRedefine/>
    <w:qFormat/>
    <w:uiPriority w:val="0"/>
    <w:rPr>
      <w:color w:val="0000FF"/>
      <w:u w:val="single"/>
    </w:rPr>
  </w:style>
  <w:style w:type="character" w:styleId="47">
    <w:name w:val="annotation reference"/>
    <w:basedOn w:val="42"/>
    <w:autoRedefine/>
    <w:qFormat/>
    <w:uiPriority w:val="0"/>
    <w:rPr>
      <w:sz w:val="21"/>
      <w:szCs w:val="21"/>
    </w:rPr>
  </w:style>
  <w:style w:type="paragraph" w:customStyle="1" w:styleId="48">
    <w:name w:val="章正文"/>
    <w:basedOn w:val="1"/>
    <w:autoRedefine/>
    <w:qFormat/>
    <w:uiPriority w:val="0"/>
    <w:pPr>
      <w:spacing w:before="156" w:beforeLines="50" w:after="120" w:line="300" w:lineRule="auto"/>
      <w:ind w:firstLine="480"/>
    </w:pPr>
    <w:rPr>
      <w:rFonts w:ascii="Helvetica" w:hAnsi="Helvetica"/>
      <w:kern w:val="0"/>
    </w:rPr>
  </w:style>
  <w:style w:type="paragraph" w:customStyle="1" w:styleId="4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0">
    <w:name w:val="Body Text First Indent1"/>
    <w:basedOn w:val="17"/>
    <w:next w:val="30"/>
    <w:autoRedefine/>
    <w:qFormat/>
    <w:uiPriority w:val="0"/>
    <w:pPr>
      <w:ind w:firstLine="420" w:firstLineChars="100"/>
    </w:pPr>
  </w:style>
  <w:style w:type="paragraph" w:customStyle="1" w:styleId="51">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52">
    <w:name w:val="正文文本 31"/>
    <w:basedOn w:val="1"/>
    <w:autoRedefine/>
    <w:qFormat/>
    <w:uiPriority w:val="0"/>
    <w:rPr>
      <w:sz w:val="16"/>
      <w:szCs w:val="16"/>
    </w:rPr>
  </w:style>
  <w:style w:type="paragraph" w:customStyle="1" w:styleId="53">
    <w:name w:val="样式 表格正文 + 两端对齐"/>
    <w:basedOn w:val="1"/>
    <w:next w:val="54"/>
    <w:autoRedefine/>
    <w:qFormat/>
    <w:uiPriority w:val="0"/>
    <w:pPr>
      <w:spacing w:line="300" w:lineRule="auto"/>
      <w:ind w:firstLine="0"/>
    </w:pPr>
  </w:style>
  <w:style w:type="paragraph" w:customStyle="1" w:styleId="54">
    <w:name w:val="正文1"/>
    <w:basedOn w:val="21"/>
    <w:next w:val="55"/>
    <w:autoRedefine/>
    <w:qFormat/>
    <w:uiPriority w:val="0"/>
    <w:pPr>
      <w:widowControl/>
      <w:snapToGrid w:val="0"/>
      <w:ind w:firstLine="567"/>
    </w:pPr>
    <w:rPr>
      <w:rFonts w:ascii="楷体_GB2312" w:eastAsia="楷体_GB2312"/>
      <w:kern w:val="0"/>
      <w:sz w:val="28"/>
      <w:szCs w:val="20"/>
    </w:rPr>
  </w:style>
  <w:style w:type="paragraph" w:customStyle="1" w:styleId="55">
    <w:name w:val="自动更正"/>
    <w:next w:val="5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xl39"/>
    <w:basedOn w:val="1"/>
    <w:next w:val="57"/>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7">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58">
    <w:name w:val="DAS正文"/>
    <w:basedOn w:val="1"/>
    <w:autoRedefine/>
    <w:qFormat/>
    <w:uiPriority w:val="0"/>
    <w:pPr>
      <w:spacing w:line="360" w:lineRule="auto"/>
      <w:ind w:right="181" w:firstLine="480" w:firstLineChars="200"/>
    </w:pPr>
    <w:rPr>
      <w:rFonts w:ascii="Verdana" w:hAnsi="Verdana"/>
      <w:sz w:val="24"/>
    </w:rPr>
  </w:style>
  <w:style w:type="paragraph" w:customStyle="1" w:styleId="59">
    <w:name w:val="表格文字"/>
    <w:basedOn w:val="22"/>
    <w:next w:val="17"/>
    <w:autoRedefine/>
    <w:qFormat/>
    <w:uiPriority w:val="0"/>
    <w:pPr>
      <w:adjustRightInd w:val="0"/>
      <w:spacing w:line="420" w:lineRule="atLeast"/>
      <w:jc w:val="left"/>
      <w:textAlignment w:val="baseline"/>
    </w:pPr>
    <w:rPr>
      <w:kern w:val="0"/>
    </w:rPr>
  </w:style>
  <w:style w:type="paragraph" w:styleId="60">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1">
    <w:name w:val="标题 2 Char"/>
    <w:basedOn w:val="42"/>
    <w:link w:val="4"/>
    <w:autoRedefine/>
    <w:qFormat/>
    <w:uiPriority w:val="0"/>
    <w:rPr>
      <w:rFonts w:ascii="Arial" w:hAnsi="Arial" w:eastAsia="宋体" w:cs="宋体"/>
      <w:b/>
      <w:bCs/>
      <w:sz w:val="28"/>
      <w:szCs w:val="32"/>
    </w:rPr>
  </w:style>
  <w:style w:type="character" w:customStyle="1" w:styleId="62">
    <w:name w:val="正文文本 字符"/>
    <w:basedOn w:val="42"/>
    <w:link w:val="17"/>
    <w:autoRedefine/>
    <w:qFormat/>
    <w:uiPriority w:val="99"/>
    <w:rPr>
      <w:rFonts w:ascii="Calibri" w:hAnsi="Calibri" w:eastAsia="仿宋" w:cs="Times New Roman"/>
      <w:sz w:val="24"/>
    </w:rPr>
  </w:style>
  <w:style w:type="paragraph" w:customStyle="1" w:styleId="63">
    <w:name w:val="Char Char1 Char"/>
    <w:basedOn w:val="1"/>
    <w:autoRedefine/>
    <w:qFormat/>
    <w:uiPriority w:val="0"/>
  </w:style>
  <w:style w:type="character" w:customStyle="1" w:styleId="64">
    <w:name w:val="标题 3 Char"/>
    <w:autoRedefine/>
    <w:qFormat/>
    <w:uiPriority w:val="9"/>
    <w:rPr>
      <w:rFonts w:ascii="仿宋_GB2312" w:hAnsi="仿宋_GB2312" w:eastAsia="宋体" w:cs="宋体"/>
      <w:b/>
      <w:bCs/>
      <w:sz w:val="28"/>
      <w:szCs w:val="20"/>
    </w:rPr>
  </w:style>
  <w:style w:type="character" w:customStyle="1" w:styleId="65">
    <w:name w:val="标题 1 Char"/>
    <w:autoRedefine/>
    <w:qFormat/>
    <w:uiPriority w:val="99"/>
    <w:rPr>
      <w:rFonts w:ascii="Times New Roman" w:hAnsi="Times New Roman" w:eastAsia="宋体" w:cs="宋体"/>
      <w:b/>
      <w:sz w:val="36"/>
      <w:szCs w:val="20"/>
    </w:rPr>
  </w:style>
  <w:style w:type="paragraph" w:customStyle="1" w:styleId="66">
    <w:name w:val="普通(网站)1"/>
    <w:basedOn w:val="1"/>
    <w:autoRedefine/>
    <w:qFormat/>
    <w:uiPriority w:val="0"/>
    <w:pPr>
      <w:widowControl/>
      <w:spacing w:beforeAutospacing="1" w:afterAutospacing="1"/>
      <w:jc w:val="left"/>
    </w:pPr>
    <w:rPr>
      <w:rFonts w:ascii="宋体" w:hAnsi="宋体"/>
      <w:kern w:val="0"/>
      <w:szCs w:val="20"/>
    </w:rPr>
  </w:style>
  <w:style w:type="paragraph" w:customStyle="1" w:styleId="67">
    <w:name w:val="索引 11"/>
    <w:basedOn w:val="1"/>
    <w:next w:val="1"/>
    <w:autoRedefine/>
    <w:qFormat/>
    <w:uiPriority w:val="0"/>
    <w:pPr>
      <w:snapToGrid w:val="0"/>
    </w:pPr>
    <w:rPr>
      <w:szCs w:val="21"/>
    </w:rPr>
  </w:style>
  <w:style w:type="character" w:customStyle="1" w:styleId="68">
    <w:name w:val="large1"/>
    <w:autoRedefine/>
    <w:qFormat/>
    <w:uiPriority w:val="0"/>
    <w:rPr>
      <w:rFonts w:hint="eastAsia" w:ascii="宋体" w:hAnsi="宋体" w:eastAsia="宋体"/>
      <w:sz w:val="21"/>
      <w:szCs w:val="21"/>
    </w:rPr>
  </w:style>
  <w:style w:type="paragraph" w:customStyle="1" w:styleId="69">
    <w:name w:val="List Paragraph1"/>
    <w:basedOn w:val="1"/>
    <w:autoRedefine/>
    <w:qFormat/>
    <w:uiPriority w:val="0"/>
    <w:pPr>
      <w:widowControl/>
      <w:ind w:firstLine="420"/>
      <w:jc w:val="left"/>
    </w:pPr>
    <w:rPr>
      <w:rFonts w:ascii="Calibri" w:hAnsi="Calibri"/>
      <w:szCs w:val="22"/>
    </w:rPr>
  </w:style>
  <w:style w:type="paragraph" w:customStyle="1" w:styleId="70">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72">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3">
    <w:name w:val="DG正文"/>
    <w:basedOn w:val="1"/>
    <w:autoRedefine/>
    <w:qFormat/>
    <w:uiPriority w:val="0"/>
    <w:pPr>
      <w:widowControl/>
      <w:spacing w:line="360" w:lineRule="auto"/>
      <w:ind w:right="142" w:firstLine="640"/>
      <w:jc w:val="left"/>
    </w:pPr>
    <w:rPr>
      <w:rFonts w:ascii="Calibri" w:hAnsi="Calibri" w:cs="Calibri"/>
    </w:rPr>
  </w:style>
  <w:style w:type="paragraph" w:customStyle="1" w:styleId="74">
    <w:name w:val="正文 A"/>
    <w:autoRedefine/>
    <w:qFormat/>
    <w:uiPriority w:val="0"/>
    <w:rPr>
      <w:rFonts w:ascii="Times New Roman" w:hAnsi="Times New Roman" w:eastAsia="ヒラギノ角ゴ Pro W3" w:cs="Times New Roman"/>
      <w:color w:val="000000"/>
      <w:sz w:val="24"/>
      <w:szCs w:val="22"/>
      <w:lang w:val="en-US" w:eastAsia="zh-CN" w:bidi="ar-SA"/>
    </w:rPr>
  </w:style>
  <w:style w:type="character" w:customStyle="1" w:styleId="75">
    <w:name w:val="标题 2 字符"/>
    <w:basedOn w:val="42"/>
    <w:link w:val="4"/>
    <w:autoRedefine/>
    <w:qFormat/>
    <w:uiPriority w:val="0"/>
    <w:rPr>
      <w:rFonts w:ascii="Arial" w:hAnsi="Arial" w:eastAsia="宋体"/>
      <w:bCs/>
      <w:kern w:val="2"/>
      <w:sz w:val="30"/>
      <w:szCs w:val="32"/>
      <w:lang w:val="en-US" w:eastAsia="zh-CN" w:bidi="ar-SA"/>
    </w:rPr>
  </w:style>
  <w:style w:type="paragraph" w:customStyle="1" w:styleId="76">
    <w:name w:val="Proposals body"/>
    <w:basedOn w:val="1"/>
    <w:next w:val="1"/>
    <w:autoRedefine/>
    <w:qFormat/>
    <w:uiPriority w:val="0"/>
    <w:pPr>
      <w:widowControl/>
      <w:spacing w:line="360" w:lineRule="auto"/>
      <w:jc w:val="left"/>
    </w:pPr>
    <w:rPr>
      <w:rFonts w:ascii="宋体" w:eastAsia="仿宋_GB2312"/>
      <w:snapToGrid w:val="0"/>
      <w:color w:val="000000"/>
      <w:kern w:val="0"/>
      <w:szCs w:val="20"/>
    </w:rPr>
  </w:style>
  <w:style w:type="paragraph" w:customStyle="1" w:styleId="77">
    <w:name w:val="列出段落1"/>
    <w:basedOn w:val="1"/>
    <w:autoRedefine/>
    <w:qFormat/>
    <w:uiPriority w:val="34"/>
    <w:pPr>
      <w:ind w:firstLine="420"/>
    </w:pPr>
  </w:style>
  <w:style w:type="paragraph" w:customStyle="1" w:styleId="78">
    <w:name w:val="L正文"/>
    <w:basedOn w:val="1"/>
    <w:autoRedefine/>
    <w:qFormat/>
    <w:uiPriority w:val="0"/>
    <w:pPr>
      <w:spacing w:afterLines="50" w:line="240" w:lineRule="auto"/>
      <w:ind w:left="160" w:leftChars="160"/>
    </w:pPr>
    <w:rPr>
      <w:rFonts w:cs="Times New Roman"/>
      <w:sz w:val="21"/>
    </w:rPr>
  </w:style>
  <w:style w:type="paragraph" w:customStyle="1" w:styleId="79">
    <w:name w:val="列出段落11"/>
    <w:basedOn w:val="1"/>
    <w:autoRedefine/>
    <w:qFormat/>
    <w:uiPriority w:val="34"/>
    <w:pPr>
      <w:spacing w:line="240" w:lineRule="auto"/>
      <w:ind w:firstLine="420"/>
    </w:pPr>
    <w:rPr>
      <w:sz w:val="21"/>
      <w:szCs w:val="21"/>
    </w:rPr>
  </w:style>
  <w:style w:type="paragraph" w:customStyle="1" w:styleId="80">
    <w:name w:val="Char"/>
    <w:basedOn w:val="1"/>
    <w:next w:val="1"/>
    <w:autoRedefine/>
    <w:qFormat/>
    <w:uiPriority w:val="0"/>
    <w:rPr>
      <w:rFonts w:ascii="Tahoma" w:hAnsi="Tahoma"/>
      <w:szCs w:val="20"/>
    </w:rPr>
  </w:style>
  <w:style w:type="character" w:customStyle="1" w:styleId="81">
    <w:name w:val="批注框文本 字符"/>
    <w:basedOn w:val="42"/>
    <w:link w:val="25"/>
    <w:autoRedefine/>
    <w:qFormat/>
    <w:uiPriority w:val="0"/>
    <w:rPr>
      <w:rFonts w:ascii="Times New Roman" w:hAnsi="Times New Roman" w:cs="宋体"/>
      <w:kern w:val="2"/>
      <w:sz w:val="18"/>
      <w:szCs w:val="18"/>
    </w:rPr>
  </w:style>
  <w:style w:type="character" w:customStyle="1" w:styleId="82">
    <w:name w:val="正文文本缩进 字符"/>
    <w:basedOn w:val="42"/>
    <w:link w:val="18"/>
    <w:autoRedefine/>
    <w:qFormat/>
    <w:uiPriority w:val="0"/>
    <w:rPr>
      <w:rFonts w:ascii="Times New Roman" w:hAnsi="Times New Roman" w:cs="宋体"/>
      <w:kern w:val="2"/>
      <w:sz w:val="24"/>
      <w:szCs w:val="24"/>
    </w:rPr>
  </w:style>
  <w:style w:type="character" w:customStyle="1" w:styleId="83">
    <w:name w:val="未命名4"/>
    <w:basedOn w:val="42"/>
    <w:autoRedefine/>
    <w:qFormat/>
    <w:uiPriority w:val="0"/>
  </w:style>
  <w:style w:type="paragraph" w:customStyle="1" w:styleId="84">
    <w:name w:val="reader-word-layer reader-word-s27-4"/>
    <w:basedOn w:val="1"/>
    <w:autoRedefine/>
    <w:qFormat/>
    <w:uiPriority w:val="99"/>
    <w:pPr>
      <w:widowControl/>
      <w:spacing w:before="100" w:beforeAutospacing="1" w:after="100" w:afterAutospacing="1" w:line="440" w:lineRule="exact"/>
      <w:ind w:firstLine="1040"/>
      <w:jc w:val="left"/>
    </w:pPr>
    <w:rPr>
      <w:rFonts w:ascii="宋体" w:hAnsi="宋体" w:eastAsia="微软雅黑"/>
      <w:kern w:val="0"/>
    </w:rPr>
  </w:style>
  <w:style w:type="character" w:customStyle="1" w:styleId="85">
    <w:name w:val="font81"/>
    <w:basedOn w:val="42"/>
    <w:autoRedefine/>
    <w:qFormat/>
    <w:uiPriority w:val="0"/>
    <w:rPr>
      <w:rFonts w:hint="default" w:ascii="Times New Roman" w:hAnsi="Times New Roman" w:cs="Times New Roman"/>
      <w:color w:val="000000"/>
      <w:sz w:val="24"/>
      <w:szCs w:val="24"/>
      <w:u w:val="none"/>
    </w:rPr>
  </w:style>
  <w:style w:type="paragraph" w:customStyle="1" w:styleId="86">
    <w:name w:val="WPSOffice手动目录 1"/>
    <w:autoRedefine/>
    <w:qFormat/>
    <w:uiPriority w:val="0"/>
    <w:rPr>
      <w:rFonts w:ascii="Times New Roman" w:hAnsi="Times New Roman" w:eastAsia="宋体" w:cs="Times New Roman"/>
      <w:lang w:val="en-US" w:eastAsia="zh-CN" w:bidi="ar-SA"/>
    </w:rPr>
  </w:style>
  <w:style w:type="paragraph" w:customStyle="1" w:styleId="8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8">
    <w:name w:val="普通(网站)2"/>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89">
    <w:name w:val="保留正文"/>
    <w:basedOn w:val="17"/>
    <w:autoRedefine/>
    <w:qFormat/>
    <w:uiPriority w:val="0"/>
    <w:pPr>
      <w:keepNext/>
      <w:spacing w:after="160"/>
    </w:pPr>
    <w:rPr>
      <w:sz w:val="21"/>
    </w:rPr>
  </w:style>
  <w:style w:type="paragraph" w:customStyle="1" w:styleId="90">
    <w:name w:val="首行缩进"/>
    <w:basedOn w:val="1"/>
    <w:autoRedefine/>
    <w:qFormat/>
    <w:uiPriority w:val="0"/>
    <w:pPr>
      <w:spacing w:line="360" w:lineRule="auto"/>
      <w:ind w:firstLine="420"/>
    </w:pPr>
    <w:rPr>
      <w:rFonts w:ascii="宋体" w:hAnsi="宋体"/>
    </w:rPr>
  </w:style>
  <w:style w:type="character" w:customStyle="1" w:styleId="91">
    <w:name w:val="标题 3 Char1"/>
    <w:link w:val="5"/>
    <w:autoRedefine/>
    <w:qFormat/>
    <w:uiPriority w:val="9"/>
    <w:rPr>
      <w:rFonts w:ascii="仿宋_GB2312" w:hAnsi="仿宋_GB2312" w:eastAsia="仿宋" w:cs="Times New Roman"/>
      <w:b/>
      <w:bCs/>
      <w:sz w:val="24"/>
      <w:szCs w:val="20"/>
    </w:rPr>
  </w:style>
  <w:style w:type="paragraph" w:customStyle="1" w:styleId="92">
    <w:name w:val="BodyText1I"/>
    <w:basedOn w:val="93"/>
    <w:autoRedefine/>
    <w:qFormat/>
    <w:uiPriority w:val="0"/>
    <w:pPr>
      <w:spacing w:after="120"/>
      <w:ind w:firstLine="420"/>
    </w:pPr>
    <w:rPr>
      <w:rFonts w:ascii="仿宋_GB2312" w:hAnsi="Times New Roman" w:eastAsia="仿宋_GB2312"/>
      <w:sz w:val="28"/>
      <w:lang w:bidi="ar-SA"/>
    </w:rPr>
  </w:style>
  <w:style w:type="paragraph" w:customStyle="1" w:styleId="93">
    <w:name w:val="BodyText"/>
    <w:basedOn w:val="1"/>
    <w:autoRedefine/>
    <w:qFormat/>
    <w:uiPriority w:val="0"/>
    <w:pPr>
      <w:textAlignment w:val="baseline"/>
    </w:pPr>
    <w:rPr>
      <w:rFonts w:ascii="仿宋" w:hAnsi="仿宋" w:eastAsia="仿宋"/>
      <w:lang w:val="zh-CN" w:bidi="zh-CN"/>
    </w:rPr>
  </w:style>
  <w:style w:type="paragraph" w:customStyle="1" w:styleId="9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5">
    <w:name w:val="font31"/>
    <w:basedOn w:val="42"/>
    <w:autoRedefine/>
    <w:qFormat/>
    <w:uiPriority w:val="0"/>
    <w:rPr>
      <w:rFonts w:hint="eastAsia" w:ascii="微软雅黑" w:hAnsi="微软雅黑" w:eastAsia="微软雅黑" w:cs="微软雅黑"/>
      <w:color w:val="000000"/>
      <w:sz w:val="22"/>
      <w:szCs w:val="22"/>
      <w:u w:val="none"/>
    </w:rPr>
  </w:style>
  <w:style w:type="character" w:customStyle="1" w:styleId="96">
    <w:name w:val="font71"/>
    <w:basedOn w:val="42"/>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97">
    <w:name w:val="font21"/>
    <w:basedOn w:val="42"/>
    <w:autoRedefine/>
    <w:qFormat/>
    <w:uiPriority w:val="0"/>
    <w:rPr>
      <w:rFonts w:hint="eastAsia" w:ascii="微软雅黑" w:hAnsi="微软雅黑" w:eastAsia="微软雅黑" w:cs="微软雅黑"/>
      <w:color w:val="000000"/>
      <w:sz w:val="22"/>
      <w:szCs w:val="22"/>
      <w:u w:val="none"/>
    </w:rPr>
  </w:style>
  <w:style w:type="character" w:customStyle="1" w:styleId="98">
    <w:name w:val="font61"/>
    <w:basedOn w:val="42"/>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99">
    <w:name w:val="font01"/>
    <w:basedOn w:val="42"/>
    <w:autoRedefine/>
    <w:qFormat/>
    <w:uiPriority w:val="0"/>
    <w:rPr>
      <w:rFonts w:hint="eastAsia" w:ascii="宋体" w:hAnsi="宋体" w:eastAsia="宋体" w:cs="宋体"/>
      <w:color w:val="000000"/>
      <w:sz w:val="22"/>
      <w:szCs w:val="22"/>
      <w:u w:val="none"/>
    </w:rPr>
  </w:style>
  <w:style w:type="paragraph" w:customStyle="1" w:styleId="100">
    <w:name w:val="p0"/>
    <w:basedOn w:val="1"/>
    <w:autoRedefine/>
    <w:qFormat/>
    <w:uiPriority w:val="0"/>
    <w:pPr>
      <w:widowControl/>
    </w:pPr>
    <w:rPr>
      <w:kern w:val="0"/>
      <w:szCs w:val="21"/>
    </w:rPr>
  </w:style>
  <w:style w:type="paragraph" w:customStyle="1" w:styleId="101">
    <w:name w:val="表头文字"/>
    <w:basedOn w:val="1"/>
    <w:autoRedefine/>
    <w:qFormat/>
    <w:uiPriority w:val="0"/>
    <w:pPr>
      <w:widowControl/>
      <w:jc w:val="left"/>
    </w:pPr>
    <w:rPr>
      <w:rFonts w:eastAsia="仿宋"/>
      <w:b/>
      <w:kern w:val="0"/>
      <w:szCs w:val="21"/>
    </w:rPr>
  </w:style>
  <w:style w:type="character" w:customStyle="1" w:styleId="102">
    <w:name w:val="font41"/>
    <w:basedOn w:val="42"/>
    <w:autoRedefine/>
    <w:qFormat/>
    <w:uiPriority w:val="0"/>
    <w:rPr>
      <w:rFonts w:hint="eastAsia" w:ascii="微软雅黑" w:hAnsi="微软雅黑" w:eastAsia="微软雅黑" w:cs="微软雅黑"/>
      <w:color w:val="000000"/>
      <w:sz w:val="20"/>
      <w:szCs w:val="20"/>
      <w:u w:val="none"/>
    </w:rPr>
  </w:style>
  <w:style w:type="character" w:customStyle="1" w:styleId="103">
    <w:name w:val="font111"/>
    <w:basedOn w:val="4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04">
    <w:name w:val="font101"/>
    <w:basedOn w:val="4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05">
    <w:name w:val="font122"/>
    <w:basedOn w:val="42"/>
    <w:autoRedefine/>
    <w:qFormat/>
    <w:uiPriority w:val="0"/>
    <w:rPr>
      <w:rFonts w:hint="eastAsia" w:ascii="宋体" w:hAnsi="宋体" w:eastAsia="宋体" w:cs="宋体"/>
      <w:b/>
      <w:bCs/>
      <w:color w:val="FF0000"/>
      <w:sz w:val="22"/>
      <w:szCs w:val="22"/>
      <w:u w:val="none"/>
    </w:rPr>
  </w:style>
  <w:style w:type="character" w:customStyle="1" w:styleId="106">
    <w:name w:val="font91"/>
    <w:basedOn w:val="42"/>
    <w:autoRedefine/>
    <w:qFormat/>
    <w:uiPriority w:val="0"/>
    <w:rPr>
      <w:rFonts w:hint="eastAsia" w:ascii="宋体" w:hAnsi="宋体" w:eastAsia="宋体" w:cs="宋体"/>
      <w:color w:val="000000"/>
      <w:sz w:val="22"/>
      <w:szCs w:val="22"/>
      <w:u w:val="none"/>
    </w:rPr>
  </w:style>
  <w:style w:type="character" w:customStyle="1" w:styleId="107">
    <w:name w:val="font51"/>
    <w:basedOn w:val="4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08">
    <w:name w:val="font112"/>
    <w:basedOn w:val="42"/>
    <w:autoRedefine/>
    <w:qFormat/>
    <w:uiPriority w:val="0"/>
    <w:rPr>
      <w:rFonts w:hint="eastAsia" w:ascii="宋体" w:hAnsi="宋体" w:eastAsia="宋体" w:cs="宋体"/>
      <w:color w:val="000000"/>
      <w:sz w:val="24"/>
      <w:szCs w:val="24"/>
      <w:u w:val="none"/>
    </w:rPr>
  </w:style>
  <w:style w:type="paragraph" w:customStyle="1" w:styleId="109">
    <w:name w:val="样式1"/>
    <w:basedOn w:val="1"/>
    <w:autoRedefine/>
    <w:qFormat/>
    <w:uiPriority w:val="0"/>
    <w:pPr>
      <w:spacing w:line="360" w:lineRule="exact"/>
      <w:ind w:firstLine="200"/>
    </w:pPr>
    <w:rPr>
      <w:rFonts w:ascii="Arial" w:hAnsi="Arial"/>
    </w:rPr>
  </w:style>
  <w:style w:type="paragraph" w:customStyle="1" w:styleId="110">
    <w:name w:val="No Spacing_7e509324-65a2-4ed7-bf10-9eaa9c0383f4"/>
    <w:autoRedefine/>
    <w:qFormat/>
    <w:uiPriority w:val="1"/>
    <w:rPr>
      <w:rFonts w:ascii="Times New Roman" w:hAnsi="Times New Roman" w:eastAsia="宋体" w:cs="Times New Roman"/>
      <w:sz w:val="22"/>
      <w:szCs w:val="22"/>
      <w:lang w:val="en-US" w:eastAsia="en-US" w:bidi="en-US"/>
    </w:rPr>
  </w:style>
  <w:style w:type="paragraph" w:customStyle="1" w:styleId="111">
    <w:name w:val="_Style 1"/>
    <w:basedOn w:val="1"/>
    <w:autoRedefine/>
    <w:qFormat/>
    <w:uiPriority w:val="0"/>
    <w:pPr>
      <w:widowControl/>
      <w:jc w:val="left"/>
    </w:pPr>
    <w:rPr>
      <w:rFonts w:ascii="Calibri" w:hAnsi="Calibri"/>
      <w:sz w:val="28"/>
      <w:szCs w:val="28"/>
    </w:rPr>
  </w:style>
  <w:style w:type="paragraph" w:customStyle="1" w:styleId="112">
    <w:name w:val="Table Paragraph"/>
    <w:basedOn w:val="1"/>
    <w:autoRedefine/>
    <w:qFormat/>
    <w:uiPriority w:val="99"/>
    <w:rPr>
      <w:rFonts w:ascii="宋体" w:hAnsi="宋体"/>
      <w:lang w:val="zh-CN"/>
    </w:rPr>
  </w:style>
  <w:style w:type="character" w:customStyle="1" w:styleId="113">
    <w:name w:val="NormalCharacter"/>
    <w:autoRedefine/>
    <w:qFormat/>
    <w:uiPriority w:val="0"/>
  </w:style>
  <w:style w:type="paragraph" w:customStyle="1" w:styleId="114">
    <w:name w:val="标准正文"/>
    <w:basedOn w:val="1"/>
    <w:autoRedefine/>
    <w:qFormat/>
    <w:uiPriority w:val="0"/>
    <w:pPr>
      <w:spacing w:line="360" w:lineRule="auto"/>
      <w:ind w:firstLine="200"/>
    </w:pPr>
    <w:rPr>
      <w:szCs w:val="20"/>
    </w:rPr>
  </w:style>
  <w:style w:type="character" w:customStyle="1" w:styleId="115">
    <w:name w:val="标题 1 字符"/>
    <w:basedOn w:val="42"/>
    <w:link w:val="3"/>
    <w:autoRedefine/>
    <w:qFormat/>
    <w:uiPriority w:val="99"/>
    <w:rPr>
      <w:rFonts w:ascii="宋体" w:hAnsi="宋体" w:eastAsia="宋体" w:cs="宋体"/>
      <w:b/>
      <w:bCs/>
      <w:kern w:val="36"/>
      <w:sz w:val="48"/>
      <w:szCs w:val="48"/>
    </w:rPr>
  </w:style>
  <w:style w:type="paragraph" w:customStyle="1" w:styleId="116">
    <w:name w:val="正文文本缩进1"/>
    <w:basedOn w:val="1"/>
    <w:autoRedefine/>
    <w:qFormat/>
    <w:uiPriority w:val="0"/>
    <w:pPr>
      <w:spacing w:line="360" w:lineRule="auto"/>
      <w:ind w:firstLine="435"/>
    </w:pPr>
    <w:rPr>
      <w:sz w:val="28"/>
    </w:rPr>
  </w:style>
  <w:style w:type="character" w:customStyle="1" w:styleId="117">
    <w:name w:val="标题 3 字符"/>
    <w:link w:val="5"/>
    <w:autoRedefine/>
    <w:qFormat/>
    <w:uiPriority w:val="9"/>
    <w:rPr>
      <w:rFonts w:ascii="仿宋_GB2312" w:hAnsi="仿宋_GB2312" w:eastAsia="仿宋" w:cs="Times New Roman"/>
      <w:b/>
      <w:bCs/>
      <w:sz w:val="24"/>
      <w:szCs w:val="20"/>
    </w:rPr>
  </w:style>
  <w:style w:type="paragraph" w:customStyle="1" w:styleId="118">
    <w:name w:val="Revision"/>
    <w:autoRedefine/>
    <w:hidden/>
    <w:semiHidden/>
    <w:qFormat/>
    <w:uiPriority w:val="99"/>
    <w:rPr>
      <w:rFonts w:ascii="Times New Roman" w:hAnsi="Times New Roman" w:eastAsia="宋体" w:cs="宋体"/>
      <w:kern w:val="2"/>
      <w:sz w:val="24"/>
      <w:szCs w:val="24"/>
      <w:lang w:val="en-US" w:eastAsia="zh-CN" w:bidi="ar-SA"/>
    </w:rPr>
  </w:style>
  <w:style w:type="character" w:customStyle="1" w:styleId="119">
    <w:name w:val="批注文字 字符"/>
    <w:basedOn w:val="42"/>
    <w:link w:val="15"/>
    <w:autoRedefine/>
    <w:qFormat/>
    <w:uiPriority w:val="0"/>
    <w:rPr>
      <w:rFonts w:cs="宋体"/>
      <w:kern w:val="2"/>
      <w:sz w:val="24"/>
      <w:szCs w:val="24"/>
    </w:rPr>
  </w:style>
  <w:style w:type="character" w:customStyle="1" w:styleId="120">
    <w:name w:val="批注主题 字符"/>
    <w:basedOn w:val="119"/>
    <w:link w:val="35"/>
    <w:autoRedefine/>
    <w:qFormat/>
    <w:uiPriority w:val="0"/>
    <w:rPr>
      <w:rFonts w:cs="宋体"/>
      <w:b/>
      <w:bCs/>
      <w:kern w:val="2"/>
      <w:sz w:val="24"/>
      <w:szCs w:val="24"/>
    </w:rPr>
  </w:style>
  <w:style w:type="paragraph" w:customStyle="1" w:styleId="121">
    <w:name w:val="[Normal]"/>
    <w:autoRedefine/>
    <w:qFormat/>
    <w:uiPriority w:val="0"/>
    <w:rPr>
      <w:rFonts w:ascii="宋体" w:hAnsi="宋体" w:eastAsia="宋体" w:cs="Times New Roman"/>
      <w:sz w:val="24"/>
      <w:szCs w:val="22"/>
      <w:lang w:val="zh-CN" w:eastAsia="zh-CN" w:bidi="ar-SA"/>
    </w:rPr>
  </w:style>
  <w:style w:type="character" w:customStyle="1" w:styleId="122">
    <w:name w:val="font121"/>
    <w:autoRedefine/>
    <w:qFormat/>
    <w:uiPriority w:val="0"/>
    <w:rPr>
      <w:rFonts w:hint="default" w:ascii="Times New Roman" w:hAnsi="Times New Roman" w:eastAsia="宋体" w:cs="Times New Roman"/>
      <w:color w:val="000000"/>
      <w:sz w:val="22"/>
      <w:szCs w:val="22"/>
      <w:u w:val="none"/>
    </w:rPr>
  </w:style>
  <w:style w:type="paragraph" w:customStyle="1" w:styleId="123">
    <w:name w:val="表格"/>
    <w:basedOn w:val="1"/>
    <w:autoRedefine/>
    <w:qFormat/>
    <w:uiPriority w:val="0"/>
    <w:pPr>
      <w:adjustRightInd w:val="0"/>
      <w:spacing w:line="240" w:lineRule="auto"/>
      <w:ind w:firstLine="0" w:firstLineChars="0"/>
    </w:pPr>
    <w:rPr>
      <w:rFonts w:hint="eastAsia" w:ascii="宋体" w:hAnsi="宋体" w:cs="宋体"/>
      <w:bCs/>
    </w:rPr>
  </w:style>
  <w:style w:type="paragraph" w:customStyle="1" w:styleId="124">
    <w:name w:val="Body text|21"/>
    <w:basedOn w:val="1"/>
    <w:link w:val="126"/>
    <w:autoRedefine/>
    <w:qFormat/>
    <w:uiPriority w:val="0"/>
    <w:pPr>
      <w:shd w:val="clear" w:color="auto" w:fill="FFFFFF"/>
      <w:spacing w:after="240" w:line="200" w:lineRule="exact"/>
      <w:jc w:val="distribute"/>
    </w:pPr>
    <w:rPr>
      <w:rFonts w:ascii="PMingLiU_x0004_falt" w:hAnsi="PMingLiU_x0004_falt" w:eastAsia="PMingLiU_x0004_falt"/>
      <w:b/>
      <w:kern w:val="0"/>
      <w:sz w:val="20"/>
      <w:szCs w:val="20"/>
    </w:rPr>
  </w:style>
  <w:style w:type="character" w:customStyle="1" w:styleId="125">
    <w:name w:val="Body text|2"/>
    <w:basedOn w:val="126"/>
    <w:autoRedefine/>
    <w:qFormat/>
    <w:uiPriority w:val="0"/>
    <w:rPr>
      <w:color w:val="000000"/>
      <w:spacing w:val="0"/>
      <w:w w:val="100"/>
      <w:position w:val="0"/>
      <w:lang w:val="zh-CN" w:eastAsia="zh-CN"/>
    </w:rPr>
  </w:style>
  <w:style w:type="character" w:customStyle="1" w:styleId="126">
    <w:name w:val="Body text|2_"/>
    <w:basedOn w:val="42"/>
    <w:link w:val="124"/>
    <w:autoRedefine/>
    <w:qFormat/>
    <w:uiPriority w:val="0"/>
    <w:rPr>
      <w:rFonts w:ascii="PMingLiU_x0004_falt" w:hAnsi="PMingLiU_x0004_falt" w:eastAsia="PMingLiU_x0004_falt"/>
      <w:b/>
      <w:kern w:val="0"/>
      <w:sz w:val="20"/>
      <w:szCs w:val="20"/>
    </w:rPr>
  </w:style>
  <w:style w:type="table" w:customStyle="1" w:styleId="127">
    <w:name w:val="Table Normal"/>
    <w:autoRedefine/>
    <w:semiHidden/>
    <w:unhideWhenUsed/>
    <w:qFormat/>
    <w:uiPriority w:val="0"/>
    <w:tblPr>
      <w:tblCellMar>
        <w:top w:w="0" w:type="dxa"/>
        <w:left w:w="0" w:type="dxa"/>
        <w:bottom w:w="0" w:type="dxa"/>
        <w:right w:w="0" w:type="dxa"/>
      </w:tblCellMar>
    </w:tblPr>
  </w:style>
  <w:style w:type="character" w:customStyle="1" w:styleId="128">
    <w:name w:val="无"/>
    <w:autoRedefine/>
    <w:qFormat/>
    <w:uiPriority w:val="0"/>
  </w:style>
  <w:style w:type="character" w:customStyle="1" w:styleId="129">
    <w:name w:val="15"/>
    <w:basedOn w:val="42"/>
    <w:autoRedefine/>
    <w:qFormat/>
    <w:uiPriority w:val="0"/>
    <w:rPr>
      <w:rFonts w:hint="eastAsia" w:ascii="宋体" w:hAnsi="宋体" w:eastAsia="宋体" w:cs="宋体"/>
      <w:b/>
      <w:bCs/>
      <w:kern w:val="2"/>
      <w:sz w:val="30"/>
      <w:szCs w:val="30"/>
    </w:rPr>
  </w:style>
  <w:style w:type="paragraph" w:customStyle="1" w:styleId="130">
    <w:name w:val="正文_0"/>
    <w:basedOn w:val="1"/>
    <w:autoRedefine/>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s New Roman" w:hAnsi="Times New Roman" w:eastAsia="宋体" w:cs="Times New Roman"/>
      <w:kern w:val="2"/>
      <w:sz w:val="21"/>
      <w:szCs w:val="21"/>
      <w:lang w:val="en-US" w:eastAsia="zh-CN" w:bidi="ar"/>
    </w:rPr>
  </w:style>
  <w:style w:type="character" w:customStyle="1" w:styleId="131">
    <w:name w:val="10"/>
    <w:basedOn w:val="42"/>
    <w:autoRedefine/>
    <w:qFormat/>
    <w:uiPriority w:val="0"/>
    <w:rPr>
      <w:rFonts w:hint="default" w:ascii="Times New Roman" w:hAnsi="Times New Roman" w:cs="Times New Roman"/>
    </w:rPr>
  </w:style>
  <w:style w:type="paragraph" w:customStyle="1" w:styleId="132">
    <w:name w:val="text-tag"/>
    <w:basedOn w:val="1"/>
    <w:autoRedefine/>
    <w:hidden/>
    <w:qFormat/>
    <w:uiPriority w:val="0"/>
    <w:pPr>
      <w:keepNext w:val="0"/>
      <w:keepLines w:val="0"/>
      <w:widowControl/>
      <w:suppressLineNumbers w:val="0"/>
      <w:spacing w:before="0" w:beforeAutospacing="1" w:after="0" w:afterAutospacing="1"/>
      <w:jc w:val="left"/>
    </w:pPr>
    <w:rPr>
      <w:rFonts w:hint="eastAsia" w:ascii="宋体" w:hAnsi="宋体" w:eastAsia="宋体" w:cs="宋体"/>
      <w:kern w:val="0"/>
      <w:sz w:val="24"/>
      <w:szCs w:val="24"/>
      <w:lang w:val="en-US" w:eastAsia="zh-CN" w:bidi="ar"/>
    </w:rPr>
  </w:style>
  <w:style w:type="paragraph" w:customStyle="1" w:styleId="133">
    <w:name w:val="纯文本1"/>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0"/>
      <w:sz w:val="21"/>
      <w:szCs w:val="21"/>
      <w:lang w:val="en-US" w:eastAsia="zh-CN" w:bidi="ar"/>
    </w:rPr>
  </w:style>
  <w:style w:type="paragraph" w:customStyle="1" w:styleId="13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35">
    <w:name w:val="Table Text"/>
    <w:basedOn w:val="1"/>
    <w:autoRedefine/>
    <w:semiHidden/>
    <w:qFormat/>
    <w:uiPriority w:val="0"/>
    <w:rPr>
      <w:rFonts w:ascii="宋体" w:hAnsi="宋体" w:eastAsia="宋体" w:cs="宋体"/>
      <w:sz w:val="30"/>
      <w:szCs w:val="30"/>
      <w:lang w:val="en-US" w:eastAsia="en-US" w:bidi="ar-SA"/>
    </w:rPr>
  </w:style>
  <w:style w:type="paragraph" w:customStyle="1" w:styleId="136">
    <w:name w:val="样式 列表编号 + 段后: 0.5 行"/>
    <w:autoRedefine/>
    <w:qFormat/>
    <w:uiPriority w:val="0"/>
    <w:pPr>
      <w:widowControl w:val="0"/>
      <w:spacing w:line="500" w:lineRule="exact"/>
      <w:ind w:left="360" w:hanging="360" w:firstLineChars="200"/>
      <w:jc w:val="both"/>
    </w:pPr>
    <w:rPr>
      <w:rFonts w:ascii="Times New Roman" w:hAnsi="Times New Roman" w:eastAsia="宋体" w:cs="Times New Roman"/>
      <w:kern w:val="2"/>
      <w:sz w:val="24"/>
      <w:szCs w:val="24"/>
      <w:lang w:val="en-US" w:eastAsia="zh-CN" w:bidi="ar-SA"/>
    </w:rPr>
  </w:style>
  <w:style w:type="paragraph" w:customStyle="1" w:styleId="137">
    <w:name w:val="正文首行缩进 21"/>
    <w:basedOn w:val="1"/>
    <w:qFormat/>
    <w:uiPriority w:val="0"/>
    <w:pPr>
      <w:spacing w:after="120"/>
      <w:ind w:left="420" w:leftChars="200" w:firstLine="420"/>
    </w:pPr>
    <w:rPr>
      <w:rFonts w:cs="宋体"/>
      <w:color w:val="000000"/>
      <w:szCs w:val="21"/>
    </w:rPr>
  </w:style>
  <w:style w:type="character" w:customStyle="1" w:styleId="138">
    <w:name w:val="font11"/>
    <w:basedOn w:val="42"/>
    <w:qFormat/>
    <w:uiPriority w:val="0"/>
    <w:rPr>
      <w:rFonts w:hint="eastAsia" w:ascii="宋体" w:hAnsi="宋体" w:eastAsia="宋体" w:cs="宋体"/>
      <w:b/>
      <w:bCs/>
      <w:color w:val="000000"/>
      <w:sz w:val="22"/>
      <w:szCs w:val="22"/>
      <w:u w:val="none"/>
    </w:rPr>
  </w:style>
  <w:style w:type="paragraph" w:styleId="139">
    <w:name w:val="List Paragraph"/>
    <w:basedOn w:val="1"/>
    <w:qFormat/>
    <w:uiPriority w:val="99"/>
    <w:pPr>
      <w:ind w:firstLine="420"/>
    </w:pPr>
  </w:style>
  <w:style w:type="paragraph" w:customStyle="1" w:styleId="140">
    <w:name w:val="_Style 7"/>
    <w:basedOn w:val="1"/>
    <w:qFormat/>
    <w:uiPriority w:val="0"/>
    <w:pPr>
      <w:ind w:firstLine="420" w:firstLineChars="200"/>
    </w:pPr>
  </w:style>
  <w:style w:type="paragraph" w:customStyle="1" w:styleId="141">
    <w:name w:val="Body Text First Indent 21"/>
    <w:basedOn w:val="142"/>
    <w:qFormat/>
    <w:uiPriority w:val="0"/>
    <w:pPr>
      <w:ind w:firstLine="420"/>
    </w:pPr>
    <w:rPr>
      <w:rFonts w:ascii="Times New Roman" w:hAnsi="Times New Roman" w:cs="宋体"/>
    </w:rPr>
  </w:style>
  <w:style w:type="paragraph" w:customStyle="1" w:styleId="142">
    <w:name w:val="Body Text Indent1"/>
    <w:basedOn w:val="1"/>
    <w:next w:val="1"/>
    <w:qFormat/>
    <w:uiPriority w:val="0"/>
    <w:pPr>
      <w:spacing w:after="120"/>
      <w:ind w:left="420" w:leftChars="200"/>
    </w:pPr>
    <w:rPr>
      <w:color w:val="000000"/>
      <w:szCs w:val="21"/>
    </w:rPr>
  </w:style>
  <w:style w:type="paragraph" w:customStyle="1" w:styleId="143">
    <w:name w:val="正文_3_1"/>
    <w:basedOn w:val="144"/>
    <w:next w:val="145"/>
    <w:qFormat/>
    <w:uiPriority w:val="0"/>
    <w:pPr>
      <w:jc w:val="both"/>
    </w:pPr>
    <w:rPr>
      <w:rFonts w:ascii="Times New Roman" w:hAnsi="Times New Roman" w:eastAsia="宋体" w:cs="Times New Roman"/>
      <w:sz w:val="21"/>
      <w:szCs w:val="21"/>
      <w:lang w:val="en-US" w:eastAsia="zh-CN" w:bidi="ar-SA"/>
    </w:rPr>
  </w:style>
  <w:style w:type="paragraph" w:customStyle="1" w:styleId="144">
    <w:name w:val="正文_4"/>
    <w:next w:val="145"/>
    <w:qFormat/>
    <w:uiPriority w:val="0"/>
    <w:pPr>
      <w:jc w:val="both"/>
    </w:pPr>
    <w:rPr>
      <w:rFonts w:ascii="Times New Roman" w:hAnsi="Times New Roman" w:eastAsia="宋体" w:cs="Times New Roman"/>
      <w:sz w:val="21"/>
      <w:szCs w:val="21"/>
      <w:lang w:val="en-US" w:eastAsia="zh-CN" w:bidi="ar-SA"/>
    </w:rPr>
  </w:style>
  <w:style w:type="paragraph" w:customStyle="1" w:styleId="145">
    <w:name w:val="正文文本_3"/>
    <w:basedOn w:val="143"/>
    <w:qFormat/>
    <w:uiPriority w:val="0"/>
    <w:pPr>
      <w:spacing w:before="100" w:beforeAutospacing="1" w:after="120"/>
    </w:pPr>
    <w:rPr>
      <w:rFonts w:ascii="Times New Roman" w:hAnsi="Times New Roman" w:eastAsia="宋体" w:cs="Times New Roman"/>
    </w:rPr>
  </w:style>
  <w:style w:type="paragraph" w:customStyle="1" w:styleId="146">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147">
    <w:name w:val="Body text|3"/>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148">
    <w:name w:val="正文缩进2格"/>
    <w:basedOn w:val="1"/>
    <w:autoRedefine/>
    <w:qFormat/>
    <w:uiPriority w:val="0"/>
    <w:pPr>
      <w:snapToGrid w:val="0"/>
      <w:spacing w:line="600" w:lineRule="exact"/>
      <w:ind w:firstLine="639" w:firstLineChars="206"/>
    </w:pPr>
    <w:rPr>
      <w:rFonts w:hint="eastAsia" w:ascii="仿宋_GB2312" w:hAnsi="宋体" w:eastAsia="仿宋_GB2312"/>
      <w:kern w:val="0"/>
      <w:sz w:val="31"/>
      <w:szCs w:val="28"/>
    </w:rPr>
  </w:style>
  <w:style w:type="paragraph" w:customStyle="1" w:styleId="149">
    <w:name w:val="正文段"/>
    <w:basedOn w:val="1"/>
    <w:qFormat/>
    <w:uiPriority w:val="0"/>
    <w:pPr>
      <w:widowControl/>
      <w:snapToGrid w:val="0"/>
      <w:spacing w:afterLines="50"/>
      <w:ind w:firstLine="20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26067</Words>
  <Characters>27709</Characters>
  <Lines>1</Lines>
  <Paragraphs>1</Paragraphs>
  <TotalTime>4</TotalTime>
  <ScaleCrop>false</ScaleCrop>
  <LinksUpToDate>false</LinksUpToDate>
  <CharactersWithSpaces>28909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2019-07-10T03:14:00Z</dcterms:created>
  <dc:creator>宇正-王</dc:creator>
  <cp:lastModifiedBy>初见</cp:lastModifiedBy>
  <cp:lastPrinted>2024-11-18T09:07:00Z</cp:lastPrinted>
  <dcterms:modified xsi:type="dcterms:W3CDTF">2025-06-20T05:47:33Z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4DA59E7719064CEC84BCB950E5BE9F4C_13</vt:lpwstr>
  </property>
  <property fmtid="{D5CDD505-2E9C-101B-9397-08002B2CF9AE}" pid="4" name="KSOTemplateDocerSaveRecord">
    <vt:lpwstr>eyJoZGlkIjoiMDZhOWUxMDJmMTUxMTMyMTg0MjA1ODY3ZTgyZTEwNmIiLCJ1c2VySWQiOiI1MTk5ODA1NjUifQ==</vt:lpwstr>
  </property>
</Properties>
</file>