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E0B44">
      <w:pPr>
        <w:jc w:val="center"/>
        <w:rPr>
          <w:rFonts w:hint="default"/>
          <w:b/>
          <w:bCs/>
          <w:color w:val="auto"/>
          <w:sz w:val="36"/>
          <w:szCs w:val="36"/>
          <w:lang w:val="en-US" w:eastAsia="zh-CN"/>
        </w:rPr>
      </w:pPr>
      <w:r>
        <w:rPr>
          <w:rFonts w:hint="eastAsia"/>
          <w:b/>
          <w:bCs/>
          <w:color w:val="auto"/>
          <w:sz w:val="36"/>
          <w:szCs w:val="36"/>
          <w:lang w:val="en-US" w:eastAsia="zh-CN"/>
        </w:rPr>
        <w:t xml:space="preserve"> </w:t>
      </w:r>
    </w:p>
    <w:p w14:paraId="0FEF1EE8">
      <w:pPr>
        <w:jc w:val="center"/>
        <w:rPr>
          <w:rFonts w:hint="eastAsia"/>
          <w:b/>
          <w:bCs/>
          <w:color w:val="auto"/>
          <w:sz w:val="36"/>
          <w:szCs w:val="36"/>
          <w:lang w:eastAsia="zh-CN"/>
        </w:rPr>
      </w:pPr>
    </w:p>
    <w:p w14:paraId="3114250E">
      <w:pPr>
        <w:jc w:val="center"/>
        <w:rPr>
          <w:rFonts w:hint="eastAsia"/>
          <w:b/>
          <w:bCs/>
          <w:color w:val="auto"/>
          <w:sz w:val="36"/>
          <w:szCs w:val="36"/>
          <w:lang w:eastAsia="zh-CN"/>
        </w:rPr>
      </w:pPr>
      <w:r>
        <w:rPr>
          <w:rFonts w:hint="eastAsia"/>
          <w:b/>
          <w:bCs/>
          <w:color w:val="auto"/>
          <w:sz w:val="36"/>
          <w:szCs w:val="36"/>
          <w:lang w:eastAsia="zh-CN"/>
        </w:rPr>
        <w:t>台州市自然资源和规划信息中心存储光纤交换机及网络交换机扩容采购（重新发布）</w:t>
      </w:r>
    </w:p>
    <w:p w14:paraId="305E2084">
      <w:pPr>
        <w:rPr>
          <w:rFonts w:hint="eastAsia"/>
          <w:color w:val="auto"/>
          <w:lang w:eastAsia="zh-CN"/>
        </w:rPr>
      </w:pPr>
    </w:p>
    <w:p w14:paraId="2F1FA2FB">
      <w:pPr>
        <w:rPr>
          <w:rFonts w:hint="eastAsia"/>
          <w:color w:val="auto"/>
          <w:lang w:eastAsia="zh-CN"/>
        </w:rPr>
      </w:pPr>
    </w:p>
    <w:p w14:paraId="4FBFDC88">
      <w:pPr>
        <w:jc w:val="center"/>
        <w:rPr>
          <w:rFonts w:hint="eastAsia"/>
          <w:color w:val="auto"/>
          <w:sz w:val="44"/>
          <w:szCs w:val="44"/>
          <w:lang w:eastAsia="zh-CN"/>
        </w:rPr>
      </w:pPr>
    </w:p>
    <w:p w14:paraId="62603F51">
      <w:pPr>
        <w:pStyle w:val="2"/>
        <w:rPr>
          <w:rFonts w:hint="eastAsia"/>
          <w:color w:val="auto"/>
          <w:lang w:eastAsia="zh-CN"/>
        </w:rPr>
      </w:pPr>
    </w:p>
    <w:p w14:paraId="785C8F07">
      <w:pPr>
        <w:jc w:val="center"/>
        <w:rPr>
          <w:rFonts w:hint="eastAsia"/>
          <w:color w:val="auto"/>
          <w:sz w:val="44"/>
          <w:szCs w:val="44"/>
          <w:lang w:eastAsia="zh-CN"/>
        </w:rPr>
      </w:pPr>
    </w:p>
    <w:p w14:paraId="330D401D">
      <w:pPr>
        <w:jc w:val="center"/>
        <w:rPr>
          <w:rFonts w:hAnsi="宋体"/>
          <w:color w:val="auto"/>
          <w:sz w:val="84"/>
          <w:szCs w:val="84"/>
        </w:rPr>
      </w:pPr>
      <w:r>
        <w:rPr>
          <w:rFonts w:hint="eastAsia" w:hAnsi="宋体" w:eastAsia="宋体" w:cs="仿宋_GB2312"/>
          <w:color w:val="auto"/>
          <w:sz w:val="84"/>
          <w:szCs w:val="84"/>
          <w:lang w:eastAsia="zh-CN"/>
        </w:rPr>
        <w:t>询</w:t>
      </w:r>
      <w:r>
        <w:rPr>
          <w:rFonts w:hAnsi="宋体" w:cs="仿宋_GB2312"/>
          <w:color w:val="auto"/>
          <w:sz w:val="84"/>
          <w:szCs w:val="84"/>
        </w:rPr>
        <w:t xml:space="preserve"> </w:t>
      </w:r>
      <w:r>
        <w:rPr>
          <w:rFonts w:hint="eastAsia" w:hAnsi="宋体" w:eastAsia="宋体" w:cs="仿宋_GB2312"/>
          <w:color w:val="auto"/>
          <w:sz w:val="84"/>
          <w:szCs w:val="84"/>
          <w:lang w:eastAsia="zh-CN"/>
        </w:rPr>
        <w:t>价</w:t>
      </w:r>
      <w:r>
        <w:rPr>
          <w:rFonts w:hAnsi="宋体" w:cs="仿宋_GB2312"/>
          <w:color w:val="auto"/>
          <w:sz w:val="84"/>
          <w:szCs w:val="84"/>
        </w:rPr>
        <w:t xml:space="preserve"> </w:t>
      </w:r>
      <w:r>
        <w:rPr>
          <w:rFonts w:hint="eastAsia" w:hAnsi="宋体" w:cs="仿宋_GB2312"/>
          <w:color w:val="auto"/>
          <w:sz w:val="84"/>
          <w:szCs w:val="84"/>
        </w:rPr>
        <w:t>文</w:t>
      </w:r>
      <w:r>
        <w:rPr>
          <w:rFonts w:hAnsi="宋体" w:cs="仿宋_GB2312"/>
          <w:color w:val="auto"/>
          <w:sz w:val="84"/>
          <w:szCs w:val="84"/>
        </w:rPr>
        <w:t xml:space="preserve"> </w:t>
      </w:r>
      <w:r>
        <w:rPr>
          <w:rFonts w:hint="eastAsia" w:hAnsi="宋体" w:cs="仿宋_GB2312"/>
          <w:color w:val="auto"/>
          <w:sz w:val="84"/>
          <w:szCs w:val="84"/>
        </w:rPr>
        <w:t>件</w:t>
      </w:r>
    </w:p>
    <w:p w14:paraId="01DFBB5F">
      <w:pPr>
        <w:jc w:val="center"/>
        <w:rPr>
          <w:rFonts w:hint="eastAsia"/>
          <w:color w:val="auto"/>
          <w:sz w:val="44"/>
          <w:szCs w:val="44"/>
          <w:lang w:eastAsia="zh-CN"/>
        </w:rPr>
      </w:pPr>
      <w:r>
        <w:rPr>
          <w:rFonts w:hint="eastAsia" w:hAnsi="宋体"/>
          <w:color w:val="auto"/>
          <w:sz w:val="30"/>
          <w:szCs w:val="30"/>
          <w:lang w:val="en-US" w:eastAsia="zh-CN"/>
        </w:rPr>
        <w:t>项目编号</w:t>
      </w:r>
      <w:r>
        <w:rPr>
          <w:rFonts w:hint="eastAsia" w:hAnsi="宋体"/>
          <w:color w:val="auto"/>
          <w:sz w:val="30"/>
          <w:szCs w:val="30"/>
          <w:lang w:eastAsia="zh-CN"/>
        </w:rPr>
        <w:t>TZCCC-【2025】-043号-2</w:t>
      </w:r>
    </w:p>
    <w:p w14:paraId="68586A91">
      <w:pPr>
        <w:jc w:val="center"/>
        <w:rPr>
          <w:rFonts w:hint="eastAsia"/>
          <w:color w:val="auto"/>
          <w:sz w:val="44"/>
          <w:szCs w:val="44"/>
          <w:lang w:eastAsia="zh-CN"/>
        </w:rPr>
      </w:pPr>
    </w:p>
    <w:p w14:paraId="142BCBCC">
      <w:pPr>
        <w:jc w:val="center"/>
        <w:rPr>
          <w:rFonts w:hint="eastAsia"/>
          <w:color w:val="auto"/>
          <w:sz w:val="44"/>
          <w:szCs w:val="44"/>
          <w:lang w:eastAsia="zh-CN"/>
        </w:rPr>
      </w:pPr>
    </w:p>
    <w:p w14:paraId="45A2B46A">
      <w:pPr>
        <w:jc w:val="center"/>
        <w:rPr>
          <w:rFonts w:hint="eastAsia"/>
          <w:color w:val="auto"/>
          <w:sz w:val="44"/>
          <w:szCs w:val="44"/>
          <w:lang w:eastAsia="zh-CN"/>
        </w:rPr>
      </w:pPr>
    </w:p>
    <w:p w14:paraId="5370547C">
      <w:pPr>
        <w:pStyle w:val="2"/>
        <w:rPr>
          <w:rFonts w:hint="eastAsia"/>
          <w:color w:val="auto"/>
          <w:lang w:eastAsia="zh-CN"/>
        </w:rPr>
      </w:pPr>
    </w:p>
    <w:p w14:paraId="6D1A40CA">
      <w:pPr>
        <w:jc w:val="center"/>
        <w:rPr>
          <w:rFonts w:hint="eastAsia"/>
          <w:color w:val="auto"/>
          <w:sz w:val="30"/>
          <w:szCs w:val="30"/>
          <w:lang w:eastAsia="zh-CN"/>
        </w:rPr>
      </w:pPr>
      <w:r>
        <w:rPr>
          <w:rFonts w:hint="eastAsia"/>
          <w:color w:val="auto"/>
          <w:sz w:val="30"/>
          <w:szCs w:val="30"/>
          <w:lang w:eastAsia="zh-CN"/>
        </w:rPr>
        <w:t>采购人：台州市自然资源和规划信息中心</w:t>
      </w:r>
    </w:p>
    <w:p w14:paraId="7E8DFEA3">
      <w:pPr>
        <w:pStyle w:val="2"/>
        <w:ind w:firstLine="1500" w:firstLineChars="500"/>
        <w:rPr>
          <w:rFonts w:hint="eastAsia" w:asciiTheme="minorHAnsi" w:hAnsiTheme="minorHAnsi" w:eastAsiaTheme="minorEastAsia" w:cstheme="minorBidi"/>
          <w:color w:val="auto"/>
          <w:kern w:val="2"/>
          <w:sz w:val="30"/>
          <w:szCs w:val="30"/>
          <w:lang w:val="en-US" w:eastAsia="zh-CN" w:bidi="ar-SA"/>
        </w:rPr>
      </w:pPr>
      <w:r>
        <w:rPr>
          <w:rFonts w:hint="eastAsia" w:asciiTheme="minorHAnsi" w:hAnsiTheme="minorHAnsi" w:eastAsiaTheme="minorEastAsia" w:cstheme="minorBidi"/>
          <w:color w:val="auto"/>
          <w:kern w:val="2"/>
          <w:sz w:val="30"/>
          <w:szCs w:val="30"/>
          <w:lang w:val="en-US" w:eastAsia="zh-CN" w:bidi="ar-SA"/>
        </w:rPr>
        <w:t>采购代理机构：</w:t>
      </w:r>
      <w:r>
        <w:rPr>
          <w:rFonts w:hint="eastAsia" w:ascii="宋体" w:hAnsi="宋体"/>
          <w:color w:val="auto"/>
          <w:sz w:val="30"/>
          <w:szCs w:val="30"/>
        </w:rPr>
        <w:t>台州市建设咨询有限公司</w:t>
      </w:r>
    </w:p>
    <w:p w14:paraId="2DC63F75">
      <w:pPr>
        <w:jc w:val="center"/>
        <w:rPr>
          <w:rFonts w:hint="default"/>
          <w:color w:val="auto"/>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color w:val="auto"/>
          <w:sz w:val="30"/>
          <w:szCs w:val="30"/>
          <w:lang w:val="en-US" w:eastAsia="zh-CN"/>
        </w:rPr>
        <w:t>2025年6月</w:t>
      </w:r>
    </w:p>
    <w:p w14:paraId="64C45E1F">
      <w:pPr>
        <w:jc w:val="center"/>
        <w:rPr>
          <w:rFonts w:hint="eastAsia" w:eastAsiaTheme="minorEastAsia"/>
          <w:b/>
          <w:color w:val="auto"/>
          <w:sz w:val="32"/>
          <w:szCs w:val="32"/>
          <w:lang w:eastAsia="zh-CN"/>
        </w:rPr>
      </w:pPr>
      <w:r>
        <w:rPr>
          <w:rFonts w:hint="eastAsia"/>
          <w:b/>
          <w:color w:val="auto"/>
          <w:sz w:val="32"/>
          <w:szCs w:val="32"/>
          <w:lang w:eastAsia="zh-CN"/>
        </w:rPr>
        <w:t>台州市自然资源和规划信息中心存储光纤交换机及网络交换机扩容采购（重新发布）询价通知书</w:t>
      </w:r>
    </w:p>
    <w:p w14:paraId="46DEB7CA">
      <w:pPr>
        <w:keepNext w:val="0"/>
        <w:keepLines w:val="0"/>
        <w:pageBreakBefore w:val="0"/>
        <w:kinsoku/>
        <w:wordWrap/>
        <w:overflowPunct/>
        <w:topLinePunct w:val="0"/>
        <w:autoSpaceDE/>
        <w:autoSpaceDN/>
        <w:bidi w:val="0"/>
        <w:adjustRightInd/>
        <w:snapToGrid/>
        <w:spacing w:line="520" w:lineRule="exact"/>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台州市建设咨询有限公司受台州市自然资源和规划信息中心的委托，就</w:t>
      </w:r>
      <w:r>
        <w:rPr>
          <w:rFonts w:hint="eastAsia" w:asciiTheme="minorEastAsia" w:hAnsiTheme="minorEastAsia" w:cstheme="minorEastAsia"/>
          <w:color w:val="auto"/>
          <w:sz w:val="24"/>
          <w:szCs w:val="24"/>
          <w:lang w:eastAsia="zh-CN"/>
        </w:rPr>
        <w:t>台州市自然资源和规划信息中心存储光纤交换机及网络交换机扩容采购（重新发布）</w:t>
      </w:r>
      <w:r>
        <w:rPr>
          <w:rFonts w:hint="eastAsia" w:asciiTheme="minorEastAsia" w:hAnsiTheme="minorEastAsia" w:eastAsiaTheme="minorEastAsia" w:cstheme="minorEastAsia"/>
          <w:color w:val="auto"/>
          <w:sz w:val="24"/>
          <w:szCs w:val="24"/>
          <w:lang w:eastAsia="zh-CN"/>
        </w:rPr>
        <w:t>项目进行询价采购，欢迎合格的供应商前来参加。</w:t>
      </w:r>
    </w:p>
    <w:p w14:paraId="14690FF2">
      <w:pPr>
        <w:pStyle w:val="21"/>
        <w:keepNext w:val="0"/>
        <w:keepLines w:val="0"/>
        <w:pageBreakBefore w:val="0"/>
        <w:numPr>
          <w:ilvl w:val="0"/>
          <w:numId w:val="0"/>
        </w:numPr>
        <w:kinsoku/>
        <w:wordWrap/>
        <w:overflowPunct/>
        <w:topLinePunct w:val="0"/>
        <w:autoSpaceDE/>
        <w:autoSpaceDN/>
        <w:bidi w:val="0"/>
        <w:adjustRightInd/>
        <w:snapToGrid/>
        <w:spacing w:line="52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eastAsia="zh-CN"/>
        </w:rPr>
        <w:t>一、</w:t>
      </w:r>
      <w:r>
        <w:rPr>
          <w:rFonts w:hint="eastAsia" w:asciiTheme="minorEastAsia" w:hAnsiTheme="minorEastAsia" w:eastAsiaTheme="minorEastAsia" w:cstheme="minorEastAsia"/>
          <w:b/>
          <w:bCs/>
          <w:color w:val="auto"/>
          <w:sz w:val="24"/>
          <w:szCs w:val="24"/>
        </w:rPr>
        <w:t>项目概况</w:t>
      </w:r>
      <w:r>
        <w:rPr>
          <w:rFonts w:hint="eastAsia" w:asciiTheme="minorEastAsia" w:hAnsiTheme="minorEastAsia" w:eastAsiaTheme="minorEastAsia" w:cstheme="minorEastAsia"/>
          <w:b/>
          <w:bCs/>
          <w:color w:val="auto"/>
          <w:sz w:val="24"/>
          <w:szCs w:val="24"/>
          <w:lang w:eastAsia="zh-CN"/>
        </w:rPr>
        <w:t>（内容、用途、数量、简要技术要求）</w:t>
      </w:r>
      <w:r>
        <w:rPr>
          <w:rFonts w:hint="eastAsia" w:asciiTheme="minorEastAsia" w:hAnsiTheme="minorEastAsia" w:eastAsiaTheme="minorEastAsia" w:cstheme="minorEastAsia"/>
          <w:b/>
          <w:bCs/>
          <w:color w:val="auto"/>
          <w:sz w:val="24"/>
          <w:szCs w:val="24"/>
        </w:rPr>
        <w:t>：</w:t>
      </w:r>
    </w:p>
    <w:tbl>
      <w:tblPr>
        <w:tblStyle w:val="16"/>
        <w:tblW w:w="9317" w:type="dxa"/>
        <w:tblInd w:w="0" w:type="dxa"/>
        <w:tblLayout w:type="fixed"/>
        <w:tblCellMar>
          <w:top w:w="0" w:type="dxa"/>
          <w:left w:w="0" w:type="dxa"/>
          <w:bottom w:w="0" w:type="dxa"/>
          <w:right w:w="0" w:type="dxa"/>
        </w:tblCellMar>
      </w:tblPr>
      <w:tblGrid>
        <w:gridCol w:w="1525"/>
        <w:gridCol w:w="884"/>
        <w:gridCol w:w="1343"/>
        <w:gridCol w:w="1570"/>
        <w:gridCol w:w="2413"/>
        <w:gridCol w:w="1582"/>
      </w:tblGrid>
      <w:tr w14:paraId="372AEABE">
        <w:tblPrEx>
          <w:tblCellMar>
            <w:top w:w="0" w:type="dxa"/>
            <w:left w:w="0" w:type="dxa"/>
            <w:bottom w:w="0" w:type="dxa"/>
            <w:right w:w="0" w:type="dxa"/>
          </w:tblCellMar>
        </w:tblPrEx>
        <w:trPr>
          <w:trHeight w:val="1019" w:hRule="atLeast"/>
        </w:trPr>
        <w:tc>
          <w:tcPr>
            <w:tcW w:w="152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B9613C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采购内容</w:t>
            </w:r>
          </w:p>
        </w:tc>
        <w:tc>
          <w:tcPr>
            <w:tcW w:w="884" w:type="dxa"/>
            <w:tcBorders>
              <w:top w:val="single" w:color="000000" w:sz="4" w:space="0"/>
              <w:left w:val="single" w:color="000000" w:sz="4" w:space="0"/>
              <w:right w:val="single" w:color="auto" w:sz="4" w:space="0"/>
            </w:tcBorders>
            <w:noWrap/>
            <w:tcMar>
              <w:top w:w="15" w:type="dxa"/>
              <w:left w:w="15" w:type="dxa"/>
              <w:right w:w="15" w:type="dxa"/>
            </w:tcMar>
            <w:vAlign w:val="center"/>
          </w:tcPr>
          <w:p w14:paraId="42B4D66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单位</w:t>
            </w:r>
          </w:p>
        </w:tc>
        <w:tc>
          <w:tcPr>
            <w:tcW w:w="1343" w:type="dxa"/>
            <w:tcBorders>
              <w:top w:val="single" w:color="000000" w:sz="4" w:space="0"/>
              <w:left w:val="single" w:color="auto" w:sz="4" w:space="0"/>
              <w:right w:val="single" w:color="auto" w:sz="4" w:space="0"/>
            </w:tcBorders>
            <w:noWrap/>
            <w:tcMar>
              <w:top w:w="15" w:type="dxa"/>
              <w:left w:w="15" w:type="dxa"/>
              <w:right w:w="15" w:type="dxa"/>
            </w:tcMar>
            <w:vAlign w:val="center"/>
          </w:tcPr>
          <w:p w14:paraId="3355891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数量</w:t>
            </w:r>
          </w:p>
        </w:tc>
        <w:tc>
          <w:tcPr>
            <w:tcW w:w="1570" w:type="dxa"/>
            <w:tcBorders>
              <w:top w:val="single" w:color="000000" w:sz="4" w:space="0"/>
              <w:left w:val="single" w:color="auto" w:sz="4" w:space="0"/>
              <w:right w:val="single" w:color="000000" w:sz="4" w:space="0"/>
            </w:tcBorders>
            <w:noWrap/>
            <w:tcMar>
              <w:top w:w="15" w:type="dxa"/>
              <w:left w:w="15" w:type="dxa"/>
              <w:right w:w="15" w:type="dxa"/>
            </w:tcMar>
            <w:vAlign w:val="center"/>
          </w:tcPr>
          <w:p w14:paraId="41319F1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kern w:val="0"/>
                <w:sz w:val="24"/>
                <w:szCs w:val="24"/>
                <w:highlight w:val="none"/>
                <w:u w:val="none"/>
                <w:lang w:val="en-US" w:eastAsia="zh-CN" w:bidi="ar"/>
              </w:rPr>
              <w:t>预算金额（上限价）</w:t>
            </w:r>
          </w:p>
        </w:tc>
        <w:tc>
          <w:tcPr>
            <w:tcW w:w="241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28682D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sz w:val="24"/>
                <w:szCs w:val="24"/>
                <w:highlight w:val="none"/>
                <w:u w:val="none"/>
                <w:lang w:eastAsia="zh-CN"/>
              </w:rPr>
              <w:t>简要描述或基本概况介绍</w:t>
            </w:r>
          </w:p>
        </w:tc>
        <w:tc>
          <w:tcPr>
            <w:tcW w:w="1582"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323A930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备注</w:t>
            </w:r>
          </w:p>
        </w:tc>
      </w:tr>
      <w:tr w14:paraId="55C32B7C">
        <w:tblPrEx>
          <w:tblCellMar>
            <w:top w:w="0" w:type="dxa"/>
            <w:left w:w="0" w:type="dxa"/>
            <w:bottom w:w="0" w:type="dxa"/>
            <w:right w:w="0" w:type="dxa"/>
          </w:tblCellMar>
        </w:tblPrEx>
        <w:trPr>
          <w:trHeight w:val="607" w:hRule="atLeast"/>
        </w:trPr>
        <w:tc>
          <w:tcPr>
            <w:tcW w:w="152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79A7CE1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Calibri" w:cs="宋体"/>
                <w:i w:val="0"/>
                <w:color w:val="auto"/>
                <w:kern w:val="0"/>
                <w:sz w:val="21"/>
                <w:szCs w:val="21"/>
                <w:highlight w:val="none"/>
                <w:u w:val="none"/>
                <w:lang w:val="en-US" w:eastAsia="zh-CN" w:bidi="ar"/>
              </w:rPr>
            </w:pPr>
            <w:r>
              <w:rPr>
                <w:rFonts w:hint="eastAsia" w:ascii="宋体" w:hAnsi="宋体" w:eastAsia="Calibri" w:cs="宋体"/>
                <w:i w:val="0"/>
                <w:color w:val="auto"/>
                <w:kern w:val="0"/>
                <w:sz w:val="21"/>
                <w:szCs w:val="21"/>
                <w:highlight w:val="none"/>
                <w:u w:val="none"/>
                <w:lang w:val="en-US" w:eastAsia="zh-CN" w:bidi="ar"/>
              </w:rPr>
              <w:t>存储光纤交换机</w:t>
            </w:r>
          </w:p>
        </w:tc>
        <w:tc>
          <w:tcPr>
            <w:tcW w:w="884" w:type="dxa"/>
            <w:tcBorders>
              <w:top w:val="single" w:color="000000" w:sz="4" w:space="0"/>
              <w:left w:val="single" w:color="000000" w:sz="4" w:space="0"/>
              <w:right w:val="single" w:color="auto" w:sz="4" w:space="0"/>
            </w:tcBorders>
            <w:noWrap/>
            <w:tcMar>
              <w:top w:w="15" w:type="dxa"/>
              <w:left w:w="15" w:type="dxa"/>
              <w:right w:w="15" w:type="dxa"/>
            </w:tcMar>
            <w:vAlign w:val="center"/>
          </w:tcPr>
          <w:p w14:paraId="34AB78F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color w:val="auto"/>
                <w:sz w:val="21"/>
                <w:szCs w:val="21"/>
                <w:highlight w:val="none"/>
                <w:lang w:val="en-US" w:eastAsia="zh-CN"/>
              </w:rPr>
              <w:t>台</w:t>
            </w:r>
          </w:p>
        </w:tc>
        <w:tc>
          <w:tcPr>
            <w:tcW w:w="1343" w:type="dxa"/>
            <w:tcBorders>
              <w:top w:val="single" w:color="000000" w:sz="4" w:space="0"/>
              <w:left w:val="single" w:color="auto" w:sz="4" w:space="0"/>
              <w:right w:val="single" w:color="auto" w:sz="4" w:space="0"/>
            </w:tcBorders>
            <w:noWrap/>
            <w:tcMar>
              <w:top w:w="15" w:type="dxa"/>
              <w:left w:w="15" w:type="dxa"/>
              <w:right w:w="15" w:type="dxa"/>
            </w:tcMar>
            <w:vAlign w:val="center"/>
          </w:tcPr>
          <w:p w14:paraId="56DFC4B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w:t>
            </w:r>
          </w:p>
        </w:tc>
        <w:tc>
          <w:tcPr>
            <w:tcW w:w="1570" w:type="dxa"/>
            <w:tcBorders>
              <w:top w:val="single" w:color="000000" w:sz="4" w:space="0"/>
              <w:left w:val="single" w:color="auto" w:sz="4" w:space="0"/>
              <w:right w:val="single" w:color="000000" w:sz="4" w:space="0"/>
            </w:tcBorders>
            <w:noWrap/>
            <w:tcMar>
              <w:top w:w="15" w:type="dxa"/>
              <w:left w:w="15" w:type="dxa"/>
              <w:right w:w="15" w:type="dxa"/>
            </w:tcMar>
            <w:vAlign w:val="center"/>
          </w:tcPr>
          <w:p w14:paraId="74DEE6FB">
            <w:pPr>
              <w:jc w:val="center"/>
              <w:rPr>
                <w:rFonts w:hint="default" w:ascii="宋体" w:hAnsi="宋体" w:eastAsia="宋体" w:cs="宋体"/>
                <w:i w:val="0"/>
                <w:color w:val="auto"/>
                <w:kern w:val="0"/>
                <w:sz w:val="21"/>
                <w:szCs w:val="21"/>
                <w:highlight w:val="none"/>
                <w:u w:val="none"/>
                <w:lang w:val="en-US" w:eastAsia="zh-CN" w:bidi="ar"/>
              </w:rPr>
            </w:pPr>
            <w:r>
              <w:rPr>
                <w:rFonts w:hint="eastAsia"/>
                <w:color w:val="auto"/>
                <w:sz w:val="21"/>
                <w:szCs w:val="21"/>
                <w:lang w:val="en-US" w:eastAsia="zh-CN"/>
              </w:rPr>
              <w:t>132000元</w:t>
            </w:r>
          </w:p>
        </w:tc>
        <w:tc>
          <w:tcPr>
            <w:tcW w:w="241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04EC9DD">
            <w:pPr>
              <w:pStyle w:val="7"/>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本次采购内容包含了产品的生产、运输、验收、</w:t>
            </w:r>
            <w:r>
              <w:rPr>
                <w:rFonts w:hint="eastAsia" w:ascii="宋体" w:hAnsi="宋体" w:cs="宋体"/>
                <w:color w:val="auto"/>
                <w:sz w:val="24"/>
                <w:szCs w:val="24"/>
                <w:highlight w:val="none"/>
                <w:lang w:val="en-US" w:eastAsia="zh-CN"/>
              </w:rPr>
              <w:t>安装</w:t>
            </w:r>
            <w:r>
              <w:rPr>
                <w:rFonts w:hint="eastAsia" w:ascii="宋体" w:hAnsi="宋体" w:eastAsia="宋体" w:cs="宋体"/>
                <w:color w:val="auto"/>
                <w:sz w:val="24"/>
                <w:szCs w:val="24"/>
                <w:highlight w:val="none"/>
                <w:lang w:val="en-US" w:eastAsia="zh-CN"/>
              </w:rPr>
              <w:t>、调试、产品保护及其售后服务等内容</w:t>
            </w:r>
          </w:p>
        </w:tc>
        <w:tc>
          <w:tcPr>
            <w:tcW w:w="158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93DB2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p>
        </w:tc>
      </w:tr>
      <w:tr w14:paraId="3B7C68E2">
        <w:tblPrEx>
          <w:tblCellMar>
            <w:top w:w="0" w:type="dxa"/>
            <w:left w:w="0" w:type="dxa"/>
            <w:bottom w:w="0" w:type="dxa"/>
            <w:right w:w="0" w:type="dxa"/>
          </w:tblCellMar>
        </w:tblPrEx>
        <w:trPr>
          <w:trHeight w:val="478" w:hRule="atLeast"/>
        </w:trPr>
        <w:tc>
          <w:tcPr>
            <w:tcW w:w="152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78B4781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Calibri" w:cs="宋体"/>
                <w:i w:val="0"/>
                <w:color w:val="auto"/>
                <w:kern w:val="0"/>
                <w:sz w:val="21"/>
                <w:szCs w:val="21"/>
                <w:highlight w:val="none"/>
                <w:u w:val="none"/>
                <w:lang w:val="en-US" w:eastAsia="zh-CN" w:bidi="ar"/>
              </w:rPr>
            </w:pPr>
            <w:r>
              <w:rPr>
                <w:rFonts w:hint="eastAsia" w:ascii="宋体" w:hAnsi="宋体" w:eastAsia="Calibri" w:cs="宋体"/>
                <w:i w:val="0"/>
                <w:color w:val="auto"/>
                <w:kern w:val="0"/>
                <w:sz w:val="21"/>
                <w:szCs w:val="21"/>
                <w:highlight w:val="none"/>
                <w:u w:val="none"/>
                <w:lang w:val="en-US" w:eastAsia="zh-CN" w:bidi="ar"/>
              </w:rPr>
              <w:t>万兆交换机</w:t>
            </w:r>
          </w:p>
        </w:tc>
        <w:tc>
          <w:tcPr>
            <w:tcW w:w="884" w:type="dxa"/>
            <w:tcBorders>
              <w:top w:val="single" w:color="000000" w:sz="4" w:space="0"/>
              <w:left w:val="single" w:color="000000" w:sz="4" w:space="0"/>
              <w:right w:val="single" w:color="auto" w:sz="4" w:space="0"/>
            </w:tcBorders>
            <w:noWrap/>
            <w:tcMar>
              <w:top w:w="15" w:type="dxa"/>
              <w:left w:w="15" w:type="dxa"/>
              <w:right w:w="15" w:type="dxa"/>
            </w:tcMar>
            <w:vAlign w:val="center"/>
          </w:tcPr>
          <w:p w14:paraId="5EAABBF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color w:val="auto"/>
                <w:sz w:val="21"/>
                <w:szCs w:val="21"/>
                <w:highlight w:val="none"/>
                <w:lang w:val="en-US" w:eastAsia="zh-CN"/>
              </w:rPr>
            </w:pPr>
            <w:r>
              <w:rPr>
                <w:rFonts w:hint="eastAsia"/>
                <w:color w:val="auto"/>
                <w:sz w:val="21"/>
                <w:szCs w:val="21"/>
              </w:rPr>
              <w:t>台</w:t>
            </w:r>
          </w:p>
        </w:tc>
        <w:tc>
          <w:tcPr>
            <w:tcW w:w="1343" w:type="dxa"/>
            <w:tcBorders>
              <w:top w:val="single" w:color="000000" w:sz="4" w:space="0"/>
              <w:left w:val="single" w:color="auto" w:sz="4" w:space="0"/>
              <w:right w:val="single" w:color="auto" w:sz="4" w:space="0"/>
            </w:tcBorders>
            <w:noWrap/>
            <w:tcMar>
              <w:top w:w="15" w:type="dxa"/>
              <w:left w:w="15" w:type="dxa"/>
              <w:right w:w="15" w:type="dxa"/>
            </w:tcMar>
            <w:vAlign w:val="center"/>
          </w:tcPr>
          <w:p w14:paraId="778E6C4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w:t>
            </w:r>
          </w:p>
        </w:tc>
        <w:tc>
          <w:tcPr>
            <w:tcW w:w="1570" w:type="dxa"/>
            <w:tcBorders>
              <w:top w:val="single" w:color="000000" w:sz="4" w:space="0"/>
              <w:left w:val="single" w:color="auto" w:sz="4" w:space="0"/>
              <w:right w:val="single" w:color="000000" w:sz="4" w:space="0"/>
            </w:tcBorders>
            <w:noWrap/>
            <w:tcMar>
              <w:top w:w="15" w:type="dxa"/>
              <w:left w:w="15" w:type="dxa"/>
              <w:right w:w="15" w:type="dxa"/>
            </w:tcMar>
            <w:vAlign w:val="center"/>
          </w:tcPr>
          <w:p w14:paraId="36BE6A99">
            <w:pPr>
              <w:jc w:val="center"/>
              <w:rPr>
                <w:rFonts w:hint="eastAsia" w:ascii="宋体" w:hAnsi="宋体" w:cs="宋体"/>
                <w:i w:val="0"/>
                <w:color w:val="auto"/>
                <w:kern w:val="0"/>
                <w:sz w:val="21"/>
                <w:szCs w:val="21"/>
                <w:highlight w:val="none"/>
                <w:u w:val="none"/>
                <w:lang w:val="en-US" w:eastAsia="zh-CN" w:bidi="ar"/>
              </w:rPr>
            </w:pPr>
            <w:r>
              <w:rPr>
                <w:rFonts w:hint="eastAsia"/>
                <w:color w:val="auto"/>
                <w:sz w:val="21"/>
                <w:szCs w:val="21"/>
                <w:lang w:val="en-US" w:eastAsia="zh-CN"/>
              </w:rPr>
              <w:t>39000元</w:t>
            </w:r>
          </w:p>
        </w:tc>
        <w:tc>
          <w:tcPr>
            <w:tcW w:w="2413" w:type="dxa"/>
            <w:vMerge w:val="continue"/>
            <w:tcBorders>
              <w:left w:val="single" w:color="000000" w:sz="4" w:space="0"/>
              <w:right w:val="single" w:color="000000" w:sz="4" w:space="0"/>
            </w:tcBorders>
            <w:noWrap/>
            <w:tcMar>
              <w:top w:w="15" w:type="dxa"/>
              <w:left w:w="15" w:type="dxa"/>
              <w:right w:w="15" w:type="dxa"/>
            </w:tcMar>
            <w:vAlign w:val="center"/>
          </w:tcPr>
          <w:p w14:paraId="2B0369CB">
            <w:pPr>
              <w:pStyle w:val="7"/>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sz w:val="24"/>
                <w:szCs w:val="24"/>
                <w:highlight w:val="none"/>
                <w:lang w:val="en-US" w:eastAsia="zh-CN"/>
              </w:rPr>
            </w:pPr>
          </w:p>
        </w:tc>
        <w:tc>
          <w:tcPr>
            <w:tcW w:w="1582" w:type="dxa"/>
            <w:vMerge w:val="continue"/>
            <w:tcBorders>
              <w:left w:val="single" w:color="000000" w:sz="4" w:space="0"/>
              <w:right w:val="single" w:color="000000" w:sz="4" w:space="0"/>
            </w:tcBorders>
            <w:noWrap/>
            <w:tcMar>
              <w:top w:w="15" w:type="dxa"/>
              <w:left w:w="15" w:type="dxa"/>
              <w:right w:w="15" w:type="dxa"/>
            </w:tcMar>
            <w:vAlign w:val="center"/>
          </w:tcPr>
          <w:p w14:paraId="577A56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p>
        </w:tc>
      </w:tr>
      <w:tr w14:paraId="2B0B37D8">
        <w:tblPrEx>
          <w:tblCellMar>
            <w:top w:w="0" w:type="dxa"/>
            <w:left w:w="0" w:type="dxa"/>
            <w:bottom w:w="0" w:type="dxa"/>
            <w:right w:w="0" w:type="dxa"/>
          </w:tblCellMar>
        </w:tblPrEx>
        <w:trPr>
          <w:trHeight w:val="687" w:hRule="atLeast"/>
        </w:trPr>
        <w:tc>
          <w:tcPr>
            <w:tcW w:w="152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6C3A4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Calibri" w:cs="宋体"/>
                <w:i w:val="0"/>
                <w:color w:val="auto"/>
                <w:kern w:val="0"/>
                <w:sz w:val="21"/>
                <w:szCs w:val="21"/>
                <w:highlight w:val="none"/>
                <w:u w:val="none"/>
                <w:lang w:val="en-US" w:eastAsia="zh-CN" w:bidi="ar"/>
              </w:rPr>
            </w:pPr>
            <w:r>
              <w:rPr>
                <w:rFonts w:hint="eastAsia" w:ascii="宋体" w:hAnsi="宋体" w:eastAsia="Calibri" w:cs="宋体"/>
                <w:i w:val="0"/>
                <w:color w:val="auto"/>
                <w:kern w:val="0"/>
                <w:sz w:val="21"/>
                <w:szCs w:val="21"/>
                <w:highlight w:val="none"/>
                <w:u w:val="none"/>
                <w:lang w:val="en-US" w:eastAsia="zh-CN" w:bidi="ar"/>
              </w:rPr>
              <w:t>核心交换机板卡扩容</w:t>
            </w:r>
          </w:p>
        </w:tc>
        <w:tc>
          <w:tcPr>
            <w:tcW w:w="884" w:type="dxa"/>
            <w:tcBorders>
              <w:top w:val="single" w:color="000000" w:sz="4" w:space="0"/>
              <w:left w:val="single" w:color="000000" w:sz="4" w:space="0"/>
              <w:right w:val="single" w:color="auto" w:sz="4" w:space="0"/>
            </w:tcBorders>
            <w:noWrap/>
            <w:tcMar>
              <w:top w:w="15" w:type="dxa"/>
              <w:left w:w="15" w:type="dxa"/>
              <w:right w:w="15" w:type="dxa"/>
            </w:tcMar>
            <w:vAlign w:val="center"/>
          </w:tcPr>
          <w:p w14:paraId="42F2FCF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color w:val="auto"/>
                <w:sz w:val="21"/>
                <w:szCs w:val="21"/>
                <w:highlight w:val="none"/>
                <w:lang w:val="en-US" w:eastAsia="zh-CN"/>
              </w:rPr>
            </w:pPr>
            <w:r>
              <w:rPr>
                <w:rFonts w:hint="eastAsia"/>
                <w:color w:val="auto"/>
                <w:sz w:val="21"/>
                <w:szCs w:val="21"/>
              </w:rPr>
              <w:t>块</w:t>
            </w:r>
          </w:p>
        </w:tc>
        <w:tc>
          <w:tcPr>
            <w:tcW w:w="1343" w:type="dxa"/>
            <w:tcBorders>
              <w:top w:val="single" w:color="000000" w:sz="4" w:space="0"/>
              <w:left w:val="single" w:color="auto" w:sz="4" w:space="0"/>
              <w:right w:val="single" w:color="auto" w:sz="4" w:space="0"/>
            </w:tcBorders>
            <w:noWrap/>
            <w:tcMar>
              <w:top w:w="15" w:type="dxa"/>
              <w:left w:w="15" w:type="dxa"/>
              <w:right w:w="15" w:type="dxa"/>
            </w:tcMar>
            <w:vAlign w:val="center"/>
          </w:tcPr>
          <w:p w14:paraId="249D381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w:t>
            </w:r>
          </w:p>
        </w:tc>
        <w:tc>
          <w:tcPr>
            <w:tcW w:w="1570" w:type="dxa"/>
            <w:tcBorders>
              <w:top w:val="single" w:color="000000" w:sz="4" w:space="0"/>
              <w:left w:val="single" w:color="auto" w:sz="4" w:space="0"/>
              <w:right w:val="single" w:color="000000" w:sz="4" w:space="0"/>
            </w:tcBorders>
            <w:noWrap/>
            <w:tcMar>
              <w:top w:w="15" w:type="dxa"/>
              <w:left w:w="15" w:type="dxa"/>
              <w:right w:w="15" w:type="dxa"/>
            </w:tcMar>
            <w:vAlign w:val="center"/>
          </w:tcPr>
          <w:p w14:paraId="5849F553">
            <w:pPr>
              <w:jc w:val="center"/>
              <w:rPr>
                <w:rFonts w:hint="eastAsia" w:ascii="宋体" w:hAnsi="宋体" w:cs="宋体"/>
                <w:i w:val="0"/>
                <w:color w:val="auto"/>
                <w:kern w:val="0"/>
                <w:sz w:val="21"/>
                <w:szCs w:val="21"/>
                <w:highlight w:val="none"/>
                <w:u w:val="none"/>
                <w:lang w:val="en-US" w:eastAsia="zh-CN" w:bidi="ar"/>
              </w:rPr>
            </w:pPr>
            <w:r>
              <w:rPr>
                <w:rFonts w:hint="eastAsia"/>
                <w:color w:val="auto"/>
                <w:sz w:val="21"/>
                <w:szCs w:val="21"/>
                <w:lang w:val="en-US" w:eastAsia="zh-CN"/>
              </w:rPr>
              <w:t>23000元</w:t>
            </w:r>
          </w:p>
        </w:tc>
        <w:tc>
          <w:tcPr>
            <w:tcW w:w="2413" w:type="dxa"/>
            <w:vMerge w:val="continue"/>
            <w:tcBorders>
              <w:left w:val="single" w:color="000000" w:sz="4" w:space="0"/>
              <w:right w:val="single" w:color="000000" w:sz="4" w:space="0"/>
            </w:tcBorders>
            <w:noWrap/>
            <w:tcMar>
              <w:top w:w="15" w:type="dxa"/>
              <w:left w:w="15" w:type="dxa"/>
              <w:right w:w="15" w:type="dxa"/>
            </w:tcMar>
            <w:vAlign w:val="center"/>
          </w:tcPr>
          <w:p w14:paraId="66139700">
            <w:pPr>
              <w:pStyle w:val="7"/>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sz w:val="24"/>
                <w:szCs w:val="24"/>
                <w:highlight w:val="none"/>
                <w:lang w:val="en-US" w:eastAsia="zh-CN"/>
              </w:rPr>
            </w:pPr>
          </w:p>
        </w:tc>
        <w:tc>
          <w:tcPr>
            <w:tcW w:w="1582" w:type="dxa"/>
            <w:vMerge w:val="continue"/>
            <w:tcBorders>
              <w:left w:val="single" w:color="000000" w:sz="4" w:space="0"/>
              <w:right w:val="single" w:color="000000" w:sz="4" w:space="0"/>
            </w:tcBorders>
            <w:noWrap/>
            <w:tcMar>
              <w:top w:w="15" w:type="dxa"/>
              <w:left w:w="15" w:type="dxa"/>
              <w:right w:w="15" w:type="dxa"/>
            </w:tcMar>
            <w:vAlign w:val="center"/>
          </w:tcPr>
          <w:p w14:paraId="5F99D2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p>
        </w:tc>
      </w:tr>
      <w:tr w14:paraId="774AB48F">
        <w:tblPrEx>
          <w:tblCellMar>
            <w:top w:w="0" w:type="dxa"/>
            <w:left w:w="0" w:type="dxa"/>
            <w:bottom w:w="0" w:type="dxa"/>
            <w:right w:w="0" w:type="dxa"/>
          </w:tblCellMar>
        </w:tblPrEx>
        <w:trPr>
          <w:trHeight w:val="528" w:hRule="atLeast"/>
        </w:trPr>
        <w:tc>
          <w:tcPr>
            <w:tcW w:w="152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7EBA3CD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Calibri" w:cs="宋体"/>
                <w:i w:val="0"/>
                <w:color w:val="auto"/>
                <w:kern w:val="0"/>
                <w:sz w:val="21"/>
                <w:szCs w:val="21"/>
                <w:highlight w:val="none"/>
                <w:u w:val="none"/>
                <w:lang w:val="en-US" w:eastAsia="zh-CN" w:bidi="ar"/>
              </w:rPr>
            </w:pPr>
            <w:r>
              <w:rPr>
                <w:rFonts w:hint="eastAsia" w:ascii="宋体" w:hAnsi="宋体" w:eastAsia="Calibri" w:cs="宋体"/>
                <w:i w:val="0"/>
                <w:color w:val="auto"/>
                <w:kern w:val="0"/>
                <w:sz w:val="21"/>
                <w:szCs w:val="21"/>
                <w:highlight w:val="none"/>
                <w:u w:val="none"/>
                <w:lang w:val="en-US" w:eastAsia="zh-CN" w:bidi="ar"/>
              </w:rPr>
              <w:t>光模块</w:t>
            </w:r>
          </w:p>
        </w:tc>
        <w:tc>
          <w:tcPr>
            <w:tcW w:w="884" w:type="dxa"/>
            <w:tcBorders>
              <w:top w:val="single" w:color="000000" w:sz="4" w:space="0"/>
              <w:left w:val="single" w:color="000000" w:sz="4" w:space="0"/>
              <w:right w:val="single" w:color="auto" w:sz="4" w:space="0"/>
            </w:tcBorders>
            <w:noWrap/>
            <w:tcMar>
              <w:top w:w="15" w:type="dxa"/>
              <w:left w:w="15" w:type="dxa"/>
              <w:right w:w="15" w:type="dxa"/>
            </w:tcMar>
            <w:vAlign w:val="center"/>
          </w:tcPr>
          <w:p w14:paraId="48756E9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color w:val="auto"/>
                <w:sz w:val="21"/>
                <w:szCs w:val="21"/>
                <w:highlight w:val="none"/>
                <w:lang w:val="en-US" w:eastAsia="zh-CN"/>
              </w:rPr>
            </w:pPr>
            <w:r>
              <w:rPr>
                <w:rFonts w:hint="eastAsia"/>
                <w:color w:val="auto"/>
                <w:sz w:val="21"/>
                <w:szCs w:val="21"/>
              </w:rPr>
              <w:t>块</w:t>
            </w:r>
          </w:p>
        </w:tc>
        <w:tc>
          <w:tcPr>
            <w:tcW w:w="1343" w:type="dxa"/>
            <w:tcBorders>
              <w:top w:val="single" w:color="000000" w:sz="4" w:space="0"/>
              <w:left w:val="single" w:color="auto" w:sz="4" w:space="0"/>
              <w:right w:val="single" w:color="auto" w:sz="4" w:space="0"/>
            </w:tcBorders>
            <w:noWrap/>
            <w:tcMar>
              <w:top w:w="15" w:type="dxa"/>
              <w:left w:w="15" w:type="dxa"/>
              <w:right w:w="15" w:type="dxa"/>
            </w:tcMar>
            <w:vAlign w:val="center"/>
          </w:tcPr>
          <w:p w14:paraId="2B8A52C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96</w:t>
            </w:r>
          </w:p>
        </w:tc>
        <w:tc>
          <w:tcPr>
            <w:tcW w:w="1570" w:type="dxa"/>
            <w:tcBorders>
              <w:top w:val="single" w:color="000000" w:sz="4" w:space="0"/>
              <w:left w:val="single" w:color="auto" w:sz="4" w:space="0"/>
              <w:right w:val="single" w:color="000000" w:sz="4" w:space="0"/>
            </w:tcBorders>
            <w:noWrap/>
            <w:tcMar>
              <w:top w:w="15" w:type="dxa"/>
              <w:left w:w="15" w:type="dxa"/>
              <w:right w:w="15" w:type="dxa"/>
            </w:tcMar>
            <w:vAlign w:val="center"/>
          </w:tcPr>
          <w:p w14:paraId="0C357380">
            <w:pPr>
              <w:jc w:val="center"/>
              <w:rPr>
                <w:rFonts w:hint="eastAsia" w:ascii="宋体" w:hAnsi="宋体" w:cs="宋体"/>
                <w:i w:val="0"/>
                <w:color w:val="auto"/>
                <w:kern w:val="0"/>
                <w:sz w:val="21"/>
                <w:szCs w:val="21"/>
                <w:highlight w:val="none"/>
                <w:u w:val="none"/>
                <w:lang w:val="en-US" w:eastAsia="zh-CN" w:bidi="ar"/>
              </w:rPr>
            </w:pPr>
            <w:r>
              <w:rPr>
                <w:rFonts w:hint="eastAsia"/>
                <w:color w:val="auto"/>
                <w:sz w:val="21"/>
                <w:szCs w:val="21"/>
                <w:lang w:val="en-US" w:eastAsia="zh-CN"/>
              </w:rPr>
              <w:t>21000元</w:t>
            </w:r>
          </w:p>
        </w:tc>
        <w:tc>
          <w:tcPr>
            <w:tcW w:w="2413" w:type="dxa"/>
            <w:vMerge w:val="continue"/>
            <w:tcBorders>
              <w:left w:val="single" w:color="000000" w:sz="4" w:space="0"/>
              <w:right w:val="single" w:color="000000" w:sz="4" w:space="0"/>
            </w:tcBorders>
            <w:noWrap/>
            <w:tcMar>
              <w:top w:w="15" w:type="dxa"/>
              <w:left w:w="15" w:type="dxa"/>
              <w:right w:w="15" w:type="dxa"/>
            </w:tcMar>
            <w:vAlign w:val="center"/>
          </w:tcPr>
          <w:p w14:paraId="43F1C509">
            <w:pPr>
              <w:pStyle w:val="7"/>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sz w:val="24"/>
                <w:szCs w:val="24"/>
                <w:highlight w:val="none"/>
                <w:lang w:val="en-US" w:eastAsia="zh-CN"/>
              </w:rPr>
            </w:pPr>
          </w:p>
        </w:tc>
        <w:tc>
          <w:tcPr>
            <w:tcW w:w="1582" w:type="dxa"/>
            <w:vMerge w:val="continue"/>
            <w:tcBorders>
              <w:left w:val="single" w:color="000000" w:sz="4" w:space="0"/>
              <w:right w:val="single" w:color="000000" w:sz="4" w:space="0"/>
            </w:tcBorders>
            <w:noWrap/>
            <w:tcMar>
              <w:top w:w="15" w:type="dxa"/>
              <w:left w:w="15" w:type="dxa"/>
              <w:right w:w="15" w:type="dxa"/>
            </w:tcMar>
            <w:vAlign w:val="center"/>
          </w:tcPr>
          <w:p w14:paraId="4998B7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p>
        </w:tc>
      </w:tr>
      <w:tr w14:paraId="17E40289">
        <w:tblPrEx>
          <w:tblCellMar>
            <w:top w:w="0" w:type="dxa"/>
            <w:left w:w="0" w:type="dxa"/>
            <w:bottom w:w="0" w:type="dxa"/>
            <w:right w:w="0" w:type="dxa"/>
          </w:tblCellMar>
        </w:tblPrEx>
        <w:trPr>
          <w:trHeight w:val="608" w:hRule="atLeast"/>
        </w:trPr>
        <w:tc>
          <w:tcPr>
            <w:tcW w:w="15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025BF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Calibri" w:cs="宋体"/>
                <w:i w:val="0"/>
                <w:color w:val="auto"/>
                <w:kern w:val="0"/>
                <w:sz w:val="21"/>
                <w:szCs w:val="21"/>
                <w:highlight w:val="none"/>
                <w:u w:val="none"/>
                <w:lang w:val="en-US" w:eastAsia="zh-CN" w:bidi="ar"/>
              </w:rPr>
            </w:pPr>
            <w:r>
              <w:rPr>
                <w:rFonts w:hint="eastAsia" w:ascii="宋体" w:hAnsi="宋体" w:eastAsia="Calibri" w:cs="宋体"/>
                <w:i w:val="0"/>
                <w:color w:val="auto"/>
                <w:kern w:val="0"/>
                <w:sz w:val="21"/>
                <w:szCs w:val="21"/>
                <w:highlight w:val="none"/>
                <w:u w:val="none"/>
                <w:lang w:val="en-US" w:eastAsia="zh-CN" w:bidi="ar"/>
              </w:rPr>
              <w:t>PDU</w:t>
            </w:r>
          </w:p>
        </w:tc>
        <w:tc>
          <w:tcPr>
            <w:tcW w:w="8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FB56D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hAnsi="Calibri" w:eastAsia="Calibri" w:cs="Times New Roman"/>
                <w:color w:val="auto"/>
                <w:sz w:val="21"/>
                <w:szCs w:val="21"/>
                <w:lang w:val="en-US" w:eastAsia="zh-CN"/>
              </w:rPr>
            </w:pPr>
            <w:r>
              <w:rPr>
                <w:rFonts w:hint="eastAsia" w:hAnsi="Calibri" w:eastAsia="Calibri" w:cs="Times New Roman"/>
                <w:color w:val="auto"/>
                <w:sz w:val="21"/>
                <w:szCs w:val="21"/>
                <w:lang w:val="en-US" w:eastAsia="zh-CN"/>
              </w:rPr>
              <w:t>条</w:t>
            </w:r>
          </w:p>
        </w:tc>
        <w:tc>
          <w:tcPr>
            <w:tcW w:w="13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8CCCA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hAnsi="Calibri" w:eastAsia="Calibri" w:cs="Times New Roman"/>
                <w:color w:val="auto"/>
                <w:sz w:val="21"/>
                <w:szCs w:val="21"/>
                <w:lang w:val="en-US" w:eastAsia="zh-CN"/>
              </w:rPr>
            </w:pPr>
            <w:r>
              <w:rPr>
                <w:rFonts w:hint="eastAsia" w:hAnsi="Calibri" w:eastAsia="Calibri" w:cs="Times New Roman"/>
                <w:color w:val="auto"/>
                <w:sz w:val="21"/>
                <w:szCs w:val="21"/>
                <w:lang w:val="en-US" w:eastAsia="zh-CN"/>
              </w:rPr>
              <w:t>8</w:t>
            </w:r>
          </w:p>
        </w:tc>
        <w:tc>
          <w:tcPr>
            <w:tcW w:w="15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19C069">
            <w:pPr>
              <w:jc w:val="center"/>
              <w:rPr>
                <w:rFonts w:hint="eastAsia" w:ascii="宋体" w:hAnsi="宋体" w:eastAsia="宋体" w:cs="宋体"/>
                <w:color w:val="auto"/>
                <w:sz w:val="21"/>
                <w:szCs w:val="21"/>
                <w:highlight w:val="none"/>
                <w:lang w:val="en-US" w:eastAsia="zh-CN"/>
              </w:rPr>
            </w:pPr>
            <w:r>
              <w:rPr>
                <w:rFonts w:hint="eastAsia"/>
                <w:color w:val="auto"/>
                <w:sz w:val="21"/>
                <w:szCs w:val="21"/>
                <w:lang w:val="en-US" w:eastAsia="zh-CN"/>
              </w:rPr>
              <w:t>1700元</w:t>
            </w:r>
          </w:p>
        </w:tc>
        <w:tc>
          <w:tcPr>
            <w:tcW w:w="2413" w:type="dxa"/>
            <w:vMerge w:val="continue"/>
            <w:tcBorders>
              <w:left w:val="single" w:color="000000" w:sz="4" w:space="0"/>
              <w:right w:val="single" w:color="000000" w:sz="4" w:space="0"/>
            </w:tcBorders>
            <w:noWrap/>
            <w:tcMar>
              <w:top w:w="15" w:type="dxa"/>
              <w:left w:w="15" w:type="dxa"/>
              <w:right w:w="15" w:type="dxa"/>
            </w:tcMar>
            <w:vAlign w:val="center"/>
          </w:tcPr>
          <w:p w14:paraId="6A14E2C8">
            <w:pPr>
              <w:pStyle w:val="7"/>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color w:val="auto"/>
                <w:kern w:val="0"/>
                <w:sz w:val="24"/>
                <w:szCs w:val="24"/>
                <w:highlight w:val="none"/>
                <w:u w:val="none"/>
                <w:lang w:val="en-US" w:eastAsia="zh-CN" w:bidi="ar"/>
              </w:rPr>
            </w:pPr>
          </w:p>
        </w:tc>
        <w:tc>
          <w:tcPr>
            <w:tcW w:w="1582" w:type="dxa"/>
            <w:vMerge w:val="continue"/>
            <w:tcBorders>
              <w:left w:val="single" w:color="000000" w:sz="4" w:space="0"/>
              <w:right w:val="single" w:color="000000" w:sz="4" w:space="0"/>
            </w:tcBorders>
            <w:noWrap/>
            <w:tcMar>
              <w:top w:w="15" w:type="dxa"/>
              <w:left w:w="15" w:type="dxa"/>
              <w:right w:w="15" w:type="dxa"/>
            </w:tcMar>
            <w:vAlign w:val="center"/>
          </w:tcPr>
          <w:p w14:paraId="65DCD7E1">
            <w:pPr>
              <w:pStyle w:val="7"/>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0"/>
                <w:sz w:val="24"/>
                <w:szCs w:val="24"/>
                <w:highlight w:val="none"/>
                <w:u w:val="none"/>
                <w:lang w:val="en-US" w:eastAsia="zh-CN" w:bidi="ar"/>
              </w:rPr>
            </w:pPr>
          </w:p>
        </w:tc>
      </w:tr>
      <w:tr w14:paraId="5F88C8D1">
        <w:tblPrEx>
          <w:tblCellMar>
            <w:top w:w="0" w:type="dxa"/>
            <w:left w:w="0" w:type="dxa"/>
            <w:bottom w:w="0" w:type="dxa"/>
            <w:right w:w="0" w:type="dxa"/>
          </w:tblCellMar>
        </w:tblPrEx>
        <w:trPr>
          <w:trHeight w:val="608" w:hRule="atLeast"/>
        </w:trPr>
        <w:tc>
          <w:tcPr>
            <w:tcW w:w="9317" w:type="dxa"/>
            <w:gridSpan w:val="6"/>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7A9CC6BB">
            <w:pPr>
              <w:pStyle w:val="7"/>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预算总金额（上限价）：216700元</w:t>
            </w:r>
          </w:p>
        </w:tc>
      </w:tr>
    </w:tbl>
    <w:p w14:paraId="4C76AE11">
      <w:pPr>
        <w:pStyle w:val="21"/>
        <w:keepNext w:val="0"/>
        <w:keepLines w:val="0"/>
        <w:pageBreakBefore w:val="0"/>
        <w:numPr>
          <w:ilvl w:val="0"/>
          <w:numId w:val="0"/>
        </w:numPr>
        <w:kinsoku/>
        <w:wordWrap/>
        <w:overflowPunct/>
        <w:topLinePunct w:val="0"/>
        <w:autoSpaceDE/>
        <w:autoSpaceDN/>
        <w:bidi w:val="0"/>
        <w:adjustRightInd/>
        <w:snapToGrid/>
        <w:spacing w:line="520" w:lineRule="exact"/>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二、供应商资格要求</w:t>
      </w:r>
      <w:r>
        <w:rPr>
          <w:rFonts w:hint="eastAsia" w:asciiTheme="minorEastAsia" w:hAnsiTheme="minorEastAsia" w:eastAsiaTheme="minorEastAsia" w:cstheme="minorEastAsia"/>
          <w:b/>
          <w:bCs/>
          <w:color w:val="auto"/>
          <w:sz w:val="24"/>
          <w:szCs w:val="24"/>
        </w:rPr>
        <w:t>：</w:t>
      </w:r>
    </w:p>
    <w:p w14:paraId="424337EF">
      <w:pPr>
        <w:numPr>
          <w:ilvl w:val="0"/>
          <w:numId w:val="0"/>
        </w:numPr>
        <w:spacing w:line="440" w:lineRule="exact"/>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1、符合《中华人民共和国政府采购法》第二十二条规定；   </w:t>
      </w:r>
    </w:p>
    <w:p w14:paraId="5F72D868">
      <w:pPr>
        <w:numPr>
          <w:ilvl w:val="0"/>
          <w:numId w:val="0"/>
        </w:numPr>
        <w:spacing w:line="440" w:lineRule="exact"/>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2、未被“信用中国”（www.creditchina.gov.cn）、中国政府采购网（www.ccgp.gov.cn）列入失信被执行人、重大税收违法案件当事人名单、政府采购严重违法失信行为记录名单；</w:t>
      </w:r>
    </w:p>
    <w:p w14:paraId="0B56F5B6">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3、本项目非专门面向中小企业采购；</w:t>
      </w:r>
    </w:p>
    <w:p w14:paraId="4C237DC0">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hAnsi="宋体" w:cs="仿宋_GB2312"/>
          <w:color w:val="auto"/>
          <w:sz w:val="24"/>
          <w:szCs w:val="24"/>
          <w:lang w:val="en-US" w:eastAsia="zh-CN"/>
        </w:rPr>
      </w:pPr>
      <w:r>
        <w:rPr>
          <w:rFonts w:hint="eastAsia" w:hAnsi="宋体" w:cs="仿宋_GB2312"/>
          <w:color w:val="auto"/>
          <w:sz w:val="24"/>
          <w:szCs w:val="24"/>
          <w:lang w:val="en-US" w:eastAsia="zh-CN"/>
        </w:rPr>
        <w:t>4、本项目不接受联合体。</w:t>
      </w:r>
    </w:p>
    <w:p w14:paraId="4D433617">
      <w:pPr>
        <w:pStyle w:val="21"/>
        <w:keepNext w:val="0"/>
        <w:keepLines w:val="0"/>
        <w:pageBreakBefore w:val="0"/>
        <w:numPr>
          <w:ilvl w:val="0"/>
          <w:numId w:val="0"/>
        </w:numPr>
        <w:kinsoku/>
        <w:wordWrap/>
        <w:overflowPunct/>
        <w:topLinePunct w:val="0"/>
        <w:autoSpaceDE/>
        <w:autoSpaceDN/>
        <w:bidi w:val="0"/>
        <w:adjustRightInd/>
        <w:snapToGrid/>
        <w:spacing w:line="520" w:lineRule="exact"/>
        <w:jc w:val="left"/>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b/>
          <w:bCs/>
          <w:color w:val="auto"/>
          <w:sz w:val="24"/>
          <w:szCs w:val="24"/>
          <w:lang w:eastAsia="zh-CN"/>
        </w:rPr>
        <w:t>三、</w:t>
      </w:r>
      <w:r>
        <w:rPr>
          <w:rFonts w:hint="eastAsia" w:asciiTheme="minorEastAsia" w:hAnsiTheme="minorEastAsia" w:cstheme="minorEastAsia"/>
          <w:b/>
          <w:bCs/>
          <w:color w:val="auto"/>
          <w:sz w:val="24"/>
          <w:szCs w:val="24"/>
          <w:lang w:val="en-US" w:eastAsia="zh-CN"/>
        </w:rPr>
        <w:t>询价</w:t>
      </w:r>
      <w:r>
        <w:rPr>
          <w:rFonts w:hint="eastAsia" w:asciiTheme="minorEastAsia" w:hAnsiTheme="minorEastAsia" w:cstheme="minorEastAsia"/>
          <w:b/>
          <w:bCs/>
          <w:color w:val="auto"/>
          <w:sz w:val="24"/>
          <w:szCs w:val="24"/>
          <w:lang w:eastAsia="zh-CN"/>
        </w:rPr>
        <w:t>响应文件</w:t>
      </w:r>
      <w:r>
        <w:rPr>
          <w:rFonts w:hint="eastAsia" w:asciiTheme="minorEastAsia" w:hAnsiTheme="minorEastAsia" w:eastAsiaTheme="minorEastAsia" w:cstheme="minorEastAsia"/>
          <w:b/>
          <w:bCs/>
          <w:color w:val="auto"/>
          <w:sz w:val="24"/>
          <w:szCs w:val="24"/>
          <w:lang w:eastAsia="zh-CN"/>
        </w:rPr>
        <w:t>提交截止时间：</w:t>
      </w:r>
      <w:r>
        <w:rPr>
          <w:rFonts w:hint="eastAsia" w:asciiTheme="minorEastAsia" w:hAnsiTheme="minorEastAsia" w:eastAsiaTheme="minorEastAsia" w:cstheme="minorEastAsia"/>
          <w:b/>
          <w:bCs/>
          <w:color w:val="auto"/>
          <w:sz w:val="24"/>
          <w:szCs w:val="24"/>
          <w:lang w:val="en-US" w:eastAsia="zh-CN"/>
        </w:rPr>
        <w:t>2025年</w:t>
      </w:r>
      <w:r>
        <w:rPr>
          <w:rFonts w:hint="eastAsia" w:asciiTheme="minorEastAsia" w:hAnsi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lang w:val="en-US" w:eastAsia="zh-CN"/>
        </w:rPr>
        <w:t>月</w:t>
      </w:r>
      <w:r>
        <w:rPr>
          <w:rFonts w:hint="eastAsia" w:asciiTheme="minorEastAsia" w:hAnsiTheme="minorEastAsia" w:cstheme="minorEastAsia"/>
          <w:b/>
          <w:bCs/>
          <w:color w:val="auto"/>
          <w:sz w:val="24"/>
          <w:szCs w:val="24"/>
          <w:lang w:val="en-US" w:eastAsia="zh-CN"/>
        </w:rPr>
        <w:t>25</w:t>
      </w:r>
      <w:r>
        <w:rPr>
          <w:rFonts w:hint="eastAsia" w:asciiTheme="minorEastAsia" w:hAnsiTheme="minorEastAsia" w:eastAsiaTheme="minorEastAsia" w:cstheme="minorEastAsia"/>
          <w:b/>
          <w:bCs/>
          <w:color w:val="auto"/>
          <w:sz w:val="24"/>
          <w:szCs w:val="24"/>
          <w:lang w:val="en-US" w:eastAsia="zh-CN"/>
        </w:rPr>
        <w:t xml:space="preserve">日 </w:t>
      </w:r>
      <w:r>
        <w:rPr>
          <w:rFonts w:hint="eastAsia" w:asciiTheme="minorEastAsia" w:hAnsiTheme="minorEastAsia" w:cstheme="minorEastAsia"/>
          <w:b/>
          <w:bCs/>
          <w:color w:val="auto"/>
          <w:sz w:val="24"/>
          <w:szCs w:val="24"/>
          <w:lang w:val="en-US" w:eastAsia="zh-CN"/>
        </w:rPr>
        <w:t>14</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lang w:val="en-US" w:eastAsia="zh-CN"/>
        </w:rPr>
        <w:t>0:00</w:t>
      </w:r>
      <w:r>
        <w:rPr>
          <w:rFonts w:hint="eastAsia" w:asciiTheme="minorEastAsia" w:hAnsiTheme="minorEastAsia" w:cstheme="minorEastAsia"/>
          <w:b/>
          <w:bCs/>
          <w:color w:val="auto"/>
          <w:sz w:val="24"/>
          <w:szCs w:val="24"/>
          <w:lang w:val="en-US" w:eastAsia="zh-CN"/>
        </w:rPr>
        <w:t xml:space="preserve"> </w:t>
      </w:r>
    </w:p>
    <w:p w14:paraId="26DCC595">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地点：浙江省台州市市府大道507号台州国际商务广场1幢（北门）3楼开标室</w:t>
      </w:r>
    </w:p>
    <w:p w14:paraId="294F6B29">
      <w:pPr>
        <w:pStyle w:val="21"/>
        <w:keepNext w:val="0"/>
        <w:keepLines w:val="0"/>
        <w:pageBreakBefore w:val="0"/>
        <w:numPr>
          <w:ilvl w:val="0"/>
          <w:numId w:val="0"/>
        </w:numPr>
        <w:kinsoku/>
        <w:wordWrap/>
        <w:overflowPunct/>
        <w:topLinePunct w:val="0"/>
        <w:autoSpaceDE/>
        <w:autoSpaceDN/>
        <w:bidi w:val="0"/>
        <w:adjustRightInd/>
        <w:snapToGrid/>
        <w:spacing w:line="520" w:lineRule="exact"/>
        <w:jc w:val="lef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四、</w:t>
      </w:r>
      <w:r>
        <w:rPr>
          <w:rFonts w:hint="eastAsia" w:asciiTheme="minorEastAsia" w:hAnsiTheme="minorEastAsia" w:cstheme="minorEastAsia"/>
          <w:b/>
          <w:bCs/>
          <w:color w:val="auto"/>
          <w:sz w:val="24"/>
          <w:szCs w:val="24"/>
          <w:lang w:eastAsia="zh-CN"/>
        </w:rPr>
        <w:t>询价</w:t>
      </w:r>
      <w:r>
        <w:rPr>
          <w:rFonts w:hint="eastAsia" w:asciiTheme="minorEastAsia" w:hAnsiTheme="minorEastAsia" w:eastAsiaTheme="minorEastAsia" w:cstheme="minorEastAsia"/>
          <w:b/>
          <w:bCs/>
          <w:color w:val="auto"/>
          <w:sz w:val="24"/>
          <w:szCs w:val="24"/>
          <w:lang w:eastAsia="zh-CN"/>
        </w:rPr>
        <w:t>时间及地点</w:t>
      </w:r>
    </w:p>
    <w:p w14:paraId="0E572A0F">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询价</w:t>
      </w:r>
      <w:r>
        <w:rPr>
          <w:rFonts w:hint="eastAsia" w:asciiTheme="minorEastAsia" w:hAnsiTheme="minorEastAsia" w:eastAsiaTheme="minorEastAsia" w:cstheme="minorEastAsia"/>
          <w:color w:val="auto"/>
          <w:sz w:val="24"/>
          <w:szCs w:val="24"/>
          <w:lang w:eastAsia="zh-CN"/>
        </w:rPr>
        <w:t>时间：</w:t>
      </w:r>
      <w:r>
        <w:rPr>
          <w:rFonts w:hint="eastAsia" w:asciiTheme="minorEastAsia" w:hAnsiTheme="minorEastAsia" w:eastAsiaTheme="minorEastAsia" w:cstheme="minorEastAsia"/>
          <w:color w:val="auto"/>
          <w:sz w:val="24"/>
          <w:szCs w:val="24"/>
          <w:lang w:val="en-US" w:eastAsia="zh-CN"/>
        </w:rPr>
        <w:t>2025年</w:t>
      </w:r>
      <w:r>
        <w:rPr>
          <w:rFonts w:hint="eastAsia" w:asciiTheme="minorEastAsia" w:hAnsi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val="en-US" w:eastAsia="zh-CN"/>
        </w:rPr>
        <w:t>月</w:t>
      </w:r>
      <w:r>
        <w:rPr>
          <w:rFonts w:hint="eastAsia" w:asciiTheme="minorEastAsia" w:hAnsi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lang w:val="en-US" w:eastAsia="zh-CN"/>
        </w:rPr>
        <w:t>日</w:t>
      </w:r>
      <w:r>
        <w:rPr>
          <w:rFonts w:hint="eastAsia" w:asciiTheme="minorEastAsia" w:hAnsi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en-US" w:eastAsia="zh-CN"/>
        </w:rPr>
        <w:t>0:00</w:t>
      </w:r>
    </w:p>
    <w:p w14:paraId="6939AFC9">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询价</w:t>
      </w:r>
      <w:r>
        <w:rPr>
          <w:rFonts w:hint="eastAsia" w:asciiTheme="minorEastAsia" w:hAnsiTheme="minorEastAsia" w:eastAsiaTheme="minorEastAsia" w:cstheme="minorEastAsia"/>
          <w:color w:val="auto"/>
          <w:sz w:val="24"/>
          <w:szCs w:val="24"/>
          <w:lang w:eastAsia="zh-CN"/>
        </w:rPr>
        <w:t>地点：浙江省台州市市府大道507号台州国际商务广场1幢（北门）3楼开标室</w:t>
      </w:r>
      <w:bookmarkStart w:id="10" w:name="_GoBack"/>
      <w:bookmarkEnd w:id="10"/>
    </w:p>
    <w:p w14:paraId="2B4DB487">
      <w:pPr>
        <w:pStyle w:val="21"/>
        <w:keepNext w:val="0"/>
        <w:keepLines w:val="0"/>
        <w:pageBreakBefore w:val="0"/>
        <w:numPr>
          <w:ilvl w:val="0"/>
          <w:numId w:val="0"/>
        </w:numPr>
        <w:kinsoku/>
        <w:wordWrap/>
        <w:overflowPunct/>
        <w:topLinePunct w:val="0"/>
        <w:autoSpaceDE/>
        <w:autoSpaceDN/>
        <w:bidi w:val="0"/>
        <w:adjustRightInd/>
        <w:snapToGrid/>
        <w:spacing w:line="520" w:lineRule="exact"/>
        <w:jc w:val="left"/>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b/>
          <w:bCs/>
          <w:color w:val="auto"/>
          <w:sz w:val="24"/>
          <w:szCs w:val="24"/>
          <w:lang w:val="en-US" w:eastAsia="zh-CN"/>
        </w:rPr>
        <w:t>五、其他</w:t>
      </w:r>
    </w:p>
    <w:p w14:paraId="6A198C9D">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1、本项目招标代理费4000元，由中标人在领取中标通知书时一次性向代理公司支付。</w:t>
      </w:r>
    </w:p>
    <w:p w14:paraId="0E184061">
      <w:pPr>
        <w:spacing w:line="360" w:lineRule="auto"/>
        <w:ind w:firstLine="480" w:firstLineChars="200"/>
        <w:rPr>
          <w:rFonts w:hint="eastAsia"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kern w:val="2"/>
          <w:sz w:val="24"/>
          <w:szCs w:val="24"/>
          <w:lang w:val="en-US" w:eastAsia="zh-CN" w:bidi="ar-SA"/>
        </w:rPr>
        <w:t>中小企业优惠措施</w:t>
      </w:r>
      <w:r>
        <w:rPr>
          <w:rFonts w:hint="eastAsia" w:asciiTheme="minorEastAsia" w:hAnsiTheme="minorEastAsia" w:cstheme="minorEastAsia"/>
          <w:color w:val="auto"/>
          <w:kern w:val="2"/>
          <w:sz w:val="24"/>
          <w:szCs w:val="24"/>
          <w:lang w:val="en-US" w:eastAsia="zh-CN" w:bidi="ar-SA"/>
        </w:rPr>
        <w:t>：</w:t>
      </w:r>
    </w:p>
    <w:p w14:paraId="3A11755F">
      <w:pPr>
        <w:spacing w:line="360" w:lineRule="auto"/>
        <w:ind w:firstLine="480" w:firstLineChars="200"/>
        <w:rPr>
          <w:rFonts w:ascii="宋体" w:hAnsi="宋体" w:eastAsia="宋体" w:cs="宋体"/>
          <w:color w:val="auto"/>
          <w:sz w:val="24"/>
          <w:szCs w:val="24"/>
          <w:highlight w:val="none"/>
        </w:rPr>
      </w:pPr>
      <w:r>
        <w:rPr>
          <w:rFonts w:hint="default" w:ascii="Calibri" w:hAnsi="Calibri" w:eastAsia="宋体" w:cs="Calibri"/>
          <w:color w:val="auto"/>
          <w:sz w:val="24"/>
          <w:szCs w:val="24"/>
          <w:highlight w:val="none"/>
        </w:rPr>
        <w:t>①</w:t>
      </w:r>
      <w:r>
        <w:rPr>
          <w:rFonts w:hint="eastAsia" w:ascii="宋体" w:hAnsi="宋体" w:eastAsia="宋体" w:cs="宋体"/>
          <w:color w:val="auto"/>
          <w:sz w:val="24"/>
          <w:szCs w:val="24"/>
          <w:highlight w:val="none"/>
        </w:rPr>
        <w:t>项目属性：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货物</w:t>
      </w:r>
      <w:r>
        <w:rPr>
          <w:rFonts w:hint="eastAsia" w:ascii="宋体" w:hAnsi="宋体" w:eastAsia="宋体" w:cs="宋体"/>
          <w:color w:val="auto"/>
          <w:sz w:val="24"/>
          <w:szCs w:val="24"/>
          <w:highlight w:val="none"/>
          <w:u w:val="single"/>
        </w:rPr>
        <w:t xml:space="preserve">类 </w:t>
      </w:r>
      <w:r>
        <w:rPr>
          <w:rFonts w:hint="eastAsia" w:ascii="宋体" w:hAnsi="宋体" w:eastAsia="宋体" w:cs="宋体"/>
          <w:color w:val="auto"/>
          <w:sz w:val="24"/>
          <w:szCs w:val="24"/>
          <w:highlight w:val="none"/>
        </w:rPr>
        <w:t>。</w:t>
      </w:r>
    </w:p>
    <w:p w14:paraId="01F4BD2A">
      <w:pPr>
        <w:spacing w:line="360" w:lineRule="auto"/>
        <w:ind w:firstLine="480" w:firstLineChars="200"/>
        <w:rPr>
          <w:rFonts w:ascii="宋体" w:hAnsi="宋体" w:eastAsia="宋体" w:cs="宋体"/>
          <w:color w:val="auto"/>
          <w:sz w:val="24"/>
          <w:szCs w:val="24"/>
          <w:highlight w:val="none"/>
        </w:rPr>
      </w:pPr>
      <w:r>
        <w:rPr>
          <w:rFonts w:hint="default" w:ascii="Calibri" w:hAnsi="Calibri" w:eastAsia="宋体" w:cs="Calibri"/>
          <w:color w:val="auto"/>
          <w:sz w:val="24"/>
          <w:szCs w:val="24"/>
          <w:highlight w:val="none"/>
        </w:rPr>
        <w:t>②</w:t>
      </w:r>
      <w:r>
        <w:rPr>
          <w:rFonts w:hint="eastAsia" w:ascii="宋体" w:hAnsi="宋体" w:eastAsia="宋体" w:cs="宋体"/>
          <w:color w:val="auto"/>
          <w:sz w:val="24"/>
          <w:szCs w:val="24"/>
          <w:highlight w:val="none"/>
        </w:rPr>
        <w:t>中小企业划分标准所属行业（具体根据《中小企业划型标准规定》执行）：</w:t>
      </w:r>
    </w:p>
    <w:p w14:paraId="06D2B3B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w:t>
      </w:r>
      <w:r>
        <w:rPr>
          <w:rFonts w:hint="eastAsia" w:ascii="宋体" w:hAnsi="宋体" w:eastAsia="宋体" w:cs="宋体"/>
          <w:color w:val="auto"/>
          <w:sz w:val="24"/>
          <w:szCs w:val="24"/>
          <w:highlight w:val="none"/>
          <w:u w:val="single"/>
          <w:lang w:eastAsia="zh-CN"/>
        </w:rPr>
        <w:t>台州市自然资源和规划信息中心存储光纤交换机及网络交换机扩容采购（重新发布）</w:t>
      </w:r>
      <w:r>
        <w:rPr>
          <w:rFonts w:hint="eastAsia" w:ascii="宋体" w:hAnsi="宋体" w:eastAsia="宋体" w:cs="宋体"/>
          <w:color w:val="auto"/>
          <w:sz w:val="24"/>
          <w:szCs w:val="24"/>
          <w:highlight w:val="none"/>
        </w:rPr>
        <w:t>，所属行业：</w:t>
      </w:r>
      <w:r>
        <w:rPr>
          <w:rFonts w:hint="eastAsia" w:ascii="宋体" w:hAnsi="宋体" w:eastAsia="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u w:val="single"/>
        </w:rPr>
        <w:t>行业</w:t>
      </w:r>
      <w:r>
        <w:rPr>
          <w:rFonts w:hint="eastAsia" w:ascii="宋体" w:hAnsi="宋体" w:eastAsia="宋体" w:cs="宋体"/>
          <w:color w:val="auto"/>
          <w:sz w:val="24"/>
          <w:szCs w:val="24"/>
          <w:highlight w:val="none"/>
        </w:rPr>
        <w:t>。</w:t>
      </w:r>
    </w:p>
    <w:p w14:paraId="37A95710">
      <w:pPr>
        <w:spacing w:line="360" w:lineRule="auto"/>
        <w:ind w:firstLine="480" w:firstLineChars="200"/>
        <w:rPr>
          <w:rFonts w:ascii="宋体" w:hAnsi="宋体" w:eastAsia="宋体" w:cs="宋体"/>
          <w:color w:val="auto"/>
          <w:sz w:val="24"/>
          <w:szCs w:val="24"/>
          <w:highlight w:val="none"/>
        </w:rPr>
      </w:pPr>
      <w:r>
        <w:rPr>
          <w:rFonts w:hint="default" w:ascii="Calibri" w:hAnsi="Calibri" w:eastAsia="宋体" w:cs="Calibri"/>
          <w:color w:val="auto"/>
          <w:sz w:val="24"/>
          <w:szCs w:val="24"/>
          <w:highlight w:val="none"/>
        </w:rPr>
        <w:t>③</w:t>
      </w:r>
      <w:r>
        <w:rPr>
          <w:rFonts w:hint="eastAsia" w:ascii="宋体" w:hAnsi="宋体" w:eastAsia="宋体" w:cs="宋体"/>
          <w:color w:val="auto"/>
          <w:sz w:val="24"/>
          <w:szCs w:val="24"/>
          <w:highlight w:val="none"/>
        </w:rPr>
        <w:t>属于享受政府采购支持政策的残疾人福利性单位，应符合财库〔2017〕141号文件规定，视同小型、微型企业，在投标文件中提供《残疾人福利性单位声明函》（见附件）</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享受评审中价格扣除政策。</w:t>
      </w:r>
    </w:p>
    <w:p w14:paraId="6535828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GB3 \* MERGEFORMAT </w:instrText>
      </w:r>
      <w:r>
        <w:rPr>
          <w:rFonts w:hint="eastAsia" w:ascii="宋体" w:hAnsi="宋体" w:eastAsia="宋体" w:cs="宋体"/>
          <w:color w:val="auto"/>
          <w:sz w:val="24"/>
          <w:szCs w:val="24"/>
          <w:highlight w:val="none"/>
        </w:rPr>
        <w:fldChar w:fldCharType="separate"/>
      </w:r>
      <w:r>
        <w:rPr>
          <w:color w:val="auto"/>
        </w:rPr>
        <w:t>④</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根据财库〔2014〕68号的相关规定，在政府采购活动中，监狱企业的视同小型、微型企业</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享受评审中价格扣除政策，并在投标文件中提供由省级以上监狱管理局、戒毒管理局（含新疆生产建设兵团）出具的属于监狱企业的证明文件（格式自拟）。</w:t>
      </w:r>
    </w:p>
    <w:p w14:paraId="4C4B1C5E">
      <w:pPr>
        <w:spacing w:line="360" w:lineRule="auto"/>
        <w:ind w:firstLine="480" w:firstLineChars="200"/>
        <w:jc w:val="both"/>
        <w:rPr>
          <w:rFonts w:hint="default" w:asciiTheme="minorEastAsia" w:hAnsiTheme="minorEastAsia" w:cstheme="minorEastAsia"/>
          <w:color w:val="auto"/>
          <w:sz w:val="24"/>
          <w:szCs w:val="24"/>
          <w:lang w:val="en-US" w:eastAsia="zh-CN"/>
        </w:rPr>
      </w:pPr>
      <w:r>
        <w:rPr>
          <w:rFonts w:hint="eastAsia" w:ascii="宋体" w:hAnsi="宋体" w:eastAsia="宋体" w:cs="宋体"/>
          <w:color w:val="auto"/>
          <w:sz w:val="24"/>
          <w:szCs w:val="24"/>
          <w:highlight w:val="none"/>
        </w:rPr>
        <w:t>（注：未提供以上材料的，均不给予价格扣除）</w:t>
      </w:r>
    </w:p>
    <w:p w14:paraId="4D1CF6C6">
      <w:pPr>
        <w:pStyle w:val="21"/>
        <w:keepNext w:val="0"/>
        <w:keepLines w:val="0"/>
        <w:pageBreakBefore w:val="0"/>
        <w:numPr>
          <w:ilvl w:val="0"/>
          <w:numId w:val="0"/>
        </w:numPr>
        <w:kinsoku/>
        <w:wordWrap/>
        <w:overflowPunct/>
        <w:topLinePunct w:val="0"/>
        <w:autoSpaceDE/>
        <w:autoSpaceDN/>
        <w:bidi w:val="0"/>
        <w:adjustRightInd/>
        <w:snapToGrid/>
        <w:spacing w:line="520" w:lineRule="exact"/>
        <w:jc w:val="lef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eastAsia="zh-CN"/>
        </w:rPr>
        <w:t>、联系方式</w:t>
      </w:r>
    </w:p>
    <w:p w14:paraId="0C200A0F">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cstheme="minorEastAsia"/>
          <w:color w:val="auto"/>
          <w:sz w:val="24"/>
          <w:szCs w:val="24"/>
          <w:lang w:eastAsia="zh-CN"/>
        </w:rPr>
        <w:t>台州市自然资源和规划信息中心</w:t>
      </w:r>
    </w:p>
    <w:p w14:paraId="382999BE">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联系人：</w:t>
      </w:r>
      <w:r>
        <w:rPr>
          <w:rFonts w:hint="eastAsia" w:asciiTheme="minorEastAsia" w:hAnsiTheme="minorEastAsia" w:cstheme="minorEastAsia"/>
          <w:color w:val="auto"/>
          <w:sz w:val="24"/>
          <w:szCs w:val="24"/>
          <w:lang w:val="en-US" w:eastAsia="zh-CN"/>
        </w:rPr>
        <w:t>王先生</w:t>
      </w:r>
    </w:p>
    <w:p w14:paraId="38FC4172">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联系电话：0576-88511300</w:t>
      </w:r>
      <w:r>
        <w:rPr>
          <w:rFonts w:hint="eastAsia" w:asciiTheme="minorEastAsia" w:hAnsiTheme="minorEastAsia" w:cstheme="minorEastAsia"/>
          <w:color w:val="auto"/>
          <w:sz w:val="24"/>
          <w:szCs w:val="24"/>
          <w:lang w:val="en-US" w:eastAsia="zh-CN"/>
        </w:rPr>
        <w:t xml:space="preserve"> </w:t>
      </w:r>
    </w:p>
    <w:p w14:paraId="111BEFCD">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Theme="minorEastAsia" w:hAnsiTheme="minorEastAsia"/>
          <w:color w:val="auto"/>
          <w:sz w:val="28"/>
          <w:szCs w:val="28"/>
          <w:lang w:eastAsia="zh-CN"/>
        </w:rPr>
      </w:pPr>
      <w:r>
        <w:rPr>
          <w:rFonts w:hint="eastAsia" w:asciiTheme="minorEastAsia" w:hAnsiTheme="minorEastAsia" w:eastAsiaTheme="minorEastAsia" w:cstheme="minorEastAsia"/>
          <w:color w:val="auto"/>
          <w:sz w:val="24"/>
          <w:szCs w:val="24"/>
          <w:lang w:eastAsia="zh-CN"/>
        </w:rPr>
        <w:t xml:space="preserve">地址：台州市市府大道468号 </w:t>
      </w:r>
    </w:p>
    <w:p w14:paraId="7D8BEDAE">
      <w:pPr>
        <w:spacing w:line="420" w:lineRule="exact"/>
        <w:ind w:right="60" w:firstLine="480" w:firstLineChars="200"/>
        <w:rPr>
          <w:rFonts w:hint="eastAsia" w:hAnsi="宋体"/>
          <w:color w:val="auto"/>
          <w:sz w:val="24"/>
          <w:szCs w:val="24"/>
        </w:rPr>
      </w:pPr>
    </w:p>
    <w:p w14:paraId="2C572772">
      <w:pPr>
        <w:spacing w:line="420" w:lineRule="exact"/>
        <w:ind w:right="60" w:firstLine="480" w:firstLineChars="200"/>
        <w:rPr>
          <w:rFonts w:hint="eastAsia" w:hAnsi="宋体"/>
          <w:color w:val="auto"/>
          <w:sz w:val="24"/>
          <w:szCs w:val="24"/>
        </w:rPr>
      </w:pPr>
      <w:r>
        <w:rPr>
          <w:rFonts w:hint="eastAsia" w:hAnsi="宋体"/>
          <w:color w:val="auto"/>
          <w:sz w:val="24"/>
          <w:szCs w:val="24"/>
        </w:rPr>
        <w:t>采购代理机构名称：</w:t>
      </w:r>
      <w:r>
        <w:rPr>
          <w:rFonts w:hint="eastAsia" w:hAnsi="宋体"/>
          <w:color w:val="auto"/>
          <w:sz w:val="24"/>
          <w:szCs w:val="24"/>
          <w:lang w:eastAsia="zh-CN"/>
        </w:rPr>
        <w:t>台州市建设咨询有限公司</w:t>
      </w:r>
    </w:p>
    <w:p w14:paraId="6F5B26A7">
      <w:pPr>
        <w:spacing w:line="420" w:lineRule="exact"/>
        <w:ind w:right="60" w:firstLine="480" w:firstLineChars="200"/>
        <w:rPr>
          <w:rFonts w:hint="eastAsia" w:hAnsi="宋体" w:cs="宋体"/>
          <w:color w:val="auto"/>
          <w:sz w:val="24"/>
        </w:rPr>
      </w:pPr>
      <w:r>
        <w:rPr>
          <w:rFonts w:hint="eastAsia" w:hAnsi="宋体" w:cs="宋体"/>
          <w:color w:val="auto"/>
          <w:sz w:val="24"/>
        </w:rPr>
        <w:t>地点：台州市椒江区市府大道东段507号台州国际商务广场1幢6楼</w:t>
      </w:r>
    </w:p>
    <w:p w14:paraId="3472E6EA">
      <w:pPr>
        <w:spacing w:line="420" w:lineRule="exact"/>
        <w:ind w:right="60" w:firstLine="480" w:firstLineChars="200"/>
        <w:rPr>
          <w:rFonts w:hint="eastAsia" w:hAnsi="宋体" w:cs="宋体"/>
          <w:color w:val="auto"/>
          <w:sz w:val="24"/>
        </w:rPr>
      </w:pPr>
      <w:r>
        <w:rPr>
          <w:rFonts w:hint="eastAsia" w:hAnsi="宋体" w:cs="宋体"/>
          <w:color w:val="auto"/>
          <w:sz w:val="24"/>
        </w:rPr>
        <w:t>联系人：</w:t>
      </w:r>
      <w:r>
        <w:rPr>
          <w:rFonts w:hint="eastAsia" w:hAnsi="宋体" w:cs="宋体"/>
          <w:color w:val="auto"/>
          <w:sz w:val="24"/>
          <w:lang w:eastAsia="zh-CN"/>
        </w:rPr>
        <w:t>童词均</w:t>
      </w:r>
      <w:r>
        <w:rPr>
          <w:rFonts w:hint="eastAsia" w:hAnsi="宋体" w:cs="宋体"/>
          <w:color w:val="auto"/>
          <w:sz w:val="24"/>
        </w:rPr>
        <w:t xml:space="preserve">             </w:t>
      </w:r>
    </w:p>
    <w:p w14:paraId="1F97AC61">
      <w:pPr>
        <w:spacing w:line="420" w:lineRule="exact"/>
        <w:ind w:right="60" w:firstLine="480" w:firstLineChars="200"/>
        <w:rPr>
          <w:rFonts w:hint="eastAsia" w:hAnsi="宋体" w:eastAsia="宋体" w:cs="宋体"/>
          <w:color w:val="auto"/>
          <w:sz w:val="24"/>
          <w:lang w:eastAsia="zh-CN"/>
        </w:rPr>
      </w:pPr>
      <w:r>
        <w:rPr>
          <w:rFonts w:hint="eastAsia" w:hAnsi="宋体" w:cs="宋体"/>
          <w:color w:val="auto"/>
          <w:sz w:val="24"/>
        </w:rPr>
        <w:t>联系电话：</w:t>
      </w:r>
      <w:r>
        <w:rPr>
          <w:rFonts w:hint="eastAsia" w:hAnsi="宋体" w:cs="宋体"/>
          <w:color w:val="auto"/>
          <w:sz w:val="24"/>
          <w:lang w:eastAsia="zh-CN"/>
        </w:rPr>
        <w:t>0576-88517783</w:t>
      </w:r>
    </w:p>
    <w:p w14:paraId="0BD1F8E7">
      <w:pPr>
        <w:pStyle w:val="21"/>
        <w:numPr>
          <w:ilvl w:val="0"/>
          <w:numId w:val="0"/>
        </w:numPr>
        <w:jc w:val="left"/>
        <w:rPr>
          <w:rFonts w:hint="eastAsia" w:cstheme="minorBidi"/>
          <w:b/>
          <w:color w:val="auto"/>
          <w:kern w:val="2"/>
          <w:sz w:val="28"/>
          <w:szCs w:val="28"/>
          <w:lang w:val="en-US" w:eastAsia="zh-CN" w:bidi="ar-SA"/>
        </w:rPr>
        <w:sectPr>
          <w:footerReference r:id="rId3" w:type="default"/>
          <w:pgSz w:w="11906" w:h="16838"/>
          <w:pgMar w:top="1440" w:right="1800" w:bottom="1440" w:left="1800" w:header="851" w:footer="992" w:gutter="0"/>
          <w:pgNumType w:start="1"/>
          <w:cols w:space="425" w:num="1"/>
          <w:docGrid w:type="lines" w:linePitch="312" w:charSpace="0"/>
        </w:sectPr>
      </w:pPr>
    </w:p>
    <w:p w14:paraId="5C26A051">
      <w:pPr>
        <w:pStyle w:val="21"/>
        <w:numPr>
          <w:ilvl w:val="0"/>
          <w:numId w:val="0"/>
        </w:numPr>
        <w:jc w:val="left"/>
        <w:rPr>
          <w:rFonts w:hint="eastAsia" w:asciiTheme="minorHAnsi" w:hAnsiTheme="minorHAnsi" w:eastAsiaTheme="minorEastAsia" w:cstheme="minorBidi"/>
          <w:b/>
          <w:color w:val="auto"/>
          <w:kern w:val="2"/>
          <w:sz w:val="28"/>
          <w:szCs w:val="28"/>
          <w:lang w:val="en-US" w:eastAsia="zh-CN" w:bidi="ar-SA"/>
        </w:rPr>
      </w:pPr>
      <w:r>
        <w:rPr>
          <w:rFonts w:hint="eastAsia" w:cstheme="minorBidi"/>
          <w:b/>
          <w:color w:val="auto"/>
          <w:kern w:val="2"/>
          <w:sz w:val="28"/>
          <w:szCs w:val="28"/>
          <w:lang w:val="en-US" w:eastAsia="zh-CN" w:bidi="ar-SA"/>
        </w:rPr>
        <w:t>七、</w:t>
      </w:r>
      <w:r>
        <w:rPr>
          <w:rFonts w:hint="eastAsia" w:asciiTheme="minorHAnsi" w:hAnsiTheme="minorHAnsi" w:eastAsiaTheme="minorEastAsia" w:cstheme="minorBidi"/>
          <w:b/>
          <w:color w:val="auto"/>
          <w:kern w:val="2"/>
          <w:sz w:val="28"/>
          <w:szCs w:val="28"/>
          <w:lang w:val="en-US" w:eastAsia="zh-CN" w:bidi="ar-SA"/>
        </w:rPr>
        <w:t>采购需求</w:t>
      </w:r>
    </w:p>
    <w:p w14:paraId="0BF30209">
      <w:pPr>
        <w:pStyle w:val="21"/>
        <w:keepNext w:val="0"/>
        <w:keepLines w:val="0"/>
        <w:pageBreakBefore w:val="0"/>
        <w:numPr>
          <w:ilvl w:val="0"/>
          <w:numId w:val="0"/>
        </w:numPr>
        <w:kinsoku/>
        <w:wordWrap/>
        <w:overflowPunct/>
        <w:topLinePunct w:val="0"/>
        <w:autoSpaceDE/>
        <w:autoSpaceDN/>
        <w:bidi w:val="0"/>
        <w:adjustRightInd/>
        <w:snapToGrid/>
        <w:spacing w:line="520" w:lineRule="exact"/>
        <w:jc w:val="left"/>
        <w:rPr>
          <w:rFonts w:hint="eastAsia"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1、采购清单</w:t>
      </w:r>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5493"/>
        <w:gridCol w:w="877"/>
        <w:gridCol w:w="1395"/>
      </w:tblGrid>
      <w:tr w14:paraId="087E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53" w:type="dxa"/>
            <w:vAlign w:val="center"/>
          </w:tcPr>
          <w:p w14:paraId="6A9EA7E6">
            <w:pPr>
              <w:jc w:val="center"/>
              <w:rPr>
                <w:b/>
                <w:bCs/>
                <w:color w:val="auto"/>
                <w:sz w:val="21"/>
                <w:szCs w:val="21"/>
              </w:rPr>
            </w:pPr>
            <w:r>
              <w:rPr>
                <w:rFonts w:hint="eastAsia"/>
                <w:b/>
                <w:bCs/>
                <w:color w:val="auto"/>
                <w:sz w:val="21"/>
                <w:szCs w:val="21"/>
              </w:rPr>
              <w:t>名称</w:t>
            </w:r>
          </w:p>
        </w:tc>
        <w:tc>
          <w:tcPr>
            <w:tcW w:w="5493" w:type="dxa"/>
            <w:vAlign w:val="center"/>
          </w:tcPr>
          <w:p w14:paraId="1924FE3D">
            <w:pPr>
              <w:jc w:val="center"/>
              <w:rPr>
                <w:b/>
                <w:bCs/>
                <w:color w:val="auto"/>
                <w:sz w:val="21"/>
                <w:szCs w:val="21"/>
              </w:rPr>
            </w:pPr>
            <w:r>
              <w:rPr>
                <w:rFonts w:hint="eastAsia"/>
                <w:b/>
                <w:bCs/>
                <w:color w:val="auto"/>
                <w:sz w:val="21"/>
                <w:szCs w:val="21"/>
              </w:rPr>
              <w:t>参数要求</w:t>
            </w:r>
          </w:p>
        </w:tc>
        <w:tc>
          <w:tcPr>
            <w:tcW w:w="877" w:type="dxa"/>
            <w:vAlign w:val="center"/>
          </w:tcPr>
          <w:p w14:paraId="136AC778">
            <w:pPr>
              <w:jc w:val="center"/>
              <w:rPr>
                <w:b/>
                <w:bCs/>
                <w:color w:val="auto"/>
                <w:sz w:val="21"/>
                <w:szCs w:val="21"/>
              </w:rPr>
            </w:pPr>
            <w:r>
              <w:rPr>
                <w:rFonts w:hint="eastAsia"/>
                <w:b/>
                <w:bCs/>
                <w:color w:val="auto"/>
                <w:sz w:val="21"/>
                <w:szCs w:val="21"/>
              </w:rPr>
              <w:t>数量</w:t>
            </w:r>
          </w:p>
        </w:tc>
        <w:tc>
          <w:tcPr>
            <w:tcW w:w="1395" w:type="dxa"/>
            <w:vAlign w:val="center"/>
          </w:tcPr>
          <w:p w14:paraId="0F6621BB">
            <w:pPr>
              <w:jc w:val="center"/>
              <w:rPr>
                <w:rFonts w:hint="eastAsia" w:eastAsiaTheme="minorEastAsia"/>
                <w:b/>
                <w:bCs/>
                <w:color w:val="auto"/>
                <w:sz w:val="21"/>
                <w:szCs w:val="21"/>
                <w:lang w:eastAsia="zh-CN"/>
              </w:rPr>
            </w:pPr>
            <w:r>
              <w:rPr>
                <w:rFonts w:hint="eastAsia"/>
                <w:b/>
                <w:bCs/>
                <w:color w:val="auto"/>
                <w:sz w:val="21"/>
                <w:szCs w:val="21"/>
                <w:lang w:val="en-US" w:eastAsia="zh-CN"/>
              </w:rPr>
              <w:t>备注</w:t>
            </w:r>
          </w:p>
        </w:tc>
      </w:tr>
      <w:tr w14:paraId="310C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1353" w:type="dxa"/>
            <w:vAlign w:val="center"/>
          </w:tcPr>
          <w:p w14:paraId="2C4B31A6">
            <w:pPr>
              <w:rPr>
                <w:color w:val="auto"/>
                <w:sz w:val="21"/>
                <w:szCs w:val="21"/>
              </w:rPr>
            </w:pPr>
            <w:r>
              <w:rPr>
                <w:rFonts w:hint="eastAsia"/>
                <w:color w:val="auto"/>
                <w:sz w:val="21"/>
                <w:szCs w:val="21"/>
              </w:rPr>
              <w:t>存储光纤交换机</w:t>
            </w:r>
          </w:p>
        </w:tc>
        <w:tc>
          <w:tcPr>
            <w:tcW w:w="5493" w:type="dxa"/>
          </w:tcPr>
          <w:p w14:paraId="458E664F">
            <w:pPr>
              <w:rPr>
                <w:color w:val="auto"/>
                <w:sz w:val="21"/>
                <w:szCs w:val="21"/>
              </w:rPr>
            </w:pPr>
            <w:bookmarkStart w:id="0" w:name="OLE_LINK2"/>
            <w:r>
              <w:rPr>
                <w:rFonts w:hint="eastAsia"/>
                <w:color w:val="auto"/>
                <w:sz w:val="21"/>
                <w:szCs w:val="21"/>
              </w:rPr>
              <w:t>核心参数要求：</w:t>
            </w:r>
          </w:p>
          <w:bookmarkEnd w:id="0"/>
          <w:p w14:paraId="2D36AA41">
            <w:pPr>
              <w:rPr>
                <w:color w:val="auto"/>
                <w:sz w:val="21"/>
                <w:szCs w:val="21"/>
              </w:rPr>
            </w:pPr>
            <w:r>
              <w:rPr>
                <w:rFonts w:hint="eastAsia"/>
                <w:color w:val="auto"/>
                <w:sz w:val="21"/>
                <w:szCs w:val="21"/>
              </w:rPr>
              <w:t>性能规格：</w:t>
            </w:r>
            <w:r>
              <w:rPr>
                <w:rFonts w:hint="eastAsia" w:ascii="宋体" w:hAnsi="宋体" w:eastAsia="宋体" w:cs="宋体"/>
                <w:color w:val="auto"/>
                <w:kern w:val="0"/>
                <w:sz w:val="22"/>
                <w:szCs w:val="22"/>
              </w:rPr>
              <w:t>≥</w:t>
            </w:r>
            <w:r>
              <w:rPr>
                <w:color w:val="auto"/>
                <w:sz w:val="21"/>
                <w:szCs w:val="21"/>
              </w:rPr>
              <w:t>48 端口光纤交换机，48 端口激活，含 48个 16Gb/s 短波 SFP，双电源，含</w:t>
            </w:r>
            <w:r>
              <w:rPr>
                <w:rFonts w:hint="eastAsia"/>
                <w:color w:val="auto"/>
                <w:sz w:val="21"/>
                <w:szCs w:val="21"/>
                <w:lang w:val="en-US" w:eastAsia="zh-CN"/>
              </w:rPr>
              <w:t>70</w:t>
            </w:r>
            <w:r>
              <w:rPr>
                <w:color w:val="auto"/>
                <w:sz w:val="21"/>
                <w:szCs w:val="21"/>
              </w:rPr>
              <w:t>对15米或20米 LC-LC光纤线，三年质保（必须与现有的</w:t>
            </w:r>
            <w:r>
              <w:rPr>
                <w:rFonts w:hint="eastAsia"/>
                <w:color w:val="auto"/>
                <w:sz w:val="21"/>
                <w:szCs w:val="21"/>
              </w:rPr>
              <w:t>博科BR-6505</w:t>
            </w:r>
            <w:r>
              <w:rPr>
                <w:color w:val="auto"/>
                <w:sz w:val="21"/>
                <w:szCs w:val="21"/>
              </w:rPr>
              <w:t>存储</w:t>
            </w:r>
            <w:r>
              <w:rPr>
                <w:rFonts w:hint="eastAsia"/>
                <w:color w:val="auto"/>
                <w:sz w:val="21"/>
                <w:szCs w:val="21"/>
              </w:rPr>
              <w:t>光纤</w:t>
            </w:r>
            <w:r>
              <w:rPr>
                <w:color w:val="auto"/>
                <w:sz w:val="21"/>
                <w:szCs w:val="21"/>
              </w:rPr>
              <w:t>交换机做级联）。</w:t>
            </w:r>
            <w:r>
              <w:rPr>
                <w:rFonts w:hint="eastAsia"/>
                <w:color w:val="auto"/>
                <w:sz w:val="21"/>
                <w:szCs w:val="21"/>
              </w:rPr>
              <w:t>具体要求详见附件技术参数文件。</w:t>
            </w:r>
          </w:p>
        </w:tc>
        <w:tc>
          <w:tcPr>
            <w:tcW w:w="877" w:type="dxa"/>
            <w:vAlign w:val="center"/>
          </w:tcPr>
          <w:p w14:paraId="2C50BBC2">
            <w:pPr>
              <w:jc w:val="center"/>
              <w:rPr>
                <w:color w:val="auto"/>
                <w:sz w:val="21"/>
                <w:szCs w:val="21"/>
              </w:rPr>
            </w:pPr>
            <w:r>
              <w:rPr>
                <w:rFonts w:hint="eastAsia"/>
                <w:color w:val="auto"/>
                <w:sz w:val="21"/>
                <w:szCs w:val="21"/>
              </w:rPr>
              <w:t>2台</w:t>
            </w:r>
          </w:p>
        </w:tc>
        <w:tc>
          <w:tcPr>
            <w:tcW w:w="1395" w:type="dxa"/>
            <w:vMerge w:val="restart"/>
            <w:vAlign w:val="center"/>
          </w:tcPr>
          <w:p w14:paraId="577285B5">
            <w:pPr>
              <w:jc w:val="right"/>
              <w:rPr>
                <w:rFonts w:hint="default" w:eastAsia="宋体"/>
                <w:color w:val="auto"/>
                <w:sz w:val="21"/>
                <w:szCs w:val="21"/>
                <w:lang w:val="en-US" w:eastAsia="zh-CN"/>
              </w:rPr>
            </w:pPr>
            <w:r>
              <w:rPr>
                <w:rFonts w:hint="eastAsia" w:eastAsia="宋体"/>
                <w:color w:val="auto"/>
                <w:sz w:val="21"/>
                <w:szCs w:val="21"/>
                <w:lang w:val="en-US" w:eastAsia="zh-CN"/>
              </w:rPr>
              <w:t>各产品对应技术要求</w:t>
            </w:r>
            <w:r>
              <w:rPr>
                <w:rFonts w:hint="default" w:eastAsia="宋体"/>
                <w:color w:val="auto"/>
                <w:sz w:val="21"/>
                <w:szCs w:val="21"/>
                <w:lang w:val="en-US" w:eastAsia="zh-CN"/>
              </w:rPr>
              <w:t>详见附件</w:t>
            </w:r>
            <w:r>
              <w:rPr>
                <w:rFonts w:hint="eastAsia" w:eastAsia="宋体"/>
                <w:color w:val="auto"/>
                <w:sz w:val="21"/>
                <w:szCs w:val="21"/>
                <w:lang w:val="en-US" w:eastAsia="zh-CN"/>
              </w:rPr>
              <w:t>10</w:t>
            </w:r>
            <w:r>
              <w:rPr>
                <w:rFonts w:hint="default" w:eastAsia="宋体"/>
                <w:color w:val="auto"/>
                <w:sz w:val="21"/>
                <w:szCs w:val="21"/>
                <w:lang w:val="en-US" w:eastAsia="zh-CN"/>
              </w:rPr>
              <w:t>“技术要求、参数文件”</w:t>
            </w:r>
          </w:p>
        </w:tc>
      </w:tr>
      <w:tr w14:paraId="27D2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1353" w:type="dxa"/>
            <w:vAlign w:val="center"/>
          </w:tcPr>
          <w:p w14:paraId="124911BD">
            <w:pPr>
              <w:rPr>
                <w:color w:val="auto"/>
                <w:sz w:val="21"/>
                <w:szCs w:val="21"/>
              </w:rPr>
            </w:pPr>
            <w:r>
              <w:rPr>
                <w:rFonts w:hint="eastAsia"/>
                <w:color w:val="auto"/>
                <w:sz w:val="21"/>
                <w:szCs w:val="21"/>
              </w:rPr>
              <w:t>万兆交换机</w:t>
            </w:r>
          </w:p>
        </w:tc>
        <w:tc>
          <w:tcPr>
            <w:tcW w:w="5493" w:type="dxa"/>
          </w:tcPr>
          <w:p w14:paraId="1D2E9201">
            <w:pPr>
              <w:rPr>
                <w:color w:val="auto"/>
                <w:sz w:val="21"/>
                <w:szCs w:val="21"/>
              </w:rPr>
            </w:pPr>
            <w:r>
              <w:rPr>
                <w:rFonts w:hint="eastAsia"/>
                <w:color w:val="auto"/>
                <w:sz w:val="21"/>
                <w:szCs w:val="21"/>
              </w:rPr>
              <w:t>核心参数要求：</w:t>
            </w:r>
          </w:p>
          <w:p w14:paraId="7D6C4EC9">
            <w:pPr>
              <w:rPr>
                <w:color w:val="auto"/>
                <w:sz w:val="21"/>
                <w:szCs w:val="21"/>
              </w:rPr>
            </w:pPr>
            <w:r>
              <w:rPr>
                <w:color w:val="auto"/>
                <w:sz w:val="21"/>
                <w:szCs w:val="21"/>
              </w:rPr>
              <w:t>交换容量</w:t>
            </w:r>
            <w:r>
              <w:rPr>
                <w:rFonts w:hint="eastAsia" w:ascii="宋体" w:hAnsi="宋体" w:eastAsia="宋体" w:cs="宋体"/>
                <w:color w:val="auto"/>
                <w:kern w:val="0"/>
                <w:sz w:val="22"/>
                <w:szCs w:val="22"/>
              </w:rPr>
              <w:t>≥</w:t>
            </w:r>
            <w:r>
              <w:rPr>
                <w:color w:val="auto"/>
                <w:sz w:val="21"/>
                <w:szCs w:val="21"/>
              </w:rPr>
              <w:t>2.56Tbps，包转发率</w:t>
            </w:r>
            <w:r>
              <w:rPr>
                <w:rFonts w:hint="eastAsia" w:ascii="宋体" w:hAnsi="宋体" w:eastAsia="宋体" w:cs="宋体"/>
                <w:color w:val="auto"/>
                <w:kern w:val="0"/>
                <w:sz w:val="22"/>
                <w:szCs w:val="22"/>
              </w:rPr>
              <w:t>≥</w:t>
            </w:r>
            <w:r>
              <w:rPr>
                <w:color w:val="auto"/>
                <w:sz w:val="21"/>
                <w:szCs w:val="21"/>
              </w:rPr>
              <w:t xml:space="preserve">720Mpps </w:t>
            </w:r>
            <w:r>
              <w:rPr>
                <w:rFonts w:hint="eastAsia"/>
                <w:color w:val="auto"/>
                <w:sz w:val="21"/>
                <w:szCs w:val="21"/>
              </w:rPr>
              <w:t>，</w:t>
            </w:r>
            <w:r>
              <w:rPr>
                <w:rFonts w:hint="eastAsia" w:ascii="宋体" w:hAnsi="宋体" w:eastAsia="宋体" w:cs="宋体"/>
                <w:color w:val="auto"/>
                <w:kern w:val="0"/>
                <w:sz w:val="22"/>
                <w:szCs w:val="22"/>
              </w:rPr>
              <w:t>≥</w:t>
            </w:r>
            <w:r>
              <w:rPr>
                <w:color w:val="auto"/>
                <w:sz w:val="21"/>
                <w:szCs w:val="21"/>
              </w:rPr>
              <w:t>24个10G SFP+光口，</w:t>
            </w:r>
            <w:r>
              <w:rPr>
                <w:rFonts w:hint="eastAsia" w:ascii="宋体" w:hAnsi="宋体" w:eastAsia="宋体" w:cs="宋体"/>
                <w:color w:val="auto"/>
                <w:kern w:val="0"/>
                <w:sz w:val="22"/>
                <w:szCs w:val="22"/>
              </w:rPr>
              <w:t>≥</w:t>
            </w:r>
            <w:r>
              <w:rPr>
                <w:color w:val="auto"/>
                <w:sz w:val="21"/>
                <w:szCs w:val="21"/>
              </w:rPr>
              <w:t>2个40G QSFP+光口</w:t>
            </w:r>
            <w:r>
              <w:rPr>
                <w:rFonts w:hint="eastAsia"/>
                <w:color w:val="auto"/>
                <w:sz w:val="21"/>
                <w:szCs w:val="21"/>
              </w:rPr>
              <w:t>（每个</w:t>
            </w:r>
            <w:r>
              <w:rPr>
                <w:color w:val="auto"/>
                <w:sz w:val="21"/>
                <w:szCs w:val="21"/>
              </w:rPr>
              <w:t>QSFP+光口可拆分为4个10GE光口），</w:t>
            </w:r>
            <w:r>
              <w:rPr>
                <w:rFonts w:hint="eastAsia" w:ascii="宋体" w:hAnsi="宋体" w:eastAsia="宋体" w:cs="宋体"/>
                <w:color w:val="auto"/>
                <w:kern w:val="0"/>
                <w:sz w:val="22"/>
                <w:szCs w:val="22"/>
              </w:rPr>
              <w:t>≥</w:t>
            </w:r>
            <w:r>
              <w:rPr>
                <w:color w:val="auto"/>
                <w:sz w:val="21"/>
                <w:szCs w:val="21"/>
              </w:rPr>
              <w:t>2个接口扩展插槽，配置双电源、双风扇、24个万兆</w:t>
            </w:r>
            <w:r>
              <w:rPr>
                <w:rFonts w:hint="eastAsia"/>
                <w:color w:val="auto"/>
                <w:sz w:val="21"/>
                <w:szCs w:val="21"/>
              </w:rPr>
              <w:t>多模</w:t>
            </w:r>
            <w:r>
              <w:rPr>
                <w:color w:val="auto"/>
                <w:sz w:val="21"/>
                <w:szCs w:val="21"/>
              </w:rPr>
              <w:t>光模块,</w:t>
            </w:r>
            <w:r>
              <w:rPr>
                <w:b/>
                <w:bCs/>
                <w:color w:val="auto"/>
                <w:sz w:val="21"/>
                <w:szCs w:val="21"/>
              </w:rPr>
              <w:t>提供针对本项目的三年7x24小时售后服务承诺函原件及现场技术支持服务</w:t>
            </w:r>
            <w:r>
              <w:rPr>
                <w:rFonts w:hint="eastAsia"/>
                <w:b/>
                <w:bCs/>
                <w:color w:val="auto"/>
                <w:sz w:val="21"/>
                <w:szCs w:val="21"/>
              </w:rPr>
              <w:t>。具体要求详见附件技术参数文件。</w:t>
            </w:r>
          </w:p>
        </w:tc>
        <w:tc>
          <w:tcPr>
            <w:tcW w:w="877" w:type="dxa"/>
            <w:vAlign w:val="center"/>
          </w:tcPr>
          <w:p w14:paraId="0AF3E0B3">
            <w:pPr>
              <w:jc w:val="center"/>
              <w:rPr>
                <w:color w:val="auto"/>
                <w:sz w:val="21"/>
                <w:szCs w:val="21"/>
              </w:rPr>
            </w:pPr>
            <w:r>
              <w:rPr>
                <w:rFonts w:hint="eastAsia"/>
                <w:color w:val="auto"/>
                <w:sz w:val="21"/>
                <w:szCs w:val="21"/>
              </w:rPr>
              <w:t>2台</w:t>
            </w:r>
          </w:p>
        </w:tc>
        <w:tc>
          <w:tcPr>
            <w:tcW w:w="1395" w:type="dxa"/>
            <w:vMerge w:val="continue"/>
            <w:vAlign w:val="center"/>
          </w:tcPr>
          <w:p w14:paraId="7E10E41C">
            <w:pPr>
              <w:jc w:val="right"/>
              <w:rPr>
                <w:rFonts w:hint="default" w:eastAsia="宋体"/>
                <w:color w:val="auto"/>
                <w:sz w:val="21"/>
                <w:szCs w:val="21"/>
                <w:lang w:val="en-US" w:eastAsia="zh-CN"/>
              </w:rPr>
            </w:pPr>
          </w:p>
        </w:tc>
      </w:tr>
      <w:tr w14:paraId="2ABC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353" w:type="dxa"/>
            <w:vAlign w:val="center"/>
          </w:tcPr>
          <w:p w14:paraId="6BAE5882">
            <w:pPr>
              <w:rPr>
                <w:color w:val="auto"/>
                <w:sz w:val="21"/>
                <w:szCs w:val="21"/>
              </w:rPr>
            </w:pPr>
            <w:bookmarkStart w:id="1" w:name="OLE_LINK5"/>
            <w:r>
              <w:rPr>
                <w:rFonts w:hint="eastAsia"/>
                <w:color w:val="auto"/>
                <w:sz w:val="21"/>
                <w:szCs w:val="21"/>
              </w:rPr>
              <w:t>核心交换机板卡扩容</w:t>
            </w:r>
            <w:bookmarkEnd w:id="1"/>
          </w:p>
        </w:tc>
        <w:tc>
          <w:tcPr>
            <w:tcW w:w="5493" w:type="dxa"/>
          </w:tcPr>
          <w:p w14:paraId="3BE05E11">
            <w:pPr>
              <w:rPr>
                <w:color w:val="auto"/>
                <w:sz w:val="21"/>
                <w:szCs w:val="21"/>
              </w:rPr>
            </w:pPr>
            <w:r>
              <w:rPr>
                <w:rFonts w:hint="eastAsia"/>
                <w:color w:val="auto"/>
                <w:sz w:val="21"/>
                <w:szCs w:val="21"/>
              </w:rPr>
              <w:t>核心参数要求：</w:t>
            </w:r>
          </w:p>
          <w:p w14:paraId="21067588">
            <w:pPr>
              <w:rPr>
                <w:color w:val="auto"/>
                <w:sz w:val="21"/>
                <w:szCs w:val="21"/>
              </w:rPr>
            </w:pPr>
            <w:r>
              <w:rPr>
                <w:rFonts w:hint="eastAsia"/>
                <w:color w:val="auto"/>
                <w:sz w:val="21"/>
                <w:szCs w:val="21"/>
              </w:rPr>
              <w:t>华为</w:t>
            </w:r>
            <w:r>
              <w:rPr>
                <w:color w:val="auto"/>
                <w:sz w:val="21"/>
                <w:szCs w:val="21"/>
              </w:rPr>
              <w:t>S7706核心交换机</w:t>
            </w:r>
            <w:r>
              <w:rPr>
                <w:rFonts w:hint="eastAsia"/>
                <w:color w:val="auto"/>
                <w:sz w:val="21"/>
                <w:szCs w:val="21"/>
              </w:rPr>
              <w:t>扩容，增加</w:t>
            </w:r>
            <w:r>
              <w:rPr>
                <w:color w:val="auto"/>
                <w:sz w:val="21"/>
                <w:szCs w:val="21"/>
              </w:rPr>
              <w:t>48端口万兆以太网光接口板(X6S,SFP+</w:t>
            </w:r>
            <w:r>
              <w:rPr>
                <w:rFonts w:hint="eastAsia"/>
                <w:color w:val="auto"/>
                <w:sz w:val="21"/>
                <w:szCs w:val="21"/>
              </w:rPr>
              <w:t>),</w:t>
            </w:r>
            <w:r>
              <w:rPr>
                <w:rFonts w:hint="eastAsia"/>
                <w:b/>
                <w:bCs/>
                <w:color w:val="auto"/>
                <w:sz w:val="21"/>
                <w:szCs w:val="21"/>
              </w:rPr>
              <w:t>提供针对本项目的一年7x24小时售后服务承诺函原件及现场技术支持服务。具体要求详见附件技术参数文件。</w:t>
            </w:r>
          </w:p>
        </w:tc>
        <w:tc>
          <w:tcPr>
            <w:tcW w:w="877" w:type="dxa"/>
            <w:vAlign w:val="center"/>
          </w:tcPr>
          <w:p w14:paraId="58A95E05">
            <w:pPr>
              <w:jc w:val="center"/>
              <w:rPr>
                <w:color w:val="auto"/>
                <w:sz w:val="21"/>
                <w:szCs w:val="21"/>
              </w:rPr>
            </w:pPr>
            <w:r>
              <w:rPr>
                <w:rFonts w:hint="eastAsia"/>
                <w:color w:val="auto"/>
                <w:sz w:val="21"/>
                <w:szCs w:val="21"/>
              </w:rPr>
              <w:t>2块</w:t>
            </w:r>
          </w:p>
        </w:tc>
        <w:tc>
          <w:tcPr>
            <w:tcW w:w="1395" w:type="dxa"/>
            <w:vMerge w:val="continue"/>
            <w:vAlign w:val="center"/>
          </w:tcPr>
          <w:p w14:paraId="2E9A354F">
            <w:pPr>
              <w:jc w:val="right"/>
              <w:rPr>
                <w:color w:val="auto"/>
                <w:sz w:val="21"/>
                <w:szCs w:val="21"/>
              </w:rPr>
            </w:pPr>
          </w:p>
        </w:tc>
      </w:tr>
      <w:tr w14:paraId="2ED8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53" w:type="dxa"/>
            <w:vAlign w:val="center"/>
          </w:tcPr>
          <w:p w14:paraId="1807C43F">
            <w:pPr>
              <w:rPr>
                <w:color w:val="auto"/>
                <w:sz w:val="21"/>
                <w:szCs w:val="21"/>
              </w:rPr>
            </w:pPr>
            <w:r>
              <w:rPr>
                <w:rFonts w:hint="eastAsia"/>
                <w:color w:val="auto"/>
                <w:sz w:val="21"/>
                <w:szCs w:val="21"/>
              </w:rPr>
              <w:t>光模块</w:t>
            </w:r>
          </w:p>
        </w:tc>
        <w:tc>
          <w:tcPr>
            <w:tcW w:w="5493" w:type="dxa"/>
          </w:tcPr>
          <w:p w14:paraId="069BCDF6">
            <w:pPr>
              <w:rPr>
                <w:color w:val="auto"/>
                <w:sz w:val="21"/>
                <w:szCs w:val="21"/>
              </w:rPr>
            </w:pPr>
            <w:r>
              <w:rPr>
                <w:rFonts w:hint="eastAsia"/>
                <w:color w:val="auto"/>
                <w:sz w:val="21"/>
                <w:szCs w:val="21"/>
              </w:rPr>
              <w:t>万兆多模光模块，三年质保</w:t>
            </w:r>
          </w:p>
        </w:tc>
        <w:tc>
          <w:tcPr>
            <w:tcW w:w="877" w:type="dxa"/>
          </w:tcPr>
          <w:p w14:paraId="21C0D328">
            <w:pPr>
              <w:jc w:val="center"/>
              <w:rPr>
                <w:color w:val="auto"/>
                <w:sz w:val="21"/>
                <w:szCs w:val="21"/>
              </w:rPr>
            </w:pPr>
            <w:r>
              <w:rPr>
                <w:rFonts w:hint="eastAsia"/>
                <w:color w:val="auto"/>
                <w:sz w:val="21"/>
                <w:szCs w:val="21"/>
                <w:lang w:val="en-US" w:eastAsia="zh-CN"/>
              </w:rPr>
              <w:t>9</w:t>
            </w:r>
            <w:r>
              <w:rPr>
                <w:color w:val="auto"/>
                <w:sz w:val="21"/>
                <w:szCs w:val="21"/>
              </w:rPr>
              <w:t>6</w:t>
            </w:r>
            <w:r>
              <w:rPr>
                <w:rFonts w:hint="eastAsia"/>
                <w:color w:val="auto"/>
                <w:sz w:val="21"/>
                <w:szCs w:val="21"/>
              </w:rPr>
              <w:t>块</w:t>
            </w:r>
          </w:p>
        </w:tc>
        <w:tc>
          <w:tcPr>
            <w:tcW w:w="1395" w:type="dxa"/>
            <w:vMerge w:val="continue"/>
            <w:vAlign w:val="center"/>
          </w:tcPr>
          <w:p w14:paraId="60DF5D95">
            <w:pPr>
              <w:jc w:val="right"/>
              <w:rPr>
                <w:rFonts w:hint="default" w:eastAsia="宋体"/>
                <w:color w:val="auto"/>
                <w:sz w:val="21"/>
                <w:szCs w:val="21"/>
                <w:lang w:val="en-US" w:eastAsia="zh-CN"/>
              </w:rPr>
            </w:pPr>
          </w:p>
        </w:tc>
      </w:tr>
      <w:tr w14:paraId="7B9C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3" w:type="dxa"/>
            <w:vAlign w:val="center"/>
          </w:tcPr>
          <w:p w14:paraId="56679223">
            <w:pPr>
              <w:rPr>
                <w:rFonts w:hint="default" w:eastAsia="宋体"/>
                <w:color w:val="auto"/>
                <w:sz w:val="21"/>
                <w:szCs w:val="21"/>
                <w:lang w:val="en-US" w:eastAsia="zh-CN"/>
              </w:rPr>
            </w:pPr>
            <w:r>
              <w:rPr>
                <w:rFonts w:hint="eastAsia"/>
                <w:color w:val="auto"/>
                <w:sz w:val="21"/>
                <w:szCs w:val="21"/>
                <w:lang w:val="en-US" w:eastAsia="zh-CN"/>
              </w:rPr>
              <w:t>PDU</w:t>
            </w:r>
          </w:p>
        </w:tc>
        <w:tc>
          <w:tcPr>
            <w:tcW w:w="5493" w:type="dxa"/>
          </w:tcPr>
          <w:p w14:paraId="178F9EEB">
            <w:pPr>
              <w:rPr>
                <w:rFonts w:hint="eastAsia"/>
                <w:color w:val="auto"/>
                <w:sz w:val="21"/>
                <w:szCs w:val="21"/>
              </w:rPr>
            </w:pPr>
            <w:r>
              <w:rPr>
                <w:rFonts w:hint="eastAsia"/>
                <w:color w:val="auto"/>
                <w:sz w:val="21"/>
                <w:szCs w:val="21"/>
              </w:rPr>
              <w:t xml:space="preserve">8位16A输入，10A新国标输出，带开关，带2米2.5平方线，总功率4000W，水平安装  </w:t>
            </w:r>
          </w:p>
        </w:tc>
        <w:tc>
          <w:tcPr>
            <w:tcW w:w="877" w:type="dxa"/>
          </w:tcPr>
          <w:p w14:paraId="4ACAD030">
            <w:pPr>
              <w:jc w:val="center"/>
              <w:rPr>
                <w:rFonts w:hint="eastAsia" w:eastAsia="宋体"/>
                <w:color w:val="auto"/>
                <w:sz w:val="21"/>
                <w:szCs w:val="21"/>
                <w:lang w:val="en-US" w:eastAsia="zh-CN"/>
              </w:rPr>
            </w:pPr>
            <w:r>
              <w:rPr>
                <w:rFonts w:hint="eastAsia"/>
                <w:color w:val="auto"/>
                <w:sz w:val="21"/>
                <w:szCs w:val="21"/>
                <w:lang w:val="en-US" w:eastAsia="zh-CN"/>
              </w:rPr>
              <w:t>8条</w:t>
            </w:r>
          </w:p>
        </w:tc>
        <w:tc>
          <w:tcPr>
            <w:tcW w:w="1395" w:type="dxa"/>
            <w:vMerge w:val="continue"/>
            <w:vAlign w:val="center"/>
          </w:tcPr>
          <w:p w14:paraId="64E75770">
            <w:pPr>
              <w:jc w:val="right"/>
              <w:rPr>
                <w:rFonts w:hint="default" w:eastAsia="宋体"/>
                <w:color w:val="auto"/>
                <w:sz w:val="21"/>
                <w:szCs w:val="21"/>
                <w:lang w:val="en-US" w:eastAsia="zh-CN"/>
              </w:rPr>
            </w:pPr>
          </w:p>
        </w:tc>
      </w:tr>
    </w:tbl>
    <w:p w14:paraId="2BD59911">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2、提供的产品应当符合附件10“技术要求、参数文件”。</w:t>
      </w:r>
    </w:p>
    <w:p w14:paraId="76A14A85">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3、本项目报价包含了采购本项目所需产品的生产、运输、验收、安装、</w:t>
      </w:r>
      <w:r>
        <w:rPr>
          <w:rFonts w:hint="eastAsia" w:ascii="宋体" w:hAnsi="宋体" w:eastAsia="宋体" w:cs="宋体"/>
          <w:color w:val="auto"/>
          <w:sz w:val="24"/>
          <w:szCs w:val="24"/>
          <w:highlight w:val="none"/>
          <w:lang w:val="en-US" w:eastAsia="zh-CN"/>
        </w:rPr>
        <w:t>调试、</w:t>
      </w:r>
      <w:r>
        <w:rPr>
          <w:rFonts w:hint="eastAsia" w:asciiTheme="minorEastAsia" w:hAnsiTheme="minorEastAsia" w:cstheme="minorEastAsia"/>
          <w:color w:val="auto"/>
          <w:sz w:val="24"/>
          <w:szCs w:val="24"/>
          <w:vertAlign w:val="baseline"/>
          <w:lang w:val="en-US" w:eastAsia="zh-CN"/>
        </w:rPr>
        <w:t>产品保护及其售后服务、代理费、产品所需相应的所有附件材料等所有费用。供应商可根据自身因素综合考虑报价。</w:t>
      </w:r>
    </w:p>
    <w:p w14:paraId="10A98B33">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jc w:val="left"/>
        <w:rPr>
          <w:rFonts w:hint="eastAsia"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4、供应商自合同签订之日起15个工作日内完成产品供货、安装及调试。</w:t>
      </w:r>
    </w:p>
    <w:p w14:paraId="2CFAC006">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jc w:val="left"/>
        <w:rPr>
          <w:rFonts w:hint="eastAsia"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安装标准：符合国家相关技术规范要求和技术标准。</w:t>
      </w:r>
    </w:p>
    <w:p w14:paraId="4B3F01C8">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jc w:val="left"/>
        <w:rPr>
          <w:rFonts w:hint="default"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调试所需专用工具设施材料由供应商自备、自行运至现场，完工后自行搬走，该笔费用已包含在报价中。</w:t>
      </w:r>
    </w:p>
    <w:p w14:paraId="1D4083F7">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both"/>
        <w:rPr>
          <w:rFonts w:hint="default"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5、供货地址：浙江省台州市市府大道468号</w:t>
      </w:r>
    </w:p>
    <w:p w14:paraId="6C50EED2">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jc w:val="left"/>
        <w:rPr>
          <w:rFonts w:hint="eastAsia" w:asciiTheme="minorEastAsia" w:hAnsiTheme="minorEastAsia" w:cstheme="minorEastAsia"/>
          <w:color w:val="auto"/>
          <w:sz w:val="24"/>
          <w:szCs w:val="24"/>
          <w:highlight w:val="yellow"/>
          <w:vertAlign w:val="baseline"/>
          <w:lang w:val="en-US" w:eastAsia="zh-CN"/>
        </w:rPr>
      </w:pPr>
      <w:r>
        <w:rPr>
          <w:rFonts w:hint="eastAsia" w:asciiTheme="minorEastAsia" w:hAnsiTheme="minorEastAsia" w:cstheme="minorEastAsia"/>
          <w:color w:val="auto"/>
          <w:sz w:val="24"/>
          <w:szCs w:val="24"/>
          <w:vertAlign w:val="baseline"/>
          <w:lang w:val="en-US" w:eastAsia="zh-CN"/>
        </w:rPr>
        <w:t>6、付款方式：</w:t>
      </w:r>
      <w:r>
        <w:rPr>
          <w:rFonts w:hint="eastAsia" w:hAnsi="宋体" w:cs="宋体"/>
          <w:bCs/>
          <w:color w:val="auto"/>
          <w:sz w:val="24"/>
          <w:highlight w:val="none"/>
        </w:rPr>
        <w:t>所有产品安装调试完毕</w:t>
      </w:r>
      <w:r>
        <w:rPr>
          <w:rFonts w:hint="eastAsia" w:hAnsi="宋体" w:cs="宋体"/>
          <w:bCs/>
          <w:color w:val="auto"/>
          <w:sz w:val="24"/>
          <w:highlight w:val="none"/>
          <w:lang w:eastAsia="zh-CN"/>
        </w:rPr>
        <w:t>并经验收合格后</w:t>
      </w:r>
      <w:r>
        <w:rPr>
          <w:rFonts w:hint="eastAsia" w:hAnsi="宋体" w:cs="宋体"/>
          <w:bCs/>
          <w:color w:val="auto"/>
          <w:sz w:val="24"/>
          <w:highlight w:val="none"/>
        </w:rPr>
        <w:t>10个工作日内付清合同价款。</w:t>
      </w:r>
      <w:r>
        <w:rPr>
          <w:rFonts w:hint="eastAsia" w:hAnsi="宋体" w:cs="宋体"/>
          <w:bCs/>
          <w:color w:val="auto"/>
          <w:sz w:val="24"/>
          <w:highlight w:val="none"/>
          <w:lang w:eastAsia="zh-CN"/>
        </w:rPr>
        <w:t>在甲方支付合同价款前，乙方应开具等额的有效发票</w:t>
      </w:r>
      <w:r>
        <w:rPr>
          <w:rFonts w:hint="eastAsia" w:asciiTheme="minorEastAsia" w:hAnsiTheme="minorEastAsia" w:cstheme="minorEastAsia"/>
          <w:color w:val="auto"/>
          <w:sz w:val="24"/>
          <w:szCs w:val="24"/>
          <w:highlight w:val="none"/>
          <w:vertAlign w:val="baseline"/>
          <w:lang w:val="en-US" w:eastAsia="zh-CN"/>
        </w:rPr>
        <w:t>。</w:t>
      </w:r>
    </w:p>
    <w:p w14:paraId="16AB60F3">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jc w:val="left"/>
        <w:rPr>
          <w:rFonts w:hint="eastAsia"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7、质保期内因不能排除的故障而影响工作的情况每发生一次，其质保期相应延长60天，保质期内因设备本身缺陷造成各种故障应由供应商免费提供技术服务和维修。</w:t>
      </w:r>
    </w:p>
    <w:p w14:paraId="6947E6CF">
      <w:pPr>
        <w:pStyle w:val="21"/>
        <w:keepNext w:val="0"/>
        <w:keepLines w:val="0"/>
        <w:pageBreakBefore w:val="0"/>
        <w:numPr>
          <w:ilvl w:val="0"/>
          <w:numId w:val="0"/>
        </w:numPr>
        <w:kinsoku/>
        <w:wordWrap/>
        <w:overflowPunct/>
        <w:topLinePunct w:val="0"/>
        <w:autoSpaceDE/>
        <w:autoSpaceDN/>
        <w:bidi w:val="0"/>
        <w:adjustRightInd/>
        <w:snapToGrid/>
        <w:spacing w:line="360" w:lineRule="auto"/>
        <w:ind w:firstLine="480"/>
        <w:jc w:val="left"/>
        <w:rPr>
          <w:rFonts w:hint="eastAsia"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在质保期内，所有因服务、设备及零部件更换和维修等原因产生的费用由供应商承担。同时,在整个产品使用期内供应商应确保产品的正常使用，在接到用户维修要求后应立即作出回应，当系统的软硬件设备出现故障时，供应商也应承诺在接到买方通知后30分钟内响应并提出解决方案，在4小时以内完成采购人提出的维修要求，如需更换设备或送修，必须在3个工作日内负责解决。如无法解决问题，应提供同档次的设备予以代用。</w:t>
      </w:r>
    </w:p>
    <w:p w14:paraId="18691396">
      <w:pPr>
        <w:pStyle w:val="21"/>
        <w:numPr>
          <w:ilvl w:val="0"/>
          <w:numId w:val="0"/>
        </w:numPr>
        <w:spacing w:line="360" w:lineRule="auto"/>
        <w:rPr>
          <w:rFonts w:hint="eastAsia" w:asciiTheme="minorEastAsia" w:hAnsiTheme="minorEastAsia"/>
          <w:b/>
          <w:bCs/>
          <w:color w:val="auto"/>
          <w:sz w:val="24"/>
          <w:szCs w:val="24"/>
        </w:rPr>
      </w:pPr>
      <w:r>
        <w:rPr>
          <w:rFonts w:hint="eastAsia" w:asciiTheme="minorEastAsia" w:hAnsiTheme="minorEastAsia" w:cstheme="minorEastAsia"/>
          <w:b/>
          <w:bCs/>
          <w:color w:val="auto"/>
          <w:sz w:val="24"/>
          <w:szCs w:val="24"/>
          <w:lang w:val="en-US" w:eastAsia="zh-CN"/>
        </w:rPr>
        <w:t>八</w:t>
      </w:r>
      <w:r>
        <w:rPr>
          <w:rFonts w:hint="eastAsia" w:asciiTheme="minorEastAsia" w:hAnsiTheme="minorEastAsia" w:cstheme="minorEastAsia"/>
          <w:b/>
          <w:bCs/>
          <w:color w:val="auto"/>
          <w:sz w:val="24"/>
          <w:szCs w:val="24"/>
          <w:lang w:eastAsia="zh-CN"/>
        </w:rPr>
        <w:t>、询价响应文件的组成：</w:t>
      </w:r>
    </w:p>
    <w:p w14:paraId="64951790">
      <w:pPr>
        <w:pStyle w:val="21"/>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1、企业营业执照</w:t>
      </w:r>
      <w:r>
        <w:rPr>
          <w:rFonts w:hint="eastAsia" w:asciiTheme="minorEastAsia" w:hAnsiTheme="minorEastAsia" w:cstheme="minorEastAsia"/>
          <w:color w:val="auto"/>
          <w:sz w:val="24"/>
          <w:szCs w:val="24"/>
          <w:lang w:val="en-US" w:eastAsia="zh-CN"/>
        </w:rPr>
        <w:t>副本复印件</w:t>
      </w:r>
      <w:r>
        <w:rPr>
          <w:rFonts w:hint="eastAsia" w:asciiTheme="minorEastAsia" w:hAnsiTheme="minorEastAsia" w:cstheme="minorEastAsia"/>
          <w:b/>
          <w:bCs/>
          <w:color w:val="auto"/>
          <w:sz w:val="24"/>
          <w:szCs w:val="24"/>
          <w:lang w:val="en-US" w:eastAsia="zh-CN"/>
        </w:rPr>
        <w:t>（加盖单位公章）</w:t>
      </w:r>
    </w:p>
    <w:p w14:paraId="58C8279C">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2、授权委托书</w:t>
      </w:r>
      <w:r>
        <w:rPr>
          <w:rFonts w:hint="eastAsia" w:hAnsi="宋体" w:cs="仿宋_GB2312"/>
          <w:color w:val="auto"/>
          <w:sz w:val="24"/>
          <w:szCs w:val="24"/>
        </w:rPr>
        <w:t>（格式附后）</w:t>
      </w:r>
      <w:r>
        <w:rPr>
          <w:rFonts w:hint="eastAsia" w:hAnsi="宋体" w:cs="仿宋_GB2312"/>
          <w:color w:val="auto"/>
          <w:sz w:val="24"/>
          <w:szCs w:val="24"/>
          <w:lang w:eastAsia="zh-CN"/>
        </w:rPr>
        <w:t>（</w:t>
      </w:r>
      <w:r>
        <w:rPr>
          <w:rFonts w:hint="eastAsia" w:hAnsi="宋体" w:cs="仿宋_GB2312"/>
          <w:color w:val="auto"/>
          <w:sz w:val="24"/>
          <w:szCs w:val="24"/>
          <w:lang w:val="en-US" w:eastAsia="zh-CN"/>
        </w:rPr>
        <w:t>如有</w:t>
      </w:r>
      <w:r>
        <w:rPr>
          <w:rFonts w:hint="eastAsia" w:hAnsi="宋体" w:cs="仿宋_GB2312"/>
          <w:color w:val="auto"/>
          <w:sz w:val="24"/>
          <w:szCs w:val="24"/>
          <w:lang w:eastAsia="zh-CN"/>
        </w:rPr>
        <w:t>）</w:t>
      </w:r>
    </w:p>
    <w:p w14:paraId="42EFF5F4">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en-US" w:eastAsia="zh-CN"/>
        </w:rPr>
        <w:t>具有依法缴纳税收和社会保障资金证明的承诺函</w:t>
      </w:r>
      <w:r>
        <w:rPr>
          <w:rFonts w:hint="eastAsia" w:hAnsi="宋体" w:cs="仿宋_GB2312"/>
          <w:color w:val="auto"/>
          <w:sz w:val="24"/>
          <w:szCs w:val="24"/>
        </w:rPr>
        <w:t>（格式附后）</w:t>
      </w:r>
    </w:p>
    <w:p w14:paraId="66A5E985">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hAnsi="宋体" w:cs="仿宋_GB2312"/>
          <w:color w:val="auto"/>
          <w:sz w:val="24"/>
          <w:szCs w:val="24"/>
        </w:rPr>
      </w:pP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en-US" w:eastAsia="zh-CN"/>
        </w:rPr>
        <w:t>具有良好的商业信誉和健全的财务会计制度的承诺函</w:t>
      </w:r>
      <w:r>
        <w:rPr>
          <w:rFonts w:hint="eastAsia" w:hAnsi="宋体" w:cs="仿宋_GB2312"/>
          <w:color w:val="auto"/>
          <w:sz w:val="24"/>
          <w:szCs w:val="24"/>
        </w:rPr>
        <w:t>（格式附后）</w:t>
      </w:r>
    </w:p>
    <w:p w14:paraId="273FCB0F">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hAnsi="宋体" w:cs="仿宋_GB2312"/>
          <w:color w:val="auto"/>
          <w:sz w:val="24"/>
          <w:szCs w:val="24"/>
          <w:lang w:val="en-US" w:eastAsia="zh-CN"/>
        </w:rPr>
      </w:pPr>
      <w:r>
        <w:rPr>
          <w:rFonts w:hint="eastAsia" w:hAnsi="宋体" w:cs="仿宋_GB2312"/>
          <w:color w:val="auto"/>
          <w:sz w:val="24"/>
          <w:szCs w:val="24"/>
          <w:lang w:val="en-US" w:eastAsia="zh-CN"/>
        </w:rPr>
        <w:t>5、具有履行合同所必须的设备和专业技术能力的承诺函</w:t>
      </w:r>
      <w:r>
        <w:rPr>
          <w:rFonts w:hint="eastAsia" w:hAnsi="宋体" w:cs="仿宋_GB2312"/>
          <w:color w:val="auto"/>
          <w:sz w:val="24"/>
          <w:szCs w:val="24"/>
        </w:rPr>
        <w:t>（格式附后）</w:t>
      </w:r>
    </w:p>
    <w:p w14:paraId="7F2D82B7">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val="en-US" w:eastAsia="zh-CN"/>
        </w:rPr>
        <w:t>技术偏离表</w:t>
      </w:r>
      <w:r>
        <w:rPr>
          <w:rFonts w:hint="eastAsia" w:hAnsi="宋体" w:cs="仿宋_GB2312"/>
          <w:color w:val="auto"/>
          <w:sz w:val="24"/>
          <w:szCs w:val="24"/>
        </w:rPr>
        <w:t>（格式附后）</w:t>
      </w:r>
    </w:p>
    <w:p w14:paraId="66BF9E3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7、</w:t>
      </w:r>
      <w:r>
        <w:rPr>
          <w:rFonts w:hint="eastAsia" w:ascii="宋体" w:hAnsi="宋体" w:eastAsia="宋体" w:cs="宋体"/>
          <w:color w:val="auto"/>
          <w:kern w:val="0"/>
          <w:sz w:val="24"/>
          <w:szCs w:val="24"/>
          <w:lang w:val="en-US" w:eastAsia="zh-CN" w:bidi="ar"/>
          <w:woUserID w:val="1"/>
        </w:rPr>
        <w:t>询价</w:t>
      </w:r>
      <w:r>
        <w:rPr>
          <w:rFonts w:hint="default" w:ascii="宋体" w:hAnsi="宋体" w:eastAsia="宋体" w:cs="宋体"/>
          <w:color w:val="auto"/>
          <w:kern w:val="0"/>
          <w:sz w:val="24"/>
          <w:szCs w:val="24"/>
          <w:lang w:eastAsia="zh-CN" w:bidi="ar"/>
          <w:woUserID w:val="1"/>
        </w:rPr>
        <w:t>文件</w:t>
      </w:r>
      <w:r>
        <w:rPr>
          <w:rFonts w:hint="eastAsia" w:ascii="宋体" w:hAnsi="宋体" w:eastAsia="宋体" w:cs="宋体"/>
          <w:color w:val="auto"/>
          <w:kern w:val="0"/>
          <w:sz w:val="24"/>
          <w:szCs w:val="24"/>
          <w:lang w:val="en-US" w:eastAsia="zh-CN" w:bidi="ar"/>
          <w:woUserID w:val="1"/>
        </w:rPr>
        <w:t>要求的证明材料</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b/>
          <w:bCs/>
          <w:color w:val="auto"/>
          <w:sz w:val="24"/>
          <w:szCs w:val="24"/>
          <w:lang w:val="en-US" w:eastAsia="zh-CN"/>
        </w:rPr>
        <w:t>根据附件10“技术要求、参数文件”对应</w:t>
      </w:r>
      <w:r>
        <w:rPr>
          <w:rFonts w:hint="default" w:asciiTheme="minorEastAsia" w:hAnsiTheme="minorEastAsia" w:cstheme="minorEastAsia"/>
          <w:b/>
          <w:bCs/>
          <w:color w:val="auto"/>
          <w:sz w:val="24"/>
          <w:szCs w:val="24"/>
          <w:lang w:eastAsia="zh-CN"/>
          <w:woUserID w:val="1"/>
        </w:rPr>
        <w:t>投标参数</w:t>
      </w:r>
      <w:r>
        <w:rPr>
          <w:rFonts w:hint="eastAsia" w:asciiTheme="minorEastAsia" w:hAnsiTheme="minorEastAsia" w:cstheme="minorEastAsia"/>
          <w:b/>
          <w:bCs/>
          <w:color w:val="auto"/>
          <w:sz w:val="24"/>
          <w:szCs w:val="24"/>
          <w:lang w:val="en-US" w:eastAsia="zh-CN"/>
        </w:rPr>
        <w:t>一栏中的要求提供</w:t>
      </w:r>
      <w:r>
        <w:rPr>
          <w:rFonts w:hint="eastAsia" w:asciiTheme="minorEastAsia" w:hAnsiTheme="minorEastAsia" w:eastAsiaTheme="minorEastAsia" w:cstheme="minorEastAsia"/>
          <w:b/>
          <w:bCs/>
          <w:color w:val="auto"/>
          <w:sz w:val="24"/>
          <w:szCs w:val="24"/>
          <w:lang w:val="en-US" w:eastAsia="zh-CN"/>
        </w:rPr>
        <w:t>服务承诺函</w:t>
      </w:r>
      <w:r>
        <w:rPr>
          <w:rFonts w:hint="eastAsia" w:asciiTheme="minorEastAsia" w:hAnsiTheme="minorEastAsia" w:cstheme="minorEastAsia"/>
          <w:b/>
          <w:bCs/>
          <w:color w:val="auto"/>
          <w:sz w:val="24"/>
          <w:szCs w:val="24"/>
          <w:lang w:val="en-US" w:eastAsia="zh-CN"/>
        </w:rPr>
        <w:t>原件</w:t>
      </w:r>
      <w:r>
        <w:rPr>
          <w:rFonts w:hint="default" w:asciiTheme="minorEastAsia" w:hAnsiTheme="minorEastAsia" w:cstheme="minorEastAsia"/>
          <w:b/>
          <w:bCs/>
          <w:color w:val="auto"/>
          <w:sz w:val="24"/>
          <w:szCs w:val="24"/>
          <w:lang w:eastAsia="zh-CN"/>
          <w:woUserID w:val="1"/>
        </w:rPr>
        <w:t>及其他证明材料</w:t>
      </w:r>
      <w:r>
        <w:rPr>
          <w:rFonts w:hint="eastAsia" w:ascii="宋体" w:hAnsi="宋体" w:eastAsia="宋体" w:cs="宋体"/>
          <w:b/>
          <w:bCs/>
          <w:color w:val="auto"/>
          <w:kern w:val="0"/>
          <w:sz w:val="24"/>
          <w:szCs w:val="24"/>
          <w:lang w:val="en-US" w:eastAsia="zh-CN" w:bidi="ar"/>
          <w:woUserID w:val="1"/>
        </w:rPr>
        <w:t>并加盖公章</w:t>
      </w:r>
      <w:r>
        <w:rPr>
          <w:rFonts w:hint="eastAsia" w:asciiTheme="minorEastAsia" w:hAnsiTheme="minorEastAsia" w:cstheme="minorEastAsia"/>
          <w:color w:val="auto"/>
          <w:sz w:val="24"/>
          <w:szCs w:val="24"/>
          <w:lang w:val="en-US" w:eastAsia="zh-CN"/>
        </w:rPr>
        <w:t>）</w:t>
      </w:r>
    </w:p>
    <w:p w14:paraId="4DD04A90">
      <w:pPr>
        <w:pStyle w:val="21"/>
        <w:keepNext w:val="0"/>
        <w:keepLines w:val="0"/>
        <w:pageBreakBefore w:val="0"/>
        <w:numPr>
          <w:ilvl w:val="0"/>
          <w:numId w:val="0"/>
        </w:numPr>
        <w:kinsoku/>
        <w:wordWrap/>
        <w:overflowPunct/>
        <w:topLinePunct w:val="0"/>
        <w:autoSpaceDE/>
        <w:autoSpaceDN/>
        <w:bidi w:val="0"/>
        <w:adjustRightInd/>
        <w:snapToGrid/>
        <w:spacing w:line="520" w:lineRule="exact"/>
        <w:ind w:left="560" w:left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8、报价</w:t>
      </w:r>
      <w:r>
        <w:rPr>
          <w:rFonts w:hint="eastAsia" w:asciiTheme="minorEastAsia" w:hAnsiTheme="minorEastAsia" w:eastAsiaTheme="minorEastAsia" w:cstheme="minorEastAsia"/>
          <w:color w:val="auto"/>
          <w:sz w:val="24"/>
          <w:szCs w:val="24"/>
          <w:lang w:val="en-US" w:eastAsia="zh-CN"/>
        </w:rPr>
        <w:t>函</w:t>
      </w:r>
      <w:r>
        <w:rPr>
          <w:rFonts w:hint="eastAsia" w:hAnsi="宋体" w:cs="仿宋_GB2312"/>
          <w:color w:val="auto"/>
          <w:sz w:val="24"/>
          <w:szCs w:val="24"/>
        </w:rPr>
        <w:t>（格式附后）</w:t>
      </w:r>
    </w:p>
    <w:p w14:paraId="7D9AB1C8">
      <w:pPr>
        <w:pStyle w:val="21"/>
        <w:keepNext w:val="0"/>
        <w:keepLines w:val="0"/>
        <w:pageBreakBefore w:val="0"/>
        <w:numPr>
          <w:ilvl w:val="0"/>
          <w:numId w:val="0"/>
        </w:numPr>
        <w:kinsoku/>
        <w:wordWrap/>
        <w:overflowPunct/>
        <w:topLinePunct w:val="0"/>
        <w:autoSpaceDE/>
        <w:autoSpaceDN/>
        <w:bidi w:val="0"/>
        <w:adjustRightInd/>
        <w:snapToGrid/>
        <w:spacing w:line="520" w:lineRule="exact"/>
        <w:ind w:left="560" w:leftChars="0"/>
        <w:jc w:val="left"/>
        <w:rPr>
          <w:rFonts w:hint="eastAsia" w:hAnsi="宋体" w:cs="仿宋_GB2312"/>
          <w:color w:val="auto"/>
          <w:sz w:val="24"/>
          <w:szCs w:val="24"/>
        </w:rPr>
      </w:pPr>
      <w:r>
        <w:rPr>
          <w:rFonts w:hint="eastAsia" w:asciiTheme="minorEastAsia" w:hAnsi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en-US" w:eastAsia="zh-CN"/>
        </w:rPr>
        <w:t>、报价清单</w:t>
      </w:r>
      <w:r>
        <w:rPr>
          <w:rFonts w:hint="eastAsia" w:hAnsi="宋体" w:cs="仿宋_GB2312"/>
          <w:color w:val="auto"/>
          <w:sz w:val="24"/>
          <w:szCs w:val="24"/>
        </w:rPr>
        <w:t>（格式附后）</w:t>
      </w:r>
    </w:p>
    <w:p w14:paraId="7837CDE1">
      <w:pPr>
        <w:pStyle w:val="21"/>
        <w:keepNext w:val="0"/>
        <w:keepLines w:val="0"/>
        <w:pageBreakBefore w:val="0"/>
        <w:numPr>
          <w:ilvl w:val="0"/>
          <w:numId w:val="0"/>
        </w:numPr>
        <w:kinsoku/>
        <w:wordWrap/>
        <w:overflowPunct/>
        <w:topLinePunct w:val="0"/>
        <w:autoSpaceDE/>
        <w:autoSpaceDN/>
        <w:bidi w:val="0"/>
        <w:adjustRightInd/>
        <w:snapToGrid/>
        <w:spacing w:line="520" w:lineRule="exact"/>
        <w:ind w:left="560" w:left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10</w:t>
      </w:r>
      <w:r>
        <w:rPr>
          <w:rFonts w:hint="eastAsia" w:asciiTheme="minorEastAsia" w:hAnsiTheme="minorEastAsia" w:eastAsiaTheme="minorEastAsia" w:cstheme="minorEastAsia"/>
          <w:color w:val="auto"/>
          <w:kern w:val="2"/>
          <w:sz w:val="24"/>
          <w:szCs w:val="24"/>
          <w:lang w:val="en-US" w:eastAsia="zh-CN" w:bidi="ar-SA"/>
        </w:rPr>
        <w:t>、中小企业声明函（格式附后）、残疾人福利性单位声明函（格式附后）</w:t>
      </w:r>
      <w:r>
        <w:rPr>
          <w:rFonts w:hint="eastAsia" w:asciiTheme="minorEastAsia" w:hAnsiTheme="minorEastAsia" w:eastAsiaTheme="minorEastAsia" w:cstheme="minorEastAsia"/>
          <w:color w:val="auto"/>
          <w:kern w:val="2"/>
          <w:sz w:val="24"/>
          <w:szCs w:val="24"/>
          <w:lang w:val="en-GB" w:eastAsia="zh-CN" w:bidi="ar-SA"/>
        </w:rPr>
        <w:t>、监狱企业</w:t>
      </w:r>
      <w:r>
        <w:rPr>
          <w:rFonts w:hint="eastAsia" w:asciiTheme="minorEastAsia" w:hAnsiTheme="minorEastAsia" w:eastAsiaTheme="minorEastAsia" w:cstheme="minorEastAsia"/>
          <w:color w:val="auto"/>
          <w:kern w:val="2"/>
          <w:sz w:val="24"/>
          <w:szCs w:val="24"/>
          <w:lang w:val="en-US" w:eastAsia="zh-CN" w:bidi="ar-SA"/>
        </w:rPr>
        <w:t>声明（格式自拟）等。（如有）</w:t>
      </w:r>
    </w:p>
    <w:p w14:paraId="14961966">
      <w:pPr>
        <w:pStyle w:val="21"/>
        <w:keepNext w:val="0"/>
        <w:keepLines w:val="0"/>
        <w:pageBreakBefore w:val="0"/>
        <w:numPr>
          <w:ilvl w:val="0"/>
          <w:numId w:val="0"/>
        </w:numPr>
        <w:kinsoku/>
        <w:wordWrap/>
        <w:overflowPunct/>
        <w:topLinePunct w:val="0"/>
        <w:autoSpaceDE/>
        <w:autoSpaceDN/>
        <w:bidi w:val="0"/>
        <w:adjustRightInd/>
        <w:snapToGrid/>
        <w:spacing w:line="520" w:lineRule="exact"/>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九</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cstheme="minorEastAsia"/>
          <w:b/>
          <w:bCs/>
          <w:color w:val="auto"/>
          <w:sz w:val="24"/>
          <w:szCs w:val="24"/>
          <w:lang w:val="en-US" w:eastAsia="zh-CN"/>
        </w:rPr>
        <w:t>询价响应文件</w:t>
      </w:r>
      <w:r>
        <w:rPr>
          <w:rFonts w:hint="eastAsia" w:asciiTheme="minorEastAsia" w:hAnsiTheme="minorEastAsia" w:eastAsiaTheme="minorEastAsia" w:cstheme="minorEastAsia"/>
          <w:b/>
          <w:bCs/>
          <w:color w:val="auto"/>
          <w:sz w:val="24"/>
          <w:szCs w:val="24"/>
          <w:lang w:val="en-US" w:eastAsia="zh-CN"/>
        </w:rPr>
        <w:t>的</w:t>
      </w:r>
      <w:r>
        <w:rPr>
          <w:rFonts w:hint="eastAsia" w:asciiTheme="minorEastAsia" w:hAnsiTheme="minorEastAsia" w:cstheme="minorEastAsia"/>
          <w:b/>
          <w:bCs/>
          <w:color w:val="auto"/>
          <w:sz w:val="24"/>
          <w:szCs w:val="24"/>
          <w:lang w:val="en-US" w:eastAsia="zh-CN"/>
        </w:rPr>
        <w:t>份数、</w:t>
      </w:r>
      <w:r>
        <w:rPr>
          <w:rFonts w:hint="eastAsia" w:asciiTheme="minorEastAsia" w:hAnsiTheme="minorEastAsia" w:eastAsiaTheme="minorEastAsia" w:cstheme="minorEastAsia"/>
          <w:b/>
          <w:bCs/>
          <w:color w:val="auto"/>
          <w:sz w:val="24"/>
          <w:szCs w:val="24"/>
          <w:lang w:val="en-US" w:eastAsia="zh-CN"/>
        </w:rPr>
        <w:t>密封及提交</w:t>
      </w:r>
    </w:p>
    <w:p w14:paraId="1C2DF910">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color w:val="auto"/>
          <w:sz w:val="24"/>
          <w:szCs w:val="24"/>
          <w:lang w:eastAsia="zh-CN"/>
        </w:rPr>
      </w:pPr>
      <w:r>
        <w:rPr>
          <w:rFonts w:hint="eastAsia" w:asciiTheme="minorEastAsia" w:hAnsiTheme="minorEastAsia" w:cstheme="minorEastAsia"/>
          <w:color w:val="auto"/>
          <w:sz w:val="24"/>
          <w:szCs w:val="24"/>
          <w:lang w:val="en-US" w:eastAsia="zh-CN"/>
        </w:rPr>
        <w:t>1、询价响应文件份数：</w:t>
      </w:r>
      <w:r>
        <w:rPr>
          <w:rFonts w:hint="eastAsia" w:ascii="宋体" w:hAnsi="宋体" w:eastAsia="宋体" w:cs="宋体"/>
          <w:color w:val="auto"/>
          <w:sz w:val="24"/>
          <w:szCs w:val="24"/>
        </w:rPr>
        <w:t>一式三份</w:t>
      </w:r>
      <w:r>
        <w:rPr>
          <w:rFonts w:hint="eastAsia" w:ascii="宋体" w:hAnsi="宋体" w:eastAsia="宋体" w:cs="宋体"/>
          <w:color w:val="auto"/>
          <w:sz w:val="24"/>
          <w:szCs w:val="24"/>
          <w:lang w:eastAsia="zh-CN"/>
        </w:rPr>
        <w:t>，正本一份、副本两份。</w:t>
      </w:r>
    </w:p>
    <w:p w14:paraId="2B3FCD82">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供应商在询价响应文件</w:t>
      </w:r>
      <w:r>
        <w:rPr>
          <w:rFonts w:hint="eastAsia" w:hAnsi="宋体" w:cs="仿宋_GB2312"/>
          <w:color w:val="auto"/>
          <w:sz w:val="24"/>
          <w:szCs w:val="24"/>
        </w:rPr>
        <w:t>正本和副本的封面上标记“正本”或“副本”的字样。当副本和正本不一致时，以正本为准</w:t>
      </w:r>
      <w:r>
        <w:rPr>
          <w:rFonts w:hint="eastAsia" w:hAnsi="宋体" w:cs="仿宋_GB2312"/>
          <w:color w:val="auto"/>
          <w:sz w:val="24"/>
          <w:szCs w:val="24"/>
          <w:lang w:eastAsia="zh-CN"/>
        </w:rPr>
        <w:t>。</w:t>
      </w:r>
    </w:p>
    <w:p w14:paraId="39AF75C4">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2、询价响应文件</w:t>
      </w:r>
      <w:r>
        <w:rPr>
          <w:rFonts w:hint="eastAsia" w:asciiTheme="minorEastAsia" w:hAnsiTheme="minorEastAsia" w:eastAsiaTheme="minorEastAsia" w:cstheme="minorEastAsia"/>
          <w:color w:val="auto"/>
          <w:sz w:val="24"/>
          <w:szCs w:val="24"/>
          <w:lang w:val="en-US" w:eastAsia="zh-CN"/>
        </w:rPr>
        <w:t>应装订成册，装入一个密封袋里，并在外包装上准确标明“</w:t>
      </w:r>
      <w:r>
        <w:rPr>
          <w:rFonts w:hint="eastAsia" w:asciiTheme="minorEastAsia" w:hAnsiTheme="minorEastAsia" w:cstheme="minorEastAsia"/>
          <w:color w:val="auto"/>
          <w:sz w:val="24"/>
          <w:szCs w:val="24"/>
          <w:lang w:val="en-US" w:eastAsia="zh-CN"/>
        </w:rPr>
        <w:t>询价响应</w:t>
      </w:r>
      <w:r>
        <w:rPr>
          <w:rFonts w:hint="eastAsia" w:asciiTheme="minorEastAsia" w:hAnsiTheme="minorEastAsia" w:eastAsiaTheme="minorEastAsia" w:cstheme="minorEastAsia"/>
          <w:color w:val="auto"/>
          <w:sz w:val="24"/>
          <w:szCs w:val="24"/>
          <w:lang w:val="en-US" w:eastAsia="zh-CN"/>
        </w:rPr>
        <w:t>文件”、“项目名称”和“供应商名称”</w:t>
      </w:r>
      <w:r>
        <w:rPr>
          <w:rFonts w:hint="eastAsia" w:asciiTheme="minorEastAsia" w:hAnsiTheme="minorEastAsia" w:cstheme="minorEastAsia"/>
          <w:color w:val="auto"/>
          <w:sz w:val="24"/>
          <w:szCs w:val="24"/>
          <w:lang w:val="en-US" w:eastAsia="zh-CN"/>
        </w:rPr>
        <w:t>并</w:t>
      </w:r>
      <w:r>
        <w:rPr>
          <w:rFonts w:hint="eastAsia" w:asciiTheme="minorEastAsia" w:hAnsiTheme="minorEastAsia" w:eastAsiaTheme="minorEastAsia" w:cstheme="minorEastAsia"/>
          <w:color w:val="auto"/>
          <w:sz w:val="24"/>
          <w:szCs w:val="24"/>
          <w:lang w:val="en-US" w:eastAsia="zh-CN"/>
        </w:rPr>
        <w:t>加盖单位公章。</w:t>
      </w:r>
    </w:p>
    <w:p w14:paraId="7F131A3F">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3、询价响应文件采用</w:t>
      </w:r>
      <w:r>
        <w:rPr>
          <w:rFonts w:hint="eastAsia" w:asciiTheme="minorEastAsia" w:hAnsiTheme="minorEastAsia" w:eastAsiaTheme="minorEastAsia" w:cstheme="minorEastAsia"/>
          <w:color w:val="auto"/>
          <w:sz w:val="24"/>
          <w:szCs w:val="24"/>
          <w:lang w:val="en-US" w:eastAsia="zh-CN"/>
        </w:rPr>
        <w:t>现场</w:t>
      </w:r>
      <w:r>
        <w:rPr>
          <w:rFonts w:hint="eastAsia" w:asciiTheme="minorEastAsia" w:hAnsiTheme="minorEastAsia" w:cstheme="minorEastAsia"/>
          <w:color w:val="auto"/>
          <w:sz w:val="24"/>
          <w:szCs w:val="24"/>
          <w:lang w:val="en-US" w:eastAsia="zh-CN"/>
        </w:rPr>
        <w:t>提交</w:t>
      </w:r>
      <w:r>
        <w:rPr>
          <w:rFonts w:hint="eastAsia" w:asciiTheme="minorEastAsia" w:hAnsiTheme="minorEastAsia" w:eastAsiaTheme="minorEastAsia" w:cstheme="minorEastAsia"/>
          <w:color w:val="auto"/>
          <w:sz w:val="24"/>
          <w:szCs w:val="24"/>
          <w:lang w:val="en-US" w:eastAsia="zh-CN"/>
        </w:rPr>
        <w:t>的方式。</w:t>
      </w:r>
    </w:p>
    <w:p w14:paraId="3FB6EE35">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rPr>
      </w:pPr>
      <w:r>
        <w:rPr>
          <w:rFonts w:hint="eastAsia" w:asciiTheme="minorEastAsia" w:hAnsiTheme="minorEastAsia" w:cstheme="minorEastAsia"/>
          <w:b/>
          <w:bCs/>
          <w:color w:val="auto"/>
          <w:sz w:val="24"/>
          <w:szCs w:val="24"/>
          <w:lang w:val="en-US" w:eastAsia="zh-CN"/>
        </w:rPr>
        <w:t>十</w:t>
      </w:r>
      <w:r>
        <w:rPr>
          <w:rFonts w:hint="eastAsia" w:asciiTheme="minorEastAsia" w:hAnsiTheme="minorEastAsia" w:eastAsiaTheme="minorEastAsia" w:cstheme="minorEastAsia"/>
          <w:b/>
          <w:bCs/>
          <w:color w:val="auto"/>
          <w:sz w:val="24"/>
          <w:szCs w:val="24"/>
          <w:lang w:val="en-US" w:eastAsia="zh-CN"/>
        </w:rPr>
        <w:t>、</w:t>
      </w:r>
      <w:r>
        <w:rPr>
          <w:rFonts w:hint="eastAsia" w:ascii="宋体" w:hAnsi="宋体" w:eastAsia="宋体" w:cs="宋体"/>
          <w:b/>
          <w:bCs/>
          <w:color w:val="auto"/>
          <w:sz w:val="24"/>
        </w:rPr>
        <w:t>评审方法和定标原则</w:t>
      </w:r>
    </w:p>
    <w:p w14:paraId="55807A26">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default" w:ascii="宋体" w:hAnsi="宋体" w:eastAsia="宋体" w:cs="宋体"/>
          <w:color w:val="auto"/>
          <w:sz w:val="24"/>
          <w:lang w:val="en-US"/>
        </w:rPr>
      </w:pPr>
      <w:r>
        <w:rPr>
          <w:rFonts w:hint="eastAsia" w:ascii="宋体" w:hAnsi="宋体" w:eastAsia="宋体" w:cs="宋体"/>
          <w:color w:val="auto"/>
          <w:sz w:val="24"/>
        </w:rPr>
        <w:t>1、</w:t>
      </w:r>
      <w:r>
        <w:rPr>
          <w:rFonts w:hint="eastAsia" w:asciiTheme="minorEastAsia" w:hAnsiTheme="minorEastAsia" w:cstheme="minorEastAsia"/>
          <w:color w:val="auto"/>
          <w:sz w:val="24"/>
          <w:szCs w:val="24"/>
          <w:lang w:val="en-US" w:eastAsia="zh-CN"/>
        </w:rPr>
        <w:t>询价响应文件应当按照询价文件要求编制，未按询价文件要求编制的，其询价响应文件</w:t>
      </w:r>
      <w:r>
        <w:rPr>
          <w:rFonts w:hint="eastAsia" w:ascii="宋体" w:hAnsi="宋体" w:eastAsia="宋体" w:cs="宋体"/>
          <w:b w:val="0"/>
          <w:bCs w:val="0"/>
          <w:sz w:val="24"/>
          <w:szCs w:val="24"/>
          <w:lang w:val="en-US" w:eastAsia="zh-CN"/>
        </w:rPr>
        <w:t>无效。</w:t>
      </w:r>
    </w:p>
    <w:p w14:paraId="6C55B8E3">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投标总报价不得超上限价，</w:t>
      </w:r>
      <w:r>
        <w:rPr>
          <w:rFonts w:hint="eastAsia" w:ascii="宋体" w:hAnsi="宋体" w:eastAsia="宋体" w:cs="宋体"/>
          <w:color w:val="auto"/>
          <w:sz w:val="24"/>
          <w:lang w:val="en-US" w:eastAsia="zh-CN"/>
        </w:rPr>
        <w:t>单项投标报价不得超过单项</w:t>
      </w:r>
      <w:r>
        <w:rPr>
          <w:rFonts w:hint="eastAsia" w:ascii="宋体" w:hAnsi="宋体" w:eastAsia="宋体" w:cs="宋体"/>
          <w:color w:val="auto"/>
          <w:sz w:val="24"/>
          <w:lang w:eastAsia="zh-CN"/>
        </w:rPr>
        <w:t>上限价。</w:t>
      </w:r>
    </w:p>
    <w:p w14:paraId="2F319603">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本次采购的评审方法采用最低评标价法。</w:t>
      </w:r>
      <w:r>
        <w:rPr>
          <w:rFonts w:hint="eastAsia" w:ascii="宋体" w:hAnsi="宋体" w:eastAsia="宋体" w:cs="宋体"/>
          <w:color w:val="auto"/>
          <w:sz w:val="24"/>
          <w:lang w:eastAsia="zh-CN"/>
        </w:rPr>
        <w:t>（</w:t>
      </w:r>
      <w:r>
        <w:rPr>
          <w:rFonts w:hint="eastAsia" w:ascii="宋体" w:hAnsi="宋体" w:eastAsia="宋体" w:cs="宋体"/>
          <w:color w:val="auto"/>
          <w:sz w:val="24"/>
        </w:rPr>
        <w:t>本项目为非专门面向中小企业采购项目。注：符合政府采购政策的，根据对应情形，小微企业投标的对报价给予10%的价格扣除，用扣除后的价格参与评审；大、中型企业投标，小微企业货物采购份额占到合同总金额30%以上的，对报价给予4%的价格扣除，用扣除后的价格参与评审。</w:t>
      </w:r>
      <w:r>
        <w:rPr>
          <w:rFonts w:hint="eastAsia" w:ascii="宋体" w:hAnsi="宋体" w:eastAsia="宋体" w:cs="宋体"/>
          <w:color w:val="auto"/>
          <w:sz w:val="24"/>
          <w:lang w:val="en-US" w:eastAsia="zh-CN"/>
        </w:rPr>
        <w:t>符合</w:t>
      </w:r>
      <w:r>
        <w:rPr>
          <w:rFonts w:hint="eastAsia" w:ascii="宋体" w:hAnsi="宋体" w:eastAsia="宋体" w:cs="宋体"/>
          <w:color w:val="auto"/>
          <w:sz w:val="24"/>
        </w:rPr>
        <w:t>政府采购政策</w:t>
      </w:r>
      <w:r>
        <w:rPr>
          <w:rFonts w:hint="eastAsia" w:ascii="宋体" w:hAnsi="宋体" w:eastAsia="宋体" w:cs="宋体"/>
          <w:color w:val="auto"/>
          <w:sz w:val="24"/>
          <w:lang w:val="en-US" w:eastAsia="zh-CN"/>
        </w:rPr>
        <w:t>的，</w:t>
      </w:r>
      <w:r>
        <w:rPr>
          <w:rFonts w:hint="eastAsia" w:ascii="宋体" w:hAnsi="宋体" w:eastAsia="宋体" w:cs="宋体"/>
          <w:color w:val="auto"/>
          <w:sz w:val="24"/>
        </w:rPr>
        <w:t>扣除后参与评审的价格</w:t>
      </w:r>
      <w:r>
        <w:rPr>
          <w:rFonts w:hint="eastAsia" w:ascii="宋体" w:hAnsi="宋体" w:eastAsia="宋体" w:cs="宋体"/>
          <w:color w:val="auto"/>
          <w:sz w:val="24"/>
          <w:lang w:val="en-US" w:eastAsia="zh-CN"/>
        </w:rPr>
        <w:t>作为评审价，不符合</w:t>
      </w:r>
      <w:r>
        <w:rPr>
          <w:rFonts w:hint="eastAsia" w:ascii="宋体" w:hAnsi="宋体" w:eastAsia="宋体" w:cs="宋体"/>
          <w:color w:val="auto"/>
          <w:sz w:val="24"/>
        </w:rPr>
        <w:t>政府采购政策</w:t>
      </w:r>
      <w:r>
        <w:rPr>
          <w:rFonts w:hint="eastAsia" w:ascii="宋体" w:hAnsi="宋体" w:eastAsia="宋体" w:cs="宋体"/>
          <w:color w:val="auto"/>
          <w:sz w:val="24"/>
          <w:lang w:val="en-US" w:eastAsia="zh-CN"/>
        </w:rPr>
        <w:t>的，投标人的投标报价作为评审价。</w:t>
      </w:r>
      <w:r>
        <w:rPr>
          <w:rFonts w:hint="eastAsia" w:ascii="宋体" w:hAnsi="宋体" w:eastAsia="宋体" w:cs="宋体"/>
          <w:color w:val="auto"/>
          <w:sz w:val="24"/>
        </w:rPr>
        <w:t>）</w:t>
      </w:r>
      <w:r>
        <w:rPr>
          <w:rFonts w:hint="eastAsia" w:ascii="宋体" w:hAnsi="宋体" w:eastAsia="宋体" w:cs="宋体"/>
          <w:color w:val="auto"/>
          <w:sz w:val="24"/>
          <w:lang w:eastAsia="zh-CN"/>
        </w:rPr>
        <w:t>询价</w:t>
      </w:r>
      <w:r>
        <w:rPr>
          <w:rFonts w:hint="eastAsia" w:ascii="宋体" w:hAnsi="宋体" w:eastAsia="宋体" w:cs="宋体"/>
          <w:color w:val="auto"/>
          <w:sz w:val="24"/>
        </w:rPr>
        <w:t>小组从质量和服务均能满足</w:t>
      </w:r>
      <w:r>
        <w:rPr>
          <w:rFonts w:hint="eastAsia" w:ascii="宋体" w:hAnsi="宋体" w:eastAsia="宋体" w:cs="宋体"/>
          <w:color w:val="auto"/>
          <w:sz w:val="24"/>
          <w:lang w:eastAsia="zh-CN"/>
        </w:rPr>
        <w:t>采购要求、</w:t>
      </w:r>
      <w:r>
        <w:rPr>
          <w:rFonts w:hint="eastAsia" w:ascii="宋体" w:hAnsi="宋体" w:eastAsia="宋体" w:cs="宋体"/>
          <w:color w:val="auto"/>
          <w:sz w:val="24"/>
        </w:rPr>
        <w:t>实质性响应</w:t>
      </w:r>
      <w:r>
        <w:rPr>
          <w:rFonts w:hint="eastAsia" w:ascii="宋体" w:hAnsi="宋体" w:eastAsia="宋体" w:cs="宋体"/>
          <w:color w:val="auto"/>
          <w:sz w:val="24"/>
          <w:lang w:eastAsia="zh-CN"/>
        </w:rPr>
        <w:t>采购</w:t>
      </w:r>
      <w:r>
        <w:rPr>
          <w:rFonts w:hint="eastAsia" w:ascii="宋体" w:hAnsi="宋体" w:eastAsia="宋体" w:cs="宋体"/>
          <w:color w:val="auto"/>
          <w:sz w:val="24"/>
        </w:rPr>
        <w:t>要求的供应商中，按照</w:t>
      </w:r>
      <w:r>
        <w:rPr>
          <w:rFonts w:hint="eastAsia" w:ascii="宋体" w:hAnsi="宋体" w:eastAsia="宋体" w:cs="宋体"/>
          <w:color w:val="auto"/>
          <w:sz w:val="24"/>
          <w:lang w:val="en-US" w:eastAsia="zh-CN"/>
        </w:rPr>
        <w:t>评审价</w:t>
      </w:r>
      <w:r>
        <w:rPr>
          <w:rFonts w:hint="eastAsia" w:ascii="宋体" w:hAnsi="宋体" w:eastAsia="宋体" w:cs="宋体"/>
          <w:color w:val="auto"/>
          <w:sz w:val="24"/>
        </w:rPr>
        <w:t>由低到高的顺序</w:t>
      </w:r>
      <w:r>
        <w:rPr>
          <w:rFonts w:hint="eastAsia" w:ascii="宋体" w:hAnsi="宋体" w:eastAsia="宋体" w:cs="宋体"/>
          <w:color w:val="auto"/>
          <w:sz w:val="24"/>
          <w:lang w:eastAsia="zh-CN"/>
        </w:rPr>
        <w:t>排列，确定排名第一的供应商为成交候选人</w:t>
      </w:r>
      <w:r>
        <w:rPr>
          <w:rFonts w:hint="eastAsia" w:ascii="宋体" w:hAnsi="宋体" w:eastAsia="宋体" w:cs="宋体"/>
          <w:color w:val="auto"/>
          <w:sz w:val="24"/>
        </w:rPr>
        <w:t>。如</w:t>
      </w:r>
      <w:r>
        <w:rPr>
          <w:rFonts w:hint="eastAsia" w:ascii="宋体" w:hAnsi="宋体" w:eastAsia="宋体" w:cs="宋体"/>
          <w:color w:val="auto"/>
          <w:sz w:val="24"/>
          <w:lang w:val="en-US" w:eastAsia="zh-CN"/>
        </w:rPr>
        <w:t>评审价</w:t>
      </w:r>
      <w:r>
        <w:rPr>
          <w:rFonts w:hint="eastAsia" w:ascii="宋体" w:hAnsi="宋体" w:eastAsia="宋体" w:cs="宋体"/>
          <w:color w:val="auto"/>
          <w:sz w:val="24"/>
        </w:rPr>
        <w:t>相同，则</w:t>
      </w:r>
      <w:r>
        <w:rPr>
          <w:rFonts w:hint="eastAsia" w:ascii="宋体" w:hAnsi="宋体" w:eastAsia="宋体" w:cs="宋体"/>
          <w:color w:val="auto"/>
          <w:sz w:val="24"/>
          <w:lang w:val="en-US" w:eastAsia="zh-CN"/>
        </w:rPr>
        <w:t>评审价</w:t>
      </w:r>
      <w:r>
        <w:rPr>
          <w:rFonts w:hint="eastAsia" w:ascii="宋体" w:hAnsi="宋体" w:eastAsia="宋体" w:cs="宋体"/>
          <w:color w:val="auto"/>
          <w:sz w:val="24"/>
        </w:rPr>
        <w:t>最低的</w:t>
      </w:r>
      <w:r>
        <w:rPr>
          <w:rFonts w:hint="eastAsia" w:ascii="宋体" w:hAnsi="宋体" w:eastAsia="宋体" w:cs="宋体"/>
          <w:color w:val="auto"/>
          <w:sz w:val="24"/>
          <w:lang w:eastAsia="zh-CN"/>
        </w:rPr>
        <w:t>供应商</w:t>
      </w:r>
      <w:r>
        <w:rPr>
          <w:rFonts w:hint="eastAsia" w:ascii="宋体" w:hAnsi="宋体" w:eastAsia="宋体" w:cs="宋体"/>
          <w:color w:val="auto"/>
          <w:sz w:val="24"/>
        </w:rPr>
        <w:t>以抽签方式确定成交候选人</w:t>
      </w:r>
      <w:r>
        <w:rPr>
          <w:rFonts w:hint="eastAsia" w:ascii="宋体" w:hAnsi="宋体" w:eastAsia="宋体" w:cs="宋体"/>
          <w:color w:val="auto"/>
          <w:sz w:val="24"/>
          <w:lang w:eastAsia="zh-CN"/>
        </w:rPr>
        <w:t>。</w:t>
      </w:r>
    </w:p>
    <w:p w14:paraId="2960C51D">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询价</w:t>
      </w:r>
      <w:r>
        <w:rPr>
          <w:rFonts w:hint="eastAsia" w:ascii="宋体" w:hAnsi="宋体" w:eastAsia="宋体" w:cs="宋体"/>
          <w:color w:val="auto"/>
          <w:sz w:val="24"/>
        </w:rPr>
        <w:t>小组不向未成交</w:t>
      </w:r>
      <w:r>
        <w:rPr>
          <w:rFonts w:hint="eastAsia" w:hAnsi="宋体" w:eastAsia="宋体" w:cs="宋体"/>
          <w:color w:val="auto"/>
          <w:sz w:val="24"/>
          <w:lang w:eastAsia="zh-CN"/>
        </w:rPr>
        <w:t>供应商</w:t>
      </w:r>
      <w:r>
        <w:rPr>
          <w:rFonts w:hint="eastAsia" w:ascii="宋体" w:hAnsi="宋体" w:eastAsia="宋体" w:cs="宋体"/>
          <w:color w:val="auto"/>
          <w:sz w:val="24"/>
        </w:rPr>
        <w:t>解释落标具体原因，不退还</w:t>
      </w:r>
      <w:r>
        <w:rPr>
          <w:rFonts w:hint="eastAsia" w:hAnsi="宋体" w:eastAsia="宋体" w:cs="宋体"/>
          <w:color w:val="auto"/>
          <w:sz w:val="24"/>
          <w:lang w:eastAsia="zh-CN"/>
        </w:rPr>
        <w:t>询价</w:t>
      </w:r>
      <w:r>
        <w:rPr>
          <w:rFonts w:hint="eastAsia" w:ascii="宋体" w:hAnsi="宋体" w:eastAsia="宋体" w:cs="宋体"/>
          <w:color w:val="auto"/>
          <w:sz w:val="24"/>
        </w:rPr>
        <w:t>文件</w:t>
      </w:r>
      <w:r>
        <w:rPr>
          <w:rFonts w:hint="eastAsia" w:ascii="宋体" w:hAnsi="宋体" w:eastAsia="宋体" w:cs="宋体"/>
          <w:color w:val="auto"/>
          <w:sz w:val="24"/>
          <w:lang w:eastAsia="zh-CN"/>
        </w:rPr>
        <w:t>。</w:t>
      </w:r>
    </w:p>
    <w:p w14:paraId="252FBB21">
      <w:pPr>
        <w:autoSpaceDE w:val="0"/>
        <w:autoSpaceDN w:val="0"/>
        <w:adjustRightInd w:val="0"/>
        <w:spacing w:line="360" w:lineRule="auto"/>
        <w:ind w:firstLine="480" w:firstLineChars="2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24"/>
          <w:szCs w:val="22"/>
          <w:lang w:val="en-US" w:eastAsia="zh-CN" w:bidi="ar-SA"/>
        </w:rPr>
        <w:t>政府采购政策：</w:t>
      </w:r>
    </w:p>
    <w:p w14:paraId="47E7F9FE">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宋体" w:eastAsia="宋体" w:cs="Times New Roman"/>
          <w:color w:val="auto"/>
          <w:kern w:val="0"/>
          <w:sz w:val="24"/>
          <w:szCs w:val="24"/>
          <w:highlight w:val="none"/>
        </w:rPr>
        <w:t>（一）</w:t>
      </w:r>
      <w:r>
        <w:rPr>
          <w:rFonts w:hint="eastAsia" w:ascii="宋体" w:hAnsi="Times New Roman" w:eastAsia="宋体" w:cs="Times New Roman"/>
          <w:color w:val="auto"/>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1B10B02">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二</w:t>
      </w:r>
      <w:r>
        <w:rPr>
          <w:rFonts w:hint="eastAsia" w:ascii="宋体" w:hAnsi="宋体" w:eastAsia="宋体" w:cs="Times New Roman"/>
          <w:color w:val="auto"/>
          <w:kern w:val="0"/>
          <w:sz w:val="24"/>
          <w:szCs w:val="24"/>
          <w:highlight w:val="none"/>
        </w:rPr>
        <w:t>）</w:t>
      </w:r>
      <w:r>
        <w:rPr>
          <w:rFonts w:hint="eastAsia" w:ascii="宋体" w:hAnsi="Times New Roman" w:eastAsia="宋体" w:cs="Times New Roman"/>
          <w:color w:val="auto"/>
          <w:sz w:val="24"/>
          <w:szCs w:val="24"/>
          <w:highlight w:val="none"/>
        </w:rPr>
        <w:t>支持绿色发展</w:t>
      </w:r>
    </w:p>
    <w:p w14:paraId="5587C8A4">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w:t>
      </w:r>
      <w:r>
        <w:rPr>
          <w:rFonts w:hint="eastAsia" w:ascii="宋体" w:hAnsi="Times New Roman" w:eastAsia="宋体" w:cs="Times New Roman"/>
          <w:color w:val="auto"/>
          <w:sz w:val="24"/>
          <w:szCs w:val="24"/>
          <w:highlight w:val="none"/>
          <w:lang w:val="en-US" w:eastAsia="zh-CN"/>
        </w:rPr>
        <w:t>.</w:t>
      </w:r>
      <w:r>
        <w:rPr>
          <w:rFonts w:hint="eastAsia" w:ascii="宋体" w:hAnsi="Times New Roman" w:eastAsia="宋体" w:cs="Times New Roman"/>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697B3A6E">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2. 纳入政府采购管理的修缮、装修类项目采购建材的，鼓励采购单位将绿色建材性能、指标等作为实质性条件纳入采购文件和合同，具体性能指标要求参考相关绿色建材政府采购需求标准。</w:t>
      </w:r>
    </w:p>
    <w:p w14:paraId="384389E5">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 w:name="_Hlk107568539"/>
      <w:r>
        <w:rPr>
          <w:rFonts w:hint="eastAsia" w:ascii="宋体" w:hAnsi="Times New Roman" w:eastAsia="宋体" w:cs="Times New Roman"/>
          <w:color w:val="auto"/>
          <w:sz w:val="24"/>
          <w:szCs w:val="24"/>
          <w:highlight w:val="none"/>
        </w:rPr>
        <w:t>鼓励采购单位优先采购秸秆环保板材等资源综合利用产品。鼓励采购单位优先采购绿色物流配送服务、提供新能源交通工具的租赁服务。</w:t>
      </w:r>
    </w:p>
    <w:p w14:paraId="4EB258E3">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w:t>
      </w:r>
      <w:r>
        <w:rPr>
          <w:rFonts w:hint="eastAsia" w:ascii="宋体" w:hAnsi="Times New Roman" w:eastAsia="宋体" w:cs="Times New Roman"/>
          <w:color w:val="auto"/>
          <w:sz w:val="24"/>
          <w:szCs w:val="24"/>
          <w:highlight w:val="none"/>
          <w:lang w:val="en-US" w:eastAsia="zh-CN"/>
        </w:rPr>
        <w:t>.</w:t>
      </w:r>
      <w:r>
        <w:rPr>
          <w:rFonts w:hint="eastAsia" w:ascii="宋体" w:hAnsi="Times New Roman" w:eastAsia="宋体" w:cs="Times New Roman"/>
          <w:color w:val="auto"/>
          <w:sz w:val="24"/>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bookmarkEnd w:id="2"/>
    </w:p>
    <w:p w14:paraId="3C7691D8">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三</w:t>
      </w:r>
      <w:r>
        <w:rPr>
          <w:rFonts w:hint="eastAsia" w:ascii="宋体" w:hAnsi="宋体" w:eastAsia="宋体" w:cs="Times New Roman"/>
          <w:color w:val="auto"/>
          <w:kern w:val="0"/>
          <w:sz w:val="24"/>
          <w:szCs w:val="24"/>
          <w:highlight w:val="none"/>
        </w:rPr>
        <w:t>）</w:t>
      </w:r>
      <w:r>
        <w:rPr>
          <w:rFonts w:hint="eastAsia" w:ascii="宋体" w:hAnsi="Times New Roman" w:eastAsia="宋体" w:cs="Times New Roman"/>
          <w:color w:val="auto"/>
          <w:sz w:val="24"/>
          <w:szCs w:val="24"/>
          <w:highlight w:val="none"/>
        </w:rPr>
        <w:t>支持中小企业发展</w:t>
      </w:r>
    </w:p>
    <w:p w14:paraId="26FF0D81">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lang w:val="zh-CN"/>
        </w:rPr>
      </w:pPr>
      <w:r>
        <w:rPr>
          <w:rFonts w:hint="eastAsia" w:ascii="宋体" w:hAnsi="Times New Roman" w:eastAsia="宋体" w:cs="Times New Roman"/>
          <w:color w:val="auto"/>
          <w:sz w:val="24"/>
          <w:szCs w:val="24"/>
          <w:highlight w:val="none"/>
          <w:lang w:val="zh-CN"/>
        </w:rPr>
        <w:t>经主管预算单位统筹后未预留份额专门面向中小企业采购的采购项目，以及预留份额项目中的非预留部分：对小微企业报价给予10%-20%的扣除，用扣除后的价格计算评标基准价和投标报价。联合体各方均为小微企业的，联合体视同为小微企业，对报价给予10%-20%的扣除；联合协议或者分包意向协议约定小微企业的合同份额占到合同总金额</w:t>
      </w:r>
      <w:r>
        <w:rPr>
          <w:rFonts w:hint="eastAsia" w:ascii="宋体" w:hAnsi="Times New Roman" w:eastAsia="宋体" w:cs="Times New Roman"/>
          <w:color w:val="auto"/>
          <w:sz w:val="24"/>
          <w:szCs w:val="24"/>
          <w:highlight w:val="none"/>
        </w:rPr>
        <w:t>30</w:t>
      </w:r>
      <w:r>
        <w:rPr>
          <w:rFonts w:hint="eastAsia" w:ascii="宋体" w:hAnsi="Times New Roman" w:eastAsia="宋体" w:cs="Times New Roman"/>
          <w:color w:val="auto"/>
          <w:sz w:val="24"/>
          <w:szCs w:val="24"/>
          <w:highlight w:val="none"/>
          <w:lang w:val="zh-CN"/>
        </w:rPr>
        <w:t>%以上的，对报价给予4%-6%的价格扣除，用扣除后的价格计算评标基准价和响应报价。同一投标人（包括联合体），小微企业、监狱企业、残疾人福利性单位价格扣除优惠只享受一次，不得重复享受。</w:t>
      </w:r>
    </w:p>
    <w:p w14:paraId="42B4699B">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w:t>
      </w:r>
      <w:r>
        <w:rPr>
          <w:rFonts w:hint="eastAsia" w:ascii="宋体" w:hAnsi="Times New Roman" w:eastAsia="宋体" w:cs="Times New Roman"/>
          <w:color w:val="auto"/>
          <w:sz w:val="24"/>
          <w:szCs w:val="24"/>
          <w:highlight w:val="none"/>
          <w:lang w:val="en-US" w:eastAsia="zh-CN"/>
        </w:rPr>
        <w:t>.</w:t>
      </w:r>
      <w:r>
        <w:rPr>
          <w:rFonts w:hint="eastAsia" w:ascii="宋体" w:hAnsi="Times New Roman" w:eastAsia="宋体" w:cs="Times New Roman"/>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558F32F">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符合中小企业划分标准的个体工商户，在政府采购活动中视同中小企业。</w:t>
      </w:r>
    </w:p>
    <w:p w14:paraId="4C8C11C2">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2.</w:t>
      </w:r>
      <w:r>
        <w:rPr>
          <w:rFonts w:hint="eastAsia" w:ascii="宋体" w:hAnsi="Times New Roman" w:eastAsia="宋体" w:cs="Times New Roman"/>
          <w:color w:val="auto"/>
          <w:sz w:val="24"/>
          <w:szCs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BC159EA">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以联合体形式参加政府采购活动，联合体各方均为中小企业的，联合体视同中小企业。其中，联合体各方均为小微企业的，联合体视同小微企业。</w:t>
      </w:r>
    </w:p>
    <w:p w14:paraId="6C41A5BD">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3.符合《关于促进残疾人就业政府采购政策的通知》（财库〔2017〕141号）规定的条件并提供《残疾人福利性单位声明函》的残疾人福利性单位视同小型、微型企业；</w:t>
      </w:r>
    </w:p>
    <w:p w14:paraId="21A111A9">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4.</w:t>
      </w:r>
      <w:r>
        <w:rPr>
          <w:rFonts w:hint="eastAsia" w:ascii="宋体" w:hAnsi="Times New Roman" w:eastAsia="宋体" w:cs="Times New Roman"/>
          <w:color w:val="auto"/>
          <w:sz w:val="24"/>
          <w:szCs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79BB009">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5.</w:t>
      </w:r>
      <w:r>
        <w:rPr>
          <w:rFonts w:hint="eastAsia" w:ascii="宋体" w:hAnsi="Times New Roman" w:eastAsia="宋体" w:cs="Times New Roman"/>
          <w:color w:val="auto"/>
          <w:sz w:val="24"/>
          <w:szCs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C5F082D">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6.</w:t>
      </w:r>
      <w:r>
        <w:rPr>
          <w:rFonts w:hint="eastAsia" w:ascii="宋体" w:hAnsi="Times New Roman" w:eastAsia="宋体" w:cs="Times New Roman"/>
          <w:color w:val="auto"/>
          <w:sz w:val="24"/>
          <w:szCs w:val="24"/>
          <w:highlight w:val="none"/>
        </w:rPr>
        <w:t>中小企业享受扶持政策获得政府采购合同的，小微企业不得将合同分包给大中型企业，中型企业不得将合同分包给大型企业。</w:t>
      </w:r>
    </w:p>
    <w:p w14:paraId="3BC89875">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w:t>
      </w:r>
      <w:r>
        <w:rPr>
          <w:rFonts w:hint="eastAsia" w:ascii="宋体" w:hAnsi="Times New Roman" w:eastAsia="宋体" w:cs="Times New Roman"/>
          <w:color w:val="auto"/>
          <w:sz w:val="24"/>
          <w:szCs w:val="24"/>
          <w:highlight w:val="none"/>
          <w:lang w:val="en-US" w:eastAsia="zh-CN"/>
        </w:rPr>
        <w:t>四</w:t>
      </w:r>
      <w:r>
        <w:rPr>
          <w:rFonts w:hint="eastAsia" w:ascii="宋体" w:hAnsi="Times New Roman" w:eastAsia="宋体" w:cs="Times New Roman"/>
          <w:color w:val="auto"/>
          <w:sz w:val="24"/>
          <w:szCs w:val="24"/>
          <w:highlight w:val="none"/>
        </w:rPr>
        <w:t>）支持创新发展</w:t>
      </w:r>
    </w:p>
    <w:p w14:paraId="33272D0F">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1.</w:t>
      </w:r>
      <w:r>
        <w:rPr>
          <w:rFonts w:hint="eastAsia" w:ascii="宋体" w:hAnsi="Times New Roman" w:eastAsia="宋体" w:cs="Times New Roman"/>
          <w:color w:val="auto"/>
          <w:sz w:val="24"/>
          <w:szCs w:val="24"/>
          <w:highlight w:val="none"/>
        </w:rPr>
        <w:t>采购人优先采购被认定为首台套产品和“制造精品”的自主创新产品。</w:t>
      </w:r>
    </w:p>
    <w:p w14:paraId="29F103BB">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2.</w:t>
      </w:r>
      <w:r>
        <w:rPr>
          <w:rFonts w:hint="eastAsia" w:ascii="宋体" w:hAnsi="Times New Roman" w:eastAsia="宋体" w:cs="Times New Roman"/>
          <w:color w:val="auto"/>
          <w:sz w:val="24"/>
          <w:szCs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9949F67">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3.</w:t>
      </w:r>
      <w:r>
        <w:rPr>
          <w:rFonts w:hint="eastAsia" w:ascii="宋体" w:hAnsi="Times New Roman" w:eastAsia="宋体" w:cs="Times New Roman"/>
          <w:color w:val="auto"/>
          <w:sz w:val="24"/>
          <w:szCs w:val="24"/>
          <w:highlight w:val="none"/>
        </w:rPr>
        <w:t>平等对待内外资企业和符合条件的破产重整企业</w:t>
      </w:r>
    </w:p>
    <w:p w14:paraId="1091E312">
      <w:pPr>
        <w:autoSpaceDE w:val="0"/>
        <w:autoSpaceDN w:val="0"/>
        <w:adjustRightIn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4.</w:t>
      </w:r>
      <w:r>
        <w:rPr>
          <w:rFonts w:hint="eastAsia" w:ascii="宋体" w:hAnsi="Times New Roman" w:eastAsia="宋体" w:cs="Times New Roman"/>
          <w:color w:val="auto"/>
          <w:sz w:val="24"/>
          <w:szCs w:val="24"/>
          <w:highlight w:val="none"/>
        </w:rPr>
        <w:t>平等对待内外资企业和符合条件的破产重整企业，切实保障企业公平竞争，平等维护企业的合法利益。</w:t>
      </w:r>
    </w:p>
    <w:p w14:paraId="5D0BFD52">
      <w:pPr>
        <w:pStyle w:val="21"/>
        <w:keepNext w:val="0"/>
        <w:keepLines w:val="0"/>
        <w:pageBreakBefore w:val="0"/>
        <w:numPr>
          <w:ilvl w:val="0"/>
          <w:numId w:val="0"/>
        </w:numPr>
        <w:kinsoku/>
        <w:wordWrap/>
        <w:overflowPunct/>
        <w:topLinePunct w:val="0"/>
        <w:autoSpaceDE/>
        <w:autoSpaceDN/>
        <w:bidi w:val="0"/>
        <w:adjustRightInd/>
        <w:snapToGrid/>
        <w:spacing w:line="520" w:lineRule="exact"/>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十一、询价</w:t>
      </w:r>
      <w:r>
        <w:rPr>
          <w:rFonts w:hint="eastAsia" w:asciiTheme="minorEastAsia" w:hAnsiTheme="minorEastAsia" w:eastAsiaTheme="minorEastAsia" w:cstheme="minorEastAsia"/>
          <w:b/>
          <w:bCs/>
          <w:color w:val="auto"/>
          <w:sz w:val="24"/>
          <w:szCs w:val="24"/>
          <w:lang w:val="en-US" w:eastAsia="zh-CN"/>
        </w:rPr>
        <w:t>响应文件格式</w:t>
      </w:r>
    </w:p>
    <w:p w14:paraId="52D75B77">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详见附件。</w:t>
      </w:r>
    </w:p>
    <w:p w14:paraId="300C9AC8">
      <w:pPr>
        <w:pStyle w:val="21"/>
        <w:numPr>
          <w:ilvl w:val="0"/>
          <w:numId w:val="0"/>
        </w:numPr>
        <w:rPr>
          <w:rFonts w:hint="eastAsia" w:asciiTheme="minorEastAsia" w:hAnsiTheme="minorEastAsia"/>
          <w:color w:val="auto"/>
          <w:sz w:val="28"/>
          <w:szCs w:val="28"/>
        </w:rPr>
      </w:pPr>
    </w:p>
    <w:p w14:paraId="7153EE12">
      <w:pPr>
        <w:pStyle w:val="21"/>
        <w:numPr>
          <w:ilvl w:val="0"/>
          <w:numId w:val="0"/>
        </w:numPr>
        <w:rPr>
          <w:rFonts w:hint="eastAsia" w:asciiTheme="minorEastAsia" w:hAnsiTheme="minorEastAsia"/>
          <w:color w:val="auto"/>
          <w:sz w:val="28"/>
          <w:szCs w:val="28"/>
        </w:rPr>
      </w:pPr>
    </w:p>
    <w:p w14:paraId="0A7DD5CF">
      <w:pPr>
        <w:pStyle w:val="21"/>
        <w:numPr>
          <w:ilvl w:val="0"/>
          <w:numId w:val="0"/>
        </w:numPr>
        <w:rPr>
          <w:rFonts w:hint="eastAsia" w:asciiTheme="minorEastAsia" w:hAnsiTheme="minorEastAsia"/>
          <w:color w:val="auto"/>
          <w:sz w:val="28"/>
          <w:szCs w:val="28"/>
        </w:rPr>
      </w:pPr>
    </w:p>
    <w:p w14:paraId="7404A794">
      <w:pPr>
        <w:rPr>
          <w:rFonts w:hint="eastAsia" w:asciiTheme="minorEastAsia" w:hAnsiTheme="minorEastAsia"/>
          <w:color w:val="auto"/>
          <w:sz w:val="28"/>
          <w:szCs w:val="28"/>
          <w:lang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color w:val="auto"/>
          <w:sz w:val="28"/>
          <w:szCs w:val="28"/>
          <w:lang w:eastAsia="zh-CN"/>
        </w:rPr>
        <w:br w:type="page"/>
      </w:r>
    </w:p>
    <w:p w14:paraId="3A088533">
      <w:pPr>
        <w:pStyle w:val="9"/>
        <w:snapToGrid w:val="0"/>
        <w:spacing w:line="360" w:lineRule="auto"/>
        <w:jc w:val="center"/>
        <w:rPr>
          <w:rFonts w:hint="default" w:hAnsi="宋体" w:eastAsiaTheme="minorEastAsia"/>
          <w:color w:val="auto"/>
          <w:sz w:val="24"/>
          <w:lang w:val="en-US" w:eastAsia="zh-CN"/>
        </w:rPr>
      </w:pPr>
      <w:r>
        <w:rPr>
          <w:rFonts w:hint="eastAsia" w:ascii="宋体" w:hAnsi="宋体"/>
          <w:color w:val="auto"/>
          <w:sz w:val="36"/>
          <w:szCs w:val="36"/>
          <w:highlight w:val="none"/>
        </w:rPr>
        <w:t>合同</w:t>
      </w:r>
      <w:r>
        <w:rPr>
          <w:rFonts w:hint="eastAsia" w:ascii="宋体" w:hAnsi="宋体"/>
          <w:color w:val="auto"/>
          <w:sz w:val="36"/>
          <w:szCs w:val="36"/>
          <w:highlight w:val="none"/>
          <w:lang w:val="en-US" w:eastAsia="zh-CN"/>
        </w:rPr>
        <w:t>主要条款</w:t>
      </w:r>
    </w:p>
    <w:p w14:paraId="199F711A">
      <w:pPr>
        <w:pStyle w:val="9"/>
        <w:snapToGrid w:val="0"/>
        <w:spacing w:line="360" w:lineRule="auto"/>
        <w:ind w:left="1200" w:hanging="1200" w:hangingChars="500"/>
        <w:rPr>
          <w:rFonts w:hint="eastAsia" w:hAnsi="宋体" w:eastAsiaTheme="minorEastAsia"/>
          <w:color w:val="auto"/>
          <w:sz w:val="24"/>
          <w:lang w:eastAsia="zh-CN"/>
        </w:rPr>
      </w:pPr>
      <w:r>
        <w:rPr>
          <w:rFonts w:hAnsi="宋体"/>
          <w:color w:val="auto"/>
          <w:sz w:val="24"/>
        </w:rPr>
        <w:t>项目名称</w:t>
      </w:r>
      <w:r>
        <w:rPr>
          <w:rFonts w:hint="eastAsia" w:hAnsi="宋体"/>
          <w:color w:val="auto"/>
          <w:sz w:val="24"/>
          <w:lang w:eastAsia="zh-CN"/>
        </w:rPr>
        <w:t>：台州市自然资源和规划信息中心存储光纤交换机及网络交换机扩容采购（重新发布）</w:t>
      </w:r>
    </w:p>
    <w:p w14:paraId="3A8B3B55">
      <w:pPr>
        <w:pStyle w:val="9"/>
        <w:snapToGrid w:val="0"/>
        <w:spacing w:line="360" w:lineRule="auto"/>
        <w:rPr>
          <w:rFonts w:hAnsi="宋体"/>
          <w:color w:val="auto"/>
          <w:sz w:val="24"/>
        </w:rPr>
      </w:pPr>
      <w:r>
        <w:rPr>
          <w:rFonts w:hAnsi="宋体"/>
          <w:color w:val="auto"/>
          <w:sz w:val="24"/>
        </w:rPr>
        <w:t>项目编号：</w:t>
      </w:r>
      <w:r>
        <w:rPr>
          <w:rFonts w:hint="eastAsia" w:hAnsi="宋体"/>
          <w:color w:val="auto"/>
          <w:sz w:val="24"/>
          <w:lang w:eastAsia="zh-CN"/>
        </w:rPr>
        <w:t>TZCCC-【2025】-043号-2</w:t>
      </w:r>
    </w:p>
    <w:p w14:paraId="1E0197C6">
      <w:pPr>
        <w:pStyle w:val="9"/>
        <w:snapToGrid w:val="0"/>
        <w:spacing w:line="360" w:lineRule="auto"/>
        <w:rPr>
          <w:rFonts w:hAnsi="宋体"/>
          <w:color w:val="auto"/>
          <w:sz w:val="24"/>
        </w:rPr>
      </w:pPr>
      <w:r>
        <w:rPr>
          <w:rFonts w:hAnsi="宋体"/>
          <w:color w:val="auto"/>
          <w:sz w:val="24"/>
        </w:rPr>
        <w:t>甲方：</w:t>
      </w:r>
      <w:r>
        <w:rPr>
          <w:rFonts w:hint="eastAsia" w:hAnsi="宋体"/>
          <w:color w:val="auto"/>
          <w:sz w:val="24"/>
          <w:lang w:eastAsia="zh-CN"/>
        </w:rPr>
        <w:t>台州市自然资源和规划信息中心</w:t>
      </w:r>
      <w:r>
        <w:rPr>
          <w:rFonts w:hint="eastAsia" w:hAnsi="宋体"/>
          <w:color w:val="auto"/>
          <w:sz w:val="24"/>
        </w:rPr>
        <w:t xml:space="preserve">            所在地：</w:t>
      </w:r>
      <w:r>
        <w:rPr>
          <w:rFonts w:hint="eastAsia" w:hAnsi="宋体"/>
          <w:color w:val="auto"/>
          <w:sz w:val="24"/>
          <w:lang w:eastAsia="zh-CN"/>
        </w:rPr>
        <w:t>台州</w:t>
      </w:r>
      <w:r>
        <w:rPr>
          <w:rFonts w:hint="eastAsia" w:hAnsi="宋体"/>
          <w:color w:val="auto"/>
          <w:sz w:val="24"/>
        </w:rPr>
        <w:t xml:space="preserve">                              </w:t>
      </w:r>
    </w:p>
    <w:p w14:paraId="0ED22CAB">
      <w:pPr>
        <w:pStyle w:val="9"/>
        <w:snapToGrid w:val="0"/>
        <w:spacing w:line="360" w:lineRule="auto"/>
        <w:rPr>
          <w:rFonts w:hAnsi="宋体"/>
          <w:color w:val="auto"/>
          <w:sz w:val="24"/>
        </w:rPr>
      </w:pPr>
      <w:r>
        <w:rPr>
          <w:rFonts w:hAnsi="宋体"/>
          <w:color w:val="auto"/>
          <w:sz w:val="24"/>
        </w:rPr>
        <w:t>乙方：（</w:t>
      </w:r>
      <w:r>
        <w:rPr>
          <w:rFonts w:hint="eastAsia" w:hAnsi="宋体"/>
          <w:color w:val="auto"/>
          <w:sz w:val="24"/>
        </w:rPr>
        <w:t>成交供应商</w:t>
      </w:r>
      <w:r>
        <w:rPr>
          <w:rFonts w:hAnsi="宋体"/>
          <w:color w:val="auto"/>
          <w:sz w:val="24"/>
        </w:rPr>
        <w:t>）</w:t>
      </w:r>
      <w:r>
        <w:rPr>
          <w:rFonts w:hint="eastAsia" w:hAnsi="宋体"/>
          <w:color w:val="auto"/>
          <w:sz w:val="24"/>
        </w:rPr>
        <w:t xml:space="preserve">                          所在地：</w:t>
      </w:r>
    </w:p>
    <w:p w14:paraId="7F8B53CD">
      <w:pPr>
        <w:pStyle w:val="9"/>
        <w:snapToGrid w:val="0"/>
        <w:spacing w:line="360" w:lineRule="auto"/>
        <w:ind w:firstLine="480" w:firstLineChars="200"/>
        <w:rPr>
          <w:rFonts w:hAnsi="宋体"/>
          <w:color w:val="auto"/>
          <w:sz w:val="24"/>
        </w:rPr>
      </w:pPr>
      <w:r>
        <w:rPr>
          <w:rFonts w:hAnsi="宋体"/>
          <w:color w:val="auto"/>
          <w:sz w:val="24"/>
        </w:rPr>
        <w:t>甲、乙双方</w:t>
      </w:r>
      <w:r>
        <w:rPr>
          <w:rFonts w:hint="eastAsia" w:hAnsi="宋体"/>
          <w:color w:val="auto"/>
          <w:sz w:val="24"/>
        </w:rPr>
        <w:t>关于</w:t>
      </w:r>
      <w:r>
        <w:rPr>
          <w:rFonts w:hint="eastAsia" w:hAnsi="宋体"/>
          <w:color w:val="auto"/>
          <w:sz w:val="24"/>
          <w:u w:val="single"/>
          <w:lang w:eastAsia="zh-CN"/>
        </w:rPr>
        <w:t>台州市自然资源和规划信息中心存储光纤交换机及网络交换机扩容采购（重新发布）</w:t>
      </w:r>
      <w:r>
        <w:rPr>
          <w:rFonts w:hint="eastAsia" w:hAnsi="宋体"/>
          <w:color w:val="auto"/>
          <w:sz w:val="24"/>
          <w:u w:val="none"/>
          <w:lang w:eastAsia="zh-CN"/>
        </w:rPr>
        <w:t>询价</w:t>
      </w:r>
      <w:r>
        <w:rPr>
          <w:rFonts w:hAnsi="宋体"/>
          <w:color w:val="auto"/>
          <w:sz w:val="24"/>
        </w:rPr>
        <w:t>的结果，签署本合同。</w:t>
      </w:r>
    </w:p>
    <w:p w14:paraId="4A55EA4E">
      <w:pPr>
        <w:spacing w:line="360" w:lineRule="auto"/>
        <w:jc w:val="left"/>
        <w:rPr>
          <w:rFonts w:ascii="宋体"/>
          <w:b/>
          <w:color w:val="auto"/>
          <w:sz w:val="24"/>
          <w:lang w:val="zh-CN"/>
        </w:rPr>
      </w:pPr>
      <w:r>
        <w:rPr>
          <w:rFonts w:hint="eastAsia" w:ascii="宋体"/>
          <w:b/>
          <w:color w:val="auto"/>
          <w:sz w:val="24"/>
          <w:lang w:val="zh-CN"/>
        </w:rPr>
        <w:t>一、</w:t>
      </w:r>
      <w:r>
        <w:rPr>
          <w:rFonts w:hint="eastAsia"/>
          <w:b/>
          <w:color w:val="auto"/>
          <w:sz w:val="24"/>
          <w:lang w:val="zh-CN"/>
        </w:rPr>
        <w:t>合同内容及服务标准</w:t>
      </w:r>
      <w:r>
        <w:rPr>
          <w:rFonts w:hint="eastAsia" w:ascii="宋体"/>
          <w:b/>
          <w:color w:val="auto"/>
          <w:sz w:val="24"/>
          <w:lang w:val="zh-CN"/>
        </w:rPr>
        <w:t xml:space="preserve">： </w:t>
      </w:r>
    </w:p>
    <w:p w14:paraId="596CE146">
      <w:pPr>
        <w:pStyle w:val="9"/>
        <w:snapToGrid w:val="0"/>
        <w:spacing w:line="360" w:lineRule="auto"/>
        <w:ind w:firstLine="480" w:firstLineChars="200"/>
        <w:rPr>
          <w:rFonts w:hAnsi="宋体"/>
          <w:color w:val="auto"/>
          <w:sz w:val="24"/>
        </w:rPr>
      </w:pPr>
      <w:r>
        <w:rPr>
          <w:rFonts w:hint="eastAsia" w:hAnsi="宋体"/>
          <w:color w:val="auto"/>
          <w:sz w:val="24"/>
        </w:rPr>
        <w:t>以采购需求</w:t>
      </w:r>
      <w:r>
        <w:rPr>
          <w:rFonts w:hAnsi="宋体"/>
          <w:color w:val="auto"/>
          <w:sz w:val="24"/>
        </w:rPr>
        <w:t>及</w:t>
      </w:r>
      <w:r>
        <w:rPr>
          <w:rFonts w:hint="eastAsia" w:hAnsi="宋体"/>
          <w:color w:val="auto"/>
          <w:sz w:val="24"/>
        </w:rPr>
        <w:t>成交响应文件</w:t>
      </w:r>
      <w:r>
        <w:rPr>
          <w:rFonts w:hAnsi="宋体"/>
          <w:color w:val="auto"/>
          <w:sz w:val="24"/>
        </w:rPr>
        <w:t>为准。</w:t>
      </w:r>
    </w:p>
    <w:p w14:paraId="67F6319D">
      <w:pPr>
        <w:pStyle w:val="9"/>
        <w:snapToGrid w:val="0"/>
        <w:spacing w:line="360" w:lineRule="auto"/>
        <w:rPr>
          <w:rFonts w:hAnsi="Times New Roman"/>
          <w:b/>
          <w:color w:val="auto"/>
          <w:sz w:val="24"/>
          <w:lang w:val="zh-CN"/>
        </w:rPr>
      </w:pPr>
      <w:r>
        <w:rPr>
          <w:rFonts w:hint="eastAsia" w:hAnsi="Times New Roman"/>
          <w:b/>
          <w:color w:val="auto"/>
          <w:sz w:val="24"/>
          <w:lang w:val="zh-CN"/>
        </w:rPr>
        <w:t>二、合同金额</w:t>
      </w:r>
    </w:p>
    <w:p w14:paraId="55F42CA7">
      <w:pPr>
        <w:pStyle w:val="14"/>
        <w:snapToGrid w:val="0"/>
        <w:spacing w:after="0" w:line="360" w:lineRule="auto"/>
        <w:ind w:firstLine="480" w:firstLineChars="200"/>
        <w:rPr>
          <w:rFonts w:hint="eastAsia" w:hAnsi="Courier New"/>
          <w:color w:val="auto"/>
          <w:sz w:val="24"/>
          <w:lang w:val="zh-CN"/>
        </w:rPr>
      </w:pPr>
      <w:r>
        <w:rPr>
          <w:rFonts w:hint="eastAsia" w:hAnsi="Courier New"/>
          <w:color w:val="auto"/>
          <w:sz w:val="24"/>
          <w:lang w:val="zh-CN"/>
        </w:rPr>
        <w:t>本合同金额为（大写）：</w:t>
      </w:r>
      <w:r>
        <w:rPr>
          <w:rFonts w:hint="eastAsia" w:ascii="宋体" w:hAnsi="宋体"/>
          <w:color w:val="auto"/>
          <w:sz w:val="24"/>
          <w:u w:val="single"/>
        </w:rPr>
        <w:t xml:space="preserve">     </w:t>
      </w:r>
      <w:r>
        <w:rPr>
          <w:rFonts w:hint="eastAsia" w:hAnsi="Courier New"/>
          <w:color w:val="auto"/>
          <w:sz w:val="24"/>
          <w:u w:val="single"/>
        </w:rPr>
        <w:t xml:space="preserve">       </w:t>
      </w:r>
      <w:r>
        <w:rPr>
          <w:rFonts w:hint="eastAsia" w:hAnsi="Courier New"/>
          <w:color w:val="auto"/>
          <w:sz w:val="24"/>
          <w:lang w:val="zh-CN"/>
        </w:rPr>
        <w:t>（</w:t>
      </w:r>
      <w:r>
        <w:rPr>
          <w:rFonts w:cs="Arial"/>
          <w:color w:val="auto"/>
          <w:sz w:val="19"/>
          <w:szCs w:val="19"/>
          <w:shd w:val="clear" w:color="auto" w:fill="FFFFFF"/>
        </w:rPr>
        <w:t>¥</w:t>
      </w:r>
      <w:r>
        <w:rPr>
          <w:rFonts w:hint="eastAsia" w:ascii="宋体" w:hAnsi="宋体"/>
          <w:color w:val="auto"/>
          <w:sz w:val="24"/>
          <w:u w:val="single"/>
        </w:rPr>
        <w:t xml:space="preserve">        </w:t>
      </w:r>
      <w:r>
        <w:rPr>
          <w:rFonts w:hint="eastAsia" w:hAnsi="Courier New"/>
          <w:color w:val="auto"/>
          <w:sz w:val="24"/>
          <w:lang w:val="zh-CN"/>
        </w:rPr>
        <w:t>元）人民币（</w:t>
      </w:r>
      <w:r>
        <w:rPr>
          <w:rFonts w:hint="eastAsia" w:hAnsi="Courier New"/>
          <w:color w:val="auto"/>
          <w:sz w:val="24"/>
          <w:lang w:val="en-US" w:eastAsia="zh-CN"/>
        </w:rPr>
        <w:t>含税）</w:t>
      </w:r>
      <w:r>
        <w:rPr>
          <w:rFonts w:hint="eastAsia" w:hAnsi="Courier New"/>
          <w:color w:val="auto"/>
          <w:sz w:val="24"/>
          <w:lang w:val="zh-CN"/>
        </w:rPr>
        <w:t>。</w:t>
      </w:r>
    </w:p>
    <w:p w14:paraId="248718C5">
      <w:pPr>
        <w:spacing w:line="360" w:lineRule="auto"/>
        <w:rPr>
          <w:rFonts w:hAnsi="宋体"/>
          <w:b/>
          <w:bCs/>
          <w:color w:val="auto"/>
          <w:sz w:val="24"/>
        </w:rPr>
      </w:pPr>
      <w:r>
        <w:rPr>
          <w:rFonts w:hint="eastAsia" w:hAnsi="宋体"/>
          <w:b/>
          <w:bCs/>
          <w:color w:val="auto"/>
          <w:sz w:val="24"/>
        </w:rPr>
        <w:t>三</w:t>
      </w:r>
      <w:r>
        <w:rPr>
          <w:rFonts w:hAnsi="宋体"/>
          <w:b/>
          <w:bCs/>
          <w:color w:val="auto"/>
          <w:sz w:val="24"/>
        </w:rPr>
        <w:t>、技术资料</w:t>
      </w:r>
    </w:p>
    <w:p w14:paraId="47FEF848">
      <w:pPr>
        <w:adjustRightInd w:val="0"/>
        <w:snapToGrid w:val="0"/>
        <w:spacing w:line="360" w:lineRule="auto"/>
        <w:ind w:firstLine="480" w:firstLineChars="200"/>
        <w:jc w:val="left"/>
        <w:rPr>
          <w:rFonts w:ascii="宋体" w:hAnsi="宋体" w:cs="宋体"/>
          <w:bCs/>
          <w:color w:val="auto"/>
          <w:sz w:val="24"/>
        </w:rPr>
      </w:pPr>
      <w:r>
        <w:rPr>
          <w:rFonts w:ascii="宋体" w:hAnsi="宋体" w:cs="宋体"/>
          <w:bCs/>
          <w:color w:val="auto"/>
          <w:sz w:val="24"/>
        </w:rPr>
        <w:t>1</w:t>
      </w:r>
      <w:r>
        <w:rPr>
          <w:rFonts w:hint="eastAsia" w:ascii="宋体" w:hAnsi="宋体" w:cs="宋体"/>
          <w:bCs/>
          <w:color w:val="auto"/>
          <w:sz w:val="24"/>
        </w:rPr>
        <w:t>.</w:t>
      </w:r>
      <w:r>
        <w:rPr>
          <w:rFonts w:ascii="宋体" w:hAnsi="宋体" w:cs="宋体"/>
          <w:bCs/>
          <w:color w:val="auto"/>
          <w:sz w:val="24"/>
        </w:rPr>
        <w:t>乙方应按</w:t>
      </w:r>
      <w:r>
        <w:rPr>
          <w:rFonts w:hint="eastAsia" w:ascii="宋体" w:hAnsi="宋体" w:cs="宋体"/>
          <w:bCs/>
          <w:color w:val="auto"/>
          <w:sz w:val="24"/>
          <w:lang w:eastAsia="zh-CN"/>
        </w:rPr>
        <w:t>采购文件</w:t>
      </w:r>
      <w:r>
        <w:rPr>
          <w:rFonts w:ascii="宋体" w:hAnsi="宋体" w:cs="宋体"/>
          <w:bCs/>
          <w:color w:val="auto"/>
          <w:sz w:val="24"/>
        </w:rPr>
        <w:t>规定的时间向甲方提供有关技术资料。</w:t>
      </w:r>
    </w:p>
    <w:p w14:paraId="3FB2DC12">
      <w:pPr>
        <w:adjustRightInd w:val="0"/>
        <w:snapToGrid w:val="0"/>
        <w:spacing w:line="360" w:lineRule="auto"/>
        <w:ind w:firstLine="480" w:firstLineChars="200"/>
        <w:jc w:val="left"/>
        <w:rPr>
          <w:rFonts w:ascii="宋体" w:hAnsi="宋体" w:cs="宋体"/>
          <w:bCs/>
          <w:color w:val="auto"/>
          <w:sz w:val="24"/>
        </w:rPr>
      </w:pPr>
      <w:r>
        <w:rPr>
          <w:rFonts w:ascii="宋体" w:hAnsi="宋体" w:cs="宋体"/>
          <w:bCs/>
          <w:color w:val="auto"/>
          <w:sz w:val="24"/>
        </w:rPr>
        <w:t>2.</w:t>
      </w:r>
      <w:r>
        <w:rPr>
          <w:rFonts w:hint="eastAsia" w:ascii="宋体" w:hAnsi="宋体" w:cs="宋体"/>
          <w:bCs/>
          <w:color w:val="auto"/>
          <w:sz w:val="24"/>
        </w:rPr>
        <w:t>未经甲方书面同意，乙方不得将甲方提供的有关项目资料提供给与履行本合同无关的任何其他人，使用范围仅限于履行本合同所需的必要范围同时，应严格遵守保密规定。</w:t>
      </w:r>
    </w:p>
    <w:p w14:paraId="33191E3E">
      <w:pPr>
        <w:pStyle w:val="9"/>
        <w:snapToGrid w:val="0"/>
        <w:spacing w:line="360" w:lineRule="auto"/>
        <w:rPr>
          <w:rFonts w:hAnsi="宋体"/>
          <w:b/>
          <w:bCs/>
          <w:color w:val="auto"/>
          <w:sz w:val="24"/>
        </w:rPr>
      </w:pPr>
      <w:r>
        <w:rPr>
          <w:rFonts w:hint="eastAsia" w:hAnsi="宋体"/>
          <w:b/>
          <w:bCs/>
          <w:color w:val="auto"/>
          <w:sz w:val="24"/>
        </w:rPr>
        <w:t>四</w:t>
      </w:r>
      <w:r>
        <w:rPr>
          <w:rFonts w:hAnsi="宋体"/>
          <w:b/>
          <w:bCs/>
          <w:color w:val="auto"/>
          <w:sz w:val="24"/>
        </w:rPr>
        <w:t>、知识产权</w:t>
      </w:r>
    </w:p>
    <w:p w14:paraId="10D77A0C">
      <w:pPr>
        <w:adjustRightInd w:val="0"/>
        <w:snapToGrid w:val="0"/>
        <w:spacing w:line="360" w:lineRule="auto"/>
        <w:ind w:firstLine="480" w:firstLineChars="200"/>
        <w:jc w:val="left"/>
        <w:rPr>
          <w:rFonts w:hint="eastAsia" w:hAnsi="宋体"/>
          <w:color w:val="auto"/>
          <w:sz w:val="24"/>
        </w:rPr>
      </w:pPr>
      <w:r>
        <w:rPr>
          <w:rFonts w:hint="eastAsia" w:ascii="宋体" w:hAnsi="宋体"/>
          <w:color w:val="auto"/>
          <w:kern w:val="0"/>
          <w:sz w:val="24"/>
          <w:szCs w:val="21"/>
        </w:rPr>
        <w:t>乙方应保证所提供的货物或其任何一部分均不会侵犯任何第三方的知识产权和其他权利，如存在侵权行为，则承担甲方因此遭受的全部损失。</w:t>
      </w:r>
      <w:r>
        <w:rPr>
          <w:rFonts w:hint="eastAsia" w:ascii="宋体" w:hAnsi="宋体"/>
          <w:color w:val="auto"/>
          <w:kern w:val="0"/>
          <w:sz w:val="24"/>
          <w:szCs w:val="21"/>
          <w:lang w:val="en-US" w:eastAsia="zh-CN"/>
        </w:rPr>
        <w:t>如因乙方提供的货物侵犯第三方知识产权，乙方除承担甲方全部损失外，还需支付合同金额20%的违约金。</w:t>
      </w:r>
    </w:p>
    <w:p w14:paraId="5E38DDE4">
      <w:pPr>
        <w:spacing w:line="360" w:lineRule="auto"/>
        <w:rPr>
          <w:rFonts w:hint="eastAsia" w:hAnsi="宋体"/>
          <w:b/>
          <w:color w:val="auto"/>
          <w:sz w:val="24"/>
        </w:rPr>
      </w:pPr>
      <w:r>
        <w:rPr>
          <w:rFonts w:hint="eastAsia" w:hAnsi="宋体"/>
          <w:b/>
          <w:color w:val="auto"/>
          <w:sz w:val="24"/>
        </w:rPr>
        <w:t>五、产权担保</w:t>
      </w:r>
    </w:p>
    <w:p w14:paraId="16844A6A">
      <w:pPr>
        <w:adjustRightInd w:val="0"/>
        <w:snapToGrid w:val="0"/>
        <w:spacing w:line="360" w:lineRule="auto"/>
        <w:ind w:firstLine="480" w:firstLineChars="200"/>
        <w:jc w:val="left"/>
        <w:rPr>
          <w:rFonts w:hint="eastAsia" w:ascii="宋体" w:hAnsi="宋体"/>
          <w:color w:val="auto"/>
          <w:kern w:val="0"/>
          <w:sz w:val="24"/>
          <w:szCs w:val="21"/>
          <w:lang w:val="en-US" w:eastAsia="zh-CN"/>
        </w:rPr>
      </w:pPr>
      <w:r>
        <w:rPr>
          <w:rFonts w:hint="eastAsia" w:ascii="宋体" w:hAnsi="宋体" w:cs="华文仿宋"/>
          <w:color w:val="auto"/>
          <w:kern w:val="2"/>
          <w:sz w:val="24"/>
        </w:rPr>
        <w:t>乙方保证所交付的货物的所有权完全属于乙方且无任何抵押、查封等产权瑕疵。</w:t>
      </w:r>
      <w:r>
        <w:rPr>
          <w:rFonts w:hint="eastAsia" w:ascii="宋体" w:hAnsi="宋体" w:cs="华文仿宋"/>
          <w:color w:val="auto"/>
          <w:kern w:val="2"/>
          <w:sz w:val="24"/>
          <w:lang w:val="en-US" w:eastAsia="zh-CN"/>
        </w:rPr>
        <w:t>如乙方提供的货物存在产权瑕疵，甲方有权解除合同，要求乙方退还已收取</w:t>
      </w:r>
      <w:r>
        <w:rPr>
          <w:rFonts w:hint="eastAsia" w:ascii="宋体" w:hAnsi="宋体"/>
          <w:color w:val="auto"/>
          <w:kern w:val="0"/>
          <w:sz w:val="24"/>
          <w:szCs w:val="21"/>
          <w:lang w:val="en-US" w:eastAsia="zh-CN"/>
        </w:rPr>
        <w:t>的合同款，并支付合同金额20%的违约金。乙方支付的违约金不足以弥补甲方全部损失的，应当补足。</w:t>
      </w:r>
    </w:p>
    <w:p w14:paraId="5C849D0E">
      <w:pPr>
        <w:adjustRightInd w:val="0"/>
        <w:snapToGrid w:val="0"/>
        <w:spacing w:line="360" w:lineRule="auto"/>
        <w:jc w:val="left"/>
        <w:rPr>
          <w:rFonts w:hint="eastAsia" w:ascii="宋体" w:hAnsi="宋体"/>
          <w:b/>
          <w:bCs/>
          <w:color w:val="auto"/>
          <w:kern w:val="0"/>
          <w:sz w:val="24"/>
          <w:szCs w:val="21"/>
          <w:lang w:val="en-US" w:eastAsia="zh-CN"/>
        </w:rPr>
      </w:pPr>
      <w:r>
        <w:rPr>
          <w:rFonts w:hint="eastAsia" w:ascii="宋体" w:hAnsi="宋体"/>
          <w:b/>
          <w:bCs/>
          <w:color w:val="auto"/>
          <w:kern w:val="0"/>
          <w:sz w:val="24"/>
          <w:szCs w:val="21"/>
          <w:lang w:val="en-US" w:eastAsia="zh-CN"/>
        </w:rPr>
        <w:t>六、转包或分包</w:t>
      </w:r>
    </w:p>
    <w:p w14:paraId="6BED7E1B">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.本合同范围的货物，应由</w:t>
      </w:r>
      <w:r>
        <w:rPr>
          <w:rFonts w:ascii="宋体" w:hAnsi="宋体"/>
          <w:color w:val="auto"/>
          <w:sz w:val="24"/>
        </w:rPr>
        <w:t>乙</w:t>
      </w:r>
      <w:r>
        <w:rPr>
          <w:rFonts w:hint="eastAsia" w:ascii="宋体" w:hAnsi="宋体"/>
          <w:color w:val="auto"/>
          <w:sz w:val="24"/>
        </w:rPr>
        <w:t>方直接供应，不得转让他人供应</w:t>
      </w:r>
      <w:r>
        <w:rPr>
          <w:rFonts w:hint="eastAsia" w:ascii="宋体" w:hAnsi="宋体"/>
          <w:color w:val="auto"/>
          <w:sz w:val="24"/>
          <w:lang w:eastAsia="zh-CN"/>
        </w:rPr>
        <w:t>。</w:t>
      </w:r>
    </w:p>
    <w:p w14:paraId="725111CD">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.除非得到甲方的书面同意，</w:t>
      </w:r>
      <w:r>
        <w:rPr>
          <w:rFonts w:ascii="宋体" w:hAnsi="宋体"/>
          <w:color w:val="auto"/>
          <w:sz w:val="24"/>
        </w:rPr>
        <w:t>乙</w:t>
      </w:r>
      <w:r>
        <w:rPr>
          <w:rFonts w:hint="eastAsia" w:ascii="宋体" w:hAnsi="宋体"/>
          <w:color w:val="auto"/>
          <w:sz w:val="24"/>
        </w:rPr>
        <w:t>方不得将本合同范围的货物全部或部分分包给他人供应</w:t>
      </w:r>
      <w:r>
        <w:rPr>
          <w:rFonts w:hint="eastAsia" w:ascii="宋体" w:hAnsi="宋体"/>
          <w:color w:val="auto"/>
          <w:sz w:val="24"/>
          <w:lang w:eastAsia="zh-CN"/>
        </w:rPr>
        <w:t>。</w:t>
      </w:r>
    </w:p>
    <w:p w14:paraId="70E76441">
      <w:pPr>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.如有转让和未经甲方同意的分包行为，甲方有权解除合同，</w:t>
      </w:r>
      <w:r>
        <w:rPr>
          <w:rFonts w:hint="eastAsia" w:ascii="宋体" w:hAnsi="宋体" w:cs="华文仿宋"/>
          <w:color w:val="auto"/>
          <w:kern w:val="2"/>
          <w:sz w:val="24"/>
          <w:lang w:val="en-US" w:eastAsia="zh-CN"/>
        </w:rPr>
        <w:t>要求乙方退还已收取的合同款，并支付合同金额20%的违约金。乙方支付的违约金不足以弥补甲方全部损失的，应当补足。</w:t>
      </w:r>
    </w:p>
    <w:p w14:paraId="15169D42">
      <w:pPr>
        <w:pStyle w:val="9"/>
        <w:snapToGrid w:val="0"/>
        <w:spacing w:line="360" w:lineRule="auto"/>
        <w:rPr>
          <w:rFonts w:hint="eastAsia" w:hAnsi="宋体"/>
          <w:b/>
          <w:color w:val="auto"/>
          <w:sz w:val="24"/>
        </w:rPr>
      </w:pPr>
      <w:r>
        <w:rPr>
          <w:rFonts w:hint="eastAsia" w:hAnsi="宋体"/>
          <w:b/>
          <w:color w:val="auto"/>
          <w:sz w:val="24"/>
          <w:lang w:val="en-US" w:eastAsia="zh-CN"/>
        </w:rPr>
        <w:t>七</w:t>
      </w:r>
      <w:r>
        <w:rPr>
          <w:rFonts w:hint="eastAsia" w:hAnsi="宋体"/>
          <w:b/>
          <w:color w:val="auto"/>
          <w:sz w:val="24"/>
        </w:rPr>
        <w:t>、质保期</w:t>
      </w:r>
    </w:p>
    <w:p w14:paraId="67AC90BC">
      <w:pPr>
        <w:spacing w:line="360" w:lineRule="auto"/>
        <w:ind w:firstLine="480" w:firstLineChars="200"/>
        <w:rPr>
          <w:rFonts w:hint="eastAsia" w:ascii="宋体" w:hAnsi="宋体"/>
          <w:color w:val="auto"/>
          <w:sz w:val="24"/>
        </w:rPr>
      </w:pPr>
      <w:r>
        <w:rPr>
          <w:rFonts w:hint="eastAsia" w:ascii="宋体" w:hAnsi="宋体"/>
          <w:color w:val="auto"/>
          <w:sz w:val="24"/>
        </w:rPr>
        <w:t xml:space="preserve">1. </w:t>
      </w:r>
      <w:r>
        <w:rPr>
          <w:rFonts w:hint="eastAsia" w:hAnsi="宋体" w:cs="宋体"/>
          <w:color w:val="auto"/>
          <w:kern w:val="2"/>
          <w:sz w:val="24"/>
          <w:szCs w:val="24"/>
          <w:lang w:val="en-US" w:eastAsia="zh-CN"/>
        </w:rPr>
        <w:t>采购产品对应的质保期详见采购文件附件10“技术要求、参数文件”</w:t>
      </w:r>
      <w:r>
        <w:rPr>
          <w:rFonts w:hint="eastAsia" w:ascii="宋体" w:hAnsi="宋体"/>
          <w:color w:val="auto"/>
          <w:sz w:val="24"/>
        </w:rPr>
        <w:t>。</w:t>
      </w:r>
      <w:r>
        <w:rPr>
          <w:rFonts w:hAnsi="宋体"/>
          <w:color w:val="auto"/>
          <w:sz w:val="24"/>
        </w:rPr>
        <w:t>（自</w:t>
      </w:r>
      <w:r>
        <w:rPr>
          <w:rFonts w:hint="eastAsia" w:hAnsi="宋体"/>
          <w:color w:val="auto"/>
          <w:sz w:val="24"/>
        </w:rPr>
        <w:t>最终</w:t>
      </w:r>
      <w:r>
        <w:rPr>
          <w:rFonts w:hAnsi="宋体"/>
          <w:color w:val="auto"/>
          <w:sz w:val="24"/>
        </w:rPr>
        <w:t>验收合格之日起计</w:t>
      </w:r>
      <w:r>
        <w:rPr>
          <w:rFonts w:hint="eastAsia" w:hAnsi="宋体"/>
          <w:color w:val="auto"/>
          <w:sz w:val="24"/>
          <w:lang w:val="en-US" w:eastAsia="zh-CN"/>
        </w:rPr>
        <w:t>算</w:t>
      </w:r>
      <w:r>
        <w:rPr>
          <w:rFonts w:hAnsi="宋体"/>
          <w:color w:val="auto"/>
          <w:sz w:val="24"/>
        </w:rPr>
        <w:t>）</w:t>
      </w:r>
    </w:p>
    <w:p w14:paraId="2255D522">
      <w:pPr>
        <w:pStyle w:val="9"/>
        <w:snapToGrid w:val="0"/>
        <w:spacing w:line="360" w:lineRule="auto"/>
        <w:rPr>
          <w:rFonts w:hint="eastAsia" w:hAnsi="宋体"/>
          <w:b/>
          <w:color w:val="auto"/>
          <w:sz w:val="24"/>
        </w:rPr>
      </w:pPr>
      <w:r>
        <w:rPr>
          <w:rFonts w:hint="eastAsia" w:hAnsi="宋体"/>
          <w:b/>
          <w:color w:val="auto"/>
          <w:sz w:val="24"/>
          <w:lang w:val="en-US" w:eastAsia="zh-CN"/>
        </w:rPr>
        <w:t>八</w:t>
      </w:r>
      <w:r>
        <w:rPr>
          <w:rFonts w:hint="eastAsia" w:hAnsi="宋体"/>
          <w:b/>
          <w:color w:val="auto"/>
          <w:sz w:val="24"/>
        </w:rPr>
        <w:t>、交货期、交货方式及交货地点</w:t>
      </w:r>
    </w:p>
    <w:p w14:paraId="3EC5B0E2">
      <w:pPr>
        <w:spacing w:line="360" w:lineRule="auto"/>
        <w:ind w:firstLine="480" w:firstLineChars="200"/>
        <w:rPr>
          <w:rFonts w:hint="eastAsia" w:ascii="宋体" w:hAnsi="宋体"/>
          <w:color w:val="auto"/>
          <w:sz w:val="24"/>
        </w:rPr>
      </w:pPr>
      <w:r>
        <w:rPr>
          <w:rFonts w:hint="eastAsia" w:ascii="宋体" w:hAnsi="宋体"/>
          <w:color w:val="auto"/>
          <w:sz w:val="24"/>
        </w:rPr>
        <w:t>1. 交货期：</w:t>
      </w:r>
      <w:r>
        <w:rPr>
          <w:rFonts w:hint="eastAsia" w:ascii="宋体" w:hAnsi="宋体" w:cs="宋体"/>
          <w:color w:val="auto"/>
          <w:sz w:val="24"/>
          <w:szCs w:val="24"/>
          <w:vertAlign w:val="baseline"/>
          <w:lang w:val="en-US" w:eastAsia="zh-CN"/>
        </w:rPr>
        <w:t>自合同签订之日起15个工作日内完成产品供货、安装及调试</w:t>
      </w:r>
    </w:p>
    <w:p w14:paraId="799679C9">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2. 交货方式：</w:t>
      </w:r>
      <w:r>
        <w:rPr>
          <w:rFonts w:hint="eastAsia" w:ascii="宋体" w:hAnsi="宋体"/>
          <w:color w:val="auto"/>
          <w:sz w:val="24"/>
          <w:lang w:eastAsia="zh-CN"/>
        </w:rPr>
        <w:t>乙方负责送货上门</w:t>
      </w:r>
    </w:p>
    <w:p w14:paraId="4ACFE69D">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3. 交货地点：</w:t>
      </w:r>
      <w:r>
        <w:rPr>
          <w:rFonts w:hint="eastAsia" w:ascii="宋体" w:hAnsi="宋体"/>
          <w:color w:val="auto"/>
          <w:sz w:val="24"/>
          <w:lang w:eastAsia="zh-CN"/>
        </w:rPr>
        <w:t>台州市自然资源和规划信息中心机房</w:t>
      </w:r>
    </w:p>
    <w:p w14:paraId="43A94F52">
      <w:pPr>
        <w:pStyle w:val="9"/>
        <w:snapToGrid w:val="0"/>
        <w:spacing w:line="360" w:lineRule="auto"/>
        <w:rPr>
          <w:rFonts w:hint="eastAsia" w:hAnsi="宋体"/>
          <w:b/>
          <w:color w:val="auto"/>
          <w:kern w:val="2"/>
          <w:sz w:val="24"/>
          <w:szCs w:val="24"/>
        </w:rPr>
      </w:pPr>
      <w:r>
        <w:rPr>
          <w:rFonts w:hint="eastAsia" w:hAnsi="宋体"/>
          <w:b/>
          <w:color w:val="auto"/>
          <w:kern w:val="2"/>
          <w:sz w:val="24"/>
          <w:szCs w:val="24"/>
          <w:lang w:val="en-US" w:eastAsia="zh-CN"/>
        </w:rPr>
        <w:t>九</w:t>
      </w:r>
      <w:r>
        <w:rPr>
          <w:rFonts w:hint="eastAsia" w:hAnsi="宋体"/>
          <w:b/>
          <w:color w:val="auto"/>
          <w:kern w:val="2"/>
          <w:sz w:val="24"/>
          <w:szCs w:val="24"/>
        </w:rPr>
        <w:t>、货款支付：</w:t>
      </w:r>
    </w:p>
    <w:p w14:paraId="2D88BE40">
      <w:pPr>
        <w:snapToGrid w:val="0"/>
        <w:spacing w:line="360" w:lineRule="auto"/>
        <w:ind w:firstLine="480" w:firstLineChars="200"/>
        <w:jc w:val="left"/>
        <w:rPr>
          <w:rFonts w:hint="eastAsia" w:hAnsi="宋体" w:cs="宋体"/>
          <w:bCs/>
          <w:color w:val="auto"/>
          <w:sz w:val="24"/>
          <w:highlight w:val="none"/>
        </w:rPr>
      </w:pPr>
      <w:r>
        <w:rPr>
          <w:rFonts w:hAnsi="宋体"/>
          <w:bCs/>
          <w:color w:val="auto"/>
          <w:sz w:val="24"/>
        </w:rPr>
        <w:t>付款方式：</w:t>
      </w:r>
      <w:r>
        <w:rPr>
          <w:rFonts w:hint="eastAsia" w:hAnsi="宋体" w:cs="宋体"/>
          <w:bCs/>
          <w:color w:val="auto"/>
          <w:sz w:val="24"/>
          <w:highlight w:val="none"/>
        </w:rPr>
        <w:t>所有产品安装调试完毕</w:t>
      </w:r>
      <w:r>
        <w:rPr>
          <w:rFonts w:hint="eastAsia" w:hAnsi="宋体" w:cs="宋体"/>
          <w:bCs/>
          <w:color w:val="auto"/>
          <w:sz w:val="24"/>
          <w:highlight w:val="none"/>
          <w:lang w:eastAsia="zh-CN"/>
        </w:rPr>
        <w:t>并经验收合格后</w:t>
      </w:r>
      <w:r>
        <w:rPr>
          <w:rFonts w:hint="eastAsia" w:hAnsi="宋体" w:cs="宋体"/>
          <w:bCs/>
          <w:color w:val="auto"/>
          <w:sz w:val="24"/>
          <w:highlight w:val="none"/>
        </w:rPr>
        <w:t>10个工作日内付清合同价款。</w:t>
      </w:r>
      <w:r>
        <w:rPr>
          <w:rFonts w:hint="eastAsia" w:hAnsi="宋体" w:cs="宋体"/>
          <w:bCs/>
          <w:color w:val="auto"/>
          <w:sz w:val="24"/>
          <w:highlight w:val="none"/>
          <w:lang w:eastAsia="zh-CN"/>
        </w:rPr>
        <w:t>在甲方支付合同价款前，乙方应开具等额的有效发票。</w:t>
      </w:r>
    </w:p>
    <w:p w14:paraId="4071A320">
      <w:pPr>
        <w:snapToGrid w:val="0"/>
        <w:spacing w:line="360" w:lineRule="auto"/>
        <w:jc w:val="left"/>
        <w:rPr>
          <w:rFonts w:ascii="宋体" w:hAnsi="宋体"/>
          <w:b/>
          <w:color w:val="auto"/>
          <w:sz w:val="24"/>
        </w:rPr>
      </w:pPr>
      <w:r>
        <w:rPr>
          <w:rFonts w:hint="eastAsia" w:ascii="宋体" w:hAnsi="宋体"/>
          <w:b/>
          <w:color w:val="auto"/>
          <w:sz w:val="24"/>
        </w:rPr>
        <w:t>十、税费</w:t>
      </w:r>
    </w:p>
    <w:p w14:paraId="3942219D">
      <w:pPr>
        <w:snapToGrid w:val="0"/>
        <w:spacing w:line="360" w:lineRule="auto"/>
        <w:ind w:firstLine="480" w:firstLineChars="200"/>
        <w:jc w:val="left"/>
        <w:rPr>
          <w:rFonts w:ascii="宋体" w:hAnsi="宋体"/>
          <w:color w:val="auto"/>
          <w:sz w:val="24"/>
        </w:rPr>
      </w:pPr>
      <w:r>
        <w:rPr>
          <w:rFonts w:hint="eastAsia" w:ascii="宋体" w:hAnsi="宋体"/>
          <w:color w:val="auto"/>
          <w:sz w:val="24"/>
        </w:rPr>
        <w:t>本合同执行中相关的一切税费均由</w:t>
      </w:r>
      <w:r>
        <w:rPr>
          <w:rFonts w:ascii="宋体" w:hAnsi="宋体"/>
          <w:color w:val="auto"/>
          <w:sz w:val="24"/>
        </w:rPr>
        <w:t>乙</w:t>
      </w:r>
      <w:r>
        <w:rPr>
          <w:rFonts w:hint="eastAsia" w:ascii="宋体" w:hAnsi="宋体"/>
          <w:color w:val="auto"/>
          <w:sz w:val="24"/>
        </w:rPr>
        <w:t>方负担。</w:t>
      </w:r>
    </w:p>
    <w:p w14:paraId="1C6C8FAB">
      <w:pPr>
        <w:pStyle w:val="9"/>
        <w:snapToGrid w:val="0"/>
        <w:spacing w:line="360" w:lineRule="auto"/>
        <w:rPr>
          <w:rFonts w:hAnsi="宋体"/>
          <w:b/>
          <w:color w:val="auto"/>
          <w:sz w:val="24"/>
        </w:rPr>
      </w:pPr>
      <w:r>
        <w:rPr>
          <w:rFonts w:hAnsi="宋体"/>
          <w:b/>
          <w:color w:val="auto"/>
          <w:sz w:val="24"/>
        </w:rPr>
        <w:t>十</w:t>
      </w:r>
      <w:r>
        <w:rPr>
          <w:rFonts w:hint="eastAsia" w:ascii="宋体" w:hAnsi="宋体"/>
          <w:b/>
          <w:color w:val="auto"/>
          <w:sz w:val="24"/>
        </w:rPr>
        <w:t>一</w:t>
      </w:r>
      <w:r>
        <w:rPr>
          <w:rFonts w:hAnsi="宋体"/>
          <w:b/>
          <w:color w:val="auto"/>
          <w:sz w:val="24"/>
        </w:rPr>
        <w:t>、质量保证及后续服务</w:t>
      </w:r>
    </w:p>
    <w:p w14:paraId="60F8D96C">
      <w:pPr>
        <w:pStyle w:val="21"/>
        <w:keepNext w:val="0"/>
        <w:keepLines w:val="0"/>
        <w:pageBreakBefore w:val="0"/>
        <w:numPr>
          <w:ilvl w:val="0"/>
          <w:numId w:val="0"/>
        </w:numPr>
        <w:kinsoku/>
        <w:wordWrap/>
        <w:overflowPunct/>
        <w:topLinePunct w:val="0"/>
        <w:autoSpaceDE/>
        <w:autoSpaceDN/>
        <w:bidi w:val="0"/>
        <w:adjustRightInd/>
        <w:snapToGrid/>
        <w:spacing w:line="520" w:lineRule="exact"/>
        <w:ind w:firstLine="480"/>
        <w:jc w:val="left"/>
        <w:rPr>
          <w:rFonts w:hint="eastAsia" w:ascii="宋体" w:hAnsi="宋体" w:cs="宋体"/>
          <w:color w:val="auto"/>
          <w:sz w:val="24"/>
          <w:szCs w:val="24"/>
          <w:vertAlign w:val="baseline"/>
          <w:lang w:val="en-US" w:eastAsia="zh-CN"/>
        </w:rPr>
      </w:pPr>
      <w:bookmarkStart w:id="3" w:name="_Toc109656281"/>
      <w:r>
        <w:rPr>
          <w:rFonts w:hint="eastAsia" w:ascii="宋体" w:hAnsi="宋体" w:cs="宋体"/>
          <w:color w:val="auto"/>
          <w:sz w:val="24"/>
          <w:szCs w:val="24"/>
          <w:vertAlign w:val="baseline"/>
          <w:lang w:val="en-US" w:eastAsia="zh-CN"/>
        </w:rPr>
        <w:t>质保期内因不能排除的故障而影响工作的情况每发生一次，其质保期相应延长60天，质保期内因设备本身缺陷造成各种故障应由供应商免费提供技术服务和维修。</w:t>
      </w:r>
    </w:p>
    <w:p w14:paraId="11254A52">
      <w:pPr>
        <w:pStyle w:val="9"/>
        <w:snapToGrid w:val="0"/>
        <w:spacing w:before="120" w:after="120" w:line="360" w:lineRule="auto"/>
        <w:ind w:firstLine="480" w:firstLineChars="200"/>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在质保期内，所有因服务、设备及零部件更换和维修等原因产生的费用由供应商承担。同时,在整个产品使用期内乙方应确保产品的正常使用，乙方需提供7×24小时技术支持，在接到用户维修要求后应立即作出回应，当系统的软硬件设备出现故障时，乙方也应承诺在接到</w:t>
      </w:r>
      <w:r>
        <w:rPr>
          <w:rFonts w:hint="eastAsia" w:hAnsi="宋体" w:cs="宋体"/>
          <w:color w:val="auto"/>
          <w:sz w:val="24"/>
          <w:szCs w:val="24"/>
          <w:vertAlign w:val="baseline"/>
          <w:lang w:val="en-US" w:eastAsia="zh-CN"/>
        </w:rPr>
        <w:t>甲</w:t>
      </w:r>
      <w:r>
        <w:rPr>
          <w:rFonts w:hint="eastAsia" w:ascii="宋体" w:hAnsi="宋体" w:cs="宋体"/>
          <w:color w:val="auto"/>
          <w:sz w:val="24"/>
          <w:szCs w:val="24"/>
          <w:vertAlign w:val="baseline"/>
          <w:lang w:val="en-US" w:eastAsia="zh-CN"/>
        </w:rPr>
        <w:t>方通知后30分钟内响应并提出解决方案，在4小时以内完成甲方提出的维修要求，如需更换设备或送修，必须在3个工作日内负责解决。如无法解决问题，应提供同档次的设备予以代用。</w:t>
      </w:r>
    </w:p>
    <w:p w14:paraId="40C8FC67">
      <w:pPr>
        <w:pStyle w:val="9"/>
        <w:snapToGrid w:val="0"/>
        <w:spacing w:line="360" w:lineRule="auto"/>
        <w:rPr>
          <w:rFonts w:hAnsi="宋体"/>
          <w:b/>
          <w:color w:val="auto"/>
          <w:sz w:val="24"/>
        </w:rPr>
      </w:pPr>
      <w:r>
        <w:rPr>
          <w:rFonts w:hint="eastAsia" w:hAnsi="宋体"/>
          <w:b/>
          <w:color w:val="auto"/>
          <w:sz w:val="24"/>
        </w:rPr>
        <w:t>十二、调试和验收</w:t>
      </w:r>
      <w:bookmarkEnd w:id="3"/>
    </w:p>
    <w:p w14:paraId="7AD55DF3">
      <w:pPr>
        <w:pStyle w:val="9"/>
        <w:snapToGrid w:val="0"/>
        <w:spacing w:line="360" w:lineRule="auto"/>
        <w:ind w:firstLine="480" w:firstLineChars="200"/>
        <w:rPr>
          <w:rFonts w:hint="eastAsia" w:hAnsi="宋体" w:cs="宋体"/>
          <w:color w:val="auto"/>
          <w:kern w:val="2"/>
          <w:sz w:val="24"/>
          <w:szCs w:val="24"/>
        </w:rPr>
      </w:pPr>
      <w:r>
        <w:rPr>
          <w:rFonts w:hint="eastAsia" w:hAnsi="宋体" w:cs="宋体"/>
          <w:color w:val="auto"/>
          <w:kern w:val="2"/>
          <w:sz w:val="24"/>
          <w:szCs w:val="24"/>
        </w:rPr>
        <w:t>1.甲方对乙方提交的货物依据</w:t>
      </w:r>
      <w:r>
        <w:rPr>
          <w:rFonts w:hint="eastAsia" w:hAnsi="宋体" w:cs="宋体"/>
          <w:color w:val="auto"/>
          <w:kern w:val="2"/>
          <w:sz w:val="24"/>
          <w:szCs w:val="24"/>
          <w:lang w:eastAsia="zh-CN"/>
        </w:rPr>
        <w:t>采购文件</w:t>
      </w:r>
      <w:r>
        <w:rPr>
          <w:rFonts w:hint="eastAsia" w:hAnsi="宋体" w:cs="宋体"/>
          <w:color w:val="auto"/>
          <w:kern w:val="2"/>
          <w:sz w:val="24"/>
          <w:szCs w:val="24"/>
        </w:rPr>
        <w:t>上的技术规格要求</w:t>
      </w:r>
      <w:bookmarkStart w:id="4" w:name="_Hlk49866784"/>
      <w:r>
        <w:rPr>
          <w:rFonts w:hint="eastAsia" w:hAnsi="宋体" w:cs="宋体"/>
          <w:color w:val="auto"/>
          <w:kern w:val="2"/>
          <w:sz w:val="24"/>
          <w:szCs w:val="24"/>
        </w:rPr>
        <w:t>及投标文件应标内容</w:t>
      </w:r>
      <w:bookmarkEnd w:id="4"/>
      <w:r>
        <w:rPr>
          <w:rFonts w:hint="eastAsia" w:hAnsi="宋体" w:cs="宋体"/>
          <w:color w:val="auto"/>
          <w:kern w:val="2"/>
          <w:sz w:val="24"/>
          <w:szCs w:val="24"/>
        </w:rPr>
        <w:t>和国家有关质量标准进行现场初步检查，外观、说明书符合</w:t>
      </w:r>
      <w:r>
        <w:rPr>
          <w:rFonts w:hint="eastAsia" w:hAnsi="宋体" w:cs="宋体"/>
          <w:color w:val="auto"/>
          <w:kern w:val="2"/>
          <w:sz w:val="24"/>
          <w:szCs w:val="24"/>
          <w:lang w:eastAsia="zh-CN"/>
        </w:rPr>
        <w:t>采购文件</w:t>
      </w:r>
      <w:r>
        <w:rPr>
          <w:rFonts w:hint="eastAsia" w:hAnsi="宋体" w:cs="宋体"/>
          <w:color w:val="auto"/>
          <w:kern w:val="2"/>
          <w:sz w:val="24"/>
          <w:szCs w:val="24"/>
        </w:rPr>
        <w:t>技术要求及投标文件应标内容的，给予签收。</w:t>
      </w:r>
    </w:p>
    <w:p w14:paraId="1344CAFB">
      <w:pPr>
        <w:pStyle w:val="9"/>
        <w:snapToGrid w:val="0"/>
        <w:spacing w:line="360" w:lineRule="auto"/>
        <w:ind w:firstLine="480" w:firstLineChars="200"/>
        <w:rPr>
          <w:rFonts w:hint="eastAsia" w:hAnsi="宋体" w:cs="宋体"/>
          <w:color w:val="auto"/>
          <w:kern w:val="2"/>
          <w:sz w:val="24"/>
          <w:szCs w:val="24"/>
        </w:rPr>
      </w:pPr>
      <w:r>
        <w:rPr>
          <w:rFonts w:hint="eastAsia" w:hAnsi="宋体" w:cs="宋体"/>
          <w:color w:val="auto"/>
          <w:kern w:val="2"/>
          <w:sz w:val="24"/>
          <w:szCs w:val="24"/>
        </w:rPr>
        <w:t>2.乙方交货前应对产品作出全面检查和对验收文件进行整理，并列出清单，作为甲方收货验收和使用的技术条件依据，检验的结果应随货物交甲方。</w:t>
      </w:r>
    </w:p>
    <w:p w14:paraId="623A3BE9">
      <w:pPr>
        <w:pStyle w:val="9"/>
        <w:snapToGrid w:val="0"/>
        <w:spacing w:line="360" w:lineRule="auto"/>
        <w:ind w:firstLine="480" w:firstLineChars="200"/>
        <w:rPr>
          <w:rFonts w:hint="eastAsia" w:hAnsi="宋体" w:cs="宋体"/>
          <w:color w:val="auto"/>
          <w:kern w:val="2"/>
          <w:sz w:val="24"/>
          <w:szCs w:val="24"/>
        </w:rPr>
      </w:pPr>
      <w:r>
        <w:rPr>
          <w:rFonts w:hint="eastAsia" w:hAnsi="宋体" w:cs="宋体"/>
          <w:color w:val="auto"/>
          <w:kern w:val="2"/>
          <w:sz w:val="24"/>
          <w:szCs w:val="24"/>
        </w:rPr>
        <w:t>3.甲方对乙方提供的货物在使用前进行调试时，乙方需负责安装并培训甲方的使用操作人员，</w:t>
      </w:r>
      <w:r>
        <w:rPr>
          <w:rFonts w:hint="eastAsia" w:hAnsi="宋体" w:cs="宋体"/>
          <w:color w:val="auto"/>
          <w:kern w:val="2"/>
          <w:sz w:val="24"/>
          <w:szCs w:val="24"/>
          <w:lang w:val="en-US" w:eastAsia="zh-CN"/>
        </w:rPr>
        <w:t>乙方负责</w:t>
      </w:r>
      <w:r>
        <w:rPr>
          <w:rFonts w:hint="eastAsia" w:hAnsi="宋体" w:cs="宋体"/>
          <w:color w:val="auto"/>
          <w:kern w:val="2"/>
          <w:sz w:val="24"/>
          <w:szCs w:val="24"/>
        </w:rPr>
        <w:t>调试，直到符合技术要求，甲方才做最终验收。</w:t>
      </w:r>
    </w:p>
    <w:p w14:paraId="1A3DB61F">
      <w:pPr>
        <w:pStyle w:val="9"/>
        <w:snapToGrid w:val="0"/>
        <w:spacing w:line="360" w:lineRule="auto"/>
        <w:ind w:firstLine="480" w:firstLineChars="200"/>
        <w:rPr>
          <w:rFonts w:hint="default" w:hAnsi="宋体" w:eastAsia="宋体" w:cs="宋体"/>
          <w:color w:val="auto"/>
          <w:kern w:val="2"/>
          <w:sz w:val="24"/>
          <w:szCs w:val="24"/>
          <w:lang w:val="en-US" w:eastAsia="zh-CN"/>
        </w:rPr>
      </w:pPr>
      <w:r>
        <w:rPr>
          <w:rFonts w:hint="eastAsia" w:hAnsi="宋体" w:cs="宋体"/>
          <w:color w:val="auto"/>
          <w:kern w:val="2"/>
          <w:sz w:val="24"/>
          <w:szCs w:val="24"/>
        </w:rPr>
        <w:t>4.甲方</w:t>
      </w:r>
      <w:r>
        <w:rPr>
          <w:rFonts w:hint="eastAsia" w:hAnsi="宋体" w:cs="宋体"/>
          <w:color w:val="auto"/>
          <w:kern w:val="2"/>
          <w:sz w:val="24"/>
          <w:szCs w:val="24"/>
          <w:lang w:val="en-US" w:eastAsia="zh-CN"/>
        </w:rPr>
        <w:t>有权</w:t>
      </w:r>
      <w:r>
        <w:rPr>
          <w:rFonts w:hint="eastAsia" w:hAnsi="宋体" w:cs="宋体"/>
          <w:color w:val="auto"/>
          <w:kern w:val="2"/>
          <w:sz w:val="24"/>
          <w:szCs w:val="24"/>
        </w:rPr>
        <w:t>请国家认可的专业检测机构参与初步验收及最终验收，并由其出具质量检测报告</w:t>
      </w:r>
      <w:r>
        <w:rPr>
          <w:rFonts w:hint="eastAsia" w:hAnsi="宋体" w:cs="宋体"/>
          <w:color w:val="auto"/>
          <w:kern w:val="2"/>
          <w:sz w:val="24"/>
          <w:szCs w:val="24"/>
          <w:lang w:eastAsia="zh-CN"/>
        </w:rPr>
        <w:t>，</w:t>
      </w:r>
      <w:r>
        <w:rPr>
          <w:rFonts w:hint="eastAsia" w:hAnsi="宋体" w:cs="宋体"/>
          <w:color w:val="auto"/>
          <w:kern w:val="2"/>
          <w:sz w:val="24"/>
          <w:szCs w:val="24"/>
          <w:lang w:val="en-US" w:eastAsia="zh-CN"/>
        </w:rPr>
        <w:t>其相应的验收和检测费用包含在本合同内，不再另外计算。</w:t>
      </w:r>
    </w:p>
    <w:p w14:paraId="0C508D36">
      <w:pPr>
        <w:pStyle w:val="9"/>
        <w:snapToGrid w:val="0"/>
        <w:spacing w:line="360" w:lineRule="auto"/>
        <w:ind w:firstLine="480" w:firstLineChars="200"/>
        <w:rPr>
          <w:rFonts w:hint="eastAsia" w:hAnsi="宋体" w:cs="宋体"/>
          <w:color w:val="auto"/>
          <w:kern w:val="2"/>
          <w:sz w:val="24"/>
          <w:szCs w:val="24"/>
        </w:rPr>
      </w:pPr>
      <w:r>
        <w:rPr>
          <w:rFonts w:hint="eastAsia" w:hAnsi="宋体" w:cs="宋体"/>
          <w:color w:val="auto"/>
          <w:kern w:val="2"/>
          <w:sz w:val="24"/>
          <w:szCs w:val="24"/>
        </w:rPr>
        <w:t>5.验收时乙方必须在现场，验收完毕后作出验收结果报告。</w:t>
      </w:r>
    </w:p>
    <w:p w14:paraId="3DBDE31C">
      <w:pPr>
        <w:pStyle w:val="10"/>
        <w:ind w:left="0" w:leftChars="0"/>
        <w:rPr>
          <w:rFonts w:hint="default" w:eastAsia="宋体"/>
          <w:color w:val="auto"/>
          <w:lang w:val="en-US" w:eastAsia="zh-CN"/>
        </w:rPr>
      </w:pPr>
      <w:r>
        <w:rPr>
          <w:rFonts w:hint="eastAsia" w:hAnsi="宋体" w:cs="宋体"/>
          <w:color w:val="auto"/>
          <w:kern w:val="2"/>
          <w:sz w:val="24"/>
          <w:szCs w:val="24"/>
          <w:lang w:val="en-US" w:eastAsia="zh-CN"/>
        </w:rPr>
        <w:t xml:space="preserve">    6.若验收不合格，甲方有权解除合同并要求赔偿。</w:t>
      </w:r>
    </w:p>
    <w:p w14:paraId="5F8FE2E4">
      <w:pPr>
        <w:pStyle w:val="9"/>
        <w:snapToGrid w:val="0"/>
        <w:spacing w:line="360" w:lineRule="auto"/>
        <w:rPr>
          <w:rFonts w:hAnsi="宋体"/>
          <w:b/>
          <w:color w:val="auto"/>
          <w:sz w:val="24"/>
        </w:rPr>
      </w:pPr>
      <w:bookmarkStart w:id="5" w:name="_Toc109656282"/>
      <w:r>
        <w:rPr>
          <w:rFonts w:hint="eastAsia" w:hAnsi="宋体"/>
          <w:b/>
          <w:color w:val="auto"/>
          <w:sz w:val="24"/>
        </w:rPr>
        <w:t>十</w:t>
      </w:r>
      <w:r>
        <w:rPr>
          <w:rFonts w:hint="eastAsia" w:hAnsi="宋体"/>
          <w:b/>
          <w:color w:val="auto"/>
          <w:sz w:val="24"/>
          <w:lang w:val="en-US" w:eastAsia="zh-CN"/>
        </w:rPr>
        <w:t>三</w:t>
      </w:r>
      <w:r>
        <w:rPr>
          <w:rFonts w:hint="eastAsia" w:hAnsi="宋体"/>
          <w:b/>
          <w:color w:val="auto"/>
          <w:sz w:val="24"/>
        </w:rPr>
        <w:t>、货物包装、发运及运输</w:t>
      </w:r>
      <w:bookmarkEnd w:id="5"/>
    </w:p>
    <w:p w14:paraId="4AEF7E12">
      <w:pPr>
        <w:pStyle w:val="9"/>
        <w:snapToGrid w:val="0"/>
        <w:spacing w:line="360" w:lineRule="auto"/>
        <w:ind w:firstLine="480" w:firstLineChars="200"/>
        <w:rPr>
          <w:rFonts w:hint="eastAsia" w:hAnsi="宋体" w:cs="宋体"/>
          <w:color w:val="auto"/>
          <w:kern w:val="2"/>
          <w:sz w:val="24"/>
          <w:szCs w:val="24"/>
        </w:rPr>
      </w:pPr>
      <w:r>
        <w:rPr>
          <w:rFonts w:hint="eastAsia" w:hAnsi="宋体" w:cs="宋体"/>
          <w:color w:val="auto"/>
          <w:kern w:val="2"/>
          <w:sz w:val="24"/>
          <w:szCs w:val="24"/>
        </w:rPr>
        <w:t>1.乙方应在货物发运前对其进行满足运输距离、防潮、防震、防锈和防破损装卸等要求包装，以保证货物安全运达甲方指定地点。</w:t>
      </w:r>
    </w:p>
    <w:p w14:paraId="3BE5DE7E">
      <w:pPr>
        <w:pStyle w:val="9"/>
        <w:snapToGrid w:val="0"/>
        <w:spacing w:line="360" w:lineRule="auto"/>
        <w:ind w:firstLine="480" w:firstLineChars="200"/>
        <w:rPr>
          <w:rFonts w:hint="eastAsia" w:hAnsi="宋体" w:cs="宋体"/>
          <w:color w:val="auto"/>
          <w:kern w:val="2"/>
          <w:sz w:val="24"/>
          <w:szCs w:val="24"/>
        </w:rPr>
      </w:pPr>
      <w:r>
        <w:rPr>
          <w:rFonts w:hint="eastAsia" w:hAnsi="宋体" w:cs="宋体"/>
          <w:color w:val="auto"/>
          <w:kern w:val="2"/>
          <w:sz w:val="24"/>
          <w:szCs w:val="24"/>
        </w:rPr>
        <w:t>2.使用说明书、质量检验证明书、随配附件和工具以及清单一并附于货物内。</w:t>
      </w:r>
    </w:p>
    <w:p w14:paraId="452E0860">
      <w:pPr>
        <w:pStyle w:val="9"/>
        <w:snapToGrid w:val="0"/>
        <w:spacing w:line="360" w:lineRule="auto"/>
        <w:ind w:firstLine="480" w:firstLineChars="200"/>
        <w:rPr>
          <w:rFonts w:hint="eastAsia" w:hAnsi="宋体" w:cs="宋体"/>
          <w:color w:val="auto"/>
          <w:kern w:val="2"/>
          <w:sz w:val="24"/>
          <w:szCs w:val="24"/>
        </w:rPr>
      </w:pPr>
      <w:r>
        <w:rPr>
          <w:rFonts w:hint="eastAsia" w:hAnsi="宋体" w:cs="宋体"/>
          <w:color w:val="auto"/>
          <w:kern w:val="2"/>
          <w:sz w:val="24"/>
          <w:szCs w:val="24"/>
        </w:rPr>
        <w:t>3.乙方在货物发运手续办理完毕后24小时内或货到甲方48小时前通知甲方，以准备接货。</w:t>
      </w:r>
    </w:p>
    <w:p w14:paraId="510BFE9C">
      <w:pPr>
        <w:pStyle w:val="9"/>
        <w:snapToGrid w:val="0"/>
        <w:spacing w:line="360" w:lineRule="auto"/>
        <w:ind w:firstLine="480" w:firstLineChars="200"/>
        <w:rPr>
          <w:rFonts w:hint="eastAsia" w:hAnsi="宋体" w:cs="宋体"/>
          <w:color w:val="auto"/>
          <w:kern w:val="2"/>
          <w:sz w:val="24"/>
          <w:szCs w:val="24"/>
        </w:rPr>
      </w:pPr>
      <w:r>
        <w:rPr>
          <w:rFonts w:hint="eastAsia" w:hAnsi="宋体" w:cs="宋体"/>
          <w:color w:val="auto"/>
          <w:kern w:val="2"/>
          <w:sz w:val="24"/>
          <w:szCs w:val="24"/>
        </w:rPr>
        <w:t>4.货物在交付甲方前发生的风险均由乙方负责。</w:t>
      </w:r>
    </w:p>
    <w:p w14:paraId="2890BBF0">
      <w:pPr>
        <w:pStyle w:val="9"/>
        <w:snapToGrid w:val="0"/>
        <w:spacing w:line="360" w:lineRule="auto"/>
        <w:ind w:firstLine="480" w:firstLineChars="200"/>
        <w:rPr>
          <w:rFonts w:hint="eastAsia" w:hAnsi="宋体" w:cs="宋体"/>
          <w:color w:val="auto"/>
          <w:kern w:val="2"/>
          <w:sz w:val="24"/>
          <w:szCs w:val="24"/>
        </w:rPr>
      </w:pPr>
      <w:r>
        <w:rPr>
          <w:rFonts w:hint="eastAsia" w:hAnsi="宋体" w:cs="宋体"/>
          <w:color w:val="auto"/>
          <w:kern w:val="2"/>
          <w:sz w:val="24"/>
          <w:szCs w:val="24"/>
        </w:rPr>
        <w:t>5.货物在规定的交付期限内由乙方送达甲方指定的地点视为交付，乙方同时需通知甲方货物已送达。</w:t>
      </w:r>
    </w:p>
    <w:p w14:paraId="435D5597">
      <w:pPr>
        <w:pStyle w:val="9"/>
        <w:snapToGrid w:val="0"/>
        <w:spacing w:line="360" w:lineRule="auto"/>
        <w:rPr>
          <w:rFonts w:hAnsi="宋体"/>
          <w:b/>
          <w:color w:val="auto"/>
          <w:sz w:val="24"/>
        </w:rPr>
      </w:pPr>
      <w:r>
        <w:rPr>
          <w:rFonts w:hAnsi="宋体"/>
          <w:b/>
          <w:color w:val="auto"/>
          <w:sz w:val="24"/>
        </w:rPr>
        <w:t>十</w:t>
      </w:r>
      <w:r>
        <w:rPr>
          <w:rFonts w:hint="eastAsia" w:hAnsi="宋体"/>
          <w:b/>
          <w:color w:val="auto"/>
          <w:sz w:val="24"/>
          <w:lang w:val="en-US" w:eastAsia="zh-CN"/>
        </w:rPr>
        <w:t>四</w:t>
      </w:r>
      <w:r>
        <w:rPr>
          <w:rFonts w:hAnsi="宋体"/>
          <w:b/>
          <w:color w:val="auto"/>
          <w:sz w:val="24"/>
        </w:rPr>
        <w:t>、违约责任</w:t>
      </w:r>
    </w:p>
    <w:p w14:paraId="78CDED8B">
      <w:pPr>
        <w:pStyle w:val="9"/>
        <w:snapToGrid w:val="0"/>
        <w:spacing w:line="360" w:lineRule="auto"/>
        <w:ind w:firstLine="480" w:firstLineChars="200"/>
        <w:rPr>
          <w:rFonts w:hAnsi="宋体" w:cs="宋体"/>
          <w:color w:val="auto"/>
          <w:kern w:val="2"/>
          <w:sz w:val="24"/>
          <w:szCs w:val="24"/>
        </w:rPr>
      </w:pPr>
      <w:r>
        <w:rPr>
          <w:rFonts w:hint="eastAsia" w:hAnsi="宋体"/>
          <w:color w:val="auto"/>
          <w:sz w:val="24"/>
        </w:rPr>
        <w:t>1.</w:t>
      </w:r>
      <w:r>
        <w:rPr>
          <w:rFonts w:hint="eastAsia" w:hAnsi="宋体" w:cs="宋体"/>
          <w:color w:val="auto"/>
          <w:kern w:val="2"/>
          <w:sz w:val="24"/>
          <w:szCs w:val="24"/>
        </w:rPr>
        <w:t xml:space="preserve"> 乙方逾期交付货物的，</w:t>
      </w:r>
      <w:r>
        <w:rPr>
          <w:rFonts w:hAnsi="宋体"/>
          <w:color w:val="auto"/>
          <w:sz w:val="24"/>
        </w:rPr>
        <w:t>乙方</w:t>
      </w:r>
      <w:r>
        <w:rPr>
          <w:rFonts w:hint="eastAsia" w:hAnsi="宋体"/>
          <w:color w:val="auto"/>
          <w:sz w:val="24"/>
        </w:rPr>
        <w:t>应</w:t>
      </w:r>
      <w:r>
        <w:rPr>
          <w:rFonts w:hAnsi="宋体"/>
          <w:color w:val="auto"/>
          <w:sz w:val="24"/>
        </w:rPr>
        <w:t>按逾期交货总额每日</w:t>
      </w:r>
      <w:r>
        <w:rPr>
          <w:rFonts w:hAnsi="宋体"/>
          <w:color w:val="auto"/>
          <w:sz w:val="24"/>
          <w:u w:val="single"/>
        </w:rPr>
        <w:t>千分之</w:t>
      </w:r>
      <w:r>
        <w:rPr>
          <w:rFonts w:hint="eastAsia" w:hAnsi="宋体"/>
          <w:color w:val="auto"/>
          <w:sz w:val="24"/>
          <w:u w:val="single"/>
        </w:rPr>
        <w:t>六</w:t>
      </w:r>
      <w:r>
        <w:rPr>
          <w:rFonts w:hAnsi="宋体"/>
          <w:color w:val="auto"/>
          <w:sz w:val="24"/>
        </w:rPr>
        <w:t>向甲方支付违约金</w:t>
      </w:r>
      <w:r>
        <w:rPr>
          <w:rFonts w:hint="eastAsia" w:hAnsi="宋体" w:cs="宋体"/>
          <w:color w:val="auto"/>
          <w:kern w:val="2"/>
          <w:sz w:val="24"/>
          <w:szCs w:val="24"/>
        </w:rPr>
        <w:t>，由甲方从待付货款中扣除。逾期超过约定日期7个日历天内不能交货的，甲方可解除本合同。乙方因逾期交货或因其他违约行为导致甲方解除合同的，已交付的货物不予退回</w:t>
      </w:r>
      <w:r>
        <w:rPr>
          <w:rFonts w:hAnsi="宋体"/>
          <w:color w:val="auto"/>
          <w:sz w:val="24"/>
        </w:rPr>
        <w:t>，合同中已交付合格</w:t>
      </w:r>
      <w:r>
        <w:rPr>
          <w:rFonts w:hint="eastAsia" w:hAnsi="宋体"/>
          <w:color w:val="auto"/>
          <w:sz w:val="24"/>
        </w:rPr>
        <w:t>的按实计算</w:t>
      </w:r>
      <w:r>
        <w:rPr>
          <w:rFonts w:hAnsi="宋体"/>
          <w:color w:val="auto"/>
          <w:sz w:val="24"/>
        </w:rPr>
        <w:t>，其余部分由乙方赔偿</w:t>
      </w:r>
      <w:r>
        <w:rPr>
          <w:rFonts w:hint="eastAsia" w:hAnsi="宋体"/>
          <w:color w:val="auto"/>
          <w:sz w:val="24"/>
          <w:lang w:val="en-US" w:eastAsia="zh-CN"/>
        </w:rPr>
        <w:t>甲方</w:t>
      </w:r>
      <w:r>
        <w:rPr>
          <w:rFonts w:hAnsi="宋体"/>
          <w:color w:val="auto"/>
          <w:sz w:val="24"/>
        </w:rPr>
        <w:t>合同价款两倍的违约金。</w:t>
      </w:r>
    </w:p>
    <w:p w14:paraId="78EE1633">
      <w:pPr>
        <w:pStyle w:val="9"/>
        <w:snapToGrid w:val="0"/>
        <w:spacing w:line="360" w:lineRule="auto"/>
        <w:ind w:firstLine="480" w:firstLineChars="200"/>
        <w:rPr>
          <w:rFonts w:hint="eastAsia" w:hAnsi="宋体" w:cs="宋体"/>
          <w:color w:val="auto"/>
          <w:kern w:val="2"/>
          <w:sz w:val="24"/>
          <w:szCs w:val="24"/>
        </w:rPr>
      </w:pPr>
      <w:r>
        <w:rPr>
          <w:rFonts w:hint="eastAsia" w:hAnsi="宋体" w:cs="宋体"/>
          <w:color w:val="auto"/>
          <w:kern w:val="2"/>
          <w:sz w:val="24"/>
          <w:szCs w:val="24"/>
        </w:rPr>
        <w:t>2.乙方所交的货物品种、型号、规格、技术参数、质量不符合合同规定及</w:t>
      </w:r>
      <w:r>
        <w:rPr>
          <w:rFonts w:hint="eastAsia" w:hAnsi="宋体" w:cs="宋体"/>
          <w:color w:val="auto"/>
          <w:kern w:val="2"/>
          <w:sz w:val="24"/>
          <w:szCs w:val="24"/>
          <w:lang w:eastAsia="zh-CN"/>
        </w:rPr>
        <w:t>采购文件</w:t>
      </w:r>
      <w:r>
        <w:rPr>
          <w:rFonts w:hint="eastAsia" w:hAnsi="宋体" w:cs="宋体"/>
          <w:color w:val="auto"/>
          <w:kern w:val="2"/>
          <w:sz w:val="24"/>
          <w:szCs w:val="24"/>
        </w:rPr>
        <w:t>规定标准的，甲方有权拒收该货物，乙方愿意更换货物但逾期交货的，按乙方逾期交货处理。乙方拒绝更换货物的，甲方可单方面解除合同，已交付的货物不予退回</w:t>
      </w:r>
      <w:r>
        <w:rPr>
          <w:rFonts w:hAnsi="宋体"/>
          <w:color w:val="auto"/>
          <w:sz w:val="24"/>
        </w:rPr>
        <w:t>，并由乙方赔偿该</w:t>
      </w:r>
      <w:r>
        <w:rPr>
          <w:rFonts w:hint="eastAsia" w:hAnsi="宋体" w:cs="宋体"/>
          <w:color w:val="auto"/>
          <w:kern w:val="2"/>
          <w:sz w:val="24"/>
          <w:szCs w:val="24"/>
        </w:rPr>
        <w:t>拒绝更换货款</w:t>
      </w:r>
      <w:r>
        <w:rPr>
          <w:rFonts w:hAnsi="宋体"/>
          <w:color w:val="auto"/>
          <w:sz w:val="24"/>
        </w:rPr>
        <w:t>两倍的违约金。</w:t>
      </w:r>
    </w:p>
    <w:p w14:paraId="4FF9CB61">
      <w:pPr>
        <w:pStyle w:val="9"/>
        <w:snapToGrid w:val="0"/>
        <w:spacing w:line="360" w:lineRule="auto"/>
        <w:rPr>
          <w:rFonts w:hAnsi="宋体"/>
          <w:b/>
          <w:color w:val="auto"/>
          <w:sz w:val="24"/>
        </w:rPr>
      </w:pPr>
      <w:r>
        <w:rPr>
          <w:rFonts w:hAnsi="宋体"/>
          <w:b/>
          <w:color w:val="auto"/>
          <w:sz w:val="24"/>
        </w:rPr>
        <w:t>十</w:t>
      </w:r>
      <w:r>
        <w:rPr>
          <w:rFonts w:hint="eastAsia" w:hAnsi="宋体"/>
          <w:b/>
          <w:color w:val="auto"/>
          <w:sz w:val="24"/>
          <w:lang w:val="en-US" w:eastAsia="zh-CN"/>
        </w:rPr>
        <w:t>五</w:t>
      </w:r>
      <w:r>
        <w:rPr>
          <w:rFonts w:hAnsi="宋体"/>
          <w:b/>
          <w:color w:val="auto"/>
          <w:sz w:val="24"/>
        </w:rPr>
        <w:t>、不可抗力事件处理</w:t>
      </w:r>
    </w:p>
    <w:p w14:paraId="7100E982">
      <w:pPr>
        <w:pStyle w:val="9"/>
        <w:snapToGrid w:val="0"/>
        <w:spacing w:line="360" w:lineRule="auto"/>
        <w:ind w:firstLine="480" w:firstLineChars="200"/>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在合同有效期内，任何一方因不可抗力事件导致不能履行合同，则合同履行期可延长，其延长期与不可抗力影响期相同。</w:t>
      </w:r>
    </w:p>
    <w:p w14:paraId="2F1E0924">
      <w:pPr>
        <w:pStyle w:val="9"/>
        <w:snapToGrid w:val="0"/>
        <w:spacing w:line="360" w:lineRule="auto"/>
        <w:ind w:firstLine="480" w:firstLineChars="200"/>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不可抗力事件发生后，应立即通知对方，并寄送有关权威机构出具的证明。</w:t>
      </w:r>
    </w:p>
    <w:p w14:paraId="7FA7B81D">
      <w:pPr>
        <w:pStyle w:val="9"/>
        <w:snapToGrid w:val="0"/>
        <w:spacing w:line="360" w:lineRule="auto"/>
        <w:ind w:firstLine="480" w:firstLineChars="200"/>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不可抗力事件延续120天以上，双方应通过友好协商，确定是否继续履行合同。</w:t>
      </w:r>
    </w:p>
    <w:p w14:paraId="0677FFD8">
      <w:pPr>
        <w:pStyle w:val="9"/>
        <w:snapToGrid w:val="0"/>
        <w:spacing w:line="360" w:lineRule="auto"/>
        <w:rPr>
          <w:rFonts w:hint="eastAsia" w:hAnsi="宋体"/>
          <w:b/>
          <w:color w:val="auto"/>
          <w:sz w:val="24"/>
        </w:rPr>
      </w:pPr>
      <w:r>
        <w:rPr>
          <w:rFonts w:hAnsi="宋体"/>
          <w:b/>
          <w:color w:val="auto"/>
          <w:sz w:val="24"/>
        </w:rPr>
        <w:t>十</w:t>
      </w:r>
      <w:r>
        <w:rPr>
          <w:rFonts w:hint="eastAsia" w:hAnsi="宋体"/>
          <w:b/>
          <w:color w:val="auto"/>
          <w:sz w:val="24"/>
          <w:lang w:val="en-US" w:eastAsia="zh-CN"/>
        </w:rPr>
        <w:t>六</w:t>
      </w:r>
      <w:r>
        <w:rPr>
          <w:rFonts w:hAnsi="宋体"/>
          <w:b/>
          <w:color w:val="auto"/>
          <w:sz w:val="24"/>
        </w:rPr>
        <w:t>、</w:t>
      </w:r>
      <w:r>
        <w:rPr>
          <w:rFonts w:hint="eastAsia" w:hAnsi="宋体"/>
          <w:b/>
          <w:color w:val="auto"/>
          <w:sz w:val="24"/>
        </w:rPr>
        <w:t>诉讼</w:t>
      </w:r>
    </w:p>
    <w:p w14:paraId="598B9BC5">
      <w:pPr>
        <w:pStyle w:val="9"/>
        <w:snapToGrid w:val="0"/>
        <w:spacing w:line="360" w:lineRule="auto"/>
        <w:ind w:firstLine="480" w:firstLineChars="200"/>
        <w:rPr>
          <w:rFonts w:hint="eastAsia" w:hAnsi="宋体"/>
          <w:color w:val="auto"/>
          <w:sz w:val="24"/>
        </w:rPr>
      </w:pPr>
      <w:r>
        <w:rPr>
          <w:rFonts w:hint="eastAsia" w:hAnsi="宋体"/>
          <w:color w:val="auto"/>
          <w:sz w:val="24"/>
        </w:rPr>
        <w:t>当事人可以通过和解或者调解解决合同争议。当事人不愿和解、调解或者和解、调解不成的，按下述（二）方式解决：</w:t>
      </w:r>
    </w:p>
    <w:p w14:paraId="393FB8CF">
      <w:pPr>
        <w:pStyle w:val="9"/>
        <w:snapToGrid w:val="0"/>
        <w:spacing w:line="360" w:lineRule="auto"/>
        <w:ind w:firstLine="480" w:firstLineChars="200"/>
        <w:rPr>
          <w:rFonts w:hint="eastAsia" w:hAnsi="宋体"/>
          <w:color w:val="auto"/>
          <w:sz w:val="24"/>
        </w:rPr>
      </w:pPr>
      <w:r>
        <w:rPr>
          <w:rFonts w:hint="eastAsia" w:hAnsi="宋体"/>
          <w:color w:val="auto"/>
          <w:sz w:val="24"/>
        </w:rPr>
        <w:t>（一）提交台州仲裁委员会仲裁。</w:t>
      </w:r>
    </w:p>
    <w:p w14:paraId="524F5DAE">
      <w:pPr>
        <w:pStyle w:val="9"/>
        <w:snapToGrid w:val="0"/>
        <w:spacing w:line="360" w:lineRule="auto"/>
        <w:ind w:firstLine="480" w:firstLineChars="200"/>
        <w:rPr>
          <w:rFonts w:hAnsi="宋体"/>
          <w:color w:val="auto"/>
          <w:sz w:val="24"/>
        </w:rPr>
      </w:pPr>
      <w:r>
        <w:rPr>
          <w:rFonts w:hint="eastAsia" w:hAnsi="宋体"/>
          <w:color w:val="auto"/>
          <w:sz w:val="24"/>
        </w:rPr>
        <w:t>（二）依法向甲方所在地人民法院提起诉讼。</w:t>
      </w:r>
    </w:p>
    <w:p w14:paraId="25352201">
      <w:pPr>
        <w:pStyle w:val="9"/>
        <w:snapToGrid w:val="0"/>
        <w:spacing w:line="360" w:lineRule="auto"/>
        <w:rPr>
          <w:rFonts w:hAnsi="宋体"/>
          <w:b/>
          <w:color w:val="auto"/>
          <w:sz w:val="24"/>
        </w:rPr>
      </w:pPr>
      <w:r>
        <w:rPr>
          <w:rFonts w:hint="eastAsia" w:hAnsi="宋体"/>
          <w:b/>
          <w:color w:val="auto"/>
          <w:sz w:val="24"/>
        </w:rPr>
        <w:t>十</w:t>
      </w:r>
      <w:r>
        <w:rPr>
          <w:rFonts w:hint="eastAsia" w:hAnsi="宋体"/>
          <w:b/>
          <w:color w:val="auto"/>
          <w:sz w:val="24"/>
          <w:lang w:val="en-US" w:eastAsia="zh-CN"/>
        </w:rPr>
        <w:t>七</w:t>
      </w:r>
      <w:r>
        <w:rPr>
          <w:rFonts w:hAnsi="宋体"/>
          <w:b/>
          <w:color w:val="auto"/>
          <w:sz w:val="24"/>
        </w:rPr>
        <w:t>、合同生效及其它</w:t>
      </w:r>
    </w:p>
    <w:p w14:paraId="4319D78A">
      <w:pPr>
        <w:pStyle w:val="9"/>
        <w:snapToGrid w:val="0"/>
        <w:spacing w:line="360" w:lineRule="auto"/>
        <w:ind w:firstLine="480" w:firstLineChars="200"/>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合同经双方法定代表人或授权代表</w:t>
      </w:r>
      <w:r>
        <w:rPr>
          <w:rFonts w:hint="eastAsia" w:hAnsi="宋体"/>
          <w:color w:val="auto"/>
          <w:sz w:val="24"/>
        </w:rPr>
        <w:t>签字</w:t>
      </w:r>
      <w:r>
        <w:rPr>
          <w:rFonts w:hAnsi="宋体"/>
          <w:color w:val="auto"/>
          <w:sz w:val="24"/>
        </w:rPr>
        <w:t>并加盖单位公章后生效。</w:t>
      </w:r>
    </w:p>
    <w:p w14:paraId="57AE075A">
      <w:pPr>
        <w:pStyle w:val="9"/>
        <w:snapToGrid w:val="0"/>
        <w:spacing w:line="360" w:lineRule="auto"/>
        <w:ind w:firstLine="480" w:firstLineChars="200"/>
        <w:rPr>
          <w:rFonts w:hAnsi="宋体"/>
          <w:color w:val="auto"/>
          <w:sz w:val="24"/>
        </w:rPr>
      </w:pPr>
      <w:r>
        <w:rPr>
          <w:rFonts w:hint="eastAsia" w:hAnsi="宋体"/>
          <w:color w:val="auto"/>
          <w:sz w:val="24"/>
        </w:rPr>
        <w:t>2.</w:t>
      </w:r>
      <w:r>
        <w:rPr>
          <w:rFonts w:hAnsi="宋体"/>
          <w:color w:val="auto"/>
          <w:sz w:val="24"/>
        </w:rPr>
        <w:t>本合同未尽事宜，遵照《</w:t>
      </w:r>
      <w:r>
        <w:rPr>
          <w:rFonts w:hint="eastAsia" w:hAnsi="宋体"/>
          <w:color w:val="auto"/>
          <w:sz w:val="24"/>
        </w:rPr>
        <w:t>中华人民共和国民法典</w:t>
      </w:r>
      <w:r>
        <w:rPr>
          <w:rFonts w:hAnsi="宋体"/>
          <w:color w:val="auto"/>
          <w:sz w:val="24"/>
        </w:rPr>
        <w:t>》有关条文执行。</w:t>
      </w:r>
    </w:p>
    <w:p w14:paraId="0DDD83D4">
      <w:pPr>
        <w:widowControl/>
        <w:spacing w:line="360" w:lineRule="auto"/>
        <w:ind w:firstLine="480" w:firstLineChars="200"/>
        <w:jc w:val="left"/>
        <w:rPr>
          <w:rFonts w:ascii="宋体" w:hAnsi="宋体"/>
          <w:color w:val="auto"/>
          <w:sz w:val="24"/>
        </w:rPr>
      </w:pPr>
      <w:r>
        <w:rPr>
          <w:rFonts w:hint="eastAsia" w:ascii="宋体" w:hAnsi="宋体"/>
          <w:color w:val="auto"/>
          <w:sz w:val="24"/>
        </w:rPr>
        <w:t>3.本合同一式</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份。甲、乙双方各执</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份。本项目未尽事宜以</w:t>
      </w:r>
      <w:r>
        <w:rPr>
          <w:rFonts w:hint="eastAsia" w:ascii="宋体" w:hAnsi="宋体"/>
          <w:color w:val="auto"/>
          <w:sz w:val="24"/>
          <w:lang w:eastAsia="zh-CN"/>
        </w:rPr>
        <w:t>采购文件</w:t>
      </w:r>
      <w:r>
        <w:rPr>
          <w:rFonts w:hint="eastAsia" w:ascii="宋体" w:hAnsi="宋体"/>
          <w:color w:val="auto"/>
          <w:sz w:val="24"/>
        </w:rPr>
        <w:t>、投标文件及澄清文件等为准。</w:t>
      </w:r>
    </w:p>
    <w:p w14:paraId="00A9D234">
      <w:pPr>
        <w:spacing w:line="360" w:lineRule="auto"/>
        <w:jc w:val="left"/>
        <w:rPr>
          <w:rFonts w:ascii="宋体" w:hAnsi="宋体"/>
          <w:color w:val="auto"/>
          <w:sz w:val="24"/>
        </w:rPr>
      </w:pPr>
      <w:r>
        <w:rPr>
          <w:rFonts w:hint="eastAsia" w:ascii="宋体" w:hAnsi="宋体"/>
          <w:color w:val="auto"/>
          <w:sz w:val="24"/>
        </w:rPr>
        <w:t>甲方（盖章）                           乙方（盖章）</w:t>
      </w:r>
    </w:p>
    <w:p w14:paraId="72F56696">
      <w:pPr>
        <w:adjustRightInd w:val="0"/>
        <w:snapToGrid w:val="0"/>
        <w:spacing w:line="360" w:lineRule="auto"/>
        <w:jc w:val="left"/>
        <w:rPr>
          <w:rFonts w:ascii="宋体" w:hAnsi="宋体"/>
          <w:color w:val="auto"/>
          <w:sz w:val="24"/>
        </w:rPr>
      </w:pPr>
      <w:r>
        <w:rPr>
          <w:rFonts w:hint="eastAsia" w:ascii="宋体" w:hAnsi="宋体"/>
          <w:color w:val="auto"/>
          <w:sz w:val="24"/>
        </w:rPr>
        <w:t xml:space="preserve">法定代表人或其委托代理人               法定代表人或其委托代理人                        </w:t>
      </w:r>
    </w:p>
    <w:p w14:paraId="502200E4">
      <w:pPr>
        <w:adjustRightInd w:val="0"/>
        <w:snapToGrid w:val="0"/>
        <w:spacing w:line="360" w:lineRule="auto"/>
        <w:jc w:val="left"/>
        <w:rPr>
          <w:rFonts w:ascii="宋体" w:hAnsi="宋体"/>
          <w:color w:val="auto"/>
          <w:sz w:val="24"/>
        </w:rPr>
      </w:pPr>
      <w:r>
        <w:rPr>
          <w:rFonts w:hint="eastAsia" w:ascii="宋体" w:hAnsi="宋体"/>
          <w:color w:val="auto"/>
          <w:sz w:val="24"/>
        </w:rPr>
        <w:t>（签字或盖章）：                      （签字或盖章）：</w:t>
      </w:r>
    </w:p>
    <w:p w14:paraId="16CB1B56">
      <w:pPr>
        <w:spacing w:line="360" w:lineRule="auto"/>
        <w:jc w:val="left"/>
        <w:rPr>
          <w:rFonts w:ascii="宋体" w:hAnsi="宋体"/>
          <w:color w:val="auto"/>
          <w:sz w:val="24"/>
        </w:rPr>
      </w:pPr>
      <w:r>
        <w:rPr>
          <w:rFonts w:hint="eastAsia" w:ascii="宋体" w:hAnsi="宋体"/>
          <w:color w:val="auto"/>
          <w:sz w:val="24"/>
        </w:rPr>
        <w:t>联系电话：                             联系电话：</w:t>
      </w:r>
    </w:p>
    <w:p w14:paraId="53AE2BEF">
      <w:pPr>
        <w:spacing w:line="360" w:lineRule="auto"/>
        <w:jc w:val="left"/>
        <w:rPr>
          <w:rFonts w:ascii="宋体" w:hAnsi="宋体"/>
          <w:color w:val="auto"/>
          <w:sz w:val="24"/>
        </w:rPr>
      </w:pPr>
      <w:r>
        <w:rPr>
          <w:rFonts w:hint="eastAsia" w:ascii="宋体" w:hAnsi="宋体"/>
          <w:color w:val="auto"/>
          <w:sz w:val="24"/>
        </w:rPr>
        <w:t>开户银行：                             开户银行：</w:t>
      </w:r>
    </w:p>
    <w:p w14:paraId="63344890">
      <w:pPr>
        <w:spacing w:line="360" w:lineRule="auto"/>
        <w:jc w:val="left"/>
        <w:rPr>
          <w:rFonts w:ascii="宋体" w:hAnsi="宋体"/>
          <w:color w:val="auto"/>
          <w:sz w:val="24"/>
        </w:rPr>
      </w:pPr>
      <w:r>
        <w:rPr>
          <w:rFonts w:hint="eastAsia" w:ascii="宋体" w:hAnsi="宋体"/>
          <w:color w:val="auto"/>
          <w:sz w:val="24"/>
        </w:rPr>
        <w:t>账号：                                 账号：</w:t>
      </w:r>
    </w:p>
    <w:p w14:paraId="5AC020EE">
      <w:pPr>
        <w:spacing w:line="360" w:lineRule="auto"/>
        <w:jc w:val="left"/>
        <w:rPr>
          <w:rFonts w:hint="eastAsia"/>
          <w:color w:val="auto"/>
        </w:rPr>
      </w:pPr>
      <w:r>
        <w:rPr>
          <w:rFonts w:hint="eastAsia" w:ascii="宋体" w:hAnsi="宋体"/>
          <w:color w:val="auto"/>
          <w:sz w:val="24"/>
        </w:rPr>
        <w:t>地址及邮编：                           地址及邮编：</w:t>
      </w:r>
    </w:p>
    <w:p w14:paraId="5AB3E7D0">
      <w:pPr>
        <w:pStyle w:val="2"/>
        <w:rPr>
          <w:rFonts w:hint="default"/>
          <w:color w:val="auto"/>
          <w:lang w:val="en-US" w:eastAsia="zh-CN"/>
        </w:rPr>
        <w:sectPr>
          <w:pgSz w:w="11906" w:h="16838"/>
          <w:pgMar w:top="1440" w:right="1800" w:bottom="1440" w:left="1800" w:header="851" w:footer="992" w:gutter="0"/>
          <w:cols w:space="720" w:num="1"/>
          <w:docGrid w:type="lines" w:linePitch="312" w:charSpace="0"/>
        </w:sectPr>
      </w:pPr>
    </w:p>
    <w:p w14:paraId="3ABA3CB5">
      <w:pPr>
        <w:widowControl/>
        <w:adjustRightInd w:val="0"/>
        <w:snapToGrid w:val="0"/>
        <w:jc w:val="left"/>
        <w:rPr>
          <w:rFonts w:hint="eastAsia" w:asciiTheme="minorEastAsia" w:hAnsiTheme="minorEastAsia"/>
          <w:color w:val="auto"/>
          <w:sz w:val="28"/>
          <w:szCs w:val="28"/>
          <w:lang w:val="en-US" w:eastAsia="zh-CN"/>
        </w:rPr>
      </w:pPr>
      <w:r>
        <w:rPr>
          <w:rFonts w:hint="eastAsia" w:asciiTheme="minorEastAsia" w:hAnsiTheme="minorEastAsia"/>
          <w:color w:val="auto"/>
          <w:sz w:val="28"/>
          <w:szCs w:val="28"/>
          <w:lang w:eastAsia="zh-CN"/>
        </w:rPr>
        <w:t>附件</w:t>
      </w:r>
      <w:r>
        <w:rPr>
          <w:rFonts w:hint="eastAsia" w:asciiTheme="minorEastAsia" w:hAnsiTheme="minorEastAsia"/>
          <w:color w:val="auto"/>
          <w:sz w:val="28"/>
          <w:szCs w:val="28"/>
          <w:lang w:val="en-US" w:eastAsia="zh-CN"/>
        </w:rPr>
        <w:t>1</w:t>
      </w:r>
    </w:p>
    <w:p w14:paraId="18FB2908">
      <w:pPr>
        <w:spacing w:line="500" w:lineRule="exact"/>
        <w:jc w:val="center"/>
        <w:rPr>
          <w:rFonts w:ascii="宋体" w:hAnsi="宋体" w:eastAsia="Calibri" w:cs="Times New Roman"/>
          <w:b/>
          <w:bCs/>
          <w:color w:val="000000"/>
          <w:kern w:val="0"/>
          <w:sz w:val="44"/>
          <w:szCs w:val="44"/>
        </w:rPr>
      </w:pPr>
      <w:r>
        <w:rPr>
          <w:rFonts w:ascii="宋体" w:hAnsi="宋体" w:eastAsia="Calibri" w:cs="Times New Roman"/>
          <w:b/>
          <w:bCs/>
          <w:color w:val="000000"/>
          <w:kern w:val="0"/>
          <w:sz w:val="44"/>
          <w:szCs w:val="44"/>
        </w:rPr>
        <w:t>授 权 委 托 书</w:t>
      </w:r>
    </w:p>
    <w:p w14:paraId="4ACCAE63">
      <w:pPr>
        <w:spacing w:line="440" w:lineRule="exact"/>
        <w:jc w:val="center"/>
        <w:rPr>
          <w:rFonts w:ascii="宋体" w:hAnsi="Calibri" w:eastAsia="黑体" w:cs="Times New Roman"/>
          <w:color w:val="000000"/>
          <w:kern w:val="0"/>
          <w:sz w:val="34"/>
          <w:szCs w:val="20"/>
        </w:rPr>
      </w:pPr>
    </w:p>
    <w:p w14:paraId="2F2EBF29">
      <w:pPr>
        <w:spacing w:line="440" w:lineRule="exact"/>
        <w:jc w:val="center"/>
        <w:rPr>
          <w:rFonts w:ascii="宋体" w:hAnsi="Calibri" w:eastAsia="黑体" w:cs="Times New Roman"/>
          <w:color w:val="000000"/>
          <w:kern w:val="0"/>
          <w:sz w:val="24"/>
          <w:szCs w:val="20"/>
        </w:rPr>
      </w:pPr>
    </w:p>
    <w:p w14:paraId="56D44293">
      <w:pPr>
        <w:spacing w:line="440" w:lineRule="exact"/>
        <w:jc w:val="center"/>
        <w:rPr>
          <w:rFonts w:ascii="宋体" w:hAnsi="Calibri" w:eastAsia="黑体" w:cs="Times New Roman"/>
          <w:color w:val="000000"/>
          <w:kern w:val="0"/>
          <w:sz w:val="24"/>
          <w:szCs w:val="20"/>
        </w:rPr>
      </w:pPr>
    </w:p>
    <w:p w14:paraId="26BC1546">
      <w:pPr>
        <w:tabs>
          <w:tab w:val="center" w:pos="4153"/>
        </w:tabs>
        <w:spacing w:line="360" w:lineRule="auto"/>
        <w:ind w:firstLine="480" w:firstLineChars="200"/>
        <w:rPr>
          <w:rFonts w:hint="eastAsia" w:ascii="宋体" w:hAnsi="Calibri" w:eastAsia="Calibri" w:cs="Times New Roman"/>
          <w:color w:val="000000"/>
          <w:kern w:val="0"/>
          <w:sz w:val="24"/>
          <w:szCs w:val="20"/>
          <w:u w:val="single"/>
        </w:rPr>
      </w:pPr>
      <w:r>
        <w:rPr>
          <w:rFonts w:ascii="宋体" w:hAnsi="Calibri" w:eastAsia="Calibri" w:cs="Times New Roman"/>
          <w:color w:val="000000"/>
          <w:kern w:val="0"/>
          <w:sz w:val="24"/>
          <w:szCs w:val="20"/>
        </w:rPr>
        <w:t xml:space="preserve">本授权委托书声明：我 </w:t>
      </w:r>
      <w:r>
        <w:rPr>
          <w:rFonts w:ascii="宋体" w:hAnsi="Calibri" w:eastAsia="Calibri" w:cs="Times New Roman"/>
          <w:color w:val="000000"/>
          <w:kern w:val="0"/>
          <w:sz w:val="24"/>
          <w:szCs w:val="20"/>
          <w:u w:val="single"/>
        </w:rPr>
        <w:t xml:space="preserve">        </w:t>
      </w:r>
      <w:r>
        <w:rPr>
          <w:rFonts w:ascii="宋体" w:hAnsi="Calibri" w:eastAsia="Calibri" w:cs="Times New Roman"/>
          <w:color w:val="000000"/>
          <w:kern w:val="0"/>
          <w:sz w:val="24"/>
          <w:szCs w:val="20"/>
        </w:rPr>
        <w:t xml:space="preserve">（姓名）系 </w:t>
      </w:r>
      <w:r>
        <w:rPr>
          <w:rFonts w:ascii="宋体" w:hAnsi="Calibri" w:eastAsia="Calibri" w:cs="Times New Roman"/>
          <w:color w:val="000000"/>
          <w:kern w:val="0"/>
          <w:sz w:val="24"/>
          <w:szCs w:val="20"/>
          <w:u w:val="single"/>
        </w:rPr>
        <w:t xml:space="preserve">             </w:t>
      </w:r>
      <w:r>
        <w:rPr>
          <w:rFonts w:ascii="宋体" w:hAnsi="Calibri" w:eastAsia="Calibri" w:cs="Times New Roman"/>
          <w:color w:val="000000"/>
          <w:kern w:val="0"/>
          <w:sz w:val="24"/>
          <w:szCs w:val="20"/>
          <w:u w:val="single"/>
        </w:rPr>
        <w:tab/>
      </w:r>
      <w:r>
        <w:rPr>
          <w:rFonts w:ascii="宋体" w:hAnsi="Calibri" w:eastAsia="Calibri" w:cs="Times New Roman"/>
          <w:color w:val="000000"/>
          <w:kern w:val="0"/>
          <w:sz w:val="24"/>
          <w:szCs w:val="20"/>
          <w:u w:val="single"/>
        </w:rPr>
        <w:tab/>
      </w:r>
      <w:r>
        <w:rPr>
          <w:rFonts w:ascii="宋体" w:hAnsi="Calibri" w:eastAsia="Calibri" w:cs="Times New Roman"/>
          <w:color w:val="000000"/>
          <w:kern w:val="0"/>
          <w:sz w:val="24"/>
          <w:szCs w:val="20"/>
          <w:u w:val="single"/>
        </w:rPr>
        <w:tab/>
      </w:r>
      <w:r>
        <w:rPr>
          <w:rFonts w:ascii="宋体" w:hAnsi="Calibri" w:eastAsia="Calibri" w:cs="Times New Roman"/>
          <w:color w:val="000000"/>
          <w:kern w:val="0"/>
          <w:sz w:val="24"/>
          <w:szCs w:val="20"/>
          <w:u w:val="single"/>
        </w:rPr>
        <w:tab/>
      </w:r>
      <w:r>
        <w:rPr>
          <w:rFonts w:ascii="宋体" w:hAnsi="Calibri" w:eastAsia="Calibri" w:cs="Times New Roman"/>
          <w:color w:val="000000"/>
          <w:kern w:val="0"/>
          <w:sz w:val="24"/>
          <w:szCs w:val="20"/>
        </w:rPr>
        <w:t>（</w:t>
      </w:r>
      <w:r>
        <w:rPr>
          <w:rFonts w:hint="eastAsia" w:ascii="宋体" w:hAnsi="Calibri" w:eastAsia="宋体" w:cs="Times New Roman"/>
          <w:color w:val="000000"/>
          <w:kern w:val="0"/>
          <w:sz w:val="24"/>
          <w:szCs w:val="20"/>
          <w:lang w:eastAsia="zh-CN"/>
        </w:rPr>
        <w:t>供应商</w:t>
      </w:r>
      <w:r>
        <w:rPr>
          <w:rFonts w:ascii="宋体" w:hAnsi="Calibri" w:eastAsia="Calibri" w:cs="Times New Roman"/>
          <w:color w:val="000000"/>
          <w:kern w:val="0"/>
          <w:sz w:val="24"/>
          <w:szCs w:val="20"/>
        </w:rPr>
        <w:t>名称）的法定代表人，现授权委托</w:t>
      </w:r>
      <w:r>
        <w:rPr>
          <w:rFonts w:ascii="宋体" w:hAnsi="Calibri" w:eastAsia="Calibri" w:cs="Times New Roman"/>
          <w:color w:val="000000"/>
          <w:kern w:val="0"/>
          <w:sz w:val="24"/>
          <w:szCs w:val="20"/>
          <w:u w:val="single"/>
        </w:rPr>
        <w:t xml:space="preserve">        </w:t>
      </w:r>
      <w:r>
        <w:rPr>
          <w:rFonts w:ascii="宋体" w:hAnsi="Calibri" w:eastAsia="Calibri" w:cs="Times New Roman"/>
          <w:color w:val="000000"/>
          <w:kern w:val="0"/>
          <w:sz w:val="24"/>
          <w:szCs w:val="20"/>
          <w:u w:val="single"/>
        </w:rPr>
        <w:tab/>
      </w:r>
      <w:r>
        <w:rPr>
          <w:rFonts w:ascii="宋体" w:hAnsi="Calibri" w:eastAsia="Calibri" w:cs="Times New Roman"/>
          <w:color w:val="000000"/>
          <w:kern w:val="0"/>
          <w:sz w:val="24"/>
          <w:szCs w:val="20"/>
          <w:u w:val="single"/>
        </w:rPr>
        <w:t xml:space="preserve"> (</w:t>
      </w:r>
      <w:r>
        <w:rPr>
          <w:rFonts w:ascii="宋体" w:hAnsi="Calibri" w:eastAsia="Calibri" w:cs="Times New Roman"/>
          <w:color w:val="000000"/>
          <w:kern w:val="0"/>
          <w:sz w:val="24"/>
          <w:szCs w:val="20"/>
        </w:rPr>
        <w:t>姓名)为我公司的合法代理人，全权代表我公司参加</w:t>
      </w:r>
      <w:r>
        <w:rPr>
          <w:rFonts w:hint="eastAsia" w:ascii="宋体" w:hAnsi="Calibri" w:eastAsia="Calibri" w:cs="Times New Roman"/>
          <w:color w:val="000000"/>
          <w:kern w:val="0"/>
          <w:sz w:val="24"/>
          <w:szCs w:val="20"/>
          <w:u w:val="single"/>
        </w:rPr>
        <w:t xml:space="preserve">                                           </w:t>
      </w:r>
    </w:p>
    <w:p w14:paraId="4DA5B482">
      <w:pPr>
        <w:tabs>
          <w:tab w:val="center" w:pos="4153"/>
        </w:tabs>
        <w:spacing w:line="360" w:lineRule="auto"/>
        <w:rPr>
          <w:rFonts w:ascii="宋体" w:hAnsi="Calibri" w:eastAsia="Calibri" w:cs="Times New Roman"/>
          <w:color w:val="000000"/>
          <w:kern w:val="0"/>
          <w:sz w:val="24"/>
          <w:szCs w:val="20"/>
        </w:rPr>
      </w:pPr>
      <w:r>
        <w:rPr>
          <w:rFonts w:hint="eastAsia" w:ascii="宋体" w:hAnsi="Calibri" w:eastAsia="宋体" w:cs="Times New Roman"/>
          <w:color w:val="000000"/>
          <w:kern w:val="0"/>
          <w:sz w:val="24"/>
          <w:szCs w:val="20"/>
          <w:lang w:eastAsia="zh-CN"/>
        </w:rPr>
        <w:t>询价</w:t>
      </w:r>
      <w:r>
        <w:rPr>
          <w:rFonts w:ascii="宋体" w:hAnsi="Calibri" w:eastAsia="Calibri" w:cs="Times New Roman"/>
          <w:color w:val="000000"/>
          <w:kern w:val="0"/>
          <w:sz w:val="24"/>
          <w:szCs w:val="20"/>
        </w:rPr>
        <w:t>活动，以本公司名义签署</w:t>
      </w:r>
      <w:r>
        <w:rPr>
          <w:rFonts w:hint="eastAsia" w:ascii="宋体" w:hAnsi="Calibri" w:eastAsia="宋体" w:cs="Times New Roman"/>
          <w:color w:val="000000"/>
          <w:kern w:val="0"/>
          <w:sz w:val="24"/>
          <w:szCs w:val="20"/>
          <w:lang w:eastAsia="zh-CN"/>
        </w:rPr>
        <w:t>询价</w:t>
      </w:r>
      <w:r>
        <w:rPr>
          <w:rFonts w:ascii="宋体" w:hAnsi="Calibri" w:eastAsia="Calibri" w:cs="Times New Roman"/>
          <w:color w:val="000000"/>
          <w:kern w:val="0"/>
          <w:sz w:val="24"/>
          <w:szCs w:val="20"/>
        </w:rPr>
        <w:t>文件、参加开标、询标以及处理与之有关的一切事宜。我承认代理人在上述活动中所签署的所有内容。</w:t>
      </w:r>
    </w:p>
    <w:p w14:paraId="1CC292FC">
      <w:pPr>
        <w:tabs>
          <w:tab w:val="center" w:pos="4153"/>
        </w:tabs>
        <w:spacing w:line="360" w:lineRule="auto"/>
        <w:ind w:firstLine="480" w:firstLineChars="200"/>
        <w:rPr>
          <w:rFonts w:ascii="宋体" w:hAnsi="Calibri" w:eastAsia="Calibri" w:cs="Times New Roman"/>
          <w:color w:val="000000"/>
          <w:kern w:val="0"/>
          <w:sz w:val="24"/>
          <w:szCs w:val="20"/>
        </w:rPr>
      </w:pPr>
      <w:r>
        <w:rPr>
          <w:rFonts w:ascii="宋体" w:hAnsi="Calibri" w:eastAsia="Calibri" w:cs="Times New Roman"/>
          <w:color w:val="000000"/>
          <w:kern w:val="0"/>
          <w:sz w:val="24"/>
          <w:szCs w:val="20"/>
        </w:rPr>
        <w:t>代理人无转委托权，特此委托。</w:t>
      </w:r>
    </w:p>
    <w:p w14:paraId="4C1FB760">
      <w:pPr>
        <w:tabs>
          <w:tab w:val="center" w:pos="4153"/>
        </w:tabs>
        <w:spacing w:line="440" w:lineRule="exact"/>
        <w:rPr>
          <w:rFonts w:ascii="宋体" w:hAnsi="Calibri" w:eastAsia="Calibri" w:cs="Times New Roman"/>
          <w:color w:val="000000"/>
          <w:kern w:val="0"/>
          <w:sz w:val="24"/>
          <w:szCs w:val="20"/>
        </w:rPr>
      </w:pPr>
    </w:p>
    <w:p w14:paraId="6B5138D7">
      <w:pPr>
        <w:tabs>
          <w:tab w:val="center" w:pos="4153"/>
        </w:tabs>
        <w:spacing w:line="440" w:lineRule="exact"/>
        <w:rPr>
          <w:rFonts w:ascii="宋体" w:hAnsi="Calibri" w:eastAsia="Calibri" w:cs="Times New Roman"/>
          <w:color w:val="000000"/>
          <w:kern w:val="0"/>
          <w:sz w:val="24"/>
          <w:szCs w:val="20"/>
        </w:rPr>
      </w:pPr>
    </w:p>
    <w:p w14:paraId="4B6EF10D">
      <w:pPr>
        <w:tabs>
          <w:tab w:val="center" w:pos="4153"/>
        </w:tabs>
        <w:spacing w:line="440" w:lineRule="exact"/>
        <w:rPr>
          <w:rFonts w:ascii="宋体" w:hAnsi="Calibri" w:eastAsia="Calibri" w:cs="Times New Roman"/>
          <w:color w:val="000000"/>
          <w:kern w:val="0"/>
          <w:sz w:val="24"/>
          <w:szCs w:val="20"/>
        </w:rPr>
      </w:pPr>
    </w:p>
    <w:p w14:paraId="6BC1B2A5">
      <w:pPr>
        <w:tabs>
          <w:tab w:val="center" w:pos="4153"/>
        </w:tabs>
        <w:spacing w:line="600" w:lineRule="exact"/>
        <w:ind w:firstLine="3084" w:firstLineChars="1285"/>
        <w:rPr>
          <w:rFonts w:hint="eastAsia" w:ascii="宋体" w:hAnsi="Calibri" w:eastAsia="Calibri" w:cs="Times New Roman"/>
          <w:color w:val="000000"/>
          <w:kern w:val="0"/>
          <w:sz w:val="24"/>
          <w:szCs w:val="20"/>
          <w:u w:val="single"/>
          <w:vertAlign w:val="subscript"/>
        </w:rPr>
      </w:pPr>
      <w:r>
        <w:rPr>
          <w:rFonts w:hint="eastAsia" w:asciiTheme="minorEastAsia" w:hAnsiTheme="minorEastAsia" w:eastAsiaTheme="minorEastAsia" w:cstheme="minorBidi"/>
          <w:color w:val="auto"/>
          <w:kern w:val="2"/>
          <w:sz w:val="24"/>
          <w:szCs w:val="24"/>
          <w:lang w:val="en-US" w:eastAsia="zh-CN" w:bidi="ar-SA"/>
        </w:rPr>
        <w:t>投标人（盖章）</w:t>
      </w:r>
      <w:r>
        <w:rPr>
          <w:rFonts w:ascii="宋体" w:hAnsi="Calibri" w:eastAsia="Calibri" w:cs="Times New Roman"/>
          <w:color w:val="000000"/>
          <w:kern w:val="0"/>
          <w:sz w:val="24"/>
          <w:szCs w:val="20"/>
        </w:rPr>
        <w:t>：</w:t>
      </w:r>
      <w:r>
        <w:rPr>
          <w:rFonts w:ascii="宋体" w:hAnsi="Calibri" w:eastAsia="Calibri" w:cs="Times New Roman"/>
          <w:color w:val="000000"/>
          <w:kern w:val="0"/>
          <w:sz w:val="24"/>
          <w:szCs w:val="20"/>
          <w:u w:val="single"/>
          <w:vertAlign w:val="subscript"/>
        </w:rPr>
        <w:tab/>
      </w:r>
      <w:r>
        <w:rPr>
          <w:rFonts w:ascii="宋体" w:hAnsi="Calibri" w:eastAsia="Calibri" w:cs="Times New Roman"/>
          <w:color w:val="000000"/>
          <w:kern w:val="0"/>
          <w:sz w:val="24"/>
          <w:szCs w:val="20"/>
          <w:u w:val="single"/>
          <w:vertAlign w:val="subscript"/>
        </w:rPr>
        <w:tab/>
      </w:r>
      <w:r>
        <w:rPr>
          <w:rFonts w:ascii="宋体" w:hAnsi="Calibri" w:eastAsia="Calibri" w:cs="Times New Roman"/>
          <w:color w:val="000000"/>
          <w:kern w:val="0"/>
          <w:sz w:val="24"/>
          <w:szCs w:val="20"/>
          <w:u w:val="single"/>
          <w:vertAlign w:val="subscript"/>
        </w:rPr>
        <w:tab/>
      </w:r>
    </w:p>
    <w:p w14:paraId="555CC4A4">
      <w:pPr>
        <w:tabs>
          <w:tab w:val="center" w:pos="4153"/>
        </w:tabs>
        <w:spacing w:line="600" w:lineRule="exact"/>
        <w:ind w:firstLine="3084" w:firstLineChars="1285"/>
        <w:rPr>
          <w:rFonts w:hint="eastAsia" w:ascii="宋体" w:hAnsi="Calibri" w:eastAsia="Calibri" w:cs="Times New Roman"/>
          <w:color w:val="000000"/>
          <w:kern w:val="0"/>
          <w:sz w:val="24"/>
          <w:szCs w:val="20"/>
        </w:rPr>
      </w:pPr>
    </w:p>
    <w:p w14:paraId="56B423BF">
      <w:pPr>
        <w:tabs>
          <w:tab w:val="center" w:pos="4153"/>
        </w:tabs>
        <w:spacing w:line="600" w:lineRule="exact"/>
        <w:ind w:firstLine="3084" w:firstLineChars="1285"/>
        <w:rPr>
          <w:rFonts w:hint="eastAsia" w:ascii="宋体" w:hAnsi="Calibri" w:eastAsia="Calibri" w:cs="Times New Roman"/>
          <w:color w:val="000000"/>
          <w:kern w:val="0"/>
          <w:sz w:val="24"/>
          <w:szCs w:val="20"/>
          <w:u w:val="single"/>
          <w:vertAlign w:val="subscript"/>
        </w:rPr>
      </w:pPr>
      <w:r>
        <w:rPr>
          <w:rFonts w:ascii="宋体" w:hAnsi="Calibri" w:eastAsia="Calibri" w:cs="Times New Roman"/>
          <w:color w:val="000000"/>
          <w:kern w:val="0"/>
          <w:sz w:val="24"/>
          <w:szCs w:val="20"/>
        </w:rPr>
        <w:t>法定代表人（签字或盖章）：</w:t>
      </w:r>
      <w:r>
        <w:rPr>
          <w:rFonts w:ascii="宋体" w:hAnsi="Calibri" w:eastAsia="Calibri" w:cs="Times New Roman"/>
          <w:color w:val="000000"/>
          <w:kern w:val="0"/>
          <w:sz w:val="24"/>
          <w:szCs w:val="20"/>
          <w:u w:val="single"/>
          <w:vertAlign w:val="subscript"/>
        </w:rPr>
        <w:tab/>
      </w:r>
      <w:r>
        <w:rPr>
          <w:rFonts w:ascii="宋体" w:hAnsi="Calibri" w:eastAsia="Calibri" w:cs="Times New Roman"/>
          <w:color w:val="000000"/>
          <w:kern w:val="0"/>
          <w:sz w:val="24"/>
          <w:szCs w:val="20"/>
          <w:u w:val="single"/>
          <w:vertAlign w:val="subscript"/>
        </w:rPr>
        <w:tab/>
      </w:r>
      <w:r>
        <w:rPr>
          <w:rFonts w:ascii="宋体" w:hAnsi="Calibri" w:eastAsia="Calibri" w:cs="Times New Roman"/>
          <w:color w:val="000000"/>
          <w:kern w:val="0"/>
          <w:sz w:val="24"/>
          <w:szCs w:val="20"/>
          <w:u w:val="single"/>
          <w:vertAlign w:val="subscript"/>
        </w:rPr>
        <w:tab/>
      </w:r>
    </w:p>
    <w:p w14:paraId="7B259AA7">
      <w:pPr>
        <w:tabs>
          <w:tab w:val="center" w:pos="4153"/>
        </w:tabs>
        <w:spacing w:line="600" w:lineRule="exact"/>
        <w:ind w:firstLine="3084" w:firstLineChars="1285"/>
        <w:rPr>
          <w:rFonts w:hint="eastAsia" w:ascii="宋体" w:hAnsi="Calibri" w:eastAsia="Calibri" w:cs="Times New Roman"/>
          <w:color w:val="000000"/>
          <w:kern w:val="0"/>
          <w:sz w:val="24"/>
          <w:szCs w:val="20"/>
          <w:u w:val="single"/>
          <w:vertAlign w:val="subscript"/>
        </w:rPr>
      </w:pPr>
    </w:p>
    <w:p w14:paraId="7F0AED27">
      <w:pPr>
        <w:pStyle w:val="2"/>
        <w:jc w:val="right"/>
        <w:rPr>
          <w:rFonts w:hint="eastAsia"/>
          <w:lang w:val="en-US" w:eastAsia="zh-CN"/>
        </w:rPr>
      </w:pPr>
      <w:r>
        <w:rPr>
          <w:rFonts w:ascii="宋体" w:hAnsi="Calibri" w:eastAsia="Calibri" w:cs="Times New Roman"/>
          <w:color w:val="000000"/>
          <w:kern w:val="0"/>
          <w:sz w:val="24"/>
          <w:szCs w:val="20"/>
        </w:rPr>
        <w:t>授权委托日期：</w:t>
      </w:r>
      <w:r>
        <w:rPr>
          <w:rFonts w:ascii="宋体" w:hAnsi="Calibri" w:eastAsia="Calibri" w:cs="Times New Roman"/>
          <w:color w:val="000000"/>
          <w:kern w:val="0"/>
          <w:sz w:val="24"/>
          <w:szCs w:val="20"/>
          <w:u w:val="single"/>
        </w:rPr>
        <w:t xml:space="preserve">      </w:t>
      </w:r>
      <w:r>
        <w:rPr>
          <w:rFonts w:ascii="宋体" w:hAnsi="Calibri" w:eastAsia="Calibri" w:cs="Times New Roman"/>
          <w:color w:val="000000"/>
          <w:kern w:val="0"/>
          <w:sz w:val="24"/>
          <w:szCs w:val="20"/>
        </w:rPr>
        <w:t>年</w:t>
      </w:r>
      <w:r>
        <w:rPr>
          <w:rFonts w:ascii="宋体" w:hAnsi="Calibri" w:eastAsia="Calibri" w:cs="Times New Roman"/>
          <w:color w:val="000000"/>
          <w:kern w:val="0"/>
          <w:sz w:val="24"/>
          <w:szCs w:val="20"/>
          <w:u w:val="single"/>
        </w:rPr>
        <w:t xml:space="preserve">      </w:t>
      </w:r>
      <w:r>
        <w:rPr>
          <w:rFonts w:ascii="宋体" w:hAnsi="Calibri" w:eastAsia="Calibri" w:cs="Times New Roman"/>
          <w:color w:val="000000"/>
          <w:kern w:val="0"/>
          <w:sz w:val="24"/>
          <w:szCs w:val="20"/>
        </w:rPr>
        <w:t>月</w:t>
      </w:r>
      <w:r>
        <w:rPr>
          <w:rFonts w:ascii="宋体" w:hAnsi="Calibri" w:eastAsia="Calibri" w:cs="Times New Roman"/>
          <w:color w:val="000000"/>
          <w:kern w:val="0"/>
          <w:sz w:val="24"/>
          <w:szCs w:val="20"/>
          <w:u w:val="single"/>
        </w:rPr>
        <w:t xml:space="preserve">      </w:t>
      </w:r>
      <w:r>
        <w:rPr>
          <w:rFonts w:ascii="宋体" w:hAnsi="Calibri" w:eastAsia="Calibri" w:cs="Times New Roman"/>
          <w:color w:val="000000"/>
          <w:kern w:val="0"/>
          <w:sz w:val="24"/>
          <w:szCs w:val="20"/>
        </w:rPr>
        <w:t>日</w:t>
      </w:r>
    </w:p>
    <w:p w14:paraId="065477A3">
      <w:pPr>
        <w:rPr>
          <w:rFonts w:hint="eastAsia" w:ascii="宋体" w:hAnsi="宋体"/>
          <w:b/>
          <w:color w:val="auto"/>
          <w:kern w:val="0"/>
          <w:sz w:val="32"/>
          <w:szCs w:val="32"/>
          <w:highlight w:val="none"/>
        </w:rPr>
      </w:pPr>
      <w:r>
        <w:rPr>
          <w:rFonts w:hint="eastAsia" w:ascii="宋体" w:hAnsi="宋体"/>
          <w:b/>
          <w:color w:val="auto"/>
          <w:kern w:val="0"/>
          <w:sz w:val="32"/>
          <w:szCs w:val="32"/>
          <w:highlight w:val="none"/>
        </w:rPr>
        <w:br w:type="page"/>
      </w:r>
    </w:p>
    <w:p w14:paraId="169AE552">
      <w:pPr>
        <w:widowControl/>
        <w:adjustRightInd w:val="0"/>
        <w:snapToGrid w:val="0"/>
        <w:jc w:val="left"/>
        <w:rPr>
          <w:rFonts w:hint="eastAsia" w:asciiTheme="minorEastAsia" w:hAnsiTheme="minorEastAsia"/>
          <w:color w:val="auto"/>
          <w:sz w:val="28"/>
          <w:szCs w:val="28"/>
          <w:lang w:val="en-US" w:eastAsia="zh-CN"/>
        </w:rPr>
      </w:pPr>
      <w:r>
        <w:rPr>
          <w:rFonts w:hint="eastAsia" w:asciiTheme="minorEastAsia" w:hAnsiTheme="minorEastAsia"/>
          <w:color w:val="auto"/>
          <w:sz w:val="28"/>
          <w:szCs w:val="28"/>
          <w:lang w:eastAsia="zh-CN"/>
        </w:rPr>
        <w:t>附件</w:t>
      </w:r>
      <w:r>
        <w:rPr>
          <w:rFonts w:hint="eastAsia" w:asciiTheme="minorEastAsia" w:hAnsiTheme="minorEastAsia"/>
          <w:color w:val="auto"/>
          <w:sz w:val="28"/>
          <w:szCs w:val="28"/>
          <w:lang w:val="en-US" w:eastAsia="zh-CN"/>
        </w:rPr>
        <w:t>2</w:t>
      </w:r>
    </w:p>
    <w:p w14:paraId="298C6CF9">
      <w:pPr>
        <w:widowControl/>
        <w:adjustRightInd w:val="0"/>
        <w:snapToGrid w:val="0"/>
        <w:jc w:val="center"/>
        <w:rPr>
          <w:rFonts w:hint="eastAsia" w:ascii="宋体" w:hAnsi="宋体"/>
          <w:b/>
          <w:color w:val="auto"/>
          <w:kern w:val="0"/>
          <w:sz w:val="32"/>
          <w:szCs w:val="32"/>
          <w:highlight w:val="none"/>
        </w:rPr>
      </w:pPr>
    </w:p>
    <w:p w14:paraId="35FDFF32">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68B5ADB4">
      <w:pPr>
        <w:widowControl/>
        <w:adjustRightInd w:val="0"/>
        <w:snapToGrid w:val="0"/>
        <w:jc w:val="center"/>
        <w:rPr>
          <w:rFonts w:ascii="宋体" w:hAnsi="宋体"/>
          <w:b/>
          <w:color w:val="auto"/>
          <w:kern w:val="0"/>
          <w:sz w:val="32"/>
          <w:szCs w:val="32"/>
          <w:highlight w:val="none"/>
        </w:rPr>
      </w:pPr>
    </w:p>
    <w:p w14:paraId="6F44ED3B">
      <w:pPr>
        <w:widowControl/>
        <w:adjustRightInd w:val="0"/>
        <w:snapToGrid w:val="0"/>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1834CA7B">
      <w:pPr>
        <w:adjustRightInd w:val="0"/>
        <w:snapToGrid w:val="0"/>
        <w:jc w:val="left"/>
        <w:rPr>
          <w:rFonts w:ascii="宋体" w:hAnsi="宋体"/>
          <w:b/>
          <w:color w:val="auto"/>
          <w:kern w:val="0"/>
          <w:sz w:val="32"/>
          <w:szCs w:val="32"/>
          <w:highlight w:val="none"/>
        </w:rPr>
      </w:pPr>
    </w:p>
    <w:p w14:paraId="159B14B5">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台州市自然资源和规划信息中心</w:t>
      </w:r>
      <w:r>
        <w:rPr>
          <w:rFonts w:ascii="宋体" w:hAnsi="宋体"/>
          <w:color w:val="auto"/>
          <w:kern w:val="0"/>
          <w:sz w:val="24"/>
          <w:highlight w:val="none"/>
        </w:rPr>
        <w:t>：</w:t>
      </w:r>
    </w:p>
    <w:p w14:paraId="2EC4B46C">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66213579">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1CADE456">
      <w:pPr>
        <w:spacing w:line="600" w:lineRule="exact"/>
        <w:jc w:val="left"/>
        <w:rPr>
          <w:rFonts w:hint="eastAsia" w:asciiTheme="minorEastAsia" w:hAnsiTheme="minorEastAsia" w:eastAsiaTheme="minorEastAsia" w:cstheme="minorBidi"/>
          <w:color w:val="auto"/>
          <w:kern w:val="2"/>
          <w:sz w:val="24"/>
          <w:szCs w:val="24"/>
          <w:lang w:val="en-US" w:eastAsia="zh-CN" w:bidi="ar-SA"/>
        </w:rPr>
      </w:pPr>
    </w:p>
    <w:p w14:paraId="57F33401">
      <w:pPr>
        <w:adjustRightInd w:val="0"/>
        <w:snapToGrid w:val="0"/>
        <w:spacing w:line="360" w:lineRule="auto"/>
        <w:jc w:val="right"/>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法定代表人或委托代理人（签字或盖章):</w:t>
      </w:r>
    </w:p>
    <w:p w14:paraId="50FF22CB">
      <w:pPr>
        <w:adjustRightInd w:val="0"/>
        <w:snapToGrid w:val="0"/>
        <w:spacing w:line="360" w:lineRule="auto"/>
        <w:jc w:val="right"/>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投标人（盖章）：</w:t>
      </w:r>
    </w:p>
    <w:p w14:paraId="514256F8">
      <w:pPr>
        <w:pStyle w:val="19"/>
        <w:spacing w:line="360" w:lineRule="auto"/>
        <w:jc w:val="right"/>
        <w:rPr>
          <w:rFonts w:hint="default"/>
          <w:color w:val="auto"/>
          <w:lang w:val="en-US"/>
        </w:rPr>
      </w:pPr>
      <w:r>
        <w:rPr>
          <w:rFonts w:hint="eastAsia" w:asciiTheme="minorEastAsia" w:hAnsiTheme="minorEastAsia" w:eastAsiaTheme="minorEastAsia" w:cstheme="minorBidi"/>
          <w:color w:val="auto"/>
          <w:kern w:val="2"/>
          <w:sz w:val="24"/>
          <w:szCs w:val="24"/>
          <w:lang w:val="en-US" w:eastAsia="zh-CN" w:bidi="ar-SA"/>
        </w:rPr>
        <w:t>年  月  日</w:t>
      </w:r>
    </w:p>
    <w:p w14:paraId="296937EA">
      <w:pPr>
        <w:rPr>
          <w:rFonts w:hint="eastAsia" w:ascii="宋体" w:hAnsi="宋体" w:eastAsiaTheme="minorEastAsia"/>
          <w:b/>
          <w:color w:val="auto"/>
          <w:sz w:val="28"/>
          <w:highlight w:val="none"/>
          <w:lang w:eastAsia="zh-CN"/>
        </w:rPr>
      </w:pPr>
      <w:r>
        <w:rPr>
          <w:rFonts w:hint="eastAsia"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3</w:t>
      </w:r>
    </w:p>
    <w:p w14:paraId="66C557C1">
      <w:pPr>
        <w:jc w:val="center"/>
        <w:rPr>
          <w:rFonts w:ascii="宋体" w:hAnsi="宋体"/>
          <w:b/>
          <w:color w:val="auto"/>
          <w:kern w:val="0"/>
          <w:sz w:val="32"/>
          <w:szCs w:val="32"/>
          <w:highlight w:val="none"/>
        </w:rPr>
      </w:pPr>
    </w:p>
    <w:p w14:paraId="280DE064">
      <w:pPr>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16C4718D">
      <w:pPr>
        <w:jc w:val="center"/>
        <w:rPr>
          <w:rFonts w:ascii="宋体" w:hAnsi="宋体"/>
          <w:b/>
          <w:color w:val="auto"/>
          <w:kern w:val="0"/>
          <w:sz w:val="32"/>
          <w:szCs w:val="32"/>
          <w:highlight w:val="none"/>
        </w:rPr>
      </w:pPr>
    </w:p>
    <w:p w14:paraId="114DB315">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台州市自然资源和规划信息中心</w:t>
      </w:r>
      <w:r>
        <w:rPr>
          <w:rFonts w:ascii="宋体" w:hAnsi="宋体"/>
          <w:color w:val="auto"/>
          <w:kern w:val="0"/>
          <w:sz w:val="24"/>
          <w:highlight w:val="none"/>
        </w:rPr>
        <w:t>：</w:t>
      </w:r>
    </w:p>
    <w:p w14:paraId="25412B2F">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3D450284">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0B0E7381">
      <w:pPr>
        <w:spacing w:line="600" w:lineRule="exact"/>
        <w:ind w:firstLine="480" w:firstLineChars="200"/>
        <w:jc w:val="center"/>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法定代表人</w:t>
      </w:r>
      <w:r>
        <w:rPr>
          <w:rFonts w:hint="eastAsia" w:asciiTheme="minorEastAsia" w:hAnsiTheme="minorEastAsia" w:cstheme="minorBidi"/>
          <w:color w:val="auto"/>
          <w:kern w:val="2"/>
          <w:sz w:val="24"/>
          <w:szCs w:val="24"/>
          <w:lang w:val="en-US" w:eastAsia="zh-CN" w:bidi="ar-SA"/>
        </w:rPr>
        <w:t>或委托代理人</w:t>
      </w:r>
      <w:r>
        <w:rPr>
          <w:rFonts w:hint="eastAsia" w:asciiTheme="minorEastAsia" w:hAnsiTheme="minorEastAsia" w:eastAsiaTheme="minorEastAsia" w:cstheme="minorBidi"/>
          <w:color w:val="auto"/>
          <w:kern w:val="2"/>
          <w:sz w:val="24"/>
          <w:szCs w:val="24"/>
          <w:lang w:val="en-US" w:eastAsia="zh-CN" w:bidi="ar-SA"/>
        </w:rPr>
        <w:t>（签字或盖章):</w:t>
      </w:r>
    </w:p>
    <w:p w14:paraId="252B0D8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Theme="minorEastAsia" w:hAnsiTheme="minorEastAsia" w:eastAsiaTheme="minorEastAsia" w:cstheme="minorBidi"/>
          <w:color w:val="auto"/>
          <w:kern w:val="2"/>
          <w:sz w:val="24"/>
          <w:szCs w:val="24"/>
          <w:lang w:val="en-US" w:eastAsia="zh-CN" w:bidi="ar-SA"/>
        </w:rPr>
        <w:t>投标人（盖章）：</w:t>
      </w:r>
    </w:p>
    <w:p w14:paraId="729FC28F">
      <w:pPr>
        <w:jc w:val="center"/>
        <w:rPr>
          <w:rFonts w:ascii="宋体" w:hAnsi="宋体"/>
          <w:b/>
          <w:color w:val="auto"/>
          <w:kern w:val="0"/>
          <w:sz w:val="32"/>
          <w:szCs w:val="32"/>
          <w:highlight w:val="none"/>
        </w:rPr>
      </w:pPr>
      <w:r>
        <w:rPr>
          <w:rFonts w:hint="eastAsia" w:asciiTheme="minorEastAsia" w:hAnsiTheme="minorEastAsia" w:cstheme="minorBidi"/>
          <w:color w:val="auto"/>
          <w:kern w:val="2"/>
          <w:sz w:val="24"/>
          <w:szCs w:val="24"/>
          <w:lang w:val="en-US" w:eastAsia="zh-CN" w:bidi="ar-SA"/>
        </w:rPr>
        <w:t xml:space="preserve">                              </w:t>
      </w:r>
      <w:r>
        <w:rPr>
          <w:rFonts w:hint="eastAsia" w:asciiTheme="minorEastAsia" w:hAnsiTheme="minorEastAsia" w:eastAsiaTheme="minorEastAsia" w:cstheme="minorBidi"/>
          <w:color w:val="auto"/>
          <w:kern w:val="2"/>
          <w:sz w:val="24"/>
          <w:szCs w:val="24"/>
          <w:lang w:val="en-US" w:eastAsia="zh-CN" w:bidi="ar-SA"/>
        </w:rPr>
        <w:t>年  月  日</w:t>
      </w:r>
    </w:p>
    <w:p w14:paraId="15C5B17A">
      <w:pPr>
        <w:jc w:val="center"/>
        <w:rPr>
          <w:rFonts w:ascii="宋体" w:hAnsi="宋体"/>
          <w:b/>
          <w:color w:val="auto"/>
          <w:kern w:val="0"/>
          <w:sz w:val="32"/>
          <w:szCs w:val="32"/>
          <w:highlight w:val="none"/>
        </w:rPr>
      </w:pPr>
    </w:p>
    <w:p w14:paraId="2FD8E267">
      <w:pPr>
        <w:rPr>
          <w:rFonts w:hint="eastAsia" w:ascii="宋体" w:hAnsi="宋体" w:eastAsiaTheme="minorEastAsia"/>
          <w:b/>
          <w:color w:val="auto"/>
          <w:kern w:val="0"/>
          <w:sz w:val="32"/>
          <w:szCs w:val="32"/>
          <w:highlight w:val="none"/>
          <w:lang w:val="en-US" w:eastAsia="zh-CN"/>
        </w:rPr>
      </w:pPr>
      <w:r>
        <w:rPr>
          <w:rFonts w:ascii="宋体" w:hAnsi="宋体"/>
          <w:b/>
          <w:color w:val="auto"/>
          <w:kern w:val="0"/>
          <w:sz w:val="32"/>
          <w:szCs w:val="32"/>
          <w:highlight w:val="none"/>
        </w:rPr>
        <w:br w:type="page"/>
      </w:r>
      <w:r>
        <w:rPr>
          <w:rFonts w:hint="eastAsia" w:ascii="宋体" w:hAnsi="宋体"/>
          <w:b/>
          <w:color w:val="auto"/>
          <w:kern w:val="0"/>
          <w:sz w:val="32"/>
          <w:szCs w:val="32"/>
          <w:highlight w:val="none"/>
        </w:rPr>
        <w:t>附件</w:t>
      </w:r>
      <w:r>
        <w:rPr>
          <w:rFonts w:hint="eastAsia" w:ascii="宋体" w:hAnsi="宋体"/>
          <w:b/>
          <w:color w:val="auto"/>
          <w:kern w:val="0"/>
          <w:sz w:val="32"/>
          <w:szCs w:val="32"/>
          <w:highlight w:val="none"/>
          <w:lang w:val="en-US" w:eastAsia="zh-CN"/>
        </w:rPr>
        <w:t>4</w:t>
      </w:r>
    </w:p>
    <w:p w14:paraId="61C01B1C">
      <w:pPr>
        <w:jc w:val="center"/>
        <w:rPr>
          <w:rFonts w:ascii="宋体" w:hAnsi="宋体"/>
          <w:b/>
          <w:color w:val="auto"/>
          <w:kern w:val="0"/>
          <w:sz w:val="32"/>
          <w:szCs w:val="32"/>
          <w:highlight w:val="none"/>
        </w:rPr>
      </w:pPr>
    </w:p>
    <w:p w14:paraId="6D0C920C">
      <w:pPr>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4541EC84">
      <w:pPr>
        <w:jc w:val="center"/>
        <w:rPr>
          <w:rFonts w:ascii="宋体" w:hAnsi="宋体"/>
          <w:b/>
          <w:color w:val="auto"/>
          <w:sz w:val="28"/>
          <w:highlight w:val="none"/>
        </w:rPr>
      </w:pPr>
    </w:p>
    <w:p w14:paraId="6288A294">
      <w:pPr>
        <w:widowControl/>
        <w:shd w:val="clear" w:color="auto" w:fill="FFFFFF"/>
        <w:snapToGrid w:val="0"/>
        <w:spacing w:after="50" w:line="48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台州市自然资源和规划信息中心</w:t>
      </w:r>
      <w:r>
        <w:rPr>
          <w:rFonts w:ascii="宋体" w:hAnsi="宋体"/>
          <w:color w:val="auto"/>
          <w:kern w:val="0"/>
          <w:sz w:val="24"/>
          <w:highlight w:val="none"/>
        </w:rPr>
        <w:t>：</w:t>
      </w:r>
    </w:p>
    <w:p w14:paraId="4BF1C52C">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kern w:val="0"/>
          <w:sz w:val="24"/>
          <w:highlight w:val="none"/>
          <w:u w:val="single"/>
          <w:lang w:eastAsia="zh-CN"/>
        </w:rPr>
        <w:t xml:space="preserve">台州市自然资源和规划信息中心存储光纤交换机及网络交换机扩容采购（重新发布） </w:t>
      </w:r>
      <w:r>
        <w:rPr>
          <w:rFonts w:hint="eastAsia" w:hAnsi="宋体"/>
          <w:color w:val="auto"/>
          <w:sz w:val="24"/>
          <w:highlight w:val="none"/>
        </w:rPr>
        <w:t>（</w:t>
      </w:r>
      <w:r>
        <w:rPr>
          <w:rFonts w:hint="eastAsia" w:hAnsi="宋体"/>
          <w:color w:val="auto"/>
          <w:sz w:val="24"/>
          <w:highlight w:val="none"/>
          <w:lang w:val="en-US" w:eastAsia="zh-CN"/>
        </w:rPr>
        <w:t>项目</w:t>
      </w:r>
      <w:r>
        <w:rPr>
          <w:rFonts w:hint="eastAsia" w:ascii="宋体" w:hAnsi="宋体" w:cs="宋体"/>
          <w:color w:val="auto"/>
          <w:kern w:val="0"/>
          <w:sz w:val="24"/>
          <w:highlight w:val="none"/>
        </w:rPr>
        <w:t>编号为</w:t>
      </w:r>
      <w:r>
        <w:rPr>
          <w:rFonts w:hint="eastAsia" w:ascii="宋体" w:hAnsi="宋体" w:cs="宋体"/>
          <w:color w:val="auto"/>
          <w:sz w:val="24"/>
          <w:highlight w:val="none"/>
          <w:u w:val="single"/>
          <w:lang w:val="en-US" w:eastAsia="zh-CN"/>
        </w:rPr>
        <w:t xml:space="preserve">             </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14:paraId="09A30EB8">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14:paraId="64AF1BD3">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540EC700">
      <w:pPr>
        <w:spacing w:line="600" w:lineRule="exact"/>
        <w:ind w:firstLine="480" w:firstLineChars="200"/>
        <w:jc w:val="center"/>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法定代表人</w:t>
      </w:r>
      <w:r>
        <w:rPr>
          <w:rFonts w:hint="eastAsia" w:asciiTheme="minorEastAsia" w:hAnsiTheme="minorEastAsia" w:cstheme="minorBidi"/>
          <w:color w:val="auto"/>
          <w:kern w:val="2"/>
          <w:sz w:val="24"/>
          <w:szCs w:val="24"/>
          <w:lang w:val="en-US" w:eastAsia="zh-CN" w:bidi="ar-SA"/>
        </w:rPr>
        <w:t>或委托代理人</w:t>
      </w:r>
      <w:r>
        <w:rPr>
          <w:rFonts w:hint="eastAsia" w:asciiTheme="minorEastAsia" w:hAnsiTheme="minorEastAsia" w:eastAsiaTheme="minorEastAsia" w:cstheme="minorBidi"/>
          <w:color w:val="auto"/>
          <w:kern w:val="2"/>
          <w:sz w:val="24"/>
          <w:szCs w:val="24"/>
          <w:lang w:val="en-US" w:eastAsia="zh-CN" w:bidi="ar-SA"/>
        </w:rPr>
        <w:t>（签字或盖章):</w:t>
      </w:r>
    </w:p>
    <w:p w14:paraId="72AEDE39">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Theme="minorEastAsia" w:hAnsiTheme="minorEastAsia" w:eastAsiaTheme="minorEastAsia" w:cstheme="minorBidi"/>
          <w:color w:val="auto"/>
          <w:kern w:val="2"/>
          <w:sz w:val="24"/>
          <w:szCs w:val="24"/>
          <w:lang w:val="en-US" w:eastAsia="zh-CN" w:bidi="ar-SA"/>
        </w:rPr>
        <w:t>投标人（盖章）：</w:t>
      </w:r>
    </w:p>
    <w:p w14:paraId="0812BE06">
      <w:pPr>
        <w:jc w:val="center"/>
        <w:rPr>
          <w:rFonts w:ascii="宋体" w:hAnsi="宋体"/>
          <w:b/>
          <w:color w:val="auto"/>
          <w:kern w:val="0"/>
          <w:sz w:val="32"/>
          <w:szCs w:val="32"/>
          <w:highlight w:val="none"/>
        </w:rPr>
      </w:pPr>
      <w:r>
        <w:rPr>
          <w:rFonts w:hint="eastAsia" w:asciiTheme="minorEastAsia" w:hAnsiTheme="minorEastAsia" w:cstheme="minorBidi"/>
          <w:color w:val="auto"/>
          <w:kern w:val="2"/>
          <w:sz w:val="24"/>
          <w:szCs w:val="24"/>
          <w:lang w:val="en-US" w:eastAsia="zh-CN" w:bidi="ar-SA"/>
        </w:rPr>
        <w:t xml:space="preserve">                              </w:t>
      </w:r>
      <w:r>
        <w:rPr>
          <w:rFonts w:hint="eastAsia" w:asciiTheme="minorEastAsia" w:hAnsiTheme="minorEastAsia" w:eastAsiaTheme="minorEastAsia" w:cstheme="minorBidi"/>
          <w:color w:val="auto"/>
          <w:kern w:val="2"/>
          <w:sz w:val="24"/>
          <w:szCs w:val="24"/>
          <w:lang w:val="en-US" w:eastAsia="zh-CN" w:bidi="ar-SA"/>
        </w:rPr>
        <w:t>年  月  日</w:t>
      </w:r>
    </w:p>
    <w:p w14:paraId="0FD1FC86">
      <w:pPr>
        <w:pStyle w:val="9"/>
        <w:jc w:val="left"/>
        <w:rPr>
          <w:rFonts w:hint="eastAsia" w:asciiTheme="minorEastAsia" w:hAnsiTheme="minorEastAsia"/>
          <w:color w:val="auto"/>
          <w:sz w:val="28"/>
          <w:szCs w:val="28"/>
          <w:lang w:val="en-US" w:eastAsia="zh-CN"/>
        </w:rPr>
      </w:pPr>
    </w:p>
    <w:p w14:paraId="1540CA04">
      <w:pPr>
        <w:rPr>
          <w:rFonts w:hint="eastAsia" w:hAnsi="宋体"/>
          <w:b/>
          <w:color w:val="auto"/>
          <w:sz w:val="36"/>
          <w:szCs w:val="36"/>
        </w:rPr>
      </w:pPr>
      <w:r>
        <w:rPr>
          <w:rFonts w:hint="eastAsia" w:hAnsi="宋体"/>
          <w:b/>
          <w:color w:val="auto"/>
          <w:sz w:val="36"/>
          <w:szCs w:val="36"/>
        </w:rPr>
        <w:br w:type="page"/>
      </w:r>
    </w:p>
    <w:p w14:paraId="705E0871">
      <w:pPr>
        <w:widowControl/>
        <w:adjustRightInd w:val="0"/>
        <w:snapToGrid w:val="0"/>
        <w:jc w:val="left"/>
        <w:rPr>
          <w:rFonts w:hint="eastAsia" w:asciiTheme="minorEastAsia" w:hAnsiTheme="minorEastAsia"/>
          <w:color w:val="auto"/>
          <w:sz w:val="28"/>
          <w:szCs w:val="28"/>
          <w:lang w:val="en-US" w:eastAsia="zh-CN"/>
        </w:rPr>
      </w:pPr>
      <w:r>
        <w:rPr>
          <w:rFonts w:hint="eastAsia" w:asciiTheme="minorEastAsia" w:hAnsiTheme="minorEastAsia"/>
          <w:color w:val="auto"/>
          <w:sz w:val="28"/>
          <w:szCs w:val="28"/>
          <w:lang w:eastAsia="zh-CN"/>
        </w:rPr>
        <w:t>附件</w:t>
      </w:r>
      <w:r>
        <w:rPr>
          <w:rFonts w:hint="eastAsia" w:asciiTheme="minorEastAsia" w:hAnsiTheme="minorEastAsia"/>
          <w:color w:val="auto"/>
          <w:sz w:val="28"/>
          <w:szCs w:val="28"/>
          <w:lang w:val="en-US" w:eastAsia="zh-CN"/>
        </w:rPr>
        <w:t>5</w:t>
      </w:r>
    </w:p>
    <w:p w14:paraId="61153859">
      <w:pPr>
        <w:pStyle w:val="9"/>
        <w:jc w:val="center"/>
        <w:rPr>
          <w:rFonts w:hint="eastAsia" w:hAnsi="宋体"/>
          <w:b/>
          <w:color w:val="auto"/>
          <w:sz w:val="36"/>
          <w:szCs w:val="36"/>
        </w:rPr>
      </w:pPr>
    </w:p>
    <w:p w14:paraId="4457536C">
      <w:pPr>
        <w:pStyle w:val="9"/>
        <w:jc w:val="center"/>
        <w:rPr>
          <w:rFonts w:hint="eastAsia" w:hAnsi="宋体"/>
          <w:b/>
          <w:color w:val="auto"/>
          <w:sz w:val="36"/>
          <w:szCs w:val="36"/>
        </w:rPr>
      </w:pPr>
      <w:r>
        <w:rPr>
          <w:rFonts w:hint="eastAsia" w:hAnsi="宋体"/>
          <w:b/>
          <w:color w:val="auto"/>
          <w:sz w:val="36"/>
          <w:szCs w:val="36"/>
        </w:rPr>
        <w:t>技 术 偏 离 表</w:t>
      </w:r>
    </w:p>
    <w:p w14:paraId="01322B7F">
      <w:pPr>
        <w:pStyle w:val="9"/>
        <w:jc w:val="center"/>
        <w:rPr>
          <w:rFonts w:hint="eastAsia" w:hAnsi="宋体"/>
          <w:b/>
          <w:color w:val="auto"/>
          <w:sz w:val="24"/>
          <w:szCs w:val="24"/>
        </w:rPr>
      </w:pPr>
    </w:p>
    <w:tbl>
      <w:tblPr>
        <w:tblStyle w:val="16"/>
        <w:tblW w:w="8720"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89"/>
        <w:gridCol w:w="2102"/>
        <w:gridCol w:w="1660"/>
        <w:gridCol w:w="1359"/>
        <w:gridCol w:w="1360"/>
      </w:tblGrid>
      <w:tr w14:paraId="19A4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50" w:type="dxa"/>
            <w:noWrap w:val="0"/>
            <w:vAlign w:val="center"/>
          </w:tcPr>
          <w:p w14:paraId="122A91A0">
            <w:pPr>
              <w:jc w:val="center"/>
              <w:rPr>
                <w:rFonts w:hint="eastAsia" w:hAnsi="宋体" w:eastAsia="宋体" w:cs="宋体"/>
                <w:color w:val="auto"/>
                <w:sz w:val="21"/>
                <w:szCs w:val="21"/>
                <w:lang w:eastAsia="zh-CN"/>
              </w:rPr>
            </w:pPr>
            <w:r>
              <w:rPr>
                <w:rFonts w:hint="eastAsia" w:hAnsi="宋体" w:cs="宋体"/>
                <w:color w:val="auto"/>
                <w:sz w:val="21"/>
                <w:szCs w:val="21"/>
                <w:lang w:eastAsia="zh-CN"/>
              </w:rPr>
              <w:t>序号</w:t>
            </w:r>
          </w:p>
        </w:tc>
        <w:tc>
          <w:tcPr>
            <w:tcW w:w="1489" w:type="dxa"/>
            <w:noWrap w:val="0"/>
            <w:vAlign w:val="center"/>
          </w:tcPr>
          <w:p w14:paraId="03772628">
            <w:pPr>
              <w:jc w:val="center"/>
              <w:rPr>
                <w:rFonts w:hint="eastAsia" w:hAnsi="宋体" w:eastAsia="宋体" w:cs="宋体"/>
                <w:color w:val="auto"/>
                <w:sz w:val="21"/>
                <w:szCs w:val="21"/>
                <w:lang w:eastAsia="zh-CN"/>
              </w:rPr>
            </w:pPr>
            <w:r>
              <w:rPr>
                <w:rFonts w:hint="eastAsia" w:hAnsi="宋体" w:cs="宋体"/>
                <w:color w:val="auto"/>
                <w:sz w:val="21"/>
                <w:szCs w:val="21"/>
                <w:lang w:eastAsia="zh-CN"/>
              </w:rPr>
              <w:t>内容</w:t>
            </w:r>
          </w:p>
        </w:tc>
        <w:tc>
          <w:tcPr>
            <w:tcW w:w="2102" w:type="dxa"/>
            <w:noWrap w:val="0"/>
            <w:vAlign w:val="center"/>
          </w:tcPr>
          <w:p w14:paraId="4A86E6CF">
            <w:pPr>
              <w:jc w:val="center"/>
              <w:rPr>
                <w:rFonts w:hint="eastAsia" w:hAnsi="宋体" w:eastAsia="宋体" w:cs="宋体"/>
                <w:color w:val="auto"/>
                <w:sz w:val="21"/>
                <w:szCs w:val="21"/>
                <w:lang w:eastAsia="zh-CN"/>
              </w:rPr>
            </w:pPr>
            <w:r>
              <w:rPr>
                <w:rFonts w:hint="eastAsia" w:hAnsi="宋体" w:cs="宋体"/>
                <w:color w:val="auto"/>
                <w:sz w:val="21"/>
                <w:szCs w:val="21"/>
                <w:lang w:eastAsia="zh-CN"/>
              </w:rPr>
              <w:t>询价采购要求</w:t>
            </w:r>
          </w:p>
        </w:tc>
        <w:tc>
          <w:tcPr>
            <w:tcW w:w="1660" w:type="dxa"/>
            <w:noWrap w:val="0"/>
            <w:vAlign w:val="center"/>
          </w:tcPr>
          <w:p w14:paraId="00450083">
            <w:pPr>
              <w:jc w:val="center"/>
              <w:rPr>
                <w:rFonts w:hint="eastAsia" w:hAnsi="宋体" w:eastAsia="宋体" w:cs="宋体"/>
                <w:color w:val="auto"/>
                <w:sz w:val="21"/>
                <w:szCs w:val="21"/>
                <w:lang w:eastAsia="zh-CN"/>
              </w:rPr>
            </w:pPr>
            <w:r>
              <w:rPr>
                <w:rFonts w:hint="eastAsia" w:hAnsi="宋体" w:cs="宋体"/>
                <w:color w:val="auto"/>
                <w:sz w:val="21"/>
                <w:szCs w:val="21"/>
                <w:lang w:eastAsia="zh-CN"/>
              </w:rPr>
              <w:t>询价响应</w:t>
            </w:r>
          </w:p>
        </w:tc>
        <w:tc>
          <w:tcPr>
            <w:tcW w:w="1359" w:type="dxa"/>
            <w:noWrap w:val="0"/>
            <w:vAlign w:val="center"/>
          </w:tcPr>
          <w:p w14:paraId="6B1B9D6C">
            <w:pPr>
              <w:spacing w:line="320" w:lineRule="exact"/>
              <w:jc w:val="center"/>
              <w:rPr>
                <w:rFonts w:hint="eastAsia" w:hAnsi="宋体" w:eastAsia="宋体" w:cs="宋体"/>
                <w:color w:val="auto"/>
                <w:sz w:val="21"/>
                <w:szCs w:val="21"/>
                <w:lang w:eastAsia="zh-CN"/>
              </w:rPr>
            </w:pPr>
            <w:r>
              <w:rPr>
                <w:rFonts w:hint="eastAsia" w:hAnsi="宋体" w:eastAsia="宋体" w:cs="宋体"/>
                <w:color w:val="auto"/>
                <w:sz w:val="21"/>
                <w:szCs w:val="21"/>
                <w:lang w:eastAsia="zh-CN"/>
              </w:rPr>
              <w:t>偏离情况详细说明</w:t>
            </w:r>
          </w:p>
        </w:tc>
        <w:tc>
          <w:tcPr>
            <w:tcW w:w="1360" w:type="dxa"/>
            <w:noWrap w:val="0"/>
            <w:vAlign w:val="center"/>
          </w:tcPr>
          <w:p w14:paraId="479649A6">
            <w:pPr>
              <w:spacing w:line="320" w:lineRule="exact"/>
              <w:jc w:val="center"/>
              <w:rPr>
                <w:rFonts w:hint="eastAsia" w:hAnsi="宋体" w:eastAsia="宋体" w:cs="宋体"/>
                <w:color w:val="auto"/>
                <w:sz w:val="21"/>
                <w:szCs w:val="21"/>
                <w:lang w:eastAsia="zh-CN"/>
              </w:rPr>
            </w:pPr>
            <w:r>
              <w:rPr>
                <w:rFonts w:hint="eastAsia" w:hAnsi="宋体" w:cs="宋体"/>
                <w:color w:val="auto"/>
                <w:sz w:val="21"/>
                <w:szCs w:val="21"/>
                <w:lang w:val="en-US" w:eastAsia="zh-CN"/>
              </w:rPr>
              <w:t>正/负偏离</w:t>
            </w:r>
          </w:p>
        </w:tc>
      </w:tr>
      <w:tr w14:paraId="4F67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noWrap w:val="0"/>
            <w:vAlign w:val="center"/>
          </w:tcPr>
          <w:p w14:paraId="058D94EE">
            <w:pPr>
              <w:jc w:val="center"/>
              <w:rPr>
                <w:rFonts w:hint="eastAsia" w:hAnsi="宋体" w:cs="宋体"/>
                <w:color w:val="auto"/>
                <w:sz w:val="24"/>
              </w:rPr>
            </w:pPr>
          </w:p>
        </w:tc>
        <w:tc>
          <w:tcPr>
            <w:tcW w:w="1489" w:type="dxa"/>
            <w:noWrap w:val="0"/>
            <w:vAlign w:val="center"/>
          </w:tcPr>
          <w:p w14:paraId="5EB27361">
            <w:pPr>
              <w:rPr>
                <w:rFonts w:hint="eastAsia" w:hAnsi="宋体" w:cs="宋体"/>
                <w:color w:val="auto"/>
                <w:sz w:val="24"/>
              </w:rPr>
            </w:pPr>
          </w:p>
        </w:tc>
        <w:tc>
          <w:tcPr>
            <w:tcW w:w="2102" w:type="dxa"/>
            <w:noWrap w:val="0"/>
            <w:vAlign w:val="center"/>
          </w:tcPr>
          <w:p w14:paraId="763FD7BF">
            <w:pPr>
              <w:rPr>
                <w:rFonts w:hint="eastAsia" w:hAnsi="宋体" w:cs="宋体"/>
                <w:color w:val="auto"/>
                <w:sz w:val="24"/>
              </w:rPr>
            </w:pPr>
          </w:p>
        </w:tc>
        <w:tc>
          <w:tcPr>
            <w:tcW w:w="1660" w:type="dxa"/>
            <w:noWrap w:val="0"/>
            <w:vAlign w:val="center"/>
          </w:tcPr>
          <w:p w14:paraId="41E99B66">
            <w:pPr>
              <w:jc w:val="center"/>
              <w:rPr>
                <w:rFonts w:hint="eastAsia" w:hAnsi="宋体" w:cs="宋体"/>
                <w:color w:val="auto"/>
                <w:sz w:val="24"/>
              </w:rPr>
            </w:pPr>
          </w:p>
        </w:tc>
        <w:tc>
          <w:tcPr>
            <w:tcW w:w="1359" w:type="dxa"/>
            <w:noWrap w:val="0"/>
            <w:vAlign w:val="top"/>
          </w:tcPr>
          <w:p w14:paraId="218E0603">
            <w:pPr>
              <w:jc w:val="center"/>
              <w:rPr>
                <w:rFonts w:hint="eastAsia" w:hAnsi="宋体" w:cs="宋体"/>
                <w:color w:val="auto"/>
                <w:sz w:val="24"/>
              </w:rPr>
            </w:pPr>
          </w:p>
        </w:tc>
        <w:tc>
          <w:tcPr>
            <w:tcW w:w="1360" w:type="dxa"/>
            <w:noWrap w:val="0"/>
            <w:vAlign w:val="top"/>
          </w:tcPr>
          <w:p w14:paraId="09DDC4CF">
            <w:pPr>
              <w:jc w:val="center"/>
              <w:rPr>
                <w:rFonts w:hint="eastAsia" w:hAnsi="宋体" w:cs="宋体"/>
                <w:color w:val="auto"/>
                <w:sz w:val="24"/>
              </w:rPr>
            </w:pPr>
          </w:p>
        </w:tc>
      </w:tr>
      <w:tr w14:paraId="68D9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noWrap w:val="0"/>
            <w:vAlign w:val="center"/>
          </w:tcPr>
          <w:p w14:paraId="0D2BBA22">
            <w:pPr>
              <w:jc w:val="center"/>
              <w:rPr>
                <w:rFonts w:hint="eastAsia" w:hAnsi="宋体" w:cs="宋体"/>
                <w:color w:val="auto"/>
                <w:sz w:val="24"/>
              </w:rPr>
            </w:pPr>
          </w:p>
        </w:tc>
        <w:tc>
          <w:tcPr>
            <w:tcW w:w="1489" w:type="dxa"/>
            <w:noWrap w:val="0"/>
            <w:vAlign w:val="center"/>
          </w:tcPr>
          <w:p w14:paraId="7018EC2A">
            <w:pPr>
              <w:rPr>
                <w:rFonts w:hint="eastAsia" w:hAnsi="宋体" w:cs="宋体"/>
                <w:color w:val="auto"/>
                <w:sz w:val="24"/>
              </w:rPr>
            </w:pPr>
          </w:p>
        </w:tc>
        <w:tc>
          <w:tcPr>
            <w:tcW w:w="2102" w:type="dxa"/>
            <w:noWrap w:val="0"/>
            <w:vAlign w:val="center"/>
          </w:tcPr>
          <w:p w14:paraId="4E7967AA">
            <w:pPr>
              <w:rPr>
                <w:rFonts w:hint="eastAsia" w:hAnsi="宋体" w:cs="宋体"/>
                <w:color w:val="auto"/>
                <w:sz w:val="24"/>
              </w:rPr>
            </w:pPr>
          </w:p>
        </w:tc>
        <w:tc>
          <w:tcPr>
            <w:tcW w:w="1660" w:type="dxa"/>
            <w:noWrap w:val="0"/>
            <w:vAlign w:val="center"/>
          </w:tcPr>
          <w:p w14:paraId="73CBF201">
            <w:pPr>
              <w:jc w:val="center"/>
              <w:rPr>
                <w:rFonts w:hint="eastAsia" w:hAnsi="宋体" w:cs="宋体"/>
                <w:color w:val="auto"/>
                <w:sz w:val="24"/>
              </w:rPr>
            </w:pPr>
          </w:p>
        </w:tc>
        <w:tc>
          <w:tcPr>
            <w:tcW w:w="1359" w:type="dxa"/>
            <w:noWrap w:val="0"/>
            <w:vAlign w:val="top"/>
          </w:tcPr>
          <w:p w14:paraId="327632FD">
            <w:pPr>
              <w:jc w:val="center"/>
              <w:rPr>
                <w:rFonts w:hint="eastAsia" w:hAnsi="宋体" w:cs="宋体"/>
                <w:color w:val="auto"/>
                <w:sz w:val="24"/>
              </w:rPr>
            </w:pPr>
          </w:p>
        </w:tc>
        <w:tc>
          <w:tcPr>
            <w:tcW w:w="1360" w:type="dxa"/>
            <w:noWrap w:val="0"/>
            <w:vAlign w:val="top"/>
          </w:tcPr>
          <w:p w14:paraId="263586D3">
            <w:pPr>
              <w:jc w:val="center"/>
              <w:rPr>
                <w:rFonts w:hint="eastAsia" w:hAnsi="宋体" w:cs="宋体"/>
                <w:color w:val="auto"/>
                <w:sz w:val="24"/>
              </w:rPr>
            </w:pPr>
          </w:p>
        </w:tc>
      </w:tr>
      <w:tr w14:paraId="0A88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noWrap w:val="0"/>
            <w:vAlign w:val="center"/>
          </w:tcPr>
          <w:p w14:paraId="4E4BF165">
            <w:pPr>
              <w:jc w:val="center"/>
              <w:rPr>
                <w:rFonts w:hint="eastAsia" w:hAnsi="宋体" w:cs="宋体"/>
                <w:color w:val="auto"/>
                <w:sz w:val="24"/>
              </w:rPr>
            </w:pPr>
          </w:p>
        </w:tc>
        <w:tc>
          <w:tcPr>
            <w:tcW w:w="1489" w:type="dxa"/>
            <w:noWrap w:val="0"/>
            <w:vAlign w:val="center"/>
          </w:tcPr>
          <w:p w14:paraId="46198B30">
            <w:pPr>
              <w:rPr>
                <w:rFonts w:hint="eastAsia" w:hAnsi="宋体" w:cs="宋体"/>
                <w:color w:val="auto"/>
                <w:sz w:val="24"/>
              </w:rPr>
            </w:pPr>
          </w:p>
        </w:tc>
        <w:tc>
          <w:tcPr>
            <w:tcW w:w="2102" w:type="dxa"/>
            <w:noWrap w:val="0"/>
            <w:vAlign w:val="center"/>
          </w:tcPr>
          <w:p w14:paraId="5A9DABE5">
            <w:pPr>
              <w:rPr>
                <w:rFonts w:hint="eastAsia" w:hAnsi="宋体" w:cs="宋体"/>
                <w:color w:val="auto"/>
                <w:sz w:val="24"/>
              </w:rPr>
            </w:pPr>
          </w:p>
        </w:tc>
        <w:tc>
          <w:tcPr>
            <w:tcW w:w="1660" w:type="dxa"/>
            <w:noWrap w:val="0"/>
            <w:vAlign w:val="center"/>
          </w:tcPr>
          <w:p w14:paraId="6BB5A129">
            <w:pPr>
              <w:jc w:val="center"/>
              <w:rPr>
                <w:rFonts w:hint="eastAsia" w:hAnsi="宋体" w:cs="宋体"/>
                <w:color w:val="auto"/>
                <w:sz w:val="24"/>
              </w:rPr>
            </w:pPr>
          </w:p>
        </w:tc>
        <w:tc>
          <w:tcPr>
            <w:tcW w:w="1359" w:type="dxa"/>
            <w:noWrap w:val="0"/>
            <w:vAlign w:val="top"/>
          </w:tcPr>
          <w:p w14:paraId="114817E8">
            <w:pPr>
              <w:jc w:val="center"/>
              <w:rPr>
                <w:rFonts w:hint="eastAsia" w:hAnsi="宋体" w:cs="宋体"/>
                <w:color w:val="auto"/>
                <w:sz w:val="24"/>
              </w:rPr>
            </w:pPr>
          </w:p>
        </w:tc>
        <w:tc>
          <w:tcPr>
            <w:tcW w:w="1360" w:type="dxa"/>
            <w:noWrap w:val="0"/>
            <w:vAlign w:val="top"/>
          </w:tcPr>
          <w:p w14:paraId="074994F8">
            <w:pPr>
              <w:jc w:val="center"/>
              <w:rPr>
                <w:rFonts w:hint="eastAsia" w:hAnsi="宋体" w:cs="宋体"/>
                <w:color w:val="auto"/>
                <w:sz w:val="24"/>
              </w:rPr>
            </w:pPr>
          </w:p>
        </w:tc>
      </w:tr>
      <w:tr w14:paraId="1BAA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noWrap w:val="0"/>
            <w:vAlign w:val="center"/>
          </w:tcPr>
          <w:p w14:paraId="70FE16B3">
            <w:pPr>
              <w:jc w:val="center"/>
              <w:rPr>
                <w:rFonts w:hint="eastAsia" w:hAnsi="宋体" w:cs="宋体"/>
                <w:color w:val="auto"/>
                <w:sz w:val="24"/>
              </w:rPr>
            </w:pPr>
          </w:p>
        </w:tc>
        <w:tc>
          <w:tcPr>
            <w:tcW w:w="1489" w:type="dxa"/>
            <w:noWrap w:val="0"/>
            <w:vAlign w:val="center"/>
          </w:tcPr>
          <w:p w14:paraId="26D161AB">
            <w:pPr>
              <w:rPr>
                <w:rFonts w:hint="eastAsia" w:hAnsi="宋体" w:cs="宋体"/>
                <w:color w:val="auto"/>
                <w:sz w:val="24"/>
              </w:rPr>
            </w:pPr>
          </w:p>
        </w:tc>
        <w:tc>
          <w:tcPr>
            <w:tcW w:w="2102" w:type="dxa"/>
            <w:noWrap w:val="0"/>
            <w:vAlign w:val="center"/>
          </w:tcPr>
          <w:p w14:paraId="36C48945">
            <w:pPr>
              <w:rPr>
                <w:rFonts w:hint="eastAsia" w:hAnsi="宋体" w:cs="宋体"/>
                <w:color w:val="auto"/>
                <w:sz w:val="24"/>
              </w:rPr>
            </w:pPr>
          </w:p>
        </w:tc>
        <w:tc>
          <w:tcPr>
            <w:tcW w:w="1660" w:type="dxa"/>
            <w:noWrap w:val="0"/>
            <w:vAlign w:val="center"/>
          </w:tcPr>
          <w:p w14:paraId="249A95B0">
            <w:pPr>
              <w:jc w:val="center"/>
              <w:rPr>
                <w:rFonts w:hint="eastAsia" w:hAnsi="宋体" w:cs="宋体"/>
                <w:color w:val="auto"/>
                <w:sz w:val="24"/>
              </w:rPr>
            </w:pPr>
          </w:p>
        </w:tc>
        <w:tc>
          <w:tcPr>
            <w:tcW w:w="1359" w:type="dxa"/>
            <w:noWrap w:val="0"/>
            <w:vAlign w:val="top"/>
          </w:tcPr>
          <w:p w14:paraId="128F847F">
            <w:pPr>
              <w:jc w:val="center"/>
              <w:rPr>
                <w:rFonts w:hint="eastAsia" w:hAnsi="宋体" w:cs="宋体"/>
                <w:color w:val="auto"/>
                <w:sz w:val="24"/>
              </w:rPr>
            </w:pPr>
          </w:p>
        </w:tc>
        <w:tc>
          <w:tcPr>
            <w:tcW w:w="1360" w:type="dxa"/>
            <w:noWrap w:val="0"/>
            <w:vAlign w:val="top"/>
          </w:tcPr>
          <w:p w14:paraId="3305B680">
            <w:pPr>
              <w:jc w:val="center"/>
              <w:rPr>
                <w:rFonts w:hint="eastAsia" w:hAnsi="宋体" w:cs="宋体"/>
                <w:color w:val="auto"/>
                <w:sz w:val="24"/>
              </w:rPr>
            </w:pPr>
          </w:p>
        </w:tc>
      </w:tr>
      <w:tr w14:paraId="3C97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noWrap w:val="0"/>
            <w:vAlign w:val="center"/>
          </w:tcPr>
          <w:p w14:paraId="183DBF50">
            <w:pPr>
              <w:jc w:val="center"/>
              <w:rPr>
                <w:rFonts w:hint="eastAsia" w:hAnsi="宋体" w:cs="宋体"/>
                <w:color w:val="auto"/>
                <w:sz w:val="24"/>
              </w:rPr>
            </w:pPr>
          </w:p>
        </w:tc>
        <w:tc>
          <w:tcPr>
            <w:tcW w:w="1489" w:type="dxa"/>
            <w:noWrap w:val="0"/>
            <w:vAlign w:val="center"/>
          </w:tcPr>
          <w:p w14:paraId="2607D262">
            <w:pPr>
              <w:rPr>
                <w:rFonts w:hint="eastAsia" w:hAnsi="宋体" w:cs="宋体"/>
                <w:color w:val="auto"/>
                <w:sz w:val="24"/>
              </w:rPr>
            </w:pPr>
          </w:p>
        </w:tc>
        <w:tc>
          <w:tcPr>
            <w:tcW w:w="2102" w:type="dxa"/>
            <w:noWrap w:val="0"/>
            <w:vAlign w:val="center"/>
          </w:tcPr>
          <w:p w14:paraId="5C67040A">
            <w:pPr>
              <w:rPr>
                <w:rFonts w:hint="eastAsia" w:hAnsi="宋体" w:cs="宋体"/>
                <w:color w:val="auto"/>
                <w:sz w:val="24"/>
              </w:rPr>
            </w:pPr>
          </w:p>
        </w:tc>
        <w:tc>
          <w:tcPr>
            <w:tcW w:w="1660" w:type="dxa"/>
            <w:noWrap w:val="0"/>
            <w:vAlign w:val="center"/>
          </w:tcPr>
          <w:p w14:paraId="45270E52">
            <w:pPr>
              <w:jc w:val="center"/>
              <w:rPr>
                <w:rFonts w:hint="eastAsia" w:hAnsi="宋体" w:cs="宋体"/>
                <w:color w:val="auto"/>
                <w:sz w:val="24"/>
              </w:rPr>
            </w:pPr>
          </w:p>
        </w:tc>
        <w:tc>
          <w:tcPr>
            <w:tcW w:w="1359" w:type="dxa"/>
            <w:noWrap w:val="0"/>
            <w:vAlign w:val="top"/>
          </w:tcPr>
          <w:p w14:paraId="77933C32">
            <w:pPr>
              <w:jc w:val="center"/>
              <w:rPr>
                <w:rFonts w:hint="eastAsia" w:hAnsi="宋体" w:cs="宋体"/>
                <w:color w:val="auto"/>
                <w:sz w:val="24"/>
              </w:rPr>
            </w:pPr>
          </w:p>
        </w:tc>
        <w:tc>
          <w:tcPr>
            <w:tcW w:w="1360" w:type="dxa"/>
            <w:noWrap w:val="0"/>
            <w:vAlign w:val="top"/>
          </w:tcPr>
          <w:p w14:paraId="34BD6037">
            <w:pPr>
              <w:jc w:val="center"/>
              <w:rPr>
                <w:rFonts w:hint="eastAsia" w:hAnsi="宋体" w:cs="宋体"/>
                <w:color w:val="auto"/>
                <w:sz w:val="24"/>
              </w:rPr>
            </w:pPr>
          </w:p>
        </w:tc>
      </w:tr>
      <w:tr w14:paraId="59DD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noWrap w:val="0"/>
            <w:vAlign w:val="center"/>
          </w:tcPr>
          <w:p w14:paraId="642CDECC">
            <w:pPr>
              <w:jc w:val="center"/>
              <w:rPr>
                <w:rFonts w:hint="eastAsia" w:hAnsi="宋体" w:cs="宋体"/>
                <w:color w:val="auto"/>
                <w:sz w:val="24"/>
              </w:rPr>
            </w:pPr>
          </w:p>
        </w:tc>
        <w:tc>
          <w:tcPr>
            <w:tcW w:w="1489" w:type="dxa"/>
            <w:noWrap w:val="0"/>
            <w:vAlign w:val="center"/>
          </w:tcPr>
          <w:p w14:paraId="378AF323">
            <w:pPr>
              <w:rPr>
                <w:rFonts w:hint="eastAsia" w:hAnsi="宋体" w:cs="宋体"/>
                <w:color w:val="auto"/>
                <w:sz w:val="24"/>
              </w:rPr>
            </w:pPr>
          </w:p>
        </w:tc>
        <w:tc>
          <w:tcPr>
            <w:tcW w:w="2102" w:type="dxa"/>
            <w:noWrap w:val="0"/>
            <w:vAlign w:val="center"/>
          </w:tcPr>
          <w:p w14:paraId="13C813B5">
            <w:pPr>
              <w:rPr>
                <w:rFonts w:hint="eastAsia" w:hAnsi="宋体" w:cs="宋体"/>
                <w:color w:val="auto"/>
                <w:sz w:val="24"/>
              </w:rPr>
            </w:pPr>
          </w:p>
        </w:tc>
        <w:tc>
          <w:tcPr>
            <w:tcW w:w="1660" w:type="dxa"/>
            <w:noWrap w:val="0"/>
            <w:vAlign w:val="center"/>
          </w:tcPr>
          <w:p w14:paraId="23419ED6">
            <w:pPr>
              <w:jc w:val="center"/>
              <w:rPr>
                <w:rFonts w:hint="eastAsia" w:hAnsi="宋体" w:cs="宋体"/>
                <w:color w:val="auto"/>
                <w:sz w:val="24"/>
              </w:rPr>
            </w:pPr>
          </w:p>
        </w:tc>
        <w:tc>
          <w:tcPr>
            <w:tcW w:w="1359" w:type="dxa"/>
            <w:noWrap w:val="0"/>
            <w:vAlign w:val="top"/>
          </w:tcPr>
          <w:p w14:paraId="64CBB3C0">
            <w:pPr>
              <w:jc w:val="center"/>
              <w:rPr>
                <w:rFonts w:hint="eastAsia" w:hAnsi="宋体" w:cs="宋体"/>
                <w:color w:val="auto"/>
                <w:sz w:val="24"/>
              </w:rPr>
            </w:pPr>
          </w:p>
        </w:tc>
        <w:tc>
          <w:tcPr>
            <w:tcW w:w="1360" w:type="dxa"/>
            <w:noWrap w:val="0"/>
            <w:vAlign w:val="top"/>
          </w:tcPr>
          <w:p w14:paraId="2844127A">
            <w:pPr>
              <w:jc w:val="center"/>
              <w:rPr>
                <w:rFonts w:hint="eastAsia" w:hAnsi="宋体" w:cs="宋体"/>
                <w:color w:val="auto"/>
                <w:sz w:val="24"/>
              </w:rPr>
            </w:pPr>
          </w:p>
        </w:tc>
      </w:tr>
      <w:tr w14:paraId="5CB8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noWrap w:val="0"/>
            <w:vAlign w:val="center"/>
          </w:tcPr>
          <w:p w14:paraId="6115DB00">
            <w:pPr>
              <w:jc w:val="center"/>
              <w:rPr>
                <w:rFonts w:hint="eastAsia" w:hAnsi="宋体" w:cs="宋体"/>
                <w:color w:val="auto"/>
                <w:sz w:val="24"/>
              </w:rPr>
            </w:pPr>
          </w:p>
        </w:tc>
        <w:tc>
          <w:tcPr>
            <w:tcW w:w="1489" w:type="dxa"/>
            <w:noWrap w:val="0"/>
            <w:vAlign w:val="center"/>
          </w:tcPr>
          <w:p w14:paraId="4322457A">
            <w:pPr>
              <w:rPr>
                <w:rFonts w:hint="eastAsia" w:hAnsi="宋体" w:cs="宋体"/>
                <w:color w:val="auto"/>
                <w:sz w:val="24"/>
              </w:rPr>
            </w:pPr>
          </w:p>
        </w:tc>
        <w:tc>
          <w:tcPr>
            <w:tcW w:w="2102" w:type="dxa"/>
            <w:noWrap w:val="0"/>
            <w:vAlign w:val="center"/>
          </w:tcPr>
          <w:p w14:paraId="37F6382C">
            <w:pPr>
              <w:rPr>
                <w:rFonts w:hint="eastAsia" w:hAnsi="宋体" w:cs="宋体"/>
                <w:color w:val="auto"/>
                <w:sz w:val="24"/>
              </w:rPr>
            </w:pPr>
          </w:p>
        </w:tc>
        <w:tc>
          <w:tcPr>
            <w:tcW w:w="1660" w:type="dxa"/>
            <w:noWrap w:val="0"/>
            <w:vAlign w:val="center"/>
          </w:tcPr>
          <w:p w14:paraId="7AC16607">
            <w:pPr>
              <w:jc w:val="center"/>
              <w:rPr>
                <w:rFonts w:hint="eastAsia" w:hAnsi="宋体" w:cs="宋体"/>
                <w:color w:val="auto"/>
                <w:sz w:val="24"/>
              </w:rPr>
            </w:pPr>
          </w:p>
        </w:tc>
        <w:tc>
          <w:tcPr>
            <w:tcW w:w="1359" w:type="dxa"/>
            <w:noWrap w:val="0"/>
            <w:vAlign w:val="top"/>
          </w:tcPr>
          <w:p w14:paraId="7D2AABE1">
            <w:pPr>
              <w:jc w:val="center"/>
              <w:rPr>
                <w:rFonts w:hint="eastAsia" w:hAnsi="宋体" w:cs="宋体"/>
                <w:color w:val="auto"/>
                <w:sz w:val="24"/>
              </w:rPr>
            </w:pPr>
          </w:p>
        </w:tc>
        <w:tc>
          <w:tcPr>
            <w:tcW w:w="1360" w:type="dxa"/>
            <w:noWrap w:val="0"/>
            <w:vAlign w:val="top"/>
          </w:tcPr>
          <w:p w14:paraId="4227AD4A">
            <w:pPr>
              <w:jc w:val="center"/>
              <w:rPr>
                <w:rFonts w:hint="eastAsia" w:hAnsi="宋体" w:cs="宋体"/>
                <w:color w:val="auto"/>
                <w:sz w:val="24"/>
              </w:rPr>
            </w:pPr>
          </w:p>
        </w:tc>
      </w:tr>
      <w:tr w14:paraId="3F31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noWrap w:val="0"/>
            <w:vAlign w:val="center"/>
          </w:tcPr>
          <w:p w14:paraId="169C73A6">
            <w:pPr>
              <w:jc w:val="center"/>
              <w:rPr>
                <w:rFonts w:hint="eastAsia" w:hAnsi="宋体" w:cs="宋体"/>
                <w:color w:val="auto"/>
                <w:sz w:val="24"/>
              </w:rPr>
            </w:pPr>
          </w:p>
        </w:tc>
        <w:tc>
          <w:tcPr>
            <w:tcW w:w="1489" w:type="dxa"/>
            <w:noWrap w:val="0"/>
            <w:vAlign w:val="center"/>
          </w:tcPr>
          <w:p w14:paraId="0DC4B913">
            <w:pPr>
              <w:rPr>
                <w:rFonts w:hint="eastAsia" w:hAnsi="宋体" w:cs="宋体"/>
                <w:color w:val="auto"/>
                <w:sz w:val="24"/>
              </w:rPr>
            </w:pPr>
          </w:p>
        </w:tc>
        <w:tc>
          <w:tcPr>
            <w:tcW w:w="2102" w:type="dxa"/>
            <w:noWrap w:val="0"/>
            <w:vAlign w:val="center"/>
          </w:tcPr>
          <w:p w14:paraId="78067A0F">
            <w:pPr>
              <w:rPr>
                <w:rFonts w:hint="eastAsia" w:hAnsi="宋体" w:cs="宋体"/>
                <w:color w:val="auto"/>
                <w:sz w:val="24"/>
              </w:rPr>
            </w:pPr>
          </w:p>
        </w:tc>
        <w:tc>
          <w:tcPr>
            <w:tcW w:w="1660" w:type="dxa"/>
            <w:noWrap w:val="0"/>
            <w:vAlign w:val="center"/>
          </w:tcPr>
          <w:p w14:paraId="63175905">
            <w:pPr>
              <w:jc w:val="center"/>
              <w:rPr>
                <w:rFonts w:hint="eastAsia" w:hAnsi="宋体" w:cs="宋体"/>
                <w:color w:val="auto"/>
                <w:sz w:val="24"/>
              </w:rPr>
            </w:pPr>
          </w:p>
        </w:tc>
        <w:tc>
          <w:tcPr>
            <w:tcW w:w="1359" w:type="dxa"/>
            <w:noWrap w:val="0"/>
            <w:vAlign w:val="top"/>
          </w:tcPr>
          <w:p w14:paraId="04CA473B">
            <w:pPr>
              <w:jc w:val="center"/>
              <w:rPr>
                <w:rFonts w:hint="eastAsia" w:hAnsi="宋体" w:cs="宋体"/>
                <w:color w:val="auto"/>
                <w:sz w:val="24"/>
              </w:rPr>
            </w:pPr>
          </w:p>
        </w:tc>
        <w:tc>
          <w:tcPr>
            <w:tcW w:w="1360" w:type="dxa"/>
            <w:noWrap w:val="0"/>
            <w:vAlign w:val="top"/>
          </w:tcPr>
          <w:p w14:paraId="08F3CFDF">
            <w:pPr>
              <w:jc w:val="center"/>
              <w:rPr>
                <w:rFonts w:hint="eastAsia" w:hAnsi="宋体" w:cs="宋体"/>
                <w:color w:val="auto"/>
                <w:sz w:val="24"/>
              </w:rPr>
            </w:pPr>
          </w:p>
        </w:tc>
      </w:tr>
      <w:tr w14:paraId="2DB8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noWrap w:val="0"/>
            <w:vAlign w:val="center"/>
          </w:tcPr>
          <w:p w14:paraId="76990E98">
            <w:pPr>
              <w:jc w:val="center"/>
              <w:rPr>
                <w:rFonts w:hint="eastAsia" w:hAnsi="宋体" w:cs="宋体"/>
                <w:color w:val="auto"/>
                <w:sz w:val="24"/>
              </w:rPr>
            </w:pPr>
          </w:p>
        </w:tc>
        <w:tc>
          <w:tcPr>
            <w:tcW w:w="1489" w:type="dxa"/>
            <w:noWrap w:val="0"/>
            <w:vAlign w:val="center"/>
          </w:tcPr>
          <w:p w14:paraId="32E29B15">
            <w:pPr>
              <w:rPr>
                <w:rFonts w:hint="eastAsia" w:hAnsi="宋体" w:cs="宋体"/>
                <w:color w:val="auto"/>
                <w:sz w:val="24"/>
              </w:rPr>
            </w:pPr>
          </w:p>
        </w:tc>
        <w:tc>
          <w:tcPr>
            <w:tcW w:w="2102" w:type="dxa"/>
            <w:noWrap w:val="0"/>
            <w:vAlign w:val="center"/>
          </w:tcPr>
          <w:p w14:paraId="04DD05C5">
            <w:pPr>
              <w:rPr>
                <w:rFonts w:hint="eastAsia" w:hAnsi="宋体" w:cs="宋体"/>
                <w:color w:val="auto"/>
                <w:sz w:val="24"/>
              </w:rPr>
            </w:pPr>
          </w:p>
        </w:tc>
        <w:tc>
          <w:tcPr>
            <w:tcW w:w="1660" w:type="dxa"/>
            <w:noWrap w:val="0"/>
            <w:vAlign w:val="center"/>
          </w:tcPr>
          <w:p w14:paraId="6BC86315">
            <w:pPr>
              <w:jc w:val="center"/>
              <w:rPr>
                <w:rFonts w:hint="eastAsia" w:hAnsi="宋体" w:cs="宋体"/>
                <w:color w:val="auto"/>
                <w:sz w:val="24"/>
              </w:rPr>
            </w:pPr>
          </w:p>
        </w:tc>
        <w:tc>
          <w:tcPr>
            <w:tcW w:w="1359" w:type="dxa"/>
            <w:noWrap w:val="0"/>
            <w:vAlign w:val="top"/>
          </w:tcPr>
          <w:p w14:paraId="39BB3AFB">
            <w:pPr>
              <w:jc w:val="center"/>
              <w:rPr>
                <w:rFonts w:hint="eastAsia" w:hAnsi="宋体" w:cs="宋体"/>
                <w:color w:val="auto"/>
                <w:sz w:val="24"/>
              </w:rPr>
            </w:pPr>
          </w:p>
        </w:tc>
        <w:tc>
          <w:tcPr>
            <w:tcW w:w="1360" w:type="dxa"/>
            <w:noWrap w:val="0"/>
            <w:vAlign w:val="top"/>
          </w:tcPr>
          <w:p w14:paraId="6E5A096F">
            <w:pPr>
              <w:jc w:val="center"/>
              <w:rPr>
                <w:rFonts w:hint="eastAsia" w:hAnsi="宋体" w:cs="宋体"/>
                <w:color w:val="auto"/>
                <w:sz w:val="24"/>
              </w:rPr>
            </w:pPr>
          </w:p>
        </w:tc>
      </w:tr>
      <w:tr w14:paraId="4A4C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noWrap w:val="0"/>
            <w:vAlign w:val="center"/>
          </w:tcPr>
          <w:p w14:paraId="1500CC39">
            <w:pPr>
              <w:jc w:val="center"/>
              <w:rPr>
                <w:rFonts w:hint="eastAsia" w:hAnsi="宋体" w:cs="宋体"/>
                <w:color w:val="auto"/>
                <w:sz w:val="24"/>
              </w:rPr>
            </w:pPr>
          </w:p>
        </w:tc>
        <w:tc>
          <w:tcPr>
            <w:tcW w:w="1489" w:type="dxa"/>
            <w:noWrap w:val="0"/>
            <w:vAlign w:val="center"/>
          </w:tcPr>
          <w:p w14:paraId="463C6A2A">
            <w:pPr>
              <w:rPr>
                <w:rFonts w:hint="eastAsia" w:hAnsi="宋体" w:cs="宋体"/>
                <w:color w:val="auto"/>
                <w:sz w:val="24"/>
              </w:rPr>
            </w:pPr>
          </w:p>
        </w:tc>
        <w:tc>
          <w:tcPr>
            <w:tcW w:w="2102" w:type="dxa"/>
            <w:noWrap w:val="0"/>
            <w:vAlign w:val="center"/>
          </w:tcPr>
          <w:p w14:paraId="6173BA4A">
            <w:pPr>
              <w:rPr>
                <w:rFonts w:hint="eastAsia" w:hAnsi="宋体" w:cs="宋体"/>
                <w:color w:val="auto"/>
                <w:sz w:val="24"/>
              </w:rPr>
            </w:pPr>
          </w:p>
        </w:tc>
        <w:tc>
          <w:tcPr>
            <w:tcW w:w="1660" w:type="dxa"/>
            <w:noWrap w:val="0"/>
            <w:vAlign w:val="center"/>
          </w:tcPr>
          <w:p w14:paraId="7AC16B50">
            <w:pPr>
              <w:jc w:val="center"/>
              <w:rPr>
                <w:rFonts w:hint="eastAsia" w:hAnsi="宋体" w:cs="宋体"/>
                <w:color w:val="auto"/>
                <w:sz w:val="24"/>
              </w:rPr>
            </w:pPr>
          </w:p>
        </w:tc>
        <w:tc>
          <w:tcPr>
            <w:tcW w:w="1359" w:type="dxa"/>
            <w:noWrap w:val="0"/>
            <w:vAlign w:val="top"/>
          </w:tcPr>
          <w:p w14:paraId="56655BBD">
            <w:pPr>
              <w:jc w:val="center"/>
              <w:rPr>
                <w:rFonts w:hint="eastAsia" w:hAnsi="宋体" w:cs="宋体"/>
                <w:color w:val="auto"/>
                <w:sz w:val="24"/>
              </w:rPr>
            </w:pPr>
          </w:p>
        </w:tc>
        <w:tc>
          <w:tcPr>
            <w:tcW w:w="1360" w:type="dxa"/>
            <w:noWrap w:val="0"/>
            <w:vAlign w:val="top"/>
          </w:tcPr>
          <w:p w14:paraId="27AF970E">
            <w:pPr>
              <w:jc w:val="center"/>
              <w:rPr>
                <w:rFonts w:hint="eastAsia" w:hAnsi="宋体" w:cs="宋体"/>
                <w:color w:val="auto"/>
                <w:sz w:val="24"/>
              </w:rPr>
            </w:pPr>
          </w:p>
        </w:tc>
      </w:tr>
      <w:tr w14:paraId="3D28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noWrap w:val="0"/>
            <w:vAlign w:val="center"/>
          </w:tcPr>
          <w:p w14:paraId="42401D66">
            <w:pPr>
              <w:jc w:val="center"/>
              <w:rPr>
                <w:rFonts w:hint="eastAsia" w:hAnsi="宋体" w:cs="宋体"/>
                <w:color w:val="auto"/>
                <w:sz w:val="24"/>
              </w:rPr>
            </w:pPr>
          </w:p>
        </w:tc>
        <w:tc>
          <w:tcPr>
            <w:tcW w:w="1489" w:type="dxa"/>
            <w:noWrap w:val="0"/>
            <w:vAlign w:val="center"/>
          </w:tcPr>
          <w:p w14:paraId="169DC055">
            <w:pPr>
              <w:rPr>
                <w:rFonts w:hint="eastAsia" w:hAnsi="宋体" w:cs="宋体"/>
                <w:color w:val="auto"/>
                <w:sz w:val="24"/>
              </w:rPr>
            </w:pPr>
          </w:p>
        </w:tc>
        <w:tc>
          <w:tcPr>
            <w:tcW w:w="2102" w:type="dxa"/>
            <w:noWrap w:val="0"/>
            <w:vAlign w:val="center"/>
          </w:tcPr>
          <w:p w14:paraId="33FF31DF">
            <w:pPr>
              <w:rPr>
                <w:rFonts w:hint="eastAsia" w:hAnsi="宋体" w:cs="宋体"/>
                <w:color w:val="auto"/>
                <w:sz w:val="24"/>
              </w:rPr>
            </w:pPr>
          </w:p>
        </w:tc>
        <w:tc>
          <w:tcPr>
            <w:tcW w:w="1660" w:type="dxa"/>
            <w:noWrap w:val="0"/>
            <w:vAlign w:val="center"/>
          </w:tcPr>
          <w:p w14:paraId="3E5E1DA3">
            <w:pPr>
              <w:jc w:val="center"/>
              <w:rPr>
                <w:rFonts w:hint="eastAsia" w:hAnsi="宋体" w:cs="宋体"/>
                <w:color w:val="auto"/>
                <w:sz w:val="24"/>
              </w:rPr>
            </w:pPr>
          </w:p>
        </w:tc>
        <w:tc>
          <w:tcPr>
            <w:tcW w:w="1359" w:type="dxa"/>
            <w:noWrap w:val="0"/>
            <w:vAlign w:val="top"/>
          </w:tcPr>
          <w:p w14:paraId="2F8AC8DE">
            <w:pPr>
              <w:jc w:val="center"/>
              <w:rPr>
                <w:rFonts w:hint="eastAsia" w:hAnsi="宋体" w:cs="宋体"/>
                <w:color w:val="auto"/>
                <w:sz w:val="24"/>
              </w:rPr>
            </w:pPr>
          </w:p>
        </w:tc>
        <w:tc>
          <w:tcPr>
            <w:tcW w:w="1360" w:type="dxa"/>
            <w:noWrap w:val="0"/>
            <w:vAlign w:val="top"/>
          </w:tcPr>
          <w:p w14:paraId="2FFF80BB">
            <w:pPr>
              <w:jc w:val="center"/>
              <w:rPr>
                <w:rFonts w:hint="eastAsia" w:hAnsi="宋体" w:cs="宋体"/>
                <w:color w:val="auto"/>
                <w:sz w:val="24"/>
              </w:rPr>
            </w:pPr>
          </w:p>
        </w:tc>
      </w:tr>
      <w:tr w14:paraId="3C23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noWrap w:val="0"/>
            <w:vAlign w:val="center"/>
          </w:tcPr>
          <w:p w14:paraId="23021934">
            <w:pPr>
              <w:jc w:val="center"/>
              <w:rPr>
                <w:rFonts w:hint="eastAsia" w:hAnsi="宋体" w:cs="宋体"/>
                <w:color w:val="auto"/>
                <w:sz w:val="24"/>
              </w:rPr>
            </w:pPr>
          </w:p>
        </w:tc>
        <w:tc>
          <w:tcPr>
            <w:tcW w:w="1489" w:type="dxa"/>
            <w:noWrap w:val="0"/>
            <w:vAlign w:val="center"/>
          </w:tcPr>
          <w:p w14:paraId="133E809D">
            <w:pPr>
              <w:rPr>
                <w:rFonts w:hint="eastAsia" w:hAnsi="宋体" w:cs="宋体"/>
                <w:color w:val="auto"/>
                <w:sz w:val="24"/>
              </w:rPr>
            </w:pPr>
          </w:p>
        </w:tc>
        <w:tc>
          <w:tcPr>
            <w:tcW w:w="2102" w:type="dxa"/>
            <w:noWrap w:val="0"/>
            <w:vAlign w:val="center"/>
          </w:tcPr>
          <w:p w14:paraId="74B910F1">
            <w:pPr>
              <w:rPr>
                <w:rFonts w:hint="eastAsia" w:hAnsi="宋体" w:cs="宋体"/>
                <w:color w:val="auto"/>
                <w:sz w:val="24"/>
              </w:rPr>
            </w:pPr>
          </w:p>
        </w:tc>
        <w:tc>
          <w:tcPr>
            <w:tcW w:w="1660" w:type="dxa"/>
            <w:noWrap w:val="0"/>
            <w:vAlign w:val="center"/>
          </w:tcPr>
          <w:p w14:paraId="0E346FCA">
            <w:pPr>
              <w:jc w:val="center"/>
              <w:rPr>
                <w:rFonts w:hint="eastAsia" w:hAnsi="宋体" w:cs="宋体"/>
                <w:color w:val="auto"/>
                <w:sz w:val="24"/>
              </w:rPr>
            </w:pPr>
          </w:p>
        </w:tc>
        <w:tc>
          <w:tcPr>
            <w:tcW w:w="1359" w:type="dxa"/>
            <w:noWrap w:val="0"/>
            <w:vAlign w:val="top"/>
          </w:tcPr>
          <w:p w14:paraId="6A9F6B1D">
            <w:pPr>
              <w:jc w:val="center"/>
              <w:rPr>
                <w:rFonts w:hint="eastAsia" w:hAnsi="宋体" w:cs="宋体"/>
                <w:color w:val="auto"/>
                <w:sz w:val="24"/>
              </w:rPr>
            </w:pPr>
          </w:p>
        </w:tc>
        <w:tc>
          <w:tcPr>
            <w:tcW w:w="1360" w:type="dxa"/>
            <w:noWrap w:val="0"/>
            <w:vAlign w:val="top"/>
          </w:tcPr>
          <w:p w14:paraId="6D838CF6">
            <w:pPr>
              <w:jc w:val="center"/>
              <w:rPr>
                <w:rFonts w:hint="eastAsia" w:hAnsi="宋体" w:cs="宋体"/>
                <w:color w:val="auto"/>
                <w:sz w:val="24"/>
              </w:rPr>
            </w:pPr>
          </w:p>
        </w:tc>
      </w:tr>
      <w:tr w14:paraId="5512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noWrap w:val="0"/>
            <w:vAlign w:val="center"/>
          </w:tcPr>
          <w:p w14:paraId="6AFD9504">
            <w:pPr>
              <w:jc w:val="center"/>
              <w:rPr>
                <w:rFonts w:hint="eastAsia" w:hAnsi="宋体" w:cs="宋体"/>
                <w:color w:val="auto"/>
                <w:sz w:val="24"/>
              </w:rPr>
            </w:pPr>
          </w:p>
        </w:tc>
        <w:tc>
          <w:tcPr>
            <w:tcW w:w="1489" w:type="dxa"/>
            <w:noWrap w:val="0"/>
            <w:vAlign w:val="center"/>
          </w:tcPr>
          <w:p w14:paraId="5CCAEE6D">
            <w:pPr>
              <w:rPr>
                <w:rFonts w:hint="eastAsia" w:hAnsi="宋体" w:cs="宋体"/>
                <w:color w:val="auto"/>
                <w:sz w:val="24"/>
              </w:rPr>
            </w:pPr>
          </w:p>
        </w:tc>
        <w:tc>
          <w:tcPr>
            <w:tcW w:w="2102" w:type="dxa"/>
            <w:noWrap w:val="0"/>
            <w:vAlign w:val="center"/>
          </w:tcPr>
          <w:p w14:paraId="44F160A9">
            <w:pPr>
              <w:rPr>
                <w:rFonts w:hint="eastAsia" w:hAnsi="宋体" w:cs="宋体"/>
                <w:color w:val="auto"/>
                <w:sz w:val="24"/>
              </w:rPr>
            </w:pPr>
          </w:p>
        </w:tc>
        <w:tc>
          <w:tcPr>
            <w:tcW w:w="1660" w:type="dxa"/>
            <w:noWrap w:val="0"/>
            <w:vAlign w:val="center"/>
          </w:tcPr>
          <w:p w14:paraId="36A00306">
            <w:pPr>
              <w:jc w:val="center"/>
              <w:rPr>
                <w:rFonts w:hint="eastAsia" w:hAnsi="宋体" w:cs="宋体"/>
                <w:color w:val="auto"/>
                <w:sz w:val="24"/>
              </w:rPr>
            </w:pPr>
          </w:p>
        </w:tc>
        <w:tc>
          <w:tcPr>
            <w:tcW w:w="1359" w:type="dxa"/>
            <w:noWrap w:val="0"/>
            <w:vAlign w:val="top"/>
          </w:tcPr>
          <w:p w14:paraId="6E860426">
            <w:pPr>
              <w:jc w:val="center"/>
              <w:rPr>
                <w:rFonts w:hint="eastAsia" w:hAnsi="宋体" w:cs="宋体"/>
                <w:color w:val="auto"/>
                <w:sz w:val="24"/>
              </w:rPr>
            </w:pPr>
          </w:p>
        </w:tc>
        <w:tc>
          <w:tcPr>
            <w:tcW w:w="1360" w:type="dxa"/>
            <w:noWrap w:val="0"/>
            <w:vAlign w:val="top"/>
          </w:tcPr>
          <w:p w14:paraId="36C55A84">
            <w:pPr>
              <w:jc w:val="center"/>
              <w:rPr>
                <w:rFonts w:hint="eastAsia" w:hAnsi="宋体" w:cs="宋体"/>
                <w:color w:val="auto"/>
                <w:sz w:val="24"/>
              </w:rPr>
            </w:pPr>
          </w:p>
        </w:tc>
      </w:tr>
      <w:tr w14:paraId="0F52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50" w:type="dxa"/>
            <w:noWrap w:val="0"/>
            <w:vAlign w:val="center"/>
          </w:tcPr>
          <w:p w14:paraId="770F39CD">
            <w:pPr>
              <w:jc w:val="center"/>
              <w:rPr>
                <w:rFonts w:hint="eastAsia" w:hAnsi="宋体" w:cs="宋体"/>
                <w:color w:val="auto"/>
                <w:sz w:val="24"/>
              </w:rPr>
            </w:pPr>
          </w:p>
        </w:tc>
        <w:tc>
          <w:tcPr>
            <w:tcW w:w="1489" w:type="dxa"/>
            <w:noWrap w:val="0"/>
            <w:vAlign w:val="center"/>
          </w:tcPr>
          <w:p w14:paraId="53E3C236">
            <w:pPr>
              <w:rPr>
                <w:rFonts w:hint="eastAsia" w:hAnsi="宋体" w:cs="宋体"/>
                <w:color w:val="auto"/>
                <w:sz w:val="24"/>
              </w:rPr>
            </w:pPr>
          </w:p>
        </w:tc>
        <w:tc>
          <w:tcPr>
            <w:tcW w:w="2102" w:type="dxa"/>
            <w:noWrap w:val="0"/>
            <w:vAlign w:val="center"/>
          </w:tcPr>
          <w:p w14:paraId="4BC5D108">
            <w:pPr>
              <w:rPr>
                <w:rFonts w:hint="eastAsia" w:hAnsi="宋体" w:cs="宋体"/>
                <w:color w:val="auto"/>
                <w:sz w:val="24"/>
              </w:rPr>
            </w:pPr>
          </w:p>
        </w:tc>
        <w:tc>
          <w:tcPr>
            <w:tcW w:w="1660" w:type="dxa"/>
            <w:noWrap w:val="0"/>
            <w:vAlign w:val="center"/>
          </w:tcPr>
          <w:p w14:paraId="06B15C1E">
            <w:pPr>
              <w:jc w:val="center"/>
              <w:rPr>
                <w:rFonts w:hint="eastAsia" w:hAnsi="宋体" w:cs="宋体"/>
                <w:color w:val="auto"/>
                <w:sz w:val="24"/>
              </w:rPr>
            </w:pPr>
          </w:p>
        </w:tc>
        <w:tc>
          <w:tcPr>
            <w:tcW w:w="1359" w:type="dxa"/>
            <w:noWrap w:val="0"/>
            <w:vAlign w:val="top"/>
          </w:tcPr>
          <w:p w14:paraId="42F99BE7">
            <w:pPr>
              <w:jc w:val="center"/>
              <w:rPr>
                <w:rFonts w:hint="eastAsia" w:hAnsi="宋体" w:cs="宋体"/>
                <w:color w:val="auto"/>
                <w:sz w:val="24"/>
              </w:rPr>
            </w:pPr>
          </w:p>
        </w:tc>
        <w:tc>
          <w:tcPr>
            <w:tcW w:w="1360" w:type="dxa"/>
            <w:noWrap w:val="0"/>
            <w:vAlign w:val="top"/>
          </w:tcPr>
          <w:p w14:paraId="6B1A0273">
            <w:pPr>
              <w:jc w:val="center"/>
              <w:rPr>
                <w:rFonts w:hint="eastAsia" w:hAnsi="宋体" w:cs="宋体"/>
                <w:color w:val="auto"/>
                <w:sz w:val="24"/>
              </w:rPr>
            </w:pPr>
          </w:p>
        </w:tc>
      </w:tr>
    </w:tbl>
    <w:p w14:paraId="77792A34">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0" w:firstLineChars="0"/>
        <w:jc w:val="both"/>
        <w:textAlignment w:val="auto"/>
        <w:outlineLvl w:val="9"/>
        <w:rPr>
          <w:rFonts w:hint="eastAsia" w:hAnsi="宋体"/>
          <w:b/>
          <w:bCs/>
          <w:color w:val="auto"/>
          <w:sz w:val="24"/>
        </w:rPr>
      </w:pPr>
      <w:r>
        <w:rPr>
          <w:rFonts w:hint="eastAsia" w:ascii="宋体" w:hAnsi="宋体" w:cs="宋体"/>
          <w:b/>
          <w:bCs/>
          <w:color w:val="auto"/>
          <w:sz w:val="22"/>
          <w:szCs w:val="22"/>
          <w:highlight w:val="none"/>
        </w:rPr>
        <w:t>备注：如有偏离，必须在偏离表中进行详细对比说明并注明正偏离和负偏离，如不说明偏离情况，视为完全响应采购文件要求无偏离。</w:t>
      </w:r>
    </w:p>
    <w:p w14:paraId="382EA9D1">
      <w:pPr>
        <w:rPr>
          <w:rFonts w:hint="eastAsia" w:hAnsi="宋体"/>
          <w:color w:val="auto"/>
          <w:sz w:val="24"/>
        </w:rPr>
      </w:pPr>
    </w:p>
    <w:p w14:paraId="61C71DB0">
      <w:pPr>
        <w:rPr>
          <w:rFonts w:hint="eastAsia" w:hAnsi="宋体"/>
          <w:color w:val="auto"/>
          <w:sz w:val="24"/>
        </w:rPr>
      </w:pPr>
    </w:p>
    <w:p w14:paraId="32BC0CA9">
      <w:pPr>
        <w:spacing w:line="600" w:lineRule="exact"/>
        <w:ind w:firstLine="480" w:firstLineChars="200"/>
        <w:jc w:val="center"/>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法定代表人</w:t>
      </w:r>
      <w:r>
        <w:rPr>
          <w:rFonts w:hint="eastAsia" w:asciiTheme="minorEastAsia" w:hAnsiTheme="minorEastAsia" w:cstheme="minorBidi"/>
          <w:color w:val="auto"/>
          <w:kern w:val="2"/>
          <w:sz w:val="24"/>
          <w:szCs w:val="24"/>
          <w:lang w:val="en-US" w:eastAsia="zh-CN" w:bidi="ar-SA"/>
        </w:rPr>
        <w:t>或委托代理人</w:t>
      </w:r>
      <w:r>
        <w:rPr>
          <w:rFonts w:hint="eastAsia" w:asciiTheme="minorEastAsia" w:hAnsiTheme="minorEastAsia" w:eastAsiaTheme="minorEastAsia" w:cstheme="minorBidi"/>
          <w:color w:val="auto"/>
          <w:kern w:val="2"/>
          <w:sz w:val="24"/>
          <w:szCs w:val="24"/>
          <w:lang w:val="en-US" w:eastAsia="zh-CN" w:bidi="ar-SA"/>
        </w:rPr>
        <w:t>（签字或盖章):</w:t>
      </w:r>
    </w:p>
    <w:p w14:paraId="1CA37022">
      <w:pPr>
        <w:spacing w:line="600" w:lineRule="exact"/>
        <w:ind w:firstLine="480" w:firstLineChars="200"/>
        <w:jc w:val="center"/>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 xml:space="preserve">投标人（盖章）：         </w:t>
      </w:r>
    </w:p>
    <w:p w14:paraId="01F0FC12">
      <w:pPr>
        <w:spacing w:line="600" w:lineRule="exact"/>
        <w:ind w:firstLine="480" w:firstLineChars="200"/>
        <w:jc w:val="right"/>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年    月    日</w:t>
      </w:r>
    </w:p>
    <w:p w14:paraId="0B584E53">
      <w:pPr>
        <w:spacing w:line="360" w:lineRule="auto"/>
        <w:rPr>
          <w:rFonts w:hint="eastAsia" w:hAnsi="宋体" w:cs="宋体"/>
          <w:color w:val="auto"/>
          <w:sz w:val="24"/>
          <w:szCs w:val="24"/>
        </w:rPr>
      </w:pPr>
    </w:p>
    <w:p w14:paraId="234B3323">
      <w:pPr>
        <w:rPr>
          <w:rFonts w:hint="default" w:asciiTheme="minorEastAsia" w:hAnsiTheme="minorEastAsia" w:eastAsiaTheme="minorEastAsia"/>
          <w:color w:val="auto"/>
          <w:sz w:val="28"/>
          <w:szCs w:val="28"/>
          <w:lang w:val="en-US" w:eastAsia="zh-CN"/>
        </w:rPr>
      </w:pPr>
      <w:r>
        <w:rPr>
          <w:rFonts w:hint="default" w:asciiTheme="minorEastAsia" w:hAnsiTheme="minorEastAsia" w:eastAsiaTheme="minorEastAsia"/>
          <w:color w:val="auto"/>
          <w:sz w:val="28"/>
          <w:szCs w:val="28"/>
          <w:lang w:val="en-US" w:eastAsia="zh-CN"/>
        </w:rPr>
        <w:br w:type="page"/>
      </w:r>
    </w:p>
    <w:p w14:paraId="3F32CA92">
      <w:pPr>
        <w:pStyle w:val="9"/>
        <w:jc w:val="left"/>
        <w:rPr>
          <w:rFonts w:hint="default" w:asciiTheme="minorEastAsia" w:hAnsiTheme="minorEastAsia"/>
          <w:color w:val="auto"/>
          <w:sz w:val="28"/>
          <w:szCs w:val="28"/>
          <w:lang w:val="en-US" w:eastAsia="zh-CN"/>
        </w:rPr>
      </w:pPr>
      <w:r>
        <w:rPr>
          <w:rFonts w:hint="eastAsia" w:asciiTheme="minorEastAsia" w:hAnsiTheme="minorEastAsia"/>
          <w:color w:val="auto"/>
          <w:sz w:val="28"/>
          <w:szCs w:val="28"/>
          <w:lang w:eastAsia="zh-CN"/>
        </w:rPr>
        <w:t>附件</w:t>
      </w:r>
      <w:r>
        <w:rPr>
          <w:rFonts w:hint="eastAsia" w:asciiTheme="minorEastAsia" w:hAnsiTheme="minorEastAsia"/>
          <w:color w:val="auto"/>
          <w:sz w:val="28"/>
          <w:szCs w:val="28"/>
          <w:lang w:val="en-US" w:eastAsia="zh-CN"/>
        </w:rPr>
        <w:t>6</w:t>
      </w:r>
    </w:p>
    <w:p w14:paraId="29CF29D2">
      <w:pPr>
        <w:pStyle w:val="21"/>
        <w:numPr>
          <w:ilvl w:val="0"/>
          <w:numId w:val="0"/>
        </w:numPr>
        <w:jc w:val="center"/>
        <w:rPr>
          <w:rFonts w:hint="eastAsia" w:asciiTheme="minorEastAsia" w:hAnsiTheme="minorEastAsia" w:cstheme="minorBidi"/>
          <w:b/>
          <w:bCs/>
          <w:color w:val="auto"/>
          <w:kern w:val="2"/>
          <w:sz w:val="32"/>
          <w:szCs w:val="32"/>
          <w:lang w:val="en-US" w:eastAsia="zh-CN" w:bidi="ar-SA"/>
        </w:rPr>
      </w:pPr>
      <w:r>
        <w:rPr>
          <w:rFonts w:hint="eastAsia" w:asciiTheme="minorEastAsia" w:hAnsiTheme="minorEastAsia" w:cstheme="minorBidi"/>
          <w:b/>
          <w:bCs/>
          <w:color w:val="auto"/>
          <w:kern w:val="2"/>
          <w:sz w:val="32"/>
          <w:szCs w:val="32"/>
          <w:lang w:val="en-US" w:eastAsia="zh-CN" w:bidi="ar-SA"/>
        </w:rPr>
        <w:t>台州市自然资源和规划信息中心存储光纤交换机及网络交换机扩容采购（重新发布）报价函</w:t>
      </w:r>
    </w:p>
    <w:p w14:paraId="009E6C8D">
      <w:pPr>
        <w:spacing w:line="600" w:lineRule="exact"/>
        <w:rPr>
          <w:rFonts w:hint="eastAsia" w:asciiTheme="minorEastAsia" w:hAnsiTheme="minorEastAsia" w:eastAsiaTheme="minorEastAsia" w:cstheme="minorBidi"/>
          <w:color w:val="auto"/>
          <w:kern w:val="2"/>
          <w:sz w:val="24"/>
          <w:szCs w:val="24"/>
          <w:u w:val="single"/>
          <w:lang w:val="en-US" w:eastAsia="zh-CN" w:bidi="ar-SA"/>
        </w:rPr>
      </w:pPr>
    </w:p>
    <w:p w14:paraId="74433F6A">
      <w:pPr>
        <w:spacing w:line="600" w:lineRule="exact"/>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stheme="minorBidi"/>
          <w:color w:val="auto"/>
          <w:kern w:val="2"/>
          <w:sz w:val="24"/>
          <w:szCs w:val="24"/>
          <w:u w:val="single"/>
          <w:lang w:val="en-US" w:eastAsia="zh-CN" w:bidi="ar-SA"/>
        </w:rPr>
        <w:t>台州市自然资源和规划信息中心</w:t>
      </w:r>
      <w:r>
        <w:rPr>
          <w:rFonts w:hint="eastAsia" w:asciiTheme="minorEastAsia" w:hAnsiTheme="minorEastAsia" w:eastAsiaTheme="minorEastAsia" w:cstheme="minorBidi"/>
          <w:color w:val="auto"/>
          <w:kern w:val="2"/>
          <w:sz w:val="24"/>
          <w:szCs w:val="24"/>
          <w:lang w:val="en-US" w:eastAsia="zh-CN" w:bidi="ar-SA"/>
        </w:rPr>
        <w:t>：</w:t>
      </w:r>
    </w:p>
    <w:p w14:paraId="773FEEBD">
      <w:pPr>
        <w:widowControl/>
        <w:spacing w:line="480" w:lineRule="exact"/>
        <w:ind w:firstLine="480" w:firstLineChars="200"/>
        <w:jc w:val="left"/>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w:t>
      </w:r>
      <w:r>
        <w:rPr>
          <w:rFonts w:hint="eastAsia"/>
          <w:color w:val="auto"/>
          <w:sz w:val="24"/>
          <w:highlight w:val="none"/>
          <w:lang w:eastAsia="zh-CN"/>
        </w:rPr>
        <w:t>供应商</w:t>
      </w:r>
      <w:r>
        <w:rPr>
          <w:rFonts w:hint="eastAsia"/>
          <w:color w:val="auto"/>
          <w:sz w:val="24"/>
          <w:highlight w:val="none"/>
        </w:rPr>
        <w:t>全称）授权</w:t>
      </w:r>
      <w:r>
        <w:rPr>
          <w:rFonts w:hint="eastAsia"/>
          <w:color w:val="auto"/>
          <w:sz w:val="24"/>
          <w:highlight w:val="none"/>
          <w:u w:val="single"/>
        </w:rPr>
        <w:t xml:space="preserve">                 （</w:t>
      </w:r>
      <w:r>
        <w:rPr>
          <w:rFonts w:hint="eastAsia"/>
          <w:color w:val="auto"/>
          <w:sz w:val="24"/>
          <w:highlight w:val="none"/>
        </w:rPr>
        <w:t>全权代表名</w:t>
      </w:r>
      <w:r>
        <w:rPr>
          <w:rFonts w:hint="eastAsia" w:ascii="宋体" w:hAnsi="宋体"/>
          <w:color w:val="auto"/>
          <w:sz w:val="24"/>
          <w:highlight w:val="none"/>
        </w:rPr>
        <w:t>称）</w:t>
      </w:r>
      <w:r>
        <w:rPr>
          <w:rFonts w:hint="eastAsia" w:ascii="宋体" w:hAnsi="宋体"/>
          <w:color w:val="auto"/>
          <w:sz w:val="24"/>
          <w:highlight w:val="none"/>
          <w:u w:val="single"/>
        </w:rPr>
        <w:t xml:space="preserve">            </w:t>
      </w:r>
      <w:r>
        <w:rPr>
          <w:rFonts w:hint="eastAsia" w:ascii="宋体" w:hAnsi="宋体"/>
          <w:color w:val="auto"/>
          <w:sz w:val="24"/>
          <w:highlight w:val="none"/>
        </w:rPr>
        <w:t>（职务、职称）为全权代表，参加</w:t>
      </w:r>
      <w:r>
        <w:rPr>
          <w:rFonts w:hint="eastAsia" w:ascii="宋体" w:hAnsi="宋体"/>
          <w:color w:val="auto"/>
          <w:sz w:val="24"/>
          <w:highlight w:val="none"/>
          <w:u w:val="single"/>
          <w:lang w:eastAsia="zh-CN"/>
        </w:rPr>
        <w:t>台州市自然资源和规划信息中心存储光纤交换机及网络交换机扩容采购（重新发布）</w:t>
      </w:r>
      <w:r>
        <w:rPr>
          <w:rFonts w:hint="eastAsia" w:ascii="宋体" w:hAnsi="宋体"/>
          <w:color w:val="auto"/>
          <w:sz w:val="24"/>
          <w:highlight w:val="none"/>
          <w:u w:val="single"/>
          <w:lang w:val="en-US" w:eastAsia="zh-CN"/>
        </w:rPr>
        <w:t>项目</w:t>
      </w:r>
      <w:r>
        <w:rPr>
          <w:rFonts w:hint="eastAsia" w:ascii="宋体" w:hAnsi="宋体" w:eastAsia="宋体" w:cs="Times New Roman"/>
          <w:color w:val="auto"/>
          <w:sz w:val="24"/>
          <w:highlight w:val="none"/>
        </w:rPr>
        <w:t>的有关活动，并对此进</w:t>
      </w:r>
      <w:r>
        <w:rPr>
          <w:rFonts w:hint="eastAsia"/>
          <w:color w:val="auto"/>
          <w:sz w:val="24"/>
          <w:highlight w:val="none"/>
        </w:rPr>
        <w:t>行</w:t>
      </w:r>
      <w:r>
        <w:rPr>
          <w:rFonts w:hint="eastAsia"/>
          <w:color w:val="auto"/>
          <w:sz w:val="24"/>
          <w:highlight w:val="none"/>
          <w:lang w:eastAsia="zh-CN"/>
        </w:rPr>
        <w:t>报价</w:t>
      </w:r>
      <w:r>
        <w:rPr>
          <w:rFonts w:hint="eastAsia"/>
          <w:color w:val="auto"/>
          <w:sz w:val="24"/>
          <w:highlight w:val="none"/>
        </w:rPr>
        <w:t>，为此承诺：</w:t>
      </w:r>
    </w:p>
    <w:p w14:paraId="3203A6BC">
      <w:pPr>
        <w:spacing w:line="460" w:lineRule="exact"/>
        <w:rPr>
          <w:rFonts w:hint="eastAsia" w:ascii="宋体" w:hAnsi="宋体"/>
          <w:color w:val="auto"/>
          <w:sz w:val="24"/>
          <w:highlight w:val="none"/>
        </w:rPr>
      </w:pPr>
      <w:r>
        <w:rPr>
          <w:rFonts w:hint="eastAsia" w:ascii="宋体" w:hAnsi="Courier New" w:eastAsia="宋体" w:cs="Times New Roman"/>
          <w:color w:val="auto"/>
          <w:kern w:val="0"/>
          <w:sz w:val="24"/>
          <w:szCs w:val="21"/>
          <w:highlight w:val="none"/>
          <w:lang w:val="en-US" w:eastAsia="zh-CN" w:bidi="ar-SA"/>
        </w:rPr>
        <w:t>1、</w:t>
      </w:r>
      <w:r>
        <w:rPr>
          <w:rFonts w:hint="eastAsia" w:ascii="宋体" w:hAnsi="宋体"/>
          <w:color w:val="auto"/>
          <w:sz w:val="24"/>
          <w:highlight w:val="none"/>
        </w:rPr>
        <w:t>提供</w:t>
      </w:r>
      <w:r>
        <w:rPr>
          <w:rFonts w:hint="eastAsia" w:ascii="宋体" w:hAnsi="宋体"/>
          <w:color w:val="auto"/>
          <w:sz w:val="24"/>
          <w:highlight w:val="none"/>
          <w:lang w:eastAsia="zh-CN"/>
        </w:rPr>
        <w:t>询价文件</w:t>
      </w:r>
      <w:r>
        <w:rPr>
          <w:rFonts w:hint="eastAsia" w:ascii="宋体" w:hAnsi="宋体"/>
          <w:color w:val="auto"/>
          <w:sz w:val="24"/>
          <w:highlight w:val="none"/>
        </w:rPr>
        <w:t>规定的全部</w:t>
      </w:r>
      <w:r>
        <w:rPr>
          <w:rFonts w:hint="eastAsia" w:ascii="宋体" w:hAnsi="宋体"/>
          <w:color w:val="auto"/>
          <w:sz w:val="24"/>
          <w:highlight w:val="none"/>
          <w:lang w:eastAsia="zh-CN"/>
        </w:rPr>
        <w:t>报价</w:t>
      </w:r>
      <w:r>
        <w:rPr>
          <w:rFonts w:hint="eastAsia" w:ascii="宋体" w:hAnsi="宋体"/>
          <w:color w:val="auto"/>
          <w:sz w:val="24"/>
          <w:highlight w:val="none"/>
        </w:rPr>
        <w:t>文件。</w:t>
      </w:r>
    </w:p>
    <w:p w14:paraId="7445E9FB">
      <w:pPr>
        <w:pStyle w:val="9"/>
        <w:spacing w:line="460" w:lineRule="exact"/>
        <w:rPr>
          <w:rFonts w:hint="default"/>
          <w:color w:val="auto"/>
          <w:sz w:val="24"/>
          <w:highlight w:val="none"/>
        </w:rPr>
      </w:pPr>
      <w:r>
        <w:rPr>
          <w:color w:val="auto"/>
          <w:sz w:val="24"/>
          <w:highlight w:val="none"/>
        </w:rPr>
        <w:t>2、投标</w:t>
      </w:r>
      <w:r>
        <w:rPr>
          <w:rFonts w:hint="eastAsia"/>
          <w:color w:val="auto"/>
          <w:sz w:val="24"/>
          <w:highlight w:val="none"/>
          <w:lang w:val="en-US" w:eastAsia="zh-CN"/>
        </w:rPr>
        <w:t>总</w:t>
      </w:r>
      <w:r>
        <w:rPr>
          <w:color w:val="auto"/>
          <w:sz w:val="24"/>
          <w:highlight w:val="none"/>
        </w:rPr>
        <w:t>报价：</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u w:val="single"/>
        </w:rPr>
        <w:t xml:space="preserve"> 元</w:t>
      </w:r>
      <w:r>
        <w:rPr>
          <w:color w:val="auto"/>
          <w:sz w:val="24"/>
          <w:highlight w:val="none"/>
        </w:rPr>
        <w:t>。</w:t>
      </w:r>
    </w:p>
    <w:p w14:paraId="17C2C574">
      <w:pPr>
        <w:pStyle w:val="9"/>
        <w:spacing w:line="460" w:lineRule="exact"/>
        <w:rPr>
          <w:color w:val="auto"/>
          <w:sz w:val="24"/>
          <w:highlight w:val="none"/>
        </w:rPr>
      </w:pPr>
      <w:r>
        <w:rPr>
          <w:rFonts w:hint="eastAsia"/>
          <w:color w:val="auto"/>
          <w:sz w:val="24"/>
          <w:highlight w:val="none"/>
          <w:lang w:val="en-US" w:eastAsia="zh-CN"/>
        </w:rPr>
        <w:t>3</w:t>
      </w:r>
      <w:r>
        <w:rPr>
          <w:color w:val="auto"/>
          <w:sz w:val="24"/>
          <w:highlight w:val="none"/>
        </w:rPr>
        <w:t>、保证遵守</w:t>
      </w:r>
      <w:r>
        <w:rPr>
          <w:rFonts w:hint="eastAsia"/>
          <w:color w:val="auto"/>
          <w:sz w:val="24"/>
          <w:highlight w:val="none"/>
          <w:lang w:eastAsia="zh-CN"/>
        </w:rPr>
        <w:t>询价</w:t>
      </w:r>
      <w:r>
        <w:rPr>
          <w:color w:val="auto"/>
          <w:sz w:val="24"/>
          <w:highlight w:val="none"/>
        </w:rPr>
        <w:t>文件中的有关规定和收费标准。</w:t>
      </w:r>
    </w:p>
    <w:p w14:paraId="7C8A7371">
      <w:pPr>
        <w:pStyle w:val="9"/>
        <w:spacing w:line="460" w:lineRule="exact"/>
        <w:rPr>
          <w:color w:val="auto"/>
          <w:sz w:val="24"/>
          <w:highlight w:val="none"/>
        </w:rPr>
      </w:pPr>
      <w:r>
        <w:rPr>
          <w:rFonts w:hint="eastAsia"/>
          <w:color w:val="auto"/>
          <w:sz w:val="24"/>
          <w:highlight w:val="none"/>
          <w:lang w:val="en-US" w:eastAsia="zh-CN"/>
        </w:rPr>
        <w:t>4</w:t>
      </w:r>
      <w:r>
        <w:rPr>
          <w:color w:val="auto"/>
          <w:sz w:val="24"/>
          <w:highlight w:val="none"/>
        </w:rPr>
        <w:t>、保证忠实地执行买卖双方所签的合同，并承担合同规定的责任义务。</w:t>
      </w:r>
    </w:p>
    <w:p w14:paraId="02289F7E">
      <w:pPr>
        <w:pStyle w:val="9"/>
        <w:spacing w:line="460" w:lineRule="exact"/>
        <w:rPr>
          <w:color w:val="auto"/>
          <w:sz w:val="24"/>
          <w:highlight w:val="none"/>
        </w:rPr>
      </w:pPr>
      <w:r>
        <w:rPr>
          <w:rFonts w:hint="eastAsia"/>
          <w:color w:val="auto"/>
          <w:sz w:val="24"/>
          <w:highlight w:val="none"/>
          <w:lang w:val="en-US" w:eastAsia="zh-CN"/>
        </w:rPr>
        <w:t>5</w:t>
      </w:r>
      <w:r>
        <w:rPr>
          <w:color w:val="auto"/>
          <w:sz w:val="24"/>
          <w:highlight w:val="none"/>
        </w:rPr>
        <w:t>、愿意向贵单位提供任何与该项</w:t>
      </w:r>
      <w:r>
        <w:rPr>
          <w:rFonts w:hint="eastAsia"/>
          <w:color w:val="auto"/>
          <w:sz w:val="24"/>
          <w:highlight w:val="none"/>
          <w:lang w:eastAsia="zh-CN"/>
        </w:rPr>
        <w:t>报价</w:t>
      </w:r>
      <w:r>
        <w:rPr>
          <w:color w:val="auto"/>
          <w:sz w:val="24"/>
          <w:highlight w:val="none"/>
        </w:rPr>
        <w:t>有关的数据、情况和技术资料。</w:t>
      </w:r>
    </w:p>
    <w:p w14:paraId="3919DEF3">
      <w:pPr>
        <w:pStyle w:val="9"/>
        <w:spacing w:line="460" w:lineRule="exact"/>
        <w:rPr>
          <w:color w:val="auto"/>
          <w:sz w:val="24"/>
          <w:highlight w:val="none"/>
        </w:rPr>
      </w:pPr>
      <w:r>
        <w:rPr>
          <w:rFonts w:hint="eastAsia"/>
          <w:color w:val="auto"/>
          <w:sz w:val="24"/>
          <w:highlight w:val="none"/>
          <w:lang w:val="en-US" w:eastAsia="zh-CN"/>
        </w:rPr>
        <w:t>6</w:t>
      </w:r>
      <w:r>
        <w:rPr>
          <w:color w:val="auto"/>
          <w:sz w:val="24"/>
          <w:highlight w:val="none"/>
        </w:rPr>
        <w:t>、本</w:t>
      </w:r>
      <w:r>
        <w:rPr>
          <w:rFonts w:hint="eastAsia"/>
          <w:color w:val="auto"/>
          <w:sz w:val="24"/>
          <w:highlight w:val="none"/>
          <w:lang w:val="en-US" w:eastAsia="zh-CN"/>
        </w:rPr>
        <w:t>项目</w:t>
      </w:r>
      <w:r>
        <w:rPr>
          <w:color w:val="auto"/>
          <w:sz w:val="24"/>
          <w:highlight w:val="none"/>
        </w:rPr>
        <w:t>自开标之日起90天内有效。</w:t>
      </w:r>
    </w:p>
    <w:p w14:paraId="5DC46614">
      <w:pPr>
        <w:spacing w:line="600" w:lineRule="exact"/>
        <w:ind w:firstLine="720" w:firstLineChars="300"/>
        <w:rPr>
          <w:rFonts w:hint="eastAsia" w:asciiTheme="minorEastAsia" w:hAnsiTheme="minorEastAsia" w:eastAsiaTheme="minorEastAsia" w:cstheme="minorBidi"/>
          <w:color w:val="auto"/>
          <w:kern w:val="2"/>
          <w:sz w:val="24"/>
          <w:szCs w:val="24"/>
          <w:lang w:val="en-US" w:eastAsia="zh-CN" w:bidi="ar-SA"/>
        </w:rPr>
      </w:pPr>
    </w:p>
    <w:p w14:paraId="3E30C86D">
      <w:pPr>
        <w:spacing w:line="600" w:lineRule="exact"/>
        <w:ind w:firstLine="720" w:firstLineChars="300"/>
        <w:rPr>
          <w:rFonts w:hint="eastAsia" w:asciiTheme="minorEastAsia" w:hAnsiTheme="minorEastAsia" w:eastAsiaTheme="minorEastAsia" w:cstheme="minorBidi"/>
          <w:color w:val="auto"/>
          <w:kern w:val="2"/>
          <w:sz w:val="24"/>
          <w:szCs w:val="24"/>
          <w:lang w:val="en-US" w:eastAsia="zh-CN" w:bidi="ar-SA"/>
        </w:rPr>
      </w:pPr>
    </w:p>
    <w:p w14:paraId="72C9E371">
      <w:pPr>
        <w:spacing w:line="600" w:lineRule="exact"/>
        <w:ind w:firstLine="720" w:firstLineChars="300"/>
        <w:rPr>
          <w:rFonts w:hint="eastAsia" w:ascii="仿宋_GB2312" w:hAnsi="仿宋_GB2312" w:eastAsia="仿宋_GB2312" w:cs="仿宋_GB2312"/>
          <w:color w:val="auto"/>
          <w:sz w:val="24"/>
          <w:szCs w:val="24"/>
        </w:rPr>
      </w:pPr>
    </w:p>
    <w:p w14:paraId="6FA7FEF0">
      <w:pPr>
        <w:spacing w:line="600" w:lineRule="exact"/>
        <w:ind w:firstLine="720" w:firstLineChars="300"/>
        <w:rPr>
          <w:rFonts w:ascii="仿宋_GB2312" w:hAnsi="仿宋_GB2312" w:eastAsia="仿宋_GB2312" w:cs="仿宋_GB2312"/>
          <w:color w:val="auto"/>
          <w:sz w:val="24"/>
          <w:szCs w:val="24"/>
        </w:rPr>
      </w:pPr>
    </w:p>
    <w:p w14:paraId="734CBDE3">
      <w:pPr>
        <w:spacing w:line="600" w:lineRule="exact"/>
        <w:ind w:firstLine="480" w:firstLineChars="200"/>
        <w:jc w:val="center"/>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法定代表人</w:t>
      </w:r>
      <w:r>
        <w:rPr>
          <w:rFonts w:hint="eastAsia" w:asciiTheme="minorEastAsia" w:hAnsiTheme="minorEastAsia" w:cstheme="minorBidi"/>
          <w:color w:val="auto"/>
          <w:kern w:val="2"/>
          <w:sz w:val="24"/>
          <w:szCs w:val="24"/>
          <w:lang w:val="en-US" w:eastAsia="zh-CN" w:bidi="ar-SA"/>
        </w:rPr>
        <w:t>或委托代理人</w:t>
      </w:r>
      <w:r>
        <w:rPr>
          <w:rFonts w:hint="eastAsia" w:asciiTheme="minorEastAsia" w:hAnsiTheme="minorEastAsia" w:eastAsiaTheme="minorEastAsia" w:cstheme="minorBidi"/>
          <w:color w:val="auto"/>
          <w:kern w:val="2"/>
          <w:sz w:val="24"/>
          <w:szCs w:val="24"/>
          <w:lang w:val="en-US" w:eastAsia="zh-CN" w:bidi="ar-SA"/>
        </w:rPr>
        <w:t>（签字或盖章):</w:t>
      </w:r>
    </w:p>
    <w:p w14:paraId="62CC2282">
      <w:pPr>
        <w:spacing w:line="600" w:lineRule="exact"/>
        <w:ind w:firstLine="480" w:firstLineChars="200"/>
        <w:jc w:val="center"/>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 xml:space="preserve">投标人（盖章）：         </w:t>
      </w:r>
    </w:p>
    <w:p w14:paraId="07EAA178">
      <w:pPr>
        <w:spacing w:line="600" w:lineRule="exact"/>
        <w:ind w:firstLine="480" w:firstLineChars="200"/>
        <w:jc w:val="right"/>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年    月    日</w:t>
      </w:r>
    </w:p>
    <w:p w14:paraId="6D11406D">
      <w:pPr>
        <w:pStyle w:val="21"/>
        <w:numPr>
          <w:ilvl w:val="0"/>
          <w:numId w:val="0"/>
        </w:numPr>
        <w:jc w:val="center"/>
        <w:rPr>
          <w:rFonts w:hint="eastAsia" w:asciiTheme="minorEastAsia" w:hAnsiTheme="minorEastAsia"/>
          <w:color w:val="auto"/>
          <w:sz w:val="28"/>
          <w:szCs w:val="28"/>
          <w:lang w:eastAsia="zh-CN"/>
        </w:rPr>
      </w:pPr>
    </w:p>
    <w:p w14:paraId="670091D1">
      <w:pPr>
        <w:pStyle w:val="21"/>
        <w:numPr>
          <w:ilvl w:val="0"/>
          <w:numId w:val="0"/>
        </w:numPr>
        <w:rPr>
          <w:rFonts w:hint="eastAsia" w:asciiTheme="minorEastAsia" w:hAnsiTheme="minorEastAsia"/>
          <w:color w:val="auto"/>
          <w:sz w:val="28"/>
          <w:szCs w:val="28"/>
        </w:rPr>
      </w:pPr>
    </w:p>
    <w:p w14:paraId="356C1795">
      <w:pPr>
        <w:rPr>
          <w:rFonts w:hint="eastAsia" w:asciiTheme="minorEastAsia" w:hAnsiTheme="minorEastAsia"/>
          <w:color w:val="auto"/>
          <w:sz w:val="28"/>
          <w:szCs w:val="28"/>
        </w:rPr>
        <w:sectPr>
          <w:pgSz w:w="11906" w:h="16838"/>
          <w:pgMar w:top="1440" w:right="1800" w:bottom="1440" w:left="1800" w:header="851" w:footer="992" w:gutter="0"/>
          <w:cols w:space="425" w:num="1"/>
          <w:docGrid w:type="lines" w:linePitch="312" w:charSpace="0"/>
        </w:sectPr>
      </w:pPr>
    </w:p>
    <w:p w14:paraId="75C3E523">
      <w:pPr>
        <w:pStyle w:val="21"/>
        <w:numPr>
          <w:ilvl w:val="0"/>
          <w:numId w:val="0"/>
        </w:numPr>
        <w:rPr>
          <w:rFonts w:hint="default" w:asciiTheme="minorEastAsia" w:hAnsiTheme="minorEastAsia" w:eastAsiaTheme="minorEastAsia"/>
          <w:color w:val="auto"/>
          <w:sz w:val="28"/>
          <w:szCs w:val="28"/>
          <w:lang w:val="en-US" w:eastAsia="zh-CN"/>
        </w:rPr>
      </w:pPr>
      <w:r>
        <w:rPr>
          <w:rFonts w:hint="eastAsia" w:asciiTheme="minorEastAsia" w:hAnsiTheme="minorEastAsia"/>
          <w:color w:val="auto"/>
          <w:sz w:val="28"/>
          <w:szCs w:val="28"/>
          <w:lang w:eastAsia="zh-CN"/>
        </w:rPr>
        <w:t>附件</w:t>
      </w:r>
      <w:r>
        <w:rPr>
          <w:rFonts w:hint="eastAsia" w:asciiTheme="minorEastAsia" w:hAnsiTheme="minorEastAsia"/>
          <w:color w:val="auto"/>
          <w:sz w:val="28"/>
          <w:szCs w:val="28"/>
          <w:lang w:val="en-US" w:eastAsia="zh-CN"/>
        </w:rPr>
        <w:t>7</w:t>
      </w:r>
    </w:p>
    <w:p w14:paraId="463A4680">
      <w:pPr>
        <w:jc w:val="center"/>
        <w:rPr>
          <w:rFonts w:hint="eastAsia" w:asciiTheme="minorEastAsia" w:hAnsiTheme="minorEastAsia" w:cstheme="minorBidi"/>
          <w:b/>
          <w:bCs/>
          <w:color w:val="auto"/>
          <w:kern w:val="2"/>
          <w:sz w:val="32"/>
          <w:szCs w:val="32"/>
          <w:lang w:val="en-US" w:eastAsia="zh-CN" w:bidi="ar-SA"/>
        </w:rPr>
      </w:pPr>
      <w:r>
        <w:rPr>
          <w:rFonts w:hint="eastAsia" w:asciiTheme="minorEastAsia" w:hAnsiTheme="minorEastAsia" w:cstheme="minorBidi"/>
          <w:b/>
          <w:bCs/>
          <w:color w:val="auto"/>
          <w:kern w:val="2"/>
          <w:sz w:val="32"/>
          <w:szCs w:val="32"/>
          <w:lang w:val="en-US" w:eastAsia="zh-CN" w:bidi="ar-SA"/>
        </w:rPr>
        <w:t>台州市自然资源和规划信息中心存储光纤交换机及网络交换机扩容采购（重新发布）报价清单</w:t>
      </w:r>
    </w:p>
    <w:tbl>
      <w:tblPr>
        <w:tblStyle w:val="17"/>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579"/>
        <w:gridCol w:w="1837"/>
        <w:gridCol w:w="938"/>
        <w:gridCol w:w="984"/>
        <w:gridCol w:w="1149"/>
        <w:gridCol w:w="1447"/>
        <w:gridCol w:w="1474"/>
      </w:tblGrid>
      <w:tr w14:paraId="4631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49" w:type="dxa"/>
            <w:vAlign w:val="center"/>
          </w:tcPr>
          <w:p w14:paraId="01F39795">
            <w:pPr>
              <w:jc w:val="center"/>
              <w:rPr>
                <w:rFonts w:hint="eastAsia" w:asciiTheme="minorEastAsia" w:hAnsiTheme="minorEastAsia" w:cstheme="minorBidi"/>
                <w:b/>
                <w:bCs/>
                <w:color w:val="auto"/>
                <w:kern w:val="2"/>
                <w:sz w:val="24"/>
                <w:szCs w:val="24"/>
                <w:vertAlign w:val="baseline"/>
                <w:lang w:val="en-US" w:eastAsia="zh-CN" w:bidi="ar-SA"/>
              </w:rPr>
            </w:pPr>
            <w:r>
              <w:rPr>
                <w:rFonts w:hint="eastAsia" w:asciiTheme="minorEastAsia" w:hAnsiTheme="minorEastAsia" w:cstheme="minorBidi"/>
                <w:b/>
                <w:bCs/>
                <w:color w:val="auto"/>
                <w:kern w:val="2"/>
                <w:sz w:val="24"/>
                <w:szCs w:val="24"/>
                <w:vertAlign w:val="baseline"/>
                <w:lang w:val="en-US" w:eastAsia="zh-CN" w:bidi="ar-SA"/>
              </w:rPr>
              <w:t>序号</w:t>
            </w:r>
          </w:p>
        </w:tc>
        <w:tc>
          <w:tcPr>
            <w:tcW w:w="1579" w:type="dxa"/>
            <w:vAlign w:val="center"/>
          </w:tcPr>
          <w:p w14:paraId="3E0CD709">
            <w:pPr>
              <w:jc w:val="center"/>
              <w:rPr>
                <w:rFonts w:hint="eastAsia" w:asciiTheme="minorEastAsia" w:hAnsiTheme="minorEastAsia" w:cstheme="minorBidi"/>
                <w:b/>
                <w:bCs/>
                <w:color w:val="auto"/>
                <w:kern w:val="2"/>
                <w:sz w:val="24"/>
                <w:szCs w:val="24"/>
                <w:vertAlign w:val="baseline"/>
                <w:lang w:val="en-US" w:eastAsia="zh-CN" w:bidi="ar-SA"/>
              </w:rPr>
            </w:pPr>
            <w:r>
              <w:rPr>
                <w:rFonts w:hint="eastAsia" w:asciiTheme="minorEastAsia" w:hAnsiTheme="minorEastAsia" w:cstheme="minorBidi"/>
                <w:b/>
                <w:bCs/>
                <w:color w:val="auto"/>
                <w:kern w:val="2"/>
                <w:sz w:val="24"/>
                <w:szCs w:val="24"/>
                <w:vertAlign w:val="baseline"/>
                <w:lang w:val="en-US" w:eastAsia="zh-CN" w:bidi="ar-SA"/>
              </w:rPr>
              <w:t>名称</w:t>
            </w:r>
          </w:p>
        </w:tc>
        <w:tc>
          <w:tcPr>
            <w:tcW w:w="1837" w:type="dxa"/>
            <w:vAlign w:val="center"/>
          </w:tcPr>
          <w:p w14:paraId="5DBFC3F4">
            <w:pPr>
              <w:jc w:val="center"/>
              <w:rPr>
                <w:rFonts w:hint="default" w:asciiTheme="minorEastAsia" w:hAnsiTheme="minorEastAsia" w:cstheme="minorBidi"/>
                <w:b/>
                <w:bCs/>
                <w:color w:val="auto"/>
                <w:kern w:val="2"/>
                <w:sz w:val="24"/>
                <w:szCs w:val="24"/>
                <w:vertAlign w:val="baseline"/>
                <w:lang w:val="en-US" w:eastAsia="zh-CN" w:bidi="ar-SA"/>
              </w:rPr>
            </w:pPr>
            <w:r>
              <w:rPr>
                <w:rFonts w:hint="eastAsia" w:asciiTheme="minorEastAsia" w:hAnsiTheme="minorEastAsia" w:cstheme="minorBidi"/>
                <w:b/>
                <w:bCs/>
                <w:color w:val="auto"/>
                <w:kern w:val="2"/>
                <w:sz w:val="24"/>
                <w:szCs w:val="24"/>
                <w:vertAlign w:val="baseline"/>
                <w:lang w:val="en-US" w:eastAsia="zh-CN" w:bidi="ar-SA"/>
              </w:rPr>
              <w:t>品牌、型号</w:t>
            </w:r>
          </w:p>
        </w:tc>
        <w:tc>
          <w:tcPr>
            <w:tcW w:w="938" w:type="dxa"/>
            <w:vAlign w:val="center"/>
          </w:tcPr>
          <w:p w14:paraId="58DB9F29">
            <w:pPr>
              <w:jc w:val="center"/>
              <w:rPr>
                <w:rFonts w:hint="eastAsia" w:asciiTheme="minorEastAsia" w:hAnsiTheme="minorEastAsia" w:cstheme="minorBidi"/>
                <w:b/>
                <w:bCs/>
                <w:color w:val="auto"/>
                <w:kern w:val="2"/>
                <w:sz w:val="24"/>
                <w:szCs w:val="24"/>
                <w:vertAlign w:val="baseline"/>
                <w:lang w:val="en-US" w:eastAsia="zh-CN" w:bidi="ar-SA"/>
              </w:rPr>
            </w:pPr>
            <w:r>
              <w:rPr>
                <w:rFonts w:hint="eastAsia" w:asciiTheme="minorEastAsia" w:hAnsiTheme="minorEastAsia" w:cstheme="minorBidi"/>
                <w:b/>
                <w:bCs/>
                <w:color w:val="auto"/>
                <w:kern w:val="2"/>
                <w:sz w:val="24"/>
                <w:szCs w:val="24"/>
                <w:vertAlign w:val="baseline"/>
                <w:lang w:val="en-US" w:eastAsia="zh-CN" w:bidi="ar-SA"/>
              </w:rPr>
              <w:t>单位</w:t>
            </w:r>
          </w:p>
        </w:tc>
        <w:tc>
          <w:tcPr>
            <w:tcW w:w="984" w:type="dxa"/>
            <w:vAlign w:val="center"/>
          </w:tcPr>
          <w:p w14:paraId="791A31D0">
            <w:pPr>
              <w:jc w:val="center"/>
              <w:rPr>
                <w:rFonts w:hint="eastAsia" w:asciiTheme="minorEastAsia" w:hAnsiTheme="minorEastAsia" w:cstheme="minorBidi"/>
                <w:b/>
                <w:bCs/>
                <w:color w:val="auto"/>
                <w:kern w:val="2"/>
                <w:sz w:val="24"/>
                <w:szCs w:val="24"/>
                <w:vertAlign w:val="baseline"/>
                <w:lang w:val="en-US" w:eastAsia="zh-CN" w:bidi="ar-SA"/>
              </w:rPr>
            </w:pPr>
            <w:r>
              <w:rPr>
                <w:rFonts w:hint="eastAsia" w:asciiTheme="minorEastAsia" w:hAnsiTheme="minorEastAsia" w:cstheme="minorBidi"/>
                <w:b/>
                <w:bCs/>
                <w:color w:val="auto"/>
                <w:kern w:val="2"/>
                <w:sz w:val="24"/>
                <w:szCs w:val="24"/>
                <w:vertAlign w:val="baseline"/>
                <w:lang w:val="en-US" w:eastAsia="zh-CN" w:bidi="ar-SA"/>
              </w:rPr>
              <w:t>数量</w:t>
            </w:r>
          </w:p>
        </w:tc>
        <w:tc>
          <w:tcPr>
            <w:tcW w:w="1149" w:type="dxa"/>
            <w:vAlign w:val="center"/>
          </w:tcPr>
          <w:p w14:paraId="4F02E71E">
            <w:pPr>
              <w:jc w:val="center"/>
              <w:rPr>
                <w:rFonts w:hint="default" w:asciiTheme="minorEastAsia" w:hAnsiTheme="minorEastAsia" w:cstheme="minorBidi"/>
                <w:b/>
                <w:bCs/>
                <w:color w:val="auto"/>
                <w:kern w:val="2"/>
                <w:sz w:val="24"/>
                <w:szCs w:val="24"/>
                <w:vertAlign w:val="baseline"/>
                <w:lang w:val="en-US" w:eastAsia="zh-CN" w:bidi="ar-SA"/>
              </w:rPr>
            </w:pPr>
            <w:r>
              <w:rPr>
                <w:rFonts w:hint="eastAsia" w:asciiTheme="minorEastAsia" w:hAnsiTheme="minorEastAsia" w:cstheme="minorBidi"/>
                <w:b/>
                <w:bCs/>
                <w:color w:val="auto"/>
                <w:kern w:val="2"/>
                <w:sz w:val="24"/>
                <w:szCs w:val="24"/>
                <w:vertAlign w:val="baseline"/>
                <w:lang w:val="en-US" w:eastAsia="zh-CN" w:bidi="ar-SA"/>
              </w:rPr>
              <w:t>上限单价</w:t>
            </w:r>
          </w:p>
        </w:tc>
        <w:tc>
          <w:tcPr>
            <w:tcW w:w="1447" w:type="dxa"/>
            <w:vAlign w:val="center"/>
          </w:tcPr>
          <w:p w14:paraId="51866B8F">
            <w:pPr>
              <w:jc w:val="center"/>
              <w:rPr>
                <w:rFonts w:hint="eastAsia" w:asciiTheme="minorEastAsia" w:hAnsiTheme="minorEastAsia" w:cstheme="minorBidi"/>
                <w:b/>
                <w:bCs/>
                <w:color w:val="auto"/>
                <w:kern w:val="2"/>
                <w:sz w:val="24"/>
                <w:szCs w:val="24"/>
                <w:vertAlign w:val="baseline"/>
                <w:lang w:val="en-US" w:eastAsia="zh-CN" w:bidi="ar-SA"/>
              </w:rPr>
            </w:pPr>
            <w:r>
              <w:rPr>
                <w:rFonts w:hint="eastAsia" w:asciiTheme="minorEastAsia" w:hAnsiTheme="minorEastAsia" w:cstheme="minorBidi"/>
                <w:b/>
                <w:bCs/>
                <w:color w:val="auto"/>
                <w:kern w:val="2"/>
                <w:sz w:val="24"/>
                <w:szCs w:val="24"/>
                <w:vertAlign w:val="baseline"/>
                <w:lang w:val="en-US" w:eastAsia="zh-CN" w:bidi="ar-SA"/>
              </w:rPr>
              <w:t>全费用综合单价（元）</w:t>
            </w:r>
          </w:p>
        </w:tc>
        <w:tc>
          <w:tcPr>
            <w:tcW w:w="1474" w:type="dxa"/>
            <w:vAlign w:val="center"/>
          </w:tcPr>
          <w:p w14:paraId="749F718D">
            <w:pPr>
              <w:jc w:val="center"/>
              <w:rPr>
                <w:rFonts w:hint="eastAsia" w:asciiTheme="minorEastAsia" w:hAnsiTheme="minorEastAsia" w:cstheme="minorBidi"/>
                <w:b/>
                <w:bCs/>
                <w:color w:val="auto"/>
                <w:kern w:val="2"/>
                <w:sz w:val="24"/>
                <w:szCs w:val="24"/>
                <w:vertAlign w:val="baseline"/>
                <w:lang w:val="en-US" w:eastAsia="zh-CN" w:bidi="ar-SA"/>
              </w:rPr>
            </w:pPr>
            <w:r>
              <w:rPr>
                <w:rFonts w:hint="eastAsia" w:asciiTheme="minorEastAsia" w:hAnsiTheme="minorEastAsia" w:cstheme="minorBidi"/>
                <w:b/>
                <w:bCs/>
                <w:color w:val="auto"/>
                <w:kern w:val="2"/>
                <w:sz w:val="24"/>
                <w:szCs w:val="24"/>
                <w:vertAlign w:val="baseline"/>
                <w:lang w:val="en-US" w:eastAsia="zh-CN" w:bidi="ar-SA"/>
              </w:rPr>
              <w:t>合价（元）</w:t>
            </w:r>
          </w:p>
        </w:tc>
      </w:tr>
      <w:tr w14:paraId="0941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49" w:type="dxa"/>
            <w:vAlign w:val="center"/>
          </w:tcPr>
          <w:p w14:paraId="0AAF0716">
            <w:pPr>
              <w:jc w:val="center"/>
              <w:rPr>
                <w:rFonts w:hint="default" w:asciiTheme="minorEastAsia" w:hAnsiTheme="minorEastAsia" w:cstheme="minorBidi"/>
                <w:b/>
                <w:bCs/>
                <w:color w:val="auto"/>
                <w:kern w:val="2"/>
                <w:sz w:val="24"/>
                <w:szCs w:val="24"/>
                <w:vertAlign w:val="baseline"/>
                <w:lang w:val="en-US" w:eastAsia="zh-CN" w:bidi="ar-SA"/>
              </w:rPr>
            </w:pPr>
            <w:r>
              <w:rPr>
                <w:rFonts w:hint="eastAsia" w:asciiTheme="minorEastAsia" w:hAnsiTheme="minorEastAsia" w:cstheme="minorBidi"/>
                <w:b/>
                <w:bCs/>
                <w:color w:val="auto"/>
                <w:kern w:val="2"/>
                <w:sz w:val="24"/>
                <w:szCs w:val="24"/>
                <w:vertAlign w:val="baseline"/>
                <w:lang w:val="en-US" w:eastAsia="zh-CN" w:bidi="ar-SA"/>
              </w:rPr>
              <w:t>1</w:t>
            </w:r>
          </w:p>
        </w:tc>
        <w:tc>
          <w:tcPr>
            <w:tcW w:w="1579" w:type="dxa"/>
            <w:vAlign w:val="center"/>
          </w:tcPr>
          <w:p w14:paraId="512A7B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Bidi"/>
                <w:b/>
                <w:bCs/>
                <w:color w:val="auto"/>
                <w:kern w:val="2"/>
                <w:sz w:val="24"/>
                <w:szCs w:val="24"/>
                <w:vertAlign w:val="baseline"/>
                <w:lang w:val="en-US" w:eastAsia="zh-CN" w:bidi="ar-SA"/>
              </w:rPr>
            </w:pPr>
            <w:r>
              <w:rPr>
                <w:rFonts w:hint="eastAsia" w:ascii="宋体" w:hAnsi="宋体" w:eastAsia="Calibri" w:cs="宋体"/>
                <w:i w:val="0"/>
                <w:color w:val="auto"/>
                <w:kern w:val="0"/>
                <w:sz w:val="21"/>
                <w:szCs w:val="21"/>
                <w:highlight w:val="none"/>
                <w:u w:val="none"/>
                <w:lang w:val="en-US" w:eastAsia="zh-CN" w:bidi="ar"/>
              </w:rPr>
              <w:t>存储光纤交换机</w:t>
            </w:r>
          </w:p>
        </w:tc>
        <w:tc>
          <w:tcPr>
            <w:tcW w:w="1837" w:type="dxa"/>
            <w:vAlign w:val="center"/>
          </w:tcPr>
          <w:p w14:paraId="104A27E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color w:val="auto"/>
                <w:sz w:val="21"/>
                <w:szCs w:val="21"/>
                <w:highlight w:val="none"/>
                <w:lang w:val="en-US" w:eastAsia="zh-CN"/>
              </w:rPr>
            </w:pPr>
          </w:p>
        </w:tc>
        <w:tc>
          <w:tcPr>
            <w:tcW w:w="938" w:type="dxa"/>
            <w:vAlign w:val="center"/>
          </w:tcPr>
          <w:p w14:paraId="667B88A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heme="minorEastAsia" w:hAnsiTheme="minorEastAsia" w:eastAsiaTheme="minorEastAsia" w:cstheme="minorBidi"/>
                <w:b/>
                <w:bCs/>
                <w:color w:val="auto"/>
                <w:kern w:val="2"/>
                <w:sz w:val="24"/>
                <w:szCs w:val="24"/>
                <w:vertAlign w:val="baseline"/>
                <w:lang w:val="en-US" w:eastAsia="zh-CN" w:bidi="ar-SA"/>
              </w:rPr>
            </w:pPr>
            <w:r>
              <w:rPr>
                <w:rFonts w:hint="eastAsia" w:ascii="宋体" w:hAnsi="宋体" w:eastAsia="宋体" w:cs="宋体"/>
                <w:color w:val="auto"/>
                <w:sz w:val="21"/>
                <w:szCs w:val="21"/>
                <w:highlight w:val="none"/>
                <w:lang w:val="en-US" w:eastAsia="zh-CN"/>
              </w:rPr>
              <w:t>台</w:t>
            </w:r>
          </w:p>
        </w:tc>
        <w:tc>
          <w:tcPr>
            <w:tcW w:w="984" w:type="dxa"/>
            <w:shd w:val="clear" w:color="auto" w:fill="auto"/>
            <w:vAlign w:val="center"/>
          </w:tcPr>
          <w:p w14:paraId="4E84547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cs="宋体"/>
                <w:i w:val="0"/>
                <w:color w:val="auto"/>
                <w:sz w:val="21"/>
                <w:szCs w:val="21"/>
                <w:highlight w:val="none"/>
                <w:u w:val="none"/>
                <w:lang w:val="en-US" w:eastAsia="zh-CN"/>
              </w:rPr>
              <w:t>2</w:t>
            </w:r>
          </w:p>
        </w:tc>
        <w:tc>
          <w:tcPr>
            <w:tcW w:w="1149" w:type="dxa"/>
            <w:vAlign w:val="center"/>
          </w:tcPr>
          <w:p w14:paraId="417D7E60">
            <w:pPr>
              <w:jc w:val="center"/>
              <w:rPr>
                <w:rFonts w:hint="default" w:asciiTheme="minorEastAsia" w:hAnsiTheme="minorEastAsia" w:cstheme="minorBidi"/>
                <w:b/>
                <w:bCs/>
                <w:color w:val="auto"/>
                <w:kern w:val="2"/>
                <w:sz w:val="24"/>
                <w:szCs w:val="24"/>
                <w:vertAlign w:val="baseline"/>
                <w:lang w:val="en-US" w:eastAsia="zh-CN" w:bidi="ar-SA"/>
              </w:rPr>
            </w:pPr>
            <w:r>
              <w:rPr>
                <w:rFonts w:hint="eastAsia"/>
                <w:color w:val="auto"/>
                <w:sz w:val="21"/>
                <w:szCs w:val="21"/>
                <w:lang w:val="en-US" w:eastAsia="zh-CN"/>
              </w:rPr>
              <w:t>66000</w:t>
            </w:r>
          </w:p>
        </w:tc>
        <w:tc>
          <w:tcPr>
            <w:tcW w:w="1447" w:type="dxa"/>
            <w:vAlign w:val="center"/>
          </w:tcPr>
          <w:p w14:paraId="2FC28F2B">
            <w:pPr>
              <w:jc w:val="center"/>
              <w:rPr>
                <w:rFonts w:hint="eastAsia" w:asciiTheme="minorEastAsia" w:hAnsiTheme="minorEastAsia" w:cstheme="minorBidi"/>
                <w:b/>
                <w:bCs/>
                <w:color w:val="auto"/>
                <w:kern w:val="2"/>
                <w:sz w:val="24"/>
                <w:szCs w:val="24"/>
                <w:vertAlign w:val="baseline"/>
                <w:lang w:val="en-US" w:eastAsia="zh-CN" w:bidi="ar-SA"/>
              </w:rPr>
            </w:pPr>
          </w:p>
        </w:tc>
        <w:tc>
          <w:tcPr>
            <w:tcW w:w="1474" w:type="dxa"/>
          </w:tcPr>
          <w:p w14:paraId="4E676B87">
            <w:pPr>
              <w:jc w:val="center"/>
              <w:rPr>
                <w:rFonts w:hint="eastAsia" w:asciiTheme="minorEastAsia" w:hAnsiTheme="minorEastAsia" w:cstheme="minorBidi"/>
                <w:b/>
                <w:bCs/>
                <w:color w:val="auto"/>
                <w:kern w:val="2"/>
                <w:sz w:val="24"/>
                <w:szCs w:val="24"/>
                <w:vertAlign w:val="baseline"/>
                <w:lang w:val="en-US" w:eastAsia="zh-CN" w:bidi="ar-SA"/>
              </w:rPr>
            </w:pPr>
          </w:p>
        </w:tc>
      </w:tr>
      <w:tr w14:paraId="6806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9" w:type="dxa"/>
            <w:vAlign w:val="center"/>
          </w:tcPr>
          <w:p w14:paraId="360E0AA6">
            <w:pPr>
              <w:jc w:val="center"/>
              <w:rPr>
                <w:rFonts w:hint="default" w:asciiTheme="minorEastAsia" w:hAnsiTheme="minorEastAsia" w:cstheme="minorBidi"/>
                <w:b/>
                <w:bCs/>
                <w:color w:val="auto"/>
                <w:kern w:val="2"/>
                <w:sz w:val="24"/>
                <w:szCs w:val="24"/>
                <w:vertAlign w:val="baseline"/>
                <w:lang w:val="en-US" w:eastAsia="zh-CN" w:bidi="ar-SA"/>
              </w:rPr>
            </w:pPr>
            <w:r>
              <w:rPr>
                <w:rFonts w:hint="eastAsia" w:asciiTheme="minorEastAsia" w:hAnsiTheme="minorEastAsia" w:cstheme="minorBidi"/>
                <w:b/>
                <w:bCs/>
                <w:color w:val="auto"/>
                <w:kern w:val="2"/>
                <w:sz w:val="24"/>
                <w:szCs w:val="24"/>
                <w:vertAlign w:val="baseline"/>
                <w:lang w:val="en-US" w:eastAsia="zh-CN" w:bidi="ar-SA"/>
              </w:rPr>
              <w:t>2</w:t>
            </w:r>
          </w:p>
        </w:tc>
        <w:tc>
          <w:tcPr>
            <w:tcW w:w="1579" w:type="dxa"/>
            <w:vAlign w:val="center"/>
          </w:tcPr>
          <w:p w14:paraId="21043FF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cstheme="minorBidi"/>
                <w:b/>
                <w:bCs/>
                <w:color w:val="auto"/>
                <w:kern w:val="2"/>
                <w:sz w:val="24"/>
                <w:szCs w:val="24"/>
                <w:vertAlign w:val="baseline"/>
                <w:lang w:val="en-US" w:eastAsia="zh-CN" w:bidi="ar-SA"/>
              </w:rPr>
            </w:pPr>
            <w:r>
              <w:rPr>
                <w:rFonts w:hint="eastAsia" w:ascii="宋体" w:hAnsi="宋体" w:eastAsia="Calibri" w:cs="宋体"/>
                <w:i w:val="0"/>
                <w:color w:val="auto"/>
                <w:kern w:val="0"/>
                <w:sz w:val="21"/>
                <w:szCs w:val="21"/>
                <w:highlight w:val="none"/>
                <w:u w:val="none"/>
                <w:lang w:val="en-US" w:eastAsia="zh-CN" w:bidi="ar"/>
              </w:rPr>
              <w:t>万兆交换机</w:t>
            </w:r>
          </w:p>
        </w:tc>
        <w:tc>
          <w:tcPr>
            <w:tcW w:w="1837" w:type="dxa"/>
            <w:vAlign w:val="center"/>
          </w:tcPr>
          <w:p w14:paraId="787C5E3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color w:val="auto"/>
                <w:sz w:val="21"/>
                <w:szCs w:val="21"/>
              </w:rPr>
            </w:pPr>
          </w:p>
        </w:tc>
        <w:tc>
          <w:tcPr>
            <w:tcW w:w="938" w:type="dxa"/>
            <w:vAlign w:val="center"/>
          </w:tcPr>
          <w:p w14:paraId="1B29B56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heme="minorEastAsia" w:hAnsiTheme="minorEastAsia" w:eastAsiaTheme="minorEastAsia" w:cstheme="minorBidi"/>
                <w:b/>
                <w:bCs/>
                <w:color w:val="auto"/>
                <w:kern w:val="2"/>
                <w:sz w:val="24"/>
                <w:szCs w:val="24"/>
                <w:vertAlign w:val="baseline"/>
                <w:lang w:val="en-US" w:eastAsia="zh-CN" w:bidi="ar-SA"/>
              </w:rPr>
            </w:pPr>
            <w:r>
              <w:rPr>
                <w:rFonts w:hint="eastAsia"/>
                <w:color w:val="auto"/>
                <w:sz w:val="21"/>
                <w:szCs w:val="21"/>
              </w:rPr>
              <w:t>台</w:t>
            </w:r>
          </w:p>
        </w:tc>
        <w:tc>
          <w:tcPr>
            <w:tcW w:w="984" w:type="dxa"/>
            <w:shd w:val="clear" w:color="auto" w:fill="auto"/>
            <w:vAlign w:val="center"/>
          </w:tcPr>
          <w:p w14:paraId="6C02E54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cs="宋体"/>
                <w:i w:val="0"/>
                <w:color w:val="auto"/>
                <w:sz w:val="21"/>
                <w:szCs w:val="21"/>
                <w:highlight w:val="none"/>
                <w:u w:val="none"/>
                <w:lang w:val="en-US" w:eastAsia="zh-CN"/>
              </w:rPr>
              <w:t>2</w:t>
            </w:r>
          </w:p>
        </w:tc>
        <w:tc>
          <w:tcPr>
            <w:tcW w:w="1149" w:type="dxa"/>
            <w:vAlign w:val="center"/>
          </w:tcPr>
          <w:p w14:paraId="50B4B313">
            <w:pPr>
              <w:jc w:val="center"/>
              <w:rPr>
                <w:rFonts w:hint="default" w:asciiTheme="minorEastAsia" w:hAnsiTheme="minorEastAsia" w:cstheme="minorBidi"/>
                <w:b/>
                <w:bCs/>
                <w:color w:val="auto"/>
                <w:kern w:val="2"/>
                <w:sz w:val="24"/>
                <w:szCs w:val="24"/>
                <w:vertAlign w:val="baseline"/>
                <w:lang w:val="en-US" w:eastAsia="zh-CN" w:bidi="ar-SA"/>
              </w:rPr>
            </w:pPr>
            <w:r>
              <w:rPr>
                <w:rFonts w:hint="eastAsia"/>
                <w:color w:val="auto"/>
                <w:sz w:val="21"/>
                <w:szCs w:val="21"/>
                <w:lang w:val="en-US" w:eastAsia="zh-CN"/>
              </w:rPr>
              <w:t>19500</w:t>
            </w:r>
          </w:p>
        </w:tc>
        <w:tc>
          <w:tcPr>
            <w:tcW w:w="1447" w:type="dxa"/>
            <w:vAlign w:val="center"/>
          </w:tcPr>
          <w:p w14:paraId="078F8855">
            <w:pPr>
              <w:jc w:val="center"/>
              <w:rPr>
                <w:rFonts w:hint="eastAsia" w:asciiTheme="minorEastAsia" w:hAnsiTheme="minorEastAsia" w:cstheme="minorBidi"/>
                <w:b/>
                <w:bCs/>
                <w:color w:val="auto"/>
                <w:kern w:val="2"/>
                <w:sz w:val="24"/>
                <w:szCs w:val="24"/>
                <w:vertAlign w:val="baseline"/>
                <w:lang w:val="en-US" w:eastAsia="zh-CN" w:bidi="ar-SA"/>
              </w:rPr>
            </w:pPr>
          </w:p>
        </w:tc>
        <w:tc>
          <w:tcPr>
            <w:tcW w:w="1474" w:type="dxa"/>
          </w:tcPr>
          <w:p w14:paraId="5475E321">
            <w:pPr>
              <w:jc w:val="center"/>
              <w:rPr>
                <w:rFonts w:hint="eastAsia" w:asciiTheme="minorEastAsia" w:hAnsiTheme="minorEastAsia" w:cstheme="minorBidi"/>
                <w:b/>
                <w:bCs/>
                <w:color w:val="auto"/>
                <w:kern w:val="2"/>
                <w:sz w:val="24"/>
                <w:szCs w:val="24"/>
                <w:vertAlign w:val="baseline"/>
                <w:lang w:val="en-US" w:eastAsia="zh-CN" w:bidi="ar-SA"/>
              </w:rPr>
            </w:pPr>
          </w:p>
        </w:tc>
      </w:tr>
      <w:tr w14:paraId="1C7D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49" w:type="dxa"/>
            <w:vAlign w:val="center"/>
          </w:tcPr>
          <w:p w14:paraId="3B9D511E">
            <w:pPr>
              <w:jc w:val="center"/>
              <w:rPr>
                <w:rFonts w:hint="default" w:asciiTheme="minorEastAsia" w:hAnsiTheme="minorEastAsia" w:cstheme="minorBidi"/>
                <w:b/>
                <w:bCs/>
                <w:color w:val="auto"/>
                <w:kern w:val="2"/>
                <w:sz w:val="24"/>
                <w:szCs w:val="24"/>
                <w:vertAlign w:val="baseline"/>
                <w:lang w:val="en-US" w:eastAsia="zh-CN" w:bidi="ar-SA"/>
              </w:rPr>
            </w:pPr>
            <w:r>
              <w:rPr>
                <w:rFonts w:hint="eastAsia" w:asciiTheme="minorEastAsia" w:hAnsiTheme="minorEastAsia" w:cstheme="minorBidi"/>
                <w:b/>
                <w:bCs/>
                <w:color w:val="auto"/>
                <w:kern w:val="2"/>
                <w:sz w:val="24"/>
                <w:szCs w:val="24"/>
                <w:vertAlign w:val="baseline"/>
                <w:lang w:val="en-US" w:eastAsia="zh-CN" w:bidi="ar-SA"/>
              </w:rPr>
              <w:t>3</w:t>
            </w:r>
          </w:p>
        </w:tc>
        <w:tc>
          <w:tcPr>
            <w:tcW w:w="1579" w:type="dxa"/>
            <w:vAlign w:val="center"/>
          </w:tcPr>
          <w:p w14:paraId="1F9C6D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Bidi"/>
                <w:b/>
                <w:bCs/>
                <w:color w:val="auto"/>
                <w:kern w:val="2"/>
                <w:sz w:val="24"/>
                <w:szCs w:val="24"/>
                <w:vertAlign w:val="baseline"/>
                <w:lang w:val="en-US" w:eastAsia="zh-CN" w:bidi="ar-SA"/>
              </w:rPr>
            </w:pPr>
            <w:r>
              <w:rPr>
                <w:rFonts w:hint="eastAsia" w:ascii="宋体" w:hAnsi="宋体" w:eastAsia="Calibri" w:cs="宋体"/>
                <w:i w:val="0"/>
                <w:color w:val="auto"/>
                <w:kern w:val="0"/>
                <w:sz w:val="21"/>
                <w:szCs w:val="21"/>
                <w:highlight w:val="none"/>
                <w:u w:val="none"/>
                <w:lang w:val="en-US" w:eastAsia="zh-CN" w:bidi="ar"/>
              </w:rPr>
              <w:t>核心交换机板卡扩容</w:t>
            </w:r>
          </w:p>
        </w:tc>
        <w:tc>
          <w:tcPr>
            <w:tcW w:w="1837" w:type="dxa"/>
            <w:vAlign w:val="center"/>
          </w:tcPr>
          <w:p w14:paraId="34D3724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color w:val="auto"/>
                <w:sz w:val="21"/>
                <w:szCs w:val="21"/>
              </w:rPr>
            </w:pPr>
          </w:p>
        </w:tc>
        <w:tc>
          <w:tcPr>
            <w:tcW w:w="938" w:type="dxa"/>
            <w:vAlign w:val="center"/>
          </w:tcPr>
          <w:p w14:paraId="09A88DB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heme="minorEastAsia" w:hAnsiTheme="minorEastAsia" w:eastAsiaTheme="minorEastAsia" w:cstheme="minorBidi"/>
                <w:b/>
                <w:bCs/>
                <w:color w:val="auto"/>
                <w:kern w:val="2"/>
                <w:sz w:val="24"/>
                <w:szCs w:val="24"/>
                <w:vertAlign w:val="baseline"/>
                <w:lang w:val="en-US" w:eastAsia="zh-CN" w:bidi="ar-SA"/>
              </w:rPr>
            </w:pPr>
            <w:r>
              <w:rPr>
                <w:rFonts w:hint="eastAsia"/>
                <w:color w:val="auto"/>
                <w:sz w:val="21"/>
                <w:szCs w:val="21"/>
              </w:rPr>
              <w:t>块</w:t>
            </w:r>
          </w:p>
        </w:tc>
        <w:tc>
          <w:tcPr>
            <w:tcW w:w="984" w:type="dxa"/>
            <w:shd w:val="clear" w:color="auto" w:fill="auto"/>
            <w:vAlign w:val="center"/>
          </w:tcPr>
          <w:p w14:paraId="7085271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cs="宋体"/>
                <w:i w:val="0"/>
                <w:color w:val="auto"/>
                <w:sz w:val="21"/>
                <w:szCs w:val="21"/>
                <w:highlight w:val="none"/>
                <w:u w:val="none"/>
                <w:lang w:val="en-US" w:eastAsia="zh-CN"/>
              </w:rPr>
              <w:t>2</w:t>
            </w:r>
          </w:p>
        </w:tc>
        <w:tc>
          <w:tcPr>
            <w:tcW w:w="1149" w:type="dxa"/>
            <w:vAlign w:val="center"/>
          </w:tcPr>
          <w:p w14:paraId="3729B388">
            <w:pPr>
              <w:jc w:val="center"/>
              <w:rPr>
                <w:rFonts w:hint="default" w:asciiTheme="minorEastAsia" w:hAnsiTheme="minorEastAsia" w:cstheme="minorBidi"/>
                <w:b/>
                <w:bCs/>
                <w:color w:val="auto"/>
                <w:kern w:val="2"/>
                <w:sz w:val="24"/>
                <w:szCs w:val="24"/>
                <w:vertAlign w:val="baseline"/>
                <w:lang w:val="en-US" w:eastAsia="zh-CN" w:bidi="ar-SA"/>
              </w:rPr>
            </w:pPr>
            <w:r>
              <w:rPr>
                <w:rFonts w:hint="eastAsia"/>
                <w:color w:val="auto"/>
                <w:sz w:val="21"/>
                <w:szCs w:val="21"/>
                <w:lang w:val="en-US" w:eastAsia="zh-CN"/>
              </w:rPr>
              <w:t>11500</w:t>
            </w:r>
          </w:p>
        </w:tc>
        <w:tc>
          <w:tcPr>
            <w:tcW w:w="1447" w:type="dxa"/>
            <w:vAlign w:val="center"/>
          </w:tcPr>
          <w:p w14:paraId="6E80C683">
            <w:pPr>
              <w:jc w:val="center"/>
              <w:rPr>
                <w:rFonts w:hint="eastAsia" w:asciiTheme="minorEastAsia" w:hAnsiTheme="minorEastAsia" w:cstheme="minorBidi"/>
                <w:b/>
                <w:bCs/>
                <w:color w:val="auto"/>
                <w:kern w:val="2"/>
                <w:sz w:val="24"/>
                <w:szCs w:val="24"/>
                <w:vertAlign w:val="baseline"/>
                <w:lang w:val="en-US" w:eastAsia="zh-CN" w:bidi="ar-SA"/>
              </w:rPr>
            </w:pPr>
          </w:p>
        </w:tc>
        <w:tc>
          <w:tcPr>
            <w:tcW w:w="1474" w:type="dxa"/>
          </w:tcPr>
          <w:p w14:paraId="7CD61BF8">
            <w:pPr>
              <w:jc w:val="center"/>
              <w:rPr>
                <w:rFonts w:hint="eastAsia" w:asciiTheme="minorEastAsia" w:hAnsiTheme="minorEastAsia" w:cstheme="minorBidi"/>
                <w:b/>
                <w:bCs/>
                <w:color w:val="auto"/>
                <w:kern w:val="2"/>
                <w:sz w:val="24"/>
                <w:szCs w:val="24"/>
                <w:vertAlign w:val="baseline"/>
                <w:lang w:val="en-US" w:eastAsia="zh-CN" w:bidi="ar-SA"/>
              </w:rPr>
            </w:pPr>
          </w:p>
        </w:tc>
      </w:tr>
      <w:tr w14:paraId="07FE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9" w:type="dxa"/>
            <w:vAlign w:val="center"/>
          </w:tcPr>
          <w:p w14:paraId="7DFBBE38">
            <w:pPr>
              <w:jc w:val="center"/>
              <w:rPr>
                <w:rFonts w:hint="default" w:asciiTheme="minorEastAsia" w:hAnsiTheme="minorEastAsia" w:cstheme="minorBidi"/>
                <w:b/>
                <w:bCs/>
                <w:color w:val="auto"/>
                <w:kern w:val="2"/>
                <w:sz w:val="24"/>
                <w:szCs w:val="24"/>
                <w:vertAlign w:val="baseline"/>
                <w:lang w:val="en-US" w:eastAsia="zh-CN" w:bidi="ar-SA"/>
              </w:rPr>
            </w:pPr>
            <w:r>
              <w:rPr>
                <w:rFonts w:hint="eastAsia" w:asciiTheme="minorEastAsia" w:hAnsiTheme="minorEastAsia" w:cstheme="minorBidi"/>
                <w:b/>
                <w:bCs/>
                <w:color w:val="auto"/>
                <w:kern w:val="2"/>
                <w:sz w:val="24"/>
                <w:szCs w:val="24"/>
                <w:vertAlign w:val="baseline"/>
                <w:lang w:val="en-US" w:eastAsia="zh-CN" w:bidi="ar-SA"/>
              </w:rPr>
              <w:t>4</w:t>
            </w:r>
          </w:p>
        </w:tc>
        <w:tc>
          <w:tcPr>
            <w:tcW w:w="1579" w:type="dxa"/>
            <w:vAlign w:val="center"/>
          </w:tcPr>
          <w:p w14:paraId="44E207B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cstheme="minorBidi"/>
                <w:b/>
                <w:bCs/>
                <w:color w:val="auto"/>
                <w:kern w:val="2"/>
                <w:sz w:val="24"/>
                <w:szCs w:val="24"/>
                <w:vertAlign w:val="baseline"/>
                <w:lang w:val="en-US" w:eastAsia="zh-CN" w:bidi="ar-SA"/>
              </w:rPr>
            </w:pPr>
            <w:r>
              <w:rPr>
                <w:rFonts w:hint="eastAsia" w:ascii="宋体" w:hAnsi="宋体" w:eastAsia="Calibri" w:cs="宋体"/>
                <w:i w:val="0"/>
                <w:color w:val="auto"/>
                <w:kern w:val="0"/>
                <w:sz w:val="21"/>
                <w:szCs w:val="21"/>
                <w:highlight w:val="none"/>
                <w:u w:val="none"/>
                <w:lang w:val="en-US" w:eastAsia="zh-CN" w:bidi="ar"/>
              </w:rPr>
              <w:t>光模块</w:t>
            </w:r>
          </w:p>
        </w:tc>
        <w:tc>
          <w:tcPr>
            <w:tcW w:w="1837" w:type="dxa"/>
            <w:vAlign w:val="center"/>
          </w:tcPr>
          <w:p w14:paraId="408FD6A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color w:val="auto"/>
                <w:sz w:val="21"/>
                <w:szCs w:val="21"/>
              </w:rPr>
            </w:pPr>
          </w:p>
        </w:tc>
        <w:tc>
          <w:tcPr>
            <w:tcW w:w="938" w:type="dxa"/>
            <w:vAlign w:val="center"/>
          </w:tcPr>
          <w:p w14:paraId="414BAEE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heme="minorEastAsia" w:hAnsiTheme="minorEastAsia" w:eastAsiaTheme="minorEastAsia" w:cstheme="minorBidi"/>
                <w:b/>
                <w:bCs/>
                <w:color w:val="auto"/>
                <w:kern w:val="2"/>
                <w:sz w:val="24"/>
                <w:szCs w:val="24"/>
                <w:vertAlign w:val="baseline"/>
                <w:lang w:val="en-US" w:eastAsia="zh-CN" w:bidi="ar-SA"/>
              </w:rPr>
            </w:pPr>
            <w:r>
              <w:rPr>
                <w:rFonts w:hint="eastAsia"/>
                <w:color w:val="auto"/>
                <w:sz w:val="21"/>
                <w:szCs w:val="21"/>
              </w:rPr>
              <w:t>块</w:t>
            </w:r>
          </w:p>
        </w:tc>
        <w:tc>
          <w:tcPr>
            <w:tcW w:w="984" w:type="dxa"/>
            <w:shd w:val="clear" w:color="auto" w:fill="auto"/>
            <w:vAlign w:val="center"/>
          </w:tcPr>
          <w:p w14:paraId="368F9C6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cs="宋体"/>
                <w:i w:val="0"/>
                <w:color w:val="auto"/>
                <w:sz w:val="21"/>
                <w:szCs w:val="21"/>
                <w:highlight w:val="none"/>
                <w:u w:val="none"/>
                <w:lang w:val="en-US" w:eastAsia="zh-CN"/>
              </w:rPr>
              <w:t>96</w:t>
            </w:r>
          </w:p>
        </w:tc>
        <w:tc>
          <w:tcPr>
            <w:tcW w:w="1149" w:type="dxa"/>
            <w:vAlign w:val="center"/>
          </w:tcPr>
          <w:p w14:paraId="4E74FE31">
            <w:pPr>
              <w:jc w:val="center"/>
              <w:rPr>
                <w:rFonts w:hint="default" w:asciiTheme="minorEastAsia" w:hAnsiTheme="minorEastAsia" w:cstheme="minorBidi"/>
                <w:b/>
                <w:bCs/>
                <w:color w:val="auto"/>
                <w:kern w:val="2"/>
                <w:sz w:val="24"/>
                <w:szCs w:val="24"/>
                <w:vertAlign w:val="baseline"/>
                <w:lang w:val="en-US" w:eastAsia="zh-CN" w:bidi="ar-SA"/>
              </w:rPr>
            </w:pPr>
            <w:r>
              <w:rPr>
                <w:rFonts w:hint="eastAsia"/>
                <w:color w:val="auto"/>
                <w:sz w:val="21"/>
                <w:szCs w:val="21"/>
                <w:lang w:val="en-US" w:eastAsia="zh-CN"/>
              </w:rPr>
              <w:t>218.75</w:t>
            </w:r>
          </w:p>
        </w:tc>
        <w:tc>
          <w:tcPr>
            <w:tcW w:w="1447" w:type="dxa"/>
            <w:vAlign w:val="center"/>
          </w:tcPr>
          <w:p w14:paraId="0945204D">
            <w:pPr>
              <w:jc w:val="center"/>
              <w:rPr>
                <w:rFonts w:hint="eastAsia" w:asciiTheme="minorEastAsia" w:hAnsiTheme="minorEastAsia" w:cstheme="minorBidi"/>
                <w:b/>
                <w:bCs/>
                <w:color w:val="auto"/>
                <w:kern w:val="2"/>
                <w:sz w:val="24"/>
                <w:szCs w:val="24"/>
                <w:vertAlign w:val="baseline"/>
                <w:lang w:val="en-US" w:eastAsia="zh-CN" w:bidi="ar-SA"/>
              </w:rPr>
            </w:pPr>
          </w:p>
        </w:tc>
        <w:tc>
          <w:tcPr>
            <w:tcW w:w="1474" w:type="dxa"/>
          </w:tcPr>
          <w:p w14:paraId="7803E535">
            <w:pPr>
              <w:jc w:val="center"/>
              <w:rPr>
                <w:rFonts w:hint="eastAsia" w:asciiTheme="minorEastAsia" w:hAnsiTheme="minorEastAsia" w:cstheme="minorBidi"/>
                <w:b/>
                <w:bCs/>
                <w:color w:val="auto"/>
                <w:kern w:val="2"/>
                <w:sz w:val="24"/>
                <w:szCs w:val="24"/>
                <w:vertAlign w:val="baseline"/>
                <w:lang w:val="en-US" w:eastAsia="zh-CN" w:bidi="ar-SA"/>
              </w:rPr>
            </w:pPr>
          </w:p>
        </w:tc>
      </w:tr>
      <w:tr w14:paraId="70B3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9" w:type="dxa"/>
            <w:vAlign w:val="center"/>
          </w:tcPr>
          <w:p w14:paraId="76C7AB60">
            <w:pPr>
              <w:jc w:val="center"/>
              <w:rPr>
                <w:rFonts w:hint="default" w:asciiTheme="minorEastAsia" w:hAnsiTheme="minorEastAsia" w:cstheme="minorBidi"/>
                <w:b/>
                <w:bCs/>
                <w:color w:val="auto"/>
                <w:kern w:val="2"/>
                <w:sz w:val="24"/>
                <w:szCs w:val="24"/>
                <w:vertAlign w:val="baseline"/>
                <w:lang w:val="en-US" w:eastAsia="zh-CN" w:bidi="ar-SA"/>
              </w:rPr>
            </w:pPr>
            <w:r>
              <w:rPr>
                <w:rFonts w:hint="eastAsia" w:asciiTheme="minorEastAsia" w:hAnsiTheme="minorEastAsia" w:cstheme="minorBidi"/>
                <w:b/>
                <w:bCs/>
                <w:color w:val="auto"/>
                <w:kern w:val="2"/>
                <w:sz w:val="24"/>
                <w:szCs w:val="24"/>
                <w:vertAlign w:val="baseline"/>
                <w:lang w:val="en-US" w:eastAsia="zh-CN" w:bidi="ar-SA"/>
              </w:rPr>
              <w:t>5</w:t>
            </w:r>
          </w:p>
        </w:tc>
        <w:tc>
          <w:tcPr>
            <w:tcW w:w="1579" w:type="dxa"/>
            <w:vAlign w:val="center"/>
          </w:tcPr>
          <w:p w14:paraId="09A6D32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cstheme="minorBidi"/>
                <w:b/>
                <w:bCs/>
                <w:color w:val="auto"/>
                <w:kern w:val="2"/>
                <w:sz w:val="24"/>
                <w:szCs w:val="24"/>
                <w:vertAlign w:val="baseline"/>
                <w:lang w:val="en-US" w:eastAsia="zh-CN" w:bidi="ar-SA"/>
              </w:rPr>
            </w:pPr>
            <w:r>
              <w:rPr>
                <w:rFonts w:hint="eastAsia" w:ascii="宋体" w:hAnsi="宋体" w:eastAsia="Calibri" w:cs="宋体"/>
                <w:i w:val="0"/>
                <w:color w:val="auto"/>
                <w:kern w:val="0"/>
                <w:sz w:val="21"/>
                <w:szCs w:val="21"/>
                <w:highlight w:val="none"/>
                <w:u w:val="none"/>
                <w:lang w:val="en-US" w:eastAsia="zh-CN" w:bidi="ar"/>
              </w:rPr>
              <w:t>PDU</w:t>
            </w:r>
          </w:p>
        </w:tc>
        <w:tc>
          <w:tcPr>
            <w:tcW w:w="1837" w:type="dxa"/>
            <w:vAlign w:val="center"/>
          </w:tcPr>
          <w:p w14:paraId="3CEF25B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hAnsi="Calibri" w:eastAsia="Calibri" w:cs="Times New Roman"/>
                <w:color w:val="auto"/>
                <w:sz w:val="21"/>
                <w:szCs w:val="21"/>
                <w:lang w:val="en-US" w:eastAsia="zh-CN"/>
              </w:rPr>
            </w:pPr>
          </w:p>
        </w:tc>
        <w:tc>
          <w:tcPr>
            <w:tcW w:w="938" w:type="dxa"/>
            <w:vAlign w:val="center"/>
          </w:tcPr>
          <w:p w14:paraId="74A7043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heme="minorEastAsia" w:hAnsiTheme="minorEastAsia" w:eastAsiaTheme="minorEastAsia" w:cstheme="minorEastAsia"/>
                <w:color w:val="auto"/>
                <w:sz w:val="24"/>
                <w:szCs w:val="24"/>
                <w:vertAlign w:val="baseline"/>
                <w:lang w:val="en-US" w:eastAsia="zh-CN"/>
              </w:rPr>
            </w:pPr>
            <w:r>
              <w:rPr>
                <w:rFonts w:hint="eastAsia" w:hAnsi="Calibri" w:eastAsia="Calibri" w:cs="Times New Roman"/>
                <w:color w:val="auto"/>
                <w:sz w:val="21"/>
                <w:szCs w:val="21"/>
                <w:lang w:val="en-US" w:eastAsia="zh-CN"/>
              </w:rPr>
              <w:t>条</w:t>
            </w:r>
          </w:p>
        </w:tc>
        <w:tc>
          <w:tcPr>
            <w:tcW w:w="984" w:type="dxa"/>
            <w:shd w:val="clear" w:color="auto" w:fill="auto"/>
            <w:vAlign w:val="center"/>
          </w:tcPr>
          <w:p w14:paraId="762C41D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HAnsi" w:hAnsiTheme="minorHAnsi" w:eastAsiaTheme="minorEastAsia" w:cstheme="minorBidi"/>
                <w:color w:val="auto"/>
                <w:kern w:val="2"/>
                <w:sz w:val="21"/>
                <w:szCs w:val="22"/>
                <w:lang w:val="en-US" w:eastAsia="zh-CN" w:bidi="ar-SA"/>
              </w:rPr>
            </w:pPr>
            <w:r>
              <w:rPr>
                <w:rFonts w:hint="eastAsia" w:hAnsi="Calibri" w:eastAsia="Calibri" w:cs="Times New Roman"/>
                <w:color w:val="auto"/>
                <w:sz w:val="21"/>
                <w:szCs w:val="21"/>
                <w:lang w:val="en-US" w:eastAsia="zh-CN"/>
              </w:rPr>
              <w:t>8</w:t>
            </w:r>
          </w:p>
        </w:tc>
        <w:tc>
          <w:tcPr>
            <w:tcW w:w="1149" w:type="dxa"/>
            <w:vAlign w:val="center"/>
          </w:tcPr>
          <w:p w14:paraId="230AA676">
            <w:pPr>
              <w:jc w:val="center"/>
              <w:rPr>
                <w:rFonts w:hint="default" w:asciiTheme="minorEastAsia" w:hAnsiTheme="minorEastAsia" w:cstheme="minorEastAsia"/>
                <w:color w:val="auto"/>
                <w:sz w:val="24"/>
                <w:szCs w:val="24"/>
                <w:vertAlign w:val="baseline"/>
                <w:lang w:val="en-US" w:eastAsia="zh-CN"/>
              </w:rPr>
            </w:pPr>
            <w:r>
              <w:rPr>
                <w:rFonts w:hint="eastAsia"/>
                <w:color w:val="auto"/>
                <w:sz w:val="21"/>
                <w:szCs w:val="21"/>
                <w:lang w:val="en-US" w:eastAsia="zh-CN"/>
              </w:rPr>
              <w:t>212.5</w:t>
            </w:r>
          </w:p>
        </w:tc>
        <w:tc>
          <w:tcPr>
            <w:tcW w:w="1447" w:type="dxa"/>
            <w:vAlign w:val="center"/>
          </w:tcPr>
          <w:p w14:paraId="4DDC3D4E">
            <w:pPr>
              <w:jc w:val="center"/>
              <w:rPr>
                <w:rFonts w:hint="eastAsia" w:asciiTheme="minorEastAsia" w:hAnsiTheme="minorEastAsia" w:cstheme="minorBidi"/>
                <w:b/>
                <w:bCs/>
                <w:color w:val="auto"/>
                <w:kern w:val="2"/>
                <w:sz w:val="24"/>
                <w:szCs w:val="24"/>
                <w:vertAlign w:val="baseline"/>
                <w:lang w:val="en-US" w:eastAsia="zh-CN" w:bidi="ar-SA"/>
              </w:rPr>
            </w:pPr>
          </w:p>
        </w:tc>
        <w:tc>
          <w:tcPr>
            <w:tcW w:w="1474" w:type="dxa"/>
          </w:tcPr>
          <w:p w14:paraId="7FD62183">
            <w:pPr>
              <w:jc w:val="center"/>
              <w:rPr>
                <w:rFonts w:hint="eastAsia" w:asciiTheme="minorEastAsia" w:hAnsiTheme="minorEastAsia" w:cstheme="minorBidi"/>
                <w:b/>
                <w:bCs/>
                <w:color w:val="auto"/>
                <w:kern w:val="2"/>
                <w:sz w:val="24"/>
                <w:szCs w:val="24"/>
                <w:vertAlign w:val="baseline"/>
                <w:lang w:val="en-US" w:eastAsia="zh-CN" w:bidi="ar-SA"/>
              </w:rPr>
            </w:pPr>
          </w:p>
        </w:tc>
      </w:tr>
      <w:tr w14:paraId="2A6F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165" w:type="dxa"/>
            <w:gridSpan w:val="3"/>
            <w:vAlign w:val="center"/>
          </w:tcPr>
          <w:p w14:paraId="7847616B">
            <w:pPr>
              <w:jc w:val="center"/>
              <w:rPr>
                <w:rFonts w:hint="eastAsia" w:ascii="宋体" w:hAnsi="宋体"/>
                <w:color w:val="auto"/>
                <w:spacing w:val="20"/>
                <w:sz w:val="24"/>
                <w:lang w:eastAsia="zh-CN"/>
              </w:rPr>
            </w:pPr>
            <w:r>
              <w:rPr>
                <w:rFonts w:hint="eastAsia" w:ascii="宋体" w:hAnsi="宋体"/>
                <w:color w:val="auto"/>
                <w:spacing w:val="20"/>
                <w:sz w:val="24"/>
              </w:rPr>
              <w:t>总</w:t>
            </w:r>
            <w:r>
              <w:rPr>
                <w:rFonts w:hint="eastAsia" w:ascii="宋体" w:hAnsi="宋体"/>
                <w:color w:val="auto"/>
                <w:spacing w:val="20"/>
                <w:sz w:val="24"/>
                <w:lang w:eastAsia="zh-CN"/>
              </w:rPr>
              <w:t>报价</w:t>
            </w:r>
          </w:p>
          <w:p w14:paraId="198DEB69">
            <w:pPr>
              <w:jc w:val="center"/>
              <w:rPr>
                <w:rFonts w:hint="default" w:asciiTheme="minorEastAsia" w:hAnsiTheme="minorEastAsia" w:eastAsiaTheme="minorEastAsia" w:cstheme="minorBidi"/>
                <w:b/>
                <w:bCs/>
                <w:color w:val="auto"/>
                <w:kern w:val="2"/>
                <w:sz w:val="24"/>
                <w:szCs w:val="24"/>
                <w:vertAlign w:val="baseline"/>
                <w:lang w:val="en-US" w:eastAsia="zh-CN" w:bidi="ar-SA"/>
              </w:rPr>
            </w:pPr>
            <w:r>
              <w:rPr>
                <w:rFonts w:hint="eastAsia" w:ascii="宋体" w:hAnsi="宋体"/>
                <w:color w:val="auto"/>
                <w:spacing w:val="20"/>
                <w:sz w:val="24"/>
                <w:lang w:eastAsia="zh-CN"/>
              </w:rPr>
              <w:t>（</w:t>
            </w:r>
            <w:r>
              <w:rPr>
                <w:rFonts w:hint="eastAsia" w:ascii="宋体" w:hAnsi="宋体"/>
                <w:color w:val="auto"/>
                <w:spacing w:val="20"/>
                <w:sz w:val="24"/>
                <w:lang w:val="en-US" w:eastAsia="zh-CN"/>
              </w:rPr>
              <w:t>上限价：216700元</w:t>
            </w:r>
            <w:r>
              <w:rPr>
                <w:rFonts w:hint="eastAsia" w:ascii="宋体" w:hAnsi="宋体"/>
                <w:color w:val="auto"/>
                <w:spacing w:val="20"/>
                <w:sz w:val="24"/>
                <w:lang w:eastAsia="zh-CN"/>
              </w:rPr>
              <w:t>）</w:t>
            </w:r>
          </w:p>
        </w:tc>
        <w:tc>
          <w:tcPr>
            <w:tcW w:w="5992" w:type="dxa"/>
            <w:gridSpan w:val="5"/>
            <w:vAlign w:val="center"/>
          </w:tcPr>
          <w:p w14:paraId="6F6BA6B9">
            <w:pPr>
              <w:jc w:val="center"/>
              <w:rPr>
                <w:rFonts w:hint="default" w:asciiTheme="minorEastAsia" w:hAnsiTheme="minorEastAsia" w:cstheme="minorBidi"/>
                <w:b/>
                <w:bCs/>
                <w:color w:val="auto"/>
                <w:kern w:val="2"/>
                <w:sz w:val="24"/>
                <w:szCs w:val="24"/>
                <w:vertAlign w:val="baseline"/>
                <w:lang w:val="en-US" w:eastAsia="zh-CN" w:bidi="ar-SA"/>
              </w:rPr>
            </w:pPr>
            <w:r>
              <w:rPr>
                <w:rFonts w:hint="eastAsia" w:asciiTheme="minorEastAsia" w:hAnsiTheme="minorEastAsia" w:cstheme="minorBidi"/>
                <w:b/>
                <w:bCs/>
                <w:color w:val="auto"/>
                <w:kern w:val="2"/>
                <w:sz w:val="24"/>
                <w:szCs w:val="24"/>
                <w:vertAlign w:val="baseline"/>
                <w:lang w:val="en-US" w:eastAsia="zh-CN" w:bidi="ar-SA"/>
              </w:rPr>
              <w:t xml:space="preserve">            元（转结至报价函）</w:t>
            </w:r>
          </w:p>
        </w:tc>
      </w:tr>
    </w:tbl>
    <w:p w14:paraId="10306DA8">
      <w:pPr>
        <w:spacing w:line="240" w:lineRule="auto"/>
        <w:jc w:val="left"/>
        <w:rPr>
          <w:rFonts w:hint="eastAsia" w:ascii="宋体" w:hAnsi="宋体" w:eastAsia="宋体" w:cs="宋体"/>
          <w:color w:val="auto"/>
          <w:sz w:val="21"/>
          <w:szCs w:val="21"/>
        </w:rPr>
      </w:pPr>
    </w:p>
    <w:p w14:paraId="7AE509F1">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全费用综合单价</w:t>
      </w:r>
      <w:r>
        <w:rPr>
          <w:rFonts w:hint="eastAsia" w:ascii="宋体" w:hAnsi="宋体" w:eastAsia="宋体" w:cs="宋体"/>
          <w:color w:val="auto"/>
          <w:sz w:val="21"/>
          <w:szCs w:val="21"/>
          <w:lang w:val="en-US" w:eastAsia="zh-CN"/>
        </w:rPr>
        <w:t>应包括设备费、人工费、服务费、项目涉及到的所有税金、保险费、工程配套费、运输费、安装费、调试费、代理费、培训费以及实施本项目所需的其他一切费用。</w:t>
      </w:r>
    </w:p>
    <w:p w14:paraId="068A4197">
      <w:pPr>
        <w:pStyle w:val="2"/>
        <w:rPr>
          <w:rFonts w:hint="default"/>
          <w:color w:val="auto"/>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w:t>
      </w:r>
      <w:r>
        <w:rPr>
          <w:rFonts w:hint="eastAsia" w:ascii="宋体" w:hAnsi="宋体" w:eastAsia="宋体" w:cs="宋体"/>
          <w:b/>
          <w:bCs/>
          <w:color w:val="auto"/>
          <w:sz w:val="21"/>
          <w:szCs w:val="21"/>
          <w:lang w:val="en-US" w:eastAsia="zh-CN"/>
        </w:rPr>
        <w:t>总</w:t>
      </w:r>
      <w:r>
        <w:rPr>
          <w:rFonts w:hint="eastAsia" w:ascii="宋体" w:hAnsi="宋体" w:cs="宋体"/>
          <w:b/>
          <w:bCs/>
          <w:color w:val="auto"/>
          <w:sz w:val="21"/>
          <w:szCs w:val="21"/>
          <w:lang w:val="en-US" w:eastAsia="zh-CN"/>
        </w:rPr>
        <w:t>报</w:t>
      </w:r>
      <w:r>
        <w:rPr>
          <w:rFonts w:hint="eastAsia" w:ascii="宋体" w:hAnsi="宋体" w:eastAsia="宋体" w:cs="宋体"/>
          <w:b/>
          <w:bCs/>
          <w:color w:val="auto"/>
          <w:sz w:val="21"/>
          <w:szCs w:val="21"/>
          <w:lang w:val="en-US" w:eastAsia="zh-CN"/>
        </w:rPr>
        <w:t>价以元为单位保留整数小数点后第一位四舍五入。</w:t>
      </w:r>
    </w:p>
    <w:p w14:paraId="25BC115C">
      <w:pPr>
        <w:spacing w:line="600" w:lineRule="exact"/>
        <w:ind w:firstLine="480" w:firstLineChars="200"/>
        <w:jc w:val="center"/>
        <w:rPr>
          <w:rFonts w:hint="eastAsia" w:asciiTheme="minorEastAsia" w:hAnsiTheme="minorEastAsia" w:eastAsiaTheme="minorEastAsia" w:cstheme="minorBidi"/>
          <w:color w:val="auto"/>
          <w:kern w:val="2"/>
          <w:sz w:val="24"/>
          <w:szCs w:val="24"/>
          <w:lang w:val="en-US" w:eastAsia="zh-CN" w:bidi="ar-SA"/>
        </w:rPr>
      </w:pPr>
    </w:p>
    <w:p w14:paraId="56AFFC26">
      <w:pPr>
        <w:spacing w:line="600" w:lineRule="exact"/>
        <w:ind w:firstLine="480" w:firstLineChars="200"/>
        <w:jc w:val="center"/>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法定代表人</w:t>
      </w:r>
      <w:r>
        <w:rPr>
          <w:rFonts w:hint="eastAsia" w:asciiTheme="minorEastAsia" w:hAnsiTheme="minorEastAsia" w:cstheme="minorBidi"/>
          <w:color w:val="auto"/>
          <w:kern w:val="2"/>
          <w:sz w:val="24"/>
          <w:szCs w:val="24"/>
          <w:lang w:val="en-US" w:eastAsia="zh-CN" w:bidi="ar-SA"/>
        </w:rPr>
        <w:t>或委托代理人</w:t>
      </w:r>
      <w:r>
        <w:rPr>
          <w:rFonts w:hint="eastAsia" w:asciiTheme="minorEastAsia" w:hAnsiTheme="minorEastAsia" w:eastAsiaTheme="minorEastAsia" w:cstheme="minorBidi"/>
          <w:color w:val="auto"/>
          <w:kern w:val="2"/>
          <w:sz w:val="24"/>
          <w:szCs w:val="24"/>
          <w:lang w:val="en-US" w:eastAsia="zh-CN" w:bidi="ar-SA"/>
        </w:rPr>
        <w:t>（签字或盖章):</w:t>
      </w:r>
    </w:p>
    <w:p w14:paraId="0FE44F91">
      <w:pPr>
        <w:spacing w:line="600" w:lineRule="exact"/>
        <w:ind w:firstLine="480" w:firstLineChars="200"/>
        <w:jc w:val="center"/>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 xml:space="preserve">投标人（盖章）：         </w:t>
      </w:r>
    </w:p>
    <w:p w14:paraId="4A1A5156">
      <w:pPr>
        <w:spacing w:line="600" w:lineRule="exact"/>
        <w:ind w:firstLine="480" w:firstLineChars="200"/>
        <w:jc w:val="right"/>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年    月    日</w:t>
      </w:r>
    </w:p>
    <w:p w14:paraId="693DF137">
      <w:pPr>
        <w:pStyle w:val="2"/>
        <w:rPr>
          <w:rFonts w:hint="default"/>
          <w:color w:val="auto"/>
          <w:lang w:val="en-US" w:eastAsia="zh-CN"/>
        </w:rPr>
        <w:sectPr>
          <w:pgSz w:w="11906" w:h="16838"/>
          <w:pgMar w:top="1440" w:right="1800" w:bottom="1440" w:left="1800" w:header="851" w:footer="992" w:gutter="0"/>
          <w:cols w:space="425" w:num="1"/>
          <w:docGrid w:type="lines" w:linePitch="312" w:charSpace="0"/>
        </w:sectPr>
      </w:pPr>
      <w:bookmarkStart w:id="6" w:name="_德清国土设备扩容询价单"/>
      <w:bookmarkEnd w:id="6"/>
      <w:bookmarkStart w:id="7" w:name="_桐乡国土设备扩容询价单"/>
      <w:bookmarkEnd w:id="7"/>
    </w:p>
    <w:p w14:paraId="137A4EB0">
      <w:pPr>
        <w:snapToGrid w:val="0"/>
        <w:spacing w:beforeLines="50" w:after="50" w:line="240" w:lineRule="auto"/>
        <w:rPr>
          <w:rFonts w:hint="default" w:ascii="宋体" w:hAnsi="宋体" w:eastAsia="宋体" w:cs="Times New Roman"/>
          <w:b/>
          <w:color w:val="auto"/>
          <w:sz w:val="28"/>
          <w:szCs w:val="28"/>
          <w:highlight w:val="none"/>
          <w:lang w:val="en-US" w:eastAsia="zh-CN"/>
        </w:rPr>
      </w:pPr>
      <w:r>
        <w:rPr>
          <w:rFonts w:hint="eastAsia" w:ascii="宋体" w:hAnsi="宋体" w:eastAsia="宋体" w:cs="Times New Roman"/>
          <w:b/>
          <w:color w:val="auto"/>
          <w:sz w:val="28"/>
          <w:szCs w:val="24"/>
          <w:highlight w:val="none"/>
        </w:rPr>
        <w:t>附件</w:t>
      </w:r>
      <w:r>
        <w:rPr>
          <w:rFonts w:hint="eastAsia" w:ascii="宋体" w:hAnsi="宋体" w:eastAsia="宋体" w:cs="Times New Roman"/>
          <w:b/>
          <w:color w:val="auto"/>
          <w:sz w:val="28"/>
          <w:szCs w:val="24"/>
          <w:highlight w:val="none"/>
          <w:lang w:val="en-US" w:eastAsia="zh-CN"/>
        </w:rPr>
        <w:t>8</w:t>
      </w:r>
    </w:p>
    <w:p w14:paraId="6DC69998">
      <w:pPr>
        <w:spacing w:line="240" w:lineRule="auto"/>
        <w:ind w:right="21"/>
        <w:jc w:val="center"/>
        <w:rPr>
          <w:rFonts w:hint="eastAsia" w:ascii="Times New Roman" w:hAnsi="Times New Roman" w:eastAsia="宋体" w:cs="Times New Roman"/>
          <w:b/>
          <w:color w:val="auto"/>
          <w:sz w:val="36"/>
          <w:szCs w:val="24"/>
          <w:highlight w:val="none"/>
        </w:rPr>
      </w:pPr>
      <w:r>
        <w:rPr>
          <w:rFonts w:ascii="Times New Roman" w:hAnsi="Times New Roman" w:eastAsia="宋体" w:cs="Times New Roman"/>
          <w:b/>
          <w:color w:val="auto"/>
          <w:sz w:val="36"/>
          <w:szCs w:val="24"/>
          <w:highlight w:val="none"/>
        </w:rPr>
        <w:t>中小企业声明函</w:t>
      </w:r>
      <w:r>
        <w:rPr>
          <w:rFonts w:hint="eastAsia" w:ascii="Times New Roman" w:hAnsi="Times New Roman" w:eastAsia="宋体" w:cs="Times New Roman"/>
          <w:b/>
          <w:color w:val="auto"/>
          <w:sz w:val="36"/>
          <w:szCs w:val="24"/>
          <w:highlight w:val="none"/>
        </w:rPr>
        <w:t>（货物类）</w:t>
      </w:r>
    </w:p>
    <w:p w14:paraId="1C91E648">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bCs/>
          <w:color w:val="auto"/>
          <w:kern w:val="0"/>
          <w:sz w:val="24"/>
          <w:szCs w:val="24"/>
          <w:highlight w:val="none"/>
          <w:u w:val="single"/>
        </w:rPr>
        <w:t>（单位名称）</w:t>
      </w:r>
      <w:r>
        <w:rPr>
          <w:rFonts w:hint="eastAsia" w:ascii="宋体" w:hAnsi="宋体" w:eastAsia="宋体" w:cs="宋体"/>
          <w:bCs/>
          <w:color w:val="auto"/>
          <w:kern w:val="0"/>
          <w:sz w:val="24"/>
          <w:szCs w:val="24"/>
          <w:highlight w:val="none"/>
        </w:rPr>
        <w:t xml:space="preserve"> 的</w:t>
      </w:r>
      <w:r>
        <w:rPr>
          <w:rFonts w:hint="eastAsia" w:ascii="宋体" w:hAnsi="宋体" w:eastAsia="宋体" w:cs="宋体"/>
          <w:bCs/>
          <w:color w:val="auto"/>
          <w:kern w:val="0"/>
          <w:sz w:val="24"/>
          <w:szCs w:val="24"/>
          <w:highlight w:val="none"/>
          <w:u w:val="single"/>
        </w:rPr>
        <w:t xml:space="preserve"> （项目名称）</w:t>
      </w:r>
      <w:r>
        <w:rPr>
          <w:rFonts w:hint="eastAsia" w:ascii="宋体" w:hAnsi="宋体" w:eastAsia="宋体" w:cs="宋体"/>
          <w:bCs/>
          <w:color w:val="auto"/>
          <w:kern w:val="0"/>
          <w:sz w:val="24"/>
          <w:szCs w:val="24"/>
          <w:highlight w:val="none"/>
        </w:rPr>
        <w:t>采购活动，提供的货物全部由符合政策要求的中小企业制造。相关企业（含联合体中的中小企业、签订分包意向协议的中小企业）的具体情况如下：</w:t>
      </w:r>
    </w:p>
    <w:p w14:paraId="1BC38D56">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jc w:val="left"/>
        <w:textAlignment w:val="auto"/>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u w:val="single"/>
        </w:rPr>
        <w:t>存储光纤交换机</w:t>
      </w:r>
      <w:r>
        <w:rPr>
          <w:rFonts w:hint="eastAsia" w:ascii="宋体" w:hAnsi="宋体" w:eastAsia="宋体" w:cs="宋体"/>
          <w:bCs/>
          <w:color w:val="auto"/>
          <w:kern w:val="0"/>
          <w:sz w:val="24"/>
          <w:szCs w:val="24"/>
          <w:highlight w:val="none"/>
          <w:u w:val="single"/>
          <w:lang w:eastAsia="zh-CN"/>
        </w:rPr>
        <w:t>）</w:t>
      </w:r>
      <w:r>
        <w:rPr>
          <w:rFonts w:hint="eastAsia" w:ascii="宋体" w:hAnsi="宋体" w:eastAsia="宋体" w:cs="宋体"/>
          <w:bCs/>
          <w:color w:val="auto"/>
          <w:kern w:val="0"/>
          <w:sz w:val="24"/>
          <w:szCs w:val="24"/>
          <w:highlight w:val="none"/>
        </w:rPr>
        <w:t>，属于</w:t>
      </w:r>
      <w:r>
        <w:rPr>
          <w:rFonts w:hint="eastAsia" w:ascii="宋体" w:hAnsi="宋体" w:eastAsia="宋体" w:cs="宋体"/>
          <w:color w:val="auto"/>
          <w:kern w:val="0"/>
          <w:sz w:val="24"/>
          <w:szCs w:val="24"/>
          <w:highlight w:val="none"/>
          <w:u w:val="single"/>
        </w:rPr>
        <w:t>（工业）</w:t>
      </w:r>
      <w:r>
        <w:rPr>
          <w:rFonts w:hint="eastAsia" w:ascii="宋体" w:hAnsi="宋体" w:eastAsia="宋体" w:cs="宋体"/>
          <w:color w:val="auto"/>
          <w:kern w:val="0"/>
          <w:sz w:val="24"/>
          <w:szCs w:val="24"/>
          <w:highlight w:val="none"/>
        </w:rPr>
        <w:t>行业，</w:t>
      </w:r>
      <w:r>
        <w:rPr>
          <w:rFonts w:hint="eastAsia" w:ascii="宋体" w:hAnsi="宋体" w:eastAsia="宋体" w:cs="宋体"/>
          <w:bCs/>
          <w:color w:val="auto"/>
          <w:kern w:val="0"/>
          <w:sz w:val="24"/>
          <w:szCs w:val="24"/>
          <w:highlight w:val="none"/>
        </w:rPr>
        <w:t>制造商为</w:t>
      </w:r>
      <w:r>
        <w:rPr>
          <w:rFonts w:hint="eastAsia" w:ascii="宋体" w:hAnsi="宋体" w:eastAsia="宋体" w:cs="宋体"/>
          <w:bCs/>
          <w:color w:val="auto"/>
          <w:kern w:val="0"/>
          <w:sz w:val="24"/>
          <w:szCs w:val="24"/>
          <w:highlight w:val="none"/>
          <w:u w:val="single"/>
        </w:rPr>
        <w:t>（企业名称）</w:t>
      </w:r>
      <w:r>
        <w:rPr>
          <w:rFonts w:hint="eastAsia" w:ascii="宋体" w:hAnsi="宋体" w:eastAsia="宋体" w:cs="宋体"/>
          <w:bCs/>
          <w:color w:val="auto"/>
          <w:kern w:val="0"/>
          <w:sz w:val="24"/>
          <w:szCs w:val="24"/>
          <w:highlight w:val="none"/>
        </w:rPr>
        <w:t>，</w:t>
      </w:r>
      <w:r>
        <w:rPr>
          <w:rFonts w:hint="eastAsia" w:ascii="宋体" w:hAnsi="宋体" w:eastAsia="宋体" w:cs="宋体"/>
          <w:bCs/>
          <w:iCs/>
          <w:color w:val="auto"/>
          <w:kern w:val="0"/>
          <w:sz w:val="24"/>
          <w:szCs w:val="24"/>
          <w:highlight w:val="none"/>
        </w:rPr>
        <w:t>从业人员</w:t>
      </w:r>
      <w:r>
        <w:rPr>
          <w:rFonts w:hint="eastAsia" w:ascii="宋体" w:hAnsi="宋体" w:eastAsia="宋体" w:cs="宋体"/>
          <w:bCs/>
          <w:iCs/>
          <w:color w:val="auto"/>
          <w:kern w:val="0"/>
          <w:sz w:val="24"/>
          <w:szCs w:val="24"/>
          <w:highlight w:val="none"/>
          <w:u w:val="single"/>
        </w:rPr>
        <w:t xml:space="preserve">   </w:t>
      </w:r>
      <w:r>
        <w:rPr>
          <w:rFonts w:hint="eastAsia" w:ascii="宋体" w:hAnsi="宋体" w:eastAsia="宋体" w:cs="宋体"/>
          <w:bCs/>
          <w:iCs/>
          <w:color w:val="auto"/>
          <w:kern w:val="0"/>
          <w:sz w:val="24"/>
          <w:szCs w:val="24"/>
          <w:highlight w:val="none"/>
        </w:rPr>
        <w:t>人、营业收入为</w:t>
      </w:r>
      <w:r>
        <w:rPr>
          <w:rFonts w:hint="eastAsia" w:ascii="宋体" w:hAnsi="宋体" w:eastAsia="宋体" w:cs="宋体"/>
          <w:bCs/>
          <w:iCs/>
          <w:color w:val="auto"/>
          <w:kern w:val="0"/>
          <w:sz w:val="24"/>
          <w:szCs w:val="24"/>
          <w:highlight w:val="none"/>
          <w:u w:val="single"/>
        </w:rPr>
        <w:t xml:space="preserve">   </w:t>
      </w:r>
      <w:r>
        <w:rPr>
          <w:rFonts w:hint="eastAsia" w:ascii="宋体" w:hAnsi="宋体" w:eastAsia="宋体" w:cs="宋体"/>
          <w:bCs/>
          <w:iCs/>
          <w:color w:val="auto"/>
          <w:kern w:val="0"/>
          <w:sz w:val="24"/>
          <w:szCs w:val="24"/>
          <w:highlight w:val="none"/>
        </w:rPr>
        <w:t>万元</w:t>
      </w:r>
      <w:r>
        <w:rPr>
          <w:rFonts w:hint="eastAsia" w:ascii="宋体" w:hAnsi="宋体" w:eastAsia="宋体" w:cs="宋体"/>
          <w:bCs/>
          <w:color w:val="auto"/>
          <w:kern w:val="0"/>
          <w:sz w:val="24"/>
          <w:szCs w:val="24"/>
          <w:highlight w:val="none"/>
        </w:rPr>
        <w:t>，资产总额</w:t>
      </w:r>
      <w:r>
        <w:rPr>
          <w:rFonts w:hint="eastAsia" w:ascii="宋体" w:hAnsi="宋体" w:eastAsia="宋体" w:cs="宋体"/>
          <w:bCs/>
          <w:i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万元，属于</w:t>
      </w:r>
      <w:r>
        <w:rPr>
          <w:rFonts w:hint="eastAsia" w:ascii="宋体" w:hAnsi="宋体" w:eastAsia="宋体" w:cs="宋体"/>
          <w:bCs/>
          <w:color w:val="auto"/>
          <w:kern w:val="0"/>
          <w:sz w:val="24"/>
          <w:szCs w:val="24"/>
          <w:highlight w:val="none"/>
          <w:u w:val="single"/>
        </w:rPr>
        <w:t xml:space="preserve"> （中型企业、小型企业、微型企业）；</w:t>
      </w:r>
    </w:p>
    <w:p w14:paraId="4B9513F1">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jc w:val="left"/>
        <w:textAlignment w:val="auto"/>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u w:val="single"/>
          <w:lang w:eastAsia="zh-CN"/>
        </w:rPr>
        <w:t>（</w:t>
      </w:r>
      <w:r>
        <w:rPr>
          <w:rFonts w:hint="eastAsia" w:ascii="宋体" w:hAnsi="宋体" w:eastAsia="宋体" w:cs="宋体"/>
          <w:bCs/>
          <w:color w:val="auto"/>
          <w:kern w:val="0"/>
          <w:sz w:val="24"/>
          <w:szCs w:val="24"/>
          <w:highlight w:val="none"/>
          <w:u w:val="single"/>
        </w:rPr>
        <w:t>万兆交换机</w:t>
      </w:r>
      <w:r>
        <w:rPr>
          <w:rFonts w:hint="eastAsia" w:ascii="宋体" w:hAnsi="宋体" w:eastAsia="宋体" w:cs="宋体"/>
          <w:bCs/>
          <w:color w:val="auto"/>
          <w:kern w:val="0"/>
          <w:sz w:val="24"/>
          <w:szCs w:val="24"/>
          <w:highlight w:val="none"/>
          <w:u w:val="single"/>
          <w:lang w:eastAsia="zh-CN"/>
        </w:rPr>
        <w:t>）</w:t>
      </w:r>
      <w:r>
        <w:rPr>
          <w:rFonts w:hint="eastAsia" w:ascii="宋体" w:hAnsi="宋体" w:eastAsia="宋体" w:cs="宋体"/>
          <w:bCs/>
          <w:color w:val="auto"/>
          <w:kern w:val="0"/>
          <w:sz w:val="24"/>
          <w:szCs w:val="24"/>
          <w:highlight w:val="none"/>
        </w:rPr>
        <w:t>，属于</w:t>
      </w:r>
      <w:r>
        <w:rPr>
          <w:rFonts w:hint="eastAsia" w:ascii="宋体" w:hAnsi="宋体" w:eastAsia="宋体" w:cs="宋体"/>
          <w:color w:val="auto"/>
          <w:kern w:val="0"/>
          <w:sz w:val="24"/>
          <w:szCs w:val="24"/>
          <w:highlight w:val="none"/>
          <w:u w:val="single"/>
        </w:rPr>
        <w:t>（工业）</w:t>
      </w:r>
      <w:r>
        <w:rPr>
          <w:rFonts w:hint="eastAsia" w:ascii="宋体" w:hAnsi="宋体" w:eastAsia="宋体" w:cs="宋体"/>
          <w:color w:val="auto"/>
          <w:kern w:val="0"/>
          <w:sz w:val="24"/>
          <w:szCs w:val="24"/>
          <w:highlight w:val="none"/>
        </w:rPr>
        <w:t>行业，</w:t>
      </w:r>
      <w:r>
        <w:rPr>
          <w:rFonts w:hint="eastAsia" w:ascii="宋体" w:hAnsi="宋体" w:eastAsia="宋体" w:cs="宋体"/>
          <w:bCs/>
          <w:color w:val="auto"/>
          <w:kern w:val="0"/>
          <w:sz w:val="24"/>
          <w:szCs w:val="24"/>
          <w:highlight w:val="none"/>
        </w:rPr>
        <w:t>制造商为</w:t>
      </w:r>
      <w:r>
        <w:rPr>
          <w:rFonts w:hint="eastAsia" w:ascii="宋体" w:hAnsi="宋体" w:eastAsia="宋体" w:cs="宋体"/>
          <w:bCs/>
          <w:color w:val="auto"/>
          <w:kern w:val="0"/>
          <w:sz w:val="24"/>
          <w:szCs w:val="24"/>
          <w:highlight w:val="none"/>
          <w:u w:val="single"/>
        </w:rPr>
        <w:t>（企业名称）</w:t>
      </w:r>
      <w:r>
        <w:rPr>
          <w:rFonts w:hint="eastAsia" w:ascii="宋体" w:hAnsi="宋体" w:eastAsia="宋体" w:cs="宋体"/>
          <w:bCs/>
          <w:color w:val="auto"/>
          <w:kern w:val="0"/>
          <w:sz w:val="24"/>
          <w:szCs w:val="24"/>
          <w:highlight w:val="none"/>
        </w:rPr>
        <w:t>，</w:t>
      </w:r>
      <w:r>
        <w:rPr>
          <w:rFonts w:hint="eastAsia" w:ascii="宋体" w:hAnsi="宋体" w:eastAsia="宋体" w:cs="宋体"/>
          <w:bCs/>
          <w:iCs/>
          <w:color w:val="auto"/>
          <w:kern w:val="0"/>
          <w:sz w:val="24"/>
          <w:szCs w:val="24"/>
          <w:highlight w:val="none"/>
        </w:rPr>
        <w:t>从业人员</w:t>
      </w:r>
      <w:r>
        <w:rPr>
          <w:rFonts w:hint="eastAsia" w:ascii="宋体" w:hAnsi="宋体" w:eastAsia="宋体" w:cs="宋体"/>
          <w:bCs/>
          <w:iCs/>
          <w:color w:val="auto"/>
          <w:kern w:val="0"/>
          <w:sz w:val="24"/>
          <w:szCs w:val="24"/>
          <w:highlight w:val="none"/>
          <w:u w:val="single"/>
        </w:rPr>
        <w:t xml:space="preserve">   </w:t>
      </w:r>
      <w:r>
        <w:rPr>
          <w:rFonts w:hint="eastAsia" w:ascii="宋体" w:hAnsi="宋体" w:eastAsia="宋体" w:cs="宋体"/>
          <w:bCs/>
          <w:iCs/>
          <w:color w:val="auto"/>
          <w:kern w:val="0"/>
          <w:sz w:val="24"/>
          <w:szCs w:val="24"/>
          <w:highlight w:val="none"/>
        </w:rPr>
        <w:t>人、营业收入为</w:t>
      </w:r>
      <w:r>
        <w:rPr>
          <w:rFonts w:hint="eastAsia" w:ascii="宋体" w:hAnsi="宋体" w:eastAsia="宋体" w:cs="宋体"/>
          <w:bCs/>
          <w:iCs/>
          <w:color w:val="auto"/>
          <w:kern w:val="0"/>
          <w:sz w:val="24"/>
          <w:szCs w:val="24"/>
          <w:highlight w:val="none"/>
          <w:u w:val="single"/>
        </w:rPr>
        <w:t xml:space="preserve">   </w:t>
      </w:r>
      <w:r>
        <w:rPr>
          <w:rFonts w:hint="eastAsia" w:ascii="宋体" w:hAnsi="宋体" w:eastAsia="宋体" w:cs="宋体"/>
          <w:bCs/>
          <w:iCs/>
          <w:color w:val="auto"/>
          <w:kern w:val="0"/>
          <w:sz w:val="24"/>
          <w:szCs w:val="24"/>
          <w:highlight w:val="none"/>
        </w:rPr>
        <w:t>万元</w:t>
      </w:r>
      <w:r>
        <w:rPr>
          <w:rFonts w:hint="eastAsia" w:ascii="宋体" w:hAnsi="宋体" w:eastAsia="宋体" w:cs="宋体"/>
          <w:bCs/>
          <w:color w:val="auto"/>
          <w:kern w:val="0"/>
          <w:sz w:val="24"/>
          <w:szCs w:val="24"/>
          <w:highlight w:val="none"/>
        </w:rPr>
        <w:t>，资产总额</w:t>
      </w:r>
      <w:r>
        <w:rPr>
          <w:rFonts w:hint="eastAsia" w:ascii="宋体" w:hAnsi="宋体" w:eastAsia="宋体" w:cs="宋体"/>
          <w:bCs/>
          <w:i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万元，属于</w:t>
      </w:r>
      <w:r>
        <w:rPr>
          <w:rFonts w:hint="eastAsia" w:ascii="宋体" w:hAnsi="宋体" w:eastAsia="宋体" w:cs="宋体"/>
          <w:bCs/>
          <w:color w:val="auto"/>
          <w:kern w:val="0"/>
          <w:sz w:val="24"/>
          <w:szCs w:val="24"/>
          <w:highlight w:val="none"/>
          <w:u w:val="single"/>
        </w:rPr>
        <w:t xml:space="preserve"> （中型企业、小型企业、微型企业）；</w:t>
      </w:r>
    </w:p>
    <w:p w14:paraId="18F64A46">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jc w:val="left"/>
        <w:textAlignment w:val="auto"/>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u w:val="single"/>
        </w:rPr>
        <w:t>（核心交换机板卡扩容）</w:t>
      </w:r>
      <w:r>
        <w:rPr>
          <w:rFonts w:hint="eastAsia" w:ascii="宋体" w:hAnsi="宋体" w:eastAsia="宋体" w:cs="宋体"/>
          <w:bCs/>
          <w:color w:val="auto"/>
          <w:kern w:val="0"/>
          <w:sz w:val="24"/>
          <w:szCs w:val="24"/>
          <w:highlight w:val="none"/>
        </w:rPr>
        <w:t>，属于</w:t>
      </w:r>
      <w:r>
        <w:rPr>
          <w:rFonts w:hint="eastAsia" w:ascii="宋体" w:hAnsi="宋体" w:eastAsia="宋体" w:cs="宋体"/>
          <w:color w:val="auto"/>
          <w:kern w:val="0"/>
          <w:sz w:val="24"/>
          <w:szCs w:val="24"/>
          <w:highlight w:val="none"/>
          <w:u w:val="single"/>
        </w:rPr>
        <w:t>（工业）</w:t>
      </w:r>
      <w:r>
        <w:rPr>
          <w:rFonts w:hint="eastAsia" w:ascii="宋体" w:hAnsi="宋体" w:eastAsia="宋体" w:cs="宋体"/>
          <w:color w:val="auto"/>
          <w:kern w:val="0"/>
          <w:sz w:val="24"/>
          <w:szCs w:val="24"/>
          <w:highlight w:val="none"/>
        </w:rPr>
        <w:t>行业，</w:t>
      </w:r>
      <w:r>
        <w:rPr>
          <w:rFonts w:hint="eastAsia" w:ascii="宋体" w:hAnsi="宋体" w:eastAsia="宋体" w:cs="宋体"/>
          <w:bCs/>
          <w:color w:val="auto"/>
          <w:kern w:val="0"/>
          <w:sz w:val="24"/>
          <w:szCs w:val="24"/>
          <w:highlight w:val="none"/>
        </w:rPr>
        <w:t>制造商为</w:t>
      </w:r>
      <w:r>
        <w:rPr>
          <w:rFonts w:hint="eastAsia" w:ascii="宋体" w:hAnsi="宋体" w:eastAsia="宋体" w:cs="宋体"/>
          <w:bCs/>
          <w:color w:val="auto"/>
          <w:kern w:val="0"/>
          <w:sz w:val="24"/>
          <w:szCs w:val="24"/>
          <w:highlight w:val="none"/>
          <w:u w:val="single"/>
        </w:rPr>
        <w:t>（企业名称）</w:t>
      </w:r>
      <w:r>
        <w:rPr>
          <w:rFonts w:hint="eastAsia" w:ascii="宋体" w:hAnsi="宋体" w:eastAsia="宋体" w:cs="宋体"/>
          <w:bCs/>
          <w:color w:val="auto"/>
          <w:kern w:val="0"/>
          <w:sz w:val="24"/>
          <w:szCs w:val="24"/>
          <w:highlight w:val="none"/>
        </w:rPr>
        <w:t>，</w:t>
      </w:r>
      <w:r>
        <w:rPr>
          <w:rFonts w:hint="eastAsia" w:ascii="宋体" w:hAnsi="宋体" w:eastAsia="宋体" w:cs="宋体"/>
          <w:bCs/>
          <w:iCs/>
          <w:color w:val="auto"/>
          <w:kern w:val="0"/>
          <w:sz w:val="24"/>
          <w:szCs w:val="24"/>
          <w:highlight w:val="none"/>
        </w:rPr>
        <w:t>从业人员</w:t>
      </w:r>
      <w:r>
        <w:rPr>
          <w:rFonts w:hint="eastAsia" w:ascii="宋体" w:hAnsi="宋体" w:eastAsia="宋体" w:cs="宋体"/>
          <w:bCs/>
          <w:iCs/>
          <w:color w:val="auto"/>
          <w:kern w:val="0"/>
          <w:sz w:val="24"/>
          <w:szCs w:val="24"/>
          <w:highlight w:val="none"/>
          <w:u w:val="single"/>
        </w:rPr>
        <w:t xml:space="preserve">   </w:t>
      </w:r>
      <w:r>
        <w:rPr>
          <w:rFonts w:hint="eastAsia" w:ascii="宋体" w:hAnsi="宋体" w:eastAsia="宋体" w:cs="宋体"/>
          <w:bCs/>
          <w:iCs/>
          <w:color w:val="auto"/>
          <w:kern w:val="0"/>
          <w:sz w:val="24"/>
          <w:szCs w:val="24"/>
          <w:highlight w:val="none"/>
        </w:rPr>
        <w:t>人、营业收入为</w:t>
      </w:r>
      <w:r>
        <w:rPr>
          <w:rFonts w:hint="eastAsia" w:ascii="宋体" w:hAnsi="宋体" w:eastAsia="宋体" w:cs="宋体"/>
          <w:bCs/>
          <w:iCs/>
          <w:color w:val="auto"/>
          <w:kern w:val="0"/>
          <w:sz w:val="24"/>
          <w:szCs w:val="24"/>
          <w:highlight w:val="none"/>
          <w:u w:val="single"/>
        </w:rPr>
        <w:t xml:space="preserve">   </w:t>
      </w:r>
      <w:r>
        <w:rPr>
          <w:rFonts w:hint="eastAsia" w:ascii="宋体" w:hAnsi="宋体" w:eastAsia="宋体" w:cs="宋体"/>
          <w:bCs/>
          <w:iCs/>
          <w:color w:val="auto"/>
          <w:kern w:val="0"/>
          <w:sz w:val="24"/>
          <w:szCs w:val="24"/>
          <w:highlight w:val="none"/>
        </w:rPr>
        <w:t>万元</w:t>
      </w:r>
      <w:r>
        <w:rPr>
          <w:rFonts w:hint="eastAsia" w:ascii="宋体" w:hAnsi="宋体" w:eastAsia="宋体" w:cs="宋体"/>
          <w:bCs/>
          <w:color w:val="auto"/>
          <w:kern w:val="0"/>
          <w:sz w:val="24"/>
          <w:szCs w:val="24"/>
          <w:highlight w:val="none"/>
        </w:rPr>
        <w:t>，资产总额</w:t>
      </w:r>
      <w:r>
        <w:rPr>
          <w:rFonts w:hint="eastAsia" w:ascii="宋体" w:hAnsi="宋体" w:eastAsia="宋体" w:cs="宋体"/>
          <w:bCs/>
          <w:i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万元，属于</w:t>
      </w:r>
      <w:r>
        <w:rPr>
          <w:rFonts w:hint="eastAsia" w:ascii="宋体" w:hAnsi="宋体" w:eastAsia="宋体" w:cs="宋体"/>
          <w:bCs/>
          <w:color w:val="auto"/>
          <w:kern w:val="0"/>
          <w:sz w:val="24"/>
          <w:szCs w:val="24"/>
          <w:highlight w:val="none"/>
          <w:u w:val="single"/>
        </w:rPr>
        <w:t xml:space="preserve"> （中型企业、小型企业、微型企业）；</w:t>
      </w:r>
    </w:p>
    <w:p w14:paraId="7B6F9A74">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jc w:val="left"/>
        <w:textAlignment w:val="auto"/>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u w:val="single"/>
        </w:rPr>
        <w:t>（光模块）</w:t>
      </w:r>
      <w:r>
        <w:rPr>
          <w:rFonts w:hint="eastAsia" w:ascii="宋体" w:hAnsi="宋体" w:eastAsia="宋体" w:cs="宋体"/>
          <w:bCs/>
          <w:color w:val="auto"/>
          <w:kern w:val="0"/>
          <w:sz w:val="24"/>
          <w:szCs w:val="24"/>
          <w:highlight w:val="none"/>
        </w:rPr>
        <w:t>，属于</w:t>
      </w:r>
      <w:r>
        <w:rPr>
          <w:rFonts w:hint="eastAsia" w:ascii="宋体" w:hAnsi="宋体" w:eastAsia="宋体" w:cs="宋体"/>
          <w:color w:val="auto"/>
          <w:kern w:val="0"/>
          <w:sz w:val="24"/>
          <w:szCs w:val="24"/>
          <w:highlight w:val="none"/>
          <w:u w:val="single"/>
        </w:rPr>
        <w:t>（工业）</w:t>
      </w:r>
      <w:r>
        <w:rPr>
          <w:rFonts w:hint="eastAsia" w:ascii="宋体" w:hAnsi="宋体" w:eastAsia="宋体" w:cs="宋体"/>
          <w:color w:val="auto"/>
          <w:kern w:val="0"/>
          <w:sz w:val="24"/>
          <w:szCs w:val="24"/>
          <w:highlight w:val="none"/>
        </w:rPr>
        <w:t>行业，</w:t>
      </w:r>
      <w:r>
        <w:rPr>
          <w:rFonts w:hint="eastAsia" w:ascii="宋体" w:hAnsi="宋体" w:eastAsia="宋体" w:cs="宋体"/>
          <w:bCs/>
          <w:color w:val="auto"/>
          <w:kern w:val="0"/>
          <w:sz w:val="24"/>
          <w:szCs w:val="24"/>
          <w:highlight w:val="none"/>
        </w:rPr>
        <w:t>制造商为</w:t>
      </w:r>
      <w:r>
        <w:rPr>
          <w:rFonts w:hint="eastAsia" w:ascii="宋体" w:hAnsi="宋体" w:eastAsia="宋体" w:cs="宋体"/>
          <w:bCs/>
          <w:color w:val="auto"/>
          <w:kern w:val="0"/>
          <w:sz w:val="24"/>
          <w:szCs w:val="24"/>
          <w:highlight w:val="none"/>
          <w:u w:val="single"/>
        </w:rPr>
        <w:t>（企业名称）</w:t>
      </w:r>
      <w:r>
        <w:rPr>
          <w:rFonts w:hint="eastAsia" w:ascii="宋体" w:hAnsi="宋体" w:eastAsia="宋体" w:cs="宋体"/>
          <w:bCs/>
          <w:color w:val="auto"/>
          <w:kern w:val="0"/>
          <w:sz w:val="24"/>
          <w:szCs w:val="24"/>
          <w:highlight w:val="none"/>
        </w:rPr>
        <w:t>，</w:t>
      </w:r>
      <w:r>
        <w:rPr>
          <w:rFonts w:hint="eastAsia" w:ascii="宋体" w:hAnsi="宋体" w:eastAsia="宋体" w:cs="宋体"/>
          <w:bCs/>
          <w:iCs/>
          <w:color w:val="auto"/>
          <w:kern w:val="0"/>
          <w:sz w:val="24"/>
          <w:szCs w:val="24"/>
          <w:highlight w:val="none"/>
        </w:rPr>
        <w:t>从业人员</w:t>
      </w:r>
      <w:r>
        <w:rPr>
          <w:rFonts w:hint="eastAsia" w:ascii="宋体" w:hAnsi="宋体" w:eastAsia="宋体" w:cs="宋体"/>
          <w:bCs/>
          <w:iCs/>
          <w:color w:val="auto"/>
          <w:kern w:val="0"/>
          <w:sz w:val="24"/>
          <w:szCs w:val="24"/>
          <w:highlight w:val="none"/>
          <w:u w:val="single"/>
        </w:rPr>
        <w:t xml:space="preserve">   </w:t>
      </w:r>
      <w:r>
        <w:rPr>
          <w:rFonts w:hint="eastAsia" w:ascii="宋体" w:hAnsi="宋体" w:eastAsia="宋体" w:cs="宋体"/>
          <w:bCs/>
          <w:iCs/>
          <w:color w:val="auto"/>
          <w:kern w:val="0"/>
          <w:sz w:val="24"/>
          <w:szCs w:val="24"/>
          <w:highlight w:val="none"/>
        </w:rPr>
        <w:t>人、营业收入为</w:t>
      </w:r>
      <w:r>
        <w:rPr>
          <w:rFonts w:hint="eastAsia" w:ascii="宋体" w:hAnsi="宋体" w:eastAsia="宋体" w:cs="宋体"/>
          <w:bCs/>
          <w:iCs/>
          <w:color w:val="auto"/>
          <w:kern w:val="0"/>
          <w:sz w:val="24"/>
          <w:szCs w:val="24"/>
          <w:highlight w:val="none"/>
          <w:u w:val="single"/>
        </w:rPr>
        <w:t xml:space="preserve">   </w:t>
      </w:r>
      <w:r>
        <w:rPr>
          <w:rFonts w:hint="eastAsia" w:ascii="宋体" w:hAnsi="宋体" w:eastAsia="宋体" w:cs="宋体"/>
          <w:bCs/>
          <w:iCs/>
          <w:color w:val="auto"/>
          <w:kern w:val="0"/>
          <w:sz w:val="24"/>
          <w:szCs w:val="24"/>
          <w:highlight w:val="none"/>
        </w:rPr>
        <w:t>万元</w:t>
      </w:r>
      <w:r>
        <w:rPr>
          <w:rFonts w:hint="eastAsia" w:ascii="宋体" w:hAnsi="宋体" w:eastAsia="宋体" w:cs="宋体"/>
          <w:bCs/>
          <w:color w:val="auto"/>
          <w:kern w:val="0"/>
          <w:sz w:val="24"/>
          <w:szCs w:val="24"/>
          <w:highlight w:val="none"/>
        </w:rPr>
        <w:t>，资产总额</w:t>
      </w:r>
      <w:r>
        <w:rPr>
          <w:rFonts w:hint="eastAsia" w:ascii="宋体" w:hAnsi="宋体" w:eastAsia="宋体" w:cs="宋体"/>
          <w:bCs/>
          <w:i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万元，属于</w:t>
      </w:r>
      <w:r>
        <w:rPr>
          <w:rFonts w:hint="eastAsia" w:ascii="宋体" w:hAnsi="宋体" w:eastAsia="宋体" w:cs="宋体"/>
          <w:bCs/>
          <w:color w:val="auto"/>
          <w:kern w:val="0"/>
          <w:sz w:val="24"/>
          <w:szCs w:val="24"/>
          <w:highlight w:val="none"/>
          <w:u w:val="single"/>
        </w:rPr>
        <w:t xml:space="preserve"> （中型企业、小型企业、微型企业）；</w:t>
      </w:r>
    </w:p>
    <w:p w14:paraId="0EBB3474">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jc w:val="left"/>
        <w:textAlignment w:val="auto"/>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u w:val="single"/>
        </w:rPr>
        <w:t>（PDU）</w:t>
      </w:r>
      <w:r>
        <w:rPr>
          <w:rFonts w:hint="eastAsia" w:ascii="宋体" w:hAnsi="宋体" w:eastAsia="宋体" w:cs="宋体"/>
          <w:bCs/>
          <w:color w:val="auto"/>
          <w:kern w:val="0"/>
          <w:sz w:val="24"/>
          <w:szCs w:val="24"/>
          <w:highlight w:val="none"/>
        </w:rPr>
        <w:t>，属于</w:t>
      </w:r>
      <w:r>
        <w:rPr>
          <w:rFonts w:hint="eastAsia" w:ascii="宋体" w:hAnsi="宋体" w:eastAsia="宋体" w:cs="宋体"/>
          <w:color w:val="auto"/>
          <w:kern w:val="0"/>
          <w:sz w:val="24"/>
          <w:szCs w:val="24"/>
          <w:highlight w:val="none"/>
          <w:u w:val="single"/>
        </w:rPr>
        <w:t>（工业）</w:t>
      </w:r>
      <w:r>
        <w:rPr>
          <w:rFonts w:hint="eastAsia" w:ascii="宋体" w:hAnsi="宋体" w:eastAsia="宋体" w:cs="宋体"/>
          <w:color w:val="auto"/>
          <w:kern w:val="0"/>
          <w:sz w:val="24"/>
          <w:szCs w:val="24"/>
          <w:highlight w:val="none"/>
        </w:rPr>
        <w:t>行业，</w:t>
      </w:r>
      <w:r>
        <w:rPr>
          <w:rFonts w:hint="eastAsia" w:ascii="宋体" w:hAnsi="宋体" w:eastAsia="宋体" w:cs="宋体"/>
          <w:bCs/>
          <w:color w:val="auto"/>
          <w:kern w:val="0"/>
          <w:sz w:val="24"/>
          <w:szCs w:val="24"/>
          <w:highlight w:val="none"/>
        </w:rPr>
        <w:t>制造商为</w:t>
      </w:r>
      <w:r>
        <w:rPr>
          <w:rFonts w:hint="eastAsia" w:ascii="宋体" w:hAnsi="宋体" w:eastAsia="宋体" w:cs="宋体"/>
          <w:bCs/>
          <w:color w:val="auto"/>
          <w:kern w:val="0"/>
          <w:sz w:val="24"/>
          <w:szCs w:val="24"/>
          <w:highlight w:val="none"/>
          <w:u w:val="single"/>
        </w:rPr>
        <w:t>（企业名称）</w:t>
      </w:r>
      <w:r>
        <w:rPr>
          <w:rFonts w:hint="eastAsia" w:ascii="宋体" w:hAnsi="宋体" w:eastAsia="宋体" w:cs="宋体"/>
          <w:bCs/>
          <w:color w:val="auto"/>
          <w:kern w:val="0"/>
          <w:sz w:val="24"/>
          <w:szCs w:val="24"/>
          <w:highlight w:val="none"/>
        </w:rPr>
        <w:t>，</w:t>
      </w:r>
      <w:r>
        <w:rPr>
          <w:rFonts w:hint="eastAsia" w:ascii="宋体" w:hAnsi="宋体" w:eastAsia="宋体" w:cs="宋体"/>
          <w:bCs/>
          <w:iCs/>
          <w:color w:val="auto"/>
          <w:kern w:val="0"/>
          <w:sz w:val="24"/>
          <w:szCs w:val="24"/>
          <w:highlight w:val="none"/>
        </w:rPr>
        <w:t>从业人员</w:t>
      </w:r>
      <w:r>
        <w:rPr>
          <w:rFonts w:hint="eastAsia" w:ascii="宋体" w:hAnsi="宋体" w:eastAsia="宋体" w:cs="宋体"/>
          <w:bCs/>
          <w:iCs/>
          <w:color w:val="auto"/>
          <w:kern w:val="0"/>
          <w:sz w:val="24"/>
          <w:szCs w:val="24"/>
          <w:highlight w:val="none"/>
          <w:u w:val="single"/>
        </w:rPr>
        <w:t xml:space="preserve">   </w:t>
      </w:r>
      <w:r>
        <w:rPr>
          <w:rFonts w:hint="eastAsia" w:ascii="宋体" w:hAnsi="宋体" w:eastAsia="宋体" w:cs="宋体"/>
          <w:bCs/>
          <w:iCs/>
          <w:color w:val="auto"/>
          <w:kern w:val="0"/>
          <w:sz w:val="24"/>
          <w:szCs w:val="24"/>
          <w:highlight w:val="none"/>
        </w:rPr>
        <w:t>人、营业收入为</w:t>
      </w:r>
      <w:r>
        <w:rPr>
          <w:rFonts w:hint="eastAsia" w:ascii="宋体" w:hAnsi="宋体" w:eastAsia="宋体" w:cs="宋体"/>
          <w:bCs/>
          <w:iCs/>
          <w:color w:val="auto"/>
          <w:kern w:val="0"/>
          <w:sz w:val="24"/>
          <w:szCs w:val="24"/>
          <w:highlight w:val="none"/>
          <w:u w:val="single"/>
        </w:rPr>
        <w:t xml:space="preserve">   </w:t>
      </w:r>
      <w:r>
        <w:rPr>
          <w:rFonts w:hint="eastAsia" w:ascii="宋体" w:hAnsi="宋体" w:eastAsia="宋体" w:cs="宋体"/>
          <w:bCs/>
          <w:iCs/>
          <w:color w:val="auto"/>
          <w:kern w:val="0"/>
          <w:sz w:val="24"/>
          <w:szCs w:val="24"/>
          <w:highlight w:val="none"/>
        </w:rPr>
        <w:t>万元</w:t>
      </w:r>
      <w:r>
        <w:rPr>
          <w:rFonts w:hint="eastAsia" w:ascii="宋体" w:hAnsi="宋体" w:eastAsia="宋体" w:cs="宋体"/>
          <w:bCs/>
          <w:color w:val="auto"/>
          <w:kern w:val="0"/>
          <w:sz w:val="24"/>
          <w:szCs w:val="24"/>
          <w:highlight w:val="none"/>
        </w:rPr>
        <w:t>，资产总额</w:t>
      </w:r>
      <w:r>
        <w:rPr>
          <w:rFonts w:hint="eastAsia" w:ascii="宋体" w:hAnsi="宋体" w:eastAsia="宋体" w:cs="宋体"/>
          <w:bCs/>
          <w:i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万元，属于</w:t>
      </w:r>
      <w:r>
        <w:rPr>
          <w:rFonts w:hint="eastAsia" w:ascii="宋体" w:hAnsi="宋体" w:eastAsia="宋体" w:cs="宋体"/>
          <w:bCs/>
          <w:color w:val="auto"/>
          <w:kern w:val="0"/>
          <w:sz w:val="24"/>
          <w:szCs w:val="24"/>
          <w:highlight w:val="none"/>
          <w:u w:val="single"/>
        </w:rPr>
        <w:t xml:space="preserve"> （中型企业、小型企业、微型企业）；</w:t>
      </w:r>
    </w:p>
    <w:p w14:paraId="40AE70BA">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以上企业，不属于大企业的分支机构，不存在控股股东为大企业的情形，也不存在与大企业的负责人为同一人的情形。</w:t>
      </w:r>
    </w:p>
    <w:p w14:paraId="06C10E12">
      <w:pPr>
        <w:keepNext w:val="0"/>
        <w:keepLines w:val="0"/>
        <w:pageBreakBefore w:val="0"/>
        <w:widowControl w:val="0"/>
        <w:kinsoku/>
        <w:wordWrap/>
        <w:overflowPunct/>
        <w:topLinePunct w:val="0"/>
        <w:autoSpaceDE/>
        <w:autoSpaceDN/>
        <w:bidi w:val="0"/>
        <w:adjustRightInd/>
        <w:spacing w:line="440" w:lineRule="exact"/>
        <w:ind w:left="15"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37599D02">
      <w:pPr>
        <w:keepNext w:val="0"/>
        <w:keepLines w:val="0"/>
        <w:pageBreakBefore w:val="0"/>
        <w:widowControl w:val="0"/>
        <w:kinsoku/>
        <w:wordWrap/>
        <w:overflowPunct/>
        <w:topLinePunct w:val="0"/>
        <w:autoSpaceDE/>
        <w:autoSpaceDN/>
        <w:bidi w:val="0"/>
        <w:adjustRightInd/>
        <w:spacing w:line="440" w:lineRule="exact"/>
        <w:ind w:left="15"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49D44DBC">
      <w:pPr>
        <w:keepNext w:val="0"/>
        <w:keepLines w:val="0"/>
        <w:pageBreakBefore w:val="0"/>
        <w:widowControl w:val="0"/>
        <w:kinsoku/>
        <w:wordWrap/>
        <w:overflowPunct/>
        <w:topLinePunct w:val="0"/>
        <w:autoSpaceDE/>
        <w:autoSpaceDN/>
        <w:bidi w:val="0"/>
        <w:adjustRightInd/>
        <w:spacing w:line="440" w:lineRule="exact"/>
        <w:ind w:left="15"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0BB1A0E">
      <w:pPr>
        <w:pStyle w:val="25"/>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color w:val="auto"/>
          <w:sz w:val="24"/>
          <w:highlight w:val="none"/>
        </w:rPr>
      </w:pPr>
      <w:bookmarkStart w:id="8" w:name="_Toc27483_WPSOffice_Level1"/>
      <w:bookmarkStart w:id="9" w:name="_Toc17646_WPSOffice_Level1"/>
      <w:r>
        <w:rPr>
          <w:color w:val="auto"/>
          <w:sz w:val="24"/>
          <w:highlight w:val="none"/>
        </w:rPr>
        <w:t>备注：从业人员、营业收入、资产总额填报上一年度数据，无上一年度数据的新成立企业可不填报。</w:t>
      </w:r>
    </w:p>
    <w:p w14:paraId="27CD17D7">
      <w:pPr>
        <w:widowControl w:val="0"/>
        <w:spacing w:line="360" w:lineRule="exact"/>
        <w:jc w:val="both"/>
        <w:rPr>
          <w:rFonts w:hint="eastAsia" w:ascii="Times New Roman" w:hAnsi="Times New Roman" w:eastAsia="宋体" w:cs="Times New Roman"/>
          <w:color w:val="auto"/>
          <w:kern w:val="2"/>
          <w:sz w:val="24"/>
          <w:szCs w:val="24"/>
          <w:highlight w:val="none"/>
          <w:lang w:val="en-GB" w:eastAsia="zh-CN" w:bidi="ar-SA"/>
        </w:rPr>
      </w:pPr>
    </w:p>
    <w:p w14:paraId="23FB6659">
      <w:pPr>
        <w:snapToGrid w:val="0"/>
        <w:spacing w:beforeLines="50" w:after="50" w:line="360" w:lineRule="auto"/>
        <w:rPr>
          <w:rFonts w:hint="default" w:ascii="宋体" w:hAnsi="宋体" w:eastAsia="宋体" w:cs="Times New Roman"/>
          <w:b/>
          <w:color w:val="auto"/>
          <w:sz w:val="28"/>
          <w:szCs w:val="28"/>
          <w:highlight w:val="none"/>
          <w:lang w:val="en-US" w:eastAsia="zh-CN"/>
        </w:rPr>
      </w:pPr>
      <w:r>
        <w:rPr>
          <w:rFonts w:hint="eastAsia" w:ascii="宋体" w:hAnsi="宋体" w:eastAsia="宋体" w:cs="Times New Roman"/>
          <w:b/>
          <w:color w:val="auto"/>
          <w:sz w:val="28"/>
          <w:szCs w:val="24"/>
          <w:highlight w:val="none"/>
        </w:rPr>
        <w:t>附件</w:t>
      </w:r>
      <w:r>
        <w:rPr>
          <w:rFonts w:hint="eastAsia" w:ascii="宋体" w:hAnsi="宋体" w:eastAsia="宋体" w:cs="Times New Roman"/>
          <w:b/>
          <w:color w:val="auto"/>
          <w:sz w:val="28"/>
          <w:szCs w:val="24"/>
          <w:highlight w:val="none"/>
          <w:lang w:val="en-US" w:eastAsia="zh-CN"/>
        </w:rPr>
        <w:t>9</w:t>
      </w:r>
    </w:p>
    <w:p w14:paraId="3F62374C">
      <w:pPr>
        <w:widowControl w:val="0"/>
        <w:spacing w:line="360" w:lineRule="auto"/>
        <w:jc w:val="center"/>
        <w:rPr>
          <w:rFonts w:hint="eastAsia" w:ascii="宋体" w:hAnsi="宋体" w:eastAsia="宋体" w:cs="Times New Roman"/>
          <w:b/>
          <w:color w:val="auto"/>
          <w:kern w:val="2"/>
          <w:sz w:val="32"/>
          <w:szCs w:val="32"/>
          <w:highlight w:val="none"/>
          <w:lang w:val="en-GB" w:eastAsia="zh-CN" w:bidi="ar-SA"/>
        </w:rPr>
      </w:pPr>
    </w:p>
    <w:p w14:paraId="19DCE82E">
      <w:pPr>
        <w:widowControl w:val="0"/>
        <w:spacing w:line="360" w:lineRule="auto"/>
        <w:jc w:val="center"/>
        <w:rPr>
          <w:rFonts w:ascii="宋体" w:hAnsi="宋体" w:eastAsia="宋体" w:cs="Times New Roman"/>
          <w:b/>
          <w:color w:val="auto"/>
          <w:kern w:val="2"/>
          <w:sz w:val="32"/>
          <w:szCs w:val="32"/>
          <w:highlight w:val="none"/>
          <w:lang w:val="en-GB" w:eastAsia="zh-CN" w:bidi="ar-SA"/>
        </w:rPr>
      </w:pPr>
      <w:r>
        <w:rPr>
          <w:rFonts w:hint="eastAsia" w:ascii="宋体" w:hAnsi="宋体" w:eastAsia="宋体" w:cs="Times New Roman"/>
          <w:b/>
          <w:color w:val="auto"/>
          <w:kern w:val="2"/>
          <w:sz w:val="32"/>
          <w:szCs w:val="32"/>
          <w:highlight w:val="none"/>
          <w:lang w:val="en-GB" w:eastAsia="zh-CN" w:bidi="ar-SA"/>
        </w:rPr>
        <w:t>残疾人福利性单位声明函</w:t>
      </w:r>
      <w:bookmarkEnd w:id="8"/>
      <w:bookmarkEnd w:id="9"/>
    </w:p>
    <w:p w14:paraId="6D02E172">
      <w:pPr>
        <w:spacing w:line="360" w:lineRule="auto"/>
        <w:ind w:firstLine="480" w:firstLineChars="200"/>
        <w:rPr>
          <w:rFonts w:ascii="宋体" w:hAnsi="宋体" w:eastAsia="宋体" w:cs="宋体"/>
          <w:color w:val="auto"/>
          <w:sz w:val="24"/>
          <w:szCs w:val="24"/>
          <w:highlight w:val="none"/>
        </w:rPr>
      </w:pPr>
    </w:p>
    <w:p w14:paraId="1A418B8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Times New Roman" w:hAnsi="Times New Roman" w:eastAsia="宋体" w:cs="宋体"/>
          <w:b w:val="0"/>
          <w:color w:val="auto"/>
          <w:sz w:val="24"/>
          <w:szCs w:val="24"/>
          <w:highlight w:val="none"/>
          <w:u w:val="single"/>
          <w:lang w:eastAsia="zh-CN"/>
        </w:rPr>
        <w:t>台州市自然资源和规划信息中心</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eastAsia="zh-CN"/>
        </w:rPr>
        <w:t>台州市自然资源和规划信息中心存储光纤交换机及网络交换机扩容采购（重新发布）</w:t>
      </w:r>
      <w:r>
        <w:rPr>
          <w:rFonts w:hint="eastAsia" w:ascii="宋体" w:hAnsi="宋体" w:eastAsia="宋体" w:cs="宋体"/>
          <w:color w:val="auto"/>
          <w:sz w:val="24"/>
          <w:szCs w:val="24"/>
          <w:highlight w:val="none"/>
          <w:u w:val="single"/>
          <w:lang w:val="en-US" w:eastAsia="zh-CN"/>
        </w:rPr>
        <w:t>项目</w:t>
      </w:r>
      <w:r>
        <w:rPr>
          <w:rFonts w:hint="eastAsia" w:ascii="Times New Roman" w:hAnsi="宋体" w:eastAsia="宋体" w:cs="Times New Roman"/>
          <w:color w:val="auto"/>
          <w:sz w:val="24"/>
          <w:szCs w:val="24"/>
          <w:highlight w:val="none"/>
        </w:rPr>
        <w:t>（</w:t>
      </w:r>
      <w:r>
        <w:rPr>
          <w:rFonts w:hint="eastAsia" w:ascii="宋体" w:hAnsi="宋体" w:eastAsia="宋体" w:cs="宋体"/>
          <w:color w:val="auto"/>
          <w:kern w:val="0"/>
          <w:sz w:val="24"/>
          <w:szCs w:val="24"/>
          <w:highlight w:val="none"/>
        </w:rPr>
        <w:t>编号为</w:t>
      </w:r>
      <w:r>
        <w:rPr>
          <w:rFonts w:hint="eastAsia" w:ascii="宋体" w:hAnsi="宋体" w:eastAsia="宋体" w:cs="宋体"/>
          <w:color w:val="auto"/>
          <w:kern w:val="0"/>
          <w:sz w:val="24"/>
          <w:szCs w:val="24"/>
          <w:highlight w:val="none"/>
          <w:u w:val="single"/>
          <w:lang w:eastAsia="zh-CN"/>
        </w:rPr>
        <w:t>TZCCC-【2025】-043号-2</w:t>
      </w:r>
      <w:r>
        <w:rPr>
          <w:rFonts w:hint="eastAsia" w:ascii="Times New Roman" w:hAnsi="宋体" w:eastAsia="宋体" w:cs="宋体"/>
          <w:color w:val="auto"/>
          <w:kern w:val="0"/>
          <w:sz w:val="24"/>
          <w:szCs w:val="24"/>
          <w:highlight w:val="none"/>
          <w:u w:val="none"/>
        </w:rPr>
        <w:t>）</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258E36B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1028BE86">
      <w:pPr>
        <w:pStyle w:val="15"/>
        <w:rPr>
          <w:color w:val="auto"/>
          <w:highlight w:val="none"/>
        </w:rPr>
      </w:pPr>
    </w:p>
    <w:p w14:paraId="699FB903">
      <w:pPr>
        <w:tabs>
          <w:tab w:val="left" w:pos="4860"/>
        </w:tabs>
        <w:spacing w:line="588" w:lineRule="exact"/>
        <w:ind w:right="1560" w:firstLine="480" w:firstLineChars="2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B0BD680">
      <w:pPr>
        <w:pStyle w:val="25"/>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14:paraId="02A8A1ED">
      <w:pPr>
        <w:spacing w:line="600" w:lineRule="exact"/>
        <w:ind w:firstLine="480" w:firstLineChars="200"/>
        <w:jc w:val="center"/>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法定代表人</w:t>
      </w:r>
      <w:r>
        <w:rPr>
          <w:rFonts w:hint="eastAsia" w:asciiTheme="minorEastAsia" w:hAnsiTheme="minorEastAsia" w:cstheme="minorBidi"/>
          <w:color w:val="auto"/>
          <w:kern w:val="2"/>
          <w:sz w:val="24"/>
          <w:szCs w:val="24"/>
          <w:lang w:val="en-US" w:eastAsia="zh-CN" w:bidi="ar-SA"/>
        </w:rPr>
        <w:t>或委托代理人</w:t>
      </w:r>
      <w:r>
        <w:rPr>
          <w:rFonts w:hint="eastAsia" w:asciiTheme="minorEastAsia" w:hAnsiTheme="minorEastAsia" w:eastAsiaTheme="minorEastAsia" w:cstheme="minorBidi"/>
          <w:color w:val="auto"/>
          <w:kern w:val="2"/>
          <w:sz w:val="24"/>
          <w:szCs w:val="24"/>
          <w:lang w:val="en-US" w:eastAsia="zh-CN" w:bidi="ar-SA"/>
        </w:rPr>
        <w:t>（签字或盖章):</w:t>
      </w:r>
    </w:p>
    <w:p w14:paraId="5831DA95">
      <w:pPr>
        <w:spacing w:line="600" w:lineRule="exact"/>
        <w:ind w:firstLine="480" w:firstLineChars="200"/>
        <w:jc w:val="center"/>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 xml:space="preserve">投标人（盖章）：         </w:t>
      </w:r>
    </w:p>
    <w:p w14:paraId="297FBFAE">
      <w:pPr>
        <w:spacing w:line="600" w:lineRule="exact"/>
        <w:ind w:firstLine="480" w:firstLineChars="200"/>
        <w:jc w:val="right"/>
        <w:rPr>
          <w:rFonts w:hint="eastAsia" w:asciiTheme="minorEastAsia" w:hAnsiTheme="minorEastAsia" w:eastAsiaTheme="minorEastAsia" w:cstheme="minorBidi"/>
          <w:color w:val="auto"/>
          <w:kern w:val="2"/>
          <w:sz w:val="24"/>
          <w:szCs w:val="24"/>
          <w:lang w:val="en-US" w:eastAsia="zh-CN" w:bidi="ar-SA"/>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Bidi"/>
          <w:color w:val="auto"/>
          <w:kern w:val="2"/>
          <w:sz w:val="24"/>
          <w:szCs w:val="24"/>
          <w:lang w:val="en-US" w:eastAsia="zh-CN" w:bidi="ar-SA"/>
        </w:rPr>
        <w:t>年    月    日</w:t>
      </w:r>
    </w:p>
    <w:p w14:paraId="00097A55">
      <w:pPr>
        <w:pStyle w:val="21"/>
        <w:numPr>
          <w:ilvl w:val="0"/>
          <w:numId w:val="0"/>
        </w:numPr>
        <w:rPr>
          <w:rFonts w:hint="default" w:asciiTheme="minorEastAsia" w:hAnsiTheme="minorEastAsia"/>
          <w:color w:val="auto"/>
          <w:sz w:val="28"/>
          <w:szCs w:val="28"/>
          <w:lang w:val="en-US" w:eastAsia="zh-CN"/>
        </w:rPr>
      </w:pPr>
      <w:r>
        <w:rPr>
          <w:rFonts w:hint="eastAsia" w:asciiTheme="minorEastAsia" w:hAnsiTheme="minorEastAsia"/>
          <w:color w:val="auto"/>
          <w:sz w:val="28"/>
          <w:szCs w:val="28"/>
          <w:lang w:eastAsia="zh-CN"/>
        </w:rPr>
        <w:t>附件</w:t>
      </w:r>
      <w:r>
        <w:rPr>
          <w:rFonts w:hint="eastAsia" w:asciiTheme="minorEastAsia" w:hAnsiTheme="minorEastAsia"/>
          <w:color w:val="auto"/>
          <w:sz w:val="28"/>
          <w:szCs w:val="28"/>
          <w:lang w:val="en-US" w:eastAsia="zh-CN"/>
        </w:rPr>
        <w:t>10</w:t>
      </w:r>
    </w:p>
    <w:p w14:paraId="2A03FD41">
      <w:pPr>
        <w:pStyle w:val="4"/>
        <w:widowControl w:val="0"/>
        <w:numPr>
          <w:ilvl w:val="0"/>
          <w:numId w:val="0"/>
        </w:numPr>
        <w:spacing w:before="156" w:beforeLines="50" w:after="0" w:line="360" w:lineRule="auto"/>
        <w:ind w:left="425"/>
        <w:jc w:val="center"/>
        <w:rPr>
          <w:rFonts w:ascii="宋体" w:hAnsi="宋体" w:eastAsia="宋体"/>
          <w:color w:val="auto"/>
          <w:sz w:val="44"/>
          <w:szCs w:val="44"/>
        </w:rPr>
      </w:pPr>
      <w:r>
        <w:rPr>
          <w:rFonts w:hint="eastAsia"/>
          <w:color w:val="auto"/>
          <w:sz w:val="32"/>
          <w:szCs w:val="32"/>
        </w:rPr>
        <w:t>技术要求</w:t>
      </w:r>
      <w:r>
        <w:rPr>
          <w:rFonts w:hint="eastAsia"/>
          <w:color w:val="auto"/>
          <w:sz w:val="32"/>
          <w:szCs w:val="32"/>
          <w:lang w:eastAsia="zh-CN"/>
        </w:rPr>
        <w:t>、</w:t>
      </w:r>
      <w:r>
        <w:rPr>
          <w:rFonts w:hint="eastAsia"/>
          <w:color w:val="auto"/>
          <w:sz w:val="32"/>
          <w:szCs w:val="32"/>
        </w:rPr>
        <w:t>参数文件</w:t>
      </w:r>
    </w:p>
    <w:p w14:paraId="4366B44F">
      <w:pPr>
        <w:pStyle w:val="3"/>
        <w:rPr>
          <w:rFonts w:hint="eastAsia"/>
          <w:color w:val="auto"/>
          <w:sz w:val="32"/>
          <w:szCs w:val="32"/>
          <w:lang w:eastAsia="zh-CN"/>
        </w:rPr>
      </w:pPr>
      <w:r>
        <w:rPr>
          <w:rFonts w:hint="eastAsia"/>
          <w:color w:val="auto"/>
          <w:sz w:val="32"/>
          <w:szCs w:val="32"/>
        </w:rPr>
        <w:t>存储光纤交换机设备技术要求（数量：</w:t>
      </w:r>
      <w:r>
        <w:rPr>
          <w:color w:val="auto"/>
          <w:sz w:val="32"/>
          <w:szCs w:val="32"/>
        </w:rPr>
        <w:t>2</w:t>
      </w:r>
      <w:r>
        <w:rPr>
          <w:rFonts w:hint="eastAsia"/>
          <w:color w:val="auto"/>
          <w:sz w:val="32"/>
          <w:szCs w:val="32"/>
        </w:rPr>
        <w:t>台）</w:t>
      </w:r>
      <w:r>
        <w:rPr>
          <w:rFonts w:hint="eastAsia"/>
          <w:color w:val="auto"/>
          <w:sz w:val="32"/>
          <w:szCs w:val="32"/>
          <w:lang w:eastAsia="zh-CN"/>
        </w:rPr>
        <w:t>（▲为核心参数，必须满足）</w:t>
      </w:r>
    </w:p>
    <w:tbl>
      <w:tblPr>
        <w:tblStyle w:val="16"/>
        <w:tblW w:w="14013" w:type="dxa"/>
        <w:tblInd w:w="12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06"/>
        <w:gridCol w:w="11907"/>
      </w:tblGrid>
      <w:tr w14:paraId="4E92A4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2106" w:type="dxa"/>
            <w:tcBorders>
              <w:top w:val="single" w:color="auto" w:sz="4" w:space="0"/>
              <w:bottom w:val="single" w:color="auto" w:sz="6" w:space="0"/>
              <w:right w:val="single" w:color="auto" w:sz="4" w:space="0"/>
            </w:tcBorders>
            <w:shd w:val="clear" w:color="auto" w:fill="auto"/>
          </w:tcPr>
          <w:p w14:paraId="0E906348">
            <w:pPr>
              <w:shd w:val="clear" w:color="auto" w:fill="FFFFFF"/>
              <w:jc w:val="center"/>
              <w:rPr>
                <w:rFonts w:ascii="宋体" w:hAnsi="宋体" w:eastAsia="宋体" w:cs="Arial"/>
                <w:color w:val="auto"/>
              </w:rPr>
            </w:pPr>
            <w:r>
              <w:rPr>
                <w:rFonts w:hint="eastAsia" w:ascii="宋体" w:hAnsi="宋体"/>
                <w:b/>
                <w:bCs/>
                <w:color w:val="auto"/>
              </w:rPr>
              <w:t>规格型号</w:t>
            </w:r>
          </w:p>
        </w:tc>
        <w:tc>
          <w:tcPr>
            <w:tcW w:w="11907" w:type="dxa"/>
            <w:tcBorders>
              <w:top w:val="single" w:color="auto" w:sz="4" w:space="0"/>
              <w:left w:val="single" w:color="auto" w:sz="4" w:space="0"/>
              <w:bottom w:val="single" w:color="auto" w:sz="6" w:space="0"/>
              <w:right w:val="single" w:color="auto" w:sz="6" w:space="0"/>
            </w:tcBorders>
            <w:shd w:val="clear" w:color="auto" w:fill="auto"/>
          </w:tcPr>
          <w:p w14:paraId="4C0A5663">
            <w:pPr>
              <w:shd w:val="clear" w:color="auto" w:fill="FFFFFF"/>
              <w:jc w:val="center"/>
              <w:rPr>
                <w:rFonts w:ascii="宋体" w:hAnsi="宋体" w:eastAsia="宋体" w:cs="Arial"/>
                <w:color w:val="auto"/>
              </w:rPr>
            </w:pPr>
            <w:r>
              <w:rPr>
                <w:rFonts w:hint="eastAsia" w:ascii="宋体" w:hAnsi="宋体"/>
                <w:b/>
                <w:bCs/>
                <w:color w:val="auto"/>
              </w:rPr>
              <w:t>投标参数</w:t>
            </w:r>
          </w:p>
        </w:tc>
      </w:tr>
      <w:tr w14:paraId="07DE71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tcBorders>
              <w:top w:val="single" w:color="auto" w:sz="6" w:space="0"/>
              <w:bottom w:val="single" w:color="auto" w:sz="6" w:space="0"/>
            </w:tcBorders>
            <w:vAlign w:val="center"/>
          </w:tcPr>
          <w:p w14:paraId="0A12BFAE">
            <w:pPr>
              <w:shd w:val="clear" w:color="auto" w:fill="FFFFFF"/>
              <w:rPr>
                <w:rFonts w:ascii="宋体" w:hAnsi="宋体" w:eastAsia="宋体" w:cs="Arial"/>
                <w:color w:val="auto"/>
              </w:rPr>
            </w:pPr>
            <w:r>
              <w:rPr>
                <w:rFonts w:hint="eastAsia" w:ascii="宋体" w:hAnsi="宋体" w:cs="宋体"/>
                <w:color w:val="auto"/>
              </w:rPr>
              <w:t>端口速率</w:t>
            </w:r>
          </w:p>
        </w:tc>
        <w:tc>
          <w:tcPr>
            <w:tcW w:w="11907" w:type="dxa"/>
          </w:tcPr>
          <w:p w14:paraId="71B55F4C">
            <w:pPr>
              <w:shd w:val="clear" w:color="auto" w:fill="FFFFFF"/>
              <w:rPr>
                <w:rFonts w:hint="eastAsia" w:ascii="宋体" w:hAnsi="宋体" w:cs="Arial" w:eastAsiaTheme="minorEastAsia"/>
                <w:color w:val="auto"/>
                <w:lang w:eastAsia="zh-CN"/>
              </w:rPr>
            </w:pPr>
            <w:r>
              <w:rPr>
                <w:rFonts w:hint="eastAsia" w:ascii="宋体" w:hAnsi="宋体" w:cs="仿宋"/>
                <w:color w:val="auto"/>
              </w:rPr>
              <w:t>▲</w:t>
            </w:r>
            <w:r>
              <w:rPr>
                <w:rFonts w:hint="eastAsia" w:ascii="宋体" w:hAnsi="宋体" w:cs="宋体"/>
                <w:color w:val="auto"/>
              </w:rPr>
              <w:t>端口支持全双工，端口速率自适应:</w:t>
            </w:r>
            <w:r>
              <w:rPr>
                <w:rFonts w:ascii="宋体" w:hAnsi="宋体" w:cs="宋体"/>
                <w:color w:val="auto"/>
              </w:rPr>
              <w:t>2</w:t>
            </w:r>
            <w:r>
              <w:rPr>
                <w:rFonts w:hint="eastAsia" w:ascii="宋体" w:hAnsi="宋体" w:cs="宋体"/>
                <w:color w:val="auto"/>
              </w:rPr>
              <w:t>、4、8、16Gbps</w:t>
            </w:r>
            <w:r>
              <w:rPr>
                <w:rFonts w:hint="eastAsia" w:ascii="宋体" w:hAnsi="宋体" w:cs="宋体"/>
                <w:color w:val="auto"/>
                <w:lang w:eastAsia="zh-CN"/>
              </w:rPr>
              <w:t>。</w:t>
            </w:r>
          </w:p>
        </w:tc>
      </w:tr>
      <w:tr w14:paraId="3A60AA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tcBorders>
              <w:top w:val="single" w:color="auto" w:sz="6" w:space="0"/>
              <w:bottom w:val="single" w:color="auto" w:sz="6" w:space="0"/>
            </w:tcBorders>
            <w:vAlign w:val="center"/>
          </w:tcPr>
          <w:p w14:paraId="4FFF3E08">
            <w:pPr>
              <w:shd w:val="clear" w:color="auto" w:fill="FFFFFF"/>
              <w:rPr>
                <w:rFonts w:ascii="宋体" w:hAnsi="宋体" w:eastAsia="宋体" w:cs="Arial"/>
                <w:color w:val="auto"/>
              </w:rPr>
            </w:pPr>
            <w:r>
              <w:rPr>
                <w:rFonts w:hint="eastAsia" w:ascii="宋体" w:hAnsi="宋体" w:cs="宋体"/>
                <w:color w:val="auto"/>
              </w:rPr>
              <w:t>光纤通道端口</w:t>
            </w:r>
          </w:p>
        </w:tc>
        <w:tc>
          <w:tcPr>
            <w:tcW w:w="11907" w:type="dxa"/>
          </w:tcPr>
          <w:p w14:paraId="0E8BF310">
            <w:pPr>
              <w:shd w:val="clear" w:color="auto" w:fill="FFFFFF"/>
              <w:rPr>
                <w:rFonts w:hint="eastAsia" w:ascii="宋体" w:hAnsi="宋体" w:cs="Arial" w:eastAsiaTheme="minorEastAsia"/>
                <w:color w:val="auto"/>
                <w:lang w:eastAsia="zh-CN"/>
              </w:rPr>
            </w:pPr>
            <w:r>
              <w:rPr>
                <w:rFonts w:hint="eastAsia" w:ascii="宋体" w:hAnsi="宋体" w:cs="仿宋"/>
                <w:color w:val="auto"/>
              </w:rPr>
              <w:t>▲</w:t>
            </w:r>
            <w:r>
              <w:rPr>
                <w:rFonts w:hint="eastAsia" w:ascii="宋体" w:hAnsi="宋体" w:cs="宋体"/>
                <w:color w:val="auto"/>
              </w:rPr>
              <w:t>≥</w:t>
            </w:r>
            <w:r>
              <w:rPr>
                <w:rFonts w:ascii="宋体" w:hAnsi="宋体" w:cs="宋体"/>
                <w:color w:val="auto"/>
              </w:rPr>
              <w:t>48</w:t>
            </w:r>
            <w:r>
              <w:rPr>
                <w:rFonts w:hint="eastAsia" w:ascii="宋体" w:hAnsi="宋体" w:cs="宋体"/>
                <w:color w:val="auto"/>
              </w:rPr>
              <w:t>个光纤自感应端口，配置</w:t>
            </w:r>
            <w:r>
              <w:rPr>
                <w:rFonts w:ascii="宋体" w:hAnsi="宋体" w:cs="宋体"/>
                <w:color w:val="auto"/>
              </w:rPr>
              <w:t>48</w:t>
            </w:r>
            <w:r>
              <w:rPr>
                <w:rFonts w:hint="eastAsia" w:ascii="宋体" w:hAnsi="宋体" w:cs="宋体"/>
                <w:color w:val="auto"/>
              </w:rPr>
              <w:t>个端口激活，并配置</w:t>
            </w:r>
            <w:r>
              <w:rPr>
                <w:rFonts w:ascii="宋体" w:hAnsi="宋体" w:cs="宋体"/>
                <w:color w:val="auto"/>
              </w:rPr>
              <w:t>48</w:t>
            </w:r>
            <w:r>
              <w:rPr>
                <w:rFonts w:hint="eastAsia" w:ascii="宋体" w:hAnsi="宋体" w:cs="宋体"/>
                <w:color w:val="auto"/>
              </w:rPr>
              <w:t>个</w:t>
            </w:r>
            <w:r>
              <w:rPr>
                <w:rFonts w:ascii="宋体" w:hAnsi="宋体" w:cs="宋体"/>
                <w:color w:val="auto"/>
              </w:rPr>
              <w:t>16</w:t>
            </w:r>
            <w:r>
              <w:rPr>
                <w:rFonts w:hint="eastAsia" w:ascii="宋体" w:hAnsi="宋体" w:cs="宋体"/>
                <w:color w:val="auto"/>
              </w:rPr>
              <w:t>G</w:t>
            </w:r>
            <w:r>
              <w:rPr>
                <w:rFonts w:ascii="宋体" w:hAnsi="宋体" w:cs="宋体"/>
                <w:color w:val="auto"/>
              </w:rPr>
              <w:t>b</w:t>
            </w:r>
            <w:r>
              <w:rPr>
                <w:rFonts w:hint="eastAsia" w:ascii="宋体" w:hAnsi="宋体" w:cs="宋体"/>
                <w:color w:val="auto"/>
              </w:rPr>
              <w:t>原厂短波模块；</w:t>
            </w:r>
            <w:r>
              <w:rPr>
                <w:rFonts w:hint="eastAsia" w:ascii="宋体" w:hAnsi="宋体" w:cs="宋体"/>
                <w:color w:val="auto"/>
                <w:lang w:val="en-US" w:eastAsia="zh-CN"/>
              </w:rPr>
              <w:t>70</w:t>
            </w:r>
            <w:r>
              <w:rPr>
                <w:color w:val="auto"/>
              </w:rPr>
              <w:t>对15米或20米 LC-LC光纤线</w:t>
            </w:r>
            <w:r>
              <w:rPr>
                <w:rFonts w:hint="eastAsia"/>
                <w:color w:val="auto"/>
                <w:lang w:eastAsia="zh-CN"/>
              </w:rPr>
              <w:t>。</w:t>
            </w:r>
          </w:p>
        </w:tc>
      </w:tr>
      <w:tr w14:paraId="5D56F8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106" w:type="dxa"/>
            <w:tcBorders>
              <w:top w:val="single" w:color="auto" w:sz="6" w:space="0"/>
              <w:bottom w:val="single" w:color="auto" w:sz="6" w:space="0"/>
            </w:tcBorders>
            <w:vAlign w:val="center"/>
          </w:tcPr>
          <w:p w14:paraId="248117E5">
            <w:pPr>
              <w:shd w:val="clear" w:color="auto" w:fill="FFFFFF"/>
              <w:rPr>
                <w:rFonts w:ascii="宋体" w:hAnsi="宋体" w:eastAsia="宋体" w:cs="Arial"/>
                <w:color w:val="auto"/>
              </w:rPr>
            </w:pPr>
            <w:r>
              <w:rPr>
                <w:rFonts w:hint="eastAsia" w:ascii="宋体" w:hAnsi="宋体" w:cs="宋体"/>
                <w:color w:val="auto"/>
              </w:rPr>
              <w:t>可扩展性</w:t>
            </w:r>
          </w:p>
        </w:tc>
        <w:tc>
          <w:tcPr>
            <w:tcW w:w="11907" w:type="dxa"/>
          </w:tcPr>
          <w:p w14:paraId="2568B669">
            <w:pPr>
              <w:shd w:val="clear" w:color="auto" w:fill="FFFFFF"/>
              <w:rPr>
                <w:rFonts w:hint="eastAsia" w:ascii="宋体" w:hAnsi="宋体" w:cs="Arial" w:eastAsiaTheme="minorEastAsia"/>
                <w:color w:val="auto"/>
                <w:lang w:eastAsia="zh-CN"/>
              </w:rPr>
            </w:pPr>
            <w:r>
              <w:rPr>
                <w:rFonts w:hint="eastAsia" w:ascii="宋体" w:hAnsi="宋体" w:cs="宋体"/>
                <w:color w:val="auto"/>
              </w:rPr>
              <w:t>支持完全光纤架构，最多可有239台交换机</w:t>
            </w:r>
            <w:r>
              <w:rPr>
                <w:rFonts w:hint="eastAsia" w:ascii="宋体" w:hAnsi="宋体" w:cs="宋体"/>
                <w:color w:val="auto"/>
                <w:lang w:eastAsia="zh-CN"/>
              </w:rPr>
              <w:t>。</w:t>
            </w:r>
          </w:p>
        </w:tc>
      </w:tr>
      <w:tr w14:paraId="1B0C41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tcBorders>
              <w:top w:val="single" w:color="auto" w:sz="6" w:space="0"/>
              <w:bottom w:val="single" w:color="auto" w:sz="6" w:space="0"/>
            </w:tcBorders>
            <w:vAlign w:val="center"/>
          </w:tcPr>
          <w:p w14:paraId="73A1CFFB">
            <w:pPr>
              <w:shd w:val="clear" w:color="auto" w:fill="FFFFFF"/>
              <w:rPr>
                <w:rFonts w:ascii="宋体" w:hAnsi="宋体" w:eastAsia="宋体" w:cs="Arial"/>
                <w:color w:val="auto"/>
              </w:rPr>
            </w:pPr>
            <w:r>
              <w:rPr>
                <w:rFonts w:ascii="宋体" w:hAnsi="宋体" w:cs="宋体"/>
                <w:color w:val="auto"/>
              </w:rPr>
              <w:t>ISL 链路捆绑</w:t>
            </w:r>
          </w:p>
        </w:tc>
        <w:tc>
          <w:tcPr>
            <w:tcW w:w="11907" w:type="dxa"/>
          </w:tcPr>
          <w:p w14:paraId="56694CAF">
            <w:pPr>
              <w:shd w:val="clear" w:color="auto" w:fill="FFFFFF"/>
              <w:rPr>
                <w:rFonts w:ascii="宋体" w:hAnsi="宋体" w:eastAsia="宋体" w:cs="Arial"/>
                <w:color w:val="auto"/>
              </w:rPr>
            </w:pPr>
            <w:r>
              <w:rPr>
                <w:rFonts w:ascii="宋体" w:hAnsi="宋体" w:cs="宋体"/>
                <w:color w:val="auto"/>
              </w:rPr>
              <w:t>基于帧的链路捆绑，每条 ISL 捆绑链路最多 8 个 16 Gbps 端口；每条 ISL 捆绑链路最高 128 Gbps 的吞吐量。运用 Brocade Fabric OS 中所包括的 DPS，实现基于交换的跨 ISL 负载均衡。对交换机中可以配置的捆绑链路 组数量没有限制。</w:t>
            </w:r>
          </w:p>
        </w:tc>
      </w:tr>
      <w:tr w14:paraId="52B101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tcBorders>
              <w:top w:val="single" w:color="auto" w:sz="6" w:space="0"/>
              <w:bottom w:val="single" w:color="auto" w:sz="6" w:space="0"/>
            </w:tcBorders>
            <w:vAlign w:val="center"/>
          </w:tcPr>
          <w:p w14:paraId="31A03331">
            <w:pPr>
              <w:shd w:val="clear" w:color="auto" w:fill="FFFFFF"/>
              <w:rPr>
                <w:rFonts w:ascii="宋体" w:hAnsi="宋体" w:eastAsia="宋体" w:cs="Arial"/>
                <w:color w:val="auto"/>
              </w:rPr>
            </w:pPr>
            <w:r>
              <w:rPr>
                <w:rFonts w:hint="eastAsia" w:ascii="宋体" w:hAnsi="宋体" w:eastAsia="宋体" w:cs="Arial"/>
                <w:color w:val="auto"/>
              </w:rPr>
              <w:t>电源要求</w:t>
            </w:r>
          </w:p>
        </w:tc>
        <w:tc>
          <w:tcPr>
            <w:tcW w:w="11907" w:type="dxa"/>
            <w:vAlign w:val="center"/>
          </w:tcPr>
          <w:p w14:paraId="41A0FFE9">
            <w:pPr>
              <w:shd w:val="clear" w:color="auto" w:fill="FFFFFF"/>
              <w:rPr>
                <w:rFonts w:hint="eastAsia" w:ascii="宋体" w:hAnsi="宋体" w:eastAsia="宋体" w:cs="Arial"/>
                <w:color w:val="auto"/>
                <w:lang w:eastAsia="zh-CN"/>
              </w:rPr>
            </w:pPr>
            <w:r>
              <w:rPr>
                <w:rFonts w:hint="eastAsia" w:ascii="宋体" w:hAnsi="宋体" w:eastAsia="宋体" w:cs="Arial"/>
                <w:color w:val="auto"/>
              </w:rPr>
              <w:t>▲配置双电源</w:t>
            </w:r>
            <w:r>
              <w:rPr>
                <w:rFonts w:hint="eastAsia" w:ascii="宋体" w:hAnsi="宋体" w:eastAsia="宋体" w:cs="Arial"/>
                <w:color w:val="auto"/>
                <w:lang w:eastAsia="zh-CN"/>
              </w:rPr>
              <w:t>。</w:t>
            </w:r>
          </w:p>
        </w:tc>
      </w:tr>
      <w:tr w14:paraId="0C7C76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tcBorders>
              <w:top w:val="single" w:color="auto" w:sz="6" w:space="0"/>
              <w:bottom w:val="single" w:color="auto" w:sz="6" w:space="0"/>
            </w:tcBorders>
            <w:vAlign w:val="center"/>
          </w:tcPr>
          <w:p w14:paraId="43A3F347">
            <w:pPr>
              <w:shd w:val="clear" w:color="auto" w:fill="FFFFFF"/>
              <w:rPr>
                <w:rFonts w:ascii="宋体" w:hAnsi="宋体" w:eastAsia="宋体" w:cs="Arial"/>
                <w:color w:val="auto"/>
              </w:rPr>
            </w:pPr>
            <w:r>
              <w:rPr>
                <w:rFonts w:hint="eastAsia" w:ascii="宋体" w:hAnsi="宋体" w:eastAsia="宋体" w:cs="Arial"/>
                <w:color w:val="auto"/>
              </w:rPr>
              <w:t>风扇要求</w:t>
            </w:r>
          </w:p>
        </w:tc>
        <w:tc>
          <w:tcPr>
            <w:tcW w:w="11907" w:type="dxa"/>
            <w:vAlign w:val="center"/>
          </w:tcPr>
          <w:p w14:paraId="3B3491C2">
            <w:pPr>
              <w:shd w:val="clear" w:color="auto" w:fill="FFFFFF"/>
              <w:rPr>
                <w:rFonts w:hint="eastAsia" w:ascii="宋体" w:hAnsi="宋体" w:eastAsia="宋体" w:cs="Arial"/>
                <w:color w:val="auto"/>
                <w:lang w:eastAsia="zh-CN"/>
              </w:rPr>
            </w:pPr>
            <w:r>
              <w:rPr>
                <w:rFonts w:hint="eastAsia" w:ascii="宋体" w:hAnsi="宋体" w:eastAsia="宋体" w:cs="Arial"/>
                <w:color w:val="auto"/>
              </w:rPr>
              <w:t>▲配置双风扇</w:t>
            </w:r>
            <w:r>
              <w:rPr>
                <w:rFonts w:hint="eastAsia" w:ascii="宋体" w:hAnsi="宋体" w:eastAsia="宋体" w:cs="Arial"/>
                <w:color w:val="auto"/>
                <w:lang w:eastAsia="zh-CN"/>
              </w:rPr>
              <w:t>。</w:t>
            </w:r>
          </w:p>
        </w:tc>
      </w:tr>
      <w:tr w14:paraId="108BB1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tcBorders>
              <w:top w:val="single" w:color="auto" w:sz="6" w:space="0"/>
              <w:bottom w:val="single" w:color="auto" w:sz="6" w:space="0"/>
            </w:tcBorders>
            <w:vAlign w:val="center"/>
          </w:tcPr>
          <w:p w14:paraId="1A99F117">
            <w:pPr>
              <w:shd w:val="clear" w:color="auto" w:fill="FFFFFF"/>
              <w:rPr>
                <w:rFonts w:ascii="宋体" w:hAnsi="宋体" w:eastAsia="宋体" w:cs="Arial"/>
                <w:color w:val="auto"/>
              </w:rPr>
            </w:pPr>
            <w:r>
              <w:rPr>
                <w:rFonts w:hint="eastAsia" w:ascii="宋体" w:hAnsi="宋体" w:eastAsia="宋体" w:cs="Arial"/>
                <w:color w:val="auto"/>
              </w:rPr>
              <w:t>级联要求</w:t>
            </w:r>
          </w:p>
        </w:tc>
        <w:tc>
          <w:tcPr>
            <w:tcW w:w="11907" w:type="dxa"/>
          </w:tcPr>
          <w:p w14:paraId="4798F2DB">
            <w:pPr>
              <w:shd w:val="clear" w:color="auto" w:fill="FFFFFF"/>
              <w:rPr>
                <w:rFonts w:hint="eastAsia" w:ascii="宋体" w:hAnsi="宋体" w:cs="Arial" w:eastAsiaTheme="minorEastAsia"/>
                <w:color w:val="auto"/>
                <w:lang w:eastAsia="zh-CN"/>
              </w:rPr>
            </w:pPr>
            <w:r>
              <w:rPr>
                <w:rFonts w:hint="eastAsia" w:ascii="宋体" w:hAnsi="宋体" w:eastAsia="宋体" w:cs="Arial"/>
                <w:color w:val="auto"/>
              </w:rPr>
              <w:t>▲</w:t>
            </w:r>
            <w:r>
              <w:rPr>
                <w:color w:val="auto"/>
              </w:rPr>
              <w:t>必须与现有的</w:t>
            </w:r>
            <w:r>
              <w:rPr>
                <w:rFonts w:hint="eastAsia"/>
                <w:color w:val="auto"/>
              </w:rPr>
              <w:t>博科BR-6505</w:t>
            </w:r>
            <w:r>
              <w:rPr>
                <w:color w:val="auto"/>
              </w:rPr>
              <w:t>存储</w:t>
            </w:r>
            <w:r>
              <w:rPr>
                <w:rFonts w:hint="eastAsia"/>
                <w:color w:val="auto"/>
              </w:rPr>
              <w:t>光纤</w:t>
            </w:r>
            <w:r>
              <w:rPr>
                <w:color w:val="auto"/>
              </w:rPr>
              <w:t>交换机做级联</w:t>
            </w:r>
            <w:r>
              <w:rPr>
                <w:rFonts w:hint="eastAsia"/>
                <w:color w:val="auto"/>
                <w:lang w:eastAsia="zh-CN"/>
              </w:rPr>
              <w:t>。</w:t>
            </w:r>
          </w:p>
        </w:tc>
      </w:tr>
      <w:tr w14:paraId="26E439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tcBorders>
              <w:top w:val="single" w:color="auto" w:sz="6" w:space="0"/>
              <w:bottom w:val="single" w:color="auto" w:sz="6" w:space="0"/>
            </w:tcBorders>
            <w:vAlign w:val="center"/>
          </w:tcPr>
          <w:p w14:paraId="731F9FC5">
            <w:pPr>
              <w:shd w:val="clear" w:color="auto" w:fill="FFFFFF"/>
              <w:rPr>
                <w:rFonts w:ascii="宋体" w:hAnsi="宋体" w:eastAsia="宋体" w:cs="Arial"/>
                <w:color w:val="auto"/>
              </w:rPr>
            </w:pPr>
            <w:r>
              <w:rPr>
                <w:rFonts w:hint="eastAsia" w:ascii="宋体" w:hAnsi="宋体" w:eastAsia="宋体" w:cs="Arial"/>
                <w:color w:val="auto"/>
              </w:rPr>
              <w:t>质保</w:t>
            </w:r>
          </w:p>
        </w:tc>
        <w:tc>
          <w:tcPr>
            <w:tcW w:w="11907" w:type="dxa"/>
            <w:vAlign w:val="center"/>
          </w:tcPr>
          <w:p w14:paraId="66100C3A">
            <w:pPr>
              <w:shd w:val="clear" w:color="auto" w:fill="FFFFFF"/>
              <w:rPr>
                <w:rFonts w:hint="eastAsia" w:ascii="宋体" w:hAnsi="宋体" w:cs="Arial" w:eastAsiaTheme="minorEastAsia"/>
                <w:color w:val="auto"/>
                <w:lang w:eastAsia="zh-CN"/>
              </w:rPr>
            </w:pPr>
            <w:r>
              <w:rPr>
                <w:rFonts w:hint="eastAsia" w:ascii="宋体" w:hAnsi="宋体" w:eastAsia="宋体" w:cs="Arial"/>
                <w:color w:val="auto"/>
              </w:rPr>
              <w:t>▲</w:t>
            </w:r>
            <w:r>
              <w:rPr>
                <w:rFonts w:hint="eastAsia" w:ascii="宋体" w:hAnsi="宋体" w:cs="Arial"/>
                <w:color w:val="auto"/>
              </w:rPr>
              <w:t>产品质保三年</w:t>
            </w:r>
            <w:r>
              <w:rPr>
                <w:rFonts w:hint="eastAsia" w:ascii="宋体" w:hAnsi="宋体" w:cs="Arial"/>
                <w:color w:val="auto"/>
                <w:lang w:eastAsia="zh-CN"/>
              </w:rPr>
              <w:t>。</w:t>
            </w:r>
          </w:p>
        </w:tc>
      </w:tr>
    </w:tbl>
    <w:p w14:paraId="7710E6E9">
      <w:pPr>
        <w:rPr>
          <w:color w:val="auto"/>
        </w:rPr>
      </w:pPr>
    </w:p>
    <w:p w14:paraId="1A2E837B">
      <w:pPr>
        <w:rPr>
          <w:color w:val="auto"/>
        </w:rPr>
      </w:pPr>
    </w:p>
    <w:p w14:paraId="6E792483">
      <w:pPr>
        <w:pStyle w:val="3"/>
        <w:rPr>
          <w:color w:val="auto"/>
          <w:sz w:val="32"/>
          <w:szCs w:val="32"/>
        </w:rPr>
      </w:pPr>
      <w:r>
        <w:rPr>
          <w:rFonts w:hint="eastAsia"/>
          <w:color w:val="auto"/>
          <w:sz w:val="32"/>
          <w:szCs w:val="32"/>
        </w:rPr>
        <w:t>万兆交换机设备技术要求（数量：</w:t>
      </w:r>
      <w:r>
        <w:rPr>
          <w:color w:val="auto"/>
          <w:sz w:val="32"/>
          <w:szCs w:val="32"/>
        </w:rPr>
        <w:t>2</w:t>
      </w:r>
      <w:r>
        <w:rPr>
          <w:rFonts w:hint="eastAsia"/>
          <w:color w:val="auto"/>
          <w:sz w:val="32"/>
          <w:szCs w:val="32"/>
        </w:rPr>
        <w:t>台）</w:t>
      </w:r>
      <w:r>
        <w:rPr>
          <w:rFonts w:hint="eastAsia"/>
          <w:color w:val="auto"/>
          <w:sz w:val="32"/>
          <w:szCs w:val="32"/>
          <w:lang w:eastAsia="zh-CN"/>
        </w:rPr>
        <w:t>（▲为核心参数，必须满足）</w:t>
      </w:r>
    </w:p>
    <w:tbl>
      <w:tblPr>
        <w:tblStyle w:val="16"/>
        <w:tblW w:w="14013" w:type="dxa"/>
        <w:tblInd w:w="12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06"/>
        <w:gridCol w:w="11907"/>
      </w:tblGrid>
      <w:tr w14:paraId="2841D2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2106" w:type="dxa"/>
            <w:tcBorders>
              <w:top w:val="single" w:color="auto" w:sz="4" w:space="0"/>
              <w:bottom w:val="single" w:color="auto" w:sz="6" w:space="0"/>
              <w:right w:val="single" w:color="auto" w:sz="4" w:space="0"/>
            </w:tcBorders>
            <w:shd w:val="clear" w:color="auto" w:fill="auto"/>
          </w:tcPr>
          <w:p w14:paraId="18C60774">
            <w:pPr>
              <w:shd w:val="clear" w:color="auto" w:fill="FFFFFF"/>
              <w:jc w:val="center"/>
              <w:rPr>
                <w:rFonts w:ascii="宋体" w:hAnsi="宋体" w:eastAsia="宋体" w:cs="Arial"/>
                <w:color w:val="auto"/>
              </w:rPr>
            </w:pPr>
            <w:r>
              <w:rPr>
                <w:rFonts w:hint="eastAsia" w:ascii="宋体" w:hAnsi="宋体"/>
                <w:b/>
                <w:bCs/>
                <w:color w:val="auto"/>
              </w:rPr>
              <w:t>规格型号</w:t>
            </w:r>
          </w:p>
        </w:tc>
        <w:tc>
          <w:tcPr>
            <w:tcW w:w="11907" w:type="dxa"/>
            <w:tcBorders>
              <w:top w:val="single" w:color="auto" w:sz="4" w:space="0"/>
              <w:left w:val="single" w:color="auto" w:sz="4" w:space="0"/>
              <w:bottom w:val="single" w:color="auto" w:sz="6" w:space="0"/>
              <w:right w:val="single" w:color="auto" w:sz="6" w:space="0"/>
            </w:tcBorders>
            <w:shd w:val="clear" w:color="auto" w:fill="auto"/>
          </w:tcPr>
          <w:p w14:paraId="0C48BC59">
            <w:pPr>
              <w:shd w:val="clear" w:color="auto" w:fill="FFFFFF"/>
              <w:jc w:val="center"/>
              <w:rPr>
                <w:rFonts w:ascii="宋体" w:hAnsi="宋体" w:eastAsia="宋体" w:cs="Arial"/>
                <w:color w:val="auto"/>
              </w:rPr>
            </w:pPr>
            <w:r>
              <w:rPr>
                <w:rFonts w:hint="eastAsia" w:ascii="宋体" w:hAnsi="宋体"/>
                <w:b/>
                <w:bCs/>
                <w:color w:val="auto"/>
              </w:rPr>
              <w:t>投标参数</w:t>
            </w:r>
          </w:p>
        </w:tc>
      </w:tr>
      <w:tr w14:paraId="411A1B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tcBorders>
              <w:top w:val="single" w:color="auto" w:sz="6" w:space="0"/>
              <w:bottom w:val="single" w:color="auto" w:sz="6" w:space="0"/>
            </w:tcBorders>
            <w:vAlign w:val="center"/>
          </w:tcPr>
          <w:p w14:paraId="362A6246">
            <w:pPr>
              <w:shd w:val="clear" w:color="auto" w:fill="FFFFFF"/>
              <w:rPr>
                <w:rFonts w:ascii="宋体" w:hAnsi="宋体" w:eastAsia="宋体" w:cs="Arial"/>
                <w:color w:val="auto"/>
              </w:rPr>
            </w:pPr>
            <w:r>
              <w:rPr>
                <w:rFonts w:hint="eastAsia" w:ascii="宋体" w:hAnsi="宋体" w:cs="宋体"/>
                <w:color w:val="auto"/>
              </w:rPr>
              <w:t>设备性能</w:t>
            </w:r>
          </w:p>
        </w:tc>
        <w:tc>
          <w:tcPr>
            <w:tcW w:w="11907" w:type="dxa"/>
          </w:tcPr>
          <w:p w14:paraId="1F4AC41A">
            <w:pPr>
              <w:shd w:val="clear" w:color="auto" w:fill="FFFFFF"/>
              <w:rPr>
                <w:rFonts w:hint="eastAsia" w:ascii="宋体" w:hAnsi="宋体" w:eastAsia="宋体" w:cs="Arial"/>
                <w:color w:val="auto"/>
                <w:lang w:eastAsia="zh-CN"/>
              </w:rPr>
            </w:pPr>
            <w:r>
              <w:rPr>
                <w:rFonts w:hint="eastAsia" w:ascii="宋体" w:hAnsi="宋体" w:cs="仿宋"/>
                <w:color w:val="auto"/>
              </w:rPr>
              <w:t>▲</w:t>
            </w:r>
            <w:r>
              <w:rPr>
                <w:rFonts w:hint="eastAsia" w:ascii="宋体" w:hAnsi="宋体" w:eastAsia="宋体" w:cs="宋体"/>
                <w:color w:val="auto"/>
                <w:kern w:val="0"/>
                <w:sz w:val="22"/>
                <w:szCs w:val="22"/>
              </w:rPr>
              <w:t>交换容量≥2.56Tbps，包转发率≥720Mpps；≥24个10GE SFP+</w:t>
            </w:r>
            <w:r>
              <w:rPr>
                <w:color w:val="auto"/>
                <w:sz w:val="21"/>
                <w:szCs w:val="21"/>
              </w:rPr>
              <w:t>光口</w:t>
            </w:r>
            <w:r>
              <w:rPr>
                <w:rFonts w:hint="eastAsia" w:ascii="宋体" w:hAnsi="宋体" w:eastAsia="宋体" w:cs="宋体"/>
                <w:color w:val="auto"/>
                <w:kern w:val="0"/>
                <w:sz w:val="22"/>
                <w:szCs w:val="22"/>
              </w:rPr>
              <w:t>，≥2个40GE QSFP+</w:t>
            </w:r>
            <w:r>
              <w:rPr>
                <w:color w:val="auto"/>
                <w:sz w:val="21"/>
                <w:szCs w:val="21"/>
              </w:rPr>
              <w:t>光口</w:t>
            </w:r>
            <w:r>
              <w:rPr>
                <w:rFonts w:hint="eastAsia" w:ascii="宋体" w:hAnsi="宋体" w:eastAsia="宋体" w:cs="宋体"/>
                <w:color w:val="auto"/>
                <w:kern w:val="0"/>
                <w:sz w:val="22"/>
                <w:szCs w:val="22"/>
              </w:rPr>
              <w:t>（每个QSFP+</w:t>
            </w:r>
            <w:r>
              <w:rPr>
                <w:color w:val="auto"/>
                <w:sz w:val="21"/>
                <w:szCs w:val="21"/>
              </w:rPr>
              <w:t>光口</w:t>
            </w:r>
            <w:r>
              <w:rPr>
                <w:rFonts w:hint="eastAsia" w:ascii="宋体" w:hAnsi="宋体" w:eastAsia="宋体" w:cs="宋体"/>
                <w:color w:val="auto"/>
                <w:kern w:val="0"/>
                <w:sz w:val="22"/>
                <w:szCs w:val="22"/>
              </w:rPr>
              <w:t>可拆分为4个10GE</w:t>
            </w:r>
            <w:r>
              <w:rPr>
                <w:color w:val="auto"/>
                <w:sz w:val="21"/>
                <w:szCs w:val="21"/>
              </w:rPr>
              <w:t>光口</w:t>
            </w:r>
            <w:r>
              <w:rPr>
                <w:rFonts w:hint="eastAsia" w:ascii="宋体" w:hAnsi="宋体" w:eastAsia="宋体" w:cs="宋体"/>
                <w:color w:val="auto"/>
                <w:kern w:val="0"/>
                <w:sz w:val="22"/>
                <w:szCs w:val="22"/>
              </w:rPr>
              <w:t>）；</w:t>
            </w:r>
            <w:r>
              <w:rPr>
                <w:rFonts w:hint="eastAsia" w:ascii="宋体" w:hAnsi="宋体" w:eastAsia="宋体" w:cs="宋体"/>
                <w:b/>
                <w:bCs/>
                <w:color w:val="auto"/>
                <w:kern w:val="0"/>
                <w:sz w:val="22"/>
                <w:szCs w:val="22"/>
              </w:rPr>
              <w:t>以上均需投标时提供官网截图及链接证明</w:t>
            </w:r>
            <w:r>
              <w:rPr>
                <w:rFonts w:hint="eastAsia" w:ascii="宋体" w:hAnsi="宋体" w:eastAsia="宋体" w:cs="宋体"/>
                <w:b/>
                <w:bCs/>
                <w:color w:val="auto"/>
                <w:kern w:val="0"/>
                <w:sz w:val="22"/>
                <w:szCs w:val="22"/>
                <w:lang w:eastAsia="zh-CN"/>
              </w:rPr>
              <w:t>。</w:t>
            </w:r>
          </w:p>
        </w:tc>
      </w:tr>
      <w:tr w14:paraId="4096DA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tcBorders>
              <w:top w:val="single" w:color="auto" w:sz="6" w:space="0"/>
              <w:bottom w:val="single" w:color="auto" w:sz="6" w:space="0"/>
            </w:tcBorders>
            <w:vAlign w:val="center"/>
          </w:tcPr>
          <w:p w14:paraId="13B33446">
            <w:pPr>
              <w:shd w:val="clear" w:color="auto" w:fill="FFFFFF"/>
              <w:rPr>
                <w:rFonts w:ascii="宋体" w:hAnsi="宋体" w:eastAsia="宋体" w:cs="Arial"/>
                <w:color w:val="auto"/>
              </w:rPr>
            </w:pPr>
            <w:r>
              <w:rPr>
                <w:rFonts w:hint="eastAsia" w:ascii="宋体" w:hAnsi="宋体" w:cs="宋体"/>
                <w:color w:val="auto"/>
              </w:rPr>
              <w:t>业务槽位</w:t>
            </w:r>
          </w:p>
        </w:tc>
        <w:tc>
          <w:tcPr>
            <w:tcW w:w="11907" w:type="dxa"/>
          </w:tcPr>
          <w:p w14:paraId="6221A61B">
            <w:pPr>
              <w:shd w:val="clear" w:color="auto" w:fill="FFFFFF"/>
              <w:rPr>
                <w:rFonts w:hint="eastAsia" w:ascii="宋体" w:hAnsi="宋体" w:eastAsia="宋体" w:cs="Arial"/>
                <w:color w:val="auto"/>
                <w:lang w:eastAsia="zh-CN"/>
              </w:rPr>
            </w:pPr>
            <w:r>
              <w:rPr>
                <w:rFonts w:hint="eastAsia" w:ascii="宋体" w:hAnsi="宋体" w:cs="仿宋"/>
                <w:color w:val="auto"/>
              </w:rPr>
              <w:t>▲</w:t>
            </w:r>
            <w:r>
              <w:rPr>
                <w:rFonts w:hint="eastAsia" w:ascii="宋体" w:hAnsi="宋体" w:eastAsia="宋体" w:cs="宋体"/>
                <w:color w:val="auto"/>
                <w:kern w:val="0"/>
                <w:sz w:val="22"/>
                <w:szCs w:val="22"/>
              </w:rPr>
              <w:t>支持≥2个扩展插槽；</w:t>
            </w:r>
            <w:r>
              <w:rPr>
                <w:rFonts w:hint="eastAsia" w:ascii="宋体" w:hAnsi="宋体" w:eastAsia="宋体" w:cs="宋体"/>
                <w:b/>
                <w:bCs/>
                <w:color w:val="auto"/>
                <w:kern w:val="0"/>
                <w:sz w:val="22"/>
                <w:szCs w:val="22"/>
              </w:rPr>
              <w:t>投标时提供官网截图及链接</w:t>
            </w:r>
            <w:r>
              <w:rPr>
                <w:rFonts w:hint="eastAsia" w:ascii="宋体" w:hAnsi="宋体" w:eastAsia="宋体" w:cs="宋体"/>
                <w:b/>
                <w:bCs/>
                <w:color w:val="auto"/>
                <w:kern w:val="0"/>
                <w:sz w:val="22"/>
                <w:szCs w:val="22"/>
                <w:lang w:eastAsia="zh-CN"/>
              </w:rPr>
              <w:t>。</w:t>
            </w:r>
          </w:p>
        </w:tc>
      </w:tr>
      <w:tr w14:paraId="373978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vMerge w:val="restart"/>
            <w:tcBorders>
              <w:top w:val="single" w:color="auto" w:sz="6" w:space="0"/>
            </w:tcBorders>
            <w:vAlign w:val="center"/>
          </w:tcPr>
          <w:p w14:paraId="4A9EA074">
            <w:pPr>
              <w:shd w:val="clear" w:color="auto" w:fill="FFFFFF"/>
              <w:rPr>
                <w:rFonts w:ascii="宋体" w:hAnsi="宋体" w:eastAsia="宋体" w:cs="Arial"/>
                <w:color w:val="auto"/>
              </w:rPr>
            </w:pPr>
            <w:r>
              <w:rPr>
                <w:rFonts w:hint="eastAsia" w:ascii="宋体" w:hAnsi="宋体" w:cs="宋体"/>
                <w:color w:val="auto"/>
              </w:rPr>
              <w:t>硬件要求</w:t>
            </w:r>
          </w:p>
        </w:tc>
        <w:tc>
          <w:tcPr>
            <w:tcW w:w="11907" w:type="dxa"/>
          </w:tcPr>
          <w:p w14:paraId="5C5E4649">
            <w:pPr>
              <w:shd w:val="clear" w:color="auto" w:fill="FFFFFF"/>
              <w:rPr>
                <w:rFonts w:ascii="宋体" w:hAnsi="宋体" w:eastAsia="宋体" w:cs="Arial"/>
                <w:color w:val="auto"/>
              </w:rPr>
            </w:pPr>
            <w:r>
              <w:rPr>
                <w:rFonts w:hint="eastAsia" w:ascii="宋体" w:hAnsi="宋体" w:eastAsia="宋体" w:cs="宋体"/>
                <w:color w:val="auto"/>
                <w:kern w:val="0"/>
                <w:sz w:val="22"/>
                <w:szCs w:val="22"/>
              </w:rPr>
              <w:t>支持Telemetry技术，可通过GRPC协议将交换机的实时资源信息与告警信息上送至运维平台，运维平台针对实时数据进行分析，可实现网络质量回溯，故障排查，风险预警，架构优化等功能，精确保障用户体验。</w:t>
            </w:r>
          </w:p>
        </w:tc>
      </w:tr>
      <w:tr w14:paraId="06F8B4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vMerge w:val="continue"/>
            <w:vAlign w:val="center"/>
          </w:tcPr>
          <w:p w14:paraId="3BC195E4">
            <w:pPr>
              <w:shd w:val="clear" w:color="auto" w:fill="FFFFFF"/>
              <w:rPr>
                <w:rFonts w:hint="eastAsia" w:ascii="宋体" w:hAnsi="宋体" w:cs="宋体"/>
                <w:color w:val="auto"/>
              </w:rPr>
            </w:pPr>
          </w:p>
        </w:tc>
        <w:tc>
          <w:tcPr>
            <w:tcW w:w="11907" w:type="dxa"/>
          </w:tcPr>
          <w:p w14:paraId="02C26CAF">
            <w:pPr>
              <w:shd w:val="clear" w:color="auto" w:fill="FFFFFF"/>
              <w:rPr>
                <w:rFonts w:hint="eastAsia" w:ascii="宋体" w:hAnsi="宋体" w:eastAsia="宋体" w:cs="宋体"/>
                <w:color w:val="auto"/>
                <w:kern w:val="0"/>
                <w:sz w:val="22"/>
                <w:szCs w:val="22"/>
                <w:lang w:eastAsia="zh-CN"/>
              </w:rPr>
            </w:pPr>
            <w:r>
              <w:rPr>
                <w:rFonts w:hint="eastAsia" w:ascii="宋体" w:hAnsi="宋体" w:cs="仿宋"/>
                <w:color w:val="auto"/>
              </w:rPr>
              <w:t>▲</w:t>
            </w:r>
            <w:r>
              <w:rPr>
                <w:rFonts w:hint="eastAsia" w:ascii="宋体" w:hAnsi="宋体" w:eastAsia="宋体" w:cs="宋体"/>
                <w:color w:val="auto"/>
                <w:kern w:val="0"/>
                <w:sz w:val="22"/>
                <w:szCs w:val="22"/>
              </w:rPr>
              <w:t>支持 RIPng、OSPFV3、ISISv6、BGP4+等IPv6 动态路由协议；支持基于 Layer2 协议头、Layer3 协议、Layer4 协议、802.1p 优先级等的组合流分类</w:t>
            </w:r>
            <w:r>
              <w:rPr>
                <w:rFonts w:hint="eastAsia" w:ascii="宋体" w:hAnsi="宋体" w:eastAsia="宋体" w:cs="宋体"/>
                <w:color w:val="auto"/>
                <w:kern w:val="0"/>
                <w:sz w:val="22"/>
                <w:szCs w:val="22"/>
                <w:lang w:eastAsia="zh-CN"/>
              </w:rPr>
              <w:t>。</w:t>
            </w:r>
          </w:p>
        </w:tc>
      </w:tr>
      <w:tr w14:paraId="699742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vMerge w:val="continue"/>
            <w:vAlign w:val="center"/>
          </w:tcPr>
          <w:p w14:paraId="402BE849">
            <w:pPr>
              <w:shd w:val="clear" w:color="auto" w:fill="FFFFFF"/>
              <w:rPr>
                <w:rFonts w:ascii="宋体" w:hAnsi="宋体" w:eastAsia="宋体" w:cs="Arial"/>
                <w:color w:val="auto"/>
              </w:rPr>
            </w:pPr>
          </w:p>
        </w:tc>
        <w:tc>
          <w:tcPr>
            <w:tcW w:w="11907" w:type="dxa"/>
          </w:tcPr>
          <w:p w14:paraId="26E2C599">
            <w:pPr>
              <w:shd w:val="clear" w:color="auto" w:fill="FFFFFF"/>
              <w:rPr>
                <w:rFonts w:hint="eastAsia" w:ascii="宋体" w:hAnsi="宋体" w:eastAsia="宋体" w:cs="Arial"/>
                <w:color w:val="auto"/>
                <w:lang w:eastAsia="zh-CN"/>
              </w:rPr>
            </w:pPr>
            <w:r>
              <w:rPr>
                <w:rFonts w:hint="eastAsia" w:ascii="宋体" w:hAnsi="宋体" w:cs="仿宋"/>
                <w:color w:val="auto"/>
              </w:rPr>
              <w:t>▲</w:t>
            </w:r>
            <w:r>
              <w:rPr>
                <w:rFonts w:hint="eastAsia" w:ascii="宋体" w:hAnsi="宋体" w:eastAsia="宋体" w:cs="宋体"/>
                <w:color w:val="auto"/>
                <w:kern w:val="0"/>
                <w:sz w:val="22"/>
                <w:szCs w:val="22"/>
              </w:rPr>
              <w:t>支持万兆电、万兆光、25G、 40G、100G插卡，支持安全业务插卡，投标时提供官网截图及链接</w:t>
            </w:r>
            <w:r>
              <w:rPr>
                <w:rFonts w:hint="eastAsia" w:ascii="宋体" w:hAnsi="宋体" w:eastAsia="宋体" w:cs="宋体"/>
                <w:color w:val="auto"/>
                <w:kern w:val="0"/>
                <w:sz w:val="22"/>
                <w:szCs w:val="22"/>
                <w:lang w:eastAsia="zh-CN"/>
              </w:rPr>
              <w:t>。</w:t>
            </w:r>
          </w:p>
        </w:tc>
      </w:tr>
      <w:tr w14:paraId="2501C2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vMerge w:val="continue"/>
            <w:vAlign w:val="center"/>
          </w:tcPr>
          <w:p w14:paraId="0F5B3D93">
            <w:pPr>
              <w:shd w:val="clear" w:color="auto" w:fill="FFFFFF"/>
              <w:rPr>
                <w:rFonts w:ascii="宋体" w:hAnsi="宋体" w:eastAsia="宋体" w:cs="Arial"/>
                <w:color w:val="auto"/>
              </w:rPr>
            </w:pPr>
          </w:p>
        </w:tc>
        <w:tc>
          <w:tcPr>
            <w:tcW w:w="11907" w:type="dxa"/>
          </w:tcPr>
          <w:p w14:paraId="21F965B6">
            <w:pPr>
              <w:shd w:val="clear" w:color="auto" w:fill="FFFFFF"/>
              <w:rPr>
                <w:rFonts w:hint="eastAsia" w:ascii="宋体" w:hAnsi="宋体" w:eastAsia="宋体" w:cs="Arial"/>
                <w:color w:val="auto"/>
                <w:lang w:eastAsia="zh-CN"/>
              </w:rPr>
            </w:pPr>
            <w:r>
              <w:rPr>
                <w:rFonts w:hint="eastAsia" w:ascii="宋体" w:hAnsi="宋体" w:cs="仿宋"/>
                <w:color w:val="auto"/>
              </w:rPr>
              <w:t>▲</w:t>
            </w:r>
            <w:r>
              <w:rPr>
                <w:rFonts w:hint="eastAsia" w:ascii="宋体" w:hAnsi="宋体" w:eastAsia="宋体" w:cs="宋体"/>
                <w:color w:val="auto"/>
                <w:kern w:val="0"/>
                <w:sz w:val="22"/>
                <w:szCs w:val="22"/>
              </w:rPr>
              <w:t>提供一站式智能运维界面，通过智能运维门户可以提供向导式的网络运维，设备管理、故障排查、维护大全、开局助手、控制台、云图、工具宝箱等</w:t>
            </w:r>
            <w:r>
              <w:rPr>
                <w:rFonts w:hint="eastAsia" w:ascii="宋体" w:hAnsi="宋体" w:eastAsia="宋体" w:cs="宋体"/>
                <w:color w:val="auto"/>
                <w:kern w:val="0"/>
                <w:sz w:val="22"/>
                <w:szCs w:val="22"/>
                <w:lang w:eastAsia="zh-CN"/>
              </w:rPr>
              <w:t>类似</w:t>
            </w:r>
            <w:r>
              <w:rPr>
                <w:rFonts w:hint="eastAsia" w:ascii="宋体" w:hAnsi="宋体" w:eastAsia="宋体" w:cs="宋体"/>
                <w:color w:val="auto"/>
                <w:kern w:val="0"/>
                <w:sz w:val="22"/>
                <w:szCs w:val="22"/>
              </w:rPr>
              <w:t>功能</w:t>
            </w:r>
            <w:r>
              <w:rPr>
                <w:rFonts w:hint="eastAsia" w:ascii="宋体" w:hAnsi="宋体" w:eastAsia="宋体" w:cs="宋体"/>
                <w:color w:val="auto"/>
                <w:kern w:val="0"/>
                <w:sz w:val="22"/>
                <w:szCs w:val="22"/>
                <w:lang w:eastAsia="zh-CN"/>
              </w:rPr>
              <w:t>。</w:t>
            </w:r>
            <w:r>
              <w:rPr>
                <w:rFonts w:hint="eastAsia" w:ascii="宋体" w:hAnsi="宋体" w:eastAsia="宋体" w:cs="宋体"/>
                <w:b/>
                <w:bCs/>
                <w:color w:val="auto"/>
                <w:kern w:val="0"/>
                <w:sz w:val="22"/>
                <w:szCs w:val="22"/>
              </w:rPr>
              <w:t>投标时提供</w:t>
            </w:r>
            <w:r>
              <w:rPr>
                <w:rFonts w:hint="eastAsia" w:ascii="宋体" w:hAnsi="宋体" w:eastAsia="宋体" w:cs="宋体"/>
                <w:b/>
                <w:bCs/>
                <w:color w:val="auto"/>
                <w:kern w:val="0"/>
                <w:sz w:val="22"/>
                <w:szCs w:val="22"/>
                <w:lang w:eastAsia="zh-CN"/>
              </w:rPr>
              <w:t>软件功能</w:t>
            </w:r>
            <w:r>
              <w:rPr>
                <w:rFonts w:hint="eastAsia" w:ascii="宋体" w:hAnsi="宋体" w:eastAsia="宋体" w:cs="宋体"/>
                <w:b/>
                <w:bCs/>
                <w:color w:val="auto"/>
                <w:kern w:val="0"/>
                <w:sz w:val="22"/>
                <w:szCs w:val="22"/>
              </w:rPr>
              <w:t>截图</w:t>
            </w:r>
            <w:r>
              <w:rPr>
                <w:rFonts w:hint="eastAsia" w:ascii="宋体" w:hAnsi="宋体" w:eastAsia="宋体" w:cs="宋体"/>
                <w:b/>
                <w:bCs/>
                <w:color w:val="auto"/>
                <w:kern w:val="0"/>
                <w:sz w:val="22"/>
                <w:szCs w:val="22"/>
                <w:lang w:eastAsia="zh-CN"/>
              </w:rPr>
              <w:t>。</w:t>
            </w:r>
          </w:p>
        </w:tc>
      </w:tr>
      <w:tr w14:paraId="3CF6E0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vMerge w:val="continue"/>
            <w:vAlign w:val="center"/>
          </w:tcPr>
          <w:p w14:paraId="18B4AD92">
            <w:pPr>
              <w:shd w:val="clear" w:color="auto" w:fill="FFFFFF"/>
              <w:rPr>
                <w:rFonts w:ascii="宋体" w:hAnsi="宋体" w:eastAsia="宋体" w:cs="Arial"/>
                <w:color w:val="auto"/>
              </w:rPr>
            </w:pPr>
          </w:p>
        </w:tc>
        <w:tc>
          <w:tcPr>
            <w:tcW w:w="11907" w:type="dxa"/>
          </w:tcPr>
          <w:p w14:paraId="5E53237E">
            <w:pPr>
              <w:shd w:val="clear" w:color="auto" w:fill="FFFFFF"/>
              <w:rPr>
                <w:rFonts w:hint="eastAsia" w:ascii="宋体" w:hAnsi="宋体" w:eastAsia="宋体" w:cs="Arial"/>
                <w:color w:val="auto"/>
                <w:lang w:eastAsia="zh-CN"/>
              </w:rPr>
            </w:pPr>
            <w:r>
              <w:rPr>
                <w:rFonts w:hint="eastAsia" w:ascii="宋体" w:hAnsi="宋体" w:eastAsia="宋体" w:cs="宋体"/>
                <w:color w:val="auto"/>
                <w:kern w:val="0"/>
                <w:sz w:val="22"/>
                <w:szCs w:val="22"/>
              </w:rPr>
              <w:t>硬件支持MACsec安全加密功能</w:t>
            </w:r>
            <w:r>
              <w:rPr>
                <w:rFonts w:hint="eastAsia" w:ascii="宋体" w:hAnsi="宋体" w:eastAsia="宋体" w:cs="宋体"/>
                <w:color w:val="auto"/>
                <w:kern w:val="0"/>
                <w:sz w:val="22"/>
                <w:szCs w:val="22"/>
                <w:lang w:eastAsia="zh-CN"/>
              </w:rPr>
              <w:t>。</w:t>
            </w:r>
          </w:p>
        </w:tc>
      </w:tr>
      <w:tr w14:paraId="7D9165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vMerge w:val="continue"/>
            <w:tcBorders>
              <w:bottom w:val="single" w:color="auto" w:sz="6" w:space="0"/>
            </w:tcBorders>
            <w:vAlign w:val="center"/>
          </w:tcPr>
          <w:p w14:paraId="7B42994D">
            <w:pPr>
              <w:shd w:val="clear" w:color="auto" w:fill="FFFFFF"/>
              <w:rPr>
                <w:rFonts w:ascii="宋体" w:hAnsi="宋体" w:eastAsia="宋体" w:cs="Arial"/>
                <w:color w:val="auto"/>
              </w:rPr>
            </w:pPr>
          </w:p>
        </w:tc>
        <w:tc>
          <w:tcPr>
            <w:tcW w:w="11907" w:type="dxa"/>
          </w:tcPr>
          <w:p w14:paraId="5746B7A2">
            <w:pPr>
              <w:shd w:val="clear" w:color="auto" w:fill="FFFFFF"/>
              <w:rPr>
                <w:rFonts w:hint="eastAsia" w:ascii="宋体" w:hAnsi="宋体" w:eastAsia="宋体" w:cs="Arial"/>
                <w:color w:val="auto"/>
                <w:lang w:eastAsia="zh-CN"/>
              </w:rPr>
            </w:pPr>
            <w:r>
              <w:rPr>
                <w:rFonts w:hint="eastAsia" w:ascii="宋体" w:hAnsi="宋体" w:cs="仿宋"/>
                <w:color w:val="auto"/>
              </w:rPr>
              <w:t>▲</w:t>
            </w:r>
            <w:r>
              <w:rPr>
                <w:rFonts w:hint="eastAsia" w:ascii="宋体" w:hAnsi="宋体" w:eastAsia="宋体" w:cs="宋体"/>
                <w:color w:val="auto"/>
                <w:kern w:val="0"/>
                <w:sz w:val="22"/>
                <w:szCs w:val="22"/>
              </w:rPr>
              <w:t>支持eMDI，为视频、音频业务设计的网络质量监控和故障定界方案，可直接对IP网络中各个网络节点上指定的由TCP或RTP承载的业务报文进行实时监控与分析。网络管理员可以结合多个网络节点的监控与分析结果，对故障位置进行快速定界。</w:t>
            </w:r>
            <w:r>
              <w:rPr>
                <w:rFonts w:hint="eastAsia" w:ascii="宋体" w:hAnsi="宋体" w:eastAsia="宋体" w:cs="宋体"/>
                <w:b/>
                <w:bCs/>
                <w:color w:val="auto"/>
                <w:kern w:val="0"/>
                <w:sz w:val="22"/>
                <w:szCs w:val="22"/>
              </w:rPr>
              <w:t>投标时提供官网截图证明</w:t>
            </w:r>
            <w:r>
              <w:rPr>
                <w:rFonts w:hint="eastAsia" w:ascii="宋体" w:hAnsi="宋体" w:eastAsia="宋体" w:cs="宋体"/>
                <w:b/>
                <w:bCs/>
                <w:color w:val="auto"/>
                <w:kern w:val="0"/>
                <w:sz w:val="22"/>
                <w:szCs w:val="22"/>
                <w:lang w:eastAsia="zh-CN"/>
              </w:rPr>
              <w:t>。</w:t>
            </w:r>
          </w:p>
        </w:tc>
      </w:tr>
      <w:tr w14:paraId="015A66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tcBorders>
              <w:top w:val="single" w:color="auto" w:sz="6" w:space="0"/>
              <w:bottom w:val="single" w:color="auto" w:sz="6" w:space="0"/>
            </w:tcBorders>
            <w:vAlign w:val="center"/>
          </w:tcPr>
          <w:p w14:paraId="5DE08023">
            <w:pPr>
              <w:shd w:val="clear" w:color="auto" w:fill="FFFFFF"/>
              <w:rPr>
                <w:rFonts w:ascii="宋体" w:hAnsi="宋体" w:cs="宋体"/>
                <w:color w:val="auto"/>
              </w:rPr>
            </w:pPr>
            <w:r>
              <w:rPr>
                <w:rFonts w:hint="eastAsia" w:ascii="宋体" w:hAnsi="宋体" w:cs="宋体"/>
                <w:color w:val="auto"/>
              </w:rPr>
              <w:t>其它配置要求</w:t>
            </w:r>
          </w:p>
        </w:tc>
        <w:tc>
          <w:tcPr>
            <w:tcW w:w="11907" w:type="dxa"/>
          </w:tcPr>
          <w:p w14:paraId="6DCEF8E3">
            <w:pPr>
              <w:shd w:val="clear" w:color="auto" w:fill="FFFFFF"/>
              <w:rPr>
                <w:rFonts w:hint="eastAsia" w:ascii="宋体" w:hAnsi="宋体" w:cs="仿宋" w:eastAsiaTheme="minorEastAsia"/>
                <w:color w:val="auto"/>
                <w:lang w:eastAsia="zh-CN"/>
              </w:rPr>
            </w:pPr>
            <w:r>
              <w:rPr>
                <w:rFonts w:hint="eastAsia" w:ascii="宋体" w:hAnsi="宋体" w:cs="仿宋"/>
                <w:color w:val="auto"/>
              </w:rPr>
              <w:t>▲</w:t>
            </w:r>
            <w:r>
              <w:rPr>
                <w:rFonts w:hint="eastAsia"/>
                <w:color w:val="auto"/>
              </w:rPr>
              <w:t>配置双电源、双风扇、24个万兆多模光模块</w:t>
            </w:r>
            <w:r>
              <w:rPr>
                <w:rFonts w:hint="eastAsia"/>
                <w:color w:val="auto"/>
                <w:lang w:eastAsia="zh-CN"/>
              </w:rPr>
              <w:t>。</w:t>
            </w:r>
          </w:p>
        </w:tc>
      </w:tr>
      <w:tr w14:paraId="4ADB8E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vMerge w:val="restart"/>
            <w:tcBorders>
              <w:top w:val="single" w:color="auto" w:sz="6" w:space="0"/>
            </w:tcBorders>
            <w:vAlign w:val="center"/>
          </w:tcPr>
          <w:p w14:paraId="5FD5E8EF">
            <w:pPr>
              <w:shd w:val="clear" w:color="auto" w:fill="FFFFFF"/>
              <w:rPr>
                <w:rFonts w:ascii="宋体" w:hAnsi="宋体" w:eastAsia="宋体" w:cs="Arial"/>
                <w:color w:val="auto"/>
              </w:rPr>
            </w:pPr>
            <w:r>
              <w:rPr>
                <w:rFonts w:hint="eastAsia" w:ascii="宋体" w:hAnsi="宋体" w:eastAsia="宋体" w:cs="Arial"/>
                <w:color w:val="auto"/>
              </w:rPr>
              <w:t>▲质保</w:t>
            </w:r>
          </w:p>
        </w:tc>
        <w:tc>
          <w:tcPr>
            <w:tcW w:w="11907" w:type="dxa"/>
            <w:vAlign w:val="center"/>
          </w:tcPr>
          <w:p w14:paraId="1CC6B9D1">
            <w:pPr>
              <w:shd w:val="clear" w:color="auto" w:fill="FFFFFF"/>
              <w:rPr>
                <w:rFonts w:hint="eastAsia" w:ascii="宋体" w:hAnsi="宋体" w:cs="Arial" w:eastAsiaTheme="minorEastAsia"/>
                <w:color w:val="auto"/>
                <w:lang w:eastAsia="zh-CN"/>
              </w:rPr>
            </w:pPr>
            <w:r>
              <w:rPr>
                <w:rFonts w:hint="eastAsia" w:ascii="宋体" w:hAnsi="宋体" w:cs="Arial"/>
                <w:color w:val="auto"/>
              </w:rPr>
              <w:t>产品质保三年</w:t>
            </w:r>
            <w:r>
              <w:rPr>
                <w:rFonts w:hint="eastAsia" w:ascii="宋体" w:hAnsi="宋体" w:cs="Arial"/>
                <w:color w:val="auto"/>
                <w:lang w:eastAsia="zh-CN"/>
              </w:rPr>
              <w:t>。</w:t>
            </w:r>
          </w:p>
        </w:tc>
      </w:tr>
      <w:tr w14:paraId="25EC1C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vMerge w:val="continue"/>
            <w:tcBorders>
              <w:bottom w:val="single" w:color="auto" w:sz="6" w:space="0"/>
            </w:tcBorders>
            <w:vAlign w:val="center"/>
          </w:tcPr>
          <w:p w14:paraId="36058B30">
            <w:pPr>
              <w:shd w:val="clear" w:color="auto" w:fill="FFFFFF"/>
              <w:rPr>
                <w:rFonts w:ascii="宋体" w:hAnsi="宋体" w:eastAsia="宋体" w:cs="Arial"/>
                <w:color w:val="auto"/>
              </w:rPr>
            </w:pPr>
          </w:p>
        </w:tc>
        <w:tc>
          <w:tcPr>
            <w:tcW w:w="11907" w:type="dxa"/>
            <w:vAlign w:val="center"/>
          </w:tcPr>
          <w:p w14:paraId="5CF8C91C">
            <w:pPr>
              <w:shd w:val="clear" w:color="auto" w:fill="FFFFFF"/>
              <w:rPr>
                <w:rFonts w:hint="eastAsia" w:ascii="宋体" w:hAnsi="宋体" w:cs="Arial" w:eastAsiaTheme="minorEastAsia"/>
                <w:color w:val="auto"/>
                <w:lang w:eastAsia="zh-CN"/>
              </w:rPr>
            </w:pPr>
            <w:r>
              <w:rPr>
                <w:rFonts w:hint="eastAsia" w:cs="微软雅黑" w:asciiTheme="minorEastAsia" w:hAnsiTheme="minorEastAsia"/>
                <w:b/>
                <w:bCs/>
                <w:color w:val="auto"/>
                <w:kern w:val="0"/>
                <w:u w:color="000000"/>
                <w:lang w:val="zh-TW"/>
              </w:rPr>
              <w:t>投标时</w:t>
            </w:r>
            <w:r>
              <w:rPr>
                <w:rFonts w:hint="eastAsia"/>
                <w:b/>
                <w:bCs/>
                <w:color w:val="auto"/>
                <w:lang w:val="zh-TW"/>
              </w:rPr>
              <w:t>提供</w:t>
            </w:r>
            <w:r>
              <w:rPr>
                <w:rFonts w:hint="eastAsia"/>
                <w:b/>
                <w:bCs/>
                <w:color w:val="auto"/>
              </w:rPr>
              <w:t>针对本项目的三年7x24小时售后服务承诺函原件</w:t>
            </w:r>
            <w:r>
              <w:rPr>
                <w:rFonts w:cs="微软雅黑" w:asciiTheme="minorEastAsia" w:hAnsiTheme="minorEastAsia"/>
                <w:b/>
                <w:bCs/>
                <w:color w:val="auto"/>
                <w:kern w:val="0"/>
                <w:u w:color="000000"/>
                <w:lang w:val="zh-TW"/>
              </w:rPr>
              <w:t>，不能提供的按无效标处理</w:t>
            </w:r>
            <w:r>
              <w:rPr>
                <w:rFonts w:hint="eastAsia" w:cs="微软雅黑" w:asciiTheme="minorEastAsia" w:hAnsiTheme="minorEastAsia"/>
                <w:b/>
                <w:bCs/>
                <w:color w:val="auto"/>
                <w:kern w:val="0"/>
                <w:u w:color="000000"/>
                <w:lang w:val="zh-TW" w:eastAsia="zh-CN"/>
              </w:rPr>
              <w:t>。</w:t>
            </w:r>
          </w:p>
        </w:tc>
      </w:tr>
    </w:tbl>
    <w:p w14:paraId="2C429B8B">
      <w:pPr>
        <w:pStyle w:val="3"/>
        <w:spacing w:line="240" w:lineRule="auto"/>
        <w:rPr>
          <w:color w:val="auto"/>
          <w:sz w:val="32"/>
          <w:szCs w:val="32"/>
        </w:rPr>
      </w:pPr>
      <w:r>
        <w:rPr>
          <w:rFonts w:hint="eastAsia"/>
          <w:color w:val="auto"/>
          <w:sz w:val="32"/>
          <w:szCs w:val="32"/>
        </w:rPr>
        <w:t>核心交换机板卡扩容（数量：</w:t>
      </w:r>
      <w:r>
        <w:rPr>
          <w:color w:val="auto"/>
          <w:sz w:val="32"/>
          <w:szCs w:val="32"/>
        </w:rPr>
        <w:t>2</w:t>
      </w:r>
      <w:r>
        <w:rPr>
          <w:rFonts w:hint="eastAsia"/>
          <w:color w:val="auto"/>
          <w:sz w:val="32"/>
          <w:szCs w:val="32"/>
        </w:rPr>
        <w:t>块）</w:t>
      </w:r>
      <w:r>
        <w:rPr>
          <w:rFonts w:hint="eastAsia"/>
          <w:color w:val="auto"/>
          <w:sz w:val="32"/>
          <w:szCs w:val="32"/>
          <w:lang w:eastAsia="zh-CN"/>
        </w:rPr>
        <w:t>（▲为核心参数，必须满足）</w:t>
      </w:r>
    </w:p>
    <w:tbl>
      <w:tblPr>
        <w:tblStyle w:val="16"/>
        <w:tblW w:w="14013" w:type="dxa"/>
        <w:tblInd w:w="12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06"/>
        <w:gridCol w:w="11907"/>
      </w:tblGrid>
      <w:tr w14:paraId="6D61C5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2106" w:type="dxa"/>
            <w:tcBorders>
              <w:top w:val="single" w:color="auto" w:sz="4" w:space="0"/>
              <w:bottom w:val="single" w:color="auto" w:sz="6" w:space="0"/>
              <w:right w:val="single" w:color="auto" w:sz="4" w:space="0"/>
            </w:tcBorders>
            <w:shd w:val="clear" w:color="auto" w:fill="auto"/>
          </w:tcPr>
          <w:p w14:paraId="330477D7">
            <w:pPr>
              <w:shd w:val="clear" w:color="auto" w:fill="FFFFFF"/>
              <w:spacing w:line="240" w:lineRule="auto"/>
              <w:jc w:val="center"/>
              <w:rPr>
                <w:rFonts w:ascii="宋体" w:hAnsi="宋体" w:eastAsia="宋体" w:cs="Arial"/>
                <w:color w:val="auto"/>
              </w:rPr>
            </w:pPr>
            <w:r>
              <w:rPr>
                <w:rFonts w:hint="eastAsia" w:ascii="宋体" w:hAnsi="宋体"/>
                <w:b/>
                <w:bCs/>
                <w:color w:val="auto"/>
              </w:rPr>
              <w:t>规格型号</w:t>
            </w:r>
          </w:p>
        </w:tc>
        <w:tc>
          <w:tcPr>
            <w:tcW w:w="11907" w:type="dxa"/>
            <w:tcBorders>
              <w:top w:val="single" w:color="auto" w:sz="4" w:space="0"/>
              <w:left w:val="single" w:color="auto" w:sz="4" w:space="0"/>
              <w:bottom w:val="single" w:color="auto" w:sz="6" w:space="0"/>
              <w:right w:val="single" w:color="auto" w:sz="6" w:space="0"/>
            </w:tcBorders>
            <w:shd w:val="clear" w:color="auto" w:fill="auto"/>
          </w:tcPr>
          <w:p w14:paraId="1F47F451">
            <w:pPr>
              <w:shd w:val="clear" w:color="auto" w:fill="FFFFFF"/>
              <w:spacing w:line="240" w:lineRule="auto"/>
              <w:jc w:val="center"/>
              <w:rPr>
                <w:rFonts w:ascii="宋体" w:hAnsi="宋体" w:eastAsia="宋体" w:cs="Arial"/>
                <w:color w:val="auto"/>
              </w:rPr>
            </w:pPr>
            <w:r>
              <w:rPr>
                <w:rFonts w:hint="eastAsia" w:ascii="宋体" w:hAnsi="宋体"/>
                <w:b/>
                <w:bCs/>
                <w:color w:val="auto"/>
              </w:rPr>
              <w:t>投标参数</w:t>
            </w:r>
          </w:p>
        </w:tc>
      </w:tr>
      <w:tr w14:paraId="16B7A7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tcBorders>
              <w:top w:val="single" w:color="auto" w:sz="6" w:space="0"/>
              <w:bottom w:val="single" w:color="auto" w:sz="6" w:space="0"/>
            </w:tcBorders>
            <w:vAlign w:val="center"/>
          </w:tcPr>
          <w:p w14:paraId="030E164A">
            <w:pPr>
              <w:shd w:val="clear" w:color="auto" w:fill="FFFFFF"/>
              <w:spacing w:line="240" w:lineRule="auto"/>
              <w:rPr>
                <w:rFonts w:ascii="宋体" w:hAnsi="宋体" w:eastAsia="宋体" w:cs="Arial"/>
                <w:color w:val="auto"/>
              </w:rPr>
            </w:pPr>
            <w:r>
              <w:rPr>
                <w:rFonts w:hint="eastAsia" w:ascii="宋体" w:hAnsi="宋体" w:eastAsia="宋体" w:cs="Arial"/>
                <w:color w:val="auto"/>
              </w:rPr>
              <w:t>▲</w:t>
            </w:r>
            <w:r>
              <w:rPr>
                <w:color w:val="auto"/>
              </w:rPr>
              <w:t>核心交换机</w:t>
            </w:r>
            <w:r>
              <w:rPr>
                <w:rFonts w:hint="eastAsia"/>
                <w:color w:val="auto"/>
              </w:rPr>
              <w:t>扩容</w:t>
            </w:r>
          </w:p>
        </w:tc>
        <w:tc>
          <w:tcPr>
            <w:tcW w:w="11907" w:type="dxa"/>
          </w:tcPr>
          <w:p w14:paraId="72E79D73">
            <w:pPr>
              <w:shd w:val="clear" w:color="auto" w:fill="FFFFFF"/>
              <w:spacing w:line="240" w:lineRule="auto"/>
              <w:rPr>
                <w:rFonts w:hint="eastAsia" w:ascii="宋体" w:hAnsi="宋体" w:cs="Arial" w:eastAsiaTheme="minorEastAsia"/>
                <w:color w:val="auto"/>
                <w:lang w:eastAsia="zh-CN"/>
              </w:rPr>
            </w:pPr>
            <w:r>
              <w:rPr>
                <w:rFonts w:hint="eastAsia"/>
                <w:color w:val="auto"/>
              </w:rPr>
              <w:t>增加</w:t>
            </w:r>
            <w:r>
              <w:rPr>
                <w:color w:val="auto"/>
              </w:rPr>
              <w:t>48端口万兆以太网光接口板(X6S,SFP+)</w:t>
            </w:r>
            <w:r>
              <w:rPr>
                <w:rFonts w:hint="eastAsia"/>
                <w:color w:val="auto"/>
                <w:lang w:eastAsia="zh-CN"/>
              </w:rPr>
              <w:t>。</w:t>
            </w:r>
          </w:p>
        </w:tc>
      </w:tr>
      <w:tr w14:paraId="304B9C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vMerge w:val="restart"/>
            <w:tcBorders>
              <w:top w:val="single" w:color="auto" w:sz="6" w:space="0"/>
            </w:tcBorders>
            <w:vAlign w:val="center"/>
          </w:tcPr>
          <w:p w14:paraId="66113E23">
            <w:pPr>
              <w:shd w:val="clear" w:color="auto" w:fill="FFFFFF"/>
              <w:rPr>
                <w:color w:val="auto"/>
              </w:rPr>
            </w:pPr>
            <w:r>
              <w:rPr>
                <w:rFonts w:hint="eastAsia" w:ascii="宋体" w:hAnsi="宋体" w:eastAsia="宋体" w:cs="Arial"/>
                <w:color w:val="auto"/>
              </w:rPr>
              <w:t>▲</w:t>
            </w:r>
            <w:r>
              <w:rPr>
                <w:rFonts w:hint="eastAsia" w:ascii="宋体" w:hAnsi="宋体" w:cs="宋体"/>
                <w:color w:val="auto"/>
              </w:rPr>
              <w:t>可靠性及质保</w:t>
            </w:r>
          </w:p>
        </w:tc>
        <w:tc>
          <w:tcPr>
            <w:tcW w:w="11907" w:type="dxa"/>
          </w:tcPr>
          <w:p w14:paraId="59AF649A">
            <w:pPr>
              <w:shd w:val="clear" w:color="auto" w:fill="FFFFFF"/>
              <w:rPr>
                <w:rFonts w:hint="eastAsia" w:eastAsiaTheme="minorEastAsia"/>
                <w:color w:val="auto"/>
                <w:lang w:eastAsia="zh-CN"/>
              </w:rPr>
            </w:pPr>
            <w:r>
              <w:rPr>
                <w:rFonts w:hint="eastAsia"/>
                <w:color w:val="auto"/>
              </w:rPr>
              <w:t>本次所增加的板卡必须与现有华为</w:t>
            </w:r>
            <w:r>
              <w:rPr>
                <w:color w:val="auto"/>
              </w:rPr>
              <w:t>S7706核心交换机</w:t>
            </w:r>
            <w:r>
              <w:rPr>
                <w:rFonts w:hint="eastAsia"/>
                <w:color w:val="auto"/>
              </w:rPr>
              <w:t>兼容</w:t>
            </w:r>
            <w:r>
              <w:rPr>
                <w:rFonts w:hint="eastAsia"/>
                <w:color w:val="auto"/>
                <w:lang w:eastAsia="zh-CN"/>
              </w:rPr>
              <w:t>。</w:t>
            </w:r>
          </w:p>
        </w:tc>
      </w:tr>
      <w:tr w14:paraId="3AE540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2106" w:type="dxa"/>
            <w:vMerge w:val="continue"/>
            <w:tcBorders>
              <w:bottom w:val="single" w:color="auto" w:sz="6" w:space="0"/>
            </w:tcBorders>
            <w:vAlign w:val="center"/>
          </w:tcPr>
          <w:p w14:paraId="0382CCE1">
            <w:pPr>
              <w:shd w:val="clear" w:color="auto" w:fill="FFFFFF"/>
              <w:rPr>
                <w:rFonts w:ascii="宋体" w:hAnsi="宋体" w:cs="宋体"/>
                <w:color w:val="auto"/>
              </w:rPr>
            </w:pPr>
          </w:p>
        </w:tc>
        <w:tc>
          <w:tcPr>
            <w:tcW w:w="11907" w:type="dxa"/>
          </w:tcPr>
          <w:p w14:paraId="3E1A2888">
            <w:pPr>
              <w:shd w:val="clear" w:color="auto" w:fill="FFFFFF"/>
              <w:rPr>
                <w:rFonts w:hint="eastAsia" w:eastAsiaTheme="minorEastAsia"/>
                <w:color w:val="auto"/>
                <w:lang w:eastAsia="zh-CN"/>
              </w:rPr>
            </w:pPr>
            <w:r>
              <w:rPr>
                <w:rFonts w:hint="eastAsia" w:cs="微软雅黑" w:asciiTheme="minorEastAsia" w:hAnsiTheme="minorEastAsia"/>
                <w:b/>
                <w:bCs/>
                <w:color w:val="auto"/>
                <w:kern w:val="0"/>
                <w:u w:color="000000"/>
                <w:lang w:val="zh-TW"/>
              </w:rPr>
              <w:t>投标时提供</w:t>
            </w:r>
            <w:r>
              <w:rPr>
                <w:rFonts w:hint="eastAsia"/>
                <w:b/>
                <w:bCs/>
                <w:color w:val="auto"/>
              </w:rPr>
              <w:t>针对本项目的一年7x24小时售后服务承诺函原件</w:t>
            </w:r>
            <w:r>
              <w:rPr>
                <w:rFonts w:cs="微软雅黑" w:asciiTheme="minorEastAsia" w:hAnsiTheme="minorEastAsia"/>
                <w:b/>
                <w:bCs/>
                <w:color w:val="auto"/>
                <w:kern w:val="0"/>
                <w:u w:color="000000"/>
                <w:lang w:val="zh-TW"/>
              </w:rPr>
              <w:t>，不能提供的按无效标处理</w:t>
            </w:r>
            <w:r>
              <w:rPr>
                <w:rFonts w:hint="eastAsia" w:cs="微软雅黑" w:asciiTheme="minorEastAsia" w:hAnsiTheme="minorEastAsia"/>
                <w:b/>
                <w:bCs/>
                <w:color w:val="auto"/>
                <w:kern w:val="0"/>
                <w:u w:color="000000"/>
                <w:lang w:val="zh-TW" w:eastAsia="zh-CN"/>
              </w:rPr>
              <w:t>。</w:t>
            </w:r>
          </w:p>
        </w:tc>
      </w:tr>
    </w:tbl>
    <w:p w14:paraId="366D20F2">
      <w:pPr>
        <w:rPr>
          <w:color w:val="auto"/>
        </w:rPr>
      </w:pPr>
    </w:p>
    <w:p w14:paraId="6D7C9770">
      <w:pPr>
        <w:pStyle w:val="3"/>
        <w:rPr>
          <w:color w:val="auto"/>
          <w:sz w:val="32"/>
          <w:szCs w:val="32"/>
        </w:rPr>
      </w:pPr>
      <w:r>
        <w:rPr>
          <w:rFonts w:hint="eastAsia"/>
          <w:color w:val="auto"/>
          <w:sz w:val="32"/>
          <w:szCs w:val="32"/>
        </w:rPr>
        <w:t>光模块（数量：</w:t>
      </w:r>
      <w:r>
        <w:rPr>
          <w:rFonts w:hint="eastAsia"/>
          <w:color w:val="auto"/>
          <w:sz w:val="32"/>
          <w:szCs w:val="32"/>
          <w:lang w:val="en-US" w:eastAsia="zh-CN"/>
        </w:rPr>
        <w:t>96块</w:t>
      </w:r>
      <w:r>
        <w:rPr>
          <w:rFonts w:hint="eastAsia"/>
          <w:color w:val="auto"/>
          <w:sz w:val="32"/>
          <w:szCs w:val="32"/>
        </w:rPr>
        <w:t>）</w:t>
      </w:r>
      <w:r>
        <w:rPr>
          <w:rFonts w:hint="eastAsia"/>
          <w:color w:val="auto"/>
          <w:sz w:val="32"/>
          <w:szCs w:val="32"/>
          <w:lang w:eastAsia="zh-CN"/>
        </w:rPr>
        <w:t>（▲为核心参数，必须满足）</w:t>
      </w:r>
    </w:p>
    <w:tbl>
      <w:tblPr>
        <w:tblStyle w:val="16"/>
        <w:tblW w:w="1345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1482"/>
      </w:tblGrid>
      <w:tr w14:paraId="6896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75" w:type="dxa"/>
            <w:shd w:val="clear" w:color="auto" w:fill="auto"/>
          </w:tcPr>
          <w:p w14:paraId="2EE50074">
            <w:pPr>
              <w:jc w:val="center"/>
              <w:rPr>
                <w:rFonts w:ascii="宋体" w:hAnsi="宋体" w:eastAsia="宋体" w:cs="宋体"/>
                <w:b/>
                <w:bCs/>
                <w:color w:val="auto"/>
                <w:kern w:val="0"/>
              </w:rPr>
            </w:pPr>
            <w:r>
              <w:rPr>
                <w:rFonts w:hint="eastAsia" w:ascii="宋体" w:hAnsi="宋体"/>
                <w:b/>
                <w:bCs/>
                <w:color w:val="auto"/>
              </w:rPr>
              <w:t>规格型号</w:t>
            </w:r>
          </w:p>
        </w:tc>
        <w:tc>
          <w:tcPr>
            <w:tcW w:w="11482" w:type="dxa"/>
            <w:shd w:val="clear" w:color="auto" w:fill="auto"/>
          </w:tcPr>
          <w:p w14:paraId="52AA0EF5">
            <w:pPr>
              <w:jc w:val="center"/>
              <w:rPr>
                <w:rFonts w:ascii="宋体" w:hAnsi="宋体" w:eastAsia="宋体" w:cs="宋体"/>
                <w:b/>
                <w:bCs/>
                <w:color w:val="auto"/>
                <w:kern w:val="0"/>
              </w:rPr>
            </w:pPr>
            <w:r>
              <w:rPr>
                <w:rFonts w:hint="eastAsia" w:ascii="宋体" w:hAnsi="宋体"/>
                <w:b/>
                <w:bCs/>
                <w:color w:val="auto"/>
              </w:rPr>
              <w:t>投标参数</w:t>
            </w:r>
          </w:p>
        </w:tc>
      </w:tr>
      <w:tr w14:paraId="336F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75" w:type="dxa"/>
            <w:shd w:val="clear" w:color="auto" w:fill="auto"/>
            <w:vAlign w:val="center"/>
          </w:tcPr>
          <w:p w14:paraId="026212E4">
            <w:pPr>
              <w:jc w:val="both"/>
              <w:rPr>
                <w:rFonts w:ascii="宋体" w:hAnsi="宋体" w:eastAsia="宋体" w:cs="宋体"/>
                <w:color w:val="auto"/>
                <w:kern w:val="0"/>
              </w:rPr>
            </w:pPr>
            <w:r>
              <w:rPr>
                <w:rFonts w:hint="eastAsia" w:ascii="宋体" w:hAnsi="宋体" w:eastAsia="宋体" w:cs="宋体"/>
                <w:color w:val="auto"/>
                <w:kern w:val="0"/>
              </w:rPr>
              <w:t>▲光模块</w:t>
            </w:r>
          </w:p>
        </w:tc>
        <w:tc>
          <w:tcPr>
            <w:tcW w:w="11482" w:type="dxa"/>
            <w:shd w:val="clear" w:color="auto" w:fill="auto"/>
            <w:vAlign w:val="center"/>
          </w:tcPr>
          <w:p w14:paraId="355FF58F">
            <w:pPr>
              <w:jc w:val="both"/>
              <w:rPr>
                <w:rFonts w:hint="eastAsia" w:ascii="宋体" w:hAnsi="宋体" w:cs="宋体" w:eastAsiaTheme="minorEastAsia"/>
                <w:color w:val="auto"/>
                <w:kern w:val="0"/>
                <w:lang w:eastAsia="zh-CN"/>
              </w:rPr>
            </w:pPr>
            <w:r>
              <w:rPr>
                <w:rFonts w:hint="eastAsia"/>
                <w:color w:val="auto"/>
              </w:rPr>
              <w:t>万兆多模光模块，三年质保</w:t>
            </w:r>
            <w:r>
              <w:rPr>
                <w:rFonts w:hint="eastAsia"/>
                <w:color w:val="auto"/>
                <w:lang w:eastAsia="zh-CN"/>
              </w:rPr>
              <w:t>。</w:t>
            </w:r>
          </w:p>
        </w:tc>
      </w:tr>
    </w:tbl>
    <w:p w14:paraId="5CB66DC3">
      <w:pPr>
        <w:rPr>
          <w:b/>
          <w:bCs/>
          <w:color w:val="auto"/>
          <w:sz w:val="32"/>
          <w:szCs w:val="32"/>
        </w:rPr>
      </w:pPr>
    </w:p>
    <w:p w14:paraId="2009A851">
      <w:pPr>
        <w:pStyle w:val="3"/>
        <w:rPr>
          <w:color w:val="auto"/>
          <w:sz w:val="32"/>
          <w:szCs w:val="32"/>
        </w:rPr>
      </w:pPr>
      <w:r>
        <w:rPr>
          <w:rFonts w:hint="eastAsia"/>
          <w:color w:val="auto"/>
          <w:sz w:val="32"/>
          <w:szCs w:val="32"/>
        </w:rPr>
        <w:t>PDU（数量：</w:t>
      </w:r>
      <w:r>
        <w:rPr>
          <w:rFonts w:hint="eastAsia"/>
          <w:color w:val="auto"/>
          <w:sz w:val="32"/>
          <w:szCs w:val="32"/>
          <w:lang w:val="en-US" w:eastAsia="zh-CN"/>
        </w:rPr>
        <w:t>8条</w:t>
      </w:r>
      <w:r>
        <w:rPr>
          <w:rFonts w:hint="eastAsia"/>
          <w:color w:val="auto"/>
          <w:sz w:val="32"/>
          <w:szCs w:val="32"/>
        </w:rPr>
        <w:t>）</w:t>
      </w:r>
      <w:r>
        <w:rPr>
          <w:rFonts w:hint="eastAsia"/>
          <w:color w:val="auto"/>
          <w:sz w:val="32"/>
          <w:szCs w:val="32"/>
          <w:lang w:eastAsia="zh-CN"/>
        </w:rPr>
        <w:t>（▲为核心参数，必须满足）</w:t>
      </w:r>
    </w:p>
    <w:tbl>
      <w:tblPr>
        <w:tblStyle w:val="16"/>
        <w:tblW w:w="1345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1482"/>
      </w:tblGrid>
      <w:tr w14:paraId="2B23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75" w:type="dxa"/>
            <w:shd w:val="clear" w:color="auto" w:fill="auto"/>
          </w:tcPr>
          <w:p w14:paraId="0722AD0F">
            <w:pPr>
              <w:jc w:val="center"/>
              <w:rPr>
                <w:rFonts w:ascii="宋体" w:hAnsi="宋体" w:eastAsia="宋体" w:cs="宋体"/>
                <w:b/>
                <w:bCs/>
                <w:color w:val="auto"/>
                <w:kern w:val="0"/>
              </w:rPr>
            </w:pPr>
            <w:r>
              <w:rPr>
                <w:rFonts w:hint="eastAsia" w:ascii="宋体" w:hAnsi="宋体"/>
                <w:b/>
                <w:bCs/>
                <w:color w:val="auto"/>
              </w:rPr>
              <w:t>规格型号</w:t>
            </w:r>
          </w:p>
        </w:tc>
        <w:tc>
          <w:tcPr>
            <w:tcW w:w="11482" w:type="dxa"/>
            <w:shd w:val="clear" w:color="auto" w:fill="auto"/>
          </w:tcPr>
          <w:p w14:paraId="6BFA851F">
            <w:pPr>
              <w:jc w:val="center"/>
              <w:rPr>
                <w:rFonts w:ascii="宋体" w:hAnsi="宋体" w:eastAsia="宋体" w:cs="宋体"/>
                <w:b/>
                <w:bCs/>
                <w:color w:val="auto"/>
                <w:kern w:val="0"/>
              </w:rPr>
            </w:pPr>
            <w:r>
              <w:rPr>
                <w:rFonts w:hint="eastAsia" w:ascii="宋体" w:hAnsi="宋体"/>
                <w:b/>
                <w:bCs/>
                <w:color w:val="auto"/>
              </w:rPr>
              <w:t>投标参数</w:t>
            </w:r>
          </w:p>
        </w:tc>
      </w:tr>
      <w:tr w14:paraId="31A4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75" w:type="dxa"/>
            <w:shd w:val="clear" w:color="auto" w:fill="auto"/>
            <w:vAlign w:val="center"/>
          </w:tcPr>
          <w:p w14:paraId="568C8B82">
            <w:pPr>
              <w:jc w:val="both"/>
              <w:rPr>
                <w:rFonts w:hint="default" w:ascii="宋体" w:hAnsi="宋体" w:eastAsia="宋体" w:cs="宋体"/>
                <w:color w:val="auto"/>
                <w:kern w:val="0"/>
                <w:lang w:val="en-US" w:eastAsia="zh-CN"/>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PDU</w:t>
            </w:r>
          </w:p>
        </w:tc>
        <w:tc>
          <w:tcPr>
            <w:tcW w:w="11482" w:type="dxa"/>
            <w:shd w:val="clear" w:color="auto" w:fill="auto"/>
            <w:vAlign w:val="center"/>
          </w:tcPr>
          <w:p w14:paraId="690FF54D">
            <w:pPr>
              <w:jc w:val="both"/>
              <w:rPr>
                <w:rFonts w:hint="eastAsia" w:ascii="宋体" w:hAnsi="宋体" w:cs="宋体" w:eastAsiaTheme="minorEastAsia"/>
                <w:color w:val="auto"/>
                <w:kern w:val="0"/>
                <w:lang w:eastAsia="zh-CN"/>
              </w:rPr>
            </w:pPr>
            <w:r>
              <w:rPr>
                <w:rFonts w:hint="eastAsia"/>
                <w:color w:val="auto"/>
              </w:rPr>
              <w:t xml:space="preserve">8位16A输入，10A新国标输出，带开关，带2米2.5平方线，总功率4000W，水平安装  </w:t>
            </w:r>
          </w:p>
        </w:tc>
      </w:tr>
    </w:tbl>
    <w:p w14:paraId="05DF55C1">
      <w:pPr>
        <w:pStyle w:val="2"/>
        <w:rPr>
          <w:rFonts w:hint="default"/>
          <w:color w:val="auto"/>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2BB99">
    <w:pPr>
      <w:pStyle w:val="1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2403F2D">
                <w:pPr>
                  <w:pStyle w:val="1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165D1B"/>
    <w:multiLevelType w:val="multilevel"/>
    <w:tmpl w:val="68165D1B"/>
    <w:lvl w:ilvl="0" w:tentative="0">
      <w:start w:val="1"/>
      <w:numFmt w:val="decimal"/>
      <w:pStyle w:val="3"/>
      <w:lvlText w:val="%1"/>
      <w:lvlJc w:val="left"/>
      <w:pPr>
        <w:ind w:left="432" w:hanging="432"/>
      </w:pPr>
    </w:lvl>
    <w:lvl w:ilvl="1" w:tentative="0">
      <w:start w:val="1"/>
      <w:numFmt w:val="decimal"/>
      <w:pStyle w:val="4"/>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UyNWFhMDczZmVkNzcwYzVlMDEyNzc1YjUyMmQxMWQifQ=="/>
  </w:docVars>
  <w:rsids>
    <w:rsidRoot w:val="00265B87"/>
    <w:rsid w:val="00046CA0"/>
    <w:rsid w:val="000633F4"/>
    <w:rsid w:val="000711E9"/>
    <w:rsid w:val="001209D5"/>
    <w:rsid w:val="001630AF"/>
    <w:rsid w:val="001A15B3"/>
    <w:rsid w:val="001B0CB2"/>
    <w:rsid w:val="001C7849"/>
    <w:rsid w:val="0020785E"/>
    <w:rsid w:val="00242634"/>
    <w:rsid w:val="00265B87"/>
    <w:rsid w:val="002C7073"/>
    <w:rsid w:val="002E6CFE"/>
    <w:rsid w:val="00461788"/>
    <w:rsid w:val="006331C7"/>
    <w:rsid w:val="00636260"/>
    <w:rsid w:val="00660B37"/>
    <w:rsid w:val="006836E2"/>
    <w:rsid w:val="00706239"/>
    <w:rsid w:val="00730530"/>
    <w:rsid w:val="0074718E"/>
    <w:rsid w:val="0075690E"/>
    <w:rsid w:val="00777466"/>
    <w:rsid w:val="00796FA2"/>
    <w:rsid w:val="007F58FB"/>
    <w:rsid w:val="00815C0B"/>
    <w:rsid w:val="008260C7"/>
    <w:rsid w:val="00844285"/>
    <w:rsid w:val="00865E69"/>
    <w:rsid w:val="00894E0A"/>
    <w:rsid w:val="008C3E75"/>
    <w:rsid w:val="009602A6"/>
    <w:rsid w:val="00A718D9"/>
    <w:rsid w:val="00A972F9"/>
    <w:rsid w:val="00B23D4F"/>
    <w:rsid w:val="00B55537"/>
    <w:rsid w:val="00BA7D89"/>
    <w:rsid w:val="00C161C2"/>
    <w:rsid w:val="00C6489A"/>
    <w:rsid w:val="00CF3F52"/>
    <w:rsid w:val="00D15C3C"/>
    <w:rsid w:val="00D2443B"/>
    <w:rsid w:val="00DB79EE"/>
    <w:rsid w:val="00E27028"/>
    <w:rsid w:val="00E67D84"/>
    <w:rsid w:val="00E85583"/>
    <w:rsid w:val="00ED351D"/>
    <w:rsid w:val="00EF2236"/>
    <w:rsid w:val="00F153BE"/>
    <w:rsid w:val="00F31754"/>
    <w:rsid w:val="00F50C94"/>
    <w:rsid w:val="00F66D5F"/>
    <w:rsid w:val="00F95E1F"/>
    <w:rsid w:val="00FA54DE"/>
    <w:rsid w:val="00FE36D5"/>
    <w:rsid w:val="00FF3024"/>
    <w:rsid w:val="017C6D0A"/>
    <w:rsid w:val="01964270"/>
    <w:rsid w:val="01F071CA"/>
    <w:rsid w:val="02714395"/>
    <w:rsid w:val="02D74B40"/>
    <w:rsid w:val="03BF5183"/>
    <w:rsid w:val="03C52BEB"/>
    <w:rsid w:val="04021749"/>
    <w:rsid w:val="04C17856"/>
    <w:rsid w:val="04C80BE4"/>
    <w:rsid w:val="05860158"/>
    <w:rsid w:val="05B111B5"/>
    <w:rsid w:val="05D610DF"/>
    <w:rsid w:val="068B1EC9"/>
    <w:rsid w:val="06D06A4C"/>
    <w:rsid w:val="09A11A04"/>
    <w:rsid w:val="09C33728"/>
    <w:rsid w:val="09D73678"/>
    <w:rsid w:val="09F204B1"/>
    <w:rsid w:val="0A047FD7"/>
    <w:rsid w:val="0A5151D8"/>
    <w:rsid w:val="0A7809B7"/>
    <w:rsid w:val="0AA01CBB"/>
    <w:rsid w:val="0ABF0394"/>
    <w:rsid w:val="0ACA5057"/>
    <w:rsid w:val="0ACF434F"/>
    <w:rsid w:val="0BD55995"/>
    <w:rsid w:val="0C450877"/>
    <w:rsid w:val="0CEA6380"/>
    <w:rsid w:val="0D837D9E"/>
    <w:rsid w:val="0E1F739B"/>
    <w:rsid w:val="0EB775D4"/>
    <w:rsid w:val="0ECD6DF7"/>
    <w:rsid w:val="0F781459"/>
    <w:rsid w:val="0F987405"/>
    <w:rsid w:val="0FD85A54"/>
    <w:rsid w:val="0FE663C2"/>
    <w:rsid w:val="104B091B"/>
    <w:rsid w:val="10923E54"/>
    <w:rsid w:val="111B02EE"/>
    <w:rsid w:val="11286567"/>
    <w:rsid w:val="11AC0F46"/>
    <w:rsid w:val="11DF131B"/>
    <w:rsid w:val="12A61E39"/>
    <w:rsid w:val="12D6271E"/>
    <w:rsid w:val="12D9220E"/>
    <w:rsid w:val="131E2317"/>
    <w:rsid w:val="13946135"/>
    <w:rsid w:val="13DD5D2E"/>
    <w:rsid w:val="141A488D"/>
    <w:rsid w:val="14BE346A"/>
    <w:rsid w:val="155B33AF"/>
    <w:rsid w:val="15991C20"/>
    <w:rsid w:val="165A5414"/>
    <w:rsid w:val="167784FE"/>
    <w:rsid w:val="1678D3AC"/>
    <w:rsid w:val="170B2BB3"/>
    <w:rsid w:val="17412C58"/>
    <w:rsid w:val="18055854"/>
    <w:rsid w:val="180C0990"/>
    <w:rsid w:val="1812792D"/>
    <w:rsid w:val="18DD40DB"/>
    <w:rsid w:val="18E7221E"/>
    <w:rsid w:val="195720DF"/>
    <w:rsid w:val="1A442663"/>
    <w:rsid w:val="1A870D6A"/>
    <w:rsid w:val="1AF72A5B"/>
    <w:rsid w:val="1B754A9E"/>
    <w:rsid w:val="1B8C2514"/>
    <w:rsid w:val="1BA01B1B"/>
    <w:rsid w:val="1BDF1344"/>
    <w:rsid w:val="1CB80FCF"/>
    <w:rsid w:val="1D1F4CC2"/>
    <w:rsid w:val="1DE57CB9"/>
    <w:rsid w:val="1E1B192D"/>
    <w:rsid w:val="1E69474C"/>
    <w:rsid w:val="1EA731C1"/>
    <w:rsid w:val="1EB63404"/>
    <w:rsid w:val="1EEA01ED"/>
    <w:rsid w:val="1F1318CB"/>
    <w:rsid w:val="1F38206B"/>
    <w:rsid w:val="1F3C7DAD"/>
    <w:rsid w:val="1FB75686"/>
    <w:rsid w:val="1FD60202"/>
    <w:rsid w:val="1FD75D28"/>
    <w:rsid w:val="200D2AFA"/>
    <w:rsid w:val="20711CD8"/>
    <w:rsid w:val="20F36B91"/>
    <w:rsid w:val="21A47E8B"/>
    <w:rsid w:val="21D95D87"/>
    <w:rsid w:val="22124DF5"/>
    <w:rsid w:val="230C07A3"/>
    <w:rsid w:val="247A6A25"/>
    <w:rsid w:val="25276E09"/>
    <w:rsid w:val="256E67E6"/>
    <w:rsid w:val="25774B70"/>
    <w:rsid w:val="25DFDB26"/>
    <w:rsid w:val="25E90563"/>
    <w:rsid w:val="26176E7E"/>
    <w:rsid w:val="266320C3"/>
    <w:rsid w:val="26E906A8"/>
    <w:rsid w:val="27F531EF"/>
    <w:rsid w:val="27FA253C"/>
    <w:rsid w:val="283261F1"/>
    <w:rsid w:val="28FF4A36"/>
    <w:rsid w:val="29513A7E"/>
    <w:rsid w:val="29A9603F"/>
    <w:rsid w:val="2B4D50F0"/>
    <w:rsid w:val="2BE912BD"/>
    <w:rsid w:val="2C0F23A5"/>
    <w:rsid w:val="2C5A3F68"/>
    <w:rsid w:val="2C815051"/>
    <w:rsid w:val="2D7626DC"/>
    <w:rsid w:val="2DE4349E"/>
    <w:rsid w:val="2E6E3CFB"/>
    <w:rsid w:val="2F292704"/>
    <w:rsid w:val="2F33397E"/>
    <w:rsid w:val="2F3F12BC"/>
    <w:rsid w:val="30087837"/>
    <w:rsid w:val="30302C02"/>
    <w:rsid w:val="30A072A2"/>
    <w:rsid w:val="30C419B0"/>
    <w:rsid w:val="30DD7C20"/>
    <w:rsid w:val="316B4522"/>
    <w:rsid w:val="31FC2FF6"/>
    <w:rsid w:val="33572FB0"/>
    <w:rsid w:val="33C543BD"/>
    <w:rsid w:val="34525525"/>
    <w:rsid w:val="345B6AD0"/>
    <w:rsid w:val="357C4F4F"/>
    <w:rsid w:val="35FE3BB6"/>
    <w:rsid w:val="36AD2EE7"/>
    <w:rsid w:val="373158C6"/>
    <w:rsid w:val="373A3052"/>
    <w:rsid w:val="375C2838"/>
    <w:rsid w:val="3767B124"/>
    <w:rsid w:val="377731A3"/>
    <w:rsid w:val="379B4856"/>
    <w:rsid w:val="37C4673A"/>
    <w:rsid w:val="37FF8617"/>
    <w:rsid w:val="386C2D7A"/>
    <w:rsid w:val="38722E9D"/>
    <w:rsid w:val="39CD2400"/>
    <w:rsid w:val="3A7DE17A"/>
    <w:rsid w:val="3A7FB0AE"/>
    <w:rsid w:val="3CB274A9"/>
    <w:rsid w:val="3D1837B0"/>
    <w:rsid w:val="3D9F4DAB"/>
    <w:rsid w:val="3DC6320C"/>
    <w:rsid w:val="3DFEBC30"/>
    <w:rsid w:val="3DFF31BC"/>
    <w:rsid w:val="3F035D9A"/>
    <w:rsid w:val="3F3BE0A2"/>
    <w:rsid w:val="3F7E6544"/>
    <w:rsid w:val="3FA70E1B"/>
    <w:rsid w:val="3FBB6674"/>
    <w:rsid w:val="3FC3ED3F"/>
    <w:rsid w:val="3FEFFB71"/>
    <w:rsid w:val="3FF322B2"/>
    <w:rsid w:val="3FFFF6DD"/>
    <w:rsid w:val="40155D85"/>
    <w:rsid w:val="402847E0"/>
    <w:rsid w:val="41A3330C"/>
    <w:rsid w:val="42100EF9"/>
    <w:rsid w:val="422163C8"/>
    <w:rsid w:val="4429449C"/>
    <w:rsid w:val="44A92F3F"/>
    <w:rsid w:val="44AD0089"/>
    <w:rsid w:val="45014B29"/>
    <w:rsid w:val="45723C79"/>
    <w:rsid w:val="459E681C"/>
    <w:rsid w:val="45DDFC73"/>
    <w:rsid w:val="45FB0E6E"/>
    <w:rsid w:val="466E2692"/>
    <w:rsid w:val="476F66C2"/>
    <w:rsid w:val="47EF61C1"/>
    <w:rsid w:val="482D19BF"/>
    <w:rsid w:val="48763A80"/>
    <w:rsid w:val="4A0A4480"/>
    <w:rsid w:val="4A2445C6"/>
    <w:rsid w:val="4A3459A1"/>
    <w:rsid w:val="4A6F2535"/>
    <w:rsid w:val="4B5D6832"/>
    <w:rsid w:val="4B863FDA"/>
    <w:rsid w:val="4BB548C0"/>
    <w:rsid w:val="4BFF963C"/>
    <w:rsid w:val="4CA30BBC"/>
    <w:rsid w:val="4D7F0CE1"/>
    <w:rsid w:val="4EB52A00"/>
    <w:rsid w:val="4F9C61D9"/>
    <w:rsid w:val="4FCD53E8"/>
    <w:rsid w:val="4FEB6B02"/>
    <w:rsid w:val="4FF04118"/>
    <w:rsid w:val="4FFEF536"/>
    <w:rsid w:val="50131BB5"/>
    <w:rsid w:val="504306EC"/>
    <w:rsid w:val="518B234A"/>
    <w:rsid w:val="51DC0DF8"/>
    <w:rsid w:val="52066700"/>
    <w:rsid w:val="52075749"/>
    <w:rsid w:val="524424F9"/>
    <w:rsid w:val="52A01E26"/>
    <w:rsid w:val="52F41A82"/>
    <w:rsid w:val="532D0BC2"/>
    <w:rsid w:val="546D50F9"/>
    <w:rsid w:val="5472193F"/>
    <w:rsid w:val="54C350C0"/>
    <w:rsid w:val="55717AA9"/>
    <w:rsid w:val="557B8D76"/>
    <w:rsid w:val="55C776C9"/>
    <w:rsid w:val="55DF7299"/>
    <w:rsid w:val="56D4209E"/>
    <w:rsid w:val="56FF6498"/>
    <w:rsid w:val="577F494E"/>
    <w:rsid w:val="57805D82"/>
    <w:rsid w:val="57E3BBB2"/>
    <w:rsid w:val="57F8095F"/>
    <w:rsid w:val="583D1EC5"/>
    <w:rsid w:val="58727DC0"/>
    <w:rsid w:val="58D103DA"/>
    <w:rsid w:val="5996017F"/>
    <w:rsid w:val="59A65848"/>
    <w:rsid w:val="5A5A6D5E"/>
    <w:rsid w:val="5A5A7802"/>
    <w:rsid w:val="5ACB1A0A"/>
    <w:rsid w:val="5B2E1B25"/>
    <w:rsid w:val="5B7F157C"/>
    <w:rsid w:val="5C5A4339"/>
    <w:rsid w:val="5D7C6E59"/>
    <w:rsid w:val="5DA54794"/>
    <w:rsid w:val="5E0C6007"/>
    <w:rsid w:val="5E525F9E"/>
    <w:rsid w:val="5E655CD1"/>
    <w:rsid w:val="5E720E84"/>
    <w:rsid w:val="5ECA3D86"/>
    <w:rsid w:val="5EE7EE64"/>
    <w:rsid w:val="5F4147DC"/>
    <w:rsid w:val="5F8D1B3E"/>
    <w:rsid w:val="5FDE9497"/>
    <w:rsid w:val="5FDFC3D7"/>
    <w:rsid w:val="5FFD1969"/>
    <w:rsid w:val="6094289E"/>
    <w:rsid w:val="6115578D"/>
    <w:rsid w:val="617A6407"/>
    <w:rsid w:val="617F52FC"/>
    <w:rsid w:val="61E7121E"/>
    <w:rsid w:val="623A1223"/>
    <w:rsid w:val="6267026A"/>
    <w:rsid w:val="628C7CD0"/>
    <w:rsid w:val="631A52DC"/>
    <w:rsid w:val="638D7169"/>
    <w:rsid w:val="63AC7EFE"/>
    <w:rsid w:val="64305CB5"/>
    <w:rsid w:val="645D28B7"/>
    <w:rsid w:val="6466523C"/>
    <w:rsid w:val="648570CD"/>
    <w:rsid w:val="64A137DB"/>
    <w:rsid w:val="652266CA"/>
    <w:rsid w:val="656E7B61"/>
    <w:rsid w:val="65841133"/>
    <w:rsid w:val="65D26342"/>
    <w:rsid w:val="66544FA9"/>
    <w:rsid w:val="66576847"/>
    <w:rsid w:val="66A55805"/>
    <w:rsid w:val="680B51D4"/>
    <w:rsid w:val="683B5806"/>
    <w:rsid w:val="68B03FED"/>
    <w:rsid w:val="69653029"/>
    <w:rsid w:val="6994390F"/>
    <w:rsid w:val="6A0665BA"/>
    <w:rsid w:val="6B5E2426"/>
    <w:rsid w:val="6B5E41D4"/>
    <w:rsid w:val="6BB34D65"/>
    <w:rsid w:val="6BBF1D33"/>
    <w:rsid w:val="6C445178"/>
    <w:rsid w:val="6D5E3946"/>
    <w:rsid w:val="6D6C0477"/>
    <w:rsid w:val="6E32474F"/>
    <w:rsid w:val="6E8140FC"/>
    <w:rsid w:val="6EB256C6"/>
    <w:rsid w:val="6F480413"/>
    <w:rsid w:val="6FDE910E"/>
    <w:rsid w:val="6FFE7994"/>
    <w:rsid w:val="6FFEC143"/>
    <w:rsid w:val="702E0619"/>
    <w:rsid w:val="7060454A"/>
    <w:rsid w:val="70E54DF0"/>
    <w:rsid w:val="70F25AEA"/>
    <w:rsid w:val="71273576"/>
    <w:rsid w:val="72161365"/>
    <w:rsid w:val="72273572"/>
    <w:rsid w:val="72442376"/>
    <w:rsid w:val="73760C83"/>
    <w:rsid w:val="745148D6"/>
    <w:rsid w:val="74DD0860"/>
    <w:rsid w:val="74EF4DF5"/>
    <w:rsid w:val="755503F6"/>
    <w:rsid w:val="75587EE6"/>
    <w:rsid w:val="757F5473"/>
    <w:rsid w:val="75954C96"/>
    <w:rsid w:val="75BFB5F1"/>
    <w:rsid w:val="75E7EF0E"/>
    <w:rsid w:val="75EA3234"/>
    <w:rsid w:val="75ED062E"/>
    <w:rsid w:val="75FFC78C"/>
    <w:rsid w:val="76967BB7"/>
    <w:rsid w:val="769972F2"/>
    <w:rsid w:val="76FDE297"/>
    <w:rsid w:val="770E6AAE"/>
    <w:rsid w:val="77560455"/>
    <w:rsid w:val="779F5287"/>
    <w:rsid w:val="77BD3321"/>
    <w:rsid w:val="77F7F4D3"/>
    <w:rsid w:val="77F959B0"/>
    <w:rsid w:val="77FEBE69"/>
    <w:rsid w:val="783F0EE9"/>
    <w:rsid w:val="78A7540C"/>
    <w:rsid w:val="78C57641"/>
    <w:rsid w:val="79A454A8"/>
    <w:rsid w:val="7ADF7310"/>
    <w:rsid w:val="7B0E17E2"/>
    <w:rsid w:val="7B160627"/>
    <w:rsid w:val="7BEEFC51"/>
    <w:rsid w:val="7C492337"/>
    <w:rsid w:val="7C7A8EF2"/>
    <w:rsid w:val="7CB63E70"/>
    <w:rsid w:val="7CBC6FAC"/>
    <w:rsid w:val="7CFF3B76"/>
    <w:rsid w:val="7D0F90C0"/>
    <w:rsid w:val="7D1D3EEF"/>
    <w:rsid w:val="7D6B3946"/>
    <w:rsid w:val="7D8631B9"/>
    <w:rsid w:val="7DA6289F"/>
    <w:rsid w:val="7DE27F87"/>
    <w:rsid w:val="7DEBA826"/>
    <w:rsid w:val="7DEF6D29"/>
    <w:rsid w:val="7DF63207"/>
    <w:rsid w:val="7DF7890C"/>
    <w:rsid w:val="7DF93AD4"/>
    <w:rsid w:val="7E1FD5D2"/>
    <w:rsid w:val="7E91701E"/>
    <w:rsid w:val="7EB1B7C4"/>
    <w:rsid w:val="7EDFA9B4"/>
    <w:rsid w:val="7EF43CB2"/>
    <w:rsid w:val="7F2A28F3"/>
    <w:rsid w:val="7F741DC0"/>
    <w:rsid w:val="7F77EE15"/>
    <w:rsid w:val="7F7D365E"/>
    <w:rsid w:val="7F901756"/>
    <w:rsid w:val="7FAD0967"/>
    <w:rsid w:val="7FD30895"/>
    <w:rsid w:val="7FD7A4B0"/>
    <w:rsid w:val="7FDE9BFE"/>
    <w:rsid w:val="7FEE93E7"/>
    <w:rsid w:val="7FF2D099"/>
    <w:rsid w:val="7FF7B763"/>
    <w:rsid w:val="7FFA0A66"/>
    <w:rsid w:val="7FFD4400"/>
    <w:rsid w:val="7FFDC8B9"/>
    <w:rsid w:val="7FFDFD93"/>
    <w:rsid w:val="873F6957"/>
    <w:rsid w:val="8FBDA52A"/>
    <w:rsid w:val="92DF5F4E"/>
    <w:rsid w:val="9BEF4B7A"/>
    <w:rsid w:val="9EF85CFA"/>
    <w:rsid w:val="A476174E"/>
    <w:rsid w:val="AC5B8903"/>
    <w:rsid w:val="AEFBBBE6"/>
    <w:rsid w:val="AFBE72E9"/>
    <w:rsid w:val="BDBE779D"/>
    <w:rsid w:val="BDBF696E"/>
    <w:rsid w:val="BDFFBCBE"/>
    <w:rsid w:val="BEDBDC7C"/>
    <w:rsid w:val="BF7B73FE"/>
    <w:rsid w:val="BF7EAFEC"/>
    <w:rsid w:val="BF8F4361"/>
    <w:rsid w:val="BF9F17C0"/>
    <w:rsid w:val="C7FF01FF"/>
    <w:rsid w:val="C97E59C9"/>
    <w:rsid w:val="CE7D74AB"/>
    <w:rsid w:val="CF2E974F"/>
    <w:rsid w:val="CFFF5C08"/>
    <w:rsid w:val="D7BD0340"/>
    <w:rsid w:val="D7FEFB0A"/>
    <w:rsid w:val="D7FFFC71"/>
    <w:rsid w:val="DCFB66CA"/>
    <w:rsid w:val="DDEF722B"/>
    <w:rsid w:val="DED475C3"/>
    <w:rsid w:val="DEEF976A"/>
    <w:rsid w:val="DEFBA53F"/>
    <w:rsid w:val="DF3EA7D1"/>
    <w:rsid w:val="DF7B368C"/>
    <w:rsid w:val="DFB5D890"/>
    <w:rsid w:val="DFED0ADB"/>
    <w:rsid w:val="E177B681"/>
    <w:rsid w:val="E2F77212"/>
    <w:rsid w:val="E7758840"/>
    <w:rsid w:val="EBF96952"/>
    <w:rsid w:val="EFB6849A"/>
    <w:rsid w:val="F2E957C2"/>
    <w:rsid w:val="F2FC441C"/>
    <w:rsid w:val="F34F88C9"/>
    <w:rsid w:val="F4CF5887"/>
    <w:rsid w:val="F6BF20AB"/>
    <w:rsid w:val="F6CE1003"/>
    <w:rsid w:val="F6DF45C8"/>
    <w:rsid w:val="F77DDC8B"/>
    <w:rsid w:val="F7B3BEED"/>
    <w:rsid w:val="F7BB41A3"/>
    <w:rsid w:val="F7D47DDA"/>
    <w:rsid w:val="F7D7D24B"/>
    <w:rsid w:val="F7F935BA"/>
    <w:rsid w:val="F7FA813F"/>
    <w:rsid w:val="F7FDE8DF"/>
    <w:rsid w:val="F9DD2F8C"/>
    <w:rsid w:val="FB0DA5E4"/>
    <w:rsid w:val="FB4F7A38"/>
    <w:rsid w:val="FBFE535C"/>
    <w:rsid w:val="FDDF53E1"/>
    <w:rsid w:val="FDF21869"/>
    <w:rsid w:val="FDF839ED"/>
    <w:rsid w:val="FDF8FFB6"/>
    <w:rsid w:val="FEA9A5B2"/>
    <w:rsid w:val="FEAF3A0D"/>
    <w:rsid w:val="FEB71EB6"/>
    <w:rsid w:val="FEDBF9AF"/>
    <w:rsid w:val="FEF71DBE"/>
    <w:rsid w:val="FF2C9735"/>
    <w:rsid w:val="FF7F7E92"/>
    <w:rsid w:val="FF97C180"/>
    <w:rsid w:val="FF9E828D"/>
    <w:rsid w:val="FFAF380A"/>
    <w:rsid w:val="FFB43EA6"/>
    <w:rsid w:val="FFBC35AF"/>
    <w:rsid w:val="FFBDE124"/>
    <w:rsid w:val="FFBF15F1"/>
    <w:rsid w:val="FFDF4335"/>
    <w:rsid w:val="FFF10CB7"/>
    <w:rsid w:val="FFF55D7D"/>
    <w:rsid w:val="FFFACEB2"/>
    <w:rsid w:val="FFFE4BA9"/>
    <w:rsid w:val="FFFFE9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next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next w:val="1"/>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9">
    <w:name w:val="Plain Text"/>
    <w:basedOn w:val="1"/>
    <w:next w:val="1"/>
    <w:qFormat/>
    <w:uiPriority w:val="0"/>
    <w:rPr>
      <w:rFonts w:ascii="宋体" w:hAnsi="Courier New"/>
    </w:rPr>
  </w:style>
  <w:style w:type="paragraph" w:styleId="10">
    <w:name w:val="Date"/>
    <w:basedOn w:val="1"/>
    <w:next w:val="1"/>
    <w:link w:val="22"/>
    <w:semiHidden/>
    <w:unhideWhenUsed/>
    <w:qFormat/>
    <w:uiPriority w:val="99"/>
    <w:pPr>
      <w:ind w:left="100" w:leftChars="2500"/>
    </w:pPr>
  </w:style>
  <w:style w:type="paragraph" w:styleId="11">
    <w:name w:val="Balloon Text"/>
    <w:basedOn w:val="1"/>
    <w:link w:val="24"/>
    <w:semiHidden/>
    <w:unhideWhenUsed/>
    <w:qFormat/>
    <w:uiPriority w:val="99"/>
    <w:rPr>
      <w:sz w:val="18"/>
      <w:szCs w:val="18"/>
    </w:r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First Indent"/>
    <w:basedOn w:val="7"/>
    <w:next w:val="1"/>
    <w:qFormat/>
    <w:uiPriority w:val="0"/>
    <w:pPr>
      <w:ind w:firstLine="200" w:firstLineChars="200"/>
    </w:pPr>
  </w:style>
  <w:style w:type="paragraph" w:styleId="15">
    <w:name w:val="Body Text First Indent 2"/>
    <w:qFormat/>
    <w:uiPriority w:val="0"/>
    <w:pPr>
      <w:widowControl w:val="0"/>
      <w:spacing w:after="120"/>
      <w:ind w:left="420" w:leftChars="200" w:firstLine="420"/>
      <w:jc w:val="both"/>
    </w:pPr>
    <w:rPr>
      <w:rFonts w:ascii="Times New Roman" w:hAnsi="Times New Roman" w:eastAsia="宋体" w:cs="Times New Roman"/>
      <w:kern w:val="2"/>
      <w:sz w:val="21"/>
      <w:szCs w:val="24"/>
      <w:lang w:val="en-US" w:eastAsia="zh-CN" w:bidi="ar-SA"/>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空2字"/>
    <w:basedOn w:val="2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0">
    <w:name w:val="左对齐正文"/>
    <w:qFormat/>
    <w:uiPriority w:val="99"/>
    <w:rPr>
      <w:rFonts w:ascii="Calibri" w:hAnsi="Calibri" w:eastAsia="仿宋_GB2312" w:cs="Calibri"/>
      <w:kern w:val="2"/>
      <w:sz w:val="32"/>
      <w:szCs w:val="32"/>
      <w:lang w:val="en-US" w:eastAsia="zh-CN" w:bidi="ar-SA"/>
    </w:rPr>
  </w:style>
  <w:style w:type="paragraph" w:styleId="21">
    <w:name w:val="List Paragraph"/>
    <w:basedOn w:val="1"/>
    <w:qFormat/>
    <w:uiPriority w:val="34"/>
    <w:pPr>
      <w:ind w:firstLine="420" w:firstLineChars="200"/>
    </w:pPr>
  </w:style>
  <w:style w:type="character" w:customStyle="1" w:styleId="22">
    <w:name w:val="日期 Char"/>
    <w:basedOn w:val="18"/>
    <w:link w:val="10"/>
    <w:semiHidden/>
    <w:qFormat/>
    <w:uiPriority w:val="99"/>
  </w:style>
  <w:style w:type="paragraph" w:customStyle="1" w:styleId="23">
    <w:name w:val="正文1"/>
    <w:basedOn w:val="1"/>
    <w:next w:val="1"/>
    <w:qFormat/>
    <w:uiPriority w:val="99"/>
    <w:pPr>
      <w:spacing w:beforeLines="50" w:line="360" w:lineRule="auto"/>
      <w:ind w:firstLine="420" w:firstLineChars="200"/>
    </w:pPr>
    <w:rPr>
      <w:rFonts w:ascii="宋体" w:hAnsi="宋体" w:eastAsia="宋体" w:cs="宋体"/>
      <w:sz w:val="24"/>
      <w:szCs w:val="24"/>
    </w:rPr>
  </w:style>
  <w:style w:type="character" w:customStyle="1" w:styleId="24">
    <w:name w:val="批注框文本 Char"/>
    <w:basedOn w:val="18"/>
    <w:link w:val="11"/>
    <w:semiHidden/>
    <w:qFormat/>
    <w:uiPriority w:val="99"/>
    <w:rPr>
      <w:sz w:val="18"/>
      <w:szCs w:val="18"/>
    </w:rPr>
  </w:style>
  <w:style w:type="paragraph" w:customStyle="1" w:styleId="25">
    <w:name w:val="正文_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10790</Words>
  <Characters>11401</Characters>
  <Lines>1</Lines>
  <Paragraphs>1</Paragraphs>
  <TotalTime>2</TotalTime>
  <ScaleCrop>false</ScaleCrop>
  <LinksUpToDate>false</LinksUpToDate>
  <CharactersWithSpaces>12202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2022-05-03T00:25:00Z</dcterms:created>
  <dc:creator>洪宇峰</dc:creator>
  <cp:lastModifiedBy>葛俊</cp:lastModifiedBy>
  <cp:lastPrinted>2025-06-05T09:24:00Z</cp:lastPrinted>
  <dcterms:modified xsi:type="dcterms:W3CDTF">2025-06-19T06:10:19Z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B2E002EF6D25B0528BF00568BB0DFBFB</vt:lpwstr>
  </property>
  <property fmtid="{D5CDD505-2E9C-101B-9397-08002B2CF9AE}" pid="4" name="KSOTemplateDocerSaveRecord">
    <vt:lpwstr>eyJoZGlkIjoiODllYWM2ZWExNjBkZTlmYzZiY2NkZWMwZGVhNjRkNDkiLCJ1c2VySWQiOiIyMDQ1ODk4OTUifQ==</vt:lpwstr>
  </property>
</Properties>
</file>