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36A3D">
      <w:pPr>
        <w:pStyle w:val="11"/>
        <w:rPr>
          <w:rFonts w:hint="eastAsia" w:ascii="宋体" w:hAnsi="宋体" w:eastAsia="宋体" w:cs="宋体"/>
          <w:b/>
          <w:color w:val="auto"/>
          <w:sz w:val="44"/>
          <w:szCs w:val="44"/>
          <w:highlight w:val="none"/>
        </w:rPr>
      </w:pPr>
    </w:p>
    <w:p w14:paraId="15BD3F3B">
      <w:pPr>
        <w:pStyle w:val="24"/>
        <w:rPr>
          <w:rFonts w:hint="eastAsia"/>
          <w:highlight w:val="none"/>
        </w:rPr>
      </w:pPr>
    </w:p>
    <w:p w14:paraId="22C00A9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bottom"/>
        <w:outlineLvl w:val="9"/>
        <w:rPr>
          <w:rFonts w:hint="eastAsia" w:ascii="宋体" w:hAnsi="宋体" w:eastAsia="宋体" w:cs="宋体"/>
          <w:b/>
          <w:color w:val="auto"/>
          <w:sz w:val="44"/>
          <w:szCs w:val="44"/>
          <w:highlight w:val="none"/>
        </w:rPr>
      </w:pPr>
    </w:p>
    <w:p w14:paraId="4B1D6EA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bottom"/>
        <w:outlineLvl w:val="0"/>
        <w:rPr>
          <w:rFonts w:hint="eastAsia" w:ascii="宋体" w:hAnsi="宋体" w:eastAsia="宋体" w:cs="宋体"/>
          <w:b/>
          <w:color w:val="auto"/>
          <w:sz w:val="44"/>
          <w:szCs w:val="44"/>
          <w:highlight w:val="none"/>
        </w:rPr>
      </w:pPr>
      <w:bookmarkStart w:id="0" w:name="_Toc8140"/>
      <w:r>
        <w:rPr>
          <w:rFonts w:hint="eastAsia" w:ascii="宋体" w:hAnsi="宋体" w:eastAsia="宋体" w:cs="宋体"/>
          <w:b/>
          <w:color w:val="auto"/>
          <w:sz w:val="44"/>
          <w:szCs w:val="44"/>
          <w:highlight w:val="none"/>
        </w:rPr>
        <w:t>竞</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争</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性</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磋</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商</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文</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件</w:t>
      </w:r>
      <w:bookmarkEnd w:id="0"/>
    </w:p>
    <w:p w14:paraId="0E634AF7">
      <w:pPr>
        <w:keepNext w:val="0"/>
        <w:keepLines w:val="0"/>
        <w:pageBreakBefore w:val="0"/>
        <w:widowControl w:val="0"/>
        <w:kinsoku/>
        <w:wordWrap/>
        <w:overflowPunct/>
        <w:topLinePunct w:val="0"/>
        <w:autoSpaceDE w:val="0"/>
        <w:autoSpaceDN w:val="0"/>
        <w:bidi w:val="0"/>
        <w:adjustRightInd/>
        <w:snapToGrid/>
        <w:spacing w:line="500" w:lineRule="exact"/>
        <w:textAlignment w:val="bottom"/>
        <w:outlineLvl w:val="9"/>
        <w:rPr>
          <w:rFonts w:hint="eastAsia" w:ascii="宋体" w:hAnsi="宋体" w:eastAsia="宋体" w:cs="宋体"/>
          <w:b/>
          <w:color w:val="auto"/>
          <w:sz w:val="21"/>
          <w:szCs w:val="21"/>
          <w:highlight w:val="none"/>
        </w:rPr>
      </w:pPr>
    </w:p>
    <w:p w14:paraId="41435F6C">
      <w:pPr>
        <w:pStyle w:val="6"/>
        <w:pageBreakBefore w:val="0"/>
        <w:kinsoku/>
        <w:overflowPunct/>
        <w:topLinePunct w:val="0"/>
        <w:bidi w:val="0"/>
        <w:spacing w:line="400" w:lineRule="exact"/>
        <w:outlineLvl w:val="9"/>
        <w:rPr>
          <w:rFonts w:hint="eastAsia" w:ascii="宋体" w:hAnsi="宋体" w:eastAsia="宋体" w:cs="宋体"/>
          <w:b/>
          <w:color w:val="auto"/>
          <w:sz w:val="21"/>
          <w:szCs w:val="21"/>
          <w:highlight w:val="none"/>
        </w:rPr>
      </w:pPr>
    </w:p>
    <w:p w14:paraId="79CC7E6A">
      <w:pPr>
        <w:pStyle w:val="6"/>
        <w:pageBreakBefore w:val="0"/>
        <w:kinsoku/>
        <w:overflowPunct/>
        <w:topLinePunct w:val="0"/>
        <w:bidi w:val="0"/>
        <w:spacing w:line="400" w:lineRule="exact"/>
        <w:outlineLvl w:val="9"/>
        <w:rPr>
          <w:rFonts w:hint="eastAsia" w:ascii="宋体" w:hAnsi="宋体" w:eastAsia="宋体" w:cs="宋体"/>
          <w:b/>
          <w:color w:val="auto"/>
          <w:sz w:val="21"/>
          <w:szCs w:val="21"/>
          <w:highlight w:val="none"/>
        </w:rPr>
      </w:pPr>
    </w:p>
    <w:p w14:paraId="304A1F64">
      <w:pPr>
        <w:rPr>
          <w:rFonts w:hint="eastAsia" w:ascii="宋体" w:hAnsi="宋体" w:eastAsia="宋体" w:cs="宋体"/>
          <w:b/>
          <w:color w:val="auto"/>
          <w:sz w:val="21"/>
          <w:szCs w:val="21"/>
          <w:highlight w:val="none"/>
        </w:rPr>
      </w:pPr>
    </w:p>
    <w:p w14:paraId="0169E567">
      <w:pPr>
        <w:pageBreakBefore w:val="0"/>
        <w:kinsoku/>
        <w:overflowPunct/>
        <w:topLinePunct w:val="0"/>
        <w:autoSpaceDE w:val="0"/>
        <w:autoSpaceDN w:val="0"/>
        <w:bidi w:val="0"/>
        <w:spacing w:line="400" w:lineRule="exact"/>
        <w:textAlignment w:val="bottom"/>
        <w:outlineLvl w:val="9"/>
        <w:rPr>
          <w:rFonts w:hint="eastAsia" w:ascii="宋体" w:hAnsi="宋体" w:eastAsia="宋体" w:cs="宋体"/>
          <w:b/>
          <w:color w:val="auto"/>
          <w:sz w:val="28"/>
          <w:szCs w:val="28"/>
          <w:highlight w:val="none"/>
        </w:rPr>
      </w:pPr>
      <w:bookmarkStart w:id="1" w:name="_Toc59735824"/>
      <w:bookmarkStart w:id="2" w:name="_Toc519685772"/>
    </w:p>
    <w:p w14:paraId="228811AA">
      <w:pPr>
        <w:pageBreakBefore w:val="0"/>
        <w:kinsoku/>
        <w:overflowPunct/>
        <w:topLinePunct w:val="0"/>
        <w:autoSpaceDE w:val="0"/>
        <w:autoSpaceDN w:val="0"/>
        <w:bidi w:val="0"/>
        <w:spacing w:line="400" w:lineRule="exact"/>
        <w:ind w:left="1428" w:leftChars="680"/>
        <w:textAlignment w:val="bottom"/>
        <w:outlineLvl w:val="9"/>
        <w:rPr>
          <w:rFonts w:hint="eastAsia" w:ascii="宋体" w:hAnsi="宋体" w:eastAsia="宋体" w:cs="宋体"/>
          <w:b/>
          <w:color w:val="auto"/>
          <w:sz w:val="28"/>
          <w:szCs w:val="28"/>
          <w:highlight w:val="none"/>
        </w:rPr>
      </w:pPr>
    </w:p>
    <w:p w14:paraId="6B0F86C6">
      <w:pPr>
        <w:pageBreakBefore w:val="0"/>
        <w:kinsoku/>
        <w:overflowPunct/>
        <w:topLinePunct w:val="0"/>
        <w:autoSpaceDE w:val="0"/>
        <w:autoSpaceDN w:val="0"/>
        <w:bidi w:val="0"/>
        <w:spacing w:line="400" w:lineRule="exact"/>
        <w:ind w:left="2997" w:leftChars="710" w:hanging="1506" w:hangingChars="500"/>
        <w:textAlignment w:val="bottom"/>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采购编号：</w:t>
      </w:r>
      <w:bookmarkEnd w:id="1"/>
      <w:bookmarkEnd w:id="2"/>
      <w:r>
        <w:rPr>
          <w:rFonts w:hint="eastAsia" w:ascii="宋体" w:hAnsi="宋体" w:cs="宋体"/>
          <w:b/>
          <w:color w:val="auto"/>
          <w:sz w:val="30"/>
          <w:szCs w:val="30"/>
          <w:highlight w:val="none"/>
          <w:lang w:eastAsia="zh-CN"/>
        </w:rPr>
        <w:t>FHCG202</w:t>
      </w:r>
      <w:r>
        <w:rPr>
          <w:rFonts w:hint="eastAsia" w:ascii="宋体" w:hAnsi="宋体" w:cs="宋体"/>
          <w:b/>
          <w:color w:val="auto"/>
          <w:sz w:val="30"/>
          <w:szCs w:val="30"/>
          <w:highlight w:val="none"/>
          <w:lang w:val="en-US" w:eastAsia="zh-CN"/>
        </w:rPr>
        <w:t>5</w:t>
      </w:r>
      <w:r>
        <w:rPr>
          <w:rFonts w:hint="eastAsia" w:ascii="宋体" w:hAnsi="宋体" w:cs="宋体"/>
          <w:b/>
          <w:color w:val="auto"/>
          <w:sz w:val="30"/>
          <w:szCs w:val="30"/>
          <w:highlight w:val="none"/>
          <w:lang w:eastAsia="zh-CN"/>
        </w:rPr>
        <w:t>-032号</w:t>
      </w:r>
    </w:p>
    <w:p w14:paraId="50CFBFED">
      <w:pPr>
        <w:pageBreakBefore w:val="0"/>
        <w:kinsoku/>
        <w:overflowPunct/>
        <w:topLinePunct w:val="0"/>
        <w:autoSpaceDE w:val="0"/>
        <w:autoSpaceDN w:val="0"/>
        <w:bidi w:val="0"/>
        <w:spacing w:line="400" w:lineRule="exact"/>
        <w:ind w:left="2997" w:leftChars="710" w:hanging="1506" w:hangingChars="500"/>
        <w:textAlignment w:val="bottom"/>
        <w:rPr>
          <w:rFonts w:hint="eastAsia" w:ascii="宋体" w:hAnsi="宋体" w:eastAsia="宋体" w:cs="宋体"/>
          <w:b/>
          <w:color w:val="auto"/>
          <w:sz w:val="30"/>
          <w:szCs w:val="30"/>
          <w:highlight w:val="none"/>
        </w:rPr>
      </w:pPr>
    </w:p>
    <w:p w14:paraId="5AF5D716">
      <w:pPr>
        <w:pageBreakBefore w:val="0"/>
        <w:kinsoku/>
        <w:overflowPunct/>
        <w:topLinePunct w:val="0"/>
        <w:autoSpaceDE w:val="0"/>
        <w:autoSpaceDN w:val="0"/>
        <w:bidi w:val="0"/>
        <w:spacing w:line="400" w:lineRule="exact"/>
        <w:ind w:left="2997" w:leftChars="710" w:hanging="1506" w:hangingChars="500"/>
        <w:textAlignment w:val="bottom"/>
        <w:rPr>
          <w:rFonts w:hint="eastAsia" w:ascii="宋体" w:hAnsi="宋体" w:eastAsia="宋体" w:cs="宋体"/>
          <w:b/>
          <w:color w:val="auto"/>
          <w:sz w:val="30"/>
          <w:szCs w:val="30"/>
          <w:highlight w:val="none"/>
        </w:rPr>
      </w:pPr>
    </w:p>
    <w:p w14:paraId="1C9378A7">
      <w:pPr>
        <w:pageBreakBefore w:val="0"/>
        <w:kinsoku/>
        <w:overflowPunct/>
        <w:topLinePunct w:val="0"/>
        <w:autoSpaceDE w:val="0"/>
        <w:autoSpaceDN w:val="0"/>
        <w:bidi w:val="0"/>
        <w:spacing w:line="400" w:lineRule="exact"/>
        <w:ind w:left="2997" w:leftChars="710" w:hanging="1506" w:hangingChars="500"/>
        <w:textAlignment w:val="bottom"/>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eastAsia="zh-CN"/>
        </w:rPr>
        <w:t>云和县病死动物集中无害化处理中心采购项目</w:t>
      </w:r>
    </w:p>
    <w:p w14:paraId="39DC115F">
      <w:pPr>
        <w:pageBreakBefore w:val="0"/>
        <w:kinsoku/>
        <w:overflowPunct/>
        <w:topLinePunct w:val="0"/>
        <w:autoSpaceDE w:val="0"/>
        <w:autoSpaceDN w:val="0"/>
        <w:bidi w:val="0"/>
        <w:spacing w:line="400" w:lineRule="exact"/>
        <w:ind w:firstLine="1506" w:firstLineChars="500"/>
        <w:textAlignment w:val="bottom"/>
        <w:rPr>
          <w:rFonts w:hint="eastAsia" w:ascii="宋体" w:hAnsi="宋体" w:eastAsia="宋体" w:cs="宋体"/>
          <w:b/>
          <w:color w:val="auto"/>
          <w:sz w:val="30"/>
          <w:szCs w:val="30"/>
          <w:highlight w:val="none"/>
        </w:rPr>
      </w:pPr>
    </w:p>
    <w:p w14:paraId="1681B19F">
      <w:pPr>
        <w:pageBreakBefore w:val="0"/>
        <w:kinsoku/>
        <w:overflowPunct/>
        <w:topLinePunct w:val="0"/>
        <w:autoSpaceDE w:val="0"/>
        <w:autoSpaceDN w:val="0"/>
        <w:bidi w:val="0"/>
        <w:spacing w:line="400" w:lineRule="exact"/>
        <w:ind w:firstLine="1506" w:firstLineChars="500"/>
        <w:textAlignment w:val="bottom"/>
        <w:rPr>
          <w:rFonts w:hint="eastAsia" w:ascii="宋体" w:hAnsi="宋体" w:eastAsia="宋体" w:cs="宋体"/>
          <w:b/>
          <w:color w:val="auto"/>
          <w:sz w:val="30"/>
          <w:szCs w:val="30"/>
          <w:highlight w:val="none"/>
        </w:rPr>
      </w:pPr>
    </w:p>
    <w:p w14:paraId="044E13C3">
      <w:pPr>
        <w:pageBreakBefore w:val="0"/>
        <w:kinsoku/>
        <w:overflowPunct/>
        <w:topLinePunct w:val="0"/>
        <w:autoSpaceDE w:val="0"/>
        <w:autoSpaceDN w:val="0"/>
        <w:bidi w:val="0"/>
        <w:spacing w:line="400" w:lineRule="exact"/>
        <w:ind w:firstLine="1506" w:firstLineChars="500"/>
        <w:textAlignment w:val="bottom"/>
        <w:rPr>
          <w:rFonts w:hint="eastAsia" w:ascii="宋体" w:hAnsi="宋体" w:eastAsia="宋体" w:cs="宋体"/>
          <w:b/>
          <w:color w:val="auto"/>
          <w:sz w:val="28"/>
          <w:szCs w:val="28"/>
          <w:highlight w:val="none"/>
        </w:rPr>
      </w:pPr>
      <w:r>
        <w:rPr>
          <w:rFonts w:hint="eastAsia" w:ascii="宋体" w:hAnsi="宋体" w:eastAsia="宋体" w:cs="宋体"/>
          <w:b/>
          <w:color w:val="auto"/>
          <w:sz w:val="30"/>
          <w:szCs w:val="30"/>
          <w:highlight w:val="none"/>
        </w:rPr>
        <w:t>采 购 人：</w:t>
      </w:r>
      <w:r>
        <w:rPr>
          <w:rFonts w:hint="eastAsia" w:ascii="宋体" w:hAnsi="宋体" w:cs="宋体"/>
          <w:b/>
          <w:color w:val="auto"/>
          <w:sz w:val="30"/>
          <w:szCs w:val="30"/>
          <w:highlight w:val="none"/>
          <w:lang w:eastAsia="zh-CN"/>
        </w:rPr>
        <w:t>云和县农村集体经济发展有限公司</w:t>
      </w:r>
    </w:p>
    <w:p w14:paraId="3778C42C">
      <w:pPr>
        <w:pageBreakBefore w:val="0"/>
        <w:kinsoku/>
        <w:overflowPunct/>
        <w:topLinePunct w:val="0"/>
        <w:autoSpaceDE w:val="0"/>
        <w:autoSpaceDN w:val="0"/>
        <w:bidi w:val="0"/>
        <w:spacing w:line="400" w:lineRule="exact"/>
        <w:ind w:firstLine="1389" w:firstLineChars="494"/>
        <w:textAlignment w:val="bottom"/>
        <w:rPr>
          <w:rFonts w:hint="eastAsia" w:ascii="宋体" w:hAnsi="宋体" w:eastAsia="宋体" w:cs="宋体"/>
          <w:b/>
          <w:color w:val="auto"/>
          <w:sz w:val="28"/>
          <w:szCs w:val="28"/>
          <w:highlight w:val="none"/>
        </w:rPr>
      </w:pPr>
    </w:p>
    <w:p w14:paraId="5BD9FA59">
      <w:pPr>
        <w:pageBreakBefore w:val="0"/>
        <w:kinsoku/>
        <w:overflowPunct/>
        <w:topLinePunct w:val="0"/>
        <w:autoSpaceDE w:val="0"/>
        <w:autoSpaceDN w:val="0"/>
        <w:bidi w:val="0"/>
        <w:spacing w:line="400" w:lineRule="exact"/>
        <w:ind w:firstLine="1389" w:firstLineChars="494"/>
        <w:textAlignment w:val="bottom"/>
        <w:rPr>
          <w:rFonts w:hint="eastAsia" w:ascii="宋体" w:hAnsi="宋体" w:eastAsia="宋体" w:cs="宋体"/>
          <w:b/>
          <w:color w:val="auto"/>
          <w:sz w:val="28"/>
          <w:szCs w:val="28"/>
          <w:highlight w:val="none"/>
        </w:rPr>
      </w:pPr>
    </w:p>
    <w:p w14:paraId="579A91A6">
      <w:pPr>
        <w:pageBreakBefore w:val="0"/>
        <w:kinsoku/>
        <w:overflowPunct/>
        <w:topLinePunct w:val="0"/>
        <w:bidi w:val="0"/>
        <w:spacing w:line="400" w:lineRule="exact"/>
        <w:ind w:firstLine="1405" w:firstLineChars="500"/>
        <w:jc w:val="both"/>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代理机构：</w:t>
      </w:r>
      <w:r>
        <w:rPr>
          <w:rFonts w:hint="eastAsia" w:ascii="宋体" w:hAnsi="宋体" w:cs="宋体"/>
          <w:b/>
          <w:color w:val="auto"/>
          <w:sz w:val="28"/>
          <w:szCs w:val="28"/>
          <w:highlight w:val="none"/>
          <w:lang w:eastAsia="zh-CN"/>
        </w:rPr>
        <w:t>云和县丰汇项目管理有限公司</w:t>
      </w:r>
    </w:p>
    <w:p w14:paraId="17F2DDAC">
      <w:pPr>
        <w:pStyle w:val="6"/>
        <w:rPr>
          <w:rFonts w:hint="eastAsia"/>
          <w:color w:val="auto"/>
          <w:highlight w:val="none"/>
        </w:rPr>
      </w:pPr>
    </w:p>
    <w:p w14:paraId="12F7905E">
      <w:pPr>
        <w:rPr>
          <w:rFonts w:hint="eastAsia"/>
          <w:color w:val="auto"/>
          <w:highlight w:val="none"/>
        </w:rPr>
      </w:pPr>
    </w:p>
    <w:p w14:paraId="4112E6B9">
      <w:pPr>
        <w:outlineLvl w:val="9"/>
        <w:rPr>
          <w:rFonts w:hint="eastAsia"/>
          <w:color w:val="auto"/>
          <w:highlight w:val="none"/>
        </w:rPr>
      </w:pPr>
    </w:p>
    <w:p w14:paraId="6159CE32">
      <w:pPr>
        <w:outlineLvl w:val="9"/>
        <w:rPr>
          <w:rFonts w:hint="eastAsia"/>
          <w:color w:val="auto"/>
          <w:highlight w:val="none"/>
        </w:rPr>
      </w:pPr>
    </w:p>
    <w:p w14:paraId="51A4AA80">
      <w:pPr>
        <w:pageBreakBefore w:val="0"/>
        <w:kinsoku/>
        <w:overflowPunct/>
        <w:topLinePunct w:val="0"/>
        <w:bidi w:val="0"/>
        <w:spacing w:line="400" w:lineRule="exact"/>
        <w:rPr>
          <w:rFonts w:hint="eastAsia" w:ascii="宋体" w:hAnsi="宋体" w:eastAsia="宋体" w:cs="宋体"/>
          <w:b/>
          <w:color w:val="auto"/>
          <w:sz w:val="21"/>
          <w:szCs w:val="21"/>
          <w:highlight w:val="none"/>
        </w:rPr>
      </w:pPr>
    </w:p>
    <w:p w14:paraId="5CEE6C54">
      <w:pPr>
        <w:pageBreakBefore w:val="0"/>
        <w:kinsoku/>
        <w:overflowPunct/>
        <w:topLinePunct w:val="0"/>
        <w:bidi w:val="0"/>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二零二</w:t>
      </w:r>
      <w:r>
        <w:rPr>
          <w:rFonts w:hint="eastAsia" w:ascii="宋体" w:hAnsi="宋体" w:cs="宋体"/>
          <w:b/>
          <w:color w:val="auto"/>
          <w:sz w:val="28"/>
          <w:szCs w:val="28"/>
          <w:highlight w:val="none"/>
          <w:lang w:val="en-US" w:eastAsia="zh-CN"/>
        </w:rPr>
        <w:t>五</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七</w:t>
      </w:r>
      <w:r>
        <w:rPr>
          <w:rFonts w:hint="eastAsia" w:ascii="宋体" w:hAnsi="宋体" w:eastAsia="宋体" w:cs="宋体"/>
          <w:b/>
          <w:color w:val="auto"/>
          <w:sz w:val="28"/>
          <w:szCs w:val="28"/>
          <w:highlight w:val="none"/>
        </w:rPr>
        <w:t>月</w:t>
      </w:r>
    </w:p>
    <w:p w14:paraId="250D0FB4">
      <w:pPr>
        <w:pStyle w:val="6"/>
        <w:pageBreakBefore w:val="0"/>
        <w:kinsoku/>
        <w:overflowPunct/>
        <w:topLinePunct w:val="0"/>
        <w:bidi w:val="0"/>
        <w:spacing w:line="400" w:lineRule="exact"/>
        <w:rPr>
          <w:rFonts w:hint="eastAsia" w:ascii="宋体" w:hAnsi="宋体" w:eastAsia="宋体" w:cs="宋体"/>
          <w:b/>
          <w:color w:val="auto"/>
          <w:sz w:val="24"/>
          <w:szCs w:val="24"/>
          <w:highlight w:val="none"/>
        </w:rPr>
      </w:pPr>
    </w:p>
    <w:p w14:paraId="387D4E06">
      <w:pPr>
        <w:pStyle w:val="6"/>
        <w:pageBreakBefore w:val="0"/>
        <w:kinsoku/>
        <w:overflowPunct/>
        <w:topLinePunct w:val="0"/>
        <w:bidi w:val="0"/>
        <w:spacing w:line="400" w:lineRule="exact"/>
        <w:rPr>
          <w:rFonts w:hint="eastAsia" w:ascii="宋体" w:hAnsi="宋体" w:eastAsia="宋体" w:cs="宋体"/>
          <w:b/>
          <w:color w:val="auto"/>
          <w:sz w:val="21"/>
          <w:szCs w:val="21"/>
          <w:highlight w:val="none"/>
        </w:rPr>
      </w:pPr>
    </w:p>
    <w:p w14:paraId="676C7315">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50E40018">
      <w:pPr>
        <w:pStyle w:val="15"/>
        <w:pageBreakBefore w:val="0"/>
        <w:kinsoku/>
        <w:overflowPunct/>
        <w:topLinePunct w:val="0"/>
        <w:bidi w:val="0"/>
        <w:spacing w:line="400" w:lineRule="exact"/>
        <w:jc w:val="center"/>
        <w:rPr>
          <w:rFonts w:hint="eastAsia" w:ascii="宋体" w:hAnsi="宋体" w:eastAsia="宋体" w:cs="宋体"/>
          <w:b/>
          <w:color w:val="auto"/>
          <w:sz w:val="21"/>
          <w:szCs w:val="21"/>
          <w:highlight w:val="none"/>
        </w:rPr>
      </w:pPr>
    </w:p>
    <w:p w14:paraId="7BFD4C71">
      <w:pPr>
        <w:pStyle w:val="15"/>
        <w:pageBreakBefore w:val="0"/>
        <w:kinsoku/>
        <w:overflowPunct/>
        <w:topLinePunct w:val="0"/>
        <w:bidi w:val="0"/>
        <w:spacing w:line="400" w:lineRule="exact"/>
        <w:jc w:val="center"/>
        <w:rPr>
          <w:rFonts w:hint="eastAsia" w:ascii="宋体" w:hAnsi="宋体" w:eastAsia="宋体" w:cs="宋体"/>
          <w:b/>
          <w:color w:val="auto"/>
          <w:sz w:val="21"/>
          <w:szCs w:val="21"/>
          <w:highlight w:val="none"/>
        </w:rPr>
        <w:sectPr>
          <w:headerReference r:id="rId3" w:type="default"/>
          <w:footerReference r:id="rId4" w:type="default"/>
          <w:pgSz w:w="11906" w:h="16838"/>
          <w:pgMar w:top="1240" w:right="866" w:bottom="1440" w:left="960" w:header="851" w:footer="992" w:gutter="0"/>
          <w:cols w:space="425" w:num="1"/>
          <w:titlePg/>
          <w:docGrid w:type="lines" w:linePitch="312" w:charSpace="0"/>
        </w:sectPr>
      </w:pPr>
    </w:p>
    <w:p w14:paraId="7DF7887B">
      <w:pPr>
        <w:rPr>
          <w:rFonts w:hint="eastAsia"/>
          <w:color w:val="auto"/>
          <w:highlight w:val="none"/>
        </w:rPr>
      </w:pPr>
    </w:p>
    <w:p w14:paraId="515ADD5F">
      <w:pPr>
        <w:rPr>
          <w:rFonts w:hint="eastAsia"/>
          <w:color w:val="auto"/>
          <w:highlight w:val="none"/>
        </w:rPr>
      </w:pPr>
    </w:p>
    <w:p w14:paraId="408561D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6562CF0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color w:val="auto"/>
          <w:sz w:val="36"/>
          <w:szCs w:val="36"/>
          <w:highlight w:val="none"/>
        </w:rPr>
      </w:pPr>
    </w:p>
    <w:p w14:paraId="5D06CC0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fldChar w:fldCharType="begin"/>
      </w:r>
      <w:r>
        <w:rPr>
          <w:rFonts w:hint="eastAsia" w:ascii="宋体" w:hAnsi="宋体" w:eastAsia="宋体" w:cs="宋体"/>
          <w:bCs/>
          <w:color w:val="auto"/>
          <w:kern w:val="2"/>
          <w:sz w:val="21"/>
          <w:szCs w:val="21"/>
          <w:highlight w:val="none"/>
        </w:rPr>
        <w:instrText xml:space="preserve"> TOC \o "1-3" \h \z \u </w:instrText>
      </w:r>
      <w:r>
        <w:rPr>
          <w:rFonts w:hint="eastAsia" w:ascii="宋体" w:hAnsi="宋体" w:eastAsia="宋体" w:cs="宋体"/>
          <w:bCs/>
          <w:color w:val="auto"/>
          <w:kern w:val="2"/>
          <w:sz w:val="21"/>
          <w:szCs w:val="21"/>
          <w:highlight w:val="none"/>
        </w:rPr>
        <w:fldChar w:fldCharType="separate"/>
      </w:r>
    </w:p>
    <w:p w14:paraId="125A745E">
      <w:pPr>
        <w:pStyle w:val="19"/>
        <w:keepNext w:val="0"/>
        <w:keepLines w:val="0"/>
        <w:pageBreakBefore w:val="0"/>
        <w:widowControl w:val="0"/>
        <w:tabs>
          <w:tab w:val="right" w:leader="dot" w:pos="1008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rPr>
        <w:fldChar w:fldCharType="begin"/>
      </w:r>
      <w:r>
        <w:rPr>
          <w:rFonts w:hint="eastAsia" w:ascii="宋体" w:hAnsi="宋体" w:eastAsia="宋体" w:cs="宋体"/>
          <w:b w:val="0"/>
          <w:bCs w:val="0"/>
          <w:color w:val="auto"/>
          <w:kern w:val="2"/>
          <w:sz w:val="21"/>
          <w:szCs w:val="21"/>
          <w:highlight w:val="none"/>
        </w:rPr>
        <w:instrText xml:space="preserve"> HYPERLINK \l _Toc22643 </w:instrText>
      </w:r>
      <w:r>
        <w:rPr>
          <w:rFonts w:hint="eastAsia" w:ascii="宋体" w:hAnsi="宋体" w:eastAsia="宋体" w:cs="宋体"/>
          <w:b w:val="0"/>
          <w:bCs w:val="0"/>
          <w:color w:val="auto"/>
          <w:kern w:val="2"/>
          <w:sz w:val="21"/>
          <w:szCs w:val="21"/>
          <w:highlight w:val="none"/>
        </w:rPr>
        <w:fldChar w:fldCharType="separate"/>
      </w:r>
      <w:r>
        <w:rPr>
          <w:rFonts w:hint="eastAsia" w:ascii="宋体" w:hAnsi="宋体" w:eastAsia="宋体" w:cs="宋体"/>
          <w:b w:val="0"/>
          <w:bCs w:val="0"/>
          <w:color w:val="auto"/>
          <w:sz w:val="21"/>
          <w:szCs w:val="21"/>
          <w:highlight w:val="none"/>
        </w:rPr>
        <w:t>第一章    竞争性磋商公告</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_Toc22643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kern w:val="2"/>
          <w:sz w:val="21"/>
          <w:szCs w:val="21"/>
          <w:highlight w:val="none"/>
        </w:rPr>
        <w:fldChar w:fldCharType="end"/>
      </w:r>
    </w:p>
    <w:p w14:paraId="7BBC81D6">
      <w:pPr>
        <w:pStyle w:val="19"/>
        <w:keepNext w:val="0"/>
        <w:keepLines w:val="0"/>
        <w:pageBreakBefore w:val="0"/>
        <w:widowControl w:val="0"/>
        <w:tabs>
          <w:tab w:val="right" w:leader="dot" w:pos="1008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rPr>
        <w:fldChar w:fldCharType="begin"/>
      </w:r>
      <w:r>
        <w:rPr>
          <w:rFonts w:hint="eastAsia" w:ascii="宋体" w:hAnsi="宋体" w:eastAsia="宋体" w:cs="宋体"/>
          <w:b w:val="0"/>
          <w:bCs w:val="0"/>
          <w:color w:val="auto"/>
          <w:kern w:val="2"/>
          <w:sz w:val="21"/>
          <w:szCs w:val="21"/>
          <w:highlight w:val="none"/>
        </w:rPr>
        <w:instrText xml:space="preserve"> HYPERLINK \l _Toc476 </w:instrText>
      </w:r>
      <w:r>
        <w:rPr>
          <w:rFonts w:hint="eastAsia" w:ascii="宋体" w:hAnsi="宋体" w:eastAsia="宋体" w:cs="宋体"/>
          <w:b w:val="0"/>
          <w:bCs w:val="0"/>
          <w:color w:val="auto"/>
          <w:kern w:val="2"/>
          <w:sz w:val="21"/>
          <w:szCs w:val="21"/>
          <w:highlight w:val="none"/>
        </w:rPr>
        <w:fldChar w:fldCharType="separate"/>
      </w:r>
      <w:r>
        <w:rPr>
          <w:rFonts w:hint="eastAsia" w:ascii="宋体" w:hAnsi="宋体" w:eastAsia="宋体" w:cs="宋体"/>
          <w:b w:val="0"/>
          <w:bCs w:val="0"/>
          <w:color w:val="auto"/>
          <w:sz w:val="21"/>
          <w:szCs w:val="21"/>
          <w:highlight w:val="none"/>
          <w:lang w:val="en-US" w:eastAsia="zh-CN" w:bidi="ar-SA"/>
        </w:rPr>
        <w:t>第二章   采购需求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_Toc476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kern w:val="2"/>
          <w:sz w:val="21"/>
          <w:szCs w:val="21"/>
          <w:highlight w:val="none"/>
        </w:rPr>
        <w:fldChar w:fldCharType="end"/>
      </w:r>
    </w:p>
    <w:p w14:paraId="5C7E4F36">
      <w:pPr>
        <w:pStyle w:val="19"/>
        <w:keepNext w:val="0"/>
        <w:keepLines w:val="0"/>
        <w:pageBreakBefore w:val="0"/>
        <w:widowControl w:val="0"/>
        <w:tabs>
          <w:tab w:val="right" w:leader="dot" w:pos="1008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rPr>
        <w:fldChar w:fldCharType="begin"/>
      </w:r>
      <w:r>
        <w:rPr>
          <w:rFonts w:hint="eastAsia" w:ascii="宋体" w:hAnsi="宋体" w:eastAsia="宋体" w:cs="宋体"/>
          <w:b w:val="0"/>
          <w:bCs w:val="0"/>
          <w:color w:val="auto"/>
          <w:kern w:val="2"/>
          <w:sz w:val="21"/>
          <w:szCs w:val="21"/>
          <w:highlight w:val="none"/>
        </w:rPr>
        <w:instrText xml:space="preserve"> HYPERLINK \l _Toc31094 </w:instrText>
      </w:r>
      <w:r>
        <w:rPr>
          <w:rFonts w:hint="eastAsia" w:ascii="宋体" w:hAnsi="宋体" w:eastAsia="宋体" w:cs="宋体"/>
          <w:b w:val="0"/>
          <w:bCs w:val="0"/>
          <w:color w:val="auto"/>
          <w:kern w:val="2"/>
          <w:sz w:val="21"/>
          <w:szCs w:val="21"/>
          <w:highlight w:val="none"/>
        </w:rPr>
        <w:fldChar w:fldCharType="separate"/>
      </w:r>
      <w:r>
        <w:rPr>
          <w:rFonts w:hint="eastAsia" w:ascii="宋体" w:hAnsi="宋体" w:eastAsia="宋体" w:cs="宋体"/>
          <w:b w:val="0"/>
          <w:bCs w:val="0"/>
          <w:color w:val="auto"/>
          <w:sz w:val="21"/>
          <w:szCs w:val="21"/>
          <w:highlight w:val="none"/>
          <w:lang w:val="en-US" w:eastAsia="zh-CN" w:bidi="ar-SA"/>
        </w:rPr>
        <w:t>第三章  供应商须知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_Toc31094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kern w:val="2"/>
          <w:sz w:val="21"/>
          <w:szCs w:val="21"/>
          <w:highlight w:val="none"/>
        </w:rPr>
        <w:fldChar w:fldCharType="end"/>
      </w:r>
    </w:p>
    <w:p w14:paraId="54167127">
      <w:pPr>
        <w:pStyle w:val="19"/>
        <w:keepNext w:val="0"/>
        <w:keepLines w:val="0"/>
        <w:pageBreakBefore w:val="0"/>
        <w:widowControl w:val="0"/>
        <w:tabs>
          <w:tab w:val="right" w:leader="dot" w:pos="1008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rPr>
        <w:fldChar w:fldCharType="begin"/>
      </w:r>
      <w:r>
        <w:rPr>
          <w:rFonts w:hint="eastAsia" w:ascii="宋体" w:hAnsi="宋体" w:eastAsia="宋体" w:cs="宋体"/>
          <w:b w:val="0"/>
          <w:bCs w:val="0"/>
          <w:color w:val="auto"/>
          <w:kern w:val="2"/>
          <w:sz w:val="21"/>
          <w:szCs w:val="21"/>
          <w:highlight w:val="none"/>
        </w:rPr>
        <w:instrText xml:space="preserve"> HYPERLINK \l _Toc19060 </w:instrText>
      </w:r>
      <w:r>
        <w:rPr>
          <w:rFonts w:hint="eastAsia" w:ascii="宋体" w:hAnsi="宋体" w:eastAsia="宋体" w:cs="宋体"/>
          <w:b w:val="0"/>
          <w:bCs w:val="0"/>
          <w:color w:val="auto"/>
          <w:kern w:val="2"/>
          <w:sz w:val="21"/>
          <w:szCs w:val="21"/>
          <w:highlight w:val="none"/>
        </w:rPr>
        <w:fldChar w:fldCharType="separate"/>
      </w:r>
      <w:r>
        <w:rPr>
          <w:rFonts w:hint="eastAsia" w:ascii="宋体" w:hAnsi="宋体" w:eastAsia="宋体" w:cs="宋体"/>
          <w:b w:val="0"/>
          <w:bCs w:val="0"/>
          <w:color w:val="auto"/>
          <w:sz w:val="21"/>
          <w:szCs w:val="21"/>
          <w:highlight w:val="none"/>
          <w:lang w:val="en-US" w:eastAsia="zh-CN" w:bidi="ar-SA"/>
        </w:rPr>
        <w:t>第四章  政府采购合同格式（仅供参考）</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_Toc19060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kern w:val="2"/>
          <w:sz w:val="21"/>
          <w:szCs w:val="21"/>
          <w:highlight w:val="none"/>
        </w:rPr>
        <w:fldChar w:fldCharType="end"/>
      </w:r>
    </w:p>
    <w:p w14:paraId="484E5F11">
      <w:pPr>
        <w:pStyle w:val="19"/>
        <w:keepNext w:val="0"/>
        <w:keepLines w:val="0"/>
        <w:pageBreakBefore w:val="0"/>
        <w:widowControl w:val="0"/>
        <w:tabs>
          <w:tab w:val="right" w:leader="dot" w:pos="1008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rPr>
        <w:fldChar w:fldCharType="begin"/>
      </w:r>
      <w:r>
        <w:rPr>
          <w:rFonts w:hint="eastAsia" w:ascii="宋体" w:hAnsi="宋体" w:eastAsia="宋体" w:cs="宋体"/>
          <w:b w:val="0"/>
          <w:bCs w:val="0"/>
          <w:color w:val="auto"/>
          <w:kern w:val="2"/>
          <w:sz w:val="21"/>
          <w:szCs w:val="21"/>
          <w:highlight w:val="none"/>
        </w:rPr>
        <w:instrText xml:space="preserve"> HYPERLINK \l _Toc8811 </w:instrText>
      </w:r>
      <w:r>
        <w:rPr>
          <w:rFonts w:hint="eastAsia" w:ascii="宋体" w:hAnsi="宋体" w:eastAsia="宋体" w:cs="宋体"/>
          <w:b w:val="0"/>
          <w:bCs w:val="0"/>
          <w:color w:val="auto"/>
          <w:kern w:val="2"/>
          <w:sz w:val="21"/>
          <w:szCs w:val="21"/>
          <w:highlight w:val="none"/>
        </w:rPr>
        <w:fldChar w:fldCharType="separate"/>
      </w:r>
      <w:r>
        <w:rPr>
          <w:rFonts w:hint="eastAsia" w:ascii="宋体" w:hAnsi="宋体" w:eastAsia="宋体" w:cs="宋体"/>
          <w:b w:val="0"/>
          <w:bCs w:val="0"/>
          <w:color w:val="auto"/>
          <w:sz w:val="21"/>
          <w:szCs w:val="21"/>
          <w:highlight w:val="none"/>
          <w:lang w:val="en-US" w:eastAsia="zh-CN" w:bidi="ar-SA"/>
        </w:rPr>
        <w:t>第五章　磋商相关文件格式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_Toc8811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kern w:val="2"/>
          <w:sz w:val="21"/>
          <w:szCs w:val="21"/>
          <w:highlight w:val="none"/>
        </w:rPr>
        <w:fldChar w:fldCharType="end"/>
      </w:r>
    </w:p>
    <w:p w14:paraId="30AE4D34">
      <w:pPr>
        <w:pStyle w:val="19"/>
        <w:keepNext w:val="0"/>
        <w:keepLines w:val="0"/>
        <w:pageBreakBefore w:val="0"/>
        <w:widowControl w:val="0"/>
        <w:tabs>
          <w:tab w:val="right" w:leader="dot" w:pos="1008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rPr>
        <w:fldChar w:fldCharType="begin"/>
      </w:r>
      <w:r>
        <w:rPr>
          <w:rFonts w:hint="eastAsia" w:ascii="宋体" w:hAnsi="宋体" w:eastAsia="宋体" w:cs="宋体"/>
          <w:b w:val="0"/>
          <w:bCs w:val="0"/>
          <w:color w:val="auto"/>
          <w:kern w:val="2"/>
          <w:sz w:val="21"/>
          <w:szCs w:val="21"/>
          <w:highlight w:val="none"/>
        </w:rPr>
        <w:instrText xml:space="preserve"> HYPERLINK \l _Toc10464 </w:instrText>
      </w:r>
      <w:r>
        <w:rPr>
          <w:rFonts w:hint="eastAsia" w:ascii="宋体" w:hAnsi="宋体" w:eastAsia="宋体" w:cs="宋体"/>
          <w:b w:val="0"/>
          <w:bCs w:val="0"/>
          <w:color w:val="auto"/>
          <w:kern w:val="2"/>
          <w:sz w:val="21"/>
          <w:szCs w:val="21"/>
          <w:highlight w:val="none"/>
        </w:rPr>
        <w:fldChar w:fldCharType="separate"/>
      </w:r>
      <w:r>
        <w:rPr>
          <w:rFonts w:hint="eastAsia" w:ascii="宋体" w:hAnsi="宋体" w:eastAsia="宋体" w:cs="宋体"/>
          <w:b w:val="0"/>
          <w:bCs w:val="0"/>
          <w:color w:val="auto"/>
          <w:sz w:val="21"/>
          <w:szCs w:val="21"/>
          <w:highlight w:val="none"/>
          <w:lang w:val="en-US" w:eastAsia="zh-CN" w:bidi="ar-SA"/>
        </w:rPr>
        <w:t>第六章  磋商办法和细则</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_Toc10464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kern w:val="2"/>
          <w:sz w:val="21"/>
          <w:szCs w:val="21"/>
          <w:highlight w:val="none"/>
        </w:rPr>
        <w:fldChar w:fldCharType="end"/>
      </w:r>
    </w:p>
    <w:p w14:paraId="39997052">
      <w:pPr>
        <w:pStyle w:val="22"/>
        <w:keepNext w:val="0"/>
        <w:keepLines w:val="0"/>
        <w:pageBreakBefore w:val="0"/>
        <w:widowControl w:val="0"/>
        <w:tabs>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highlight w:val="none"/>
        </w:rPr>
      </w:pPr>
    </w:p>
    <w:p w14:paraId="36790B92">
      <w:pPr>
        <w:pStyle w:val="15"/>
        <w:pageBreakBefore w:val="0"/>
        <w:kinsoku/>
        <w:overflowPunct/>
        <w:topLinePunct w:val="0"/>
        <w:bidi w:val="0"/>
        <w:spacing w:line="400" w:lineRule="exact"/>
        <w:jc w:val="center"/>
        <w:outlineLvl w:val="9"/>
        <w:rPr>
          <w:rStyle w:val="32"/>
          <w:rFonts w:hint="eastAsia"/>
          <w:b/>
          <w:color w:val="auto"/>
          <w:sz w:val="30"/>
          <w:szCs w:val="30"/>
          <w:highlight w:val="none"/>
        </w:rPr>
        <w:sectPr>
          <w:pgSz w:w="11906" w:h="16838"/>
          <w:pgMar w:top="1240" w:right="866" w:bottom="1440" w:left="960" w:header="851" w:footer="992" w:gutter="0"/>
          <w:cols w:space="425" w:num="1"/>
          <w:titlePg/>
          <w:docGrid w:type="lines" w:linePitch="312" w:charSpace="0"/>
        </w:sectPr>
      </w:pPr>
      <w:r>
        <w:rPr>
          <w:rFonts w:hint="eastAsia" w:ascii="宋体" w:hAnsi="宋体" w:eastAsia="宋体" w:cs="宋体"/>
          <w:bCs/>
          <w:color w:val="auto"/>
          <w:kern w:val="2"/>
          <w:sz w:val="21"/>
          <w:szCs w:val="21"/>
          <w:highlight w:val="none"/>
        </w:rPr>
        <w:fldChar w:fldCharType="end"/>
      </w:r>
      <w:bookmarkStart w:id="3" w:name="_Toc145493459"/>
      <w:bookmarkStart w:id="4" w:name="_Toc391969406"/>
    </w:p>
    <w:p w14:paraId="6E4B5F55">
      <w:pPr>
        <w:pStyle w:val="2"/>
        <w:keepNext/>
        <w:keepLines/>
        <w:pageBreakBefore w:val="0"/>
        <w:widowControl w:val="0"/>
        <w:tabs>
          <w:tab w:val="left" w:pos="1080"/>
        </w:tabs>
        <w:kinsoku/>
        <w:wordWrap/>
        <w:overflowPunct/>
        <w:topLinePunct w:val="0"/>
        <w:autoSpaceDE/>
        <w:autoSpaceDN/>
        <w:bidi w:val="0"/>
        <w:adjustRightInd/>
        <w:snapToGrid/>
        <w:spacing w:line="560" w:lineRule="exact"/>
        <w:ind w:firstLine="0" w:firstLineChars="0"/>
        <w:jc w:val="center"/>
        <w:textAlignment w:val="auto"/>
        <w:outlineLvl w:val="0"/>
        <w:rPr>
          <w:rFonts w:hint="eastAsia" w:ascii="宋体" w:hAnsi="宋体" w:eastAsia="宋体" w:cs="宋体"/>
          <w:b w:val="0"/>
          <w:bCs/>
          <w:color w:val="auto"/>
          <w:sz w:val="24"/>
          <w:szCs w:val="24"/>
          <w:highlight w:val="none"/>
        </w:rPr>
      </w:pPr>
      <w:bookmarkStart w:id="5" w:name="_Toc22643"/>
      <w:r>
        <w:rPr>
          <w:rStyle w:val="32"/>
          <w:rFonts w:hint="eastAsia" w:ascii="宋体" w:hAnsi="宋体" w:eastAsia="宋体" w:cs="宋体"/>
          <w:b/>
          <w:color w:val="auto"/>
          <w:sz w:val="24"/>
          <w:szCs w:val="24"/>
          <w:highlight w:val="none"/>
        </w:rPr>
        <w:t>第一章</w:t>
      </w:r>
      <w:bookmarkEnd w:id="3"/>
      <w:bookmarkEnd w:id="4"/>
      <w:bookmarkStart w:id="6" w:name="_Toc145493460"/>
      <w:bookmarkStart w:id="7" w:name="_Toc391969407"/>
      <w:r>
        <w:rPr>
          <w:rStyle w:val="32"/>
          <w:rFonts w:hint="eastAsia" w:ascii="宋体" w:hAnsi="宋体" w:eastAsia="宋体" w:cs="宋体"/>
          <w:b/>
          <w:color w:val="auto"/>
          <w:sz w:val="24"/>
          <w:szCs w:val="24"/>
          <w:highlight w:val="none"/>
        </w:rPr>
        <w:t xml:space="preserve">  竞争性磋商公告</w:t>
      </w:r>
      <w:bookmarkEnd w:id="5"/>
      <w:bookmarkEnd w:id="6"/>
      <w:bookmarkEnd w:id="7"/>
    </w:p>
    <w:p w14:paraId="10D790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lang w:eastAsia="zh-CN"/>
        </w:rPr>
      </w:pPr>
    </w:p>
    <w:p w14:paraId="04D22E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云和县丰汇项目管理有限公司</w:t>
      </w:r>
      <w:r>
        <w:rPr>
          <w:rFonts w:hint="eastAsia" w:ascii="宋体" w:hAnsi="宋体" w:eastAsia="宋体" w:cs="宋体"/>
          <w:color w:val="auto"/>
          <w:sz w:val="21"/>
          <w:szCs w:val="21"/>
          <w:highlight w:val="none"/>
        </w:rPr>
        <w:t>受</w:t>
      </w:r>
      <w:r>
        <w:rPr>
          <w:rFonts w:hint="eastAsia" w:ascii="宋体" w:hAnsi="宋体" w:cs="宋体"/>
          <w:color w:val="auto"/>
          <w:sz w:val="21"/>
          <w:szCs w:val="21"/>
          <w:highlight w:val="none"/>
          <w:u w:val="single"/>
          <w:lang w:eastAsia="zh-CN"/>
        </w:rPr>
        <w:t>云和县农村集体经济发展有限公司</w:t>
      </w:r>
      <w:r>
        <w:rPr>
          <w:rFonts w:hint="eastAsia" w:ascii="宋体" w:hAnsi="宋体" w:eastAsia="宋体" w:cs="宋体"/>
          <w:color w:val="auto"/>
          <w:sz w:val="21"/>
          <w:szCs w:val="21"/>
          <w:highlight w:val="none"/>
        </w:rPr>
        <w:t>的委托，对</w:t>
      </w:r>
      <w:r>
        <w:rPr>
          <w:rFonts w:hint="eastAsia" w:ascii="宋体" w:hAnsi="宋体" w:cs="宋体"/>
          <w:b/>
          <w:bCs/>
          <w:color w:val="auto"/>
          <w:sz w:val="21"/>
          <w:szCs w:val="21"/>
          <w:highlight w:val="none"/>
          <w:u w:val="single"/>
          <w:lang w:eastAsia="zh-CN"/>
        </w:rPr>
        <w:t>云和县病死动物集中无害化处理中心采购项目</w:t>
      </w:r>
      <w:r>
        <w:rPr>
          <w:rFonts w:hint="eastAsia" w:ascii="宋体" w:hAnsi="宋体" w:eastAsia="宋体" w:cs="宋体"/>
          <w:color w:val="auto"/>
          <w:sz w:val="21"/>
          <w:szCs w:val="21"/>
          <w:highlight w:val="none"/>
        </w:rPr>
        <w:t>进行采购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有关的规定编制本磋商文件。</w:t>
      </w:r>
    </w:p>
    <w:p w14:paraId="566702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采购编号: </w:t>
      </w:r>
      <w:r>
        <w:rPr>
          <w:rFonts w:hint="eastAsia" w:ascii="宋体" w:hAnsi="宋体" w:cs="宋体"/>
          <w:color w:val="auto"/>
          <w:sz w:val="21"/>
          <w:szCs w:val="21"/>
          <w:highlight w:val="none"/>
          <w:lang w:eastAsia="zh-CN"/>
        </w:rPr>
        <w:t>FHCG2025-032号</w:t>
      </w:r>
    </w:p>
    <w:p w14:paraId="70F837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2.采购项目：</w:t>
      </w:r>
      <w:r>
        <w:rPr>
          <w:rFonts w:hint="eastAsia" w:ascii="宋体" w:hAnsi="宋体" w:cs="宋体"/>
          <w:color w:val="auto"/>
          <w:sz w:val="21"/>
          <w:szCs w:val="21"/>
          <w:highlight w:val="none"/>
          <w:lang w:eastAsia="zh-CN"/>
        </w:rPr>
        <w:t>云和县病死动物集中无害化处理中心采购项目</w:t>
      </w:r>
    </w:p>
    <w:p w14:paraId="6F12C54E">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 竞争性磋商</w:t>
      </w:r>
    </w:p>
    <w:p w14:paraId="4A304DFC">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4.采购类型：非政府采购</w:t>
      </w:r>
    </w:p>
    <w:p w14:paraId="67AAB9B1">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.采购内容:</w:t>
      </w:r>
    </w:p>
    <w:tbl>
      <w:tblPr>
        <w:tblStyle w:val="26"/>
        <w:tblW w:w="9477" w:type="dxa"/>
        <w:tblInd w:w="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1"/>
        <w:gridCol w:w="3179"/>
        <w:gridCol w:w="1036"/>
        <w:gridCol w:w="1171"/>
        <w:gridCol w:w="2324"/>
        <w:gridCol w:w="936"/>
      </w:tblGrid>
      <w:tr w14:paraId="7AA7B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831" w:type="dxa"/>
            <w:vAlign w:val="center"/>
          </w:tcPr>
          <w:p w14:paraId="29AB526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3179" w:type="dxa"/>
            <w:vAlign w:val="center"/>
          </w:tcPr>
          <w:p w14:paraId="4FFAAE6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标项内容（名称）</w:t>
            </w:r>
          </w:p>
        </w:tc>
        <w:tc>
          <w:tcPr>
            <w:tcW w:w="1036" w:type="dxa"/>
            <w:vAlign w:val="center"/>
          </w:tcPr>
          <w:p w14:paraId="1E12B3C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71" w:type="dxa"/>
            <w:vAlign w:val="center"/>
          </w:tcPr>
          <w:p w14:paraId="09F7C88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324" w:type="dxa"/>
            <w:tcBorders>
              <w:left w:val="single" w:color="auto" w:sz="4" w:space="0"/>
            </w:tcBorders>
            <w:vAlign w:val="center"/>
          </w:tcPr>
          <w:p w14:paraId="58617E5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w:t>
            </w:r>
          </w:p>
        </w:tc>
        <w:tc>
          <w:tcPr>
            <w:tcW w:w="936" w:type="dxa"/>
            <w:tcBorders>
              <w:left w:val="single" w:color="auto" w:sz="4" w:space="0"/>
            </w:tcBorders>
            <w:vAlign w:val="center"/>
          </w:tcPr>
          <w:p w14:paraId="27E2F2C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7C91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831" w:type="dxa"/>
            <w:tcBorders>
              <w:bottom w:val="single" w:color="auto" w:sz="4" w:space="0"/>
            </w:tcBorders>
            <w:vAlign w:val="center"/>
          </w:tcPr>
          <w:p w14:paraId="1C26951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79" w:type="dxa"/>
            <w:tcBorders>
              <w:bottom w:val="single" w:color="auto" w:sz="4" w:space="0"/>
            </w:tcBorders>
            <w:vAlign w:val="center"/>
          </w:tcPr>
          <w:p w14:paraId="60C7555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云和县病死动物集中无害化处理中心采购项目</w:t>
            </w:r>
          </w:p>
        </w:tc>
        <w:tc>
          <w:tcPr>
            <w:tcW w:w="1036" w:type="dxa"/>
            <w:tcBorders>
              <w:bottom w:val="single" w:color="auto" w:sz="4" w:space="0"/>
            </w:tcBorders>
            <w:vAlign w:val="center"/>
          </w:tcPr>
          <w:p w14:paraId="223ABAF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71" w:type="dxa"/>
            <w:tcBorders>
              <w:bottom w:val="single" w:color="auto" w:sz="4" w:space="0"/>
            </w:tcBorders>
            <w:vAlign w:val="center"/>
          </w:tcPr>
          <w:p w14:paraId="0AF0E9C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2324" w:type="dxa"/>
            <w:tcBorders>
              <w:left w:val="single" w:color="auto" w:sz="4" w:space="0"/>
              <w:bottom w:val="single" w:color="auto" w:sz="4" w:space="0"/>
            </w:tcBorders>
            <w:vAlign w:val="center"/>
          </w:tcPr>
          <w:p w14:paraId="1F734B2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章采购需求</w:t>
            </w:r>
          </w:p>
        </w:tc>
        <w:tc>
          <w:tcPr>
            <w:tcW w:w="936" w:type="dxa"/>
            <w:tcBorders>
              <w:left w:val="single" w:color="auto" w:sz="4" w:space="0"/>
              <w:bottom w:val="single" w:color="auto" w:sz="4" w:space="0"/>
            </w:tcBorders>
            <w:vAlign w:val="center"/>
          </w:tcPr>
          <w:p w14:paraId="670CB023">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p>
        </w:tc>
      </w:tr>
    </w:tbl>
    <w:p w14:paraId="285A96AC">
      <w:pPr>
        <w:keepNext w:val="0"/>
        <w:keepLines w:val="0"/>
        <w:pageBreakBefore w:val="0"/>
        <w:widowControl w:val="0"/>
        <w:kinsoku/>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应具备的资格要求：</w:t>
      </w:r>
    </w:p>
    <w:p w14:paraId="5E09B5F7">
      <w:pPr>
        <w:keepNext w:val="0"/>
        <w:keepLines w:val="0"/>
        <w:pageBreakBefore w:val="0"/>
        <w:widowControl w:val="0"/>
        <w:kinsoku/>
        <w:wordWrap w:val="0"/>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bookmarkStart w:id="8" w:name="_Toc35393800"/>
      <w:bookmarkStart w:id="9" w:name="_Toc28359014"/>
      <w:bookmarkStart w:id="10" w:name="_Toc28359091"/>
      <w:bookmarkStart w:id="11" w:name="_Toc35393631"/>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1满足《中华人民共和国政府采购法》第二十二条规定；未被“信用中国”网站（</w:t>
      </w:r>
      <w:r>
        <w:rPr>
          <w:rFonts w:hint="eastAsia" w:ascii="宋体" w:hAnsi="宋体" w:eastAsia="宋体" w:cs="宋体"/>
          <w:color w:val="auto"/>
          <w:sz w:val="21"/>
          <w:szCs w:val="21"/>
          <w:highlight w:val="none"/>
          <w:u w:val="single"/>
        </w:rPr>
        <w:t>www.creditchina.gov.cn</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u w:val="single"/>
        </w:rPr>
        <w:t>www.ccgp.gov.cn</w:t>
      </w:r>
      <w:r>
        <w:rPr>
          <w:rFonts w:hint="eastAsia" w:ascii="宋体" w:hAnsi="宋体" w:eastAsia="宋体" w:cs="宋体"/>
          <w:color w:val="auto"/>
          <w:sz w:val="21"/>
          <w:szCs w:val="21"/>
          <w:highlight w:val="none"/>
        </w:rPr>
        <w:t>）列入失信被执行人、重大税收违法当事人名单、政府采购严重违法失信行为记录名单</w:t>
      </w:r>
      <w:r>
        <w:rPr>
          <w:rFonts w:hint="eastAsia" w:ascii="宋体" w:hAnsi="宋体" w:eastAsia="宋体" w:cs="宋体"/>
          <w:b/>
          <w:bCs/>
          <w:color w:val="auto"/>
          <w:sz w:val="21"/>
          <w:szCs w:val="21"/>
          <w:highlight w:val="none"/>
          <w:lang w:val="en-US" w:eastAsia="zh-CN"/>
        </w:rPr>
        <w:t>(此项由代理机构现场查询）</w:t>
      </w:r>
      <w:r>
        <w:rPr>
          <w:rFonts w:hint="eastAsia" w:ascii="宋体" w:hAnsi="宋体" w:eastAsia="宋体" w:cs="宋体"/>
          <w:color w:val="auto"/>
          <w:sz w:val="21"/>
          <w:szCs w:val="21"/>
          <w:highlight w:val="none"/>
        </w:rPr>
        <w:t>；</w:t>
      </w:r>
    </w:p>
    <w:p w14:paraId="351CE292">
      <w:pPr>
        <w:keepNext w:val="0"/>
        <w:keepLines w:val="0"/>
        <w:pageBreakBefore w:val="0"/>
        <w:widowControl w:val="0"/>
        <w:kinsoku/>
        <w:wordWrap w:val="0"/>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2落实政府采购政策需满足的资格要求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无</w:t>
      </w:r>
      <w:r>
        <w:rPr>
          <w:rFonts w:hint="eastAsia" w:ascii="宋体" w:hAnsi="宋体" w:eastAsia="宋体" w:cs="宋体"/>
          <w:b w:val="0"/>
          <w:bCs w:val="0"/>
          <w:color w:val="auto"/>
          <w:sz w:val="21"/>
          <w:szCs w:val="21"/>
          <w:highlight w:val="none"/>
          <w:u w:val="none"/>
          <w:lang w:eastAsia="zh-CN"/>
        </w:rPr>
        <w:t>；</w:t>
      </w:r>
    </w:p>
    <w:p w14:paraId="118FD55F">
      <w:pPr>
        <w:keepNext w:val="0"/>
        <w:keepLines w:val="0"/>
        <w:pageBreakBefore w:val="0"/>
        <w:widowControl w:val="0"/>
        <w:kinsoku/>
        <w:wordWrap w:val="0"/>
        <w:overflowPunct/>
        <w:topLinePunct w:val="0"/>
        <w:autoSpaceDE/>
        <w:autoSpaceDN/>
        <w:bidi w:val="0"/>
        <w:adjustRightInd/>
        <w:spacing w:line="400" w:lineRule="exact"/>
        <w:ind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3本项目的特定资格要求：</w:t>
      </w:r>
      <w:r>
        <w:rPr>
          <w:rFonts w:hint="eastAsia" w:ascii="宋体" w:hAnsi="宋体" w:cs="宋体"/>
          <w:color w:val="auto"/>
          <w:sz w:val="21"/>
          <w:szCs w:val="21"/>
          <w:highlight w:val="none"/>
          <w:lang w:val="en-US" w:eastAsia="zh-CN"/>
        </w:rPr>
        <w:t>无；</w:t>
      </w:r>
    </w:p>
    <w:bookmarkEnd w:id="8"/>
    <w:bookmarkEnd w:id="9"/>
    <w:bookmarkEnd w:id="10"/>
    <w:bookmarkEnd w:id="11"/>
    <w:p w14:paraId="777EB215">
      <w:pPr>
        <w:keepNext w:val="0"/>
        <w:keepLines w:val="0"/>
        <w:pageBreakBefore w:val="0"/>
        <w:widowControl w:val="0"/>
        <w:kinsoku/>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本项目不接受联合体投标，不允许转包和分包。</w:t>
      </w:r>
    </w:p>
    <w:p w14:paraId="1864788D">
      <w:pPr>
        <w:keepNext w:val="0"/>
        <w:keepLines w:val="0"/>
        <w:pageBreakBefore w:val="0"/>
        <w:widowControl w:val="0"/>
        <w:kinsoku/>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.公告期限：本项目公告期限为3个工作日（以公告发布次日开始计算）。</w:t>
      </w:r>
    </w:p>
    <w:p w14:paraId="68128A47">
      <w:pPr>
        <w:keepNext w:val="0"/>
        <w:keepLines w:val="0"/>
        <w:pageBreakBefore w:val="0"/>
        <w:widowControl w:val="0"/>
        <w:kinsoku/>
        <w:overflowPunct/>
        <w:topLinePunct w:val="0"/>
        <w:autoSpaceDE/>
        <w:autoSpaceDN/>
        <w:bidi w:val="0"/>
        <w:adjustRightInd/>
        <w:spacing w:beforeAutospacing="0" w:afterAutospacing="0" w:line="400" w:lineRule="exact"/>
        <w:ind w:firstLine="210" w:firstLineChars="100"/>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网上获取招标文件时须向采购代理机构提供以下报名资料:</w:t>
      </w:r>
    </w:p>
    <w:p w14:paraId="6F02B4A6">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介绍信及联系方式；</w:t>
      </w:r>
    </w:p>
    <w:p w14:paraId="3D56674B">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营业执照副本复印件；</w:t>
      </w:r>
    </w:p>
    <w:p w14:paraId="5CDE20BE">
      <w:pPr>
        <w:keepNext w:val="0"/>
        <w:keepLines w:val="0"/>
        <w:pageBreakBefore w:val="0"/>
        <w:widowControl w:val="0"/>
        <w:kinsoku/>
        <w:overflowPunct/>
        <w:topLinePunct w:val="0"/>
        <w:autoSpaceDE/>
        <w:autoSpaceDN/>
        <w:bidi w:val="0"/>
        <w:adjustRightInd/>
        <w:spacing w:beforeAutospacing="0" w:afterAutospacing="0"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以上资料须加盖单位公章，以邮箱或邮寄至采购代理机构（地址：云和县</w:t>
      </w:r>
      <w:r>
        <w:rPr>
          <w:rFonts w:hint="eastAsia" w:ascii="宋体" w:hAnsi="宋体" w:eastAsia="宋体" w:cs="宋体"/>
          <w:b/>
          <w:color w:val="auto"/>
          <w:sz w:val="21"/>
          <w:szCs w:val="21"/>
          <w:highlight w:val="none"/>
          <w:lang w:eastAsia="zh-CN"/>
        </w:rPr>
        <w:t>白龙山街道</w:t>
      </w:r>
      <w:r>
        <w:rPr>
          <w:rFonts w:hint="eastAsia" w:ascii="宋体" w:hAnsi="宋体" w:eastAsia="宋体" w:cs="宋体"/>
          <w:b/>
          <w:color w:val="auto"/>
          <w:sz w:val="21"/>
          <w:szCs w:val="21"/>
          <w:highlight w:val="none"/>
        </w:rPr>
        <w:t>新建南路</w:t>
      </w:r>
      <w:r>
        <w:rPr>
          <w:rFonts w:hint="eastAsia" w:ascii="宋体" w:hAnsi="宋体" w:eastAsia="宋体" w:cs="宋体"/>
          <w:b/>
          <w:color w:val="auto"/>
          <w:sz w:val="21"/>
          <w:szCs w:val="21"/>
          <w:highlight w:val="none"/>
          <w:lang w:val="en-US" w:eastAsia="zh-CN"/>
        </w:rPr>
        <w:t>5</w:t>
      </w:r>
      <w:r>
        <w:rPr>
          <w:rFonts w:hint="eastAsia" w:ascii="宋体" w:hAnsi="宋体" w:cs="宋体"/>
          <w:b/>
          <w:color w:val="auto"/>
          <w:sz w:val="21"/>
          <w:szCs w:val="21"/>
          <w:highlight w:val="none"/>
          <w:lang w:val="en-US" w:eastAsia="zh-CN"/>
        </w:rPr>
        <w:t>40</w:t>
      </w:r>
      <w:r>
        <w:rPr>
          <w:rFonts w:hint="eastAsia" w:ascii="宋体" w:hAnsi="宋体" w:eastAsia="宋体" w:cs="宋体"/>
          <w:b/>
          <w:color w:val="auto"/>
          <w:sz w:val="21"/>
          <w:szCs w:val="21"/>
          <w:highlight w:val="none"/>
        </w:rPr>
        <w:t>号。以邮箱</w:t>
      </w:r>
      <w:r>
        <w:rPr>
          <w:rFonts w:hint="eastAsia" w:ascii="宋体" w:hAnsi="宋体" w:cs="宋体"/>
          <w:b/>
          <w:color w:val="auto"/>
          <w:sz w:val="21"/>
          <w:szCs w:val="21"/>
          <w:highlight w:val="none"/>
          <w:lang w:val="en-US" w:eastAsia="zh-CN"/>
        </w:rPr>
        <w:t>2081948186</w:t>
      </w:r>
      <w:r>
        <w:rPr>
          <w:rFonts w:hint="eastAsia" w:ascii="宋体" w:hAnsi="宋体" w:eastAsia="宋体" w:cs="宋体"/>
          <w:b/>
          <w:color w:val="auto"/>
          <w:sz w:val="21"/>
          <w:szCs w:val="21"/>
          <w:highlight w:val="none"/>
          <w:lang w:val="en-US" w:eastAsia="zh-CN"/>
        </w:rPr>
        <w:t>@qq.com</w:t>
      </w:r>
      <w:r>
        <w:rPr>
          <w:rFonts w:hint="eastAsia" w:ascii="宋体" w:hAnsi="宋体" w:eastAsia="宋体" w:cs="宋体"/>
          <w:b/>
          <w:color w:val="auto"/>
          <w:sz w:val="21"/>
          <w:szCs w:val="21"/>
          <w:highlight w:val="none"/>
        </w:rPr>
        <w:t>收到的时间为准；邮寄递交的，以实际收到邮件的时间为准）。为确保报名资料已准确无误递交，请各</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在递交报名资料后及时与</w:t>
      </w:r>
      <w:r>
        <w:rPr>
          <w:rFonts w:hint="eastAsia" w:ascii="宋体" w:hAnsi="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文件指定的项目负责人取得联系。未提交报名资料的</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对招标文件提出质疑的，不予受理。</w:t>
      </w:r>
    </w:p>
    <w:p w14:paraId="0F54E6EE">
      <w:pPr>
        <w:keepNext w:val="0"/>
        <w:keepLines w:val="0"/>
        <w:pageBreakBefore w:val="0"/>
        <w:widowControl w:val="0"/>
        <w:kinsoku/>
        <w:overflowPunct/>
        <w:topLinePunct w:val="0"/>
        <w:autoSpaceDE/>
        <w:autoSpaceDN/>
        <w:bidi w:val="0"/>
        <w:adjustRightInd/>
        <w:spacing w:beforeAutospacing="0" w:afterAutospacing="0" w:line="40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.招标文件获取及补充（答疑、澄清）、修改文件获取的方式：</w:t>
      </w:r>
      <w:r>
        <w:rPr>
          <w:rFonts w:hint="eastAsia" w:ascii="宋体" w:hAnsi="宋体" w:cs="宋体"/>
          <w:color w:val="auto"/>
          <w:sz w:val="21"/>
          <w:szCs w:val="21"/>
          <w:highlight w:val="none"/>
          <w:lang w:eastAsia="zh-CN"/>
        </w:rPr>
        <w:t>报名时向采购代理机构获取</w:t>
      </w:r>
    </w:p>
    <w:p w14:paraId="4AF1E83E">
      <w:pPr>
        <w:keepNext w:val="0"/>
        <w:keepLines w:val="0"/>
        <w:pageBreakBefore w:val="0"/>
        <w:widowControl w:val="0"/>
        <w:kinsoku/>
        <w:overflowPunct/>
        <w:topLinePunct w:val="0"/>
        <w:autoSpaceDE/>
        <w:autoSpaceDN/>
        <w:bidi w:val="0"/>
        <w:adjustRightInd/>
        <w:spacing w:beforeAutospacing="0" w:afterAutospacing="0"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应自行关注网站招标公告、更正公告、答疑文件等内容，采购人不再一一通知，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因自身贻误行为导致投标失败的，责任自负。</w:t>
      </w:r>
    </w:p>
    <w:p w14:paraId="5A6EFCB9">
      <w:pPr>
        <w:keepNext w:val="0"/>
        <w:keepLines w:val="0"/>
        <w:pageBreakBefore w:val="0"/>
        <w:widowControl w:val="0"/>
        <w:kinsoku/>
        <w:overflowPunct/>
        <w:topLinePunct w:val="0"/>
        <w:autoSpaceDE/>
        <w:autoSpaceDN/>
        <w:bidi w:val="0"/>
        <w:adjustRightInd/>
        <w:spacing w:beforeAutospacing="0" w:afterAutospacing="0"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w:t>
      </w:r>
      <w:r>
        <w:rPr>
          <w:rFonts w:hint="eastAsia" w:ascii="宋体" w:hAnsi="宋体" w:cs="宋体"/>
          <w:color w:val="auto"/>
          <w:sz w:val="21"/>
          <w:szCs w:val="21"/>
          <w:highlight w:val="none"/>
          <w:lang w:val="en-US" w:eastAsia="zh-CN"/>
        </w:rPr>
        <w:t>人民币20万元</w:t>
      </w:r>
      <w:r>
        <w:rPr>
          <w:rFonts w:hint="eastAsia" w:ascii="宋体" w:hAnsi="宋体"/>
          <w:color w:val="auto"/>
          <w:szCs w:val="21"/>
          <w:highlight w:val="none"/>
        </w:rPr>
        <w:t>。</w:t>
      </w:r>
    </w:p>
    <w:p w14:paraId="213FAD4A">
      <w:pPr>
        <w:keepNext w:val="0"/>
        <w:keepLines w:val="0"/>
        <w:pageBreakBefore w:val="0"/>
        <w:widowControl w:val="0"/>
        <w:kinsoku/>
        <w:overflowPunct/>
        <w:topLinePunct w:val="0"/>
        <w:autoSpaceDE/>
        <w:autoSpaceDN/>
        <w:bidi w:val="0"/>
        <w:adjustRightInd/>
        <w:spacing w:beforeAutospacing="0" w:afterAutospacing="0"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.1缴纳履约保证时间及缴纳方式：</w:t>
      </w:r>
      <w:r>
        <w:rPr>
          <w:rFonts w:hint="eastAsia" w:ascii="宋体" w:hAnsi="宋体" w:cs="宋体"/>
          <w:color w:val="auto"/>
          <w:sz w:val="21"/>
          <w:szCs w:val="21"/>
          <w:highlight w:val="none"/>
          <w:lang w:val="en-US" w:eastAsia="zh-CN"/>
        </w:rPr>
        <w:t>合同签订前以银行转账方式向采购人缴纳，履约保证金的退还在合同中约定</w:t>
      </w:r>
      <w:r>
        <w:rPr>
          <w:rFonts w:hint="eastAsia" w:ascii="宋体" w:hAnsi="宋体" w:eastAsia="宋体" w:cs="宋体"/>
          <w:color w:val="auto"/>
          <w:sz w:val="21"/>
          <w:szCs w:val="21"/>
          <w:highlight w:val="none"/>
        </w:rPr>
        <w:t>。</w:t>
      </w:r>
    </w:p>
    <w:p w14:paraId="09D0E738">
      <w:pPr>
        <w:keepNext w:val="0"/>
        <w:keepLines w:val="0"/>
        <w:pageBreakBefore w:val="0"/>
        <w:widowControl w:val="0"/>
        <w:kinsoku/>
        <w:overflowPunct/>
        <w:topLinePunct w:val="0"/>
        <w:autoSpaceDE/>
        <w:autoSpaceDN/>
        <w:bidi w:val="0"/>
        <w:adjustRightInd/>
        <w:spacing w:beforeAutospacing="0" w:afterAutospacing="0" w:line="400" w:lineRule="exact"/>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投标文件递交：</w:t>
      </w:r>
    </w:p>
    <w:p w14:paraId="69CC7B07">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投标文件采用现场递交方式。超过投标截止时间未提交投标文件的，投标文件将被拒收。</w:t>
      </w:r>
    </w:p>
    <w:p w14:paraId="078137FD">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w:t>
      </w:r>
    </w:p>
    <w:p w14:paraId="70AFEAA2">
      <w:pPr>
        <w:keepNext w:val="0"/>
        <w:keepLines w:val="0"/>
        <w:pageBreakBefore w:val="0"/>
        <w:widowControl w:val="0"/>
        <w:kinsoku/>
        <w:overflowPunct/>
        <w:topLinePunct w:val="0"/>
        <w:autoSpaceDE/>
        <w:autoSpaceDN/>
        <w:bidi w:val="0"/>
        <w:adjustRightInd/>
        <w:snapToGrid w:val="0"/>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.提交投标文件地点：</w:t>
      </w:r>
      <w:r>
        <w:rPr>
          <w:rFonts w:hint="eastAsia" w:ascii="宋体" w:hAnsi="宋体"/>
          <w:color w:val="auto"/>
          <w:szCs w:val="21"/>
          <w:highlight w:val="none"/>
          <w:lang w:eastAsia="zh-CN"/>
        </w:rPr>
        <w:t>云和县公共资源交易中心</w:t>
      </w:r>
      <w:r>
        <w:rPr>
          <w:rFonts w:hint="eastAsia" w:ascii="宋体" w:hAnsi="宋体"/>
          <w:color w:val="auto"/>
          <w:szCs w:val="21"/>
          <w:highlight w:val="none"/>
        </w:rPr>
        <w:t>（云和县城南路1号体育馆一楼）。</w:t>
      </w:r>
    </w:p>
    <w:p w14:paraId="68F35765">
      <w:pPr>
        <w:keepNext w:val="0"/>
        <w:keepLines w:val="0"/>
        <w:pageBreakBefore w:val="0"/>
        <w:widowControl w:val="0"/>
        <w:kinsoku/>
        <w:overflowPunct/>
        <w:topLinePunct w:val="0"/>
        <w:autoSpaceDE/>
        <w:autoSpaceDN/>
        <w:bidi w:val="0"/>
        <w:adjustRightInd/>
        <w:snapToGrid w:val="0"/>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.开标时间：同投标截止时间。</w:t>
      </w:r>
    </w:p>
    <w:p w14:paraId="32A7EBD3">
      <w:pPr>
        <w:keepNext w:val="0"/>
        <w:keepLines w:val="0"/>
        <w:pageBreakBefore w:val="0"/>
        <w:widowControl w:val="0"/>
        <w:kinsoku/>
        <w:overflowPunct/>
        <w:topLinePunct w:val="0"/>
        <w:autoSpaceDE/>
        <w:autoSpaceDN/>
        <w:bidi w:val="0"/>
        <w:adjustRightInd/>
        <w:snapToGrid w:val="0"/>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.开标地点：</w:t>
      </w:r>
      <w:r>
        <w:rPr>
          <w:rFonts w:hint="eastAsia" w:ascii="宋体" w:hAnsi="宋体"/>
          <w:color w:val="auto"/>
          <w:szCs w:val="21"/>
          <w:highlight w:val="none"/>
          <w:lang w:eastAsia="zh-CN"/>
        </w:rPr>
        <w:t>云和县公共资源交易中心</w:t>
      </w:r>
      <w:r>
        <w:rPr>
          <w:rFonts w:hint="eastAsia" w:ascii="宋体" w:hAnsi="宋体"/>
          <w:color w:val="auto"/>
          <w:szCs w:val="21"/>
          <w:highlight w:val="none"/>
        </w:rPr>
        <w:t>（云和县城南路1号体育馆一楼）。</w:t>
      </w:r>
    </w:p>
    <w:p w14:paraId="780E2B43">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本公告在以下媒体同时公布：</w:t>
      </w:r>
      <w:bookmarkStart w:id="12" w:name="OLE_LINK1"/>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"http://60.190.126.3:8080/wcm/WCMV6/editor/editor/招标文件（新版）.doc" </w:instrText>
      </w:r>
      <w:r>
        <w:rPr>
          <w:rFonts w:hint="eastAsia" w:ascii="宋体" w:hAnsi="宋体" w:eastAsia="宋体" w:cs="宋体"/>
          <w:color w:val="auto"/>
          <w:sz w:val="21"/>
          <w:szCs w:val="21"/>
          <w:highlight w:val="none"/>
        </w:rPr>
        <w:fldChar w:fldCharType="separate"/>
      </w:r>
      <w:r>
        <w:rPr>
          <w:rStyle w:val="30"/>
          <w:rFonts w:hint="eastAsia" w:ascii="宋体" w:hAnsi="宋体" w:eastAsia="宋体" w:cs="宋体"/>
          <w:color w:val="auto"/>
          <w:sz w:val="21"/>
          <w:szCs w:val="21"/>
          <w:highlight w:val="none"/>
          <w:u w:val="none"/>
        </w:rPr>
        <w:t>http://zfcg.czt.zj.gov.cn/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bookmarkEnd w:id="12"/>
      <w:r>
        <w:rPr>
          <w:rFonts w:hint="eastAsia" w:ascii="宋体" w:hAnsi="宋体" w:cs="宋体"/>
          <w:color w:val="auto"/>
          <w:sz w:val="21"/>
          <w:szCs w:val="21"/>
          <w:highlight w:val="none"/>
          <w:lang w:eastAsia="zh-CN"/>
        </w:rPr>
        <w:t>、丽水市公共资源交易网（云和）</w:t>
      </w:r>
    </w:p>
    <w:p w14:paraId="527CC093">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bookmarkStart w:id="138" w:name="_GoBack"/>
      <w:bookmarkEnd w:id="138"/>
      <w:r>
        <w:rPr>
          <w:rFonts w:hint="eastAsia" w:ascii="宋体" w:hAnsi="宋体" w:eastAsia="宋体" w:cs="宋体"/>
          <w:color w:val="auto"/>
          <w:sz w:val="21"/>
          <w:szCs w:val="21"/>
          <w:highlight w:val="none"/>
        </w:rPr>
        <w:t>联系方式</w:t>
      </w:r>
    </w:p>
    <w:p w14:paraId="236459CB">
      <w:pPr>
        <w:keepNext w:val="0"/>
        <w:keepLines w:val="0"/>
        <w:pageBreakBefore w:val="0"/>
        <w:widowControl w:val="0"/>
        <w:kinsoku/>
        <w:overflowPunct/>
        <w:topLinePunct w:val="0"/>
        <w:autoSpaceDE/>
        <w:autoSpaceDN/>
        <w:bidi w:val="0"/>
        <w:adjustRightInd/>
        <w:spacing w:beforeAutospacing="0" w:afterAutospacing="0" w:line="400" w:lineRule="exact"/>
        <w:ind w:firstLine="420" w:firstLineChars="200"/>
        <w:textAlignment w:val="auto"/>
        <w:rPr>
          <w:rFonts w:hint="default" w:ascii="宋体" w:hAnsi="宋体" w:eastAsia="宋体" w:cs="宋体"/>
          <w:b/>
          <w:color w:val="auto"/>
          <w:sz w:val="21"/>
          <w:szCs w:val="21"/>
          <w:highlight w:val="none"/>
          <w:u w:val="single"/>
          <w:lang w:val="en-US"/>
        </w:rPr>
      </w:pPr>
      <w:r>
        <w:rPr>
          <w:rFonts w:hint="eastAsia" w:ascii="宋体" w:hAnsi="宋体" w:eastAsia="宋体" w:cs="宋体"/>
          <w:color w:val="auto"/>
          <w:sz w:val="21"/>
          <w:szCs w:val="21"/>
          <w:highlight w:val="none"/>
        </w:rPr>
        <w:t>（1）采购人名称：</w:t>
      </w:r>
      <w:r>
        <w:rPr>
          <w:rFonts w:hint="eastAsia" w:ascii="宋体" w:hAnsi="宋体" w:cs="宋体"/>
          <w:color w:val="auto"/>
          <w:sz w:val="21"/>
          <w:szCs w:val="21"/>
          <w:highlight w:val="none"/>
          <w:lang w:eastAsia="zh-CN"/>
        </w:rPr>
        <w:t>云和县农村集体经济发展有限公司</w:t>
      </w:r>
      <w:r>
        <w:rPr>
          <w:rFonts w:hint="eastAsia" w:ascii="宋体" w:hAnsi="宋体" w:cs="宋体"/>
          <w:color w:val="auto"/>
          <w:sz w:val="21"/>
          <w:szCs w:val="21"/>
          <w:highlight w:val="none"/>
          <w:lang w:val="en-US" w:eastAsia="zh-CN"/>
        </w:rPr>
        <w:t xml:space="preserve"> </w:t>
      </w:r>
    </w:p>
    <w:p w14:paraId="5E42A00C">
      <w:pPr>
        <w:spacing w:line="360" w:lineRule="exact"/>
        <w:ind w:firstLine="840" w:firstLineChars="40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Cs w:val="21"/>
          <w:highlight w:val="none"/>
          <w:lang w:val="en-US" w:eastAsia="zh-CN"/>
        </w:rPr>
        <w:t>廖先生</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lang w:val="en-US" w:eastAsia="zh-CN"/>
        </w:rPr>
        <w:t>0578-5520807</w:t>
      </w:r>
    </w:p>
    <w:p w14:paraId="4A8C1CF5">
      <w:pPr>
        <w:spacing w:line="36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cs="宋体"/>
          <w:color w:val="auto"/>
          <w:sz w:val="21"/>
          <w:szCs w:val="21"/>
          <w:highlight w:val="none"/>
          <w:lang w:val="en-US" w:eastAsia="zh-CN"/>
        </w:rPr>
        <w:t>蓝女士</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联系电话：0578-5520805 </w:t>
      </w:r>
    </w:p>
    <w:p w14:paraId="7052F661">
      <w:pPr>
        <w:keepNext w:val="0"/>
        <w:keepLines w:val="0"/>
        <w:pageBreakBefore w:val="0"/>
        <w:widowControl w:val="0"/>
        <w:kinsoku/>
        <w:overflowPunct/>
        <w:topLinePunct w:val="0"/>
        <w:autoSpaceDE/>
        <w:autoSpaceDN/>
        <w:bidi w:val="0"/>
        <w:adjustRightInd/>
        <w:spacing w:beforeAutospacing="0" w:afterAutospacing="0" w:line="400" w:lineRule="exact"/>
        <w:ind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cs="宋体"/>
          <w:color w:val="auto"/>
          <w:kern w:val="0"/>
          <w:sz w:val="21"/>
          <w:szCs w:val="21"/>
          <w:highlight w:val="none"/>
          <w:lang w:eastAsia="zh-CN"/>
        </w:rPr>
        <w:t>云和县普光小区18幢1楼</w:t>
      </w:r>
    </w:p>
    <w:p w14:paraId="1D287565">
      <w:pPr>
        <w:keepNext w:val="0"/>
        <w:keepLines w:val="0"/>
        <w:pageBreakBefore w:val="0"/>
        <w:widowControl w:val="0"/>
        <w:numPr>
          <w:ilvl w:val="0"/>
          <w:numId w:val="1"/>
        </w:numPr>
        <w:kinsoku/>
        <w:overflowPunct/>
        <w:topLinePunct w:val="0"/>
        <w:autoSpaceDE/>
        <w:autoSpaceDN/>
        <w:bidi w:val="0"/>
        <w:adjustRightInd/>
        <w:spacing w:beforeAutospacing="0" w:afterAutospacing="0" w:line="40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cs="宋体"/>
          <w:color w:val="auto"/>
          <w:sz w:val="21"/>
          <w:szCs w:val="21"/>
          <w:highlight w:val="none"/>
          <w:lang w:eastAsia="zh-CN"/>
        </w:rPr>
        <w:t>云和县丰汇项目管理有限公司</w:t>
      </w:r>
    </w:p>
    <w:p w14:paraId="528B8DA1">
      <w:pPr>
        <w:keepNext w:val="0"/>
        <w:keepLines w:val="0"/>
        <w:pageBreakBefore w:val="0"/>
        <w:widowControl w:val="0"/>
        <w:numPr>
          <w:ilvl w:val="0"/>
          <w:numId w:val="0"/>
        </w:numPr>
        <w:kinsoku/>
        <w:overflowPunct/>
        <w:topLinePunct w:val="0"/>
        <w:autoSpaceDE/>
        <w:autoSpaceDN/>
        <w:bidi w:val="0"/>
        <w:adjustRightInd/>
        <w:spacing w:beforeAutospacing="0" w:afterAutospacing="0" w:line="400" w:lineRule="exac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陈女士</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w:t>
      </w:r>
      <w:r>
        <w:rPr>
          <w:rFonts w:hint="eastAsia" w:ascii="宋体" w:hAnsi="宋体" w:cs="宋体"/>
          <w:color w:val="auto"/>
          <w:sz w:val="21"/>
          <w:szCs w:val="21"/>
          <w:highlight w:val="none"/>
          <w:lang w:val="en-US" w:eastAsia="zh-CN"/>
        </w:rPr>
        <w:t>13567633356</w:t>
      </w:r>
      <w:r>
        <w:rPr>
          <w:rFonts w:hint="eastAsia" w:ascii="宋体" w:hAnsi="宋体" w:eastAsia="宋体" w:cs="宋体"/>
          <w:color w:val="auto"/>
          <w:sz w:val="21"/>
          <w:szCs w:val="21"/>
          <w:highlight w:val="none"/>
        </w:rPr>
        <w:t xml:space="preserve"> </w:t>
      </w:r>
    </w:p>
    <w:p w14:paraId="62064DF5">
      <w:pPr>
        <w:keepNext w:val="0"/>
        <w:keepLines w:val="0"/>
        <w:pageBreakBefore w:val="0"/>
        <w:widowControl w:val="0"/>
        <w:numPr>
          <w:ilvl w:val="0"/>
          <w:numId w:val="0"/>
        </w:numPr>
        <w:kinsoku/>
        <w:overflowPunct/>
        <w:topLinePunct w:val="0"/>
        <w:autoSpaceDE/>
        <w:autoSpaceDN/>
        <w:bidi w:val="0"/>
        <w:adjustRightInd/>
        <w:spacing w:beforeAutospacing="0" w:afterAutospacing="0" w:line="400" w:lineRule="exac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叶</w:t>
      </w:r>
      <w:r>
        <w:rPr>
          <w:rFonts w:hint="eastAsia" w:ascii="宋体" w:hAnsi="宋体" w:eastAsia="宋体" w:cs="宋体"/>
          <w:color w:val="auto"/>
          <w:sz w:val="21"/>
          <w:szCs w:val="21"/>
          <w:highlight w:val="none"/>
          <w:lang w:eastAsia="zh-CN"/>
        </w:rPr>
        <w:t>先生</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15600678100</w:t>
      </w:r>
      <w:r>
        <w:rPr>
          <w:rFonts w:hint="eastAsia" w:ascii="宋体" w:hAnsi="宋体" w:eastAsia="宋体" w:cs="宋体"/>
          <w:color w:val="auto"/>
          <w:sz w:val="21"/>
          <w:szCs w:val="21"/>
          <w:highlight w:val="none"/>
        </w:rPr>
        <w:t xml:space="preserve">  </w:t>
      </w:r>
    </w:p>
    <w:p w14:paraId="12B4CA4D">
      <w:pPr>
        <w:keepNext w:val="0"/>
        <w:keepLines w:val="0"/>
        <w:pageBreakBefore w:val="0"/>
        <w:widowControl w:val="0"/>
        <w:kinsoku/>
        <w:overflowPunct/>
        <w:topLinePunct w:val="0"/>
        <w:autoSpaceDE/>
        <w:autoSpaceDN/>
        <w:bidi w:val="0"/>
        <w:adjustRightInd/>
        <w:spacing w:beforeAutospacing="0" w:afterAutospacing="0" w:line="400" w:lineRule="exact"/>
        <w:ind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地址：云和县</w:t>
      </w:r>
      <w:r>
        <w:rPr>
          <w:rFonts w:hint="eastAsia" w:ascii="宋体" w:hAnsi="宋体" w:eastAsia="宋体" w:cs="宋体"/>
          <w:color w:val="auto"/>
          <w:sz w:val="21"/>
          <w:szCs w:val="21"/>
          <w:highlight w:val="none"/>
          <w:lang w:eastAsia="zh-CN"/>
        </w:rPr>
        <w:t>白龙山街道</w:t>
      </w:r>
      <w:r>
        <w:rPr>
          <w:rFonts w:hint="eastAsia" w:ascii="宋体" w:hAnsi="宋体" w:eastAsia="宋体" w:cs="宋体"/>
          <w:color w:val="auto"/>
          <w:sz w:val="21"/>
          <w:szCs w:val="21"/>
          <w:highlight w:val="none"/>
        </w:rPr>
        <w:t>新建南路</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 xml:space="preserve">号  </w:t>
      </w:r>
    </w:p>
    <w:p w14:paraId="19DB56D5">
      <w:pPr>
        <w:spacing w:line="360" w:lineRule="exact"/>
        <w:ind w:right="15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备案</w:t>
      </w:r>
      <w:r>
        <w:rPr>
          <w:rFonts w:hint="eastAsia" w:ascii="宋体" w:hAnsi="宋体" w:eastAsia="宋体" w:cs="宋体"/>
          <w:color w:val="auto"/>
          <w:kern w:val="0"/>
          <w:sz w:val="21"/>
          <w:szCs w:val="21"/>
          <w:highlight w:val="none"/>
          <w:lang w:eastAsia="zh-CN"/>
        </w:rPr>
        <w:t>部门名称：</w:t>
      </w:r>
      <w:r>
        <w:rPr>
          <w:rFonts w:hint="eastAsia" w:ascii="宋体" w:hAnsi="宋体" w:eastAsia="宋体" w:cs="宋体"/>
          <w:color w:val="auto"/>
          <w:kern w:val="0"/>
          <w:sz w:val="21"/>
          <w:szCs w:val="21"/>
          <w:highlight w:val="none"/>
          <w:lang w:val="en-US" w:eastAsia="zh-CN"/>
        </w:rPr>
        <w:t>云和县</w:t>
      </w:r>
      <w:r>
        <w:rPr>
          <w:rFonts w:hint="eastAsia" w:ascii="宋体" w:hAnsi="宋体" w:cs="宋体"/>
          <w:color w:val="auto"/>
          <w:kern w:val="0"/>
          <w:sz w:val="21"/>
          <w:szCs w:val="21"/>
          <w:highlight w:val="none"/>
          <w:lang w:val="en-US" w:eastAsia="zh-CN"/>
        </w:rPr>
        <w:t>农业农村局</w:t>
      </w:r>
    </w:p>
    <w:p w14:paraId="6623623C">
      <w:pPr>
        <w:spacing w:line="360" w:lineRule="exact"/>
        <w:ind w:left="150" w:right="150"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刘先生</w:t>
      </w:r>
      <w:r>
        <w:rPr>
          <w:rFonts w:hint="eastAsia" w:ascii="宋体" w:hAnsi="宋体" w:eastAsia="宋体" w:cs="宋体"/>
          <w:color w:val="auto"/>
          <w:kern w:val="0"/>
          <w:sz w:val="21"/>
          <w:szCs w:val="21"/>
          <w:highlight w:val="none"/>
        </w:rPr>
        <w:t>   电话：0578-55</w:t>
      </w:r>
      <w:r>
        <w:rPr>
          <w:rFonts w:hint="eastAsia" w:ascii="宋体" w:hAnsi="宋体" w:cs="宋体"/>
          <w:color w:val="auto"/>
          <w:kern w:val="0"/>
          <w:sz w:val="21"/>
          <w:szCs w:val="21"/>
          <w:highlight w:val="none"/>
          <w:lang w:val="en-US" w:eastAsia="zh-CN"/>
        </w:rPr>
        <w:t>22007</w:t>
      </w:r>
      <w:r>
        <w:rPr>
          <w:rFonts w:hint="eastAsia" w:ascii="宋体" w:hAnsi="宋体" w:eastAsia="宋体" w:cs="宋体"/>
          <w:color w:val="auto"/>
          <w:kern w:val="0"/>
          <w:sz w:val="21"/>
          <w:szCs w:val="21"/>
          <w:highlight w:val="none"/>
        </w:rPr>
        <w:t xml:space="preserve">  </w:t>
      </w:r>
    </w:p>
    <w:p w14:paraId="2971BA69">
      <w:pPr>
        <w:spacing w:line="360" w:lineRule="exact"/>
        <w:ind w:left="150" w:right="150" w:firstLine="630" w:firstLineChars="300"/>
        <w:jc w:val="left"/>
        <w:rPr>
          <w:rFonts w:hint="eastAsia" w:ascii="宋体" w:hAnsi="宋体" w:eastAsia="宋体" w:cs="宋体"/>
          <w:color w:val="auto"/>
          <w:kern w:val="0"/>
          <w:sz w:val="21"/>
          <w:szCs w:val="21"/>
          <w:highlight w:val="none"/>
        </w:rPr>
        <w:sectPr>
          <w:headerReference r:id="rId6" w:type="first"/>
          <w:footerReference r:id="rId7" w:type="first"/>
          <w:headerReference r:id="rId5" w:type="default"/>
          <w:pgSz w:w="11906" w:h="16838"/>
          <w:pgMar w:top="1185" w:right="1151" w:bottom="1157" w:left="1185" w:header="851" w:footer="992" w:gutter="0"/>
          <w:pgNumType w:fmt="decimal" w:start="1"/>
          <w:cols w:space="425" w:num="1"/>
          <w:titlePg/>
          <w:docGrid w:type="lines" w:linePitch="312" w:charSpace="0"/>
        </w:sect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eastAsia="zh-CN"/>
        </w:rPr>
        <w:t>云和县</w:t>
      </w:r>
      <w:r>
        <w:rPr>
          <w:rFonts w:hint="eastAsia" w:ascii="宋体" w:hAnsi="宋体" w:eastAsia="宋体" w:cs="宋体"/>
          <w:color w:val="auto"/>
          <w:kern w:val="0"/>
          <w:sz w:val="21"/>
          <w:szCs w:val="21"/>
          <w:highlight w:val="none"/>
        </w:rPr>
        <w:t>中山街350号农业农村局</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楼</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01</w:t>
      </w:r>
    </w:p>
    <w:p w14:paraId="2CE300A1">
      <w:pPr>
        <w:pStyle w:val="2"/>
        <w:keepNext/>
        <w:keepLines/>
        <w:pageBreakBefore w:val="0"/>
        <w:widowControl w:val="0"/>
        <w:tabs>
          <w:tab w:val="left" w:pos="1080"/>
        </w:tabs>
        <w:kinsoku/>
        <w:wordWrap/>
        <w:overflowPunct/>
        <w:topLinePunct w:val="0"/>
        <w:autoSpaceDE/>
        <w:autoSpaceDN/>
        <w:bidi w:val="0"/>
        <w:adjustRightInd/>
        <w:snapToGrid/>
        <w:spacing w:line="560" w:lineRule="exact"/>
        <w:ind w:firstLine="0" w:firstLineChars="0"/>
        <w:jc w:val="center"/>
        <w:textAlignment w:val="auto"/>
        <w:outlineLvl w:val="0"/>
        <w:rPr>
          <w:rStyle w:val="32"/>
          <w:rFonts w:hint="eastAsia" w:ascii="宋体" w:hAnsi="宋体" w:eastAsia="宋体" w:cs="宋体"/>
          <w:b/>
          <w:color w:val="auto"/>
          <w:sz w:val="24"/>
          <w:szCs w:val="24"/>
          <w:highlight w:val="none"/>
          <w:lang w:val="en-US" w:eastAsia="zh-CN"/>
        </w:rPr>
      </w:pPr>
      <w:bookmarkStart w:id="13" w:name="_Toc68203003"/>
      <w:bookmarkStart w:id="14" w:name="_Toc476"/>
      <w:r>
        <w:rPr>
          <w:rStyle w:val="32"/>
          <w:rFonts w:hint="eastAsia" w:ascii="宋体" w:hAnsi="宋体" w:eastAsia="宋体" w:cs="宋体"/>
          <w:b/>
          <w:color w:val="auto"/>
          <w:sz w:val="24"/>
          <w:szCs w:val="24"/>
          <w:highlight w:val="none"/>
          <w:lang w:val="en-US" w:eastAsia="zh-CN"/>
        </w:rPr>
        <w:t>第二章 采购需求</w:t>
      </w:r>
      <w:bookmarkEnd w:id="13"/>
      <w:bookmarkEnd w:id="14"/>
      <w:bookmarkStart w:id="15" w:name="_Toc31094"/>
      <w:bookmarkStart w:id="16" w:name="_Toc391969408"/>
    </w:p>
    <w:p w14:paraId="6D8FC396">
      <w:pPr>
        <w:tabs>
          <w:tab w:val="left" w:pos="540"/>
        </w:tabs>
        <w:autoSpaceDE w:val="0"/>
        <w:autoSpaceDN w:val="0"/>
        <w:adjustRightInd w:val="0"/>
        <w:spacing w:line="360" w:lineRule="auto"/>
        <w:outlineLvl w:val="1"/>
        <w:rPr>
          <w:rFonts w:ascii="宋体" w:hAnsi="宋体" w:cs="宋体"/>
          <w:b/>
          <w:bCs/>
          <w:szCs w:val="21"/>
          <w:highlight w:val="none"/>
        </w:rPr>
      </w:pPr>
      <w:r>
        <w:rPr>
          <w:rFonts w:hint="eastAsia" w:ascii="宋体" w:hAnsi="宋体" w:cs="宋体"/>
          <w:b/>
          <w:bCs/>
          <w:szCs w:val="21"/>
          <w:highlight w:val="none"/>
        </w:rPr>
        <w:t xml:space="preserve"> 一、项目介绍</w:t>
      </w:r>
    </w:p>
    <w:p w14:paraId="23748162">
      <w:pPr>
        <w:tabs>
          <w:tab w:val="left" w:pos="540"/>
        </w:tabs>
        <w:autoSpaceDE w:val="0"/>
        <w:autoSpaceDN w:val="0"/>
        <w:adjustRightInd w:val="0"/>
        <w:spacing w:line="360" w:lineRule="auto"/>
        <w:ind w:firstLine="420" w:firstLineChars="200"/>
        <w:rPr>
          <w:rFonts w:ascii="宋体" w:hAnsi="宋体" w:cs="宋体"/>
          <w:szCs w:val="21"/>
          <w:highlight w:val="none"/>
        </w:rPr>
      </w:pPr>
      <w:bookmarkStart w:id="17" w:name="_Toc10348"/>
      <w:r>
        <w:rPr>
          <w:rFonts w:hint="eastAsia" w:ascii="宋体" w:hAnsi="宋体" w:cs="宋体"/>
          <w:szCs w:val="21"/>
          <w:highlight w:val="none"/>
        </w:rPr>
        <w:t>我县病死动物集中无害化处理将坚持“无害化、生态化、安全化”的宗旨，实行“政府监管、市场运作、财政补助、保险联动、统一收集、集中处理”的运行机制。政府无偿提供无害化处理场所，位于云和县洽溪村垃圾中转站内的场所，占地1.5亩左右,并做好三通一平（水通、电通、道路通和场地平整并水泥硬化）、大型冰库、办公用房、钢结构厂房、围墙等基础工作（图纸及清单详见附件），总投资</w:t>
      </w:r>
      <w:r>
        <w:rPr>
          <w:rFonts w:hint="eastAsia" w:ascii="宋体" w:hAnsi="宋体" w:cs="宋体"/>
          <w:szCs w:val="21"/>
          <w:highlight w:val="none"/>
          <w:lang w:eastAsia="zh-CN"/>
        </w:rPr>
        <w:t>约</w:t>
      </w:r>
      <w:r>
        <w:rPr>
          <w:rFonts w:hint="eastAsia" w:ascii="宋体" w:hAnsi="宋体" w:cs="宋体"/>
          <w:szCs w:val="21"/>
          <w:highlight w:val="none"/>
        </w:rPr>
        <w:t>230万元。</w:t>
      </w:r>
    </w:p>
    <w:bookmarkEnd w:id="17"/>
    <w:p w14:paraId="4C2B618B">
      <w:pPr>
        <w:tabs>
          <w:tab w:val="left" w:pos="540"/>
        </w:tabs>
        <w:autoSpaceDE w:val="0"/>
        <w:autoSpaceDN w:val="0"/>
        <w:adjustRightInd w:val="0"/>
        <w:spacing w:line="360" w:lineRule="auto"/>
        <w:outlineLvl w:val="1"/>
        <w:rPr>
          <w:rFonts w:ascii="宋体" w:hAnsi="宋体" w:cs="宋体"/>
          <w:b/>
          <w:bCs/>
          <w:szCs w:val="21"/>
          <w:highlight w:val="none"/>
        </w:rPr>
      </w:pPr>
      <w:r>
        <w:rPr>
          <w:rFonts w:hint="eastAsia" w:ascii="宋体" w:hAnsi="宋体" w:cs="宋体"/>
          <w:b/>
          <w:bCs/>
          <w:szCs w:val="21"/>
          <w:highlight w:val="none"/>
        </w:rPr>
        <w:t>二、采购内容</w:t>
      </w:r>
    </w:p>
    <w:p w14:paraId="404E450D">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本次采购为云和县病死动物无害化处理厂的经营权委托</w:t>
      </w:r>
    </w:p>
    <w:p w14:paraId="074E5870">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由中标人承接病死动物无害化处理服务。</w:t>
      </w:r>
    </w:p>
    <w:p w14:paraId="39B7AE3D">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w:t>
      </w:r>
      <w:r>
        <w:rPr>
          <w:rFonts w:hint="eastAsia" w:ascii="宋体" w:hAnsi="宋体" w:cs="宋体"/>
          <w:szCs w:val="21"/>
          <w:highlight w:val="none"/>
        </w:rPr>
        <w:t>服务区域为：云和县行政区域范围。</w:t>
      </w:r>
    </w:p>
    <w:p w14:paraId="2A2553BA">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w:t>
      </w:r>
      <w:r>
        <w:rPr>
          <w:rFonts w:hint="eastAsia" w:ascii="宋体" w:hAnsi="宋体" w:cs="宋体"/>
          <w:szCs w:val="21"/>
          <w:highlight w:val="none"/>
        </w:rPr>
        <w:t>服务对象：从事动物饲养、屠宰、经营、隔离、运输以及动物产品生产、经营、加工、贮藏等活动的单位和个人。</w:t>
      </w:r>
    </w:p>
    <w:p w14:paraId="52C38D06">
      <w:pPr>
        <w:tabs>
          <w:tab w:val="left" w:pos="540"/>
        </w:tabs>
        <w:autoSpaceDE w:val="0"/>
        <w:autoSpaceDN w:val="0"/>
        <w:adjustRightInd w:val="0"/>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w:t>
      </w:r>
      <w:r>
        <w:rPr>
          <w:rFonts w:hint="eastAsia" w:ascii="宋体" w:hAnsi="宋体" w:cs="宋体"/>
          <w:szCs w:val="21"/>
          <w:highlight w:val="none"/>
        </w:rPr>
        <w:t>服务内容：对云和县需要无害化处理的病死动物及产品的商家或农户收集、运输、 集中无害化处理，并实现生猪保险联动。</w:t>
      </w:r>
    </w:p>
    <w:p w14:paraId="39573991">
      <w:pPr>
        <w:tabs>
          <w:tab w:val="left" w:pos="540"/>
        </w:tabs>
        <w:autoSpaceDE w:val="0"/>
        <w:autoSpaceDN w:val="0"/>
        <w:adjustRightInd w:val="0"/>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val="en-US" w:eastAsia="zh-CN"/>
        </w:rPr>
        <w:t>.</w:t>
      </w:r>
      <w:r>
        <w:rPr>
          <w:rFonts w:hint="eastAsia" w:ascii="宋体" w:hAnsi="宋体" w:cs="宋体"/>
          <w:szCs w:val="21"/>
          <w:highlight w:val="none"/>
        </w:rPr>
        <w:t>云和县辖区，采购人指定的地点建设病死动物集中无害化处理厂，并经环保等部门验收合格，处理能力符合采购需求要求。</w:t>
      </w:r>
    </w:p>
    <w:p w14:paraId="5DEDD4E4">
      <w:pPr>
        <w:tabs>
          <w:tab w:val="left" w:pos="540"/>
        </w:tabs>
        <w:autoSpaceDE w:val="0"/>
        <w:autoSpaceDN w:val="0"/>
        <w:adjustRightInd w:val="0"/>
        <w:spacing w:line="360" w:lineRule="auto"/>
        <w:outlineLvl w:val="1"/>
        <w:rPr>
          <w:rFonts w:ascii="宋体" w:hAnsi="宋体" w:cs="宋体"/>
          <w:b/>
          <w:bCs/>
          <w:szCs w:val="21"/>
          <w:highlight w:val="none"/>
        </w:rPr>
      </w:pPr>
      <w:r>
        <w:rPr>
          <w:rFonts w:hint="eastAsia" w:ascii="宋体" w:hAnsi="宋体" w:cs="宋体"/>
          <w:b/>
          <w:bCs/>
          <w:szCs w:val="21"/>
          <w:highlight w:val="none"/>
        </w:rPr>
        <w:t>三、服务要求</w:t>
      </w:r>
    </w:p>
    <w:p w14:paraId="1052C8C2">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协助收集养殖场医疗废弃物，收集后存放至病死动物无害化处理厂指定地点，并与医疗废弃物收集处置企业做好交接。</w:t>
      </w:r>
    </w:p>
    <w:p w14:paraId="0F6E0429">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中标人需安排1名专职人员，协助县畜牧渔业中心负责做好病死动物无害化处理的数据收集、汇总、上报和实验室相关数据分析等工作（专职人员办公场所由县畜牧渔业服务中心提供，工资由中标人支付，且不低于云和县劳务派遣职工工资</w:t>
      </w:r>
      <w:r>
        <w:rPr>
          <w:rFonts w:hint="eastAsia" w:ascii="宋体" w:hAnsi="宋体" w:cs="宋体"/>
          <w:szCs w:val="21"/>
          <w:highlight w:val="none"/>
          <w:lang w:eastAsia="zh-CN"/>
        </w:rPr>
        <w:t>）</w:t>
      </w:r>
      <w:r>
        <w:rPr>
          <w:rFonts w:hint="eastAsia" w:ascii="宋体" w:hAnsi="宋体" w:cs="宋体"/>
          <w:szCs w:val="21"/>
          <w:highlight w:val="none"/>
        </w:rPr>
        <w:t>。</w:t>
      </w:r>
    </w:p>
    <w:p w14:paraId="0F4144AB">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w:t>
      </w:r>
      <w:r>
        <w:rPr>
          <w:rFonts w:hint="eastAsia" w:ascii="宋体" w:hAnsi="宋体" w:cs="宋体"/>
          <w:szCs w:val="21"/>
          <w:highlight w:val="none"/>
        </w:rPr>
        <w:t>中标人采用焚烧或碳化工艺的无害化处理系统，包括焚烧或碳化设备、冷藏封闭运输车、工具车、环保、洗消烘干、病原检测、信息化管理及 配套办公设施、负压系统等设施设备。相应的设施设备、管理、人员等达到《动物防疫条件审查办法》的要求。</w:t>
      </w:r>
    </w:p>
    <w:p w14:paraId="60E07C6A">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w:t>
      </w:r>
      <w:r>
        <w:rPr>
          <w:rFonts w:hint="eastAsia" w:ascii="宋体" w:hAnsi="宋体" w:cs="宋体"/>
          <w:szCs w:val="21"/>
          <w:highlight w:val="none"/>
        </w:rPr>
        <w:t>合同期满后，</w:t>
      </w:r>
      <w:bookmarkStart w:id="18" w:name="OLE_LINK2"/>
      <w:r>
        <w:rPr>
          <w:rFonts w:hint="eastAsia" w:ascii="宋体" w:hAnsi="宋体" w:cs="宋体"/>
          <w:szCs w:val="21"/>
          <w:highlight w:val="none"/>
        </w:rPr>
        <w:t>中标人</w:t>
      </w:r>
      <w:bookmarkEnd w:id="18"/>
      <w:r>
        <w:rPr>
          <w:rFonts w:hint="eastAsia" w:ascii="宋体" w:hAnsi="宋体" w:cs="宋体"/>
          <w:szCs w:val="21"/>
          <w:highlight w:val="none"/>
        </w:rPr>
        <w:t>投资</w:t>
      </w:r>
      <w:r>
        <w:rPr>
          <w:rFonts w:hint="eastAsia" w:ascii="宋体" w:hAnsi="宋体" w:cs="宋体"/>
          <w:szCs w:val="21"/>
          <w:highlight w:val="none"/>
          <w:lang w:eastAsia="zh-CN"/>
        </w:rPr>
        <w:t>的</w:t>
      </w:r>
      <w:r>
        <w:rPr>
          <w:rFonts w:hint="eastAsia" w:ascii="宋体" w:hAnsi="宋体" w:cs="宋体"/>
          <w:szCs w:val="21"/>
          <w:highlight w:val="none"/>
        </w:rPr>
        <w:t>可移动设备归中标人所有</w:t>
      </w:r>
      <w:r>
        <w:rPr>
          <w:rFonts w:hint="eastAsia" w:ascii="宋体" w:hAnsi="宋体" w:cs="宋体"/>
          <w:szCs w:val="21"/>
          <w:highlight w:val="none"/>
          <w:lang w:eastAsia="zh-CN"/>
        </w:rPr>
        <w:t>，</w:t>
      </w:r>
      <w:r>
        <w:rPr>
          <w:rFonts w:hint="eastAsia" w:ascii="宋体" w:hAnsi="宋体" w:cs="宋体"/>
          <w:szCs w:val="21"/>
          <w:highlight w:val="none"/>
        </w:rPr>
        <w:t>其它归采购人。</w:t>
      </w:r>
    </w:p>
    <w:p w14:paraId="753EAAF6">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w:t>
      </w:r>
      <w:r>
        <w:rPr>
          <w:rFonts w:hint="eastAsia" w:ascii="宋体" w:hAnsi="宋体" w:cs="宋体"/>
          <w:szCs w:val="21"/>
          <w:highlight w:val="none"/>
        </w:rPr>
        <w:t>合同签订后，采购人拥有主体权，中标人拥有经营权。</w:t>
      </w:r>
    </w:p>
    <w:p w14:paraId="77524AB8">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val="en-US" w:eastAsia="zh-CN"/>
        </w:rPr>
        <w:t>.</w:t>
      </w:r>
      <w:r>
        <w:rPr>
          <w:rFonts w:hint="eastAsia" w:ascii="宋体" w:hAnsi="宋体" w:cs="宋体"/>
          <w:szCs w:val="21"/>
          <w:highlight w:val="none"/>
        </w:rPr>
        <w:t>中标人病死动物无害化日处理能力需达到</w:t>
      </w:r>
      <w:r>
        <w:rPr>
          <w:rFonts w:ascii="宋体" w:hAnsi="宋体" w:cs="宋体"/>
          <w:szCs w:val="21"/>
          <w:highlight w:val="none"/>
        </w:rPr>
        <w:t>12</w:t>
      </w:r>
      <w:r>
        <w:rPr>
          <w:rFonts w:hint="eastAsia" w:ascii="宋体" w:hAnsi="宋体" w:cs="宋体"/>
          <w:szCs w:val="21"/>
          <w:highlight w:val="none"/>
        </w:rPr>
        <w:t>吨以上，且需根据云和县畜牧业养殖规模的扩大及时提升处理能力。</w:t>
      </w:r>
    </w:p>
    <w:p w14:paraId="3EE52FF9">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w:t>
      </w:r>
      <w:r>
        <w:rPr>
          <w:rFonts w:hint="eastAsia" w:ascii="宋体" w:hAnsi="宋体" w:cs="宋体"/>
          <w:szCs w:val="21"/>
          <w:highlight w:val="none"/>
        </w:rPr>
        <w:t>中标人负责收集云和县范围内病死动物，必须安排专门的人员接收病死动 物及其产品，并做好登记、过磅、清点和无害化处理；自接到收集要求后24小时内完成收集工作。收集车辆配备视频监控系统、 GPS并接入相关监管平台，收集车辆仅限云和县内使用，除维修等特殊情况外不得驶离云和县。收集完成后应立即对车辆采取洗-消-烘(60—65℃烘干60分钟或70℃烘干30分钟) 的方式经彻底清洗消毒。应根据监管部门要求建立详细台账并随时接受检查。收集车辆、人员均由中标人自行负责。如需应急处置，在收到相关职能部门的通 知后，应于3小时内抵达指定地点开展收集工作。</w:t>
      </w:r>
    </w:p>
    <w:p w14:paraId="147D8311">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val="en-US" w:eastAsia="zh-CN"/>
        </w:rPr>
        <w:t>.</w:t>
      </w:r>
      <w:r>
        <w:rPr>
          <w:rFonts w:hint="eastAsia" w:ascii="宋体" w:hAnsi="宋体" w:cs="宋体"/>
          <w:szCs w:val="21"/>
          <w:highlight w:val="none"/>
        </w:rPr>
        <w:t>中标人使用焚烧或碳化工艺，要求对病死动物及动物产品按照国家相关法定要求进行处理，整个操作区安装负压系统，污水和尾气排放需符合国家相关标准，处理后的产物和污水尽量实现资源化利用，不能对环境造成污染。</w:t>
      </w:r>
    </w:p>
    <w:p w14:paraId="47AB42E7">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中标人对工作人员开展动物卫生防疫技能培训，并提供卫生防护用具，所有运输、装卸、处理操作须符合动物防疫要求，保证工作人员人身健康。</w:t>
      </w:r>
    </w:p>
    <w:p w14:paraId="7E60E796">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病死动物无害化处理场暂存病死动物及其产品原则上需当月处理且录入数字化监管平台。如遇月底设备损坏、停电、月底收集量激增等突发状况无法 完成处理的中标人应立即书面报告。</w:t>
      </w:r>
    </w:p>
    <w:p w14:paraId="7EE4F4D8">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中标人应在处理场派驻专职管理人员，且具备一定的管理能力。确保收集交接凭证、月报表、浙江省畜禽无害化处理模块等数据一致性，并根据监管部门要求定期报送数据。如出现数据不一致的，根据不同数据中最低量结算。</w:t>
      </w:r>
    </w:p>
    <w:p w14:paraId="52E34AF4">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因生产需求对厂区进行适当改造的，场区布局需符合动物防疫、环保、安全生产等要求，及时取得环保、农业农村等相关部门的相关备案或许可文书(若有)。场所应合理布局，方便开展病死动物无害化处理、车辆消杀烘干熏蒸、过磅等需求。厂区关键环节和位置应实现监控全覆盖，且实时接入监管平台。</w:t>
      </w:r>
    </w:p>
    <w:p w14:paraId="5DD667FD">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遇突发事件或上级检查时，中标人必须配合有关部门执行任务，并指定专职人员协助工作，直至完成。</w:t>
      </w:r>
    </w:p>
    <w:p w14:paraId="7C147D4B">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接受云和县农业农村局业务主管部门的无害化处理服务考核。</w:t>
      </w:r>
    </w:p>
    <w:p w14:paraId="17287F10">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中标人逾期完成无害化处理任务无害化处理不符合要求的，采购人可向中标人追究相关经济损失及法律责任。</w:t>
      </w:r>
    </w:p>
    <w:p w14:paraId="6FCF03D1">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中标人派驻本项目负责人及主要管理人员应具有类似工作经历。</w:t>
      </w:r>
    </w:p>
    <w:p w14:paraId="1CEA1E27">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cs="宋体"/>
          <w:szCs w:val="21"/>
          <w:highlight w:val="none"/>
        </w:rPr>
        <w:t>为确保承包的服务工作正常开展，中标人必须配备足够的服务人员，且聘用的服务人员必须符合劳动部门有关用工规定，上岗前必须进行</w:t>
      </w:r>
      <w:r>
        <w:rPr>
          <w:rFonts w:hint="eastAsia" w:ascii="宋体" w:hAnsi="宋体" w:cs="宋体"/>
          <w:szCs w:val="21"/>
          <w:highlight w:val="none"/>
          <w:lang w:val="en-US" w:eastAsia="zh-CN"/>
        </w:rPr>
        <w:t>岗前</w:t>
      </w:r>
      <w:r>
        <w:rPr>
          <w:rFonts w:hint="eastAsia" w:ascii="宋体" w:hAnsi="宋体" w:cs="宋体"/>
          <w:szCs w:val="21"/>
          <w:highlight w:val="none"/>
        </w:rPr>
        <w:t>培训，甲方</w:t>
      </w:r>
      <w:r>
        <w:rPr>
          <w:rFonts w:hint="eastAsia" w:ascii="宋体" w:hAnsi="宋体" w:cs="宋体"/>
          <w:szCs w:val="21"/>
          <w:highlight w:val="none"/>
          <w:lang w:eastAsia="zh-CN"/>
        </w:rPr>
        <w:t>及主管部门</w:t>
      </w:r>
      <w:r>
        <w:rPr>
          <w:rFonts w:hint="eastAsia" w:ascii="宋体" w:hAnsi="宋体" w:cs="宋体"/>
          <w:szCs w:val="21"/>
          <w:highlight w:val="none"/>
        </w:rPr>
        <w:t>有权进行审核。</w:t>
      </w:r>
    </w:p>
    <w:p w14:paraId="2BE576EC">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中标人必须出具或办妥法律手续及甲方规定的与病死动物运输、处理经营业务有关的执照和许可证，方可从事经营并在经营中遵守一切有关条例和规定</w:t>
      </w:r>
      <w:r>
        <w:rPr>
          <w:rFonts w:hint="eastAsia" w:ascii="宋体" w:hAnsi="宋体" w:cs="宋体"/>
          <w:szCs w:val="21"/>
          <w:highlight w:val="none"/>
          <w:lang w:eastAsia="zh-CN"/>
        </w:rPr>
        <w:t>。</w:t>
      </w:r>
      <w:r>
        <w:rPr>
          <w:rFonts w:hint="eastAsia" w:ascii="宋体" w:hAnsi="宋体" w:cs="宋体"/>
          <w:szCs w:val="21"/>
          <w:highlight w:val="none"/>
        </w:rPr>
        <w:t>自行缴纳各项税费。</w:t>
      </w:r>
    </w:p>
    <w:p w14:paraId="0A870EF2">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19.</w:t>
      </w:r>
      <w:r>
        <w:rPr>
          <w:rFonts w:hint="eastAsia" w:ascii="宋体" w:hAnsi="宋体" w:cs="宋体"/>
          <w:szCs w:val="21"/>
          <w:highlight w:val="none"/>
        </w:rPr>
        <w:t>中标人不得在处理厂区域内从事非法活动，也不得从事有损甲方利益的活动。</w:t>
      </w:r>
    </w:p>
    <w:p w14:paraId="2E7555B9">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0.</w:t>
      </w:r>
      <w:r>
        <w:rPr>
          <w:rFonts w:hint="eastAsia" w:ascii="宋体" w:hAnsi="宋体" w:cs="宋体"/>
          <w:szCs w:val="21"/>
          <w:highlight w:val="none"/>
        </w:rPr>
        <w:t>在合同履行期间，中标人不得将经营权转让、出租。</w:t>
      </w:r>
    </w:p>
    <w:p w14:paraId="0ECEE2F6">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中标人需自行购置PCR、离心机等检测设备，设置仅限本处理场使用的自检实验室并定期开展检测工作。</w:t>
      </w:r>
    </w:p>
    <w:p w14:paraId="271F69AB">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2.</w:t>
      </w:r>
      <w:r>
        <w:rPr>
          <w:rFonts w:hint="eastAsia" w:ascii="宋体" w:hAnsi="宋体" w:cs="宋体"/>
          <w:szCs w:val="21"/>
          <w:highlight w:val="none"/>
        </w:rPr>
        <w:t>病死动物及其产品的运输：运输车辆应使用密封车辆装载，不得转运它处、移作它用，未经县人民政府同意不得运出云和县。规模养殖场必须单场收集。</w:t>
      </w:r>
    </w:p>
    <w:p w14:paraId="57C59BCF">
      <w:pPr>
        <w:tabs>
          <w:tab w:val="left" w:pos="540"/>
        </w:tabs>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3.</w:t>
      </w:r>
      <w:r>
        <w:rPr>
          <w:rFonts w:hint="eastAsia" w:ascii="宋体" w:hAnsi="宋体" w:cs="宋体"/>
          <w:szCs w:val="21"/>
          <w:highlight w:val="none"/>
        </w:rPr>
        <w:t>合同履行期间，资产的防护由中标人负责。</w:t>
      </w:r>
    </w:p>
    <w:p w14:paraId="6BFDBB7E">
      <w:pPr>
        <w:tabs>
          <w:tab w:val="left" w:pos="540"/>
        </w:tabs>
        <w:autoSpaceDE w:val="0"/>
        <w:autoSpaceDN w:val="0"/>
        <w:adjustRightInd w:val="0"/>
        <w:spacing w:line="360" w:lineRule="auto"/>
        <w:outlineLvl w:val="1"/>
        <w:rPr>
          <w:rFonts w:ascii="宋体" w:hAnsi="宋体" w:cs="宋体"/>
          <w:szCs w:val="21"/>
          <w:highlight w:val="none"/>
        </w:rPr>
      </w:pPr>
      <w:r>
        <w:rPr>
          <w:rFonts w:hint="eastAsia" w:ascii="宋体" w:hAnsi="宋体" w:cs="宋体"/>
          <w:szCs w:val="21"/>
          <w:highlight w:val="none"/>
        </w:rPr>
        <w:t xml:space="preserve">    2</w:t>
      </w:r>
      <w:r>
        <w:rPr>
          <w:rFonts w:hint="eastAsia" w:ascii="宋体" w:hAnsi="宋体" w:cs="宋体"/>
          <w:szCs w:val="21"/>
          <w:highlight w:val="none"/>
          <w:lang w:val="en-US" w:eastAsia="zh-CN"/>
        </w:rPr>
        <w:t>4.</w:t>
      </w:r>
      <w:r>
        <w:rPr>
          <w:rFonts w:hint="eastAsia" w:ascii="宋体" w:hAnsi="宋体" w:cs="宋体"/>
          <w:szCs w:val="21"/>
          <w:highlight w:val="none"/>
        </w:rPr>
        <w:t>中标人在合作期限中途退出或存在违约或年度考核不满足要求经整改后仍达不到采购人要求等原因双方需解除合同的，为确保项目正常运行中标人所投资的设备未经采购人同意不得撤回。</w:t>
      </w:r>
    </w:p>
    <w:p w14:paraId="2654DC80">
      <w:pPr>
        <w:tabs>
          <w:tab w:val="left" w:pos="540"/>
        </w:tabs>
        <w:autoSpaceDE w:val="0"/>
        <w:autoSpaceDN w:val="0"/>
        <w:adjustRightInd w:val="0"/>
        <w:spacing w:line="360" w:lineRule="auto"/>
        <w:outlineLvl w:val="1"/>
        <w:rPr>
          <w:rFonts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四</w:t>
      </w:r>
      <w:r>
        <w:rPr>
          <w:rFonts w:hint="eastAsia" w:ascii="宋体" w:hAnsi="宋体" w:cs="宋体"/>
          <w:b/>
          <w:bCs/>
          <w:szCs w:val="21"/>
          <w:highlight w:val="none"/>
          <w:lang w:eastAsia="zh-CN"/>
        </w:rPr>
        <w:t>、</w:t>
      </w:r>
      <w:r>
        <w:rPr>
          <w:rFonts w:hint="eastAsia" w:ascii="宋体" w:hAnsi="宋体" w:cs="宋体"/>
          <w:b/>
          <w:bCs/>
          <w:szCs w:val="21"/>
          <w:highlight w:val="none"/>
        </w:rPr>
        <w:t>商务要求</w:t>
      </w:r>
    </w:p>
    <w:p w14:paraId="1F8BD21C">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租赁时间：10年，服务期自双方合同签署之日起算</w:t>
      </w:r>
      <w:r>
        <w:rPr>
          <w:rFonts w:hint="eastAsia" w:ascii="宋体" w:hAnsi="宋体" w:cs="宋体"/>
          <w:szCs w:val="21"/>
          <w:highlight w:val="none"/>
          <w:lang w:eastAsia="zh-CN"/>
        </w:rPr>
        <w:t>。</w:t>
      </w:r>
    </w:p>
    <w:p w14:paraId="0CFCFB3E">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处置费：中标人收集、运输、处置费用按单价计算，即病死生猪80元/头计算，病死猪处理数量按实结算，其他畜禽及其产品（其中1头牛折合成5头猪，1头羊折合成0.5头猪，20只家禽折合成1头猪，猪肉产品及其它畜禽按90公斤折合1头猪）。每年保底处置病死猪6000头（含折合的牛、羊、家禽头数，不到6000头按6000头计算），超出6000头的数量按实结算。</w:t>
      </w:r>
    </w:p>
    <w:p w14:paraId="5401B8B4">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w:t>
      </w:r>
      <w:r>
        <w:rPr>
          <w:rFonts w:hint="eastAsia" w:ascii="宋体" w:hAnsi="宋体" w:cs="宋体"/>
          <w:szCs w:val="21"/>
          <w:highlight w:val="none"/>
        </w:rPr>
        <w:t>价款每年结算支付一次，最终结算金额按实际处理数量乘以处理单价进行计算。中标人每一次申请付款前，应向甲方提供等额正式发票，作为甲方付款的前提条件。</w:t>
      </w:r>
    </w:p>
    <w:p w14:paraId="632C738A">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w:t>
      </w:r>
      <w:r>
        <w:rPr>
          <w:rFonts w:hint="eastAsia" w:ascii="宋体" w:hAnsi="宋体" w:cs="宋体"/>
          <w:szCs w:val="21"/>
          <w:highlight w:val="none"/>
        </w:rPr>
        <w:t>所有价款已包含：焚化或碳化相关设备、税费、运输、安装调试费、保险费、处置费、服务费、装卸费、仓储费、验收、企业运营可能产生的人工劳务等所有费用。</w:t>
      </w:r>
    </w:p>
    <w:p w14:paraId="30A57CC1">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w:t>
      </w:r>
      <w:r>
        <w:rPr>
          <w:rFonts w:hint="eastAsia" w:ascii="宋体" w:hAnsi="宋体" w:cs="宋体"/>
          <w:szCs w:val="21"/>
          <w:highlight w:val="none"/>
        </w:rPr>
        <w:t>场地年租金：年租金按采购人投资额230万元</w:t>
      </w:r>
      <w:r>
        <w:rPr>
          <w:rFonts w:hint="eastAsia" w:ascii="宋体" w:hAnsi="宋体" w:cs="宋体"/>
          <w:szCs w:val="21"/>
          <w:highlight w:val="none"/>
          <w:lang w:eastAsia="zh-CN"/>
        </w:rPr>
        <w:t>（</w:t>
      </w:r>
      <w:r>
        <w:rPr>
          <w:rFonts w:hint="eastAsia" w:ascii="宋体" w:hAnsi="宋体" w:cs="宋体"/>
          <w:szCs w:val="21"/>
          <w:highlight w:val="none"/>
          <w:lang w:val="en-US" w:eastAsia="zh-CN"/>
        </w:rPr>
        <w:t>暂估</w:t>
      </w:r>
      <w:r>
        <w:rPr>
          <w:rFonts w:hint="eastAsia" w:ascii="宋体" w:hAnsi="宋体" w:cs="宋体"/>
          <w:szCs w:val="21"/>
          <w:highlight w:val="none"/>
          <w:lang w:eastAsia="zh-CN"/>
        </w:rPr>
        <w:t>）</w:t>
      </w:r>
      <w:r>
        <w:rPr>
          <w:rFonts w:hint="eastAsia" w:ascii="宋体" w:hAnsi="宋体" w:cs="宋体"/>
          <w:szCs w:val="21"/>
          <w:highlight w:val="none"/>
        </w:rPr>
        <w:t>的7-10%收取，合同签订后7个工作日内支付第一年场地租金，之后在满一周年前一个月支付下一年场地租金。</w:t>
      </w:r>
    </w:p>
    <w:p w14:paraId="418D3771">
      <w:pPr>
        <w:spacing w:line="360" w:lineRule="auto"/>
        <w:ind w:firstLine="420" w:firstLineChars="200"/>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val="en-US" w:eastAsia="zh-CN"/>
        </w:rPr>
        <w:t>.</w:t>
      </w:r>
      <w:r>
        <w:rPr>
          <w:rFonts w:hint="eastAsia" w:ascii="宋体" w:hAnsi="宋体" w:cs="宋体"/>
          <w:szCs w:val="21"/>
          <w:highlight w:val="none"/>
        </w:rPr>
        <w:t>中标人在</w:t>
      </w:r>
      <w:r>
        <w:rPr>
          <w:rFonts w:hint="eastAsia" w:ascii="宋体" w:hAnsi="宋体" w:cs="宋体"/>
          <w:szCs w:val="21"/>
          <w:highlight w:val="none"/>
          <w:lang w:val="en-US" w:eastAsia="zh-CN"/>
        </w:rPr>
        <w:t>采购人</w:t>
      </w:r>
      <w:r>
        <w:rPr>
          <w:rFonts w:hint="eastAsia" w:ascii="宋体" w:hAnsi="宋体" w:cs="宋体"/>
          <w:szCs w:val="21"/>
          <w:highlight w:val="none"/>
        </w:rPr>
        <w:t>基础建设完工后30日历天内全面完成设备安装调试及通过验收，并在正式开始运营后在环保部门规定的时间内通过环保验收，取得环保、农业农村等相关部门的相关备案或许可文书（若有），对云和县范围内需无害化处理的病死动物和动物产品全部实行统一收集、集中处理和生猪保险联动。未经云和县政府同意，不得收集和处理云和县范围外的病死动物和动物产品。在</w:t>
      </w:r>
      <w:r>
        <w:rPr>
          <w:rFonts w:hint="eastAsia" w:ascii="宋体" w:hAnsi="宋体" w:cs="宋体"/>
          <w:szCs w:val="21"/>
          <w:highlight w:val="none"/>
          <w:lang w:val="en-US" w:eastAsia="zh-CN"/>
        </w:rPr>
        <w:t>规定时间</w:t>
      </w:r>
      <w:r>
        <w:rPr>
          <w:rFonts w:hint="eastAsia" w:ascii="宋体" w:hAnsi="宋体" w:cs="宋体"/>
          <w:szCs w:val="21"/>
          <w:highlight w:val="none"/>
        </w:rPr>
        <w:t>内没有完成设备安装调试并通过验收，取消供应商中标资格。</w:t>
      </w:r>
    </w:p>
    <w:p w14:paraId="7200FCD9">
      <w:pPr>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w:t>
      </w:r>
      <w:r>
        <w:rPr>
          <w:rFonts w:hint="eastAsia" w:ascii="宋体" w:hAnsi="宋体" w:cs="宋体"/>
          <w:szCs w:val="21"/>
          <w:highlight w:val="none"/>
        </w:rPr>
        <w:t>签订合同一年内取得环评报告。</w:t>
      </w:r>
    </w:p>
    <w:p w14:paraId="2D7E1154">
      <w:pPr>
        <w:spacing w:line="360"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val="en-US" w:eastAsia="zh-CN"/>
        </w:rPr>
        <w:t>.</w:t>
      </w:r>
      <w:r>
        <w:rPr>
          <w:rFonts w:hint="eastAsia" w:ascii="宋体" w:hAnsi="宋体" w:cs="宋体"/>
          <w:szCs w:val="21"/>
          <w:highlight w:val="none"/>
        </w:rPr>
        <w:t>保障整套无害化处理设施设备正常使用，配备无害化处理设施设备专业操作人员，配备相应的管理和技术人员，建立管理制度和技术服务体系，形成工作流程及操作规范，要求工作制度上墙。</w:t>
      </w:r>
    </w:p>
    <w:p w14:paraId="432925AD">
      <w:pPr>
        <w:spacing w:line="360" w:lineRule="auto"/>
        <w:ind w:firstLine="420" w:firstLineChars="200"/>
        <w:rPr>
          <w:rFonts w:ascii="宋体" w:hAnsi="宋体" w:cs="宋体"/>
          <w:szCs w:val="21"/>
          <w:highlight w:val="none"/>
        </w:rPr>
      </w:pPr>
      <w:r>
        <w:rPr>
          <w:rFonts w:hint="eastAsia" w:ascii="宋体" w:hAnsi="宋体" w:cs="宋体"/>
          <w:szCs w:val="21"/>
          <w:highlight w:val="none"/>
        </w:rPr>
        <w:t>9</w:t>
      </w:r>
      <w:r>
        <w:rPr>
          <w:rFonts w:hint="eastAsia" w:ascii="宋体" w:hAnsi="宋体" w:cs="宋体"/>
          <w:szCs w:val="21"/>
          <w:highlight w:val="none"/>
          <w:lang w:val="en-US" w:eastAsia="zh-CN"/>
        </w:rPr>
        <w:t>.</w:t>
      </w:r>
      <w:r>
        <w:rPr>
          <w:rFonts w:hint="eastAsia" w:ascii="宋体" w:hAnsi="宋体" w:cs="宋体"/>
          <w:szCs w:val="21"/>
          <w:highlight w:val="none"/>
        </w:rPr>
        <w:t>中标人不得将本项目分包、转包、内部经济承包及变相经济转承包；一经发现，采购人有权责令其停止作业并取消中标资格，作违约处理，并承担由此引起的法律责任及一切经济损失。</w:t>
      </w:r>
    </w:p>
    <w:p w14:paraId="423C9461">
      <w:pPr>
        <w:spacing w:line="360" w:lineRule="auto"/>
        <w:ind w:firstLine="420" w:firstLineChars="200"/>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w:t>
      </w:r>
      <w:r>
        <w:rPr>
          <w:rFonts w:hint="eastAsia" w:ascii="宋体" w:hAnsi="宋体" w:cs="宋体"/>
          <w:szCs w:val="21"/>
          <w:highlight w:val="none"/>
        </w:rPr>
        <w:t>发生安全事故后所产生一切责任和费用均由中标人负责承担。</w:t>
      </w:r>
    </w:p>
    <w:p w14:paraId="213145ED">
      <w:pPr>
        <w:spacing w:line="360" w:lineRule="auto"/>
        <w:ind w:firstLine="422" w:firstLineChars="200"/>
        <w:outlineLvl w:val="1"/>
        <w:rPr>
          <w:rFonts w:ascii="宋体" w:hAnsi="宋体" w:cs="宋体"/>
          <w:b/>
          <w:bCs/>
          <w:szCs w:val="21"/>
          <w:highlight w:val="none"/>
        </w:rPr>
      </w:pPr>
      <w:r>
        <w:rPr>
          <w:rFonts w:hint="eastAsia" w:ascii="宋体" w:hAnsi="宋体" w:cs="宋体"/>
          <w:b/>
          <w:bCs/>
          <w:szCs w:val="21"/>
          <w:highlight w:val="none"/>
          <w:lang w:val="en-US" w:eastAsia="zh-CN"/>
        </w:rPr>
        <w:t>11.</w:t>
      </w:r>
      <w:r>
        <w:rPr>
          <w:rFonts w:hint="eastAsia" w:ascii="宋体" w:hAnsi="宋体" w:cs="宋体"/>
          <w:b/>
          <w:bCs/>
          <w:szCs w:val="21"/>
          <w:highlight w:val="none"/>
        </w:rPr>
        <w:t>无害化处理系统参数</w:t>
      </w:r>
    </w:p>
    <w:tbl>
      <w:tblPr>
        <w:tblStyle w:val="26"/>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30"/>
        <w:gridCol w:w="765"/>
        <w:gridCol w:w="765"/>
        <w:gridCol w:w="3621"/>
        <w:gridCol w:w="1933"/>
      </w:tblGrid>
      <w:tr w14:paraId="1F30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7F4713F5">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序号</w:t>
            </w:r>
          </w:p>
        </w:tc>
        <w:tc>
          <w:tcPr>
            <w:tcW w:w="1530" w:type="dxa"/>
            <w:vAlign w:val="center"/>
          </w:tcPr>
          <w:p w14:paraId="74108B75">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设备名称</w:t>
            </w:r>
          </w:p>
        </w:tc>
        <w:tc>
          <w:tcPr>
            <w:tcW w:w="765" w:type="dxa"/>
            <w:vAlign w:val="center"/>
          </w:tcPr>
          <w:p w14:paraId="378A6A36">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数量</w:t>
            </w:r>
          </w:p>
        </w:tc>
        <w:tc>
          <w:tcPr>
            <w:tcW w:w="765" w:type="dxa"/>
            <w:vAlign w:val="center"/>
          </w:tcPr>
          <w:p w14:paraId="00A70A43">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单位</w:t>
            </w:r>
          </w:p>
        </w:tc>
        <w:tc>
          <w:tcPr>
            <w:tcW w:w="3621" w:type="dxa"/>
            <w:vAlign w:val="center"/>
          </w:tcPr>
          <w:p w14:paraId="09808ABC">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技术参数</w:t>
            </w:r>
          </w:p>
        </w:tc>
        <w:tc>
          <w:tcPr>
            <w:tcW w:w="1933" w:type="dxa"/>
            <w:vAlign w:val="center"/>
          </w:tcPr>
          <w:p w14:paraId="4B56278C">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备注</w:t>
            </w:r>
          </w:p>
        </w:tc>
      </w:tr>
      <w:tr w14:paraId="7A52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4ECD6DE9">
            <w:pPr>
              <w:spacing w:line="360" w:lineRule="exact"/>
              <w:jc w:val="center"/>
              <w:textAlignment w:val="center"/>
              <w:rPr>
                <w:rFonts w:ascii="宋体" w:hAnsi="宋体" w:cs="宋体"/>
                <w:szCs w:val="21"/>
                <w:highlight w:val="none"/>
              </w:rPr>
            </w:pPr>
            <w:r>
              <w:rPr>
                <w:rFonts w:hint="eastAsia" w:ascii="宋体" w:hAnsi="宋体" w:cs="宋体"/>
                <w:szCs w:val="21"/>
                <w:highlight w:val="none"/>
              </w:rPr>
              <w:t>1</w:t>
            </w:r>
          </w:p>
        </w:tc>
        <w:tc>
          <w:tcPr>
            <w:tcW w:w="1530" w:type="dxa"/>
            <w:vAlign w:val="center"/>
          </w:tcPr>
          <w:p w14:paraId="49C0EF2C">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焚烧或碳化设施设备</w:t>
            </w:r>
          </w:p>
        </w:tc>
        <w:tc>
          <w:tcPr>
            <w:tcW w:w="765" w:type="dxa"/>
            <w:vAlign w:val="center"/>
          </w:tcPr>
          <w:p w14:paraId="6876C275">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1</w:t>
            </w:r>
          </w:p>
        </w:tc>
        <w:tc>
          <w:tcPr>
            <w:tcW w:w="765" w:type="dxa"/>
            <w:vAlign w:val="center"/>
          </w:tcPr>
          <w:p w14:paraId="070E6D6B">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套</w:t>
            </w:r>
          </w:p>
        </w:tc>
        <w:tc>
          <w:tcPr>
            <w:tcW w:w="3621" w:type="dxa"/>
            <w:vAlign w:val="center"/>
          </w:tcPr>
          <w:p w14:paraId="6795E6C0">
            <w:pPr>
              <w:pStyle w:val="5"/>
              <w:spacing w:line="360" w:lineRule="exact"/>
              <w:ind w:firstLine="0"/>
              <w:jc w:val="left"/>
              <w:rPr>
                <w:rFonts w:ascii="宋体" w:hAnsi="宋体" w:cs="宋体"/>
                <w:szCs w:val="21"/>
                <w:highlight w:val="none"/>
              </w:rPr>
            </w:pPr>
            <w:r>
              <w:rPr>
                <w:rFonts w:hint="eastAsia" w:ascii="宋体" w:hAnsi="宋体" w:cs="宋体"/>
                <w:szCs w:val="21"/>
                <w:highlight w:val="none"/>
              </w:rPr>
              <w:t>▲日处理量≥1</w:t>
            </w:r>
            <w:r>
              <w:rPr>
                <w:rFonts w:hint="eastAsia" w:ascii="宋体" w:hAnsi="宋体" w:cs="宋体"/>
                <w:szCs w:val="21"/>
                <w:highlight w:val="none"/>
                <w:lang w:val="en-US" w:eastAsia="zh-CN"/>
              </w:rPr>
              <w:t>2</w:t>
            </w:r>
            <w:r>
              <w:rPr>
                <w:rFonts w:hint="eastAsia" w:ascii="宋体" w:hAnsi="宋体" w:cs="宋体"/>
                <w:szCs w:val="21"/>
                <w:highlight w:val="none"/>
              </w:rPr>
              <w:t>吨；需采用焚烧或碳化工艺模式；物料减量率≥90%；符合国家标准GB18485-2014废气排放标准，二噁英排放需达到国家标准＜0.1ng TEQ/Nm³，提供权威第三方检测报告。</w:t>
            </w:r>
          </w:p>
        </w:tc>
        <w:tc>
          <w:tcPr>
            <w:tcW w:w="1933" w:type="dxa"/>
            <w:vAlign w:val="center"/>
          </w:tcPr>
          <w:p w14:paraId="547B76FD">
            <w:pPr>
              <w:pStyle w:val="5"/>
              <w:spacing w:line="360" w:lineRule="exact"/>
              <w:ind w:firstLine="210" w:firstLineChars="100"/>
              <w:jc w:val="center"/>
              <w:rPr>
                <w:rFonts w:ascii="宋体" w:hAnsi="宋体" w:cs="宋体"/>
                <w:szCs w:val="21"/>
                <w:highlight w:val="none"/>
              </w:rPr>
            </w:pPr>
            <w:r>
              <w:rPr>
                <w:rFonts w:hint="eastAsia" w:ascii="宋体" w:hAnsi="宋体" w:cs="宋体"/>
                <w:szCs w:val="21"/>
                <w:highlight w:val="none"/>
              </w:rPr>
              <w:t>投标时提供证明材料、系统功能描述及说明。</w:t>
            </w:r>
          </w:p>
        </w:tc>
      </w:tr>
      <w:tr w14:paraId="2E2C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3A4009DD">
            <w:pPr>
              <w:spacing w:line="360" w:lineRule="exact"/>
              <w:jc w:val="center"/>
              <w:textAlignment w:val="center"/>
              <w:rPr>
                <w:rFonts w:ascii="宋体" w:hAnsi="宋体" w:cs="宋体"/>
                <w:szCs w:val="21"/>
                <w:highlight w:val="none"/>
                <w:lang w:bidi="ar"/>
              </w:rPr>
            </w:pPr>
            <w:r>
              <w:rPr>
                <w:rFonts w:hint="eastAsia" w:ascii="宋体" w:hAnsi="宋体" w:cs="宋体"/>
                <w:szCs w:val="21"/>
                <w:highlight w:val="none"/>
              </w:rPr>
              <w:t>2</w:t>
            </w:r>
          </w:p>
        </w:tc>
        <w:tc>
          <w:tcPr>
            <w:tcW w:w="1530" w:type="dxa"/>
            <w:vAlign w:val="center"/>
          </w:tcPr>
          <w:p w14:paraId="4DF37BCB">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运输封闭冷藏车</w:t>
            </w:r>
          </w:p>
        </w:tc>
        <w:tc>
          <w:tcPr>
            <w:tcW w:w="765" w:type="dxa"/>
            <w:vAlign w:val="center"/>
          </w:tcPr>
          <w:p w14:paraId="206AE437">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3</w:t>
            </w:r>
          </w:p>
        </w:tc>
        <w:tc>
          <w:tcPr>
            <w:tcW w:w="765" w:type="dxa"/>
            <w:vAlign w:val="center"/>
          </w:tcPr>
          <w:p w14:paraId="1B0C9713">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辆</w:t>
            </w:r>
          </w:p>
        </w:tc>
        <w:tc>
          <w:tcPr>
            <w:tcW w:w="3621" w:type="dxa"/>
            <w:vAlign w:val="center"/>
          </w:tcPr>
          <w:p w14:paraId="341D9CBC">
            <w:pPr>
              <w:pStyle w:val="5"/>
              <w:spacing w:line="360" w:lineRule="exact"/>
              <w:ind w:firstLine="0"/>
              <w:jc w:val="left"/>
              <w:rPr>
                <w:rFonts w:ascii="宋体" w:hAnsi="宋体" w:cs="宋体"/>
                <w:szCs w:val="21"/>
                <w:highlight w:val="none"/>
              </w:rPr>
            </w:pPr>
            <w:r>
              <w:rPr>
                <w:rFonts w:hint="eastAsia" w:ascii="宋体" w:hAnsi="宋体" w:cs="宋体"/>
                <w:szCs w:val="21"/>
                <w:highlight w:val="none"/>
              </w:rPr>
              <w:t>封闭，防渗漏，每辆可载重3吨以上。需满足动物防疫相关运输要求。</w:t>
            </w:r>
          </w:p>
        </w:tc>
        <w:tc>
          <w:tcPr>
            <w:tcW w:w="1933" w:type="dxa"/>
            <w:vAlign w:val="center"/>
          </w:tcPr>
          <w:p w14:paraId="7FA19D9A">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投标时提供详细系统功能描述及说明</w:t>
            </w:r>
          </w:p>
        </w:tc>
      </w:tr>
      <w:tr w14:paraId="4D2D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582E90EF">
            <w:pPr>
              <w:spacing w:line="360" w:lineRule="exact"/>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rPr>
              <w:t>3</w:t>
            </w:r>
          </w:p>
        </w:tc>
        <w:tc>
          <w:tcPr>
            <w:tcW w:w="1530" w:type="dxa"/>
            <w:vAlign w:val="center"/>
          </w:tcPr>
          <w:p w14:paraId="0881492B">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其它工具车</w:t>
            </w:r>
          </w:p>
        </w:tc>
        <w:tc>
          <w:tcPr>
            <w:tcW w:w="765" w:type="dxa"/>
            <w:vAlign w:val="center"/>
          </w:tcPr>
          <w:p w14:paraId="45FAF126">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≥1</w:t>
            </w:r>
          </w:p>
        </w:tc>
        <w:tc>
          <w:tcPr>
            <w:tcW w:w="765" w:type="dxa"/>
            <w:vAlign w:val="center"/>
          </w:tcPr>
          <w:p w14:paraId="0B8194A0">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套</w:t>
            </w:r>
          </w:p>
        </w:tc>
        <w:tc>
          <w:tcPr>
            <w:tcW w:w="3621" w:type="dxa"/>
            <w:vAlign w:val="center"/>
          </w:tcPr>
          <w:p w14:paraId="0A6E30BA">
            <w:pPr>
              <w:pStyle w:val="5"/>
              <w:spacing w:line="360" w:lineRule="exact"/>
              <w:ind w:firstLine="0"/>
              <w:jc w:val="left"/>
              <w:rPr>
                <w:rFonts w:ascii="宋体" w:hAnsi="宋体" w:cs="宋体"/>
                <w:szCs w:val="21"/>
                <w:highlight w:val="none"/>
              </w:rPr>
            </w:pPr>
            <w:r>
              <w:rPr>
                <w:rFonts w:hint="eastAsia" w:ascii="宋体" w:hAnsi="宋体" w:cs="宋体"/>
                <w:szCs w:val="21"/>
                <w:highlight w:val="none"/>
              </w:rPr>
              <w:t>满足项目正常运行</w:t>
            </w:r>
          </w:p>
        </w:tc>
        <w:tc>
          <w:tcPr>
            <w:tcW w:w="1933" w:type="dxa"/>
            <w:vAlign w:val="center"/>
          </w:tcPr>
          <w:p w14:paraId="2AAB17A3">
            <w:pPr>
              <w:pStyle w:val="5"/>
              <w:spacing w:line="360" w:lineRule="exact"/>
              <w:ind w:firstLine="0"/>
              <w:jc w:val="center"/>
              <w:rPr>
                <w:rFonts w:ascii="宋体" w:hAnsi="宋体" w:cs="宋体"/>
                <w:szCs w:val="21"/>
                <w:highlight w:val="none"/>
              </w:rPr>
            </w:pPr>
          </w:p>
        </w:tc>
      </w:tr>
      <w:tr w14:paraId="491B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789941E2">
            <w:pPr>
              <w:spacing w:line="360" w:lineRule="exact"/>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rPr>
              <w:t>4</w:t>
            </w:r>
          </w:p>
        </w:tc>
        <w:tc>
          <w:tcPr>
            <w:tcW w:w="1530" w:type="dxa"/>
            <w:vAlign w:val="center"/>
          </w:tcPr>
          <w:p w14:paraId="5B54A024">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环保设施设备</w:t>
            </w:r>
          </w:p>
        </w:tc>
        <w:tc>
          <w:tcPr>
            <w:tcW w:w="765" w:type="dxa"/>
            <w:vAlign w:val="center"/>
          </w:tcPr>
          <w:p w14:paraId="51D41C07">
            <w:pPr>
              <w:pStyle w:val="5"/>
              <w:spacing w:line="360" w:lineRule="exact"/>
              <w:ind w:firstLine="0"/>
              <w:jc w:val="center"/>
              <w:rPr>
                <w:rFonts w:ascii="宋体" w:hAnsi="宋体" w:cs="宋体"/>
                <w:szCs w:val="21"/>
                <w:highlight w:val="none"/>
              </w:rPr>
            </w:pPr>
          </w:p>
        </w:tc>
        <w:tc>
          <w:tcPr>
            <w:tcW w:w="765" w:type="dxa"/>
            <w:vAlign w:val="center"/>
          </w:tcPr>
          <w:p w14:paraId="722C1EA2">
            <w:pPr>
              <w:pStyle w:val="5"/>
              <w:spacing w:line="360" w:lineRule="exact"/>
              <w:ind w:firstLine="210" w:firstLineChars="100"/>
              <w:jc w:val="center"/>
              <w:rPr>
                <w:rFonts w:ascii="宋体" w:hAnsi="宋体" w:cs="宋体"/>
                <w:szCs w:val="21"/>
                <w:highlight w:val="none"/>
              </w:rPr>
            </w:pPr>
            <w:r>
              <w:rPr>
                <w:rFonts w:hint="eastAsia" w:ascii="宋体" w:hAnsi="宋体" w:cs="宋体"/>
                <w:szCs w:val="21"/>
                <w:highlight w:val="none"/>
              </w:rPr>
              <w:t>套</w:t>
            </w:r>
          </w:p>
        </w:tc>
        <w:tc>
          <w:tcPr>
            <w:tcW w:w="3621" w:type="dxa"/>
            <w:vAlign w:val="center"/>
          </w:tcPr>
          <w:p w14:paraId="6996A737">
            <w:pPr>
              <w:pStyle w:val="5"/>
              <w:spacing w:line="360" w:lineRule="exact"/>
              <w:ind w:firstLine="0"/>
              <w:jc w:val="left"/>
              <w:rPr>
                <w:rFonts w:ascii="宋体" w:hAnsi="宋体" w:cs="宋体"/>
                <w:szCs w:val="21"/>
                <w:highlight w:val="none"/>
              </w:rPr>
            </w:pPr>
            <w:r>
              <w:rPr>
                <w:rFonts w:hint="eastAsia" w:ascii="宋体" w:hAnsi="宋体" w:cs="宋体"/>
                <w:szCs w:val="21"/>
                <w:highlight w:val="none"/>
              </w:rPr>
              <w:t>废水废气处理须符合环保管理部门要求</w:t>
            </w:r>
          </w:p>
        </w:tc>
        <w:tc>
          <w:tcPr>
            <w:tcW w:w="1933" w:type="dxa"/>
            <w:vAlign w:val="center"/>
          </w:tcPr>
          <w:p w14:paraId="42D9A345">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投标时提供详细系统功能描述及说明</w:t>
            </w:r>
          </w:p>
        </w:tc>
      </w:tr>
      <w:tr w14:paraId="6CCE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47761CAF">
            <w:pPr>
              <w:spacing w:line="360" w:lineRule="exact"/>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rPr>
              <w:t>5</w:t>
            </w:r>
          </w:p>
        </w:tc>
        <w:tc>
          <w:tcPr>
            <w:tcW w:w="1530" w:type="dxa"/>
            <w:vAlign w:val="center"/>
          </w:tcPr>
          <w:p w14:paraId="043E777F">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洗消烘干设备</w:t>
            </w:r>
          </w:p>
        </w:tc>
        <w:tc>
          <w:tcPr>
            <w:tcW w:w="765" w:type="dxa"/>
            <w:vAlign w:val="center"/>
          </w:tcPr>
          <w:p w14:paraId="52B0D884">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1</w:t>
            </w:r>
          </w:p>
        </w:tc>
        <w:tc>
          <w:tcPr>
            <w:tcW w:w="765" w:type="dxa"/>
            <w:vAlign w:val="center"/>
          </w:tcPr>
          <w:p w14:paraId="7948FFCD">
            <w:pPr>
              <w:pStyle w:val="5"/>
              <w:spacing w:line="360" w:lineRule="exact"/>
              <w:ind w:firstLine="210" w:firstLineChars="100"/>
              <w:jc w:val="center"/>
              <w:rPr>
                <w:rFonts w:ascii="宋体" w:hAnsi="宋体" w:cs="宋体"/>
                <w:szCs w:val="21"/>
                <w:highlight w:val="none"/>
              </w:rPr>
            </w:pPr>
            <w:r>
              <w:rPr>
                <w:rFonts w:hint="eastAsia" w:ascii="宋体" w:hAnsi="宋体" w:cs="宋体"/>
                <w:szCs w:val="21"/>
                <w:highlight w:val="none"/>
              </w:rPr>
              <w:t>套</w:t>
            </w:r>
          </w:p>
        </w:tc>
        <w:tc>
          <w:tcPr>
            <w:tcW w:w="3621" w:type="dxa"/>
            <w:vAlign w:val="center"/>
          </w:tcPr>
          <w:p w14:paraId="6E5B79D0">
            <w:pPr>
              <w:pStyle w:val="5"/>
              <w:spacing w:line="360" w:lineRule="exact"/>
              <w:ind w:firstLine="0"/>
              <w:jc w:val="left"/>
              <w:rPr>
                <w:rFonts w:ascii="宋体" w:hAnsi="宋体" w:cs="宋体"/>
                <w:szCs w:val="21"/>
                <w:highlight w:val="none"/>
              </w:rPr>
            </w:pPr>
            <w:r>
              <w:rPr>
                <w:rFonts w:hint="eastAsia" w:ascii="宋体" w:hAnsi="宋体" w:cs="宋体"/>
                <w:szCs w:val="21"/>
                <w:highlight w:val="none"/>
              </w:rPr>
              <w:t>满足项目正常运行</w:t>
            </w:r>
          </w:p>
        </w:tc>
        <w:tc>
          <w:tcPr>
            <w:tcW w:w="1933" w:type="dxa"/>
            <w:vAlign w:val="center"/>
          </w:tcPr>
          <w:p w14:paraId="068AD9D4">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投标时提供详细系统功能描述及说明</w:t>
            </w:r>
          </w:p>
        </w:tc>
      </w:tr>
      <w:tr w14:paraId="387F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22258523">
            <w:pPr>
              <w:spacing w:line="360" w:lineRule="exact"/>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rPr>
              <w:t>6</w:t>
            </w:r>
          </w:p>
        </w:tc>
        <w:tc>
          <w:tcPr>
            <w:tcW w:w="1530" w:type="dxa"/>
            <w:vAlign w:val="center"/>
          </w:tcPr>
          <w:p w14:paraId="576802F2">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动物病原检测设施设备</w:t>
            </w:r>
          </w:p>
        </w:tc>
        <w:tc>
          <w:tcPr>
            <w:tcW w:w="765" w:type="dxa"/>
            <w:vAlign w:val="center"/>
          </w:tcPr>
          <w:p w14:paraId="694E8048">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1</w:t>
            </w:r>
          </w:p>
        </w:tc>
        <w:tc>
          <w:tcPr>
            <w:tcW w:w="765" w:type="dxa"/>
            <w:vAlign w:val="center"/>
          </w:tcPr>
          <w:p w14:paraId="7FBFC355">
            <w:pPr>
              <w:pStyle w:val="5"/>
              <w:spacing w:line="360" w:lineRule="exact"/>
              <w:ind w:firstLine="210" w:firstLineChars="100"/>
              <w:jc w:val="center"/>
              <w:rPr>
                <w:rFonts w:ascii="宋体" w:hAnsi="宋体" w:cs="宋体"/>
                <w:szCs w:val="21"/>
                <w:highlight w:val="none"/>
              </w:rPr>
            </w:pPr>
            <w:r>
              <w:rPr>
                <w:rFonts w:hint="eastAsia" w:ascii="宋体" w:hAnsi="宋体" w:cs="宋体"/>
                <w:szCs w:val="21"/>
                <w:highlight w:val="none"/>
              </w:rPr>
              <w:t>套</w:t>
            </w:r>
          </w:p>
        </w:tc>
        <w:tc>
          <w:tcPr>
            <w:tcW w:w="3621" w:type="dxa"/>
            <w:vAlign w:val="center"/>
          </w:tcPr>
          <w:p w14:paraId="7184A11A">
            <w:pPr>
              <w:pStyle w:val="5"/>
              <w:spacing w:line="360" w:lineRule="exact"/>
              <w:ind w:firstLine="0"/>
              <w:jc w:val="left"/>
              <w:rPr>
                <w:rFonts w:ascii="宋体" w:hAnsi="宋体" w:cs="宋体"/>
                <w:szCs w:val="21"/>
                <w:highlight w:val="none"/>
              </w:rPr>
            </w:pPr>
            <w:r>
              <w:rPr>
                <w:rFonts w:hint="eastAsia" w:ascii="宋体" w:hAnsi="宋体" w:cs="宋体"/>
                <w:szCs w:val="21"/>
                <w:highlight w:val="none"/>
              </w:rPr>
              <w:t>满足非洲猪瘟核酸检测等技术要求</w:t>
            </w:r>
          </w:p>
        </w:tc>
        <w:tc>
          <w:tcPr>
            <w:tcW w:w="1933" w:type="dxa"/>
            <w:vAlign w:val="center"/>
          </w:tcPr>
          <w:p w14:paraId="482283DC">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投标时提供详细系统功能描述及说明</w:t>
            </w:r>
          </w:p>
        </w:tc>
      </w:tr>
      <w:tr w14:paraId="1799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5265BB6C">
            <w:pPr>
              <w:spacing w:line="360" w:lineRule="exact"/>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rPr>
              <w:t>7</w:t>
            </w:r>
          </w:p>
        </w:tc>
        <w:tc>
          <w:tcPr>
            <w:tcW w:w="1530" w:type="dxa"/>
            <w:vAlign w:val="center"/>
          </w:tcPr>
          <w:p w14:paraId="6C38F128">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信息化管理设备</w:t>
            </w:r>
          </w:p>
        </w:tc>
        <w:tc>
          <w:tcPr>
            <w:tcW w:w="765" w:type="dxa"/>
            <w:vAlign w:val="center"/>
          </w:tcPr>
          <w:p w14:paraId="24139800">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1</w:t>
            </w:r>
          </w:p>
        </w:tc>
        <w:tc>
          <w:tcPr>
            <w:tcW w:w="765" w:type="dxa"/>
            <w:vAlign w:val="center"/>
          </w:tcPr>
          <w:p w14:paraId="7481F770">
            <w:pPr>
              <w:pStyle w:val="5"/>
              <w:spacing w:line="360" w:lineRule="exact"/>
              <w:ind w:firstLine="210" w:firstLineChars="100"/>
              <w:jc w:val="center"/>
              <w:rPr>
                <w:rFonts w:ascii="宋体" w:hAnsi="宋体" w:cs="宋体"/>
                <w:szCs w:val="21"/>
                <w:highlight w:val="none"/>
              </w:rPr>
            </w:pPr>
            <w:r>
              <w:rPr>
                <w:rFonts w:hint="eastAsia" w:ascii="宋体" w:hAnsi="宋体" w:cs="宋体"/>
                <w:szCs w:val="21"/>
                <w:highlight w:val="none"/>
              </w:rPr>
              <w:t>套</w:t>
            </w:r>
          </w:p>
        </w:tc>
        <w:tc>
          <w:tcPr>
            <w:tcW w:w="3621" w:type="dxa"/>
            <w:vAlign w:val="center"/>
          </w:tcPr>
          <w:p w14:paraId="37AAF423">
            <w:pPr>
              <w:pStyle w:val="5"/>
              <w:spacing w:line="360" w:lineRule="exact"/>
              <w:ind w:firstLine="0"/>
              <w:jc w:val="left"/>
              <w:rPr>
                <w:rFonts w:ascii="宋体" w:hAnsi="宋体" w:cs="宋体"/>
                <w:szCs w:val="21"/>
                <w:highlight w:val="none"/>
              </w:rPr>
            </w:pPr>
            <w:r>
              <w:rPr>
                <w:rFonts w:hint="eastAsia" w:ascii="宋体" w:hAnsi="宋体" w:cs="宋体"/>
                <w:szCs w:val="21"/>
                <w:highlight w:val="none"/>
              </w:rPr>
              <w:t>符合业务部门管理要求</w:t>
            </w:r>
          </w:p>
        </w:tc>
        <w:tc>
          <w:tcPr>
            <w:tcW w:w="1933" w:type="dxa"/>
            <w:vAlign w:val="center"/>
          </w:tcPr>
          <w:p w14:paraId="46B20663">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投标时提供详细系统功能描述及说明</w:t>
            </w:r>
          </w:p>
        </w:tc>
      </w:tr>
      <w:tr w14:paraId="31FA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Align w:val="center"/>
          </w:tcPr>
          <w:p w14:paraId="079B2034">
            <w:pPr>
              <w:spacing w:line="360" w:lineRule="exact"/>
              <w:jc w:val="center"/>
              <w:textAlignment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rPr>
              <w:t>8</w:t>
            </w:r>
          </w:p>
        </w:tc>
        <w:tc>
          <w:tcPr>
            <w:tcW w:w="1530" w:type="dxa"/>
            <w:vAlign w:val="center"/>
          </w:tcPr>
          <w:p w14:paraId="4F19EB03">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其它工作、办公及生活配套设施</w:t>
            </w:r>
          </w:p>
        </w:tc>
        <w:tc>
          <w:tcPr>
            <w:tcW w:w="765" w:type="dxa"/>
            <w:vAlign w:val="center"/>
          </w:tcPr>
          <w:p w14:paraId="377864A8">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w:t>
            </w:r>
          </w:p>
        </w:tc>
        <w:tc>
          <w:tcPr>
            <w:tcW w:w="765" w:type="dxa"/>
            <w:vAlign w:val="center"/>
          </w:tcPr>
          <w:p w14:paraId="1CBA4348">
            <w:pPr>
              <w:pStyle w:val="5"/>
              <w:spacing w:line="360" w:lineRule="exact"/>
              <w:ind w:firstLine="210" w:firstLineChars="100"/>
              <w:jc w:val="center"/>
              <w:rPr>
                <w:rFonts w:ascii="宋体" w:hAnsi="宋体" w:cs="宋体"/>
                <w:szCs w:val="21"/>
                <w:highlight w:val="none"/>
              </w:rPr>
            </w:pPr>
            <w:r>
              <w:rPr>
                <w:rFonts w:hint="eastAsia" w:ascii="宋体" w:hAnsi="宋体" w:cs="宋体"/>
                <w:szCs w:val="21"/>
                <w:highlight w:val="none"/>
              </w:rPr>
              <w:t>套</w:t>
            </w:r>
          </w:p>
        </w:tc>
        <w:tc>
          <w:tcPr>
            <w:tcW w:w="3621" w:type="dxa"/>
            <w:vAlign w:val="center"/>
          </w:tcPr>
          <w:p w14:paraId="117669A6">
            <w:pPr>
              <w:pStyle w:val="5"/>
              <w:spacing w:line="360" w:lineRule="exact"/>
              <w:ind w:firstLine="0"/>
              <w:jc w:val="left"/>
              <w:rPr>
                <w:rFonts w:ascii="宋体" w:hAnsi="宋体" w:cs="宋体"/>
                <w:szCs w:val="21"/>
                <w:highlight w:val="none"/>
              </w:rPr>
            </w:pPr>
            <w:r>
              <w:rPr>
                <w:rFonts w:hint="eastAsia" w:ascii="宋体" w:hAnsi="宋体" w:cs="宋体"/>
                <w:szCs w:val="21"/>
                <w:highlight w:val="none"/>
              </w:rPr>
              <w:t>满足项目正常运行，满足办公及生活条件。</w:t>
            </w:r>
          </w:p>
        </w:tc>
        <w:tc>
          <w:tcPr>
            <w:tcW w:w="1933" w:type="dxa"/>
            <w:vAlign w:val="center"/>
          </w:tcPr>
          <w:p w14:paraId="49309589">
            <w:pPr>
              <w:pStyle w:val="5"/>
              <w:spacing w:line="360" w:lineRule="exact"/>
              <w:ind w:firstLine="0"/>
              <w:jc w:val="center"/>
              <w:rPr>
                <w:rFonts w:ascii="宋体" w:hAnsi="宋体" w:cs="宋体"/>
                <w:szCs w:val="21"/>
                <w:highlight w:val="none"/>
              </w:rPr>
            </w:pPr>
            <w:r>
              <w:rPr>
                <w:rFonts w:hint="eastAsia" w:ascii="宋体" w:hAnsi="宋体" w:cs="宋体"/>
                <w:szCs w:val="21"/>
                <w:highlight w:val="none"/>
              </w:rPr>
              <w:t>投标时提供详细系统功能描述及说明</w:t>
            </w:r>
          </w:p>
        </w:tc>
      </w:tr>
    </w:tbl>
    <w:p w14:paraId="75AD66B4">
      <w:pPr>
        <w:spacing w:line="360" w:lineRule="auto"/>
        <w:ind w:firstLine="422" w:firstLineChars="200"/>
        <w:outlineLvl w:val="1"/>
        <w:rPr>
          <w:rFonts w:ascii="宋体" w:hAnsi="宋体" w:cs="宋体"/>
          <w:b/>
          <w:bCs/>
          <w:szCs w:val="21"/>
          <w:highlight w:val="none"/>
        </w:rPr>
      </w:pPr>
      <w:r>
        <w:rPr>
          <w:rFonts w:hint="eastAsia" w:ascii="宋体" w:hAnsi="宋体" w:cs="宋体"/>
          <w:b/>
          <w:bCs/>
          <w:szCs w:val="21"/>
          <w:highlight w:val="none"/>
        </w:rPr>
        <w:t>五、其他要求</w:t>
      </w:r>
    </w:p>
    <w:p w14:paraId="060CCB5C">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票据、报表和档案管理要求</w:t>
      </w:r>
    </w:p>
    <w:p w14:paraId="1D8086E8">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1.1收集点所需</w:t>
      </w:r>
      <w:r>
        <w:rPr>
          <w:rFonts w:hint="eastAsia" w:ascii="宋体" w:hAnsi="宋体" w:cs="宋体"/>
          <w:szCs w:val="21"/>
          <w:highlight w:val="none"/>
          <w:lang w:eastAsia="zh-CN"/>
        </w:rPr>
        <w:t>《云和县病死动物交接单》到</w:t>
      </w:r>
      <w:r>
        <w:rPr>
          <w:rFonts w:hint="eastAsia" w:ascii="宋体" w:hAnsi="宋体" w:cs="宋体"/>
          <w:szCs w:val="21"/>
          <w:highlight w:val="none"/>
        </w:rPr>
        <w:t>县农业农村局</w:t>
      </w:r>
      <w:r>
        <w:rPr>
          <w:rFonts w:hint="eastAsia" w:ascii="宋体" w:hAnsi="宋体" w:cs="宋体"/>
          <w:szCs w:val="21"/>
          <w:highlight w:val="none"/>
          <w:lang w:eastAsia="zh-CN"/>
        </w:rPr>
        <w:t>畜牧渔业服务中心</w:t>
      </w:r>
      <w:r>
        <w:rPr>
          <w:rFonts w:hint="eastAsia" w:ascii="宋体" w:hAnsi="宋体" w:cs="宋体"/>
          <w:szCs w:val="21"/>
          <w:highlight w:val="none"/>
        </w:rPr>
        <w:t>领取，专人保管和使用。</w:t>
      </w:r>
      <w:r>
        <w:rPr>
          <w:rFonts w:hint="eastAsia" w:ascii="宋体" w:hAnsi="宋体" w:cs="宋体"/>
          <w:szCs w:val="21"/>
          <w:highlight w:val="none"/>
          <w:lang w:eastAsia="zh-CN"/>
        </w:rPr>
        <w:t>其它</w:t>
      </w:r>
      <w:r>
        <w:rPr>
          <w:rFonts w:hint="eastAsia" w:ascii="宋体" w:hAnsi="宋体" w:cs="宋体"/>
          <w:szCs w:val="21"/>
          <w:highlight w:val="none"/>
        </w:rPr>
        <w:t>日收集记录本</w:t>
      </w:r>
      <w:r>
        <w:rPr>
          <w:rFonts w:hint="eastAsia" w:ascii="宋体" w:hAnsi="宋体" w:cs="宋体"/>
          <w:szCs w:val="21"/>
          <w:highlight w:val="none"/>
          <w:lang w:eastAsia="zh-CN"/>
        </w:rPr>
        <w:t>等由收集单位自行设计、登记。</w:t>
      </w:r>
    </w:p>
    <w:p w14:paraId="7BB3B512">
      <w:pPr>
        <w:spacing w:line="360" w:lineRule="auto"/>
        <w:ind w:firstLine="420" w:firstLineChars="200"/>
        <w:rPr>
          <w:rFonts w:ascii="宋体" w:hAnsi="宋体" w:cs="宋体"/>
          <w:szCs w:val="21"/>
          <w:highlight w:val="none"/>
        </w:rPr>
      </w:pPr>
      <w:r>
        <w:rPr>
          <w:rFonts w:hint="eastAsia" w:ascii="宋体" w:hAnsi="宋体" w:cs="宋体"/>
          <w:szCs w:val="21"/>
          <w:highlight w:val="none"/>
        </w:rPr>
        <w:t>1.2收集人员须在现场与畜主、保险公司、乡镇监管人员共同确认死亡动物品种、数量、重量等关键事项后，详细填写接收单注明的内容。接收单填写须规范完整、字迹清楚，由畜主和收集人员、保险公司、乡镇监管人员共同签字确认。</w:t>
      </w:r>
    </w:p>
    <w:p w14:paraId="059FE34B">
      <w:pPr>
        <w:spacing w:line="360" w:lineRule="auto"/>
        <w:ind w:firstLine="420" w:firstLineChars="200"/>
        <w:rPr>
          <w:rFonts w:ascii="宋体" w:hAnsi="宋体" w:cs="宋体"/>
          <w:szCs w:val="21"/>
          <w:highlight w:val="none"/>
        </w:rPr>
      </w:pPr>
      <w:r>
        <w:rPr>
          <w:rFonts w:hint="eastAsia" w:ascii="宋体" w:hAnsi="宋体" w:cs="宋体"/>
          <w:szCs w:val="21"/>
          <w:highlight w:val="none"/>
        </w:rPr>
        <w:t>1.3收集点管理人员必须对每天使用的接收单逐一登记造册，并按照要求在网络管理系统中填报数据。</w:t>
      </w:r>
    </w:p>
    <w:p w14:paraId="7DE2A84F">
      <w:pPr>
        <w:spacing w:line="360" w:lineRule="auto"/>
        <w:ind w:firstLine="420" w:firstLineChars="200"/>
        <w:rPr>
          <w:rFonts w:ascii="宋体" w:hAnsi="宋体" w:cs="宋体"/>
          <w:szCs w:val="21"/>
          <w:highlight w:val="none"/>
        </w:rPr>
      </w:pPr>
      <w:r>
        <w:rPr>
          <w:rFonts w:hint="eastAsia" w:ascii="宋体" w:hAnsi="宋体" w:cs="宋体"/>
          <w:szCs w:val="21"/>
          <w:highlight w:val="none"/>
        </w:rPr>
        <w:t>1.4建立完善的收集、移交记录制度，要严格按照上级管理部门的要求建立相关台账，做到接收清、移交清、库存清。</w:t>
      </w:r>
    </w:p>
    <w:p w14:paraId="61917283">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病死动物无害化处理收集工作要求</w:t>
      </w:r>
    </w:p>
    <w:p w14:paraId="05A2CFEB">
      <w:pPr>
        <w:spacing w:line="360" w:lineRule="auto"/>
        <w:ind w:firstLine="420" w:firstLineChars="200"/>
        <w:rPr>
          <w:rFonts w:ascii="宋体" w:hAnsi="宋体" w:cs="宋体"/>
          <w:szCs w:val="21"/>
          <w:highlight w:val="none"/>
        </w:rPr>
      </w:pPr>
      <w:r>
        <w:rPr>
          <w:rFonts w:hint="eastAsia" w:ascii="宋体" w:hAnsi="宋体" w:cs="宋体"/>
          <w:szCs w:val="21"/>
          <w:highlight w:val="none"/>
        </w:rPr>
        <w:t>2.1使用指定类型专用运输工具，运输装置必须密闭、防渗漏。</w:t>
      </w:r>
    </w:p>
    <w:p w14:paraId="3CFFD90B">
      <w:pPr>
        <w:spacing w:line="360" w:lineRule="auto"/>
        <w:ind w:firstLine="420" w:firstLineChars="200"/>
        <w:rPr>
          <w:rFonts w:ascii="宋体" w:hAnsi="宋体" w:cs="宋体"/>
          <w:szCs w:val="21"/>
          <w:highlight w:val="none"/>
        </w:rPr>
      </w:pPr>
      <w:r>
        <w:rPr>
          <w:rFonts w:hint="eastAsia" w:ascii="宋体" w:hAnsi="宋体" w:cs="宋体"/>
          <w:szCs w:val="21"/>
          <w:highlight w:val="none"/>
        </w:rPr>
        <w:t>2.2出发前认真检查车辆状况，检查收集工具和物品是否齐全。</w:t>
      </w:r>
    </w:p>
    <w:p w14:paraId="72C87B84">
      <w:pPr>
        <w:spacing w:line="360" w:lineRule="auto"/>
        <w:ind w:firstLine="420" w:firstLineChars="200"/>
        <w:rPr>
          <w:rFonts w:ascii="宋体" w:hAnsi="宋体" w:cs="宋体"/>
          <w:szCs w:val="21"/>
          <w:highlight w:val="none"/>
        </w:rPr>
      </w:pPr>
      <w:r>
        <w:rPr>
          <w:rFonts w:hint="eastAsia" w:ascii="宋体" w:hAnsi="宋体" w:cs="宋体"/>
          <w:szCs w:val="21"/>
          <w:highlight w:val="none"/>
        </w:rPr>
        <w:t>2.3服从管理人员调度安排，统筹设计收集路线，并在到达收集点前联系报告人，确定具体地点和相关事宜。</w:t>
      </w:r>
    </w:p>
    <w:p w14:paraId="24BA1275">
      <w:pPr>
        <w:spacing w:line="360" w:lineRule="auto"/>
        <w:ind w:firstLine="420" w:firstLineChars="200"/>
        <w:rPr>
          <w:rFonts w:ascii="宋体" w:hAnsi="宋体" w:cs="宋体"/>
          <w:szCs w:val="21"/>
          <w:highlight w:val="none"/>
        </w:rPr>
      </w:pPr>
      <w:r>
        <w:rPr>
          <w:rFonts w:hint="eastAsia" w:ascii="宋体" w:hAnsi="宋体" w:cs="宋体"/>
          <w:szCs w:val="21"/>
          <w:highlight w:val="none"/>
        </w:rPr>
        <w:t>2.4使用专用工具、物品对病死动物尸体进行预处理，在报告人</w:t>
      </w:r>
      <w:r>
        <w:rPr>
          <w:rFonts w:hint="eastAsia" w:ascii="宋体" w:hAnsi="宋体" w:cs="宋体"/>
          <w:szCs w:val="21"/>
          <w:highlight w:val="none"/>
          <w:lang w:eastAsia="zh-CN"/>
        </w:rPr>
        <w:t>或畜主</w:t>
      </w:r>
      <w:r>
        <w:rPr>
          <w:rFonts w:hint="eastAsia" w:ascii="宋体" w:hAnsi="宋体" w:cs="宋体"/>
          <w:szCs w:val="21"/>
          <w:highlight w:val="none"/>
        </w:rPr>
        <w:t>协助下将动物尸体包装、搬运上车。</w:t>
      </w:r>
    </w:p>
    <w:p w14:paraId="7539F5B2">
      <w:pPr>
        <w:spacing w:line="360" w:lineRule="auto"/>
        <w:ind w:firstLine="420" w:firstLineChars="200"/>
        <w:rPr>
          <w:rFonts w:ascii="宋体" w:hAnsi="宋体" w:cs="宋体"/>
          <w:szCs w:val="21"/>
          <w:highlight w:val="none"/>
        </w:rPr>
      </w:pPr>
      <w:r>
        <w:rPr>
          <w:rFonts w:hint="eastAsia" w:ascii="宋体" w:hAnsi="宋体" w:cs="宋体"/>
          <w:szCs w:val="21"/>
          <w:highlight w:val="none"/>
        </w:rPr>
        <w:t>2.5除病死猪外，其他动物一律称重后如实登记重量</w:t>
      </w:r>
      <w:r>
        <w:rPr>
          <w:rFonts w:hint="eastAsia" w:ascii="宋体" w:hAnsi="宋体" w:cs="宋体"/>
          <w:szCs w:val="21"/>
          <w:highlight w:val="none"/>
          <w:lang w:eastAsia="zh-CN"/>
        </w:rPr>
        <w:t>（保险公司另有规定的，按保险相关条款执行）</w:t>
      </w:r>
      <w:r>
        <w:rPr>
          <w:rFonts w:hint="eastAsia" w:ascii="宋体" w:hAnsi="宋体" w:cs="宋体"/>
          <w:szCs w:val="21"/>
          <w:highlight w:val="none"/>
        </w:rPr>
        <w:t>。</w:t>
      </w:r>
    </w:p>
    <w:p w14:paraId="2878A7EF">
      <w:pPr>
        <w:spacing w:line="360" w:lineRule="auto"/>
        <w:ind w:firstLine="420" w:firstLineChars="200"/>
        <w:rPr>
          <w:rFonts w:ascii="宋体" w:hAnsi="宋体" w:cs="宋体"/>
          <w:szCs w:val="21"/>
          <w:highlight w:val="none"/>
        </w:rPr>
      </w:pPr>
      <w:r>
        <w:rPr>
          <w:rFonts w:hint="eastAsia" w:ascii="宋体" w:hAnsi="宋体" w:cs="宋体"/>
          <w:szCs w:val="21"/>
          <w:highlight w:val="none"/>
        </w:rPr>
        <w:t>2.6收集后及时将接收单的相关联次提供给畜主、保险公司、乡镇监管人员。</w:t>
      </w:r>
    </w:p>
    <w:p w14:paraId="713D47F1">
      <w:pPr>
        <w:spacing w:line="360" w:lineRule="auto"/>
        <w:ind w:firstLine="420" w:firstLineChars="200"/>
        <w:rPr>
          <w:rFonts w:ascii="宋体" w:hAnsi="宋体" w:cs="宋体"/>
          <w:szCs w:val="21"/>
          <w:highlight w:val="none"/>
        </w:rPr>
      </w:pPr>
      <w:r>
        <w:rPr>
          <w:rFonts w:hint="eastAsia" w:ascii="宋体" w:hAnsi="宋体" w:cs="宋体"/>
          <w:szCs w:val="21"/>
          <w:highlight w:val="none"/>
        </w:rPr>
        <w:t>2.7收集后按规定对病死动物尸体存放场所、运输车辆和相关工具进行消毒，出入库时若有必要需实施除臭工作。</w:t>
      </w:r>
    </w:p>
    <w:p w14:paraId="0DA08C6A">
      <w:pPr>
        <w:spacing w:line="360" w:lineRule="auto"/>
        <w:ind w:firstLine="420" w:firstLineChars="200"/>
        <w:rPr>
          <w:rFonts w:ascii="宋体" w:hAnsi="宋体" w:cs="宋体"/>
          <w:szCs w:val="21"/>
          <w:highlight w:val="none"/>
        </w:rPr>
      </w:pPr>
      <w:r>
        <w:rPr>
          <w:rFonts w:hint="eastAsia" w:ascii="宋体" w:hAnsi="宋体" w:cs="宋体"/>
          <w:szCs w:val="21"/>
          <w:highlight w:val="none"/>
        </w:rPr>
        <w:t>2.8及时对车辆和使用工具进行全面消毒，做好车辆维护、故障清理，保证车辆状况良好，各种相关证件和保险在有效期内。</w:t>
      </w:r>
    </w:p>
    <w:p w14:paraId="73F1BAFD">
      <w:pPr>
        <w:spacing w:line="360" w:lineRule="auto"/>
        <w:ind w:firstLine="420" w:firstLineChars="200"/>
        <w:rPr>
          <w:rFonts w:ascii="宋体" w:hAnsi="宋体" w:cs="宋体"/>
          <w:szCs w:val="21"/>
          <w:highlight w:val="none"/>
        </w:rPr>
      </w:pPr>
      <w:r>
        <w:rPr>
          <w:rFonts w:hint="eastAsia" w:ascii="宋体" w:hAnsi="宋体" w:cs="宋体"/>
          <w:szCs w:val="21"/>
          <w:highlight w:val="none"/>
        </w:rPr>
        <w:t>2.9无害化收集车辆除维修、保养等特殊情况外，不得驶离云和县范围，驶离云和县范围必须经采购人书面同意，未经同意不得擅自驶离云和县，如发现此类情况，甲方有解除合同的权利。</w:t>
      </w:r>
    </w:p>
    <w:p w14:paraId="126F4436">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病死动物无害化处理收集点人员岗位要求</w:t>
      </w:r>
    </w:p>
    <w:p w14:paraId="166E9E8B">
      <w:pPr>
        <w:spacing w:line="360" w:lineRule="auto"/>
        <w:ind w:firstLine="420" w:firstLineChars="200"/>
        <w:rPr>
          <w:rFonts w:ascii="宋体" w:hAnsi="宋体" w:cs="宋体"/>
          <w:szCs w:val="21"/>
          <w:highlight w:val="none"/>
        </w:rPr>
      </w:pPr>
      <w:r>
        <w:rPr>
          <w:rFonts w:hint="eastAsia" w:ascii="宋体" w:hAnsi="宋体" w:cs="宋体"/>
          <w:szCs w:val="21"/>
          <w:highlight w:val="none"/>
        </w:rPr>
        <w:t>3.1收集人员严格遵守作息时间，合理排班，保障每天响应病死动物收集报告。遇特殊情况24小时服从畜牧兽医部门调度需要。</w:t>
      </w:r>
    </w:p>
    <w:p w14:paraId="659265A2">
      <w:pPr>
        <w:spacing w:line="360" w:lineRule="auto"/>
        <w:ind w:firstLine="420" w:firstLineChars="200"/>
        <w:rPr>
          <w:rFonts w:ascii="宋体" w:hAnsi="宋体" w:cs="宋体"/>
          <w:szCs w:val="21"/>
          <w:highlight w:val="none"/>
        </w:rPr>
      </w:pPr>
      <w:r>
        <w:rPr>
          <w:rFonts w:hint="eastAsia" w:ascii="宋体" w:hAnsi="宋体" w:cs="宋体"/>
          <w:szCs w:val="21"/>
          <w:highlight w:val="none"/>
        </w:rPr>
        <w:t>3.2驾驶人员认真检查车辆运行情况，如实填写工作记录，出现问题及时报告管理人员。</w:t>
      </w:r>
    </w:p>
    <w:p w14:paraId="6FA36936">
      <w:pPr>
        <w:spacing w:line="360" w:lineRule="auto"/>
        <w:ind w:firstLine="420" w:firstLineChars="200"/>
        <w:rPr>
          <w:rFonts w:ascii="宋体" w:hAnsi="宋体" w:cs="宋体"/>
          <w:szCs w:val="21"/>
          <w:highlight w:val="none"/>
        </w:rPr>
      </w:pPr>
      <w:r>
        <w:rPr>
          <w:rFonts w:hint="eastAsia" w:ascii="宋体" w:hAnsi="宋体" w:cs="宋体"/>
          <w:szCs w:val="21"/>
          <w:highlight w:val="none"/>
        </w:rPr>
        <w:t>3.3接听电话要认真记录报告信息，并及时安排人员、车辆进行收集、运输，不得无故拒绝、拖延到场收集。</w:t>
      </w:r>
    </w:p>
    <w:p w14:paraId="7A4C23A5">
      <w:pPr>
        <w:spacing w:line="360" w:lineRule="auto"/>
        <w:ind w:firstLine="420" w:firstLineChars="200"/>
        <w:rPr>
          <w:rFonts w:ascii="宋体" w:hAnsi="宋体" w:cs="宋体"/>
          <w:szCs w:val="21"/>
          <w:highlight w:val="none"/>
        </w:rPr>
      </w:pPr>
      <w:r>
        <w:rPr>
          <w:rFonts w:hint="eastAsia" w:ascii="宋体" w:hAnsi="宋体" w:cs="宋体"/>
          <w:szCs w:val="21"/>
          <w:highlight w:val="none"/>
        </w:rPr>
        <w:t>3.4管理人员认真检查接收单、移交单和台账是否准确、规范地填写，每月按时上交月报表。</w:t>
      </w:r>
    </w:p>
    <w:p w14:paraId="730EF1E6">
      <w:pPr>
        <w:spacing w:line="360" w:lineRule="auto"/>
        <w:ind w:firstLine="420" w:firstLineChars="200"/>
        <w:rPr>
          <w:rFonts w:ascii="宋体" w:hAnsi="宋体" w:cs="宋体"/>
          <w:szCs w:val="21"/>
          <w:highlight w:val="none"/>
        </w:rPr>
      </w:pPr>
      <w:r>
        <w:rPr>
          <w:rFonts w:hint="eastAsia" w:ascii="宋体" w:hAnsi="宋体" w:cs="宋体"/>
          <w:szCs w:val="21"/>
          <w:highlight w:val="none"/>
        </w:rPr>
        <w:t>3.5收集人员工作时间不得饮酒。</w:t>
      </w:r>
    </w:p>
    <w:p w14:paraId="25ACA912">
      <w:pPr>
        <w:spacing w:line="360" w:lineRule="auto"/>
        <w:ind w:firstLine="420" w:firstLineChars="200"/>
        <w:rPr>
          <w:rFonts w:ascii="宋体" w:hAnsi="宋体" w:cs="宋体"/>
          <w:szCs w:val="21"/>
          <w:highlight w:val="none"/>
        </w:rPr>
      </w:pPr>
      <w:r>
        <w:rPr>
          <w:rFonts w:hint="eastAsia" w:ascii="宋体" w:hAnsi="宋体" w:cs="宋体"/>
          <w:szCs w:val="21"/>
          <w:highlight w:val="none"/>
        </w:rPr>
        <w:t>3.6下班前检查好办公室水电，锁好门窗。</w:t>
      </w:r>
    </w:p>
    <w:p w14:paraId="4C95C9F3">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w:t>
      </w:r>
      <w:r>
        <w:rPr>
          <w:rFonts w:hint="eastAsia" w:ascii="宋体" w:hAnsi="宋体" w:cs="宋体"/>
          <w:szCs w:val="21"/>
          <w:highlight w:val="none"/>
        </w:rPr>
        <w:t>执行标准要求</w:t>
      </w:r>
    </w:p>
    <w:p w14:paraId="21B89897">
      <w:pPr>
        <w:spacing w:line="360" w:lineRule="auto"/>
        <w:ind w:firstLine="420" w:firstLineChars="200"/>
        <w:rPr>
          <w:rFonts w:ascii="宋体" w:hAnsi="宋体" w:cs="宋体"/>
          <w:szCs w:val="21"/>
          <w:highlight w:val="none"/>
        </w:rPr>
      </w:pPr>
      <w:r>
        <w:rPr>
          <w:rFonts w:hint="eastAsia" w:ascii="宋体" w:hAnsi="宋体" w:cs="宋体"/>
          <w:szCs w:val="21"/>
          <w:highlight w:val="none"/>
        </w:rPr>
        <w:t>4.1采购项目需执行《中华人民共和国动物防疫法》要求。</w:t>
      </w:r>
    </w:p>
    <w:p w14:paraId="44B845DE">
      <w:pPr>
        <w:spacing w:line="360" w:lineRule="auto"/>
        <w:ind w:firstLine="420" w:firstLineChars="200"/>
        <w:rPr>
          <w:rFonts w:ascii="宋体" w:hAnsi="宋体" w:cs="宋体"/>
          <w:szCs w:val="21"/>
          <w:highlight w:val="none"/>
        </w:rPr>
      </w:pPr>
      <w:r>
        <w:rPr>
          <w:rFonts w:hint="eastAsia" w:ascii="宋体" w:hAnsi="宋体" w:cs="宋体"/>
          <w:szCs w:val="21"/>
          <w:highlight w:val="none"/>
        </w:rPr>
        <w:t>4.2采购项目需执行的国家相关标准、行业标准、地方标准或者其他标准、规范；</w:t>
      </w:r>
    </w:p>
    <w:p w14:paraId="6B0D5CA6">
      <w:pPr>
        <w:spacing w:line="360" w:lineRule="auto"/>
        <w:ind w:firstLine="420" w:firstLineChars="200"/>
        <w:rPr>
          <w:rFonts w:ascii="宋体" w:hAnsi="宋体" w:cs="宋体"/>
          <w:szCs w:val="21"/>
          <w:highlight w:val="none"/>
        </w:rPr>
      </w:pPr>
      <w:r>
        <w:rPr>
          <w:rFonts w:hint="eastAsia" w:ascii="宋体" w:hAnsi="宋体" w:cs="宋体"/>
          <w:szCs w:val="21"/>
          <w:highlight w:val="none"/>
        </w:rPr>
        <w:t>4.3供应商所投产品应符合国家有关法律、法规、规章的规定以及国家现行相关政策的要求（如：中国强制性产品认证制度）</w:t>
      </w:r>
    </w:p>
    <w:p w14:paraId="4BC97098">
      <w:pPr>
        <w:spacing w:line="360" w:lineRule="auto"/>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六、无害化处理服务考核方案</w:t>
      </w:r>
    </w:p>
    <w:tbl>
      <w:tblPr>
        <w:tblStyle w:val="26"/>
        <w:tblpPr w:leftFromText="180" w:rightFromText="180" w:vertAnchor="text" w:horzAnchor="page" w:tblpX="1330" w:tblpY="131"/>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8400"/>
      </w:tblGrid>
      <w:tr w14:paraId="1FA5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10" w:type="dxa"/>
            <w:vAlign w:val="center"/>
          </w:tcPr>
          <w:p w14:paraId="447CE8BA">
            <w:pPr>
              <w:pStyle w:val="21"/>
              <w:ind w:left="0" w:leftChars="0"/>
              <w:rPr>
                <w:rFonts w:ascii="宋体" w:hAnsi="宋体" w:cs="宋体"/>
                <w:color w:val="000000"/>
                <w:szCs w:val="21"/>
                <w:highlight w:val="none"/>
              </w:rPr>
            </w:pPr>
            <w:r>
              <w:rPr>
                <w:rFonts w:hint="eastAsia" w:ascii="宋体" w:hAnsi="宋体" w:cs="宋体"/>
                <w:color w:val="000000"/>
                <w:szCs w:val="21"/>
                <w:highlight w:val="none"/>
              </w:rPr>
              <w:t>项目名称</w:t>
            </w:r>
          </w:p>
        </w:tc>
        <w:tc>
          <w:tcPr>
            <w:tcW w:w="8400" w:type="dxa"/>
            <w:vAlign w:val="center"/>
          </w:tcPr>
          <w:p w14:paraId="33C08CAF">
            <w:pPr>
              <w:adjustRightInd w:val="0"/>
              <w:snapToGrid w:val="0"/>
              <w:spacing w:after="156" w:afterLines="50" w:line="300" w:lineRule="exact"/>
              <w:jc w:val="center"/>
              <w:rPr>
                <w:rFonts w:ascii="宋体" w:hAnsi="宋体" w:cs="宋体"/>
                <w:color w:val="000000"/>
                <w:szCs w:val="21"/>
                <w:highlight w:val="none"/>
              </w:rPr>
            </w:pPr>
            <w:r>
              <w:rPr>
                <w:rFonts w:hint="eastAsia" w:ascii="宋体" w:hAnsi="宋体" w:cs="宋体"/>
                <w:color w:val="000000"/>
                <w:szCs w:val="21"/>
                <w:highlight w:val="none"/>
              </w:rPr>
              <w:t>扣罚记分细则</w:t>
            </w:r>
          </w:p>
        </w:tc>
      </w:tr>
      <w:tr w14:paraId="66CB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10" w:type="dxa"/>
            <w:vAlign w:val="center"/>
          </w:tcPr>
          <w:p w14:paraId="0B539954">
            <w:pPr>
              <w:jc w:val="center"/>
              <w:rPr>
                <w:rFonts w:ascii="宋体" w:hAnsi="宋体" w:cs="宋体"/>
                <w:color w:val="000000"/>
                <w:szCs w:val="21"/>
                <w:highlight w:val="none"/>
              </w:rPr>
            </w:pPr>
            <w:r>
              <w:rPr>
                <w:rFonts w:hint="eastAsia" w:ascii="宋体" w:hAnsi="宋体" w:cs="宋体"/>
                <w:color w:val="000000"/>
                <w:szCs w:val="21"/>
                <w:highlight w:val="none"/>
              </w:rPr>
              <w:t>人员要求</w:t>
            </w:r>
          </w:p>
        </w:tc>
        <w:tc>
          <w:tcPr>
            <w:tcW w:w="8400" w:type="dxa"/>
            <w:vAlign w:val="center"/>
          </w:tcPr>
          <w:p w14:paraId="35576703">
            <w:pPr>
              <w:rPr>
                <w:rFonts w:ascii="宋体" w:hAnsi="宋体" w:cs="宋体"/>
                <w:color w:val="000000"/>
                <w:szCs w:val="21"/>
                <w:highlight w:val="none"/>
              </w:rPr>
            </w:pPr>
            <w:r>
              <w:rPr>
                <w:rFonts w:hint="eastAsia" w:ascii="宋体" w:hAnsi="宋体" w:cs="宋体"/>
                <w:color w:val="000000"/>
                <w:szCs w:val="21"/>
                <w:highlight w:val="none"/>
              </w:rPr>
              <w:t>乙方需保证无害化处理人员按时上岗，在考核过程中发现无人在岗的每次扣2分；</w:t>
            </w:r>
          </w:p>
        </w:tc>
      </w:tr>
      <w:tr w14:paraId="16C4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0" w:type="dxa"/>
            <w:vMerge w:val="restart"/>
            <w:vAlign w:val="center"/>
          </w:tcPr>
          <w:p w14:paraId="72A6420C">
            <w:pPr>
              <w:adjustRightInd w:val="0"/>
              <w:snapToGrid w:val="0"/>
              <w:spacing w:after="156" w:afterLines="50" w:line="300" w:lineRule="exact"/>
              <w:jc w:val="center"/>
              <w:rPr>
                <w:rFonts w:ascii="宋体" w:hAnsi="宋体" w:cs="宋体"/>
                <w:color w:val="000000"/>
                <w:szCs w:val="21"/>
                <w:highlight w:val="none"/>
              </w:rPr>
            </w:pPr>
            <w:r>
              <w:rPr>
                <w:rFonts w:hint="eastAsia" w:ascii="宋体" w:hAnsi="宋体" w:cs="宋体"/>
                <w:color w:val="000000"/>
                <w:szCs w:val="21"/>
                <w:highlight w:val="none"/>
              </w:rPr>
              <w:t>病死动物收集</w:t>
            </w:r>
          </w:p>
        </w:tc>
        <w:tc>
          <w:tcPr>
            <w:tcW w:w="8400" w:type="dxa"/>
            <w:vMerge w:val="restart"/>
            <w:vAlign w:val="center"/>
          </w:tcPr>
          <w:p w14:paraId="55BA32B0">
            <w:pPr>
              <w:snapToGrid w:val="0"/>
              <w:rPr>
                <w:rFonts w:ascii="宋体" w:hAnsi="宋体" w:cs="宋体"/>
                <w:szCs w:val="21"/>
                <w:highlight w:val="none"/>
              </w:rPr>
            </w:pPr>
            <w:r>
              <w:rPr>
                <w:rFonts w:hint="eastAsia" w:ascii="宋体" w:hAnsi="宋体" w:cs="宋体"/>
                <w:szCs w:val="21"/>
                <w:highlight w:val="none"/>
              </w:rPr>
              <w:t>1.乙方自接到收集要求后在规定时间内完成收集工作，未按时完成收集工作每次扣2分，超出规定时间每增加24小时加扣2分；</w:t>
            </w:r>
          </w:p>
          <w:p w14:paraId="5D6AAECF">
            <w:pPr>
              <w:snapToGrid w:val="0"/>
              <w:rPr>
                <w:rFonts w:ascii="宋体" w:hAnsi="宋体" w:cs="宋体"/>
                <w:szCs w:val="21"/>
                <w:highlight w:val="none"/>
              </w:rPr>
            </w:pPr>
            <w:r>
              <w:rPr>
                <w:rFonts w:hint="eastAsia" w:ascii="宋体" w:hAnsi="宋体" w:cs="宋体"/>
                <w:szCs w:val="21"/>
                <w:highlight w:val="none"/>
              </w:rPr>
              <w:t>2.乙方在收集过程中对服务对象额外收费、没有按照甲方及相关法律法规规定进行规范性操作的，经甲方核实每次扣3分；</w:t>
            </w:r>
          </w:p>
          <w:p w14:paraId="27A49C97">
            <w:pPr>
              <w:snapToGrid w:val="0"/>
              <w:rPr>
                <w:rFonts w:hint="eastAsia" w:ascii="宋体" w:hAnsi="宋体" w:cs="宋体"/>
                <w:szCs w:val="21"/>
                <w:highlight w:val="none"/>
              </w:rPr>
            </w:pPr>
            <w:r>
              <w:rPr>
                <w:rFonts w:hint="eastAsia" w:ascii="宋体" w:hAnsi="宋体" w:cs="宋体"/>
                <w:szCs w:val="21"/>
                <w:highlight w:val="none"/>
              </w:rPr>
              <w:t>3.根据处理中心、养殖场冷库病死动物库存合理安排大型规模养殖场收运时间，因乙方未合理安排收运时间导致收运不及时的，经甲方核实每次扣3分；</w:t>
            </w:r>
          </w:p>
          <w:p w14:paraId="501C1A3B">
            <w:pPr>
              <w:snapToGrid w:val="0"/>
              <w:rPr>
                <w:rFonts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规模养殖场应单场收集，发现规模养殖场未单场收集的，每次扣2分。</w:t>
            </w:r>
          </w:p>
          <w:p w14:paraId="1CC19CBE">
            <w:pPr>
              <w:pStyle w:val="61"/>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5.应急处置应3小时内抵达现场，未按要求抵达的每次扣2分；</w:t>
            </w:r>
          </w:p>
          <w:p w14:paraId="3DE855CC">
            <w:pPr>
              <w:pStyle w:val="61"/>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6.应急处置的动物及其产品应当立即处理，不得暂存，未立即处理的每次扣2分</w:t>
            </w:r>
          </w:p>
        </w:tc>
      </w:tr>
      <w:tr w14:paraId="3A24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10" w:type="dxa"/>
            <w:vMerge w:val="continue"/>
            <w:vAlign w:val="center"/>
          </w:tcPr>
          <w:p w14:paraId="35147770">
            <w:pPr>
              <w:adjustRightInd w:val="0"/>
              <w:snapToGrid w:val="0"/>
              <w:spacing w:after="156" w:afterLines="50" w:line="300" w:lineRule="exact"/>
              <w:jc w:val="center"/>
              <w:rPr>
                <w:rFonts w:ascii="宋体" w:hAnsi="宋体" w:cs="宋体"/>
                <w:color w:val="000000"/>
                <w:szCs w:val="21"/>
                <w:highlight w:val="none"/>
              </w:rPr>
            </w:pPr>
          </w:p>
        </w:tc>
        <w:tc>
          <w:tcPr>
            <w:tcW w:w="8400" w:type="dxa"/>
            <w:vMerge w:val="continue"/>
            <w:vAlign w:val="center"/>
          </w:tcPr>
          <w:p w14:paraId="2689F910">
            <w:pPr>
              <w:adjustRightInd w:val="0"/>
              <w:snapToGrid w:val="0"/>
              <w:spacing w:after="156" w:afterLines="50" w:line="300" w:lineRule="exact"/>
              <w:jc w:val="center"/>
              <w:rPr>
                <w:rFonts w:ascii="宋体" w:hAnsi="宋体" w:cs="宋体"/>
                <w:color w:val="000000"/>
                <w:szCs w:val="21"/>
                <w:highlight w:val="none"/>
              </w:rPr>
            </w:pPr>
          </w:p>
        </w:tc>
      </w:tr>
      <w:tr w14:paraId="508E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110" w:type="dxa"/>
            <w:vMerge w:val="continue"/>
            <w:vAlign w:val="center"/>
          </w:tcPr>
          <w:p w14:paraId="6748B7E0">
            <w:pPr>
              <w:adjustRightInd w:val="0"/>
              <w:snapToGrid w:val="0"/>
              <w:spacing w:after="156" w:afterLines="50" w:line="300" w:lineRule="exact"/>
              <w:jc w:val="center"/>
              <w:rPr>
                <w:rFonts w:ascii="宋体" w:hAnsi="宋体" w:cs="宋体"/>
                <w:color w:val="000000"/>
                <w:szCs w:val="21"/>
                <w:highlight w:val="none"/>
              </w:rPr>
            </w:pPr>
          </w:p>
        </w:tc>
        <w:tc>
          <w:tcPr>
            <w:tcW w:w="8400" w:type="dxa"/>
            <w:vMerge w:val="continue"/>
            <w:vAlign w:val="center"/>
          </w:tcPr>
          <w:p w14:paraId="1FDCEA94">
            <w:pPr>
              <w:adjustRightInd w:val="0"/>
              <w:snapToGrid w:val="0"/>
              <w:spacing w:after="156" w:afterLines="50" w:line="300" w:lineRule="exact"/>
              <w:jc w:val="center"/>
              <w:rPr>
                <w:rFonts w:ascii="宋体" w:hAnsi="宋体" w:cs="宋体"/>
                <w:color w:val="000000"/>
                <w:szCs w:val="21"/>
                <w:highlight w:val="none"/>
              </w:rPr>
            </w:pPr>
          </w:p>
        </w:tc>
      </w:tr>
      <w:tr w14:paraId="09BE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10" w:type="dxa"/>
            <w:vMerge w:val="restart"/>
            <w:vAlign w:val="center"/>
          </w:tcPr>
          <w:p w14:paraId="4B69F06F">
            <w:pPr>
              <w:adjustRightInd w:val="0"/>
              <w:snapToGrid w:val="0"/>
              <w:spacing w:after="156" w:afterLines="50" w:line="300" w:lineRule="exact"/>
              <w:jc w:val="center"/>
              <w:rPr>
                <w:rFonts w:ascii="宋体" w:hAnsi="宋体" w:cs="宋体"/>
                <w:color w:val="000000"/>
                <w:szCs w:val="21"/>
                <w:highlight w:val="none"/>
              </w:rPr>
            </w:pPr>
            <w:r>
              <w:rPr>
                <w:rFonts w:hint="eastAsia" w:ascii="宋体" w:hAnsi="宋体" w:cs="宋体"/>
                <w:color w:val="000000"/>
                <w:szCs w:val="21"/>
                <w:highlight w:val="none"/>
              </w:rPr>
              <w:t>车辆要求</w:t>
            </w:r>
          </w:p>
        </w:tc>
        <w:tc>
          <w:tcPr>
            <w:tcW w:w="8400" w:type="dxa"/>
            <w:vMerge w:val="restart"/>
            <w:vAlign w:val="center"/>
          </w:tcPr>
          <w:p w14:paraId="46B2D13E">
            <w:pPr>
              <w:numPr>
                <w:ilvl w:val="0"/>
                <w:numId w:val="0"/>
              </w:numPr>
              <w:autoSpaceDE w:val="0"/>
              <w:autoSpaceDN w:val="0"/>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投入本项的专用车辆未经同意用于其他地方的每次扣3分；</w:t>
            </w:r>
          </w:p>
          <w:p w14:paraId="13A9A201">
            <w:pPr>
              <w:numPr>
                <w:ilvl w:val="0"/>
                <w:numId w:val="0"/>
              </w:numPr>
              <w:autoSpaceDE w:val="0"/>
              <w:autoSpaceDN w:val="0"/>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乙方要确保监控系统、定位系统正常运行，乙方无故关停监控系统、定位系统每次扣3分；</w:t>
            </w:r>
          </w:p>
          <w:p w14:paraId="1D55BB47">
            <w:pPr>
              <w:numPr>
                <w:ilvl w:val="0"/>
                <w:numId w:val="0"/>
              </w:numPr>
              <w:autoSpaceDE w:val="0"/>
              <w:autoSpaceDN w:val="0"/>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乙方要确保车辆要按规定进行对车辆进行清洗、消毒、烘干（熏蒸），如被发现没有按规定消毒或消毒效果不佳（非洲猪瘟PCR检测阳性等）的每次扣2分；</w:t>
            </w:r>
          </w:p>
          <w:p w14:paraId="554871AE">
            <w:pPr>
              <w:numPr>
                <w:ilvl w:val="0"/>
                <w:numId w:val="0"/>
              </w:numPr>
              <w:autoSpaceDE w:val="0"/>
              <w:autoSpaceDN w:val="0"/>
              <w:adjustRightInd w:val="0"/>
              <w:snapToGrid w:val="0"/>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监控系统、定位系统发生损坏、故障等无法正常运行情况，确保24小时内修复，超出规定时间每增加24小时扣2分。</w:t>
            </w:r>
          </w:p>
          <w:p w14:paraId="22F12360">
            <w:pPr>
              <w:numPr>
                <w:ilvl w:val="0"/>
                <w:numId w:val="0"/>
              </w:numPr>
              <w:autoSpaceDE w:val="0"/>
              <w:autoSpaceDN w:val="0"/>
              <w:adjustRightInd w:val="0"/>
              <w:snapToGrid w:val="0"/>
              <w:rPr>
                <w:rFonts w:ascii="宋体" w:hAnsi="宋体" w:cs="宋体"/>
                <w:szCs w:val="21"/>
                <w:highlight w:val="none"/>
              </w:rPr>
            </w:pPr>
            <w:r>
              <w:rPr>
                <w:rFonts w:hint="eastAsia" w:ascii="宋体" w:hAnsi="宋体" w:cs="宋体"/>
                <w:color w:val="000000"/>
                <w:szCs w:val="21"/>
                <w:highlight w:val="none"/>
                <w:lang w:val="en-US" w:eastAsia="zh-CN"/>
              </w:rPr>
              <w:t>5.</w:t>
            </w:r>
            <w:r>
              <w:rPr>
                <w:rFonts w:hint="eastAsia" w:ascii="宋体" w:hAnsi="宋体" w:cs="宋体"/>
                <w:szCs w:val="21"/>
                <w:highlight w:val="none"/>
              </w:rPr>
              <w:t>如发现应运输车辆在运输过程中因密封问题造成环境污染的，每次扣5分。</w:t>
            </w:r>
          </w:p>
        </w:tc>
      </w:tr>
      <w:tr w14:paraId="1DE1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0" w:type="dxa"/>
            <w:vMerge w:val="continue"/>
            <w:vAlign w:val="center"/>
          </w:tcPr>
          <w:p w14:paraId="073206E4">
            <w:pPr>
              <w:adjustRightInd w:val="0"/>
              <w:snapToGrid w:val="0"/>
              <w:spacing w:after="156" w:afterLines="50" w:line="300" w:lineRule="exact"/>
              <w:jc w:val="center"/>
              <w:rPr>
                <w:rFonts w:ascii="宋体" w:hAnsi="宋体" w:cs="宋体"/>
                <w:color w:val="000000"/>
                <w:szCs w:val="21"/>
                <w:highlight w:val="none"/>
              </w:rPr>
            </w:pPr>
          </w:p>
        </w:tc>
        <w:tc>
          <w:tcPr>
            <w:tcW w:w="8400" w:type="dxa"/>
            <w:vMerge w:val="continue"/>
            <w:vAlign w:val="center"/>
          </w:tcPr>
          <w:p w14:paraId="6C4649B7">
            <w:pPr>
              <w:adjustRightInd w:val="0"/>
              <w:snapToGrid w:val="0"/>
              <w:spacing w:after="156" w:afterLines="50" w:line="300" w:lineRule="exact"/>
              <w:jc w:val="center"/>
              <w:rPr>
                <w:rFonts w:ascii="宋体" w:hAnsi="宋体" w:cs="宋体"/>
                <w:color w:val="000000"/>
                <w:szCs w:val="21"/>
                <w:highlight w:val="none"/>
              </w:rPr>
            </w:pPr>
          </w:p>
        </w:tc>
      </w:tr>
      <w:tr w14:paraId="5726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110" w:type="dxa"/>
            <w:vMerge w:val="continue"/>
            <w:vAlign w:val="center"/>
          </w:tcPr>
          <w:p w14:paraId="49603782">
            <w:pPr>
              <w:adjustRightInd w:val="0"/>
              <w:snapToGrid w:val="0"/>
              <w:spacing w:after="156" w:afterLines="50" w:line="300" w:lineRule="exact"/>
              <w:jc w:val="center"/>
              <w:rPr>
                <w:rFonts w:ascii="宋体" w:hAnsi="宋体" w:cs="宋体"/>
                <w:color w:val="000000"/>
                <w:szCs w:val="21"/>
                <w:highlight w:val="none"/>
              </w:rPr>
            </w:pPr>
          </w:p>
        </w:tc>
        <w:tc>
          <w:tcPr>
            <w:tcW w:w="8400" w:type="dxa"/>
            <w:vMerge w:val="continue"/>
            <w:vAlign w:val="center"/>
          </w:tcPr>
          <w:p w14:paraId="765A8A50">
            <w:pPr>
              <w:jc w:val="left"/>
              <w:rPr>
                <w:rFonts w:ascii="宋体" w:hAnsi="宋体" w:cs="宋体"/>
                <w:color w:val="000000"/>
                <w:szCs w:val="21"/>
                <w:highlight w:val="none"/>
              </w:rPr>
            </w:pPr>
          </w:p>
        </w:tc>
      </w:tr>
      <w:tr w14:paraId="0B13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110" w:type="dxa"/>
            <w:vAlign w:val="center"/>
          </w:tcPr>
          <w:p w14:paraId="3927D8D3">
            <w:pPr>
              <w:tabs>
                <w:tab w:val="left" w:pos="3230"/>
              </w:tabs>
              <w:jc w:val="center"/>
              <w:rPr>
                <w:rFonts w:ascii="宋体" w:hAnsi="宋体" w:cs="宋体"/>
                <w:color w:val="000000"/>
                <w:szCs w:val="21"/>
                <w:highlight w:val="none"/>
              </w:rPr>
            </w:pPr>
            <w:r>
              <w:rPr>
                <w:rFonts w:hint="eastAsia" w:ascii="宋体" w:hAnsi="宋体" w:cs="宋体"/>
                <w:color w:val="000000"/>
                <w:szCs w:val="21"/>
                <w:highlight w:val="none"/>
              </w:rPr>
              <w:t>设施设备运维</w:t>
            </w:r>
          </w:p>
        </w:tc>
        <w:tc>
          <w:tcPr>
            <w:tcW w:w="8400" w:type="dxa"/>
            <w:vAlign w:val="center"/>
          </w:tcPr>
          <w:p w14:paraId="28873A97">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1.乙方要确保处理厂的设备正常运行，非不可抗力情况下，造成设备损坏影响处理工作无法正常进行的每次扣3分；</w:t>
            </w:r>
          </w:p>
          <w:p w14:paraId="395781C5">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2.处理厂设备发生损坏的，乙方要对其在48小时内进行修复，超出48小时的每增加24小时扣2分；</w:t>
            </w:r>
          </w:p>
          <w:p w14:paraId="77A80E5B">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3.乙方要确保无害化处理厂的监控系统正常运行，非不可抗力情况下，乙方无故关停监控系统、定位系统每次扣3分；</w:t>
            </w:r>
          </w:p>
          <w:p w14:paraId="2ACFFE10">
            <w:pPr>
              <w:pStyle w:val="61"/>
              <w:rPr>
                <w:rFonts w:ascii="宋体" w:hAnsi="宋体" w:eastAsia="宋体" w:cs="宋体"/>
                <w:sz w:val="21"/>
                <w:szCs w:val="21"/>
                <w:highlight w:val="none"/>
              </w:rPr>
            </w:pPr>
            <w:r>
              <w:rPr>
                <w:rFonts w:hint="eastAsia" w:ascii="宋体" w:hAnsi="宋体" w:eastAsia="宋体" w:cs="宋体"/>
                <w:sz w:val="21"/>
                <w:szCs w:val="21"/>
                <w:highlight w:val="none"/>
              </w:rPr>
              <w:t>4.无害化处理厂的监控系统发生损坏、故障等无法正常运行情况，确保24小时内修复，超出规定时间每增加24小时扣2分。</w:t>
            </w:r>
          </w:p>
        </w:tc>
      </w:tr>
      <w:tr w14:paraId="170F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10" w:type="dxa"/>
            <w:vAlign w:val="center"/>
          </w:tcPr>
          <w:p w14:paraId="5E24B780">
            <w:pPr>
              <w:tabs>
                <w:tab w:val="left" w:pos="3230"/>
              </w:tabs>
              <w:jc w:val="center"/>
              <w:rPr>
                <w:rFonts w:ascii="宋体" w:hAnsi="宋体" w:cs="宋体"/>
                <w:color w:val="000000"/>
                <w:szCs w:val="21"/>
                <w:highlight w:val="none"/>
              </w:rPr>
            </w:pPr>
            <w:r>
              <w:rPr>
                <w:rFonts w:hint="eastAsia" w:ascii="宋体" w:hAnsi="宋体" w:cs="宋体"/>
                <w:color w:val="000000"/>
                <w:szCs w:val="21"/>
                <w:highlight w:val="none"/>
              </w:rPr>
              <w:t>产物管理</w:t>
            </w:r>
          </w:p>
        </w:tc>
        <w:tc>
          <w:tcPr>
            <w:tcW w:w="8400" w:type="dxa"/>
            <w:vAlign w:val="center"/>
          </w:tcPr>
          <w:p w14:paraId="7F8C415D">
            <w:pPr>
              <w:pStyle w:val="61"/>
              <w:rPr>
                <w:rFonts w:ascii="宋体" w:hAnsi="宋体" w:eastAsia="宋体" w:cs="宋体"/>
                <w:sz w:val="21"/>
                <w:szCs w:val="21"/>
                <w:highlight w:val="none"/>
              </w:rPr>
            </w:pPr>
            <w:r>
              <w:rPr>
                <w:rFonts w:hint="eastAsia" w:ascii="宋体" w:hAnsi="宋体" w:eastAsia="宋体" w:cs="宋体"/>
                <w:sz w:val="21"/>
                <w:szCs w:val="21"/>
                <w:highlight w:val="none"/>
              </w:rPr>
              <w:t>1.无害化处理产物应当交由有资质单位进行处理，签订产物处理协议，形成交接凭证，并建立移交台账。未形成交接凭证的每发现一次扣2分；未建立移交台账的，每次扣2分。</w:t>
            </w:r>
          </w:p>
        </w:tc>
      </w:tr>
      <w:tr w14:paraId="5430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10" w:type="dxa"/>
            <w:vMerge w:val="restart"/>
            <w:vAlign w:val="center"/>
          </w:tcPr>
          <w:p w14:paraId="78A8E7C1">
            <w:pPr>
              <w:tabs>
                <w:tab w:val="left" w:pos="3230"/>
              </w:tabs>
              <w:jc w:val="center"/>
              <w:rPr>
                <w:rFonts w:ascii="宋体" w:hAnsi="宋体" w:cs="宋体"/>
                <w:color w:val="000000"/>
                <w:szCs w:val="21"/>
                <w:highlight w:val="none"/>
              </w:rPr>
            </w:pPr>
            <w:r>
              <w:rPr>
                <w:rFonts w:hint="eastAsia" w:ascii="宋体" w:hAnsi="宋体" w:cs="宋体"/>
                <w:color w:val="000000"/>
                <w:szCs w:val="21"/>
                <w:highlight w:val="none"/>
              </w:rPr>
              <w:t>其他情况</w:t>
            </w:r>
          </w:p>
        </w:tc>
        <w:tc>
          <w:tcPr>
            <w:tcW w:w="8400" w:type="dxa"/>
            <w:vMerge w:val="restart"/>
            <w:vAlign w:val="center"/>
          </w:tcPr>
          <w:p w14:paraId="39023FC5">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1.发生安全事故的，由于乙方管理不善发生安全事故的扣10分；</w:t>
            </w:r>
          </w:p>
          <w:p w14:paraId="5878FED0">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2.针对甲方指出的相关问题须整改到位，未在规定时间内按要求及时整改到位的，每次扣5分；</w:t>
            </w:r>
          </w:p>
          <w:p w14:paraId="68B24D1E">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3.未经同意将云和县外动物及其产品拉入云和县每次扣10分；</w:t>
            </w:r>
          </w:p>
          <w:p w14:paraId="378E67DE">
            <w:pPr>
              <w:pStyle w:val="61"/>
              <w:rPr>
                <w:rFonts w:ascii="宋体" w:hAnsi="宋体" w:eastAsia="宋体" w:cs="宋体"/>
                <w:sz w:val="21"/>
                <w:szCs w:val="21"/>
                <w:highlight w:val="none"/>
              </w:rPr>
            </w:pPr>
            <w:r>
              <w:rPr>
                <w:rFonts w:hint="eastAsia" w:ascii="宋体" w:hAnsi="宋体" w:eastAsia="宋体" w:cs="宋体"/>
                <w:sz w:val="21"/>
                <w:szCs w:val="21"/>
                <w:highlight w:val="none"/>
              </w:rPr>
              <w:t>4.未经同意将云和县动物及其产品拉出云和县每次扣10分；</w:t>
            </w:r>
          </w:p>
          <w:p w14:paraId="5DE269A6">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5.自觉接受甲方及有关监管部门检查，台账记录不健全每次扣2分，收集交接凭证、月报表、浙江省畜禽无害化处理模块数据不一致的，每次扣2分；</w:t>
            </w:r>
          </w:p>
          <w:p w14:paraId="62FFE831">
            <w:pPr>
              <w:autoSpaceDE w:val="0"/>
              <w:autoSpaceDN w:val="0"/>
              <w:adjustRightInd w:val="0"/>
              <w:snapToGrid w:val="0"/>
              <w:rPr>
                <w:rFonts w:ascii="宋体" w:hAnsi="宋体" w:cs="宋体"/>
                <w:szCs w:val="21"/>
                <w:highlight w:val="none"/>
              </w:rPr>
            </w:pPr>
            <w:r>
              <w:rPr>
                <w:rFonts w:hint="eastAsia" w:ascii="宋体" w:hAnsi="宋体" w:cs="宋体"/>
                <w:szCs w:val="21"/>
                <w:highlight w:val="none"/>
              </w:rPr>
              <w:t>6.被行政处罚的每次扣10分；</w:t>
            </w:r>
          </w:p>
          <w:p w14:paraId="22FC88DB">
            <w:pPr>
              <w:pStyle w:val="61"/>
              <w:rPr>
                <w:rFonts w:ascii="宋体" w:hAnsi="宋体" w:eastAsia="宋体" w:cs="宋体"/>
                <w:sz w:val="21"/>
                <w:szCs w:val="21"/>
                <w:highlight w:val="none"/>
              </w:rPr>
            </w:pPr>
            <w:r>
              <w:rPr>
                <w:rFonts w:hint="eastAsia" w:ascii="宋体" w:hAnsi="宋体" w:eastAsia="宋体" w:cs="宋体"/>
                <w:sz w:val="21"/>
                <w:szCs w:val="21"/>
                <w:highlight w:val="none"/>
              </w:rPr>
              <w:t>7.被媒体曝光负面新闻并核实，每次扣10分，且未在规定期限内完成整改的，每次分别扣10分。</w:t>
            </w:r>
          </w:p>
        </w:tc>
      </w:tr>
      <w:tr w14:paraId="2420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10" w:type="dxa"/>
            <w:vMerge w:val="continue"/>
            <w:vAlign w:val="center"/>
          </w:tcPr>
          <w:p w14:paraId="73958E46">
            <w:pPr>
              <w:tabs>
                <w:tab w:val="left" w:pos="3230"/>
              </w:tabs>
              <w:jc w:val="center"/>
              <w:rPr>
                <w:rFonts w:ascii="宋体" w:hAnsi="宋体" w:cs="宋体"/>
                <w:color w:val="000000"/>
                <w:szCs w:val="21"/>
                <w:highlight w:val="none"/>
              </w:rPr>
            </w:pPr>
          </w:p>
        </w:tc>
        <w:tc>
          <w:tcPr>
            <w:tcW w:w="8400" w:type="dxa"/>
            <w:vMerge w:val="continue"/>
            <w:vAlign w:val="center"/>
          </w:tcPr>
          <w:p w14:paraId="24C8D720">
            <w:pPr>
              <w:tabs>
                <w:tab w:val="left" w:pos="3230"/>
              </w:tabs>
              <w:jc w:val="center"/>
              <w:rPr>
                <w:rFonts w:ascii="宋体" w:hAnsi="宋体" w:cs="宋体"/>
                <w:color w:val="000000"/>
                <w:szCs w:val="21"/>
                <w:highlight w:val="none"/>
              </w:rPr>
            </w:pPr>
          </w:p>
        </w:tc>
      </w:tr>
      <w:tr w14:paraId="06FF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10" w:type="dxa"/>
            <w:vMerge w:val="continue"/>
            <w:vAlign w:val="center"/>
          </w:tcPr>
          <w:p w14:paraId="3D3FE5AC">
            <w:pPr>
              <w:tabs>
                <w:tab w:val="left" w:pos="3230"/>
              </w:tabs>
              <w:jc w:val="center"/>
              <w:rPr>
                <w:rFonts w:ascii="宋体" w:hAnsi="宋体" w:cs="宋体"/>
                <w:color w:val="000000"/>
                <w:szCs w:val="21"/>
                <w:highlight w:val="none"/>
              </w:rPr>
            </w:pPr>
          </w:p>
        </w:tc>
        <w:tc>
          <w:tcPr>
            <w:tcW w:w="8400" w:type="dxa"/>
            <w:vMerge w:val="continue"/>
            <w:vAlign w:val="center"/>
          </w:tcPr>
          <w:p w14:paraId="08D96805">
            <w:pPr>
              <w:autoSpaceDE w:val="0"/>
              <w:autoSpaceDN w:val="0"/>
              <w:adjustRightInd w:val="0"/>
              <w:snapToGrid w:val="0"/>
              <w:spacing w:line="460" w:lineRule="atLeast"/>
              <w:rPr>
                <w:rFonts w:ascii="宋体" w:hAnsi="宋体" w:cs="宋体"/>
                <w:color w:val="000000"/>
                <w:szCs w:val="21"/>
                <w:highlight w:val="none"/>
              </w:rPr>
            </w:pPr>
          </w:p>
        </w:tc>
      </w:tr>
      <w:tr w14:paraId="7432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10" w:type="dxa"/>
            <w:vMerge w:val="continue"/>
            <w:vAlign w:val="center"/>
          </w:tcPr>
          <w:p w14:paraId="69850DE2">
            <w:pPr>
              <w:tabs>
                <w:tab w:val="left" w:pos="3230"/>
              </w:tabs>
              <w:jc w:val="center"/>
              <w:rPr>
                <w:rFonts w:ascii="宋体" w:hAnsi="宋体" w:cs="宋体"/>
                <w:color w:val="000000"/>
                <w:szCs w:val="21"/>
                <w:highlight w:val="none"/>
              </w:rPr>
            </w:pPr>
          </w:p>
        </w:tc>
        <w:tc>
          <w:tcPr>
            <w:tcW w:w="8400" w:type="dxa"/>
            <w:vMerge w:val="continue"/>
            <w:vAlign w:val="center"/>
          </w:tcPr>
          <w:p w14:paraId="42964CAB">
            <w:pPr>
              <w:tabs>
                <w:tab w:val="left" w:pos="3230"/>
              </w:tabs>
              <w:rPr>
                <w:rFonts w:ascii="宋体" w:hAnsi="宋体" w:cs="宋体"/>
                <w:color w:val="000000"/>
                <w:szCs w:val="21"/>
                <w:highlight w:val="none"/>
              </w:rPr>
            </w:pPr>
          </w:p>
        </w:tc>
      </w:tr>
      <w:tr w14:paraId="3634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10" w:type="dxa"/>
            <w:vMerge w:val="continue"/>
            <w:vAlign w:val="center"/>
          </w:tcPr>
          <w:p w14:paraId="4083462D">
            <w:pPr>
              <w:tabs>
                <w:tab w:val="left" w:pos="3230"/>
              </w:tabs>
              <w:jc w:val="center"/>
              <w:rPr>
                <w:rFonts w:ascii="宋体" w:hAnsi="宋体" w:cs="宋体"/>
                <w:color w:val="000000"/>
                <w:szCs w:val="21"/>
                <w:highlight w:val="none"/>
              </w:rPr>
            </w:pPr>
          </w:p>
        </w:tc>
        <w:tc>
          <w:tcPr>
            <w:tcW w:w="8400" w:type="dxa"/>
            <w:vMerge w:val="continue"/>
            <w:vAlign w:val="center"/>
          </w:tcPr>
          <w:p w14:paraId="516AC0B6">
            <w:pPr>
              <w:tabs>
                <w:tab w:val="left" w:pos="3230"/>
              </w:tabs>
              <w:rPr>
                <w:rFonts w:ascii="宋体" w:hAnsi="宋体" w:cs="宋体"/>
                <w:color w:val="000000"/>
                <w:szCs w:val="21"/>
                <w:highlight w:val="none"/>
              </w:rPr>
            </w:pPr>
          </w:p>
        </w:tc>
      </w:tr>
      <w:tr w14:paraId="7B9C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10" w:type="dxa"/>
            <w:vMerge w:val="continue"/>
            <w:vAlign w:val="center"/>
          </w:tcPr>
          <w:p w14:paraId="21FFB3C7">
            <w:pPr>
              <w:tabs>
                <w:tab w:val="left" w:pos="3230"/>
              </w:tabs>
              <w:jc w:val="center"/>
              <w:rPr>
                <w:rFonts w:ascii="宋体" w:hAnsi="宋体" w:cs="宋体"/>
                <w:color w:val="000000"/>
                <w:szCs w:val="21"/>
                <w:highlight w:val="none"/>
              </w:rPr>
            </w:pPr>
          </w:p>
        </w:tc>
        <w:tc>
          <w:tcPr>
            <w:tcW w:w="8400" w:type="dxa"/>
            <w:vMerge w:val="continue"/>
            <w:vAlign w:val="center"/>
          </w:tcPr>
          <w:p w14:paraId="1792CC6D">
            <w:pPr>
              <w:tabs>
                <w:tab w:val="left" w:pos="3230"/>
              </w:tabs>
              <w:jc w:val="center"/>
              <w:rPr>
                <w:rFonts w:ascii="宋体" w:hAnsi="宋体" w:cs="宋体"/>
                <w:color w:val="000000"/>
                <w:szCs w:val="21"/>
                <w:highlight w:val="none"/>
              </w:rPr>
            </w:pPr>
          </w:p>
        </w:tc>
      </w:tr>
      <w:tr w14:paraId="2B91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10" w:type="dxa"/>
            <w:gridSpan w:val="2"/>
            <w:vAlign w:val="center"/>
          </w:tcPr>
          <w:p w14:paraId="4FBB4466">
            <w:pPr>
              <w:tabs>
                <w:tab w:val="left" w:pos="3230"/>
              </w:tabs>
              <w:jc w:val="center"/>
              <w:rPr>
                <w:rFonts w:ascii="宋体" w:hAnsi="宋体" w:cs="宋体"/>
                <w:b/>
                <w:bCs/>
                <w:color w:val="000000"/>
                <w:szCs w:val="21"/>
                <w:highlight w:val="none"/>
              </w:rPr>
            </w:pPr>
            <w:r>
              <w:rPr>
                <w:rFonts w:hint="eastAsia" w:ascii="宋体" w:hAnsi="宋体" w:cs="宋体"/>
                <w:color w:val="000000"/>
                <w:szCs w:val="21"/>
                <w:highlight w:val="none"/>
              </w:rPr>
              <w:t>考核分=100-考核扣分值</w:t>
            </w:r>
          </w:p>
        </w:tc>
      </w:tr>
      <w:tr w14:paraId="65A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10" w:type="dxa"/>
            <w:gridSpan w:val="2"/>
            <w:vAlign w:val="center"/>
          </w:tcPr>
          <w:p w14:paraId="2EC2BF7B">
            <w:pPr>
              <w:tabs>
                <w:tab w:val="left" w:pos="3230"/>
              </w:tabs>
              <w:jc w:val="left"/>
              <w:rPr>
                <w:rFonts w:ascii="宋体" w:hAnsi="宋体" w:cs="宋体"/>
                <w:color w:val="000000"/>
                <w:szCs w:val="21"/>
                <w:highlight w:val="none"/>
              </w:rPr>
            </w:pPr>
            <w:r>
              <w:rPr>
                <w:rFonts w:hint="eastAsia" w:ascii="宋体" w:hAnsi="宋体" w:cs="宋体"/>
                <w:b/>
                <w:bCs/>
                <w:color w:val="000000"/>
                <w:szCs w:val="21"/>
                <w:highlight w:val="none"/>
              </w:rPr>
              <w:t>备注：</w:t>
            </w:r>
            <w:r>
              <w:rPr>
                <w:rFonts w:hint="eastAsia" w:ascii="宋体" w:hAnsi="宋体" w:cs="宋体"/>
                <w:szCs w:val="21"/>
                <w:highlight w:val="none"/>
              </w:rPr>
              <w:t>本考核长期执行，实时考核，一年内考核分扣减至不足80分的，甲方有权直接解除合同；考核周期以合同服务期起周年计，满一年后重新计分。</w:t>
            </w:r>
          </w:p>
        </w:tc>
      </w:tr>
    </w:tbl>
    <w:p w14:paraId="32AB3E51">
      <w:pPr>
        <w:rPr>
          <w:highlight w:val="none"/>
        </w:rPr>
      </w:pPr>
    </w:p>
    <w:p w14:paraId="43820BA2">
      <w:pPr>
        <w:rPr>
          <w:rFonts w:hint="eastAsia"/>
          <w:highlight w:val="none"/>
          <w:lang w:val="en-US" w:eastAsia="zh-CN"/>
        </w:rPr>
      </w:pPr>
    </w:p>
    <w:p w14:paraId="091368F4">
      <w:pPr>
        <w:pStyle w:val="2"/>
        <w:pageBreakBefore w:val="0"/>
        <w:tabs>
          <w:tab w:val="left" w:pos="1080"/>
        </w:tabs>
        <w:kinsoku/>
        <w:overflowPunct/>
        <w:topLinePunct w:val="0"/>
        <w:bidi w:val="0"/>
        <w:spacing w:line="400" w:lineRule="exact"/>
        <w:ind w:firstLine="0" w:firstLineChars="0"/>
        <w:jc w:val="center"/>
        <w:outlineLvl w:val="0"/>
        <w:rPr>
          <w:rFonts w:hint="eastAsia" w:ascii="宋体" w:hAnsi="宋体" w:eastAsia="宋体" w:cs="宋体"/>
          <w:color w:val="auto"/>
          <w:sz w:val="24"/>
          <w:szCs w:val="24"/>
          <w:highlight w:val="none"/>
        </w:rPr>
      </w:pPr>
      <w:r>
        <w:rPr>
          <w:rStyle w:val="32"/>
          <w:rFonts w:hint="eastAsia" w:ascii="宋体" w:hAnsi="宋体" w:eastAsia="宋体" w:cs="宋体"/>
          <w:b/>
          <w:bCs w:val="0"/>
          <w:color w:val="auto"/>
          <w:sz w:val="24"/>
          <w:szCs w:val="24"/>
          <w:highlight w:val="none"/>
          <w:lang w:val="en-US" w:eastAsia="zh-CN" w:bidi="ar-SA"/>
        </w:rPr>
        <w:t>第三章  供应商须知</w:t>
      </w:r>
      <w:bookmarkEnd w:id="15"/>
    </w:p>
    <w:p w14:paraId="732DA633">
      <w:pPr>
        <w:pStyle w:val="2"/>
        <w:pageBreakBefore w:val="0"/>
        <w:tabs>
          <w:tab w:val="left" w:pos="1080"/>
        </w:tabs>
        <w:kinsoku/>
        <w:overflowPunct/>
        <w:topLinePunct w:val="0"/>
        <w:bidi w:val="0"/>
        <w:spacing w:line="400" w:lineRule="exact"/>
        <w:ind w:firstLine="0" w:firstLineChars="0"/>
        <w:jc w:val="center"/>
        <w:outlineLvl w:val="1"/>
        <w:rPr>
          <w:rFonts w:hint="eastAsia" w:ascii="宋体" w:hAnsi="宋体" w:eastAsia="宋体" w:cs="宋体"/>
          <w:color w:val="auto"/>
          <w:sz w:val="21"/>
          <w:szCs w:val="21"/>
          <w:highlight w:val="none"/>
        </w:rPr>
      </w:pPr>
      <w:bookmarkStart w:id="19" w:name="_Toc2193"/>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 xml:space="preserve">  供应商须知前列表</w:t>
      </w:r>
      <w:bookmarkEnd w:id="16"/>
      <w:bookmarkEnd w:id="19"/>
    </w:p>
    <w:tbl>
      <w:tblPr>
        <w:tblStyle w:val="26"/>
        <w:tblW w:w="9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061"/>
        <w:gridCol w:w="1532"/>
        <w:gridCol w:w="4167"/>
      </w:tblGrid>
      <w:tr w14:paraId="35E49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2199" w:type="dxa"/>
            <w:tcBorders>
              <w:top w:val="double" w:color="auto" w:sz="4" w:space="0"/>
              <w:left w:val="double" w:color="auto" w:sz="4" w:space="0"/>
              <w:bottom w:val="single" w:color="auto" w:sz="4" w:space="0"/>
            </w:tcBorders>
            <w:vAlign w:val="center"/>
          </w:tcPr>
          <w:p w14:paraId="3FEA51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snapToGrid w:val="0"/>
                <w:color w:val="auto"/>
                <w:sz w:val="21"/>
                <w:szCs w:val="21"/>
                <w:highlight w:val="none"/>
              </w:rPr>
              <w:t>项目名称</w:t>
            </w:r>
          </w:p>
        </w:tc>
        <w:tc>
          <w:tcPr>
            <w:tcW w:w="7760" w:type="dxa"/>
            <w:gridSpan w:val="3"/>
            <w:tcBorders>
              <w:top w:val="double" w:color="auto" w:sz="4" w:space="0"/>
              <w:bottom w:val="single" w:color="auto" w:sz="4" w:space="0"/>
              <w:right w:val="double" w:color="auto" w:sz="4" w:space="0"/>
            </w:tcBorders>
            <w:vAlign w:val="center"/>
          </w:tcPr>
          <w:p w14:paraId="56CD68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eastAsia="zh-CN"/>
              </w:rPr>
              <w:t>云和县病死动物集中无害化处理中心采购项目</w:t>
            </w:r>
          </w:p>
        </w:tc>
      </w:tr>
      <w:tr w14:paraId="5128F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top w:val="single" w:color="auto" w:sz="4" w:space="0"/>
              <w:left w:val="double" w:color="auto" w:sz="4" w:space="0"/>
            </w:tcBorders>
            <w:vAlign w:val="center"/>
          </w:tcPr>
          <w:p w14:paraId="02BFB2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color w:val="auto"/>
                <w:sz w:val="21"/>
                <w:szCs w:val="21"/>
                <w:highlight w:val="none"/>
              </w:rPr>
              <w:t>采购编号</w:t>
            </w:r>
          </w:p>
        </w:tc>
        <w:tc>
          <w:tcPr>
            <w:tcW w:w="7760" w:type="dxa"/>
            <w:gridSpan w:val="3"/>
            <w:tcBorders>
              <w:top w:val="single" w:color="auto" w:sz="4" w:space="0"/>
              <w:right w:val="double" w:color="auto" w:sz="4" w:space="0"/>
            </w:tcBorders>
            <w:vAlign w:val="center"/>
          </w:tcPr>
          <w:p w14:paraId="6D531C2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FHCG2025-032号</w:t>
            </w:r>
          </w:p>
        </w:tc>
      </w:tr>
      <w:tr w14:paraId="05DD8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11D178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采购代理机构</w:t>
            </w:r>
          </w:p>
        </w:tc>
        <w:tc>
          <w:tcPr>
            <w:tcW w:w="7760" w:type="dxa"/>
            <w:gridSpan w:val="3"/>
            <w:tcBorders>
              <w:right w:val="double" w:color="auto" w:sz="4" w:space="0"/>
            </w:tcBorders>
            <w:vAlign w:val="center"/>
          </w:tcPr>
          <w:p w14:paraId="080ACED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云和县丰汇项目管理有限公司</w:t>
            </w:r>
          </w:p>
        </w:tc>
      </w:tr>
      <w:tr w14:paraId="5A614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02A16A55">
            <w:pPr>
              <w:keepNext w:val="0"/>
              <w:keepLines w:val="0"/>
              <w:pageBreakBefore w:val="0"/>
              <w:widowControl w:val="0"/>
              <w:kinsoku/>
              <w:wordWrap/>
              <w:overflowPunct/>
              <w:topLinePunct w:val="0"/>
              <w:autoSpaceDE/>
              <w:autoSpaceDN/>
              <w:bidi w:val="0"/>
              <w:adjustRightInd/>
              <w:snapToGrid/>
              <w:spacing w:line="300" w:lineRule="exact"/>
              <w:ind w:firstLine="521" w:firstLineChars="247"/>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联系人</w:t>
            </w:r>
          </w:p>
        </w:tc>
        <w:tc>
          <w:tcPr>
            <w:tcW w:w="2061" w:type="dxa"/>
            <w:vAlign w:val="center"/>
          </w:tcPr>
          <w:p w14:paraId="7220124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陈女士</w:t>
            </w:r>
          </w:p>
        </w:tc>
        <w:tc>
          <w:tcPr>
            <w:tcW w:w="1532" w:type="dxa"/>
            <w:tcBorders>
              <w:right w:val="single" w:color="auto" w:sz="4" w:space="0"/>
            </w:tcBorders>
            <w:vAlign w:val="center"/>
          </w:tcPr>
          <w:p w14:paraId="33029B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联系电话</w:t>
            </w:r>
          </w:p>
        </w:tc>
        <w:tc>
          <w:tcPr>
            <w:tcW w:w="4167" w:type="dxa"/>
            <w:tcBorders>
              <w:left w:val="single" w:color="auto" w:sz="4" w:space="0"/>
              <w:right w:val="double" w:color="auto" w:sz="4" w:space="0"/>
            </w:tcBorders>
            <w:vAlign w:val="center"/>
          </w:tcPr>
          <w:p w14:paraId="7C3492D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13567633356</w:t>
            </w:r>
          </w:p>
        </w:tc>
      </w:tr>
      <w:tr w14:paraId="5EF48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046B7A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采购方式</w:t>
            </w:r>
          </w:p>
        </w:tc>
        <w:tc>
          <w:tcPr>
            <w:tcW w:w="2061" w:type="dxa"/>
            <w:vAlign w:val="center"/>
          </w:tcPr>
          <w:p w14:paraId="7BEBBC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竞争性磋商</w:t>
            </w:r>
          </w:p>
        </w:tc>
        <w:tc>
          <w:tcPr>
            <w:tcW w:w="1532" w:type="dxa"/>
            <w:tcBorders>
              <w:right w:val="single" w:color="auto" w:sz="4" w:space="0"/>
            </w:tcBorders>
            <w:vAlign w:val="center"/>
          </w:tcPr>
          <w:p w14:paraId="363F4D9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采购类型</w:t>
            </w:r>
          </w:p>
        </w:tc>
        <w:tc>
          <w:tcPr>
            <w:tcW w:w="4167" w:type="dxa"/>
            <w:tcBorders>
              <w:left w:val="single" w:color="auto" w:sz="4" w:space="0"/>
              <w:right w:val="double" w:color="auto" w:sz="4" w:space="0"/>
            </w:tcBorders>
            <w:vAlign w:val="center"/>
          </w:tcPr>
          <w:p w14:paraId="47B60B7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lang w:val="en-US" w:eastAsia="zh-CN"/>
              </w:rPr>
              <w:t>非政府采购</w:t>
            </w:r>
          </w:p>
        </w:tc>
      </w:tr>
      <w:tr w14:paraId="7C1F9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504083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资格审查方式</w:t>
            </w:r>
          </w:p>
        </w:tc>
        <w:tc>
          <w:tcPr>
            <w:tcW w:w="7760" w:type="dxa"/>
            <w:gridSpan w:val="3"/>
            <w:tcBorders>
              <w:right w:val="double" w:color="auto" w:sz="4" w:space="0"/>
            </w:tcBorders>
            <w:vAlign w:val="center"/>
          </w:tcPr>
          <w:p w14:paraId="2AF3BB7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资格后审</w:t>
            </w:r>
          </w:p>
        </w:tc>
      </w:tr>
      <w:tr w14:paraId="02D5B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28202A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现场勘察</w:t>
            </w:r>
          </w:p>
        </w:tc>
        <w:tc>
          <w:tcPr>
            <w:tcW w:w="7760" w:type="dxa"/>
            <w:gridSpan w:val="3"/>
            <w:tcBorders>
              <w:right w:val="double" w:color="auto" w:sz="4" w:space="0"/>
            </w:tcBorders>
            <w:vAlign w:val="center"/>
          </w:tcPr>
          <w:p w14:paraId="0DA3C87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highlight w:val="none"/>
                <w:lang w:eastAsia="zh-CN"/>
              </w:rPr>
            </w:pPr>
            <w:r>
              <w:rPr>
                <w:rFonts w:hint="eastAsia" w:ascii="宋体" w:hAnsi="宋体" w:eastAsia="宋体" w:cs="宋体"/>
                <w:bCs/>
                <w:snapToGrid w:val="0"/>
                <w:color w:val="auto"/>
                <w:sz w:val="21"/>
                <w:szCs w:val="21"/>
                <w:highlight w:val="none"/>
                <w:lang w:eastAsia="zh-CN"/>
              </w:rPr>
              <w:t>不组织</w:t>
            </w:r>
          </w:p>
        </w:tc>
      </w:tr>
      <w:tr w14:paraId="186A7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55377D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rPr>
              <w:t>联合体</w:t>
            </w:r>
          </w:p>
        </w:tc>
        <w:tc>
          <w:tcPr>
            <w:tcW w:w="7760" w:type="dxa"/>
            <w:gridSpan w:val="3"/>
            <w:tcBorders>
              <w:right w:val="double" w:color="auto" w:sz="4" w:space="0"/>
            </w:tcBorders>
            <w:vAlign w:val="center"/>
          </w:tcPr>
          <w:p w14:paraId="5C2E2B6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highlight w:val="none"/>
                <w:lang w:eastAsia="zh-CN"/>
              </w:rPr>
            </w:pPr>
            <w:r>
              <w:rPr>
                <w:rFonts w:hint="eastAsia" w:ascii="宋体" w:hAnsi="宋体" w:eastAsia="宋体" w:cs="宋体"/>
                <w:bCs/>
                <w:snapToGrid w:val="0"/>
                <w:color w:val="auto"/>
                <w:sz w:val="21"/>
                <w:szCs w:val="21"/>
                <w:highlight w:val="none"/>
                <w:lang w:eastAsia="zh-CN"/>
              </w:rPr>
              <w:t>不接受</w:t>
            </w:r>
          </w:p>
        </w:tc>
      </w:tr>
      <w:tr w14:paraId="07A7C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10F155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磋商有效期</w:t>
            </w:r>
          </w:p>
        </w:tc>
        <w:tc>
          <w:tcPr>
            <w:tcW w:w="7760" w:type="dxa"/>
            <w:gridSpan w:val="3"/>
            <w:tcBorders>
              <w:right w:val="double" w:color="auto" w:sz="4" w:space="0"/>
            </w:tcBorders>
            <w:vAlign w:val="center"/>
          </w:tcPr>
          <w:p w14:paraId="0F1598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磋商截止日后90天内有效</w:t>
            </w:r>
          </w:p>
        </w:tc>
      </w:tr>
      <w:tr w14:paraId="18CEE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2EE3FF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响应文件份数</w:t>
            </w:r>
          </w:p>
        </w:tc>
        <w:tc>
          <w:tcPr>
            <w:tcW w:w="7760" w:type="dxa"/>
            <w:gridSpan w:val="3"/>
            <w:tcBorders>
              <w:right w:val="double" w:color="auto" w:sz="4" w:space="0"/>
            </w:tcBorders>
            <w:vAlign w:val="center"/>
          </w:tcPr>
          <w:p w14:paraId="4829EB4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资格审查文件、资信商务及技术文件、报价文件各正本一份、副本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份。</w:t>
            </w:r>
          </w:p>
        </w:tc>
      </w:tr>
      <w:tr w14:paraId="03BB3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2199" w:type="dxa"/>
            <w:tcBorders>
              <w:left w:val="double" w:color="auto" w:sz="4" w:space="0"/>
            </w:tcBorders>
            <w:vAlign w:val="center"/>
          </w:tcPr>
          <w:p w14:paraId="7D6EDB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snapToGrid w:val="0"/>
                <w:color w:val="auto"/>
                <w:sz w:val="21"/>
                <w:szCs w:val="21"/>
                <w:highlight w:val="none"/>
              </w:rPr>
              <w:t>磋商文件质疑</w:t>
            </w:r>
          </w:p>
        </w:tc>
        <w:tc>
          <w:tcPr>
            <w:tcW w:w="7760" w:type="dxa"/>
            <w:gridSpan w:val="3"/>
            <w:tcBorders>
              <w:right w:val="double" w:color="auto" w:sz="4" w:space="0"/>
            </w:tcBorders>
            <w:vAlign w:val="center"/>
          </w:tcPr>
          <w:p w14:paraId="474C63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供应商认为磋商文件使自己的权益受到损害的，可以自获取磋商文件之日（获取截止日之后获取磋商文件的，以获取截止日为准）或者磋商文件公告期限届满之日（采购公告届满日为公告发布后的第4个工作日）起7个工作日内，以书面形式向采购人和采购代理机构提出质疑。</w:t>
            </w:r>
          </w:p>
        </w:tc>
      </w:tr>
      <w:tr w14:paraId="380A8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2199" w:type="dxa"/>
            <w:tcBorders>
              <w:left w:val="double" w:color="auto" w:sz="4" w:space="0"/>
            </w:tcBorders>
            <w:vAlign w:val="center"/>
          </w:tcPr>
          <w:p w14:paraId="1B0F31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磋商文件</w:t>
            </w:r>
          </w:p>
          <w:p w14:paraId="20D0B1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递交方式</w:t>
            </w:r>
          </w:p>
        </w:tc>
        <w:tc>
          <w:tcPr>
            <w:tcW w:w="7760" w:type="dxa"/>
            <w:gridSpan w:val="3"/>
            <w:tcBorders>
              <w:right w:val="double" w:color="auto" w:sz="4" w:space="0"/>
            </w:tcBorders>
            <w:vAlign w:val="center"/>
          </w:tcPr>
          <w:p w14:paraId="76E74DA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递交至：</w:t>
            </w:r>
            <w:r>
              <w:rPr>
                <w:rFonts w:hint="eastAsia" w:ascii="宋体" w:hAnsi="宋体" w:cs="宋体"/>
                <w:bCs/>
                <w:color w:val="auto"/>
                <w:sz w:val="21"/>
                <w:szCs w:val="21"/>
                <w:highlight w:val="none"/>
                <w:lang w:eastAsia="zh-CN"/>
              </w:rPr>
              <w:t>云和县公共资源交易中心</w:t>
            </w:r>
            <w:r>
              <w:rPr>
                <w:rFonts w:hint="eastAsia" w:ascii="宋体" w:hAnsi="宋体" w:eastAsia="宋体" w:cs="宋体"/>
                <w:bCs/>
                <w:color w:val="auto"/>
                <w:sz w:val="21"/>
                <w:szCs w:val="21"/>
                <w:highlight w:val="none"/>
              </w:rPr>
              <w:t>（云和县城南路1号体育馆一楼）</w:t>
            </w:r>
          </w:p>
          <w:p w14:paraId="7094315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Cs/>
                <w:color w:val="auto"/>
                <w:sz w:val="21"/>
                <w:szCs w:val="21"/>
                <w:highlight w:val="none"/>
              </w:rPr>
              <w:t>接收人：</w:t>
            </w:r>
            <w:r>
              <w:rPr>
                <w:rFonts w:hint="eastAsia" w:ascii="宋体" w:hAnsi="宋体" w:cs="宋体"/>
                <w:color w:val="auto"/>
                <w:sz w:val="21"/>
                <w:szCs w:val="21"/>
                <w:highlight w:val="none"/>
                <w:lang w:eastAsia="zh-CN"/>
              </w:rPr>
              <w:t>云和县丰汇项目管理有限公司</w:t>
            </w:r>
            <w:r>
              <w:rPr>
                <w:rFonts w:hint="eastAsia" w:ascii="宋体" w:hAnsi="宋体" w:eastAsia="宋体" w:cs="宋体"/>
                <w:b/>
                <w:color w:val="auto"/>
                <w:sz w:val="21"/>
                <w:szCs w:val="21"/>
                <w:highlight w:val="none"/>
                <w:u w:val="single"/>
              </w:rPr>
              <w:t>递交响应文件截止时间：202</w:t>
            </w:r>
            <w:r>
              <w:rPr>
                <w:rFonts w:hint="eastAsia" w:ascii="宋体" w:hAnsi="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年</w:t>
            </w:r>
            <w:r>
              <w:rPr>
                <w:rFonts w:hint="eastAsia" w:ascii="宋体" w:hAnsi="宋体"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月</w:t>
            </w:r>
            <w:r>
              <w:rPr>
                <w:rFonts w:hint="eastAsia" w:ascii="宋体" w:hAnsi="宋体" w:cs="宋体"/>
                <w:b/>
                <w:color w:val="auto"/>
                <w:sz w:val="21"/>
                <w:szCs w:val="21"/>
                <w:highlight w:val="none"/>
                <w:u w:val="single"/>
                <w:lang w:val="en-US" w:eastAsia="zh-CN"/>
              </w:rPr>
              <w:t>28</w:t>
            </w:r>
            <w:r>
              <w:rPr>
                <w:rFonts w:hint="eastAsia" w:ascii="宋体" w:hAnsi="宋体" w:eastAsia="宋体" w:cs="宋体"/>
                <w:b/>
                <w:color w:val="auto"/>
                <w:sz w:val="21"/>
                <w:szCs w:val="21"/>
                <w:highlight w:val="none"/>
                <w:u w:val="single"/>
              </w:rPr>
              <w:t>日</w:t>
            </w:r>
            <w:r>
              <w:rPr>
                <w:rFonts w:hint="eastAsia" w:ascii="宋体" w:hAnsi="宋体" w:cs="宋体"/>
                <w:b/>
                <w:color w:val="auto"/>
                <w:sz w:val="21"/>
                <w:szCs w:val="21"/>
                <w:highlight w:val="none"/>
                <w:u w:val="single"/>
                <w:lang w:val="en-US" w:eastAsia="zh-CN"/>
              </w:rPr>
              <w:t>15</w:t>
            </w:r>
            <w:r>
              <w:rPr>
                <w:rFonts w:hint="eastAsia" w:ascii="宋体" w:hAnsi="宋体" w:eastAsia="宋体" w:cs="宋体"/>
                <w:b/>
                <w:color w:val="auto"/>
                <w:sz w:val="21"/>
                <w:szCs w:val="21"/>
                <w:highlight w:val="none"/>
                <w:u w:val="single"/>
              </w:rPr>
              <w:t>时</w:t>
            </w:r>
            <w:r>
              <w:rPr>
                <w:rFonts w:hint="eastAsia" w:ascii="宋体" w:hAnsi="宋体" w:cs="宋体"/>
                <w:b/>
                <w:color w:val="auto"/>
                <w:sz w:val="21"/>
                <w:szCs w:val="21"/>
                <w:highlight w:val="none"/>
                <w:u w:val="single"/>
                <w:lang w:val="en-US" w:eastAsia="zh-CN"/>
              </w:rPr>
              <w:t>0</w:t>
            </w:r>
            <w:r>
              <w:rPr>
                <w:rFonts w:hint="eastAsia" w:ascii="宋体" w:hAnsi="宋体" w:eastAsia="宋体" w:cs="宋体"/>
                <w:b/>
                <w:color w:val="auto"/>
                <w:sz w:val="21"/>
                <w:szCs w:val="21"/>
                <w:highlight w:val="none"/>
                <w:u w:val="single"/>
                <w:lang w:val="en-US" w:eastAsia="zh-CN"/>
              </w:rPr>
              <w:t>0</w:t>
            </w:r>
            <w:r>
              <w:rPr>
                <w:rFonts w:hint="eastAsia" w:ascii="宋体" w:hAnsi="宋体" w:eastAsia="宋体" w:cs="宋体"/>
                <w:b/>
                <w:color w:val="auto"/>
                <w:sz w:val="21"/>
                <w:szCs w:val="21"/>
                <w:highlight w:val="none"/>
                <w:u w:val="single"/>
              </w:rPr>
              <w:t>分</w:t>
            </w:r>
            <w:r>
              <w:rPr>
                <w:rFonts w:hint="eastAsia" w:ascii="宋体" w:hAnsi="宋体" w:eastAsia="宋体" w:cs="宋体"/>
                <w:b/>
                <w:color w:val="auto"/>
                <w:sz w:val="21"/>
                <w:szCs w:val="21"/>
                <w:highlight w:val="none"/>
                <w:u w:val="single"/>
                <w:lang w:val="en-US" w:eastAsia="zh-CN"/>
              </w:rPr>
              <w:t>00秒</w:t>
            </w:r>
          </w:p>
        </w:tc>
      </w:tr>
      <w:tr w14:paraId="01E8A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2199" w:type="dxa"/>
            <w:tcBorders>
              <w:left w:val="double" w:color="auto" w:sz="4" w:space="0"/>
            </w:tcBorders>
            <w:vAlign w:val="center"/>
          </w:tcPr>
          <w:p w14:paraId="1A91A5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磋商评定</w:t>
            </w:r>
          </w:p>
        </w:tc>
        <w:tc>
          <w:tcPr>
            <w:tcW w:w="7760" w:type="dxa"/>
            <w:gridSpan w:val="3"/>
            <w:tcBorders>
              <w:right w:val="double" w:color="auto" w:sz="4" w:space="0"/>
            </w:tcBorders>
            <w:vAlign w:val="center"/>
          </w:tcPr>
          <w:p w14:paraId="1F83CEF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u w:val="single"/>
              </w:rPr>
              <w:t>时间：</w:t>
            </w:r>
            <w:r>
              <w:rPr>
                <w:rFonts w:hint="eastAsia" w:ascii="宋体" w:hAnsi="宋体" w:cs="宋体"/>
                <w:b/>
                <w:color w:val="auto"/>
                <w:sz w:val="21"/>
                <w:szCs w:val="21"/>
                <w:highlight w:val="none"/>
                <w:u w:val="single"/>
                <w:lang w:eastAsia="zh-CN"/>
              </w:rPr>
              <w:t>同</w:t>
            </w:r>
            <w:r>
              <w:rPr>
                <w:rFonts w:hint="eastAsia" w:ascii="宋体" w:hAnsi="宋体" w:eastAsia="宋体" w:cs="宋体"/>
                <w:b/>
                <w:color w:val="auto"/>
                <w:sz w:val="21"/>
                <w:szCs w:val="21"/>
                <w:highlight w:val="none"/>
                <w:u w:val="single"/>
              </w:rPr>
              <w:t>递交响应文件截止时间</w:t>
            </w:r>
          </w:p>
          <w:p w14:paraId="59A1DA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w:t>
            </w:r>
            <w:r>
              <w:rPr>
                <w:rFonts w:hint="eastAsia" w:ascii="宋体" w:hAnsi="宋体" w:cs="宋体"/>
                <w:bCs/>
                <w:color w:val="auto"/>
                <w:sz w:val="21"/>
                <w:szCs w:val="21"/>
                <w:highlight w:val="none"/>
                <w:lang w:eastAsia="zh-CN"/>
              </w:rPr>
              <w:t>云和县公共资源交易中心</w:t>
            </w:r>
            <w:r>
              <w:rPr>
                <w:rFonts w:hint="eastAsia" w:ascii="宋体" w:hAnsi="宋体" w:eastAsia="宋体" w:cs="宋体"/>
                <w:bCs/>
                <w:color w:val="auto"/>
                <w:sz w:val="21"/>
                <w:szCs w:val="21"/>
                <w:highlight w:val="none"/>
              </w:rPr>
              <w:t>（云和县城南路1号体育馆一楼）</w:t>
            </w:r>
          </w:p>
        </w:tc>
      </w:tr>
      <w:tr w14:paraId="495128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18841C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磋商保证金</w:t>
            </w:r>
          </w:p>
        </w:tc>
        <w:tc>
          <w:tcPr>
            <w:tcW w:w="7760" w:type="dxa"/>
            <w:gridSpan w:val="3"/>
            <w:tcBorders>
              <w:right w:val="double" w:color="auto" w:sz="4" w:space="0"/>
            </w:tcBorders>
            <w:vAlign w:val="center"/>
          </w:tcPr>
          <w:p w14:paraId="2A6592AB">
            <w:pPr>
              <w:keepNext w:val="0"/>
              <w:keepLines w:val="0"/>
              <w:pageBreakBefore w:val="0"/>
              <w:widowControl w:val="0"/>
              <w:kinsoku/>
              <w:wordWrap/>
              <w:overflowPunct/>
              <w:topLinePunct w:val="0"/>
              <w:autoSpaceDE/>
              <w:autoSpaceDN/>
              <w:bidi w:val="0"/>
              <w:adjustRightInd/>
              <w:snapToGrid/>
              <w:spacing w:line="300" w:lineRule="exact"/>
              <w:ind w:left="1440" w:hanging="1260" w:hangingChars="6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不作要求</w:t>
            </w:r>
          </w:p>
        </w:tc>
      </w:tr>
      <w:tr w14:paraId="05986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2199" w:type="dxa"/>
            <w:tcBorders>
              <w:left w:val="double" w:color="auto" w:sz="4" w:space="0"/>
            </w:tcBorders>
            <w:vAlign w:val="center"/>
          </w:tcPr>
          <w:p w14:paraId="502BD8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成交结果公告及成交通知书</w:t>
            </w:r>
          </w:p>
        </w:tc>
        <w:tc>
          <w:tcPr>
            <w:tcW w:w="7760" w:type="dxa"/>
            <w:gridSpan w:val="3"/>
            <w:tcBorders>
              <w:right w:val="double" w:color="auto" w:sz="4" w:space="0"/>
            </w:tcBorders>
            <w:vAlign w:val="center"/>
          </w:tcPr>
          <w:p w14:paraId="0A04DCE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磋商报告经采购人确认后2个工作日内，成交公告在浙江政府采购网</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"http://60.190.126.3:8080/wcm/WCMV6/editor/editor/招标文件（新版）.doc"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http://zfcg.czt.zj.gov.cn/</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 xml:space="preserve"> 等媒体上发布，并同时发出成交通知书</w:t>
            </w:r>
          </w:p>
        </w:tc>
      </w:tr>
      <w:tr w14:paraId="64E7B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2CDEE3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签订合同</w:t>
            </w:r>
          </w:p>
        </w:tc>
        <w:tc>
          <w:tcPr>
            <w:tcW w:w="7760" w:type="dxa"/>
            <w:gridSpan w:val="3"/>
            <w:tcBorders>
              <w:right w:val="double" w:color="auto" w:sz="4" w:space="0"/>
            </w:tcBorders>
            <w:vAlign w:val="center"/>
          </w:tcPr>
          <w:p w14:paraId="3BFF5D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成交通知书发出之日起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日内</w:t>
            </w:r>
          </w:p>
        </w:tc>
      </w:tr>
      <w:tr w14:paraId="0451C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41327E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评定办法和细则</w:t>
            </w:r>
          </w:p>
        </w:tc>
        <w:tc>
          <w:tcPr>
            <w:tcW w:w="7760" w:type="dxa"/>
            <w:gridSpan w:val="3"/>
            <w:tcBorders>
              <w:right w:val="double" w:color="auto" w:sz="4" w:space="0"/>
            </w:tcBorders>
            <w:vAlign w:val="center"/>
          </w:tcPr>
          <w:p w14:paraId="49EEF0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采用综合评分法，详见本竞争性磋商文件第六章</w:t>
            </w:r>
          </w:p>
        </w:tc>
      </w:tr>
      <w:tr w14:paraId="22CE1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3" w:hRule="exact"/>
          <w:jc w:val="center"/>
        </w:trPr>
        <w:tc>
          <w:tcPr>
            <w:tcW w:w="2199" w:type="dxa"/>
            <w:tcBorders>
              <w:left w:val="double" w:color="auto" w:sz="4" w:space="0"/>
              <w:bottom w:val="double" w:color="auto" w:sz="4" w:space="0"/>
            </w:tcBorders>
            <w:vAlign w:val="center"/>
          </w:tcPr>
          <w:p w14:paraId="709372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特别提醒</w:t>
            </w:r>
          </w:p>
        </w:tc>
        <w:tc>
          <w:tcPr>
            <w:tcW w:w="7760" w:type="dxa"/>
            <w:gridSpan w:val="3"/>
            <w:tcBorders>
              <w:bottom w:val="double" w:color="auto" w:sz="4" w:space="0"/>
              <w:right w:val="double" w:color="auto" w:sz="4" w:space="0"/>
            </w:tcBorders>
            <w:vAlign w:val="center"/>
          </w:tcPr>
          <w:p w14:paraId="44F0EC19">
            <w:pPr>
              <w:keepNext w:val="0"/>
              <w:keepLines w:val="0"/>
              <w:pageBreakBefore w:val="0"/>
              <w:widowControl w:val="0"/>
              <w:kinsoku/>
              <w:wordWrap/>
              <w:overflowPunct/>
              <w:topLinePunct w:val="0"/>
              <w:autoSpaceDE/>
              <w:autoSpaceDN/>
              <w:bidi w:val="0"/>
              <w:adjustRightInd/>
              <w:snapToGrid/>
              <w:spacing w:line="300" w:lineRule="exact"/>
              <w:ind w:firstLine="1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请竞争性</w:t>
            </w:r>
            <w:r>
              <w:rPr>
                <w:rFonts w:hint="eastAsia" w:ascii="宋体" w:hAnsi="宋体" w:eastAsia="宋体" w:cs="宋体"/>
                <w:b/>
                <w:bCs/>
                <w:snapToGrid w:val="0"/>
                <w:color w:val="auto"/>
                <w:sz w:val="21"/>
                <w:szCs w:val="21"/>
                <w:highlight w:val="none"/>
              </w:rPr>
              <w:t>磋商</w:t>
            </w:r>
            <w:r>
              <w:rPr>
                <w:rFonts w:hint="eastAsia" w:ascii="宋体" w:hAnsi="宋体" w:eastAsia="宋体" w:cs="宋体"/>
                <w:b/>
                <w:color w:val="auto"/>
                <w:sz w:val="21"/>
                <w:szCs w:val="21"/>
                <w:highlight w:val="none"/>
              </w:rPr>
              <w:t>供应商根据资格审查要求和响应文件格式要求及评分办法要求提供相关原件，未提供原件所造成的风险由竞争性</w:t>
            </w:r>
            <w:r>
              <w:rPr>
                <w:rFonts w:hint="eastAsia" w:ascii="宋体" w:hAnsi="宋体" w:eastAsia="宋体" w:cs="宋体"/>
                <w:b/>
                <w:bCs/>
                <w:snapToGrid w:val="0"/>
                <w:color w:val="auto"/>
                <w:sz w:val="21"/>
                <w:szCs w:val="21"/>
                <w:highlight w:val="none"/>
              </w:rPr>
              <w:t>磋商</w:t>
            </w:r>
            <w:r>
              <w:rPr>
                <w:rFonts w:hint="eastAsia" w:ascii="宋体" w:hAnsi="宋体" w:eastAsia="宋体" w:cs="宋体"/>
                <w:b/>
                <w:color w:val="auto"/>
                <w:sz w:val="21"/>
                <w:szCs w:val="21"/>
                <w:highlight w:val="none"/>
              </w:rPr>
              <w:t>供应商自行承担。</w:t>
            </w:r>
          </w:p>
        </w:tc>
      </w:tr>
    </w:tbl>
    <w:p w14:paraId="3A5E9B5C">
      <w:pPr>
        <w:pStyle w:val="3"/>
        <w:keepNext w:val="0"/>
        <w:keepLines w:val="0"/>
        <w:pageBreakBefore w:val="0"/>
        <w:widowControl w:val="0"/>
        <w:kinsoku/>
        <w:wordWrap/>
        <w:overflowPunct/>
        <w:topLinePunct w:val="0"/>
        <w:autoSpaceDE/>
        <w:autoSpaceDN/>
        <w:bidi w:val="0"/>
        <w:spacing w:before="0" w:after="0" w:line="360" w:lineRule="exact"/>
        <w:ind w:left="0" w:leftChars="0" w:firstLine="0" w:firstLineChars="0"/>
        <w:rPr>
          <w:rFonts w:hint="eastAsia" w:ascii="宋体" w:hAnsi="宋体" w:eastAsia="宋体" w:cs="宋体"/>
          <w:color w:val="auto"/>
          <w:sz w:val="21"/>
          <w:szCs w:val="21"/>
          <w:highlight w:val="none"/>
          <w:lang w:eastAsia="zh-CN"/>
        </w:rPr>
        <w:sectPr>
          <w:pgSz w:w="11906" w:h="16838"/>
          <w:pgMar w:top="1185" w:right="1151" w:bottom="1157" w:left="1185" w:header="851" w:footer="992" w:gutter="0"/>
          <w:pgNumType w:fmt="decimal"/>
          <w:cols w:space="425" w:num="1"/>
          <w:titlePg/>
          <w:docGrid w:type="lines" w:linePitch="312" w:charSpace="0"/>
        </w:sectPr>
      </w:pPr>
      <w:bookmarkStart w:id="20" w:name="_Toc390938575"/>
      <w:bookmarkStart w:id="21" w:name="_Toc20160"/>
    </w:p>
    <w:p w14:paraId="70F714EB">
      <w:pPr>
        <w:pStyle w:val="3"/>
        <w:keepNext w:val="0"/>
        <w:keepLines w:val="0"/>
        <w:pageBreakBefore w:val="0"/>
        <w:widowControl w:val="0"/>
        <w:kinsoku/>
        <w:wordWrap/>
        <w:overflowPunct/>
        <w:topLinePunct w:val="0"/>
        <w:autoSpaceDE/>
        <w:autoSpaceDN/>
        <w:bidi w:val="0"/>
        <w:spacing w:before="0" w:after="0" w:line="36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 xml:space="preserve">   </w:t>
      </w:r>
      <w:bookmarkEnd w:id="20"/>
      <w:r>
        <w:rPr>
          <w:rFonts w:hint="eastAsia" w:ascii="宋体" w:hAnsi="宋体" w:eastAsia="宋体" w:cs="宋体"/>
          <w:color w:val="auto"/>
          <w:sz w:val="21"/>
          <w:szCs w:val="21"/>
          <w:highlight w:val="none"/>
          <w:lang w:eastAsia="zh-CN"/>
        </w:rPr>
        <w:t>总则</w:t>
      </w:r>
      <w:bookmarkEnd w:id="21"/>
    </w:p>
    <w:p w14:paraId="1535A37C">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1.适用范围</w:t>
      </w:r>
    </w:p>
    <w:p w14:paraId="79B8073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1.1磋商文件适用于本次所述项目的采购。</w:t>
      </w:r>
    </w:p>
    <w:p w14:paraId="455CD252">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23BB3B1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2.1.1“采购人”系指</w:t>
      </w:r>
      <w:r>
        <w:rPr>
          <w:rFonts w:hint="eastAsia" w:ascii="宋体" w:hAnsi="宋体" w:cs="宋体"/>
          <w:color w:val="auto"/>
          <w:sz w:val="21"/>
          <w:szCs w:val="21"/>
          <w:highlight w:val="none"/>
          <w:lang w:eastAsia="zh-CN"/>
        </w:rPr>
        <w:t>云和县农村集体经济发展有限公司</w:t>
      </w:r>
      <w:r>
        <w:rPr>
          <w:rFonts w:hint="eastAsia" w:ascii="宋体" w:hAnsi="宋体" w:eastAsia="宋体" w:cs="宋体"/>
          <w:color w:val="auto"/>
          <w:sz w:val="21"/>
          <w:szCs w:val="21"/>
          <w:highlight w:val="none"/>
        </w:rPr>
        <w:t>。</w:t>
      </w:r>
    </w:p>
    <w:p w14:paraId="0405CCD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2.1.2“竞争性磋商供应商”系指符合磋商公告第“</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”点所要求的参与采购活动的供应商。 </w:t>
      </w:r>
    </w:p>
    <w:p w14:paraId="21B7185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2.1.2.1“供应商”系指按照本磋商文件的规定参加并递交磋商响应文件的自然人、法人或其他组织；</w:t>
      </w:r>
    </w:p>
    <w:p w14:paraId="42399F1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2.1.2.2“法定代表人或企业负责人”系指依</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"http://baike.baidu.com/view/17641.htm"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法律</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或法人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"http://baike.baidu.com/view/624563.htm"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章程</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规定代表法人行使职权的</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"http://baike.baidu.com/view/1344002.htm"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4CA8B92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2.1.2.3“授权委托”系指法定代表人或企业负责人通过授权委托书的形式，委托被委托人行使竞争性磋商供应商有限权利的活动。被委托人应具有完全民事行为能力的合法公民。</w:t>
      </w:r>
    </w:p>
    <w:p w14:paraId="3E8984C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2.1.3“采购代理机构”系指</w:t>
      </w:r>
      <w:r>
        <w:rPr>
          <w:rFonts w:hint="eastAsia" w:ascii="宋体" w:hAnsi="宋体" w:cs="宋体"/>
          <w:color w:val="auto"/>
          <w:sz w:val="21"/>
          <w:szCs w:val="21"/>
          <w:highlight w:val="none"/>
          <w:lang w:eastAsia="zh-CN"/>
        </w:rPr>
        <w:t>云和县丰汇项目管理有限公司</w:t>
      </w:r>
      <w:r>
        <w:rPr>
          <w:rFonts w:hint="eastAsia" w:ascii="宋体" w:hAnsi="宋体" w:eastAsia="宋体" w:cs="宋体"/>
          <w:color w:val="auto"/>
          <w:sz w:val="21"/>
          <w:szCs w:val="21"/>
          <w:highlight w:val="none"/>
        </w:rPr>
        <w:t>。</w:t>
      </w:r>
    </w:p>
    <w:p w14:paraId="6084A56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“合同”系指买卖双方签署的规定买卖双方权利与义务的协议，以及所有附件、附录、磋商文件和响应文件所提到的构成合同的所有文件。</w:t>
      </w:r>
    </w:p>
    <w:p w14:paraId="72D2688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“货物”系指卖方按磋商文件规定须向买方提供的一切产品（包括：虚拟产品），以及产品相关的备品备件、工具、手册及其它有关技术资料和材料。</w:t>
      </w:r>
    </w:p>
    <w:p w14:paraId="459DE80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“服务”系指卖方按磋商文件规定应承担的安装、调试、技术协助以及其他类似的附随义务。</w:t>
      </w:r>
    </w:p>
    <w:p w14:paraId="773B120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“附随服务”系指根据合同规定卖方必须承担与货物有关的辅助服务，如送货上门、免费维护以及合同中规定卖方应承担的义务,以及合同中未规定,但依有利于合同履行原则,应当由卖方承担的其它义务。</w:t>
      </w:r>
    </w:p>
    <w:p w14:paraId="1CEB3564">
      <w:pPr>
        <w:keepNext w:val="0"/>
        <w:keepLines w:val="0"/>
        <w:pageBreakBefore w:val="0"/>
        <w:widowControl w:val="0"/>
        <w:kinsoku/>
        <w:wordWrap/>
        <w:overflowPunct/>
        <w:topLinePunct w:val="0"/>
        <w:autoSpaceDE/>
        <w:autoSpaceDN/>
        <w:bidi w:val="0"/>
        <w:spacing w:line="36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bCs/>
          <w:color w:val="auto"/>
          <w:sz w:val="21"/>
          <w:szCs w:val="21"/>
          <w:highlight w:val="none"/>
          <w:lang w:val="en-US" w:eastAsia="zh-CN"/>
        </w:rPr>
        <w:t>8</w:t>
      </w:r>
      <w:r>
        <w:rPr>
          <w:rFonts w:hint="eastAsia" w:ascii="宋体" w:hAnsi="宋体" w:eastAsia="宋体" w:cs="宋体"/>
          <w:color w:val="auto"/>
          <w:sz w:val="21"/>
          <w:szCs w:val="21"/>
          <w:highlight w:val="none"/>
        </w:rPr>
        <w:t>标有“▲”符号均属于“实质性条款”，不允许负偏离；标有“★”系指项目关键核心产品；3.合格的供应商</w:t>
      </w:r>
    </w:p>
    <w:p w14:paraId="1857BBC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3.1符合2.1.2条的供应商。</w:t>
      </w:r>
    </w:p>
    <w:p w14:paraId="0C76874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3.2供应商应遵守有关的法律、法规和规章条例。</w:t>
      </w:r>
    </w:p>
    <w:p w14:paraId="78A6014F">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磋商费用</w:t>
      </w:r>
    </w:p>
    <w:p w14:paraId="75569E9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4.1竞争性磋商供应商自行承担磋商费用。</w:t>
      </w:r>
    </w:p>
    <w:p w14:paraId="71939017">
      <w:pPr>
        <w:pStyle w:val="3"/>
        <w:keepNext w:val="0"/>
        <w:keepLines w:val="0"/>
        <w:pageBreakBefore w:val="0"/>
        <w:widowControl w:val="0"/>
        <w:kinsoku/>
        <w:wordWrap/>
        <w:overflowPunct/>
        <w:topLinePunct w:val="0"/>
        <w:autoSpaceDE/>
        <w:autoSpaceDN/>
        <w:bidi w:val="0"/>
        <w:spacing w:before="0" w:after="0" w:line="360" w:lineRule="exact"/>
        <w:rPr>
          <w:rFonts w:hint="eastAsia" w:ascii="宋体" w:hAnsi="宋体" w:eastAsia="宋体" w:cs="宋体"/>
          <w:color w:val="auto"/>
          <w:sz w:val="21"/>
          <w:szCs w:val="21"/>
          <w:highlight w:val="none"/>
        </w:rPr>
      </w:pPr>
      <w:bookmarkStart w:id="22" w:name="_Toc27359"/>
      <w:bookmarkStart w:id="23" w:name="_Toc390938576"/>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 xml:space="preserve">   磋商响应文件说明</w:t>
      </w:r>
      <w:bookmarkEnd w:id="22"/>
      <w:bookmarkEnd w:id="23"/>
    </w:p>
    <w:p w14:paraId="57D310DB">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响应文件的构成</w:t>
      </w:r>
    </w:p>
    <w:p w14:paraId="1AD2572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6.1磋商文件用以阐明所需货物及服务、磋商、磋商程序和合同条款等。本磋商文件由下述部分组成：</w:t>
      </w:r>
    </w:p>
    <w:p w14:paraId="006DFBE8">
      <w:pPr>
        <w:keepNext w:val="0"/>
        <w:keepLines w:val="0"/>
        <w:pageBreakBefore w:val="0"/>
        <w:widowControl w:val="0"/>
        <w:tabs>
          <w:tab w:val="left" w:pos="658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6.1.1综合说明（包括磋商公告、须知前附表）</w:t>
      </w:r>
    </w:p>
    <w:p w14:paraId="361BE80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6.1.2竞争性磋商供应商须知</w:t>
      </w:r>
    </w:p>
    <w:p w14:paraId="64FD53E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6.1.3磋商货物清单及技术要求</w:t>
      </w:r>
    </w:p>
    <w:p w14:paraId="02D0D29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6.1.4采购合同格式（范本）</w:t>
      </w:r>
    </w:p>
    <w:p w14:paraId="6DCD5D9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6.1.5磋商相关文件格式</w:t>
      </w:r>
    </w:p>
    <w:p w14:paraId="3A16F85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6.1.6磋商办法和细则</w:t>
      </w:r>
    </w:p>
    <w:p w14:paraId="697DEBF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6.1.7与本项目有关的磋商文件澄清、答复、更正、补充的内容</w:t>
      </w:r>
    </w:p>
    <w:p w14:paraId="791745B2">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7.竞争性磋商供应商的风险</w:t>
      </w:r>
    </w:p>
    <w:p w14:paraId="4DD7880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竞争性磋商供应商应认真阅读磋商文件中所有的条款、技术规范和事项等，竞争性磋商供应商没有按照磋商文件的要求提供全部资料，或者竞争性磋商供应商没有对磋商文件要求作出实质性响应是竞争性磋商供应商的风险，并可能导致其响应文件被拒绝，竞争性磋商供应商响应文件无效。</w:t>
      </w:r>
    </w:p>
    <w:p w14:paraId="65E31EE7">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磋商文件的澄清和修改</w:t>
      </w:r>
    </w:p>
    <w:p w14:paraId="4AC1D75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8.1磋商文件澄清、答复、修改、补充的内容为磋商文件的组成部分。</w:t>
      </w:r>
    </w:p>
    <w:p w14:paraId="249C3D1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eastAsia="宋体" w:cs="宋体"/>
          <w:bCs/>
          <w:color w:val="auto"/>
          <w:sz w:val="21"/>
          <w:szCs w:val="21"/>
          <w:highlight w:val="none"/>
        </w:rPr>
        <w:t>报名供应商认真阅读</w:t>
      </w:r>
      <w:r>
        <w:rPr>
          <w:rFonts w:hint="eastAsia" w:ascii="宋体" w:hAnsi="宋体" w:eastAsia="宋体" w:cs="宋体"/>
          <w:color w:val="auto"/>
          <w:sz w:val="21"/>
          <w:szCs w:val="21"/>
          <w:highlight w:val="none"/>
        </w:rPr>
        <w:t>磋商</w:t>
      </w:r>
      <w:r>
        <w:rPr>
          <w:rFonts w:hint="eastAsia" w:ascii="宋体" w:hAnsi="宋体" w:eastAsia="宋体" w:cs="宋体"/>
          <w:bCs/>
          <w:color w:val="auto"/>
          <w:sz w:val="21"/>
          <w:szCs w:val="21"/>
          <w:highlight w:val="none"/>
        </w:rPr>
        <w:t>文件，应于</w:t>
      </w:r>
      <w:r>
        <w:rPr>
          <w:rFonts w:hint="eastAsia" w:ascii="宋体" w:hAnsi="宋体" w:eastAsia="宋体" w:cs="宋体"/>
          <w:b/>
          <w:snapToGrid w:val="0"/>
          <w:color w:val="auto"/>
          <w:sz w:val="21"/>
          <w:szCs w:val="21"/>
          <w:highlight w:val="none"/>
          <w:u w:val="single"/>
        </w:rPr>
        <w:t>提交响应文件的截止时间5日前</w:t>
      </w:r>
      <w:r>
        <w:rPr>
          <w:rFonts w:hint="eastAsia" w:ascii="宋体" w:hAnsi="宋体" w:eastAsia="宋体" w:cs="宋体"/>
          <w:bCs/>
          <w:color w:val="auto"/>
          <w:sz w:val="21"/>
          <w:szCs w:val="21"/>
          <w:highlight w:val="none"/>
        </w:rPr>
        <w:t>向采购代理机构（传真）提出澄清。采购代理机构对已发出的磋商文件进行必要澄清或修改的，</w:t>
      </w:r>
      <w:r>
        <w:rPr>
          <w:rFonts w:hint="eastAsia" w:ascii="宋体" w:hAnsi="宋体" w:eastAsia="宋体" w:cs="宋体"/>
          <w:color w:val="auto"/>
          <w:sz w:val="21"/>
          <w:szCs w:val="21"/>
          <w:highlight w:val="none"/>
        </w:rPr>
        <w:t>在提交响应文件的截止时间</w:t>
      </w:r>
      <w:r>
        <w:rPr>
          <w:rFonts w:hint="eastAsia" w:ascii="宋体" w:hAnsi="宋体" w:eastAsia="宋体" w:cs="宋体"/>
          <w:b/>
          <w:color w:val="auto"/>
          <w:sz w:val="21"/>
          <w:szCs w:val="21"/>
          <w:highlight w:val="none"/>
        </w:rPr>
        <w:t>5日</w:t>
      </w:r>
      <w:r>
        <w:rPr>
          <w:rFonts w:hint="eastAsia" w:ascii="宋体" w:hAnsi="宋体" w:eastAsia="宋体" w:cs="宋体"/>
          <w:color w:val="auto"/>
          <w:sz w:val="21"/>
          <w:szCs w:val="21"/>
          <w:highlight w:val="none"/>
        </w:rPr>
        <w:t>前,以网上公告形式公布更正等公告，并以书面（传真）的形式通知</w:t>
      </w:r>
      <w:r>
        <w:rPr>
          <w:rFonts w:hint="eastAsia" w:ascii="宋体" w:hAnsi="宋体" w:eastAsia="宋体" w:cs="宋体"/>
          <w:bCs/>
          <w:color w:val="auto"/>
          <w:sz w:val="21"/>
          <w:szCs w:val="21"/>
          <w:highlight w:val="none"/>
        </w:rPr>
        <w:t>报名供应商</w:t>
      </w:r>
      <w:r>
        <w:rPr>
          <w:rFonts w:hint="eastAsia" w:ascii="宋体" w:hAnsi="宋体" w:eastAsia="宋体" w:cs="宋体"/>
          <w:color w:val="auto"/>
          <w:sz w:val="21"/>
          <w:szCs w:val="21"/>
          <w:highlight w:val="none"/>
        </w:rPr>
        <w:t>,并对其具有约束力。</w:t>
      </w:r>
    </w:p>
    <w:p w14:paraId="48A13A0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8.3采购代理机构可以视采购具体情况，在提交响应文件截止时间前通知竞争性磋商供应商,适当延长磋商截止时间。</w:t>
      </w:r>
    </w:p>
    <w:p w14:paraId="5E29175D">
      <w:pPr>
        <w:pStyle w:val="3"/>
        <w:keepNext w:val="0"/>
        <w:keepLines w:val="0"/>
        <w:pageBreakBefore w:val="0"/>
        <w:widowControl w:val="0"/>
        <w:kinsoku/>
        <w:wordWrap/>
        <w:overflowPunct/>
        <w:topLinePunct w:val="0"/>
        <w:autoSpaceDE/>
        <w:autoSpaceDN/>
        <w:bidi w:val="0"/>
        <w:spacing w:before="0" w:after="0" w:line="360" w:lineRule="exact"/>
        <w:ind w:firstLine="200" w:firstLineChars="0"/>
        <w:rPr>
          <w:rFonts w:hint="eastAsia" w:ascii="宋体" w:hAnsi="宋体" w:eastAsia="宋体" w:cs="宋体"/>
          <w:color w:val="auto"/>
          <w:sz w:val="21"/>
          <w:szCs w:val="21"/>
          <w:highlight w:val="none"/>
        </w:rPr>
      </w:pPr>
      <w:bookmarkStart w:id="24" w:name="_Toc12007"/>
      <w:bookmarkStart w:id="25" w:name="_Toc390938577"/>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 xml:space="preserve">   响应文件的编制</w:t>
      </w:r>
      <w:bookmarkEnd w:id="24"/>
      <w:bookmarkEnd w:id="25"/>
    </w:p>
    <w:p w14:paraId="36BE5E75">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9.要求</w:t>
      </w:r>
    </w:p>
    <w:p w14:paraId="1BDE71E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9.1竞争性磋商供应商应仔细阅读磋商文件的所有内容,按磋商文件规定的要求编制响应文件,并保证所提供全部资料的真实性,以使其对磋商文件作出实质性响应。</w:t>
      </w:r>
    </w:p>
    <w:p w14:paraId="1D6EB43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14:paraId="1633F8B6">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bookmarkStart w:id="26" w:name="_Toc390938578"/>
      <w:r>
        <w:rPr>
          <w:rFonts w:hint="eastAsia" w:ascii="宋体" w:hAnsi="宋体" w:eastAsia="宋体" w:cs="宋体"/>
          <w:b/>
          <w:color w:val="auto"/>
          <w:sz w:val="21"/>
          <w:szCs w:val="21"/>
          <w:highlight w:val="none"/>
        </w:rPr>
        <w:t>10.响应文件的组成</w:t>
      </w:r>
    </w:p>
    <w:p w14:paraId="2E04A6B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▲10.1提交的响应文件应分为</w:t>
      </w:r>
      <w:r>
        <w:rPr>
          <w:rFonts w:hint="eastAsia" w:ascii="宋体" w:hAnsi="宋体" w:eastAsia="宋体" w:cs="宋体"/>
          <w:b/>
          <w:color w:val="auto"/>
          <w:kern w:val="0"/>
          <w:sz w:val="21"/>
          <w:szCs w:val="21"/>
          <w:highlight w:val="none"/>
        </w:rPr>
        <w:t>资格审查文件、</w:t>
      </w:r>
      <w:r>
        <w:rPr>
          <w:rFonts w:hint="eastAsia" w:ascii="宋体" w:hAnsi="宋体" w:eastAsia="宋体" w:cs="宋体"/>
          <w:b/>
          <w:color w:val="auto"/>
          <w:sz w:val="21"/>
          <w:szCs w:val="21"/>
          <w:highlight w:val="none"/>
        </w:rPr>
        <w:t>资信商务及技术文件、报价文件</w:t>
      </w:r>
      <w:r>
        <w:rPr>
          <w:rFonts w:hint="eastAsia" w:ascii="宋体" w:hAnsi="宋体" w:eastAsia="宋体" w:cs="宋体"/>
          <w:b/>
          <w:color w:val="auto"/>
          <w:kern w:val="0"/>
          <w:sz w:val="21"/>
          <w:szCs w:val="21"/>
          <w:highlight w:val="none"/>
        </w:rPr>
        <w:t>三</w:t>
      </w:r>
      <w:r>
        <w:rPr>
          <w:rFonts w:hint="eastAsia" w:ascii="宋体" w:hAnsi="宋体" w:eastAsia="宋体" w:cs="宋体"/>
          <w:b/>
          <w:color w:val="auto"/>
          <w:sz w:val="21"/>
          <w:szCs w:val="21"/>
          <w:highlight w:val="none"/>
        </w:rPr>
        <w:t>部分</w:t>
      </w:r>
      <w:r>
        <w:rPr>
          <w:rFonts w:hint="eastAsia" w:ascii="宋体" w:hAnsi="宋体" w:eastAsia="宋体" w:cs="宋体"/>
          <w:color w:val="auto"/>
          <w:sz w:val="21"/>
          <w:szCs w:val="21"/>
          <w:highlight w:val="none"/>
        </w:rPr>
        <w:t>。</w:t>
      </w:r>
    </w:p>
    <w:p w14:paraId="57546E6A">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11.响应文件（资格审查文件、资信商务及技术文件、报价文件）编制的内容和要求</w:t>
      </w:r>
    </w:p>
    <w:p w14:paraId="4EF3B560">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11.1资格审查文件编制的内容和要求：详见第五章格式</w:t>
      </w:r>
    </w:p>
    <w:p w14:paraId="5E899360">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11.2资信及商务文件编制内容和要求：详见第五章格式</w:t>
      </w:r>
    </w:p>
    <w:p w14:paraId="1CD1D592">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11.3技术文件的编制内容和要求</w:t>
      </w:r>
    </w:p>
    <w:p w14:paraId="13A8C4E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11.3.1按磋商文件“第五章 磋商相关文件格式”所列的内容和格式。</w:t>
      </w:r>
    </w:p>
    <w:p w14:paraId="3DB1ED8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11.3.2供应商应对照磋商文件</w:t>
      </w:r>
      <w:r>
        <w:rPr>
          <w:rFonts w:hint="eastAsia" w:ascii="宋体" w:hAnsi="宋体" w:eastAsia="宋体" w:cs="宋体"/>
          <w:bCs/>
          <w:color w:val="auto"/>
          <w:sz w:val="21"/>
          <w:szCs w:val="21"/>
          <w:highlight w:val="none"/>
        </w:rPr>
        <w:t xml:space="preserve"> “第</w:t>
      </w:r>
      <w:r>
        <w:rPr>
          <w:rFonts w:hint="eastAsia" w:ascii="宋体" w:hAnsi="宋体" w:eastAsia="宋体" w:cs="宋体"/>
          <w:bCs/>
          <w:color w:val="auto"/>
          <w:sz w:val="21"/>
          <w:szCs w:val="21"/>
          <w:highlight w:val="none"/>
          <w:lang w:eastAsia="zh-CN"/>
        </w:rPr>
        <w:t>二</w:t>
      </w:r>
      <w:r>
        <w:rPr>
          <w:rFonts w:hint="eastAsia" w:ascii="宋体" w:hAnsi="宋体" w:eastAsia="宋体" w:cs="宋体"/>
          <w:bCs/>
          <w:color w:val="auto"/>
          <w:sz w:val="21"/>
          <w:szCs w:val="21"/>
          <w:highlight w:val="none"/>
        </w:rPr>
        <w:t>章 采购需求”所列的内容提供完整产品、服务、技术指标等。</w:t>
      </w:r>
    </w:p>
    <w:p w14:paraId="278B32C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11.3.3 项目承诺：磋商文件规定的要求仅为基本要求，供应</w:t>
      </w:r>
      <w:r>
        <w:rPr>
          <w:rFonts w:hint="eastAsia" w:ascii="宋体" w:hAnsi="宋体" w:eastAsia="宋体" w:cs="宋体"/>
          <w:color w:val="auto"/>
          <w:sz w:val="21"/>
          <w:szCs w:val="21"/>
          <w:highlight w:val="none"/>
        </w:rPr>
        <w:t>商可以作出优于或高于磋商文件中所要求的承诺。</w:t>
      </w:r>
    </w:p>
    <w:p w14:paraId="7EE8501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 供应商认为有必要提交的其他技术证明资料。</w:t>
      </w:r>
    </w:p>
    <w:p w14:paraId="1487BE9F">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11.4报价文件的编制内容和要求</w:t>
      </w:r>
    </w:p>
    <w:p w14:paraId="6AF4F02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11.4.1 磋商文件“第五章 磋商相关文件格式”所列的内容和格式的要求，以及供应商认为有必要提供的其它文件。</w:t>
      </w:r>
    </w:p>
    <w:p w14:paraId="523B120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11.4.2 磋商文件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eastAsia="zh-CN"/>
        </w:rPr>
        <w:t>二</w:t>
      </w:r>
      <w:r>
        <w:rPr>
          <w:rFonts w:hint="eastAsia" w:ascii="宋体" w:hAnsi="宋体" w:eastAsia="宋体" w:cs="宋体"/>
          <w:bCs/>
          <w:color w:val="auto"/>
          <w:sz w:val="21"/>
          <w:szCs w:val="21"/>
          <w:highlight w:val="none"/>
        </w:rPr>
        <w:t>章 采购需求”所列</w:t>
      </w:r>
      <w:r>
        <w:rPr>
          <w:rFonts w:hint="eastAsia" w:ascii="宋体" w:hAnsi="宋体" w:eastAsia="宋体" w:cs="宋体"/>
          <w:color w:val="auto"/>
          <w:sz w:val="21"/>
          <w:szCs w:val="21"/>
          <w:highlight w:val="none"/>
        </w:rPr>
        <w:t>的相关内容编制。</w:t>
      </w:r>
    </w:p>
    <w:p w14:paraId="336F23C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11.4.3 磋商报价</w:t>
      </w:r>
    </w:p>
    <w:p w14:paraId="3E99576B">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11.4.3</w:t>
      </w:r>
      <w:r>
        <w:rPr>
          <w:rFonts w:hint="eastAsia" w:ascii="宋体" w:hAnsi="宋体" w:eastAsia="宋体" w:cs="宋体"/>
          <w:bCs/>
          <w:color w:val="auto"/>
          <w:sz w:val="21"/>
          <w:szCs w:val="21"/>
          <w:highlight w:val="none"/>
        </w:rPr>
        <w:t>.1 供应商应在磋商文件所附表格格式填写产品、服务的单价和磋商报价。响应文件只允许有一个报价，有选择的或者有条件的报价将不予接受。</w:t>
      </w:r>
    </w:p>
    <w:p w14:paraId="30DDB7BD">
      <w:pPr>
        <w:keepNext w:val="0"/>
        <w:keepLines w:val="0"/>
        <w:pageBreakBefore w:val="0"/>
        <w:widowControl w:val="0"/>
        <w:kinsoku/>
        <w:wordWrap/>
        <w:overflowPunct/>
        <w:topLinePunct w:val="0"/>
        <w:autoSpaceDE/>
        <w:autoSpaceDN/>
        <w:bidi w:val="0"/>
        <w:spacing w:line="360" w:lineRule="exact"/>
        <w:ind w:firstLine="48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11.4.3.2 最终报价</w:t>
      </w:r>
      <w:r>
        <w:rPr>
          <w:rFonts w:hint="eastAsia" w:ascii="宋体" w:hAnsi="宋体" w:cs="宋体"/>
          <w:color w:val="auto"/>
          <w:sz w:val="21"/>
          <w:szCs w:val="21"/>
          <w:highlight w:val="none"/>
          <w:lang w:eastAsia="zh-CN"/>
        </w:rPr>
        <w:t>不在报价范围内的，作无效标处理</w:t>
      </w:r>
      <w:r>
        <w:rPr>
          <w:rFonts w:hint="eastAsia" w:ascii="宋体" w:hAnsi="宋体" w:eastAsia="宋体" w:cs="宋体"/>
          <w:color w:val="auto"/>
          <w:sz w:val="21"/>
          <w:szCs w:val="21"/>
          <w:highlight w:val="none"/>
        </w:rPr>
        <w:t>。</w:t>
      </w:r>
    </w:p>
    <w:p w14:paraId="6516EB31">
      <w:pPr>
        <w:keepNext w:val="0"/>
        <w:keepLines w:val="0"/>
        <w:pageBreakBefore w:val="0"/>
        <w:widowControl w:val="0"/>
        <w:kinsoku/>
        <w:wordWrap/>
        <w:overflowPunct/>
        <w:topLinePunct w:val="0"/>
        <w:autoSpaceDE/>
        <w:autoSpaceDN/>
        <w:bidi w:val="0"/>
        <w:spacing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11.4.3.3 最后报价是履行合同的最终价格，除磋商文件特殊说明外，应包括</w:t>
      </w:r>
      <w:r>
        <w:rPr>
          <w:rFonts w:hint="eastAsia" w:ascii="宋体" w:hAnsi="宋体" w:eastAsia="宋体" w:cs="宋体"/>
          <w:color w:val="auto"/>
          <w:spacing w:val="20"/>
          <w:sz w:val="21"/>
          <w:szCs w:val="21"/>
          <w:highlight w:val="none"/>
        </w:rPr>
        <w:t>供应商实施本项目所产生的相关费用，如配送费、人员工资、各种社会保险、人员食宿与交通、办公经费、设备、材料、技术服务、利润、税金及完成本项目所有可能存在的全部费用，采购人不再另行支付费用</w:t>
      </w:r>
      <w:r>
        <w:rPr>
          <w:rFonts w:hint="eastAsia" w:ascii="宋体" w:hAnsi="宋体" w:eastAsia="宋体" w:cs="宋体"/>
          <w:color w:val="auto"/>
          <w:sz w:val="21"/>
          <w:szCs w:val="21"/>
          <w:highlight w:val="none"/>
        </w:rPr>
        <w:t>。</w:t>
      </w:r>
    </w:p>
    <w:p w14:paraId="70268A46">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11.5 排版</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所有文字及表格建议采用黑色，正文字体采用宋体小四号字体，标题字体采用宋体小二号字体。页码应逐页连续编注，建议纸质文件纸张采用白色标准A4纸。</w:t>
      </w:r>
    </w:p>
    <w:p w14:paraId="1725D2FB">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11.6 封面</w:t>
      </w:r>
      <w:r>
        <w:rPr>
          <w:rFonts w:hint="eastAsia" w:ascii="宋体" w:hAnsi="宋体" w:eastAsia="宋体" w:cs="宋体"/>
          <w:color w:val="auto"/>
          <w:sz w:val="21"/>
          <w:szCs w:val="21"/>
          <w:highlight w:val="none"/>
        </w:rPr>
        <w:t>：按照磋商文件规定的格式制作封面。</w:t>
      </w:r>
    </w:p>
    <w:p w14:paraId="2CB10D14">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12.响应文件格式</w:t>
      </w:r>
    </w:p>
    <w:p w14:paraId="596F027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12.1竞争性磋商供应商应按竞争性磋商文件规定的文件格式、内容和要求制作响应文件。</w:t>
      </w:r>
    </w:p>
    <w:p w14:paraId="75B97D32">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13.符合磋商文件规定的技术文件部分：</w:t>
      </w:r>
      <w:r>
        <w:rPr>
          <w:rFonts w:hint="eastAsia" w:ascii="宋体" w:hAnsi="宋体" w:eastAsia="宋体" w:cs="宋体"/>
          <w:color w:val="auto"/>
          <w:sz w:val="21"/>
          <w:szCs w:val="21"/>
          <w:highlight w:val="none"/>
        </w:rPr>
        <w:t>符合采购需求及磋商文件格式规定</w:t>
      </w:r>
    </w:p>
    <w:p w14:paraId="0205A7B3">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14.竞争性磋商有效期</w:t>
      </w:r>
    </w:p>
    <w:p w14:paraId="7CF350F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▲14.1响应文件递交截止</w:t>
      </w:r>
      <w:r>
        <w:rPr>
          <w:rFonts w:hint="eastAsia" w:ascii="宋体" w:hAnsi="宋体" w:eastAsia="宋体" w:cs="宋体"/>
          <w:bCs/>
          <w:snapToGrid w:val="0"/>
          <w:color w:val="auto"/>
          <w:sz w:val="21"/>
          <w:szCs w:val="21"/>
          <w:highlight w:val="none"/>
        </w:rPr>
        <w:t>之日起90天内有效</w:t>
      </w:r>
      <w:r>
        <w:rPr>
          <w:rFonts w:hint="eastAsia" w:ascii="宋体" w:hAnsi="宋体" w:eastAsia="宋体" w:cs="宋体"/>
          <w:color w:val="auto"/>
          <w:sz w:val="21"/>
          <w:szCs w:val="21"/>
          <w:highlight w:val="none"/>
        </w:rPr>
        <w:t>。</w:t>
      </w:r>
    </w:p>
    <w:p w14:paraId="0A615911">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15.响应文件的签署及规定</w:t>
      </w:r>
    </w:p>
    <w:p w14:paraId="0E7A8C7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供应商应按磋商文件规定的内容和要求编制响应文件，每套响应文件须清楚的标明“</w:t>
      </w:r>
      <w:r>
        <w:rPr>
          <w:rFonts w:hint="eastAsia" w:ascii="宋体" w:hAnsi="宋体" w:eastAsia="宋体" w:cs="宋体"/>
          <w:color w:val="auto"/>
          <w:kern w:val="0"/>
          <w:sz w:val="21"/>
          <w:szCs w:val="21"/>
          <w:highlight w:val="none"/>
        </w:rPr>
        <w:t>资格审查文件”、“</w:t>
      </w:r>
      <w:r>
        <w:rPr>
          <w:rFonts w:hint="eastAsia" w:ascii="宋体" w:hAnsi="宋体" w:eastAsia="宋体" w:cs="宋体"/>
          <w:color w:val="auto"/>
          <w:sz w:val="21"/>
          <w:szCs w:val="21"/>
          <w:highlight w:val="none"/>
        </w:rPr>
        <w:t>资信商务及技术文件”、 “报价文件”。</w:t>
      </w:r>
    </w:p>
    <w:p w14:paraId="37DC638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电报、电话、传真形式的磋商概不接受。</w:t>
      </w:r>
    </w:p>
    <w:p w14:paraId="398BC103">
      <w:pPr>
        <w:pStyle w:val="3"/>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color w:val="auto"/>
          <w:sz w:val="21"/>
          <w:szCs w:val="21"/>
          <w:highlight w:val="none"/>
        </w:rPr>
      </w:pPr>
      <w:bookmarkStart w:id="27" w:name="_Toc11346"/>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 xml:space="preserve">   磋商保证金</w:t>
      </w:r>
      <w:bookmarkEnd w:id="26"/>
      <w:bookmarkEnd w:id="27"/>
    </w:p>
    <w:p w14:paraId="1D8A3C92">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16.磋商保证金</w:t>
      </w:r>
    </w:p>
    <w:p w14:paraId="6B61136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▲16.1竞争性磋商供应商按磋商文件的规定交纳保证金。否则，其磋商将被拒绝。</w:t>
      </w:r>
    </w:p>
    <w:p w14:paraId="1464AEF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16.2磋商保证金按磋商公告规定交纳。 </w:t>
      </w:r>
    </w:p>
    <w:p w14:paraId="18948CC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16.3本项目成交通知书发出后五个工作日内退还未成交供应商的磋商保证金，在采购合同签订后五个工作日内退还成交供应商的磋商保证金，采购代理机构将以电汇或转账方式无息退还。</w:t>
      </w:r>
    </w:p>
    <w:p w14:paraId="3EBEFE0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供应商的磋商保证金，将按本文件的规定原额退还。退还保证金时，供应商需出具保证金收据，提供本单位的开户银行和账号，采购代理机构以电汇或转账方式退还。竞争性磋商供应商出具的保证金收据，需注明以上内容。</w:t>
      </w:r>
    </w:p>
    <w:p w14:paraId="2DE9F52D">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16.4竞争性磋商供应商有下列情形之一的，磋商保证金将不予退还:</w:t>
      </w:r>
    </w:p>
    <w:p w14:paraId="101F4B6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16.4.1磋商后竞争性磋商供应商在磋商有效期内撤回响应文件的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0178F91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16.4.2成交供应商无正当理由不与采购人签订合同</w:t>
      </w:r>
      <w:r>
        <w:rPr>
          <w:rFonts w:hint="eastAsia" w:ascii="宋体" w:hAnsi="宋体" w:cs="宋体"/>
          <w:color w:val="auto"/>
          <w:sz w:val="21"/>
          <w:szCs w:val="21"/>
          <w:highlight w:val="none"/>
          <w:lang w:eastAsia="zh-CN"/>
        </w:rPr>
        <w:t>；</w:t>
      </w:r>
    </w:p>
    <w:p w14:paraId="3598F43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16.4.3成交供应商未按磋商文件规定交纳履约保证金；</w:t>
      </w:r>
    </w:p>
    <w:p w14:paraId="6B59612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16.4.4违反承诺函的相关内容及条款的；</w:t>
      </w:r>
    </w:p>
    <w:p w14:paraId="00D8E1F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16.4.5提供虚假材料谋取成交的</w:t>
      </w:r>
      <w:r>
        <w:rPr>
          <w:rFonts w:hint="eastAsia" w:ascii="宋体" w:hAnsi="宋体" w:cs="宋体"/>
          <w:color w:val="auto"/>
          <w:sz w:val="21"/>
          <w:szCs w:val="21"/>
          <w:highlight w:val="none"/>
          <w:lang w:eastAsia="zh-CN"/>
        </w:rPr>
        <w:t>；</w:t>
      </w:r>
    </w:p>
    <w:p w14:paraId="727DDEA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16.4.6采取不正当手段诋毁、排挤其他竞争性磋商供应商的</w:t>
      </w:r>
      <w:r>
        <w:rPr>
          <w:rFonts w:hint="eastAsia" w:ascii="宋体" w:hAnsi="宋体" w:cs="宋体"/>
          <w:color w:val="auto"/>
          <w:sz w:val="21"/>
          <w:szCs w:val="21"/>
          <w:highlight w:val="none"/>
          <w:lang w:eastAsia="zh-CN"/>
        </w:rPr>
        <w:t>；</w:t>
      </w:r>
    </w:p>
    <w:p w14:paraId="25F531D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16.4.7与采购人、采购代理机构、其他竞争性磋商供应商恶意串通的</w:t>
      </w:r>
      <w:r>
        <w:rPr>
          <w:rFonts w:hint="eastAsia" w:ascii="宋体" w:hAnsi="宋体" w:cs="宋体"/>
          <w:color w:val="auto"/>
          <w:sz w:val="21"/>
          <w:szCs w:val="21"/>
          <w:highlight w:val="none"/>
          <w:lang w:eastAsia="zh-CN"/>
        </w:rPr>
        <w:t>；</w:t>
      </w:r>
    </w:p>
    <w:p w14:paraId="13F93D5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16.4.8向采购人、采购代理机构行贿或者提供其他不正当利益的</w:t>
      </w:r>
      <w:r>
        <w:rPr>
          <w:rFonts w:hint="eastAsia" w:ascii="宋体" w:hAnsi="宋体" w:cs="宋体"/>
          <w:color w:val="auto"/>
          <w:sz w:val="21"/>
          <w:szCs w:val="21"/>
          <w:highlight w:val="none"/>
          <w:lang w:eastAsia="zh-CN"/>
        </w:rPr>
        <w:t>；</w:t>
      </w:r>
    </w:p>
    <w:p w14:paraId="44AB3BF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16.4.9在磋商过程中与采购人进行协商磋商、不按照磋商文件和成交供应商响应文件订立合同,或者与采购人另行订立背离合同实质性内容协议的</w:t>
      </w:r>
      <w:r>
        <w:rPr>
          <w:rFonts w:hint="eastAsia" w:ascii="宋体" w:hAnsi="宋体" w:cs="宋体"/>
          <w:color w:val="auto"/>
          <w:sz w:val="21"/>
          <w:szCs w:val="21"/>
          <w:highlight w:val="none"/>
          <w:lang w:eastAsia="zh-CN"/>
        </w:rPr>
        <w:t>；</w:t>
      </w:r>
    </w:p>
    <w:p w14:paraId="72AD226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16.4.10拒绝有关部门监督检查或者提供虚假情况的；</w:t>
      </w:r>
    </w:p>
    <w:p w14:paraId="2BA57EC6">
      <w:pPr>
        <w:pStyle w:val="3"/>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color w:val="auto"/>
          <w:sz w:val="21"/>
          <w:szCs w:val="21"/>
          <w:highlight w:val="none"/>
        </w:rPr>
      </w:pPr>
      <w:bookmarkStart w:id="28" w:name="_Toc56928685"/>
      <w:bookmarkStart w:id="29" w:name="_Toc107820049"/>
      <w:bookmarkStart w:id="30" w:name="_Toc390938579"/>
      <w:bookmarkStart w:id="31" w:name="_Toc24446"/>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 xml:space="preserve">   响应文件的包装、提交</w:t>
      </w:r>
      <w:bookmarkEnd w:id="28"/>
      <w:bookmarkEnd w:id="29"/>
      <w:r>
        <w:rPr>
          <w:rFonts w:hint="eastAsia" w:ascii="宋体" w:hAnsi="宋体" w:eastAsia="宋体" w:cs="宋体"/>
          <w:color w:val="auto"/>
          <w:sz w:val="21"/>
          <w:szCs w:val="21"/>
          <w:highlight w:val="none"/>
        </w:rPr>
        <w:t>、修改和撤回</w:t>
      </w:r>
      <w:bookmarkEnd w:id="30"/>
      <w:bookmarkEnd w:id="31"/>
    </w:p>
    <w:p w14:paraId="73EE72D5">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17.响应文件的包装、密封和标记</w:t>
      </w:r>
    </w:p>
    <w:p w14:paraId="70B0F1F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r>
        <w:rPr>
          <w:rFonts w:hint="eastAsia" w:ascii="宋体" w:hAnsi="宋体" w:eastAsia="宋体" w:cs="宋体"/>
          <w:b/>
          <w:bCs/>
          <w:color w:val="auto"/>
          <w:sz w:val="21"/>
          <w:szCs w:val="21"/>
          <w:highlight w:val="none"/>
        </w:rPr>
        <w:t>竞争性磋商供应商将“</w:t>
      </w:r>
      <w:r>
        <w:rPr>
          <w:rFonts w:hint="eastAsia" w:ascii="宋体" w:hAnsi="宋体" w:eastAsia="宋体" w:cs="宋体"/>
          <w:b/>
          <w:bCs/>
          <w:color w:val="auto"/>
          <w:kern w:val="0"/>
          <w:sz w:val="21"/>
          <w:szCs w:val="21"/>
          <w:highlight w:val="none"/>
        </w:rPr>
        <w:t>资格审查文件”、“</w:t>
      </w:r>
      <w:r>
        <w:rPr>
          <w:rFonts w:hint="eastAsia" w:ascii="宋体" w:hAnsi="宋体" w:eastAsia="宋体" w:cs="宋体"/>
          <w:b/>
          <w:bCs/>
          <w:color w:val="auto"/>
          <w:sz w:val="21"/>
          <w:szCs w:val="21"/>
          <w:highlight w:val="none"/>
        </w:rPr>
        <w:t>资信商务及技术文件”、 “报价文件”三部分单独密封封装成响应文件。</w:t>
      </w:r>
    </w:p>
    <w:p w14:paraId="5F7C149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17.2响应文件封面及响应文件外层包装制作要求:详见第五章提供的格式。</w:t>
      </w:r>
    </w:p>
    <w:p w14:paraId="4C318F5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17.2未按规定包装、密封和标记的响应文件将被拒绝,由此造成响应文件被误投或提前拆封的风险由竞争性磋商供应商承担。</w:t>
      </w:r>
    </w:p>
    <w:p w14:paraId="63A6E44C">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18.响应文件的提交</w:t>
      </w:r>
    </w:p>
    <w:p w14:paraId="1BC4F8D9">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18.1在提交响应文件截止时间前，竞争性磋商供应商应按磋商文件规定的时间和地点提交响应文件；在提交响应文件截止时间后，采购代理机构将拒收竞争性磋商供应商的响应文件。</w:t>
      </w:r>
    </w:p>
    <w:p w14:paraId="14B55D5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18.2采购代理机构工作人员将做好响应文件签收手续，明确响应文件的提交时间、响应文件的份数、提交人等信息。</w:t>
      </w:r>
    </w:p>
    <w:p w14:paraId="22F8CA97">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19.响应文件的修改和撤销</w:t>
      </w:r>
    </w:p>
    <w:p w14:paraId="3742CA6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19.1在提交响应文件截止时间前，竞争性磋商供应商可对已提交的响应文件进行修改或撤回,修改或撤回的意思应以书面形式通知采购代理机构。</w:t>
      </w:r>
    </w:p>
    <w:p w14:paraId="06E1679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19.2修改后重新提交的响应文件应按磋商文件的规定编制、密封、标记和提交。</w:t>
      </w:r>
    </w:p>
    <w:p w14:paraId="3F114BC8">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19.3在提交响应文件截止时间后,竞争性磋商供应商不得修改、撤回已提交的响应文件。</w:t>
      </w:r>
    </w:p>
    <w:p w14:paraId="72D2BA30">
      <w:pPr>
        <w:pStyle w:val="3"/>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color w:val="auto"/>
          <w:sz w:val="21"/>
          <w:szCs w:val="21"/>
          <w:highlight w:val="none"/>
        </w:rPr>
      </w:pPr>
      <w:bookmarkStart w:id="32" w:name="_Toc107820050"/>
      <w:bookmarkStart w:id="33" w:name="_Toc27619"/>
      <w:bookmarkStart w:id="34" w:name="_Toc390938580"/>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 xml:space="preserve">   </w:t>
      </w:r>
      <w:bookmarkEnd w:id="32"/>
      <w:r>
        <w:rPr>
          <w:rFonts w:hint="eastAsia" w:ascii="宋体" w:hAnsi="宋体" w:eastAsia="宋体" w:cs="宋体"/>
          <w:color w:val="auto"/>
          <w:sz w:val="21"/>
          <w:szCs w:val="21"/>
          <w:highlight w:val="none"/>
        </w:rPr>
        <w:t>磋商会和磋商</w:t>
      </w:r>
      <w:bookmarkEnd w:id="33"/>
      <w:bookmarkEnd w:id="34"/>
    </w:p>
    <w:p w14:paraId="06150383">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20．磋商</w:t>
      </w:r>
    </w:p>
    <w:p w14:paraId="0465CC8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20.1采购代理机构在磋商文件规定的时间和地点组织磋商会。竞争性磋商供应商如不派代表参加的，事后不得对采购相关人员、磋商过程和磋商结果提出异议。</w:t>
      </w:r>
    </w:p>
    <w:p w14:paraId="62F9ECF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磋商会由采购代理机构主持，主持人介绍磋商前基本情况、竞争性磋商供应商名单，宣读磋商日程安排，宣布磋商期间的有关事项。公布磋商会主持人、记录人、监督人等人员名单，告知应当回避的情形，书面提请有关人员回避的事项。竞争性磋商供应商代表应对磋商会内容及记录内容进行签字确认。</w:t>
      </w:r>
    </w:p>
    <w:p w14:paraId="7A09331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20.3拆封响应文件时，竞争性磋商供应商代表可检查响应文件的密封情况，如有问题应及时向工作人员及监督人提出。但工作人员当众拆封后，竞争性磋商供应商不得对响应文件的密封情况提出质疑。</w:t>
      </w:r>
    </w:p>
    <w:p w14:paraId="219DAE7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20.4采购代理机构工作人员将做磋商会记录。</w:t>
      </w:r>
    </w:p>
    <w:p w14:paraId="2846D6F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磋商小组由评审专家或采购人代表和评审专家组成，成员人数为3人以上单数，其中评审专家不少于成员总数的三分之二。评审专家按规定从评审专家库中随机抽取。如有特殊情况的，按相关规定组建磋商小组；磋商小组对响应文件进行审查、评定和比较，对采购内容进行必要的磋商。</w:t>
      </w:r>
    </w:p>
    <w:p w14:paraId="2DF91D3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20.6在磋商期间，竞争性磋商供应商应派代表参加磋商。</w:t>
      </w:r>
    </w:p>
    <w:p w14:paraId="4FE9BDE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20.7竞争性磋商供应商不得捏造事实或者提供虚假材料，进行虚假、恶意质疑、投诉，扰乱采购工作。</w:t>
      </w:r>
    </w:p>
    <w:p w14:paraId="0C29311A">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21.对响应文件的审查和响应性的确定</w:t>
      </w:r>
    </w:p>
    <w:p w14:paraId="2AAB859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21.1评审委员会将审查响应文件真实性和完整性,总体编排是否有序,文件签署是否正确,有无计算上的错误等。</w:t>
      </w:r>
    </w:p>
    <w:p w14:paraId="3A5D5DA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21.2算术错误将按以下方法更正:</w:t>
      </w:r>
      <w:r>
        <w:rPr>
          <w:rFonts w:hint="eastAsia" w:ascii="宋体" w:hAnsi="宋体" w:eastAsia="宋体" w:cs="宋体"/>
          <w:bCs/>
          <w:color w:val="auto"/>
          <w:sz w:val="21"/>
          <w:szCs w:val="21"/>
          <w:highlight w:val="none"/>
        </w:rPr>
        <w:t>响应文件的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如果竞争性</w:t>
      </w:r>
      <w:r>
        <w:rPr>
          <w:rFonts w:hint="eastAsia" w:ascii="宋体" w:hAnsi="宋体" w:eastAsia="宋体" w:cs="宋体"/>
          <w:color w:val="auto"/>
          <w:sz w:val="21"/>
          <w:szCs w:val="21"/>
          <w:highlight w:val="none"/>
        </w:rPr>
        <w:t>磋商</w:t>
      </w:r>
      <w:r>
        <w:rPr>
          <w:rFonts w:hint="eastAsia" w:ascii="宋体" w:hAnsi="宋体" w:eastAsia="宋体" w:cs="宋体"/>
          <w:bCs/>
          <w:color w:val="auto"/>
          <w:sz w:val="21"/>
          <w:szCs w:val="21"/>
          <w:highlight w:val="none"/>
        </w:rPr>
        <w:t>供应商不接受对其错误的更正，其</w:t>
      </w:r>
      <w:r>
        <w:rPr>
          <w:rFonts w:hint="eastAsia" w:ascii="宋体" w:hAnsi="宋体" w:eastAsia="宋体" w:cs="宋体"/>
          <w:color w:val="auto"/>
          <w:sz w:val="21"/>
          <w:szCs w:val="21"/>
          <w:highlight w:val="none"/>
        </w:rPr>
        <w:t>磋商</w:t>
      </w:r>
      <w:r>
        <w:rPr>
          <w:rFonts w:hint="eastAsia" w:ascii="宋体" w:hAnsi="宋体" w:eastAsia="宋体" w:cs="宋体"/>
          <w:bCs/>
          <w:color w:val="auto"/>
          <w:sz w:val="21"/>
          <w:szCs w:val="21"/>
          <w:highlight w:val="none"/>
        </w:rPr>
        <w:t>将被拒绝。</w:t>
      </w:r>
    </w:p>
    <w:p w14:paraId="3E33DE4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21.3对于响应文件中不构成实质性偏差的不正规、不一致或不规则内容, 未超过磋商文件中规定的允许负偏离项数的，采购代理机构和采购人可以接受。</w:t>
      </w:r>
    </w:p>
    <w:p w14:paraId="6AF59C5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21.4在详细磋商之前,根据磋商文件的规定, 评审委员会要审查每份响应文件是否实质上响应了磋商文件的要求。实质上响应的磋商应该是与磋商文件要求的条款、条件和规格相符,没有重大负偏离的磋商。对关键条文的偏离、保留或反对,</w:t>
      </w:r>
      <w:r>
        <w:rPr>
          <w:rFonts w:hint="eastAsia" w:ascii="宋体" w:hAnsi="宋体" w:eastAsia="宋体" w:cs="宋体"/>
          <w:bCs/>
          <w:color w:val="auto"/>
          <w:sz w:val="21"/>
          <w:szCs w:val="21"/>
          <w:highlight w:val="none"/>
        </w:rPr>
        <w:t>例如关于“▲”条款的负偏离将被认为是实质上的负偏离</w:t>
      </w:r>
      <w:r>
        <w:rPr>
          <w:rFonts w:hint="eastAsia" w:ascii="宋体" w:hAnsi="宋体" w:eastAsia="宋体" w:cs="宋体"/>
          <w:color w:val="auto"/>
          <w:sz w:val="21"/>
          <w:szCs w:val="21"/>
          <w:highlight w:val="none"/>
        </w:rPr>
        <w:t>。决定磋商的响应性只根据响应文件的内容,而不寻求外部的依据。</w:t>
      </w:r>
    </w:p>
    <w:p w14:paraId="1472D08C">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22.响应文件的澄清</w:t>
      </w:r>
    </w:p>
    <w:p w14:paraId="7A0793D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对响应文件中含义不明确、同类问题表述不一致或者有明显文字和计算错误的内容，在磋商期间评审委员会可要求竞争性磋商供应商对其进行澄清、说明,但不得寻求、提供或允许对磋商等实质性内容做任何更改。有关澄清的要求、内容和答复均应以书面形式提交。</w:t>
      </w:r>
    </w:p>
    <w:p w14:paraId="31FBBB5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22.2在磋商期间,如有询标情形的，竞争性磋商供应商应派代表参加。</w:t>
      </w:r>
    </w:p>
    <w:p w14:paraId="30875886">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bookmarkStart w:id="35" w:name="_Toc422207143"/>
      <w:bookmarkStart w:id="36" w:name="_Toc390938588"/>
      <w:r>
        <w:rPr>
          <w:rFonts w:hint="eastAsia" w:ascii="宋体" w:hAnsi="宋体" w:eastAsia="宋体" w:cs="宋体"/>
          <w:b/>
          <w:color w:val="auto"/>
          <w:sz w:val="21"/>
          <w:szCs w:val="21"/>
          <w:highlight w:val="none"/>
        </w:rPr>
        <w:t>23.对响应文件的比较和评估</w:t>
      </w:r>
    </w:p>
    <w:p w14:paraId="0E0365B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评审委员会对各响应文件的全部内容进行审阅,并确定各响应文件是否合格有效。凡对磋商文件的实质性内容不作响应的磋商,将被视为不合格的磋商,而不予接受。经过磋商,对响应文件中需要进行澄清的问题,将由评审委员会向竞争性磋商供应商进行询标,竞争性磋商供应商应接受询标、澄清。其内容应由竞争性磋商供应商的法定代表人或授权委托人审阅签字,并视作响应文件的补充,对竞争性磋商供应商具有约束力。</w:t>
      </w:r>
    </w:p>
    <w:p w14:paraId="4572227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23.2在磋商、询标及调查考核的基础上, 评审委员会按照平等、客观、公正的原则,进行磋商。</w:t>
      </w:r>
    </w:p>
    <w:p w14:paraId="586000D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23.3磋商报告</w:t>
      </w:r>
    </w:p>
    <w:p w14:paraId="24D01C6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24.评审委员会完成磋商后,由评审委员会起草磋商报告，各评审委员会签字确认,并推荐预成交供应商。</w:t>
      </w:r>
    </w:p>
    <w:p w14:paraId="11D82B4A">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25.保密和磋商过程的监控</w:t>
      </w:r>
    </w:p>
    <w:p w14:paraId="0DD1F1B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25.1自</w:t>
      </w:r>
      <w:r>
        <w:rPr>
          <w:rFonts w:hint="eastAsia" w:ascii="宋体" w:hAnsi="宋体" w:eastAsia="宋体" w:cs="宋体"/>
          <w:color w:val="auto"/>
          <w:sz w:val="21"/>
          <w:szCs w:val="21"/>
          <w:highlight w:val="none"/>
        </w:rPr>
        <w:t>磋商</w:t>
      </w:r>
      <w:r>
        <w:rPr>
          <w:rFonts w:hint="eastAsia" w:ascii="宋体" w:hAnsi="宋体" w:eastAsia="宋体" w:cs="宋体"/>
          <w:bCs/>
          <w:color w:val="auto"/>
          <w:sz w:val="21"/>
          <w:szCs w:val="21"/>
          <w:highlight w:val="none"/>
        </w:rPr>
        <w:t>时间起至成交公告发布时间止,凡属于审查、澄清、评估和比较</w:t>
      </w:r>
      <w:r>
        <w:rPr>
          <w:rFonts w:hint="eastAsia" w:ascii="宋体" w:hAnsi="宋体" w:eastAsia="宋体" w:cs="宋体"/>
          <w:color w:val="auto"/>
          <w:sz w:val="21"/>
          <w:szCs w:val="21"/>
          <w:highlight w:val="none"/>
        </w:rPr>
        <w:t>磋商</w:t>
      </w:r>
      <w:r>
        <w:rPr>
          <w:rFonts w:hint="eastAsia" w:ascii="宋体" w:hAnsi="宋体" w:eastAsia="宋体" w:cs="宋体"/>
          <w:bCs/>
          <w:color w:val="auto"/>
          <w:sz w:val="21"/>
          <w:szCs w:val="21"/>
          <w:highlight w:val="none"/>
        </w:rPr>
        <w:t>的有关资料且与授予合同有关的信息都不得向任何竞争性</w:t>
      </w:r>
      <w:r>
        <w:rPr>
          <w:rFonts w:hint="eastAsia" w:ascii="宋体" w:hAnsi="宋体" w:eastAsia="宋体" w:cs="宋体"/>
          <w:color w:val="auto"/>
          <w:sz w:val="21"/>
          <w:szCs w:val="21"/>
          <w:highlight w:val="none"/>
        </w:rPr>
        <w:t>磋商</w:t>
      </w:r>
      <w:r>
        <w:rPr>
          <w:rFonts w:hint="eastAsia" w:ascii="宋体" w:hAnsi="宋体" w:eastAsia="宋体" w:cs="宋体"/>
          <w:bCs/>
          <w:color w:val="auto"/>
          <w:sz w:val="21"/>
          <w:szCs w:val="21"/>
          <w:highlight w:val="none"/>
        </w:rPr>
        <w:t>供应商或与上述评标过程无关的人员透露。</w:t>
      </w:r>
    </w:p>
    <w:p w14:paraId="6206092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25.2本项目磋商过程实行全程录音、录像监控，竞争性磋商供应商在磋商过程中所进行的试图影响评标结果的不公正行为或授予合同决定的过程施加影响的企图和行为，可能导致其磋商被拒绝。</w:t>
      </w:r>
    </w:p>
    <w:p w14:paraId="4090252F">
      <w:pPr>
        <w:pStyle w:val="3"/>
        <w:keepNext w:val="0"/>
        <w:keepLines w:val="0"/>
        <w:pageBreakBefore w:val="0"/>
        <w:widowControl w:val="0"/>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highlight w:val="none"/>
        </w:rPr>
      </w:pPr>
      <w:bookmarkStart w:id="37" w:name="_Toc7268"/>
      <w:bookmarkStart w:id="38" w:name="_Toc390938581"/>
      <w:bookmarkStart w:id="39" w:name="_Toc455130385"/>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 xml:space="preserve">   磋商无效的情形</w:t>
      </w:r>
      <w:bookmarkEnd w:id="37"/>
      <w:bookmarkEnd w:id="38"/>
      <w:bookmarkEnd w:id="39"/>
    </w:p>
    <w:p w14:paraId="044F0FF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实质上没有响应磋商文件要求的磋商将被拒绝，被拒绝的响应文件为无效。竞争性磋商供应商不得通过修正或撤消不合要求的偏离或保留从而使其磋商成为实质上响应的磋商。竞争性磋商供应商如有下列情形之一的,其磋商将被拒绝，磋商响应文件无效:</w:t>
      </w:r>
    </w:p>
    <w:p w14:paraId="579B20D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26.1竞争性磋商供应商未按磋商文件的要求交纳磋商保证金，包括交纳保证金的金额、时间和方式不符合磋商文件规定的。</w:t>
      </w:r>
    </w:p>
    <w:p w14:paraId="7B328B1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26.2电报、电话、传真形式的磋商。</w:t>
      </w:r>
    </w:p>
    <w:p w14:paraId="63A2A6A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26.3竞争性磋商供应商没有按磋商文件规定的时间和地点提交响应文件的。</w:t>
      </w:r>
    </w:p>
    <w:p w14:paraId="6D282F0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26.4未按磋商文件规定要求密封、签署、盖章的。</w:t>
      </w:r>
    </w:p>
    <w:p w14:paraId="6D74C74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26.5响应文件无法区分正、副本的。</w:t>
      </w:r>
    </w:p>
    <w:p w14:paraId="040602D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26.6磋商有效期不足的。</w:t>
      </w:r>
    </w:p>
    <w:p w14:paraId="77EA5E9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26.7不具备磋商文件规定资格要求的。</w:t>
      </w:r>
    </w:p>
    <w:p w14:paraId="1558711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26.8评审委员会评定有实质上“▲”条款的负偏离的。</w:t>
      </w:r>
    </w:p>
    <w:p w14:paraId="2948964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26.9评审委员会评定有非实质性负偏离超过磋商文件规定项数的。</w:t>
      </w:r>
    </w:p>
    <w:p w14:paraId="349748E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26.10竞争性磋商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570170B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26.11提供虚假材料谋取成交的。</w:t>
      </w:r>
    </w:p>
    <w:p w14:paraId="53E2E7A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26.12在磋商过程中与采购人进行协商、不按磋商文件和成交供应商的响应文件订立合同,或者与采购人另行订立背离合同实质性内容的协议的。</w:t>
      </w:r>
    </w:p>
    <w:p w14:paraId="4140853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26.13磋商文件规定的其他响应文件无效情形。</w:t>
      </w:r>
    </w:p>
    <w:p w14:paraId="3EFFE28B">
      <w:pPr>
        <w:pStyle w:val="3"/>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b w:val="0"/>
          <w:bCs/>
          <w:color w:val="auto"/>
          <w:sz w:val="21"/>
          <w:szCs w:val="21"/>
          <w:highlight w:val="none"/>
        </w:rPr>
      </w:pPr>
      <w:bookmarkStart w:id="40" w:name="_Toc390938582"/>
      <w:bookmarkStart w:id="41" w:name="_Toc455130386"/>
      <w:bookmarkStart w:id="42" w:name="_Toc29572"/>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 xml:space="preserve">   法律责任</w:t>
      </w:r>
      <w:bookmarkEnd w:id="40"/>
      <w:bookmarkEnd w:id="41"/>
      <w:bookmarkEnd w:id="42"/>
    </w:p>
    <w:p w14:paraId="05EF397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竞争性磋商供应商有下列情形之一的,处以采购项目成交金额千分之五以上千分之十以下的罚款,列入不良行为记录名单,在一至三年内禁止参加政府采购活动,并予以公告,有违法所得的,并处没收违法所得,情节严重的,由工商行政管理机关吊销营业执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构成犯罪的,依法追究刑事责任:</w:t>
      </w:r>
    </w:p>
    <w:p w14:paraId="3053D90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27.1提供虚假材料谋取成交的</w:t>
      </w:r>
      <w:r>
        <w:rPr>
          <w:rFonts w:hint="eastAsia" w:ascii="宋体" w:hAnsi="宋体" w:cs="宋体"/>
          <w:color w:val="auto"/>
          <w:sz w:val="21"/>
          <w:szCs w:val="21"/>
          <w:highlight w:val="none"/>
          <w:lang w:eastAsia="zh-CN"/>
        </w:rPr>
        <w:t>；</w:t>
      </w:r>
    </w:p>
    <w:p w14:paraId="43A140C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27.2采取不正当手段诋毁、排挤其他竞争性磋商供应商的</w:t>
      </w:r>
      <w:r>
        <w:rPr>
          <w:rFonts w:hint="eastAsia" w:ascii="宋体" w:hAnsi="宋体" w:cs="宋体"/>
          <w:color w:val="auto"/>
          <w:sz w:val="21"/>
          <w:szCs w:val="21"/>
          <w:highlight w:val="none"/>
          <w:lang w:eastAsia="zh-CN"/>
        </w:rPr>
        <w:t>；</w:t>
      </w:r>
    </w:p>
    <w:p w14:paraId="2F30815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27.3与采购人、采购代理机构、其他竞争性磋商供应商恶意串通的</w:t>
      </w:r>
      <w:r>
        <w:rPr>
          <w:rFonts w:hint="eastAsia" w:ascii="宋体" w:hAnsi="宋体" w:cs="宋体"/>
          <w:color w:val="auto"/>
          <w:sz w:val="21"/>
          <w:szCs w:val="21"/>
          <w:highlight w:val="none"/>
          <w:lang w:eastAsia="zh-CN"/>
        </w:rPr>
        <w:t>；</w:t>
      </w:r>
    </w:p>
    <w:p w14:paraId="1CD036D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27.4向采购人、采购代理机构行贿或者提供其他不正当利益的</w:t>
      </w:r>
      <w:r>
        <w:rPr>
          <w:rFonts w:hint="eastAsia" w:ascii="宋体" w:hAnsi="宋体" w:cs="宋体"/>
          <w:color w:val="auto"/>
          <w:sz w:val="21"/>
          <w:szCs w:val="21"/>
          <w:highlight w:val="none"/>
          <w:lang w:eastAsia="zh-CN"/>
        </w:rPr>
        <w:t>；</w:t>
      </w:r>
    </w:p>
    <w:p w14:paraId="17B5D6B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27.5在磋商过程中与采购人进行协商磋商、不按照磋商文件和成交供应商的响应文件订立合同,或者与采购人另行订立背离合同实质性内容的协议的</w:t>
      </w:r>
      <w:r>
        <w:rPr>
          <w:rFonts w:hint="eastAsia" w:ascii="宋体" w:hAnsi="宋体" w:cs="宋体"/>
          <w:color w:val="auto"/>
          <w:sz w:val="21"/>
          <w:szCs w:val="21"/>
          <w:highlight w:val="none"/>
          <w:lang w:eastAsia="zh-CN"/>
        </w:rPr>
        <w:t>；</w:t>
      </w:r>
    </w:p>
    <w:p w14:paraId="505748E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27.6拒绝有关部门监督检查或者提供虚假情况的；</w:t>
      </w:r>
    </w:p>
    <w:p w14:paraId="0195A310">
      <w:pPr>
        <w:pStyle w:val="3"/>
        <w:keepNext w:val="0"/>
        <w:keepLines w:val="0"/>
        <w:pageBreakBefore w:val="0"/>
        <w:widowControl w:val="0"/>
        <w:kinsoku/>
        <w:wordWrap/>
        <w:overflowPunct/>
        <w:topLinePunct w:val="0"/>
        <w:autoSpaceDE/>
        <w:autoSpaceDN/>
        <w:bidi w:val="0"/>
        <w:spacing w:before="0" w:after="0" w:line="360" w:lineRule="exact"/>
        <w:rPr>
          <w:rFonts w:hint="eastAsia" w:ascii="宋体" w:hAnsi="宋体" w:eastAsia="宋体" w:cs="宋体"/>
          <w:color w:val="auto"/>
          <w:sz w:val="21"/>
          <w:szCs w:val="21"/>
          <w:highlight w:val="none"/>
        </w:rPr>
      </w:pPr>
      <w:bookmarkStart w:id="43" w:name="_Toc14121"/>
      <w:bookmarkStart w:id="44" w:name="_Toc455130387"/>
      <w:bookmarkStart w:id="45" w:name="_Toc390938583"/>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rPr>
        <w:t xml:space="preserve">    询问</w:t>
      </w:r>
      <w:bookmarkEnd w:id="43"/>
      <w:bookmarkEnd w:id="44"/>
      <w:bookmarkEnd w:id="45"/>
    </w:p>
    <w:p w14:paraId="139E1D8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bookmarkStart w:id="46" w:name="_Toc335664279"/>
      <w:bookmarkStart w:id="47" w:name="_Toc334087237"/>
      <w:bookmarkStart w:id="48" w:name="_Toc176659672"/>
      <w:bookmarkStart w:id="49" w:name="_Toc390938584"/>
      <w:bookmarkStart w:id="50" w:name="_Toc107820051"/>
      <w:r>
        <w:rPr>
          <w:rFonts w:hint="eastAsia" w:ascii="宋体" w:hAnsi="宋体" w:eastAsia="宋体" w:cs="宋体"/>
          <w:color w:val="auto"/>
          <w:sz w:val="21"/>
          <w:szCs w:val="21"/>
          <w:highlight w:val="none"/>
        </w:rPr>
        <w:t>28.供应商有权就采购活动的事项在有效时限内提出询问。</w:t>
      </w:r>
    </w:p>
    <w:p w14:paraId="38713AF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28.1供应商对采购活动事项有疑问的，可向采购代理机构提出询问，采购代理机构将在</w:t>
      </w:r>
      <w:r>
        <w:rPr>
          <w:rFonts w:hint="eastAsia" w:ascii="宋体" w:hAnsi="宋体" w:eastAsia="宋体" w:cs="宋体"/>
          <w:color w:val="auto"/>
          <w:sz w:val="21"/>
          <w:szCs w:val="21"/>
          <w:highlight w:val="none"/>
          <w:u w:val="single"/>
        </w:rPr>
        <w:t>3个工作日</w:t>
      </w:r>
      <w:r>
        <w:rPr>
          <w:rFonts w:hint="eastAsia" w:ascii="宋体" w:hAnsi="宋体" w:eastAsia="宋体" w:cs="宋体"/>
          <w:color w:val="auto"/>
          <w:sz w:val="21"/>
          <w:szCs w:val="21"/>
          <w:highlight w:val="none"/>
        </w:rPr>
        <w:t>内对供应商依法提出的询问作出答复，但答复的内容不涉及商业秘密。</w:t>
      </w:r>
    </w:p>
    <w:p w14:paraId="5B8BEB7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28.2对磋商文件有疑问的，应在规定的时间内向采购代理机构书面提出。</w:t>
      </w:r>
    </w:p>
    <w:p w14:paraId="69E52BB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4726222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28.2.2采购代理机构将在提交响应文件的截止时间</w:t>
      </w:r>
      <w:r>
        <w:rPr>
          <w:rFonts w:hint="eastAsia" w:ascii="宋体" w:hAnsi="宋体" w:eastAsia="宋体" w:cs="宋体"/>
          <w:color w:val="auto"/>
          <w:sz w:val="21"/>
          <w:szCs w:val="21"/>
          <w:highlight w:val="none"/>
          <w:u w:val="single"/>
        </w:rPr>
        <w:t>五日前</w:t>
      </w:r>
      <w:r>
        <w:rPr>
          <w:rFonts w:hint="eastAsia" w:ascii="宋体" w:hAnsi="宋体" w:eastAsia="宋体" w:cs="宋体"/>
          <w:color w:val="auto"/>
          <w:sz w:val="21"/>
          <w:szCs w:val="21"/>
          <w:highlight w:val="none"/>
        </w:rPr>
        <w:t>对供应商澄清的要求予以答复，答复内容将在“</w:t>
      </w:r>
      <w:r>
        <w:rPr>
          <w:rFonts w:hint="eastAsia" w:ascii="宋体" w:hAnsi="宋体" w:cs="宋体"/>
          <w:color w:val="auto"/>
          <w:sz w:val="21"/>
          <w:szCs w:val="21"/>
          <w:highlight w:val="none"/>
          <w:lang w:eastAsia="zh-CN"/>
        </w:rPr>
        <w:t>浙江政府采购</w:t>
      </w:r>
      <w:r>
        <w:rPr>
          <w:rFonts w:hint="eastAsia" w:ascii="宋体" w:hAnsi="宋体" w:eastAsia="宋体" w:cs="宋体"/>
          <w:color w:val="auto"/>
          <w:sz w:val="21"/>
          <w:szCs w:val="21"/>
          <w:highlight w:val="none"/>
        </w:rPr>
        <w:t>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"http://60.190.126.3:8080/wcm/WCMV6/editor/editor/招标文件（新版）.doc"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）上予以公布，并且采购代理机构将根据供应商报名时填写的传真号码将答复内容传真给供应商，请供应商在报名时正确填写传真号码及务必关注相关网站，否则，所造成的一切风险由供应商自行承担。</w:t>
      </w:r>
    </w:p>
    <w:p w14:paraId="380E16BA">
      <w:pPr>
        <w:pStyle w:val="3"/>
        <w:keepNext w:val="0"/>
        <w:keepLines w:val="0"/>
        <w:pageBreakBefore w:val="0"/>
        <w:widowControl w:val="0"/>
        <w:kinsoku/>
        <w:wordWrap/>
        <w:overflowPunct/>
        <w:topLinePunct w:val="0"/>
        <w:autoSpaceDE/>
        <w:autoSpaceDN/>
        <w:bidi w:val="0"/>
        <w:spacing w:before="0" w:after="0" w:line="360" w:lineRule="exact"/>
        <w:ind w:firstLine="209" w:firstLineChars="99"/>
        <w:rPr>
          <w:rFonts w:hint="eastAsia" w:ascii="宋体" w:hAnsi="宋体" w:eastAsia="宋体" w:cs="宋体"/>
          <w:color w:val="auto"/>
          <w:sz w:val="21"/>
          <w:szCs w:val="21"/>
          <w:highlight w:val="none"/>
        </w:rPr>
      </w:pPr>
      <w:bookmarkStart w:id="51" w:name="_Toc18524"/>
      <w:bookmarkStart w:id="52" w:name="_Toc455130388"/>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 xml:space="preserve">  质疑</w:t>
      </w:r>
      <w:bookmarkEnd w:id="46"/>
      <w:bookmarkEnd w:id="47"/>
      <w:bookmarkEnd w:id="48"/>
      <w:bookmarkEnd w:id="49"/>
      <w:bookmarkEnd w:id="51"/>
      <w:bookmarkEnd w:id="52"/>
    </w:p>
    <w:p w14:paraId="7F2C54C7">
      <w:pPr>
        <w:pStyle w:val="14"/>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bookmarkStart w:id="53" w:name="_Toc334087238"/>
      <w:bookmarkStart w:id="54" w:name="_Toc335664280"/>
      <w:bookmarkStart w:id="55" w:name="_Toc390938585"/>
      <w:r>
        <w:rPr>
          <w:rFonts w:hint="eastAsia" w:ascii="宋体" w:hAnsi="宋体" w:eastAsia="宋体" w:cs="宋体"/>
          <w:color w:val="auto"/>
          <w:sz w:val="21"/>
          <w:szCs w:val="21"/>
          <w:highlight w:val="none"/>
        </w:rPr>
        <w:t>29.供应商认为磋商文件、采购过程和成交结果使自己的权益受到损害的，按本竞争性磋商文件及政府采购相关法律法规要求，以书面形式一次性向采购代理机构提出质疑。</w:t>
      </w:r>
    </w:p>
    <w:p w14:paraId="365B1E45">
      <w:pPr>
        <w:pStyle w:val="3"/>
        <w:keepNext w:val="0"/>
        <w:keepLines w:val="0"/>
        <w:pageBreakBefore w:val="0"/>
        <w:widowControl w:val="0"/>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highlight w:val="none"/>
        </w:rPr>
      </w:pPr>
      <w:bookmarkStart w:id="56" w:name="_Toc6856"/>
      <w:bookmarkStart w:id="57" w:name="_Toc455130389"/>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 xml:space="preserve">  投诉</w:t>
      </w:r>
      <w:bookmarkEnd w:id="53"/>
      <w:bookmarkEnd w:id="54"/>
      <w:bookmarkEnd w:id="55"/>
      <w:bookmarkEnd w:id="56"/>
      <w:bookmarkEnd w:id="57"/>
    </w:p>
    <w:p w14:paraId="6B923C0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bookmarkStart w:id="58" w:name="_Toc334087239"/>
      <w:bookmarkStart w:id="59" w:name="_Toc390938586"/>
      <w:bookmarkStart w:id="60" w:name="_Toc335664281"/>
      <w:r>
        <w:rPr>
          <w:rFonts w:hint="eastAsia" w:ascii="宋体" w:hAnsi="宋体" w:eastAsia="宋体" w:cs="宋体"/>
          <w:color w:val="auto"/>
          <w:sz w:val="21"/>
          <w:szCs w:val="21"/>
          <w:highlight w:val="none"/>
        </w:rPr>
        <w:t>30.质疑供应商对采购代理机构的答复不满意或者采购代理机构未在规定时间内答复的，可以在答复期满后十五个工作日内按有关规定，向采购人上级主管部门投诉。</w:t>
      </w:r>
    </w:p>
    <w:p w14:paraId="776F7E73">
      <w:pPr>
        <w:pStyle w:val="3"/>
        <w:keepNext w:val="0"/>
        <w:keepLines w:val="0"/>
        <w:pageBreakBefore w:val="0"/>
        <w:widowControl w:val="0"/>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highlight w:val="none"/>
        </w:rPr>
      </w:pPr>
      <w:bookmarkStart w:id="61" w:name="_Toc552"/>
      <w:bookmarkStart w:id="62" w:name="_Toc455130390"/>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 xml:space="preserve">   授予合同</w:t>
      </w:r>
      <w:bookmarkEnd w:id="50"/>
      <w:bookmarkEnd w:id="58"/>
      <w:bookmarkEnd w:id="59"/>
      <w:bookmarkEnd w:id="60"/>
      <w:bookmarkEnd w:id="61"/>
      <w:bookmarkEnd w:id="62"/>
    </w:p>
    <w:p w14:paraId="3E33E67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bookmarkStart w:id="63" w:name="_Toc334087240"/>
      <w:bookmarkStart w:id="64" w:name="_Toc47756031"/>
      <w:bookmarkStart w:id="65" w:name="_Toc15805937"/>
      <w:bookmarkStart w:id="66" w:name="_Toc15813254"/>
      <w:bookmarkStart w:id="67" w:name="_Toc107820052"/>
      <w:bookmarkStart w:id="68" w:name="_Toc45506731"/>
      <w:r>
        <w:rPr>
          <w:rFonts w:hint="eastAsia" w:ascii="宋体" w:hAnsi="宋体" w:eastAsia="宋体" w:cs="宋体"/>
          <w:color w:val="auto"/>
          <w:sz w:val="21"/>
          <w:szCs w:val="21"/>
          <w:highlight w:val="none"/>
        </w:rPr>
        <w:t>31.资格最终审查</w:t>
      </w:r>
    </w:p>
    <w:p w14:paraId="6DB958F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31.1采购人和采购代理机构将审查成交供应商的财务、技术、生产和供货能力及信誉,确定其是否能圆满地履行合同。</w:t>
      </w:r>
    </w:p>
    <w:p w14:paraId="0BFB519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32.成交公告及成交通知书</w:t>
      </w:r>
    </w:p>
    <w:p w14:paraId="579557B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32.1成交供应商确定后，采购代理机构将在“浙江政府采购网”上发布成交公告，并以书面形式向成交供应商发成交通知书，成交通知书将作为签订合同的依据。</w:t>
      </w:r>
    </w:p>
    <w:p w14:paraId="60083352">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32.2成交公告发出届满之日起的法定质疑期限内，如有质疑、投诉情形的，采购人应暂缓与成交供应商签订合同。</w:t>
      </w:r>
    </w:p>
    <w:p w14:paraId="40F686C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33.授予合同时变更数量的权力</w:t>
      </w:r>
    </w:p>
    <w:p w14:paraId="6CFD18C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33.1采购人需追加与合同标的相同的货物、工程或者服务的，在不改变合同其他条款的前提下，可以与成交供应商签订补充合同。</w:t>
      </w:r>
    </w:p>
    <w:p w14:paraId="0D3C41A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34.签订合同</w:t>
      </w:r>
    </w:p>
    <w:p w14:paraId="07B4A2C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34.1采购人与成交供应商应当在成交通知书发出之日起30日内，按照磋商文件确定的合同文本以及采购标的、规格型号、采购金额、采购数量、技术和服务要求等事项签订采购合同。</w:t>
      </w:r>
    </w:p>
    <w:p w14:paraId="592655A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3C5668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成交供应商拒绝签订采购合同的，采购人可以按照有关规定确定其他供应商作为成交供应商并签订采购合同，也可以重新开展采购活动。拒绝签订采购合同的成交供应商不得参加对该项目重新开展的采购活动。</w:t>
      </w:r>
    </w:p>
    <w:p w14:paraId="2535FF7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34.2磋商文件、成交供应商的响应文件及其澄清文件等,均为签订合同的依据。</w:t>
      </w:r>
    </w:p>
    <w:p w14:paraId="4C4A0FA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成交供应商不遵守磋商文件和响应文件的要约条款及所作的承诺,擅自修改磋商内容或在接到成交通知书30天内,无故拖延、拒签合同者,采购代理机构和采购人将不退还磋商保证金。同时,采购代理机构和采购人有权取消竞争性磋商供应商的成交资格。</w:t>
      </w:r>
    </w:p>
    <w:p w14:paraId="216D8B91">
      <w:pPr>
        <w:pStyle w:val="3"/>
        <w:keepNext w:val="0"/>
        <w:keepLines w:val="0"/>
        <w:pageBreakBefore w:val="0"/>
        <w:widowControl w:val="0"/>
        <w:tabs>
          <w:tab w:val="left" w:pos="3405"/>
        </w:tabs>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highlight w:val="none"/>
        </w:rPr>
      </w:pPr>
      <w:bookmarkStart w:id="69" w:name="_Toc495572453"/>
      <w:bookmarkStart w:id="70" w:name="_Toc493956047"/>
      <w:bookmarkStart w:id="71" w:name="_Toc73979132"/>
      <w:bookmarkStart w:id="72" w:name="_Toc494558366"/>
      <w:bookmarkStart w:id="73" w:name="_Toc43060381"/>
      <w:bookmarkStart w:id="74" w:name="_Toc493956269"/>
      <w:bookmarkStart w:id="75" w:name="_Toc495487745"/>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val="en-US" w:eastAsia="zh-CN"/>
        </w:rPr>
        <w:t>四</w:t>
      </w:r>
      <w:r>
        <w:rPr>
          <w:rFonts w:hint="eastAsia" w:ascii="宋体" w:hAnsi="宋体" w:eastAsia="宋体"/>
          <w:color w:val="auto"/>
          <w:sz w:val="21"/>
          <w:szCs w:val="21"/>
          <w:highlight w:val="none"/>
        </w:rPr>
        <w:t xml:space="preserve">  </w:t>
      </w:r>
      <w:bookmarkEnd w:id="69"/>
      <w:bookmarkEnd w:id="70"/>
      <w:bookmarkEnd w:id="71"/>
      <w:bookmarkEnd w:id="72"/>
      <w:bookmarkEnd w:id="73"/>
      <w:bookmarkEnd w:id="74"/>
      <w:bookmarkEnd w:id="75"/>
      <w:bookmarkStart w:id="76" w:name="_Toc7695"/>
      <w:bookmarkStart w:id="77" w:name="_Toc390938587"/>
      <w:bookmarkStart w:id="78" w:name="_Toc335664282"/>
      <w:bookmarkStart w:id="79" w:name="_Toc455130391"/>
      <w:r>
        <w:rPr>
          <w:rFonts w:hint="eastAsia" w:ascii="宋体" w:hAnsi="宋体" w:eastAsia="宋体" w:cs="宋体"/>
          <w:color w:val="auto"/>
          <w:sz w:val="21"/>
          <w:szCs w:val="21"/>
          <w:highlight w:val="none"/>
        </w:rPr>
        <w:t>其他事项</w:t>
      </w:r>
      <w:bookmarkEnd w:id="63"/>
      <w:bookmarkEnd w:id="64"/>
      <w:bookmarkEnd w:id="65"/>
      <w:bookmarkEnd w:id="66"/>
      <w:bookmarkEnd w:id="67"/>
      <w:bookmarkEnd w:id="68"/>
      <w:bookmarkEnd w:id="76"/>
      <w:bookmarkEnd w:id="77"/>
      <w:bookmarkEnd w:id="78"/>
      <w:bookmarkEnd w:id="79"/>
    </w:p>
    <w:p w14:paraId="3F7F35A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 xml:space="preserve">. 解释权 </w:t>
      </w:r>
    </w:p>
    <w:p w14:paraId="4D0A638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.1本</w:t>
      </w:r>
      <w:r>
        <w:rPr>
          <w:rFonts w:hint="eastAsia" w:ascii="宋体" w:hAnsi="宋体" w:eastAsia="宋体" w:cs="宋体"/>
          <w:color w:val="auto"/>
          <w:sz w:val="21"/>
          <w:szCs w:val="21"/>
          <w:highlight w:val="none"/>
        </w:rPr>
        <w:t>磋商</w:t>
      </w:r>
      <w:r>
        <w:rPr>
          <w:rFonts w:hint="eastAsia" w:ascii="宋体" w:hAnsi="宋体" w:eastAsia="宋体" w:cs="宋体"/>
          <w:bCs/>
          <w:color w:val="auto"/>
          <w:sz w:val="21"/>
          <w:szCs w:val="21"/>
          <w:highlight w:val="none"/>
        </w:rPr>
        <w:t>文件是根据国家有关法律、法规、规章和有关规定编制的,解释权属采购代理机构。</w:t>
      </w:r>
    </w:p>
    <w:p w14:paraId="56C0287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 采购代理机构对决标结果不负责解释。</w:t>
      </w:r>
    </w:p>
    <w:p w14:paraId="04239A0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.采购代理服务费:</w:t>
      </w:r>
    </w:p>
    <w:p w14:paraId="52B7905B">
      <w:pPr>
        <w:ind w:firstLine="422" w:firstLineChars="200"/>
        <w:outlineLvl w:val="9"/>
        <w:rPr>
          <w:rFonts w:hint="eastAsia" w:ascii="宋体" w:hAnsi="宋体" w:cs="宋体"/>
          <w:b/>
          <w:color w:val="auto"/>
          <w:sz w:val="21"/>
          <w:szCs w:val="21"/>
          <w:highlight w:val="none"/>
          <w:lang w:val="en-US" w:eastAsia="zh-CN"/>
        </w:rPr>
        <w:sectPr>
          <w:pgSz w:w="11906" w:h="16838"/>
          <w:pgMar w:top="1185" w:right="1151" w:bottom="1157" w:left="1185" w:header="851" w:footer="992" w:gutter="0"/>
          <w:pgNumType w:fmt="decimal"/>
          <w:cols w:space="425" w:num="1"/>
          <w:titlePg/>
          <w:docGrid w:type="lines" w:linePitch="312" w:charSpace="0"/>
        </w:sectPr>
      </w:pPr>
      <w:r>
        <w:rPr>
          <w:rFonts w:hint="eastAsia" w:ascii="宋体" w:hAnsi="宋体" w:eastAsia="宋体" w:cs="宋体"/>
          <w:b/>
          <w:color w:val="auto"/>
          <w:sz w:val="21"/>
          <w:szCs w:val="21"/>
          <w:highlight w:val="none"/>
        </w:rPr>
        <w:t>38</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代理服务费标准：</w:t>
      </w:r>
      <w:bookmarkStart w:id="80" w:name="_Toc457320293"/>
      <w:bookmarkStart w:id="81" w:name="_Toc48143001"/>
      <w:bookmarkStart w:id="82" w:name="_Toc19060"/>
      <w:bookmarkStart w:id="83" w:name="_Toc490043768"/>
      <w:r>
        <w:rPr>
          <w:rFonts w:hint="eastAsia" w:ascii="宋体" w:hAnsi="宋体" w:eastAsia="宋体" w:cs="宋体"/>
          <w:b/>
          <w:color w:val="auto"/>
          <w:sz w:val="21"/>
          <w:szCs w:val="21"/>
          <w:highlight w:val="none"/>
        </w:rPr>
        <w:t>由中标供应商支付代理服务费，费用</w:t>
      </w:r>
      <w:r>
        <w:rPr>
          <w:rFonts w:hint="eastAsia" w:ascii="宋体" w:hAnsi="宋体" w:cs="宋体"/>
          <w:b/>
          <w:color w:val="auto"/>
          <w:sz w:val="21"/>
          <w:szCs w:val="21"/>
          <w:highlight w:val="none"/>
          <w:lang w:eastAsia="zh-CN"/>
        </w:rPr>
        <w:t>为人民币</w:t>
      </w:r>
      <w:r>
        <w:rPr>
          <w:rFonts w:hint="eastAsia" w:ascii="宋体" w:hAnsi="宋体" w:cs="宋体"/>
          <w:b/>
          <w:color w:val="auto"/>
          <w:sz w:val="21"/>
          <w:szCs w:val="21"/>
          <w:highlight w:val="none"/>
          <w:lang w:val="en-US" w:eastAsia="zh-CN"/>
        </w:rPr>
        <w:t>3万元，中标供应商在领取成交通知书时一次性向采购代理价支付。</w:t>
      </w:r>
    </w:p>
    <w:p w14:paraId="6EACE137">
      <w:pPr>
        <w:pStyle w:val="2"/>
        <w:pageBreakBefore w:val="0"/>
        <w:tabs>
          <w:tab w:val="left" w:pos="1080"/>
        </w:tabs>
        <w:kinsoku/>
        <w:overflowPunct/>
        <w:topLinePunct w:val="0"/>
        <w:bidi w:val="0"/>
        <w:spacing w:line="400" w:lineRule="exact"/>
        <w:ind w:firstLine="0" w:firstLineChars="0"/>
        <w:jc w:val="center"/>
        <w:outlineLvl w:val="0"/>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4"/>
          <w:szCs w:val="24"/>
          <w:highlight w:val="none"/>
          <w:lang w:val="en-US" w:eastAsia="zh-CN" w:bidi="ar-SA"/>
        </w:rPr>
        <w:t>第四章  政府采购合同格式（仅供参考）</w:t>
      </w:r>
    </w:p>
    <w:p w14:paraId="0672073D">
      <w:pPr>
        <w:spacing w:line="284" w:lineRule="auto"/>
        <w:rPr>
          <w:rFonts w:ascii="Arial"/>
          <w:sz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14:paraId="416A55D2">
      <w:pPr>
        <w:pStyle w:val="11"/>
        <w:spacing w:before="286" w:line="219" w:lineRule="auto"/>
        <w:ind w:left="566"/>
        <w:jc w:val="center"/>
        <w:outlineLvl w:val="0"/>
        <w:rPr>
          <w:sz w:val="88"/>
          <w:szCs w:val="88"/>
          <w:highlight w:val="none"/>
        </w:rPr>
      </w:pPr>
      <w:r>
        <w:rPr>
          <w:spacing w:val="-37"/>
          <w:sz w:val="88"/>
          <w:szCs w:val="88"/>
          <w:highlight w:val="none"/>
        </w:rPr>
        <w:t xml:space="preserve"> </w:t>
      </w:r>
      <w:r>
        <w:rPr>
          <w:b/>
          <w:bCs/>
          <w:spacing w:val="-26"/>
          <w:sz w:val="88"/>
          <w:szCs w:val="88"/>
          <w:highlight w:val="none"/>
        </w:rPr>
        <w:t>采</w:t>
      </w:r>
      <w:r>
        <w:rPr>
          <w:spacing w:val="-41"/>
          <w:sz w:val="88"/>
          <w:szCs w:val="88"/>
          <w:highlight w:val="none"/>
        </w:rPr>
        <w:t xml:space="preserve"> </w:t>
      </w:r>
      <w:r>
        <w:rPr>
          <w:b/>
          <w:bCs/>
          <w:spacing w:val="-26"/>
          <w:sz w:val="88"/>
          <w:szCs w:val="88"/>
          <w:highlight w:val="none"/>
        </w:rPr>
        <w:t>购</w:t>
      </w:r>
      <w:r>
        <w:rPr>
          <w:spacing w:val="-26"/>
          <w:sz w:val="88"/>
          <w:szCs w:val="88"/>
          <w:highlight w:val="none"/>
        </w:rPr>
        <w:t xml:space="preserve"> </w:t>
      </w:r>
      <w:r>
        <w:rPr>
          <w:b/>
          <w:bCs/>
          <w:spacing w:val="-26"/>
          <w:sz w:val="88"/>
          <w:szCs w:val="88"/>
          <w:highlight w:val="none"/>
        </w:rPr>
        <w:t>合</w:t>
      </w:r>
      <w:r>
        <w:rPr>
          <w:spacing w:val="-26"/>
          <w:sz w:val="88"/>
          <w:szCs w:val="88"/>
          <w:highlight w:val="none"/>
        </w:rPr>
        <w:t xml:space="preserve"> </w:t>
      </w:r>
      <w:r>
        <w:rPr>
          <w:b/>
          <w:bCs/>
          <w:spacing w:val="-26"/>
          <w:sz w:val="88"/>
          <w:szCs w:val="88"/>
          <w:highlight w:val="none"/>
        </w:rPr>
        <w:t>同</w:t>
      </w:r>
    </w:p>
    <w:p w14:paraId="08AA08CD">
      <w:pPr>
        <w:spacing w:line="252" w:lineRule="auto"/>
        <w:rPr>
          <w:rFonts w:ascii="Arial"/>
          <w:sz w:val="21"/>
          <w:highlight w:val="none"/>
        </w:rPr>
      </w:pPr>
    </w:p>
    <w:p w14:paraId="32297BC1">
      <w:pPr>
        <w:spacing w:before="98" w:line="221" w:lineRule="auto"/>
        <w:ind w:left="5237" w:firstLine="678" w:firstLineChars="200"/>
        <w:rPr>
          <w:rFonts w:ascii="黑体" w:hAnsi="黑体" w:eastAsia="黑体" w:cs="黑体"/>
          <w:sz w:val="30"/>
          <w:szCs w:val="30"/>
          <w:highlight w:val="none"/>
        </w:rPr>
      </w:pPr>
      <w:r>
        <w:rPr>
          <w:rFonts w:ascii="黑体" w:hAnsi="黑体" w:eastAsia="黑体" w:cs="黑体"/>
          <w:b/>
          <w:bCs/>
          <w:spacing w:val="19"/>
          <w:sz w:val="30"/>
          <w:szCs w:val="30"/>
          <w:highlight w:val="none"/>
        </w:rPr>
        <w:t>合同编号：</w:t>
      </w:r>
    </w:p>
    <w:p w14:paraId="08237564">
      <w:pPr>
        <w:spacing w:line="256" w:lineRule="auto"/>
        <w:rPr>
          <w:rFonts w:ascii="Arial"/>
          <w:sz w:val="21"/>
          <w:highlight w:val="none"/>
        </w:rPr>
      </w:pPr>
    </w:p>
    <w:p w14:paraId="5D891C45">
      <w:pPr>
        <w:spacing w:line="256" w:lineRule="auto"/>
        <w:rPr>
          <w:rFonts w:ascii="Arial"/>
          <w:sz w:val="21"/>
          <w:highlight w:val="none"/>
        </w:rPr>
      </w:pPr>
    </w:p>
    <w:p w14:paraId="24846538">
      <w:pPr>
        <w:spacing w:line="257" w:lineRule="auto"/>
        <w:rPr>
          <w:rFonts w:ascii="Arial"/>
          <w:sz w:val="21"/>
          <w:highlight w:val="none"/>
        </w:rPr>
      </w:pPr>
    </w:p>
    <w:p w14:paraId="4F96990A">
      <w:pPr>
        <w:pStyle w:val="11"/>
        <w:spacing w:before="104" w:line="367" w:lineRule="auto"/>
        <w:ind w:left="2023" w:right="217" w:hanging="1750"/>
        <w:rPr>
          <w:highlight w:val="none"/>
        </w:rPr>
      </w:pPr>
      <w:r>
        <w:rPr>
          <w:highlight w:val="none"/>
        </w:rPr>
        <w:t>项目名称：</w:t>
      </w:r>
      <w:r>
        <w:rPr>
          <w:highlight w:val="none"/>
          <w:u w:val="single" w:color="auto"/>
        </w:rPr>
        <w:t xml:space="preserve"> </w:t>
      </w:r>
      <w:r>
        <w:rPr>
          <w:rFonts w:hint="eastAsia"/>
          <w:highlight w:val="none"/>
          <w:u w:val="single" w:color="auto"/>
          <w:lang w:val="en-US" w:eastAsia="zh-CN"/>
        </w:rPr>
        <w:t>云和县</w:t>
      </w:r>
      <w:r>
        <w:rPr>
          <w:highlight w:val="none"/>
          <w:u w:val="single" w:color="auto"/>
        </w:rPr>
        <w:t>病死动物无害化处理厂运维服务采购</w:t>
      </w:r>
      <w:r>
        <w:rPr>
          <w:rFonts w:hint="eastAsia"/>
          <w:highlight w:val="none"/>
          <w:u w:val="single" w:color="auto"/>
          <w:lang w:eastAsia="zh-CN"/>
        </w:rPr>
        <w:t>项目</w:t>
      </w:r>
      <w:r>
        <w:rPr>
          <w:highlight w:val="none"/>
          <w:u w:val="single" w:color="auto"/>
        </w:rPr>
        <w:t xml:space="preserve">  </w:t>
      </w:r>
    </w:p>
    <w:p w14:paraId="3C2309E1">
      <w:pPr>
        <w:spacing w:line="353" w:lineRule="auto"/>
        <w:rPr>
          <w:rFonts w:ascii="Arial"/>
          <w:sz w:val="21"/>
          <w:highlight w:val="none"/>
        </w:rPr>
      </w:pPr>
    </w:p>
    <w:p w14:paraId="3E9B0B78">
      <w:pPr>
        <w:pStyle w:val="11"/>
        <w:spacing w:before="104" w:line="219" w:lineRule="auto"/>
        <w:ind w:left="273"/>
        <w:rPr>
          <w:rFonts w:ascii="Times New Roman" w:hAnsi="Times New Roman" w:eastAsia="Times New Roman" w:cs="Times New Roman"/>
          <w:highlight w:val="none"/>
        </w:rPr>
      </w:pPr>
      <w:r>
        <w:rPr>
          <w:spacing w:val="4"/>
          <w:highlight w:val="none"/>
        </w:rPr>
        <w:t>项目编号</w:t>
      </w:r>
      <w:r>
        <w:rPr>
          <w:spacing w:val="-35"/>
          <w:highlight w:val="none"/>
        </w:rPr>
        <w:t xml:space="preserve"> </w:t>
      </w:r>
      <w:r>
        <w:rPr>
          <w:spacing w:val="4"/>
          <w:highlight w:val="none"/>
          <w:u w:val="single" w:color="auto"/>
        </w:rPr>
        <w:t xml:space="preserve">：   </w:t>
      </w:r>
      <w:r>
        <w:rPr>
          <w:rFonts w:hint="eastAsia"/>
          <w:spacing w:val="4"/>
          <w:highlight w:val="none"/>
          <w:u w:val="single" w:color="auto"/>
          <w:lang w:val="en-US" w:eastAsia="zh-CN"/>
        </w:rPr>
        <w:t xml:space="preserve">             </w:t>
      </w:r>
      <w:r>
        <w:rPr>
          <w:rFonts w:ascii="Times New Roman" w:hAnsi="Times New Roman" w:eastAsia="Times New Roman" w:cs="Times New Roman"/>
          <w:spacing w:val="4"/>
          <w:highlight w:val="none"/>
          <w:u w:val="single" w:color="auto"/>
        </w:rPr>
        <w:t xml:space="preserve">                                  </w:t>
      </w:r>
    </w:p>
    <w:p w14:paraId="5D1A8BEB">
      <w:pPr>
        <w:spacing w:line="252" w:lineRule="auto"/>
        <w:rPr>
          <w:rFonts w:ascii="Arial"/>
          <w:sz w:val="21"/>
          <w:highlight w:val="none"/>
        </w:rPr>
      </w:pPr>
    </w:p>
    <w:p w14:paraId="39DA762C">
      <w:pPr>
        <w:spacing w:line="253" w:lineRule="auto"/>
        <w:rPr>
          <w:rFonts w:ascii="Arial"/>
          <w:sz w:val="21"/>
          <w:highlight w:val="none"/>
        </w:rPr>
      </w:pPr>
    </w:p>
    <w:p w14:paraId="00B69B0F">
      <w:pPr>
        <w:pStyle w:val="11"/>
        <w:spacing w:before="104" w:line="219" w:lineRule="auto"/>
        <w:ind w:left="273"/>
        <w:rPr>
          <w:highlight w:val="none"/>
        </w:rPr>
      </w:pPr>
      <w:r>
        <w:rPr>
          <w:rFonts w:hint="eastAsia"/>
          <w:spacing w:val="17"/>
          <w:highlight w:val="none"/>
          <w:lang w:eastAsia="zh-CN"/>
        </w:rPr>
        <w:t>甲方</w:t>
      </w:r>
      <w:r>
        <w:rPr>
          <w:spacing w:val="17"/>
          <w:highlight w:val="none"/>
        </w:rPr>
        <w:t>：</w:t>
      </w:r>
      <w:r>
        <w:rPr>
          <w:spacing w:val="-40"/>
          <w:highlight w:val="none"/>
        </w:rPr>
        <w:t xml:space="preserve"> </w:t>
      </w:r>
      <w:r>
        <w:rPr>
          <w:spacing w:val="17"/>
          <w:highlight w:val="none"/>
        </w:rPr>
        <w:t>(以下称甲方)</w:t>
      </w:r>
      <w:r>
        <w:rPr>
          <w:spacing w:val="-61"/>
          <w:highlight w:val="none"/>
        </w:rPr>
        <w:t xml:space="preserve"> </w:t>
      </w:r>
      <w:r>
        <w:rPr>
          <w:spacing w:val="17"/>
          <w:highlight w:val="none"/>
          <w:u w:val="single" w:color="auto"/>
        </w:rPr>
        <w:t xml:space="preserve">      </w:t>
      </w:r>
      <w:r>
        <w:rPr>
          <w:rFonts w:hint="eastAsia"/>
          <w:spacing w:val="17"/>
          <w:highlight w:val="none"/>
          <w:u w:val="single" w:color="auto"/>
          <w:lang w:eastAsia="zh-CN"/>
        </w:rPr>
        <w:t>云和县农村集体经济发展有限公司</w:t>
      </w:r>
      <w:r>
        <w:rPr>
          <w:highlight w:val="none"/>
          <w:u w:val="single" w:color="auto"/>
        </w:rPr>
        <w:t xml:space="preserve">    </w:t>
      </w:r>
    </w:p>
    <w:p w14:paraId="2D29257E">
      <w:pPr>
        <w:spacing w:line="247" w:lineRule="auto"/>
        <w:rPr>
          <w:rFonts w:ascii="Arial"/>
          <w:sz w:val="21"/>
          <w:highlight w:val="none"/>
        </w:rPr>
      </w:pPr>
    </w:p>
    <w:p w14:paraId="0D19A75F">
      <w:pPr>
        <w:spacing w:line="248" w:lineRule="auto"/>
        <w:rPr>
          <w:rFonts w:ascii="Arial"/>
          <w:sz w:val="21"/>
          <w:highlight w:val="none"/>
        </w:rPr>
      </w:pPr>
    </w:p>
    <w:p w14:paraId="7E7A084F">
      <w:pPr>
        <w:spacing w:line="248" w:lineRule="auto"/>
        <w:rPr>
          <w:rFonts w:ascii="Arial"/>
          <w:sz w:val="21"/>
          <w:highlight w:val="none"/>
        </w:rPr>
      </w:pPr>
    </w:p>
    <w:p w14:paraId="5BAB31C4">
      <w:pPr>
        <w:pStyle w:val="11"/>
        <w:wordWrap w:val="0"/>
        <w:spacing w:before="104" w:line="219" w:lineRule="auto"/>
        <w:ind w:right="29" w:firstLine="324" w:firstLineChars="100"/>
        <w:jc w:val="both"/>
        <w:rPr>
          <w:rFonts w:hint="default" w:eastAsia="宋体"/>
          <w:highlight w:val="none"/>
          <w:lang w:val="en-US" w:eastAsia="zh-CN"/>
        </w:rPr>
      </w:pPr>
      <w:r>
        <w:rPr>
          <w:rFonts w:hint="eastAsia"/>
          <w:spacing w:val="22"/>
          <w:highlight w:val="none"/>
          <w:lang w:eastAsia="zh-CN"/>
        </w:rPr>
        <w:t>乙方</w:t>
      </w:r>
      <w:r>
        <w:rPr>
          <w:spacing w:val="22"/>
          <w:highlight w:val="none"/>
        </w:rPr>
        <w:t>：</w:t>
      </w:r>
      <w:r>
        <w:rPr>
          <w:spacing w:val="-38"/>
          <w:highlight w:val="none"/>
        </w:rPr>
        <w:t xml:space="preserve"> </w:t>
      </w:r>
      <w:r>
        <w:rPr>
          <w:spacing w:val="22"/>
          <w:highlight w:val="none"/>
        </w:rPr>
        <w:t xml:space="preserve">(以下称乙方) </w:t>
      </w:r>
      <w:r>
        <w:rPr>
          <w:spacing w:val="22"/>
          <w:highlight w:val="none"/>
          <w:u w:val="single" w:color="auto"/>
        </w:rPr>
        <w:t xml:space="preserve"> </w:t>
      </w:r>
      <w:r>
        <w:rPr>
          <w:rFonts w:hint="eastAsia"/>
          <w:spacing w:val="22"/>
          <w:highlight w:val="none"/>
          <w:u w:val="single" w:color="auto"/>
          <w:lang w:val="en-US" w:eastAsia="zh-CN"/>
        </w:rPr>
        <w:t xml:space="preserve">                       </w:t>
      </w:r>
    </w:p>
    <w:p w14:paraId="0B882DD6">
      <w:pPr>
        <w:spacing w:line="310" w:lineRule="auto"/>
        <w:rPr>
          <w:rFonts w:ascii="Arial"/>
          <w:sz w:val="21"/>
          <w:highlight w:val="none"/>
        </w:rPr>
      </w:pPr>
    </w:p>
    <w:p w14:paraId="0410FF68">
      <w:pPr>
        <w:spacing w:line="310" w:lineRule="auto"/>
        <w:rPr>
          <w:rFonts w:ascii="Arial"/>
          <w:sz w:val="21"/>
          <w:highlight w:val="none"/>
        </w:rPr>
      </w:pPr>
    </w:p>
    <w:p w14:paraId="2F563357">
      <w:pPr>
        <w:pStyle w:val="11"/>
        <w:spacing w:before="105" w:line="223" w:lineRule="auto"/>
        <w:ind w:left="273"/>
        <w:rPr>
          <w:highlight w:val="none"/>
        </w:rPr>
      </w:pPr>
      <w:r>
        <w:rPr>
          <w:spacing w:val="23"/>
          <w:position w:val="-3"/>
          <w:highlight w:val="none"/>
        </w:rPr>
        <w:t>签署地点：</w:t>
      </w:r>
      <w:r>
        <w:rPr>
          <w:spacing w:val="25"/>
          <w:position w:val="2"/>
          <w:highlight w:val="none"/>
          <w:u w:val="single" w:color="auto"/>
        </w:rPr>
        <w:t xml:space="preserve">     </w:t>
      </w:r>
      <w:r>
        <w:rPr>
          <w:rFonts w:hint="eastAsia"/>
          <w:spacing w:val="23"/>
          <w:position w:val="2"/>
          <w:highlight w:val="none"/>
          <w:u w:val="single" w:color="auto"/>
          <w:lang w:eastAsia="zh-CN"/>
        </w:rPr>
        <w:t>云和县</w:t>
      </w:r>
      <w:r>
        <w:rPr>
          <w:spacing w:val="23"/>
          <w:position w:val="2"/>
          <w:highlight w:val="none"/>
          <w:u w:val="single" w:color="auto"/>
        </w:rPr>
        <w:t>农业农村局</w:t>
      </w:r>
      <w:r>
        <w:rPr>
          <w:position w:val="2"/>
          <w:highlight w:val="none"/>
          <w:u w:val="single" w:color="auto"/>
        </w:rPr>
        <w:t xml:space="preserve">                 </w:t>
      </w:r>
    </w:p>
    <w:p w14:paraId="0ED2DDF3">
      <w:pPr>
        <w:spacing w:line="249" w:lineRule="auto"/>
        <w:rPr>
          <w:rFonts w:ascii="Arial"/>
          <w:sz w:val="21"/>
          <w:highlight w:val="none"/>
        </w:rPr>
      </w:pPr>
    </w:p>
    <w:p w14:paraId="153E9D20">
      <w:pPr>
        <w:spacing w:line="249" w:lineRule="auto"/>
        <w:rPr>
          <w:rFonts w:ascii="Arial"/>
          <w:sz w:val="21"/>
          <w:highlight w:val="none"/>
        </w:rPr>
      </w:pPr>
    </w:p>
    <w:p w14:paraId="33EC41A0">
      <w:pPr>
        <w:spacing w:line="249" w:lineRule="auto"/>
        <w:rPr>
          <w:rFonts w:ascii="Arial"/>
          <w:sz w:val="21"/>
          <w:highlight w:val="none"/>
        </w:rPr>
      </w:pPr>
    </w:p>
    <w:p w14:paraId="433251AA">
      <w:pPr>
        <w:ind w:firstLine="388" w:firstLineChars="200"/>
        <w:outlineLvl w:val="9"/>
        <w:rPr>
          <w:rFonts w:hint="default" w:ascii="宋体" w:hAnsi="宋体" w:cs="宋体"/>
          <w:b/>
          <w:color w:val="auto"/>
          <w:sz w:val="21"/>
          <w:szCs w:val="21"/>
          <w:highlight w:val="none"/>
          <w:lang w:val="en-US" w:eastAsia="zh-CN"/>
        </w:rPr>
        <w:sectPr>
          <w:pgSz w:w="11906" w:h="16838"/>
          <w:pgMar w:top="1185" w:right="1151" w:bottom="1157" w:left="1185" w:header="851" w:footer="992" w:gutter="0"/>
          <w:pgNumType w:fmt="decimal"/>
          <w:cols w:space="425" w:num="1"/>
          <w:titlePg/>
          <w:docGrid w:type="lines" w:linePitch="312" w:charSpace="0"/>
        </w:sectPr>
      </w:pPr>
      <w:r>
        <w:rPr>
          <w:spacing w:val="-8"/>
          <w:position w:val="2"/>
          <w:highlight w:val="none"/>
        </w:rPr>
        <w:t>签署日期：</w:t>
      </w:r>
      <w:r>
        <w:rPr>
          <w:spacing w:val="23"/>
          <w:position w:val="-3"/>
          <w:highlight w:val="none"/>
          <w:u w:val="single" w:color="auto"/>
        </w:rPr>
        <w:t xml:space="preserve">   </w:t>
      </w:r>
      <w:r>
        <w:rPr>
          <w:spacing w:val="-8"/>
          <w:position w:val="-3"/>
          <w:highlight w:val="none"/>
          <w:u w:val="single" w:color="auto"/>
        </w:rPr>
        <w:t>年</w:t>
      </w:r>
      <w:r>
        <w:rPr>
          <w:spacing w:val="26"/>
          <w:position w:val="-3"/>
          <w:highlight w:val="none"/>
          <w:u w:val="single" w:color="auto"/>
        </w:rPr>
        <w:t xml:space="preserve">  </w:t>
      </w:r>
      <w:r>
        <w:rPr>
          <w:rFonts w:hint="eastAsia"/>
          <w:spacing w:val="-8"/>
          <w:position w:val="-3"/>
          <w:highlight w:val="none"/>
          <w:u w:val="single" w:color="auto"/>
          <w:lang w:val="en-US" w:eastAsia="zh-CN"/>
        </w:rPr>
        <w:t xml:space="preserve"> </w:t>
      </w:r>
      <w:r>
        <w:rPr>
          <w:spacing w:val="28"/>
          <w:position w:val="-3"/>
          <w:highlight w:val="none"/>
          <w:u w:val="single" w:color="auto"/>
        </w:rPr>
        <w:t xml:space="preserve"> </w:t>
      </w:r>
      <w:r>
        <w:rPr>
          <w:spacing w:val="-8"/>
          <w:position w:val="-3"/>
          <w:highlight w:val="none"/>
          <w:u w:val="single" w:color="auto"/>
        </w:rPr>
        <w:t>月</w:t>
      </w:r>
      <w:r>
        <w:rPr>
          <w:spacing w:val="53"/>
          <w:position w:val="-3"/>
          <w:highlight w:val="none"/>
          <w:u w:val="single" w:color="auto"/>
        </w:rPr>
        <w:t xml:space="preserve">  </w:t>
      </w:r>
      <w:r>
        <w:rPr>
          <w:spacing w:val="-8"/>
          <w:position w:val="-3"/>
          <w:highlight w:val="none"/>
          <w:u w:val="single" w:color="auto"/>
        </w:rPr>
        <w:t xml:space="preserve">日              </w:t>
      </w:r>
      <w:r>
        <w:rPr>
          <w:spacing w:val="-9"/>
          <w:position w:val="-3"/>
          <w:highlight w:val="none"/>
          <w:u w:val="single" w:color="auto"/>
        </w:rPr>
        <w:t xml:space="preserve">          </w:t>
      </w:r>
    </w:p>
    <w:bookmarkEnd w:id="35"/>
    <w:bookmarkEnd w:id="36"/>
    <w:bookmarkEnd w:id="80"/>
    <w:bookmarkEnd w:id="81"/>
    <w:bookmarkEnd w:id="82"/>
    <w:bookmarkEnd w:id="83"/>
    <w:p w14:paraId="45169393">
      <w:pPr>
        <w:pStyle w:val="11"/>
        <w:keepNext w:val="0"/>
        <w:keepLines w:val="0"/>
        <w:pageBreakBefore w:val="0"/>
        <w:widowControl w:val="0"/>
        <w:wordWrap/>
        <w:overflowPunct/>
        <w:topLinePunct w:val="0"/>
        <w:bidi w:val="0"/>
        <w:spacing w:line="360" w:lineRule="exact"/>
        <w:ind w:left="0" w:right="0" w:firstLine="479"/>
        <w:rPr>
          <w:rFonts w:hint="eastAsia" w:ascii="宋体" w:hAnsi="宋体" w:eastAsia="宋体" w:cs="宋体"/>
          <w:b/>
          <w:bCs/>
          <w:spacing w:val="0"/>
          <w:position w:val="0"/>
          <w:sz w:val="21"/>
          <w:szCs w:val="21"/>
          <w:highlight w:val="none"/>
          <w:lang w:val="en-US" w:eastAsia="zh-CN"/>
        </w:rPr>
      </w:pPr>
      <w:bookmarkStart w:id="84" w:name="_Toc390938597"/>
      <w:r>
        <w:rPr>
          <w:rFonts w:hint="eastAsia" w:ascii="宋体" w:hAnsi="宋体" w:eastAsia="宋体" w:cs="宋体"/>
          <w:b/>
          <w:bCs/>
          <w:spacing w:val="0"/>
          <w:position w:val="0"/>
          <w:sz w:val="21"/>
          <w:szCs w:val="21"/>
          <w:highlight w:val="none"/>
          <w:lang w:val="en-US" w:eastAsia="zh-CN"/>
        </w:rPr>
        <w:t>甲方：</w:t>
      </w:r>
      <w:r>
        <w:rPr>
          <w:rFonts w:hint="eastAsia" w:ascii="宋体" w:hAnsi="宋体" w:eastAsia="宋体" w:cs="宋体"/>
          <w:b/>
          <w:bCs/>
          <w:spacing w:val="0"/>
          <w:position w:val="0"/>
          <w:sz w:val="21"/>
          <w:szCs w:val="21"/>
          <w:highlight w:val="none"/>
          <w:u w:val="single"/>
          <w:lang w:val="en-US" w:eastAsia="zh-CN"/>
        </w:rPr>
        <w:t>云和县农村集体经济发展有限公司</w:t>
      </w:r>
    </w:p>
    <w:p w14:paraId="149C8DD0">
      <w:pPr>
        <w:pStyle w:val="11"/>
        <w:keepNext w:val="0"/>
        <w:keepLines w:val="0"/>
        <w:pageBreakBefore w:val="0"/>
        <w:widowControl w:val="0"/>
        <w:wordWrap/>
        <w:overflowPunct/>
        <w:topLinePunct w:val="0"/>
        <w:bidi w:val="0"/>
        <w:spacing w:line="360" w:lineRule="exact"/>
        <w:ind w:left="0" w:right="0" w:firstLine="479"/>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乙方：</w:t>
      </w:r>
      <w:r>
        <w:rPr>
          <w:rFonts w:hint="eastAsia" w:ascii="宋体" w:hAnsi="宋体" w:eastAsia="宋体" w:cs="宋体"/>
          <w:b/>
          <w:bCs/>
          <w:spacing w:val="0"/>
          <w:position w:val="0"/>
          <w:sz w:val="21"/>
          <w:szCs w:val="21"/>
          <w:highlight w:val="none"/>
          <w:u w:val="single"/>
          <w:lang w:val="en-US" w:eastAsia="zh-CN"/>
        </w:rPr>
        <w:t xml:space="preserve">                              </w:t>
      </w:r>
      <w:r>
        <w:rPr>
          <w:rFonts w:hint="eastAsia" w:ascii="宋体" w:hAnsi="宋体" w:eastAsia="宋体" w:cs="宋体"/>
          <w:b/>
          <w:bCs/>
          <w:spacing w:val="0"/>
          <w:position w:val="0"/>
          <w:sz w:val="21"/>
          <w:szCs w:val="21"/>
          <w:highlight w:val="none"/>
          <w:lang w:val="en-US" w:eastAsia="zh-CN"/>
        </w:rPr>
        <w:t xml:space="preserve"> </w:t>
      </w:r>
    </w:p>
    <w:p w14:paraId="3F4F4B0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根据《中华人民共和国政府采购法》、《中华人民共和国政府采购法实施条例》、《政府采购货物和服务采购投标管理办法》等有关政府采购法规，甲乙双方根据</w:t>
      </w:r>
      <w:r>
        <w:rPr>
          <w:rFonts w:hint="eastAsia" w:ascii="宋体" w:hAnsi="宋体" w:eastAsia="宋体" w:cs="宋体"/>
          <w:spacing w:val="0"/>
          <w:position w:val="0"/>
          <w:sz w:val="21"/>
          <w:szCs w:val="21"/>
          <w:highlight w:val="none"/>
          <w:u w:val="single"/>
          <w:lang w:val="en-US" w:eastAsia="zh-CN"/>
        </w:rPr>
        <w:t>云和县</w:t>
      </w:r>
      <w:r>
        <w:rPr>
          <w:rFonts w:hint="eastAsia" w:ascii="宋体" w:hAnsi="宋体" w:eastAsia="宋体" w:cs="宋体"/>
          <w:spacing w:val="0"/>
          <w:position w:val="0"/>
          <w:sz w:val="21"/>
          <w:szCs w:val="21"/>
          <w:highlight w:val="none"/>
          <w:u w:val="single"/>
        </w:rPr>
        <w:t>病死动物无害化处理厂运维服务采购</w:t>
      </w:r>
      <w:r>
        <w:rPr>
          <w:rFonts w:hint="eastAsia" w:ascii="宋体" w:hAnsi="宋体" w:eastAsia="宋体" w:cs="宋体"/>
          <w:spacing w:val="0"/>
          <w:position w:val="0"/>
          <w:sz w:val="21"/>
          <w:szCs w:val="21"/>
          <w:highlight w:val="none"/>
          <w:u w:val="single"/>
          <w:lang w:eastAsia="zh-CN"/>
        </w:rPr>
        <w:t>项目</w:t>
      </w:r>
      <w:r>
        <w:rPr>
          <w:rFonts w:hint="eastAsia" w:ascii="宋体" w:hAnsi="宋体" w:eastAsia="宋体" w:cs="宋体"/>
          <w:spacing w:val="0"/>
          <w:position w:val="0"/>
          <w:sz w:val="21"/>
          <w:szCs w:val="21"/>
          <w:highlight w:val="none"/>
        </w:rPr>
        <w:t>的</w:t>
      </w:r>
      <w:r>
        <w:rPr>
          <w:rFonts w:hint="eastAsia" w:ascii="宋体" w:hAnsi="宋体" w:eastAsia="宋体" w:cs="宋体"/>
          <w:spacing w:val="0"/>
          <w:position w:val="0"/>
          <w:sz w:val="21"/>
          <w:szCs w:val="21"/>
          <w:highlight w:val="none"/>
          <w:lang w:eastAsia="zh-CN"/>
        </w:rPr>
        <w:t>采购</w:t>
      </w:r>
      <w:r>
        <w:rPr>
          <w:rFonts w:hint="eastAsia" w:ascii="宋体" w:hAnsi="宋体" w:eastAsia="宋体" w:cs="宋体"/>
          <w:spacing w:val="0"/>
          <w:position w:val="0"/>
          <w:sz w:val="21"/>
          <w:szCs w:val="21"/>
          <w:highlight w:val="none"/>
        </w:rPr>
        <w:t>结果。甲、乙</w:t>
      </w:r>
      <w:r>
        <w:rPr>
          <w:rFonts w:hint="eastAsia" w:ascii="宋体" w:hAnsi="宋体" w:eastAsia="宋体" w:cs="宋体"/>
          <w:spacing w:val="0"/>
          <w:position w:val="0"/>
          <w:sz w:val="21"/>
          <w:szCs w:val="21"/>
          <w:highlight w:val="none"/>
          <w:lang w:eastAsia="zh-CN"/>
        </w:rPr>
        <w:t>双</w:t>
      </w:r>
      <w:r>
        <w:rPr>
          <w:rFonts w:hint="eastAsia" w:ascii="宋体" w:hAnsi="宋体" w:eastAsia="宋体" w:cs="宋体"/>
          <w:spacing w:val="0"/>
          <w:position w:val="0"/>
          <w:sz w:val="21"/>
          <w:szCs w:val="21"/>
          <w:highlight w:val="none"/>
        </w:rPr>
        <w:t>方同意签署本合同：</w:t>
      </w:r>
    </w:p>
    <w:p w14:paraId="61DF5AA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第一条 组成本合同的有关文件</w:t>
      </w:r>
    </w:p>
    <w:p w14:paraId="4D95EEC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下列文件构成本合同的组成部分，应该认为是一个整体，彼此相互解释， 相互补充。组成合同的多个文件的优先支配地位的次序如下：</w:t>
      </w:r>
    </w:p>
    <w:p w14:paraId="29F210D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1.补充协议(如有)</w:t>
      </w:r>
    </w:p>
    <w:p w14:paraId="5FB5E3F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2.本合同书</w:t>
      </w:r>
    </w:p>
    <w:p w14:paraId="7AD809B9">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3.中标通知书</w:t>
      </w:r>
    </w:p>
    <w:p w14:paraId="6BDB7E0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4.中标供应商澄清修改文件</w:t>
      </w:r>
    </w:p>
    <w:p w14:paraId="3BBD38D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5.中标供应商投标文件</w:t>
      </w:r>
    </w:p>
    <w:p w14:paraId="0C74D5C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6.招标文件澄清修改文件</w:t>
      </w:r>
    </w:p>
    <w:p w14:paraId="5A71305C">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7.招标文件</w:t>
      </w:r>
    </w:p>
    <w:p w14:paraId="78A91D1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第二条 采购范围、内容和要求</w:t>
      </w:r>
    </w:p>
    <w:p w14:paraId="1D4A1340">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一、采购范围、内容</w:t>
      </w:r>
    </w:p>
    <w:p w14:paraId="7411F40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rPr>
        <w:t>服务区域为：云和县行政区域范围。</w:t>
      </w:r>
    </w:p>
    <w:p w14:paraId="752AA66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rPr>
        <w:t>服务对象：从事动物饲养、屠宰、经营、隔离、运输以及动物产品生产、经营、加工、贮藏等活动的单位和个人。</w:t>
      </w:r>
    </w:p>
    <w:p w14:paraId="41901AE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服务内容：对云和县需要无害化处理的病死动物及产品的商家或农户收集、运输、 集中无害化处理，并实现生猪保险联动。</w:t>
      </w:r>
    </w:p>
    <w:p w14:paraId="1824F6C6">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4.</w:t>
      </w:r>
      <w:r>
        <w:rPr>
          <w:rFonts w:hint="eastAsia" w:ascii="宋体" w:hAnsi="宋体" w:eastAsia="宋体" w:cs="宋体"/>
          <w:spacing w:val="0"/>
          <w:position w:val="0"/>
          <w:sz w:val="21"/>
          <w:szCs w:val="21"/>
          <w:highlight w:val="none"/>
        </w:rPr>
        <w:t>云和县辖区，</w:t>
      </w:r>
      <w:r>
        <w:rPr>
          <w:rFonts w:hint="eastAsia" w:ascii="宋体" w:hAnsi="宋体" w:eastAsia="宋体" w:cs="宋体"/>
          <w:spacing w:val="0"/>
          <w:position w:val="0"/>
          <w:sz w:val="21"/>
          <w:szCs w:val="21"/>
          <w:highlight w:val="none"/>
          <w:lang w:eastAsia="zh-CN"/>
        </w:rPr>
        <w:t>甲方</w:t>
      </w:r>
      <w:r>
        <w:rPr>
          <w:rFonts w:hint="eastAsia" w:ascii="宋体" w:hAnsi="宋体" w:eastAsia="宋体" w:cs="宋体"/>
          <w:spacing w:val="0"/>
          <w:position w:val="0"/>
          <w:sz w:val="21"/>
          <w:szCs w:val="21"/>
          <w:highlight w:val="none"/>
        </w:rPr>
        <w:t>指定的地点建设病死动物集中无害化处理厂，并经环保等部门验收合格，处理能力符合采购需求要求。</w:t>
      </w:r>
    </w:p>
    <w:p w14:paraId="30977A4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eastAsia="zh-CN"/>
        </w:rPr>
        <w:t>二</w:t>
      </w:r>
      <w:r>
        <w:rPr>
          <w:rFonts w:hint="eastAsia" w:ascii="宋体" w:hAnsi="宋体" w:eastAsia="宋体" w:cs="宋体"/>
          <w:spacing w:val="0"/>
          <w:position w:val="0"/>
          <w:sz w:val="21"/>
          <w:szCs w:val="21"/>
          <w:highlight w:val="none"/>
        </w:rPr>
        <w:t>、要求</w:t>
      </w:r>
    </w:p>
    <w:p w14:paraId="665BFDA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lang w:eastAsia="zh-CN"/>
        </w:rPr>
        <w:t>（一）服务要求</w:t>
      </w:r>
    </w:p>
    <w:p w14:paraId="02D7E32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协助收集养殖场医疗废弃物，收集后存放至病死动物无害化处理厂指定地点，并与医疗废弃物收集处置企业做好交接。</w:t>
      </w:r>
    </w:p>
    <w:p w14:paraId="4548448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需安排1名专职人员，协助县畜牧渔业中心负责做好病死动物无害化处理的数据收集、汇总、上报和实验室相关数据分析等工作（专职人员办公场所由县畜牧渔业服务中心提供，工资由</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支付，且不低于云和县劳务派遣职工工资</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w:t>
      </w:r>
    </w:p>
    <w:p w14:paraId="2646853A">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3</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采用焚烧或碳化工艺的无害化处理系统，包括焚烧或碳化设备、冷藏封闭运输车、工具车、环保、洗消烘干、病原检测、信息化管理及配套办公设施、负压系统等设施设备。相应的设施设备、管理、人员等达到《动物防疫条件审查办法》的要求。</w:t>
      </w:r>
    </w:p>
    <w:p w14:paraId="0962243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合同期满后，</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投资</w:t>
      </w:r>
      <w:r>
        <w:rPr>
          <w:rFonts w:hint="eastAsia" w:ascii="宋体" w:hAnsi="宋体" w:eastAsia="宋体" w:cs="宋体"/>
          <w:spacing w:val="0"/>
          <w:position w:val="0"/>
          <w:sz w:val="21"/>
          <w:szCs w:val="21"/>
          <w:highlight w:val="none"/>
          <w:lang w:eastAsia="zh-CN"/>
        </w:rPr>
        <w:t>的</w:t>
      </w:r>
      <w:r>
        <w:rPr>
          <w:rFonts w:hint="eastAsia" w:ascii="宋体" w:hAnsi="宋体" w:eastAsia="宋体" w:cs="宋体"/>
          <w:spacing w:val="0"/>
          <w:position w:val="0"/>
          <w:sz w:val="21"/>
          <w:szCs w:val="21"/>
          <w:highlight w:val="none"/>
        </w:rPr>
        <w:t>可移动设备归</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所有</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其它归</w:t>
      </w:r>
      <w:r>
        <w:rPr>
          <w:rFonts w:hint="eastAsia" w:ascii="宋体" w:hAnsi="宋体" w:eastAsia="宋体" w:cs="宋体"/>
          <w:spacing w:val="0"/>
          <w:position w:val="0"/>
          <w:sz w:val="21"/>
          <w:szCs w:val="21"/>
          <w:highlight w:val="none"/>
          <w:lang w:eastAsia="zh-CN"/>
        </w:rPr>
        <w:t>甲方</w:t>
      </w:r>
      <w:r>
        <w:rPr>
          <w:rFonts w:hint="eastAsia" w:ascii="宋体" w:hAnsi="宋体" w:eastAsia="宋体" w:cs="宋体"/>
          <w:spacing w:val="0"/>
          <w:position w:val="0"/>
          <w:sz w:val="21"/>
          <w:szCs w:val="21"/>
          <w:highlight w:val="none"/>
        </w:rPr>
        <w:t>。</w:t>
      </w:r>
    </w:p>
    <w:p w14:paraId="0A59CE50">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5</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合同签订后，</w:t>
      </w:r>
      <w:r>
        <w:rPr>
          <w:rFonts w:hint="eastAsia" w:ascii="宋体" w:hAnsi="宋体" w:eastAsia="宋体" w:cs="宋体"/>
          <w:spacing w:val="0"/>
          <w:position w:val="0"/>
          <w:sz w:val="21"/>
          <w:szCs w:val="21"/>
          <w:highlight w:val="none"/>
          <w:lang w:eastAsia="zh-CN"/>
        </w:rPr>
        <w:t>甲方</w:t>
      </w:r>
      <w:r>
        <w:rPr>
          <w:rFonts w:hint="eastAsia" w:ascii="宋体" w:hAnsi="宋体" w:eastAsia="宋体" w:cs="宋体"/>
          <w:spacing w:val="0"/>
          <w:position w:val="0"/>
          <w:sz w:val="21"/>
          <w:szCs w:val="21"/>
          <w:highlight w:val="none"/>
        </w:rPr>
        <w:t>拥有主体权，</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拥有经营权。</w:t>
      </w:r>
    </w:p>
    <w:p w14:paraId="24A0F5F0">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6</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病死动物无害化日处理能力需达到12吨以上，且需根据云和县畜牧业养殖规模的扩大及时提升处理能力。</w:t>
      </w:r>
    </w:p>
    <w:p w14:paraId="17172FC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7</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负责收集云和县范围内病死动物，必须安排专门的人员接收病死动 物及其产品，并做好登记、过磅、清点和无害化处理；自接到收集要求后24小时内完成收集工作。收集车辆配备视频监控系统、 GPS并接入相关监管平台，收集车辆仅限云和县内使用，除维修等特殊情况外不得驶离云和县。收集完成后应立即对车辆采取洗-消-烘(60—65℃烘干60分钟或70℃烘干30分钟) 的方式经彻底清洗消毒。应根据监管部门要求建立详细台账并随时接受检查。收集车辆、人员均由</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自行负责。如需应急处置，在收到相关职能部门的通知后，应于3小时内抵达指定地点开展收集工作。</w:t>
      </w:r>
    </w:p>
    <w:p w14:paraId="7CF162A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8</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使用焚烧或碳化工艺，要求对病死动物及动物产品按照国家相关法定要求进行处理，整个操作区安装负压系统，污水和尾气排放需符合国家相关标准，处理后的产物和污水尽量实现资源化利用，不能对环境造成污染。</w:t>
      </w:r>
    </w:p>
    <w:p w14:paraId="3C95308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9.</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对工作人员开展动物卫生防疫技能培训，并提供卫生防护用具，所有运输、装卸、处理操作须符合动物防疫要求，保证工作人员人身健康。</w:t>
      </w:r>
    </w:p>
    <w:p w14:paraId="0879A8B1">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0.</w:t>
      </w:r>
      <w:r>
        <w:rPr>
          <w:rFonts w:hint="eastAsia" w:ascii="宋体" w:hAnsi="宋体" w:eastAsia="宋体" w:cs="宋体"/>
          <w:spacing w:val="0"/>
          <w:position w:val="0"/>
          <w:sz w:val="21"/>
          <w:szCs w:val="21"/>
          <w:highlight w:val="none"/>
        </w:rPr>
        <w:t>病死动物无害化处理场暂存病死动物及其产品原则上需当月处理且录入数字化监管平台。如遇月底设备损坏、停电、月底收集量激增等突发状况无法 完成处理的</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应立即书面报告。</w:t>
      </w:r>
    </w:p>
    <w:p w14:paraId="6B3A4FF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应在处理场派驻专职管理人员，且具备一定的管理能力。确保收集交接凭证、月报表、浙江省畜禽无害化处理模块等数据一致性，并根据监管部门要求定期报送数据。如出现数据不一致的，根据不同数据中最低量结算。</w:t>
      </w:r>
    </w:p>
    <w:p w14:paraId="6EAAEAF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rPr>
        <w:t>因生产需求对厂区进行适当改造的，场区布局需符合动物防疫、环保、安全生产等要求，及时取得环保、农业农村等相关部门的相关备案或许可文书(若有)。场所应合理布局，方便开展病死动物无害化处理、车辆消杀烘干熏蒸、过磅等需求。厂区关键环节和位置应实现监控全覆盖，且实时接入监管平台。</w:t>
      </w:r>
    </w:p>
    <w:p w14:paraId="479A2DD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遇突发事件或上级检查时，</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必须配合有关部门执行任务，并指定专职人员协助工作，直至完成。</w:t>
      </w:r>
    </w:p>
    <w:p w14:paraId="601C4CA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4.</w:t>
      </w:r>
      <w:r>
        <w:rPr>
          <w:rFonts w:hint="eastAsia" w:ascii="宋体" w:hAnsi="宋体" w:eastAsia="宋体" w:cs="宋体"/>
          <w:spacing w:val="0"/>
          <w:position w:val="0"/>
          <w:sz w:val="21"/>
          <w:szCs w:val="21"/>
          <w:highlight w:val="none"/>
        </w:rPr>
        <w:t>接受云和县农业农村局业务主管部门的无害化处理服务考核。</w:t>
      </w:r>
    </w:p>
    <w:p w14:paraId="4B2FB4E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5.</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逾期完成无害化处理任务无害化处理不符合要求的，</w:t>
      </w:r>
      <w:r>
        <w:rPr>
          <w:rFonts w:hint="eastAsia" w:ascii="宋体" w:hAnsi="宋体" w:eastAsia="宋体" w:cs="宋体"/>
          <w:spacing w:val="0"/>
          <w:position w:val="0"/>
          <w:sz w:val="21"/>
          <w:szCs w:val="21"/>
          <w:highlight w:val="none"/>
          <w:lang w:eastAsia="zh-CN"/>
        </w:rPr>
        <w:t>甲方</w:t>
      </w:r>
      <w:r>
        <w:rPr>
          <w:rFonts w:hint="eastAsia" w:ascii="宋体" w:hAnsi="宋体" w:eastAsia="宋体" w:cs="宋体"/>
          <w:spacing w:val="0"/>
          <w:position w:val="0"/>
          <w:sz w:val="21"/>
          <w:szCs w:val="21"/>
          <w:highlight w:val="none"/>
        </w:rPr>
        <w:t>可向</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追究相关经济损失及法律责任。</w:t>
      </w:r>
    </w:p>
    <w:p w14:paraId="0D193BC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6.</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派驻本项目负责人及主要管理人员应具有类似工作经历。</w:t>
      </w:r>
    </w:p>
    <w:p w14:paraId="778FB36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7.</w:t>
      </w:r>
      <w:r>
        <w:rPr>
          <w:rFonts w:hint="eastAsia" w:ascii="宋体" w:hAnsi="宋体" w:eastAsia="宋体" w:cs="宋体"/>
          <w:spacing w:val="0"/>
          <w:position w:val="0"/>
          <w:sz w:val="21"/>
          <w:szCs w:val="21"/>
          <w:highlight w:val="none"/>
        </w:rPr>
        <w:t>为确保承包的服务工作正常开展，</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必须配备足够的服务人员，且聘用的服务人员必须符合劳动部门有关用工规定，上岗前必须进行</w:t>
      </w:r>
      <w:r>
        <w:rPr>
          <w:rFonts w:hint="eastAsia" w:ascii="宋体" w:hAnsi="宋体" w:eastAsia="宋体" w:cs="宋体"/>
          <w:spacing w:val="0"/>
          <w:position w:val="0"/>
          <w:sz w:val="21"/>
          <w:szCs w:val="21"/>
          <w:highlight w:val="none"/>
          <w:lang w:val="en-US" w:eastAsia="zh-CN"/>
        </w:rPr>
        <w:t>岗前</w:t>
      </w:r>
      <w:r>
        <w:rPr>
          <w:rFonts w:hint="eastAsia" w:ascii="宋体" w:hAnsi="宋体" w:eastAsia="宋体" w:cs="宋体"/>
          <w:spacing w:val="0"/>
          <w:position w:val="0"/>
          <w:sz w:val="21"/>
          <w:szCs w:val="21"/>
          <w:highlight w:val="none"/>
        </w:rPr>
        <w:t>培训，甲方</w:t>
      </w:r>
      <w:r>
        <w:rPr>
          <w:rFonts w:hint="eastAsia" w:ascii="宋体" w:hAnsi="宋体" w:eastAsia="宋体" w:cs="宋体"/>
          <w:spacing w:val="0"/>
          <w:position w:val="0"/>
          <w:sz w:val="21"/>
          <w:szCs w:val="21"/>
          <w:highlight w:val="none"/>
          <w:lang w:eastAsia="zh-CN"/>
        </w:rPr>
        <w:t>及主管部门</w:t>
      </w:r>
      <w:r>
        <w:rPr>
          <w:rFonts w:hint="eastAsia" w:ascii="宋体" w:hAnsi="宋体" w:eastAsia="宋体" w:cs="宋体"/>
          <w:spacing w:val="0"/>
          <w:position w:val="0"/>
          <w:sz w:val="21"/>
          <w:szCs w:val="21"/>
          <w:highlight w:val="none"/>
        </w:rPr>
        <w:t>有权进行审核。</w:t>
      </w:r>
    </w:p>
    <w:p w14:paraId="19626B2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8.</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必须出具或办妥法律手续及甲方规定的与病死动物运输、处理经营业务有关的执照和许可证，方可从事经营并在经营中遵守一切有关条例和规定</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自行缴纳各项税费。</w:t>
      </w:r>
    </w:p>
    <w:p w14:paraId="441ACFD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19.</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不得在处理厂区域内从事非法活动，也不得从事有损甲方利益的活动。</w:t>
      </w:r>
    </w:p>
    <w:p w14:paraId="0550B24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0.</w:t>
      </w:r>
      <w:r>
        <w:rPr>
          <w:rFonts w:hint="eastAsia" w:ascii="宋体" w:hAnsi="宋体" w:eastAsia="宋体" w:cs="宋体"/>
          <w:spacing w:val="0"/>
          <w:position w:val="0"/>
          <w:sz w:val="21"/>
          <w:szCs w:val="21"/>
          <w:highlight w:val="none"/>
        </w:rPr>
        <w:t>在合同履行期间，</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不得将经营权转让、出租。</w:t>
      </w:r>
    </w:p>
    <w:p w14:paraId="392EA2F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需自行购置PCR、离心机等检测设备，设置仅限本处理场使用的自检实验室并定期开展检测工作。</w:t>
      </w:r>
    </w:p>
    <w:p w14:paraId="56BF0811">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rPr>
        <w:t>病死动物及其产品的运输：运输车辆应使用密封车辆装载，不得转运它处、移作它用，未经县人民政府同意不得运出云和县。规模养殖场必须单场收集。</w:t>
      </w:r>
    </w:p>
    <w:p w14:paraId="1A3D901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合同履行期间，资产的防护由</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负责。</w:t>
      </w:r>
    </w:p>
    <w:p w14:paraId="2DAE0D2C">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4.</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在合作期限中途退出或存在违约或年度考核不满足要求经整改后仍达不到</w:t>
      </w:r>
      <w:r>
        <w:rPr>
          <w:rFonts w:hint="eastAsia" w:ascii="宋体" w:hAnsi="宋体" w:eastAsia="宋体" w:cs="宋体"/>
          <w:spacing w:val="0"/>
          <w:position w:val="0"/>
          <w:sz w:val="21"/>
          <w:szCs w:val="21"/>
          <w:highlight w:val="none"/>
          <w:lang w:eastAsia="zh-CN"/>
        </w:rPr>
        <w:t>甲方</w:t>
      </w:r>
      <w:r>
        <w:rPr>
          <w:rFonts w:hint="eastAsia" w:ascii="宋体" w:hAnsi="宋体" w:eastAsia="宋体" w:cs="宋体"/>
          <w:spacing w:val="0"/>
          <w:position w:val="0"/>
          <w:sz w:val="21"/>
          <w:szCs w:val="21"/>
          <w:highlight w:val="none"/>
        </w:rPr>
        <w:t>要求等原因双方需解除合同的，为确保项目正常运行</w:t>
      </w:r>
      <w:r>
        <w:rPr>
          <w:rFonts w:hint="eastAsia" w:ascii="宋体" w:hAnsi="宋体" w:eastAsia="宋体" w:cs="宋体"/>
          <w:spacing w:val="0"/>
          <w:position w:val="0"/>
          <w:sz w:val="21"/>
          <w:szCs w:val="21"/>
          <w:highlight w:val="none"/>
          <w:lang w:eastAsia="zh-CN"/>
        </w:rPr>
        <w:t>乙方</w:t>
      </w:r>
      <w:r>
        <w:rPr>
          <w:rFonts w:hint="eastAsia" w:ascii="宋体" w:hAnsi="宋体" w:eastAsia="宋体" w:cs="宋体"/>
          <w:spacing w:val="0"/>
          <w:position w:val="0"/>
          <w:sz w:val="21"/>
          <w:szCs w:val="21"/>
          <w:highlight w:val="none"/>
        </w:rPr>
        <w:t>所投资的设备未经</w:t>
      </w:r>
      <w:r>
        <w:rPr>
          <w:rFonts w:hint="eastAsia" w:ascii="宋体" w:hAnsi="宋体" w:eastAsia="宋体" w:cs="宋体"/>
          <w:spacing w:val="0"/>
          <w:position w:val="0"/>
          <w:sz w:val="21"/>
          <w:szCs w:val="21"/>
          <w:highlight w:val="none"/>
          <w:lang w:eastAsia="zh-CN"/>
        </w:rPr>
        <w:t>甲方</w:t>
      </w:r>
      <w:r>
        <w:rPr>
          <w:rFonts w:hint="eastAsia" w:ascii="宋体" w:hAnsi="宋体" w:eastAsia="宋体" w:cs="宋体"/>
          <w:spacing w:val="0"/>
          <w:position w:val="0"/>
          <w:sz w:val="21"/>
          <w:szCs w:val="21"/>
          <w:highlight w:val="none"/>
        </w:rPr>
        <w:t>同意不得撤回。</w:t>
      </w:r>
    </w:p>
    <w:p w14:paraId="5E7628EC">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25.乙方在甲方基础建设完工后30日历天内全面完成设备安装调试及通过验收，并在正式开始运营后在环保部门规定的时间内通过环保验收，取得环保、农业农村等相关部门的相关备案或许可文书（若有），对云和县范围内需无害化处理的病死动物和动物产品全部实行统一收集、集中处理和生猪保险联动。未经云和县政府同意，不得收集和处理云和县范围外的病死动物和动物产品。在规定时间内没有完成设备安装调试并通过验收，取消供应商中标资格。</w:t>
      </w:r>
    </w:p>
    <w:p w14:paraId="07BD35B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26.</w:t>
      </w:r>
      <w:r>
        <w:rPr>
          <w:rFonts w:hint="eastAsia" w:ascii="宋体" w:hAnsi="宋体" w:eastAsia="宋体" w:cs="宋体"/>
          <w:spacing w:val="0"/>
          <w:position w:val="0"/>
          <w:sz w:val="21"/>
          <w:szCs w:val="21"/>
          <w:highlight w:val="none"/>
        </w:rPr>
        <w:t>签订合同一年内取得环评报告。</w:t>
      </w:r>
    </w:p>
    <w:p w14:paraId="22A7A79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27.保障整套无害化处理设施设备正常使用，配备无害化处理设施设备专业操作人员，配备相应的管理和技术人员，建立管理制度和技术服务体系，形成工作流程及操作规范，要求工作制度上墙。</w:t>
      </w:r>
    </w:p>
    <w:p w14:paraId="7A44E07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28.乙方不得将本项目分包、转包、内部经济承包及变相经济转承包；一经发现，甲方有权责令其停止作业并取消中标资格，作违约处理，并承担由此引起的法律责任及一切经济损失。</w:t>
      </w:r>
    </w:p>
    <w:p w14:paraId="191C03F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lang w:eastAsia="zh-CN"/>
        </w:rPr>
        <w:t>（二）票据、报表和档案管理要求</w:t>
      </w:r>
    </w:p>
    <w:p w14:paraId="43F5E906">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rPr>
        <w:t>收集点所需</w:t>
      </w:r>
      <w:r>
        <w:rPr>
          <w:rFonts w:hint="eastAsia" w:ascii="宋体" w:hAnsi="宋体" w:eastAsia="宋体" w:cs="宋体"/>
          <w:spacing w:val="0"/>
          <w:position w:val="0"/>
          <w:sz w:val="21"/>
          <w:szCs w:val="21"/>
          <w:highlight w:val="none"/>
          <w:lang w:eastAsia="zh-CN"/>
        </w:rPr>
        <w:t>《云和县病死动物交接单》到</w:t>
      </w:r>
      <w:r>
        <w:rPr>
          <w:rFonts w:hint="eastAsia" w:ascii="宋体" w:hAnsi="宋体" w:eastAsia="宋体" w:cs="宋体"/>
          <w:spacing w:val="0"/>
          <w:position w:val="0"/>
          <w:sz w:val="21"/>
          <w:szCs w:val="21"/>
          <w:highlight w:val="none"/>
        </w:rPr>
        <w:t>县农业农村局</w:t>
      </w:r>
      <w:r>
        <w:rPr>
          <w:rFonts w:hint="eastAsia" w:ascii="宋体" w:hAnsi="宋体" w:eastAsia="宋体" w:cs="宋体"/>
          <w:spacing w:val="0"/>
          <w:position w:val="0"/>
          <w:sz w:val="21"/>
          <w:szCs w:val="21"/>
          <w:highlight w:val="none"/>
          <w:lang w:eastAsia="zh-CN"/>
        </w:rPr>
        <w:t>畜牧渔业服务中心</w:t>
      </w:r>
      <w:r>
        <w:rPr>
          <w:rFonts w:hint="eastAsia" w:ascii="宋体" w:hAnsi="宋体" w:eastAsia="宋体" w:cs="宋体"/>
          <w:spacing w:val="0"/>
          <w:position w:val="0"/>
          <w:sz w:val="21"/>
          <w:szCs w:val="21"/>
          <w:highlight w:val="none"/>
        </w:rPr>
        <w:t>领取，专人保管和使用。</w:t>
      </w:r>
      <w:r>
        <w:rPr>
          <w:rFonts w:hint="eastAsia" w:ascii="宋体" w:hAnsi="宋体" w:eastAsia="宋体" w:cs="宋体"/>
          <w:spacing w:val="0"/>
          <w:position w:val="0"/>
          <w:sz w:val="21"/>
          <w:szCs w:val="21"/>
          <w:highlight w:val="none"/>
          <w:lang w:eastAsia="zh-CN"/>
        </w:rPr>
        <w:t>其它</w:t>
      </w:r>
      <w:r>
        <w:rPr>
          <w:rFonts w:hint="eastAsia" w:ascii="宋体" w:hAnsi="宋体" w:eastAsia="宋体" w:cs="宋体"/>
          <w:spacing w:val="0"/>
          <w:position w:val="0"/>
          <w:sz w:val="21"/>
          <w:szCs w:val="21"/>
          <w:highlight w:val="none"/>
        </w:rPr>
        <w:t>日收集记录本</w:t>
      </w:r>
      <w:r>
        <w:rPr>
          <w:rFonts w:hint="eastAsia" w:ascii="宋体" w:hAnsi="宋体" w:eastAsia="宋体" w:cs="宋体"/>
          <w:spacing w:val="0"/>
          <w:position w:val="0"/>
          <w:sz w:val="21"/>
          <w:szCs w:val="21"/>
          <w:highlight w:val="none"/>
          <w:lang w:eastAsia="zh-CN"/>
        </w:rPr>
        <w:t>等由收集单位自行设计、登记。</w:t>
      </w:r>
    </w:p>
    <w:p w14:paraId="31B8803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rPr>
        <w:t>收集人员须在现场与畜主、保险公司、乡镇监管人员共同确认死亡动物品种、数量、重量等关键事项后，详细填写接收单注明的内容。接收单填写须规范完整、字迹清楚，由畜主和收集人员、保险公司、乡镇监管人员共同签字确认。</w:t>
      </w:r>
    </w:p>
    <w:p w14:paraId="13144F7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收集点管理人员必须对每天使用的接收单逐一登记造册，并按照要求在网络管理系统中填报数据。</w:t>
      </w:r>
    </w:p>
    <w:p w14:paraId="2717FEA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4.</w:t>
      </w:r>
      <w:r>
        <w:rPr>
          <w:rFonts w:hint="eastAsia" w:ascii="宋体" w:hAnsi="宋体" w:eastAsia="宋体" w:cs="宋体"/>
          <w:spacing w:val="0"/>
          <w:position w:val="0"/>
          <w:sz w:val="21"/>
          <w:szCs w:val="21"/>
          <w:highlight w:val="none"/>
        </w:rPr>
        <w:t>建立完善的收集、移交记录制度，要严格按照上级管理部门的要求建立相关台账，做到接收清、移交清、库存清。</w:t>
      </w:r>
    </w:p>
    <w:p w14:paraId="5C904B5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（三）</w:t>
      </w:r>
      <w:r>
        <w:rPr>
          <w:rFonts w:hint="eastAsia" w:ascii="宋体" w:hAnsi="宋体" w:eastAsia="宋体" w:cs="宋体"/>
          <w:spacing w:val="0"/>
          <w:position w:val="0"/>
          <w:sz w:val="21"/>
          <w:szCs w:val="21"/>
          <w:highlight w:val="none"/>
        </w:rPr>
        <w:t>病死动物无害化处理收集工作要求</w:t>
      </w:r>
    </w:p>
    <w:p w14:paraId="2C576A3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rPr>
        <w:t>使用指定类型专用运输工具，运输装置必须密闭、防渗漏。</w:t>
      </w:r>
    </w:p>
    <w:p w14:paraId="2CBD4BD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rPr>
        <w:t>出发前认真检查车辆状况，检查收集工具和物品是否齐全。</w:t>
      </w:r>
    </w:p>
    <w:p w14:paraId="7722501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服从管理人员调度安排，统筹设计收集路线，并在到达收集点前联系报告人，确定具体地点和相关事宜。</w:t>
      </w:r>
    </w:p>
    <w:p w14:paraId="31652B9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4.</w:t>
      </w:r>
      <w:r>
        <w:rPr>
          <w:rFonts w:hint="eastAsia" w:ascii="宋体" w:hAnsi="宋体" w:eastAsia="宋体" w:cs="宋体"/>
          <w:spacing w:val="0"/>
          <w:position w:val="0"/>
          <w:sz w:val="21"/>
          <w:szCs w:val="21"/>
          <w:highlight w:val="none"/>
        </w:rPr>
        <w:t>使用专用工具、物品对病死动物尸体进行预处理，在报告人</w:t>
      </w:r>
      <w:r>
        <w:rPr>
          <w:rFonts w:hint="eastAsia" w:ascii="宋体" w:hAnsi="宋体" w:eastAsia="宋体" w:cs="宋体"/>
          <w:spacing w:val="0"/>
          <w:position w:val="0"/>
          <w:sz w:val="21"/>
          <w:szCs w:val="21"/>
          <w:highlight w:val="none"/>
          <w:lang w:eastAsia="zh-CN"/>
        </w:rPr>
        <w:t>或畜主</w:t>
      </w:r>
      <w:r>
        <w:rPr>
          <w:rFonts w:hint="eastAsia" w:ascii="宋体" w:hAnsi="宋体" w:eastAsia="宋体" w:cs="宋体"/>
          <w:spacing w:val="0"/>
          <w:position w:val="0"/>
          <w:sz w:val="21"/>
          <w:szCs w:val="21"/>
          <w:highlight w:val="none"/>
        </w:rPr>
        <w:t>协助下将动物尸体包装、搬运上车。</w:t>
      </w:r>
    </w:p>
    <w:p w14:paraId="68D924D6">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5.</w:t>
      </w:r>
      <w:r>
        <w:rPr>
          <w:rFonts w:hint="eastAsia" w:ascii="宋体" w:hAnsi="宋体" w:eastAsia="宋体" w:cs="宋体"/>
          <w:spacing w:val="0"/>
          <w:position w:val="0"/>
          <w:sz w:val="21"/>
          <w:szCs w:val="21"/>
          <w:highlight w:val="none"/>
        </w:rPr>
        <w:t>除病死猪外，其他动物一律称重后如实登记重量</w:t>
      </w:r>
      <w:r>
        <w:rPr>
          <w:rFonts w:hint="eastAsia" w:ascii="宋体" w:hAnsi="宋体" w:eastAsia="宋体" w:cs="宋体"/>
          <w:spacing w:val="0"/>
          <w:position w:val="0"/>
          <w:sz w:val="21"/>
          <w:szCs w:val="21"/>
          <w:highlight w:val="none"/>
          <w:lang w:eastAsia="zh-CN"/>
        </w:rPr>
        <w:t>（保险公司另有规定的，按保险相关条款执行）</w:t>
      </w:r>
      <w:r>
        <w:rPr>
          <w:rFonts w:hint="eastAsia" w:ascii="宋体" w:hAnsi="宋体" w:eastAsia="宋体" w:cs="宋体"/>
          <w:spacing w:val="0"/>
          <w:position w:val="0"/>
          <w:sz w:val="21"/>
          <w:szCs w:val="21"/>
          <w:highlight w:val="none"/>
        </w:rPr>
        <w:t>。</w:t>
      </w:r>
    </w:p>
    <w:p w14:paraId="01473B1C">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6.</w:t>
      </w:r>
      <w:r>
        <w:rPr>
          <w:rFonts w:hint="eastAsia" w:ascii="宋体" w:hAnsi="宋体" w:eastAsia="宋体" w:cs="宋体"/>
          <w:spacing w:val="0"/>
          <w:position w:val="0"/>
          <w:sz w:val="21"/>
          <w:szCs w:val="21"/>
          <w:highlight w:val="none"/>
        </w:rPr>
        <w:t>收集后及时将接收单的相关联次提供给畜主、保险公司、乡镇监管人员。</w:t>
      </w:r>
    </w:p>
    <w:p w14:paraId="4A9A8416">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7.</w:t>
      </w:r>
      <w:r>
        <w:rPr>
          <w:rFonts w:hint="eastAsia" w:ascii="宋体" w:hAnsi="宋体" w:eastAsia="宋体" w:cs="宋体"/>
          <w:spacing w:val="0"/>
          <w:position w:val="0"/>
          <w:sz w:val="21"/>
          <w:szCs w:val="21"/>
          <w:highlight w:val="none"/>
        </w:rPr>
        <w:t>收集后按规定对病死动物尸体存放场所、运输车辆和相关工具进行消毒，出入库时若有必要需实施除臭工作。</w:t>
      </w:r>
    </w:p>
    <w:p w14:paraId="3FC17F2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8.</w:t>
      </w:r>
      <w:r>
        <w:rPr>
          <w:rFonts w:hint="eastAsia" w:ascii="宋体" w:hAnsi="宋体" w:eastAsia="宋体" w:cs="宋体"/>
          <w:spacing w:val="0"/>
          <w:position w:val="0"/>
          <w:sz w:val="21"/>
          <w:szCs w:val="21"/>
          <w:highlight w:val="none"/>
        </w:rPr>
        <w:t>及时对车辆和使用工具进行全面消毒，做好车辆维护、故障清理，保证车辆状况良好，各种相关证件和保险在有效期内。</w:t>
      </w:r>
    </w:p>
    <w:p w14:paraId="4330C43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9.</w:t>
      </w:r>
      <w:r>
        <w:rPr>
          <w:rFonts w:hint="eastAsia" w:ascii="宋体" w:hAnsi="宋体" w:eastAsia="宋体" w:cs="宋体"/>
          <w:spacing w:val="0"/>
          <w:position w:val="0"/>
          <w:sz w:val="21"/>
          <w:szCs w:val="21"/>
          <w:highlight w:val="none"/>
        </w:rPr>
        <w:t>无害化收集车辆除维修、保养等特殊情况外，不得驶离云和县范围，驶离云和县范围必须经</w:t>
      </w:r>
      <w:r>
        <w:rPr>
          <w:rFonts w:hint="eastAsia" w:ascii="宋体" w:hAnsi="宋体" w:eastAsia="宋体" w:cs="宋体"/>
          <w:spacing w:val="0"/>
          <w:position w:val="0"/>
          <w:sz w:val="21"/>
          <w:szCs w:val="21"/>
          <w:highlight w:val="none"/>
          <w:lang w:eastAsia="zh-CN"/>
        </w:rPr>
        <w:t>甲方</w:t>
      </w:r>
      <w:r>
        <w:rPr>
          <w:rFonts w:hint="eastAsia" w:ascii="宋体" w:hAnsi="宋体" w:eastAsia="宋体" w:cs="宋体"/>
          <w:spacing w:val="0"/>
          <w:position w:val="0"/>
          <w:sz w:val="21"/>
          <w:szCs w:val="21"/>
          <w:highlight w:val="none"/>
        </w:rPr>
        <w:t>书面同意，未经同意不得擅自驶离云和县，如发现此类情况，甲方有解除合同的权利。</w:t>
      </w:r>
    </w:p>
    <w:p w14:paraId="6E3C7E5C">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（四）</w:t>
      </w:r>
      <w:r>
        <w:rPr>
          <w:rFonts w:hint="eastAsia" w:ascii="宋体" w:hAnsi="宋体" w:eastAsia="宋体" w:cs="宋体"/>
          <w:spacing w:val="0"/>
          <w:position w:val="0"/>
          <w:sz w:val="21"/>
          <w:szCs w:val="21"/>
          <w:highlight w:val="none"/>
        </w:rPr>
        <w:t>病死动物无害化处理收集点人员岗位要求</w:t>
      </w:r>
    </w:p>
    <w:p w14:paraId="558F43B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rPr>
        <w:t>收集人员严格遵守作息时间，合理排班，保障每天响应病死动物收集报告。遇特殊情况24小时服从畜牧兽医部门调度需要。</w:t>
      </w:r>
    </w:p>
    <w:p w14:paraId="4EFCF24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rPr>
        <w:t>驾驶人员认真检查车辆运行情况，如实填写工作记录，出现问题及时报告管理人员。</w:t>
      </w:r>
    </w:p>
    <w:p w14:paraId="605BFE9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接听电话要认真记录报告信息，并及时安排人员、车辆进行收集、运输，不得无故拒绝、拖延到场收集。</w:t>
      </w:r>
    </w:p>
    <w:p w14:paraId="766CD8A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4.</w:t>
      </w:r>
      <w:r>
        <w:rPr>
          <w:rFonts w:hint="eastAsia" w:ascii="宋体" w:hAnsi="宋体" w:eastAsia="宋体" w:cs="宋体"/>
          <w:spacing w:val="0"/>
          <w:position w:val="0"/>
          <w:sz w:val="21"/>
          <w:szCs w:val="21"/>
          <w:highlight w:val="none"/>
        </w:rPr>
        <w:t>管理人员认真检查接收单、移交单和台账是否准确、规范地填写，每月按时上交月报表。</w:t>
      </w:r>
    </w:p>
    <w:p w14:paraId="1738DF7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5.</w:t>
      </w:r>
      <w:r>
        <w:rPr>
          <w:rFonts w:hint="eastAsia" w:ascii="宋体" w:hAnsi="宋体" w:eastAsia="宋体" w:cs="宋体"/>
          <w:spacing w:val="0"/>
          <w:position w:val="0"/>
          <w:sz w:val="21"/>
          <w:szCs w:val="21"/>
          <w:highlight w:val="none"/>
        </w:rPr>
        <w:t>收集人员工作时间不得饮酒。</w:t>
      </w:r>
    </w:p>
    <w:p w14:paraId="413CD54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6.</w:t>
      </w:r>
      <w:r>
        <w:rPr>
          <w:rFonts w:hint="eastAsia" w:ascii="宋体" w:hAnsi="宋体" w:eastAsia="宋体" w:cs="宋体"/>
          <w:spacing w:val="0"/>
          <w:position w:val="0"/>
          <w:sz w:val="21"/>
          <w:szCs w:val="21"/>
          <w:highlight w:val="none"/>
        </w:rPr>
        <w:t>下班前检查好办公室水电，锁好门窗。</w:t>
      </w:r>
    </w:p>
    <w:p w14:paraId="0127176A">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eastAsia="zh-CN"/>
        </w:rPr>
        <w:t>（五）</w:t>
      </w:r>
      <w:r>
        <w:rPr>
          <w:rFonts w:hint="eastAsia" w:ascii="宋体" w:hAnsi="宋体" w:eastAsia="宋体" w:cs="宋体"/>
          <w:spacing w:val="0"/>
          <w:position w:val="0"/>
          <w:sz w:val="21"/>
          <w:szCs w:val="21"/>
          <w:highlight w:val="none"/>
        </w:rPr>
        <w:t>执行标准要求</w:t>
      </w:r>
    </w:p>
    <w:p w14:paraId="456191C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rPr>
        <w:t>采购项目需执行《中华人民共和国动物防疫法》要求。</w:t>
      </w:r>
    </w:p>
    <w:p w14:paraId="24B24DE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rPr>
        <w:t>采购项目需执行的国家相关标准、行业标准、地方标准或者其他标准、规范；</w:t>
      </w:r>
    </w:p>
    <w:p w14:paraId="0C8FF51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供应商所投产品应符合国家有关法律、法规、规章的规定以及国家现行相关政策的要求（如：中国强制性产品认证制度）</w:t>
      </w:r>
    </w:p>
    <w:p w14:paraId="79CC8FF1">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第三条 合同履行期限</w:t>
      </w:r>
    </w:p>
    <w:p w14:paraId="49F222B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本合同期限为</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年，自</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rPr>
        <w:t xml:space="preserve">  </w:t>
      </w:r>
      <w:r>
        <w:rPr>
          <w:rFonts w:hint="eastAsia" w:ascii="宋体" w:hAnsi="宋体" w:eastAsia="宋体" w:cs="宋体"/>
          <w:spacing w:val="0"/>
          <w:position w:val="0"/>
          <w:sz w:val="21"/>
          <w:szCs w:val="21"/>
          <w:highlight w:val="none"/>
        </w:rPr>
        <w:t>年</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月</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rPr>
        <w:t xml:space="preserve"> </w:t>
      </w:r>
      <w:r>
        <w:rPr>
          <w:rFonts w:hint="eastAsia" w:ascii="宋体" w:hAnsi="宋体" w:eastAsia="宋体" w:cs="宋体"/>
          <w:spacing w:val="0"/>
          <w:position w:val="0"/>
          <w:sz w:val="21"/>
          <w:szCs w:val="21"/>
          <w:highlight w:val="none"/>
        </w:rPr>
        <w:t>日 起至</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rPr>
        <w:t xml:space="preserve">  </w:t>
      </w:r>
      <w:r>
        <w:rPr>
          <w:rFonts w:hint="eastAsia" w:ascii="宋体" w:hAnsi="宋体" w:eastAsia="宋体" w:cs="宋体"/>
          <w:spacing w:val="0"/>
          <w:position w:val="0"/>
          <w:sz w:val="21"/>
          <w:szCs w:val="21"/>
          <w:highlight w:val="none"/>
        </w:rPr>
        <w:t>年</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月</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rPr>
        <w:t xml:space="preserve"> </w:t>
      </w:r>
      <w:r>
        <w:rPr>
          <w:rFonts w:hint="eastAsia" w:ascii="宋体" w:hAnsi="宋体" w:eastAsia="宋体" w:cs="宋体"/>
          <w:spacing w:val="0"/>
          <w:position w:val="0"/>
          <w:sz w:val="21"/>
          <w:szCs w:val="21"/>
          <w:highlight w:val="none"/>
        </w:rPr>
        <w:t>日止 。</w:t>
      </w:r>
    </w:p>
    <w:p w14:paraId="4769A57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第四条  处置服务费用计算、支付方式</w:t>
      </w:r>
    </w:p>
    <w:p w14:paraId="4C92255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2" w:firstLineChars="200"/>
        <w:jc w:val="both"/>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一、处置服务费用计算</w:t>
      </w:r>
    </w:p>
    <w:p w14:paraId="629E1C0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乙方收集、运输、处置费用按单价计算，即病死生猪</w:t>
      </w:r>
      <w:r>
        <w:rPr>
          <w:rFonts w:hint="eastAsia" w:ascii="宋体" w:hAnsi="宋体" w:eastAsia="宋体" w:cs="宋体"/>
          <w:spacing w:val="0"/>
          <w:position w:val="0"/>
          <w:sz w:val="21"/>
          <w:szCs w:val="21"/>
          <w:highlight w:val="none"/>
          <w:lang w:val="en-US" w:eastAsia="zh-CN"/>
        </w:rPr>
        <w:t>80</w:t>
      </w:r>
      <w:r>
        <w:rPr>
          <w:rFonts w:hint="eastAsia" w:ascii="宋体" w:hAnsi="宋体" w:eastAsia="宋体" w:cs="宋体"/>
          <w:spacing w:val="0"/>
          <w:position w:val="0"/>
          <w:sz w:val="21"/>
          <w:szCs w:val="21"/>
          <w:highlight w:val="none"/>
        </w:rPr>
        <w:t>元/头计算，病死猪处理数量按实结算</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其他畜禽及其产品（其中1头牛折合成5头猪，1头羊折合成0.5头猪，20只家禽折合成1头猪，猪肉产品及其它畜禽按90公斤折合1头猪）。每年保底处置病死猪</w:t>
      </w:r>
      <w:r>
        <w:rPr>
          <w:rFonts w:hint="eastAsia" w:ascii="宋体" w:hAnsi="宋体" w:eastAsia="宋体" w:cs="宋体"/>
          <w:spacing w:val="0"/>
          <w:position w:val="0"/>
          <w:sz w:val="21"/>
          <w:szCs w:val="21"/>
          <w:highlight w:val="none"/>
          <w:lang w:val="en-US" w:eastAsia="zh-CN"/>
        </w:rPr>
        <w:t>60</w:t>
      </w:r>
      <w:r>
        <w:rPr>
          <w:rFonts w:hint="eastAsia" w:ascii="宋体" w:hAnsi="宋体" w:eastAsia="宋体" w:cs="宋体"/>
          <w:spacing w:val="0"/>
          <w:position w:val="0"/>
          <w:sz w:val="21"/>
          <w:szCs w:val="21"/>
          <w:highlight w:val="none"/>
        </w:rPr>
        <w:t>00头（含折合的牛、羊、家禽头数，不到</w:t>
      </w:r>
      <w:r>
        <w:rPr>
          <w:rFonts w:hint="eastAsia" w:ascii="宋体" w:hAnsi="宋体" w:eastAsia="宋体" w:cs="宋体"/>
          <w:spacing w:val="0"/>
          <w:position w:val="0"/>
          <w:sz w:val="21"/>
          <w:szCs w:val="21"/>
          <w:highlight w:val="none"/>
          <w:lang w:val="en-US" w:eastAsia="zh-CN"/>
        </w:rPr>
        <w:t>60</w:t>
      </w:r>
      <w:r>
        <w:rPr>
          <w:rFonts w:hint="eastAsia" w:ascii="宋体" w:hAnsi="宋体" w:eastAsia="宋体" w:cs="宋体"/>
          <w:spacing w:val="0"/>
          <w:position w:val="0"/>
          <w:sz w:val="21"/>
          <w:szCs w:val="21"/>
          <w:highlight w:val="none"/>
        </w:rPr>
        <w:t>00头按</w:t>
      </w:r>
      <w:r>
        <w:rPr>
          <w:rFonts w:hint="eastAsia" w:ascii="宋体" w:hAnsi="宋体" w:eastAsia="宋体" w:cs="宋体"/>
          <w:spacing w:val="0"/>
          <w:position w:val="0"/>
          <w:sz w:val="21"/>
          <w:szCs w:val="21"/>
          <w:highlight w:val="none"/>
          <w:lang w:val="en-US" w:eastAsia="zh-CN"/>
        </w:rPr>
        <w:t>60</w:t>
      </w:r>
      <w:r>
        <w:rPr>
          <w:rFonts w:hint="eastAsia" w:ascii="宋体" w:hAnsi="宋体" w:eastAsia="宋体" w:cs="宋体"/>
          <w:spacing w:val="0"/>
          <w:position w:val="0"/>
          <w:sz w:val="21"/>
          <w:szCs w:val="21"/>
          <w:highlight w:val="none"/>
        </w:rPr>
        <w:t>00头计算），超出</w:t>
      </w:r>
      <w:r>
        <w:rPr>
          <w:rFonts w:hint="eastAsia" w:ascii="宋体" w:hAnsi="宋体" w:eastAsia="宋体" w:cs="宋体"/>
          <w:spacing w:val="0"/>
          <w:position w:val="0"/>
          <w:sz w:val="21"/>
          <w:szCs w:val="21"/>
          <w:highlight w:val="none"/>
          <w:lang w:val="en-US" w:eastAsia="zh-CN"/>
        </w:rPr>
        <w:t>60</w:t>
      </w:r>
      <w:r>
        <w:rPr>
          <w:rFonts w:hint="eastAsia" w:ascii="宋体" w:hAnsi="宋体" w:eastAsia="宋体" w:cs="宋体"/>
          <w:spacing w:val="0"/>
          <w:position w:val="0"/>
          <w:sz w:val="21"/>
          <w:szCs w:val="21"/>
          <w:highlight w:val="none"/>
        </w:rPr>
        <w:t>00头的数量按实结算。</w:t>
      </w:r>
    </w:p>
    <w:p w14:paraId="1D60FA4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2.价款每年结算支付一次，最终结算金额按实际处理数量乘以处理单价进行计算。</w:t>
      </w:r>
      <w:r>
        <w:rPr>
          <w:rFonts w:hint="eastAsia" w:ascii="宋体" w:hAnsi="宋体" w:eastAsia="宋体" w:cs="宋体"/>
          <w:spacing w:val="0"/>
          <w:position w:val="0"/>
          <w:sz w:val="21"/>
          <w:szCs w:val="21"/>
          <w:highlight w:val="none"/>
        </w:rPr>
        <w:t>乙方每一次申请付款前，应向甲方提供等额</w:t>
      </w:r>
      <w:r>
        <w:rPr>
          <w:rFonts w:hint="eastAsia" w:ascii="宋体" w:hAnsi="宋体" w:eastAsia="宋体" w:cs="宋体"/>
          <w:spacing w:val="0"/>
          <w:position w:val="0"/>
          <w:sz w:val="21"/>
          <w:szCs w:val="21"/>
          <w:highlight w:val="none"/>
          <w:lang w:val="en-US" w:eastAsia="zh-CN"/>
        </w:rPr>
        <w:t>正式</w:t>
      </w:r>
      <w:r>
        <w:rPr>
          <w:rFonts w:hint="eastAsia" w:ascii="宋体" w:hAnsi="宋体" w:eastAsia="宋体" w:cs="宋体"/>
          <w:spacing w:val="0"/>
          <w:position w:val="0"/>
          <w:sz w:val="21"/>
          <w:szCs w:val="21"/>
          <w:highlight w:val="none"/>
        </w:rPr>
        <w:t>发票，作为甲方付款的前提条件。</w:t>
      </w:r>
    </w:p>
    <w:p w14:paraId="319956E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3</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以上价款已包含：焚化</w:t>
      </w:r>
      <w:r>
        <w:rPr>
          <w:rFonts w:hint="eastAsia" w:ascii="宋体" w:hAnsi="宋体" w:eastAsia="宋体" w:cs="宋体"/>
          <w:spacing w:val="0"/>
          <w:position w:val="0"/>
          <w:sz w:val="21"/>
          <w:szCs w:val="21"/>
          <w:highlight w:val="none"/>
          <w:lang w:val="en-US" w:eastAsia="zh-CN"/>
        </w:rPr>
        <w:t>或碳化相关</w:t>
      </w:r>
      <w:r>
        <w:rPr>
          <w:rFonts w:hint="eastAsia" w:ascii="宋体" w:hAnsi="宋体" w:eastAsia="宋体" w:cs="宋体"/>
          <w:spacing w:val="0"/>
          <w:position w:val="0"/>
          <w:sz w:val="21"/>
          <w:szCs w:val="21"/>
          <w:highlight w:val="none"/>
        </w:rPr>
        <w:t>设备的安装，税费、运输、安装调试费、保险费、处置费、服务费、装卸费、仓储费、验收、企业运营可能产生的人工 劳务等所有费用。</w:t>
      </w:r>
    </w:p>
    <w:p w14:paraId="14A54B3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合同价格除按本合同规定外，原则上不作任何调整，确因国家重大政策调整的，双方本着公平、公正原则，友好协商并另行签订补充合同。</w:t>
      </w:r>
    </w:p>
    <w:p w14:paraId="443247F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2" w:firstLineChars="200"/>
        <w:jc w:val="both"/>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二、场地租金：</w:t>
      </w:r>
    </w:p>
    <w:p w14:paraId="6CAC0D56">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rPr>
        <w:t>年租金按采购人投资额230万元</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暂估</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的</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%，合同签订后7个工作日内支付第一年场地租金，之后在满一周年前一个月支付下一年场地租金。</w:t>
      </w:r>
    </w:p>
    <w:p w14:paraId="4D1CF79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2" w:firstLineChars="200"/>
        <w:jc w:val="both"/>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三、支付方式为银行转账：</w:t>
      </w:r>
    </w:p>
    <w:p w14:paraId="40802FB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甲</w:t>
      </w:r>
      <w:r>
        <w:rPr>
          <w:rFonts w:hint="eastAsia" w:ascii="宋体" w:hAnsi="宋体" w:eastAsia="宋体" w:cs="宋体"/>
          <w:spacing w:val="0"/>
          <w:position w:val="0"/>
          <w:sz w:val="21"/>
          <w:szCs w:val="21"/>
          <w:highlight w:val="none"/>
        </w:rPr>
        <w:t xml:space="preserve">方开户名： </w:t>
      </w: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rPr>
        <w:t xml:space="preserve">  </w:t>
      </w:r>
    </w:p>
    <w:p w14:paraId="2B0754A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开户行：       </w:t>
      </w: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rPr>
        <w:t xml:space="preserve">     </w:t>
      </w:r>
    </w:p>
    <w:p w14:paraId="5050975A">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账号：乙方开户名： </w:t>
      </w: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rPr>
        <w:t xml:space="preserve">  </w:t>
      </w:r>
    </w:p>
    <w:p w14:paraId="5D2F5F70">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开户行：       </w:t>
      </w: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rPr>
        <w:t xml:space="preserve">     </w:t>
      </w:r>
    </w:p>
    <w:p w14:paraId="6D9754B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账号：            </w:t>
      </w: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rPr>
        <w:t xml:space="preserve">                </w:t>
      </w:r>
    </w:p>
    <w:p w14:paraId="01F57AA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甲方将应付款项汇入以上账号即完成有效支付。因甲方向财政部门申报支付手续过程可能造成的延误不视为甲方违约。</w:t>
      </w:r>
    </w:p>
    <w:p w14:paraId="5B8B0A71">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drawing>
          <wp:anchor distT="0" distB="0" distL="0" distR="0" simplePos="0" relativeHeight="251659264" behindDoc="0" locked="0" layoutInCell="1" allowOverlap="1">
            <wp:simplePos x="0" y="0"/>
            <wp:positionH relativeFrom="column">
              <wp:posOffset>6101080</wp:posOffset>
            </wp:positionH>
            <wp:positionV relativeFrom="paragraph">
              <wp:posOffset>136525</wp:posOffset>
            </wp:positionV>
            <wp:extent cx="294005" cy="1391285"/>
            <wp:effectExtent l="0" t="0" r="10795" b="1841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293914" cy="1391040"/>
                    </a:xfrm>
                    <a:prstGeom prst="rect">
                      <a:avLst/>
                    </a:prstGeom>
                  </pic:spPr>
                </pic:pic>
              </a:graphicData>
            </a:graphic>
          </wp:anchor>
        </w:drawing>
      </w:r>
      <w:r>
        <w:rPr>
          <w:rFonts w:hint="eastAsia" w:ascii="宋体" w:hAnsi="宋体" w:eastAsia="宋体" w:cs="宋体"/>
          <w:b/>
          <w:bCs/>
          <w:spacing w:val="0"/>
          <w:position w:val="0"/>
          <w:sz w:val="21"/>
          <w:szCs w:val="21"/>
          <w:highlight w:val="none"/>
          <w:lang w:val="en-US" w:eastAsia="zh-CN"/>
        </w:rPr>
        <w:t>第五条、经营制约</w:t>
      </w:r>
    </w:p>
    <w:p w14:paraId="1972211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未经甲方同意，乙方不得以甲方的名义从事任何经济和宣传等活动，由此发生的一切债权、债务与甲方无关。</w:t>
      </w:r>
    </w:p>
    <w:p w14:paraId="067ABE9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第六条、双方承诺</w:t>
      </w:r>
    </w:p>
    <w:p w14:paraId="16A2528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2" w:firstLineChars="200"/>
        <w:jc w:val="both"/>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一、乙方对甲方承诺</w:t>
      </w:r>
    </w:p>
    <w:p w14:paraId="7BD1F47E">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1.乙方应允许甲方或其授权的人员对合同约定的各项服务质量进行检查，如产生费用应由乙方承担。</w:t>
      </w:r>
    </w:p>
    <w:p w14:paraId="490A90A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乙方指定一位负责人，全权代表乙方与甲方保持密切联系以保证承包服务工作正常进行。</w:t>
      </w:r>
    </w:p>
    <w:p w14:paraId="27E8D14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3</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乙方派驻本项目负责人及主要管理人员应具有类似工作经历。</w:t>
      </w:r>
    </w:p>
    <w:p w14:paraId="6F2B377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为确保承包的服务工作正常开展，乙方必须配备足够的服务人员，且 聘用的服务人员必须符合劳动部门有关用工规定，并经乙方相关专业考核合格后持证上岗，甲方有权进行审核，</w:t>
      </w:r>
      <w:r>
        <w:rPr>
          <w:rFonts w:hint="eastAsia" w:ascii="宋体" w:hAnsi="宋体" w:eastAsia="宋体" w:cs="宋体"/>
          <w:spacing w:val="0"/>
          <w:position w:val="0"/>
          <w:sz w:val="21"/>
          <w:szCs w:val="21"/>
          <w:highlight w:val="none"/>
          <w:lang w:val="en-US" w:eastAsia="zh-CN"/>
        </w:rPr>
        <w:t>并接受云和县农业农村局相关部门的审核，</w:t>
      </w:r>
      <w:r>
        <w:rPr>
          <w:rFonts w:hint="eastAsia" w:ascii="宋体" w:hAnsi="宋体" w:eastAsia="宋体" w:cs="宋体"/>
          <w:spacing w:val="0"/>
          <w:position w:val="0"/>
          <w:sz w:val="21"/>
          <w:szCs w:val="21"/>
          <w:highlight w:val="none"/>
        </w:rPr>
        <w:t>该类费用开支由乙方负担。</w:t>
      </w:r>
    </w:p>
    <w:p w14:paraId="260B209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5.</w:t>
      </w:r>
      <w:r>
        <w:rPr>
          <w:rFonts w:hint="eastAsia" w:ascii="宋体" w:hAnsi="宋体" w:eastAsia="宋体" w:cs="宋体"/>
          <w:spacing w:val="0"/>
          <w:position w:val="0"/>
          <w:sz w:val="21"/>
          <w:szCs w:val="21"/>
          <w:highlight w:val="none"/>
        </w:rPr>
        <w:t>乙方必须出具或办妥法律手续及甲方规定的与病死动物运输、处理经 营业务有关的执照和许可证，方可从事经营并在经营中遵守一切有关条例和规定。自行缴纳各项税费。</w:t>
      </w:r>
    </w:p>
    <w:p w14:paraId="1FB3598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6.</w:t>
      </w:r>
      <w:r>
        <w:rPr>
          <w:rFonts w:hint="eastAsia" w:ascii="宋体" w:hAnsi="宋体" w:eastAsia="宋体" w:cs="宋体"/>
          <w:spacing w:val="0"/>
          <w:position w:val="0"/>
          <w:sz w:val="21"/>
          <w:szCs w:val="21"/>
          <w:highlight w:val="none"/>
        </w:rPr>
        <w:t>乙方必须确保为甲方提供优质、高效的服务，并根据甲方要求不断改进服务手段，自觉接受甲方及相关部门的监督与检查。</w:t>
      </w:r>
    </w:p>
    <w:p w14:paraId="7DC4703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7.</w:t>
      </w:r>
      <w:r>
        <w:rPr>
          <w:rFonts w:hint="eastAsia" w:ascii="宋体" w:hAnsi="宋体" w:eastAsia="宋体" w:cs="宋体"/>
          <w:spacing w:val="0"/>
          <w:position w:val="0"/>
          <w:sz w:val="21"/>
          <w:szCs w:val="21"/>
          <w:highlight w:val="none"/>
        </w:rPr>
        <w:t>禁止事件</w:t>
      </w:r>
    </w:p>
    <w:p w14:paraId="4039F15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乙方不得在处理厂区域内从事非法活动，也不得从事有损甲方利益的活动。 </w:t>
      </w:r>
    </w:p>
    <w:p w14:paraId="50489CB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8.</w:t>
      </w:r>
      <w:r>
        <w:rPr>
          <w:rFonts w:hint="eastAsia" w:ascii="宋体" w:hAnsi="宋体" w:eastAsia="宋体" w:cs="宋体"/>
          <w:spacing w:val="0"/>
          <w:position w:val="0"/>
          <w:sz w:val="21"/>
          <w:szCs w:val="21"/>
          <w:highlight w:val="none"/>
        </w:rPr>
        <w:t>人身安全责任</w:t>
      </w:r>
    </w:p>
    <w:p w14:paraId="2BD31F0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乙方应按法律和政策规定，为企业、员工办理工伤等社会保险、人身意外险并缴纳相关费用，承担企业或员工对任何第三方人身或财产损害事故的赔偿责任。</w:t>
      </w:r>
    </w:p>
    <w:p w14:paraId="60E5B69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合同履行过程中，乙方与任何第三方所发生纠纷、争议、事故、事件等，需要甲方出面的，甲方协助乙方处理，但一切责任由乙方承担，费用均由乙方支付。</w:t>
      </w:r>
    </w:p>
    <w:p w14:paraId="51CF186C">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乙方需在合同期内向甲方提交以上保险单及已付清保险费的收据。</w:t>
      </w:r>
      <w:r>
        <w:rPr>
          <w:rFonts w:hint="eastAsia" w:ascii="宋体" w:hAnsi="宋体" w:eastAsia="宋体" w:cs="宋体"/>
          <w:spacing w:val="0"/>
          <w:position w:val="0"/>
          <w:sz w:val="21"/>
          <w:szCs w:val="21"/>
          <w:highlight w:val="none"/>
          <w:lang w:val="en-US" w:eastAsia="zh-CN"/>
        </w:rPr>
        <w:t xml:space="preserve">   </w:t>
      </w:r>
    </w:p>
    <w:p w14:paraId="603E4AC6">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9.</w:t>
      </w:r>
      <w:r>
        <w:rPr>
          <w:rFonts w:hint="eastAsia" w:ascii="宋体" w:hAnsi="宋体" w:eastAsia="宋体" w:cs="宋体"/>
          <w:spacing w:val="0"/>
          <w:position w:val="0"/>
          <w:sz w:val="21"/>
          <w:szCs w:val="21"/>
          <w:highlight w:val="none"/>
        </w:rPr>
        <w:t>遇突发事件或上级检查时，乙方必须配合有关部门执行任务，并指定专职人员协助工作，直至完成。</w:t>
      </w:r>
    </w:p>
    <w:p w14:paraId="78FCE5D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10.接受云和县农业农村局业务主管部门的</w:t>
      </w:r>
      <w:r>
        <w:rPr>
          <w:rFonts w:hint="eastAsia" w:ascii="宋体" w:hAnsi="宋体" w:eastAsia="宋体" w:cs="宋体"/>
          <w:spacing w:val="0"/>
          <w:position w:val="0"/>
          <w:sz w:val="21"/>
          <w:szCs w:val="21"/>
          <w:highlight w:val="none"/>
        </w:rPr>
        <w:t>无害化处理服务考核</w:t>
      </w:r>
      <w:r>
        <w:rPr>
          <w:rFonts w:hint="eastAsia" w:ascii="宋体" w:hAnsi="宋体" w:eastAsia="宋体" w:cs="宋体"/>
          <w:spacing w:val="0"/>
          <w:position w:val="0"/>
          <w:sz w:val="21"/>
          <w:szCs w:val="21"/>
          <w:highlight w:val="none"/>
          <w:lang w:eastAsia="zh-CN"/>
        </w:rPr>
        <w:t>。</w:t>
      </w:r>
    </w:p>
    <w:p w14:paraId="2168D71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2" w:firstLineChars="200"/>
        <w:jc w:val="both"/>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二、甲方对乙方作出如下承诺</w:t>
      </w:r>
    </w:p>
    <w:p w14:paraId="4B42E96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rPr>
        <w:t>甲方在职权范围内确保乙方的正常经营不受干扰。</w:t>
      </w:r>
    </w:p>
    <w:p w14:paraId="2B08678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rPr>
        <w:t>甲方应积极为乙方争取各级项目扶持。</w:t>
      </w:r>
    </w:p>
    <w:p w14:paraId="20CFBF7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第七条 税费承担</w:t>
      </w:r>
    </w:p>
    <w:p w14:paraId="224A7C4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rightChars="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乙方应合法经营，依法纳税。本合同履行过程中，涉及税费（除场地租金）由乙方承担。</w:t>
      </w:r>
    </w:p>
    <w:p w14:paraId="565A763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第八条  验收</w:t>
      </w:r>
    </w:p>
    <w:p w14:paraId="4C1D6E8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乙方应依据招标文件和本合同约定的期限，完成病死动物处理厂设备采购、安装和调试，完成专用车辆等的采购，并及时向甲方申请验收。</w:t>
      </w:r>
    </w:p>
    <w:p w14:paraId="6491775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甲方在接到乙方验收函件后，应及时安排和组织专家验收，验收合格的签字确认，验收不合格或尚存在缺陷的，乙方应自行无偿返工，直至验收合格为止，造成逾期的，应承担逾期违约责任。</w:t>
      </w:r>
    </w:p>
    <w:p w14:paraId="0216E64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第九条  违约责任</w:t>
      </w:r>
    </w:p>
    <w:p w14:paraId="36AD1B3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甲乙双方在履行合同过程中，任何一方违约导致本合同不能履行的，违约方须向守约方支付违约金捌万元，造成守约方的损失超过违约金的，违约方继续承担赔偿责任。</w:t>
      </w:r>
    </w:p>
    <w:p w14:paraId="333610D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甲乙双方在履行合同过程中，任何一方违约，均承担由于违约所产生的一切直接和间接的经济损失。</w:t>
      </w:r>
    </w:p>
    <w:p w14:paraId="5791679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3</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乙方未按合同规定时间开展病死动物无害化处理正常运营的，甲方将视其违约并有权单方解除合同，乙方须向甲方支付违约金捌万元，造成甲方损失超过违约金的，乙方继续承担赔偿责任。</w:t>
      </w:r>
    </w:p>
    <w:p w14:paraId="5DD589A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drawing>
          <wp:anchor distT="0" distB="0" distL="0" distR="0" simplePos="0" relativeHeight="251660288" behindDoc="0" locked="0" layoutInCell="1" allowOverlap="1">
            <wp:simplePos x="0" y="0"/>
            <wp:positionH relativeFrom="column">
              <wp:posOffset>6000750</wp:posOffset>
            </wp:positionH>
            <wp:positionV relativeFrom="paragraph">
              <wp:posOffset>977900</wp:posOffset>
            </wp:positionV>
            <wp:extent cx="304800" cy="1543685"/>
            <wp:effectExtent l="0" t="0" r="0" b="18415"/>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304782" cy="1543371"/>
                    </a:xfrm>
                    <a:prstGeom prst="rect">
                      <a:avLst/>
                    </a:prstGeom>
                  </pic:spPr>
                </pic:pic>
              </a:graphicData>
            </a:graphic>
          </wp:anchor>
        </w:drawing>
      </w:r>
      <w:r>
        <w:rPr>
          <w:rFonts w:hint="eastAsia" w:ascii="宋体" w:hAnsi="宋体" w:eastAsia="宋体" w:cs="宋体"/>
          <w:spacing w:val="0"/>
          <w:position w:val="0"/>
          <w:sz w:val="21"/>
          <w:szCs w:val="21"/>
          <w:highlight w:val="none"/>
        </w:rPr>
        <w:t>4</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合同执行期间，因乙方未在规定时间(24小时)内收集和处理病死动物及其产品，须承担违约责任，按合同总价每次万分之五向甲方支付违约金。因乙方三次以上未在规定时间内收集和处理病死动物及动物产品或因此造成严重影响的，甲方可单方面解除本合同，并向甲方支付违约金捌万元，造成甲方损失超过违约金的，乙方继续承担赔偿责任，由此给甲方造成的损失全部由乙方承担。</w:t>
      </w:r>
    </w:p>
    <w:p w14:paraId="2C15513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5</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合同期内，乙方未按招标文件要求进行无害化处理或处理未达到相关要求的，一经查实，在甲方发出书面警告后仍未采取补救措施的，甲方可单方面解除本合同，并向甲方支付违约金捌万元，造成甲方损失超过违约金的，乙方继续承担赔偿责任。由此给甲方造成的损失全部由乙方承担。</w:t>
      </w:r>
    </w:p>
    <w:p w14:paraId="445EC1E9">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6</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乙方擅自转包、分包或转让合同义务的，应承担违约责任，经甲方阻止乙方不予纠正的，甲方有权解除本合同，乙方应按本合同</w:t>
      </w:r>
      <w:r>
        <w:rPr>
          <w:rFonts w:hint="eastAsia" w:ascii="宋体" w:hAnsi="宋体" w:eastAsia="宋体" w:cs="宋体"/>
          <w:spacing w:val="0"/>
          <w:position w:val="0"/>
          <w:sz w:val="21"/>
          <w:szCs w:val="21"/>
          <w:highlight w:val="none"/>
          <w:lang w:val="en-US" w:eastAsia="zh-CN"/>
        </w:rPr>
        <w:t>保底数量</w:t>
      </w:r>
      <w:r>
        <w:rPr>
          <w:rFonts w:hint="eastAsia" w:ascii="宋体" w:hAnsi="宋体" w:eastAsia="宋体" w:cs="宋体"/>
          <w:spacing w:val="0"/>
          <w:position w:val="0"/>
          <w:sz w:val="21"/>
          <w:szCs w:val="21"/>
          <w:highlight w:val="none"/>
        </w:rPr>
        <w:t>总价的20%向甲方支付违约金。</w:t>
      </w:r>
    </w:p>
    <w:p w14:paraId="1150A23C">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7</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非本合同约定情形，乙方提出解除合同的，应承担违约责任，乙方一次性支付给甲方</w:t>
      </w: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0万元的惩罚性的违约金，甲方有权从应付款中扣除，造成甲方损失超过违约金的，乙方继续承担赔偿责任。</w:t>
      </w:r>
    </w:p>
    <w:p w14:paraId="554068D3">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8</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非甲方原因导致的一切事故、纠纷、争议、事件由乙方自行全权负责处理和承担民事责任，甲方不承担任何责任(包括经济责任);在乙方的责任区内由于乙方原因导致第三方的事故由乙方负责处理和承担民事责任，甲方不承担任何责任(包括经济责任)。</w:t>
      </w:r>
    </w:p>
    <w:p w14:paraId="6E9961C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jc w:val="both"/>
        <w:textAlignment w:val="baseline"/>
        <w:rPr>
          <w:rFonts w:hint="eastAsia" w:ascii="宋体" w:hAnsi="宋体" w:eastAsia="宋体" w:cs="宋体"/>
          <w:b/>
          <w:bCs/>
          <w:spacing w:val="0"/>
          <w:position w:val="0"/>
          <w:sz w:val="21"/>
          <w:szCs w:val="21"/>
          <w:highlight w:val="none"/>
        </w:rPr>
      </w:pPr>
      <w:r>
        <w:rPr>
          <w:rFonts w:hint="eastAsia" w:ascii="宋体" w:hAnsi="宋体" w:eastAsia="宋体" w:cs="宋体"/>
          <w:b/>
          <w:bCs/>
          <w:spacing w:val="0"/>
          <w:position w:val="0"/>
          <w:sz w:val="21"/>
          <w:szCs w:val="21"/>
          <w:highlight w:val="none"/>
        </w:rPr>
        <w:t>第十条</w:t>
      </w:r>
      <w:r>
        <w:rPr>
          <w:rFonts w:hint="eastAsia" w:ascii="宋体" w:hAnsi="宋体" w:eastAsia="宋体" w:cs="宋体"/>
          <w:b/>
          <w:bCs/>
          <w:spacing w:val="0"/>
          <w:position w:val="0"/>
          <w:sz w:val="21"/>
          <w:szCs w:val="21"/>
          <w:highlight w:val="none"/>
          <w:lang w:val="en-US" w:eastAsia="zh-CN"/>
        </w:rPr>
        <w:t xml:space="preserve"> </w:t>
      </w:r>
      <w:r>
        <w:rPr>
          <w:rFonts w:hint="eastAsia" w:ascii="宋体" w:hAnsi="宋体" w:eastAsia="宋体" w:cs="宋体"/>
          <w:b/>
          <w:bCs/>
          <w:spacing w:val="0"/>
          <w:position w:val="0"/>
          <w:sz w:val="21"/>
          <w:szCs w:val="21"/>
          <w:highlight w:val="none"/>
        </w:rPr>
        <w:t>不可抗力</w:t>
      </w:r>
    </w:p>
    <w:p w14:paraId="25D3D51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合同履行期限内发生台风、地震、洪水等双方不能预见、不能避免和不能克服的不可抗力事件，导致乙方不能正常经营，合同不能或不能全部履行。</w:t>
      </w:r>
      <w:r>
        <w:rPr>
          <w:rFonts w:hint="eastAsia" w:ascii="宋体" w:hAnsi="宋体" w:eastAsia="宋体" w:cs="宋体"/>
          <w:spacing w:val="0"/>
          <w:position w:val="0"/>
          <w:sz w:val="21"/>
          <w:szCs w:val="21"/>
          <w:highlight w:val="none"/>
          <w:lang w:eastAsia="zh-CN"/>
        </w:rPr>
        <w:t>双</w:t>
      </w:r>
      <w:r>
        <w:rPr>
          <w:rFonts w:hint="eastAsia" w:ascii="宋体" w:hAnsi="宋体" w:eastAsia="宋体" w:cs="宋体"/>
          <w:spacing w:val="0"/>
          <w:position w:val="0"/>
          <w:sz w:val="21"/>
          <w:szCs w:val="21"/>
          <w:highlight w:val="none"/>
        </w:rPr>
        <w:t>方可以按以下内容执行：</w:t>
      </w:r>
    </w:p>
    <w:p w14:paraId="0554369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受事故影响的一方应在不可抗力的事故发生后尽快书面形式通知另一方，并尽快将有关部门出具的证明文件送达另一方。</w:t>
      </w:r>
    </w:p>
    <w:p w14:paraId="202E7AD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不可抗力使合同的某些内容有变更必要的，双方应通过协商达成进一步履行合同的协议。</w:t>
      </w:r>
    </w:p>
    <w:p w14:paraId="66C07F4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3</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因不可抗力致使合同不能履行的，本合同终止。任何一方可以书面形式函告另一方，不承担赔偿责任。</w:t>
      </w:r>
    </w:p>
    <w:p w14:paraId="0B90855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因不可抗力导致合同终止，并不影响任何一方对不可抗力先前发生的违约行为合法追偿。</w:t>
      </w:r>
    </w:p>
    <w:p w14:paraId="6D9C1BC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5.</w:t>
      </w:r>
      <w:r>
        <w:rPr>
          <w:rFonts w:hint="eastAsia" w:ascii="宋体" w:hAnsi="宋体" w:eastAsia="宋体" w:cs="宋体"/>
          <w:spacing w:val="0"/>
          <w:position w:val="0"/>
          <w:sz w:val="21"/>
          <w:szCs w:val="21"/>
          <w:highlight w:val="none"/>
        </w:rPr>
        <w:t xml:space="preserve">甲方不承担因不可抗力造成合同不能正常履行的责任。 </w:t>
      </w:r>
    </w:p>
    <w:p w14:paraId="7885BFC0">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rPr>
      </w:pPr>
      <w:r>
        <w:rPr>
          <w:rFonts w:hint="eastAsia" w:ascii="宋体" w:hAnsi="宋体" w:eastAsia="宋体" w:cs="宋体"/>
          <w:b/>
          <w:bCs/>
          <w:spacing w:val="0"/>
          <w:position w:val="0"/>
          <w:sz w:val="21"/>
          <w:szCs w:val="21"/>
          <w:highlight w:val="none"/>
        </w:rPr>
        <w:t>第十一条 合同解除与终止</w:t>
      </w:r>
    </w:p>
    <w:p w14:paraId="6482BE9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甲方因法律、政策调整等特殊原因，导致本合同不能继续履行的，甲方须提前一个月书面函告乙方，单方解除合同。</w:t>
      </w:r>
    </w:p>
    <w:p w14:paraId="209FCCF1">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2</w:t>
      </w:r>
      <w:r>
        <w:rPr>
          <w:rFonts w:hint="eastAsia" w:ascii="宋体" w:hAnsi="宋体" w:eastAsia="宋体" w:cs="宋体"/>
          <w:spacing w:val="0"/>
          <w:position w:val="0"/>
          <w:sz w:val="21"/>
          <w:szCs w:val="21"/>
          <w:highlight w:val="none"/>
          <w:lang w:val="en-US" w:eastAsia="zh-CN"/>
        </w:rPr>
        <w:t>.</w:t>
      </w:r>
      <w:r>
        <w:rPr>
          <w:rFonts w:hint="eastAsia" w:ascii="宋体" w:hAnsi="宋体" w:eastAsia="宋体" w:cs="宋体"/>
          <w:spacing w:val="0"/>
          <w:position w:val="0"/>
          <w:sz w:val="21"/>
          <w:szCs w:val="21"/>
          <w:highlight w:val="none"/>
        </w:rPr>
        <w:t>乙方出现以下行为之一的，甲方有权解除本合同</w:t>
      </w:r>
      <w:r>
        <w:rPr>
          <w:rFonts w:hint="eastAsia" w:ascii="宋体" w:hAnsi="宋体" w:eastAsia="宋体" w:cs="宋体"/>
          <w:spacing w:val="0"/>
          <w:position w:val="0"/>
          <w:sz w:val="21"/>
          <w:szCs w:val="21"/>
          <w:highlight w:val="none"/>
          <w:lang w:eastAsia="zh-CN"/>
        </w:rPr>
        <w:t>。</w:t>
      </w:r>
    </w:p>
    <w:p w14:paraId="438DEBF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1</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因乙方考核分</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业务主管部门考核</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低于80分，甲方有权单方解除合同。</w:t>
      </w:r>
    </w:p>
    <w:p w14:paraId="745B0F8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2</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乙方未经甲方同意，擅自转包、分包或转让合同义务的。</w:t>
      </w:r>
    </w:p>
    <w:p w14:paraId="21DE2F8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729" w:rightChars="-347"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乙方明确告知不履行合同义务或以行为表示不履行合同义务，导致本甲方不能实现合同目的的。</w:t>
      </w:r>
    </w:p>
    <w:p w14:paraId="4AB34255">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提前解除合同时间早于月底最后一天，应视为月底最后一天期满，此约定适用上述各项。</w:t>
      </w:r>
    </w:p>
    <w:p w14:paraId="1596B9C8">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3.经双方协商一致，本合同可以提前解除或终止。</w:t>
      </w:r>
    </w:p>
    <w:p w14:paraId="33AC4574">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4.乙方破产清算、重组及兼并等事实发生，或被债权接管经营，甲方可随时解除合同。</w:t>
      </w:r>
    </w:p>
    <w:p w14:paraId="051D216C">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第十二条  合同到期、提前解除或终止的移交、处理</w:t>
      </w:r>
    </w:p>
    <w:p w14:paraId="00DBBA0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1.双方应进行结算，结算按本合同约定条款进行。</w:t>
      </w:r>
    </w:p>
    <w:p w14:paraId="34AD8A1A">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2.甲方同时对乙方厂区区域设施、设备状况进行检查，并要求乙方15天内将其具有所有权的财产撤离，按甲方交付时的现状恢复原状，双方办理交接手续。</w:t>
      </w:r>
    </w:p>
    <w:p w14:paraId="1DA3870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3.乙方不按前款规定撤离设备等财产的，视同乙方同意任由甲方处置。乙方未按上述要求执行的，甲方不支付合同解除前一个月的费用。</w:t>
      </w:r>
    </w:p>
    <w:p w14:paraId="58CE509A">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4.乙方经营期间造成甲方移交的设备、财物损害的，应在移交时予以全额赔偿。</w:t>
      </w:r>
    </w:p>
    <w:p w14:paraId="1361A6E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5.在合作期限中途退出或存在违约或年度考核不满足要求经整改后仍达不到甲方要求等原因双方需解除合同的，为确保项目正常运行乙方所投资的设备在合约期限内（十年）不得撤回，须给甲方或下任经营者使用。</w:t>
      </w:r>
    </w:p>
    <w:p w14:paraId="543357D0">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6.不放弃权利</w:t>
      </w:r>
    </w:p>
    <w:p w14:paraId="4F390EA2">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合同提前解除或终止的，甲方不放弃对乙方违约行为进行追究的权利；同时，甲方可以对乙方某一违约行为放弃进行追究，但不放弃对乙方其他违约行为进行追究的权利。</w:t>
      </w:r>
    </w:p>
    <w:p w14:paraId="391F060C">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第十三条  争议的解决</w:t>
      </w:r>
    </w:p>
    <w:p w14:paraId="4AF6B62D">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因履行本合同引起的或与本合同有关的争议，甲乙双方应首先通过友好协 商解决，如果协商不成，任何一方均可向云和县人民法院提起诉讼。</w:t>
      </w:r>
    </w:p>
    <w:p w14:paraId="7657AD8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textAlignment w:val="baseline"/>
        <w:rPr>
          <w:rFonts w:hint="eastAsia" w:ascii="宋体" w:hAnsi="宋体" w:eastAsia="宋体" w:cs="宋体"/>
          <w:b/>
          <w:bCs/>
          <w:spacing w:val="0"/>
          <w:position w:val="0"/>
          <w:sz w:val="21"/>
          <w:szCs w:val="21"/>
          <w:highlight w:val="none"/>
          <w:lang w:val="en-US" w:eastAsia="zh-CN"/>
        </w:rPr>
      </w:pPr>
      <w:r>
        <w:rPr>
          <w:rFonts w:hint="eastAsia" w:ascii="宋体" w:hAnsi="宋体" w:eastAsia="宋体" w:cs="宋体"/>
          <w:b/>
          <w:bCs/>
          <w:spacing w:val="0"/>
          <w:position w:val="0"/>
          <w:sz w:val="21"/>
          <w:szCs w:val="21"/>
          <w:highlight w:val="none"/>
          <w:lang w:val="en-US" w:eastAsia="zh-CN"/>
        </w:rPr>
        <w:t>第十四  条合同生效及其他</w:t>
      </w:r>
    </w:p>
    <w:p w14:paraId="0485AF97">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1.本合同自双方法定代表人或授权代理人签字盖章之日起生效；本合同一式五份，买卖双方各执二份，一份农业农村局存档。</w:t>
      </w:r>
    </w:p>
    <w:p w14:paraId="41196FEF">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2.本合同的附件、修改(补充)文件、往来通知为本合同的组成部分，与本合同同等效力。</w:t>
      </w:r>
    </w:p>
    <w:p w14:paraId="52EDBE1B">
      <w:pPr>
        <w:pStyle w:val="11"/>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420" w:firstLineChars="200"/>
        <w:jc w:val="both"/>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3.本合同中所述通知必须以书面形式，送达对方签收。</w:t>
      </w:r>
    </w:p>
    <w:p w14:paraId="20DB7AF0">
      <w:pPr>
        <w:keepNext w:val="0"/>
        <w:keepLines w:val="0"/>
        <w:pageBreakBefore w:val="0"/>
        <w:widowControl w:val="0"/>
        <w:wordWrap/>
        <w:overflowPunct/>
        <w:topLinePunct w:val="0"/>
        <w:bidi w:val="0"/>
        <w:spacing w:line="360" w:lineRule="exact"/>
        <w:ind w:left="0" w:right="0"/>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lang w:eastAsia="zh-CN"/>
        </w:rPr>
        <w:t>（以下无正文）</w:t>
      </w:r>
    </w:p>
    <w:p w14:paraId="3D0FFB6F">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4DF2FCC6">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04C3E334">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3015E7E5">
      <w:pPr>
        <w:pStyle w:val="11"/>
        <w:keepNext w:val="0"/>
        <w:keepLines w:val="0"/>
        <w:pageBreakBefore w:val="0"/>
        <w:widowControl w:val="0"/>
        <w:wordWrap/>
        <w:overflowPunct/>
        <w:topLinePunct w:val="0"/>
        <w:bidi w:val="0"/>
        <w:spacing w:line="360" w:lineRule="exact"/>
        <w:ind w:firstLine="420" w:firstLineChars="200"/>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rPr>
        <w:t>甲 方 ( 盖 章 ) :</w:t>
      </w: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lang w:eastAsia="zh-CN"/>
        </w:rPr>
        <w:t>乙</w:t>
      </w:r>
      <w:r>
        <w:rPr>
          <w:rFonts w:hint="eastAsia" w:ascii="宋体" w:hAnsi="宋体" w:eastAsia="宋体" w:cs="宋体"/>
          <w:spacing w:val="0"/>
          <w:position w:val="0"/>
          <w:sz w:val="21"/>
          <w:szCs w:val="21"/>
          <w:highlight w:val="none"/>
        </w:rPr>
        <w:t xml:space="preserve"> 方 ( 盖 章 ) :</w:t>
      </w:r>
    </w:p>
    <w:p w14:paraId="66C39F2F">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20EFD407">
      <w:pPr>
        <w:pStyle w:val="11"/>
        <w:keepNext w:val="0"/>
        <w:keepLines w:val="0"/>
        <w:pageBreakBefore w:val="0"/>
        <w:widowControl w:val="0"/>
        <w:wordWrap/>
        <w:overflowPunct/>
        <w:topLinePunct w:val="0"/>
        <w:bidi w:val="0"/>
        <w:spacing w:line="360" w:lineRule="exact"/>
        <w:ind w:firstLine="420" w:firstLineChars="200"/>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rPr>
        <w:t>法定代表人或</w:t>
      </w: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rPr>
        <w:t>法定代表人或</w:t>
      </w:r>
      <w:r>
        <w:rPr>
          <w:rFonts w:hint="eastAsia" w:ascii="宋体" w:hAnsi="宋体" w:eastAsia="宋体" w:cs="宋体"/>
          <w:spacing w:val="0"/>
          <w:position w:val="0"/>
          <w:sz w:val="21"/>
          <w:szCs w:val="21"/>
          <w:highlight w:val="none"/>
          <w:lang w:val="en-US" w:eastAsia="zh-CN"/>
        </w:rPr>
        <w:t xml:space="preserve">  </w:t>
      </w:r>
    </w:p>
    <w:p w14:paraId="6EBD251E">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41FE11DD">
      <w:pPr>
        <w:pStyle w:val="11"/>
        <w:keepNext w:val="0"/>
        <w:keepLines w:val="0"/>
        <w:pageBreakBefore w:val="0"/>
        <w:widowControl w:val="0"/>
        <w:wordWrap/>
        <w:overflowPunct/>
        <w:topLinePunct w:val="0"/>
        <w:bidi w:val="0"/>
        <w:spacing w:line="360" w:lineRule="exact"/>
        <w:ind w:firstLine="420" w:firstLineChars="200"/>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rPr>
        <w:t xml:space="preserve">委托人签字：   </w:t>
      </w: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rPr>
        <w:t>委托人签字：</w:t>
      </w:r>
    </w:p>
    <w:p w14:paraId="2AF97891">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355E87E9">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4BDA212B">
      <w:pPr>
        <w:pStyle w:val="11"/>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7C9B8326">
      <w:pPr>
        <w:pStyle w:val="11"/>
        <w:keepNext w:val="0"/>
        <w:keepLines w:val="0"/>
        <w:pageBreakBefore w:val="0"/>
        <w:widowControl w:val="0"/>
        <w:wordWrap/>
        <w:overflowPunct/>
        <w:topLinePunct w:val="0"/>
        <w:bidi w:val="0"/>
        <w:spacing w:line="360" w:lineRule="exact"/>
        <w:ind w:firstLine="420" w:firstLineChars="200"/>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见证方(盖章):</w:t>
      </w:r>
    </w:p>
    <w:p w14:paraId="022BB67F">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46F36BB0">
      <w:pPr>
        <w:pStyle w:val="11"/>
        <w:keepNext w:val="0"/>
        <w:keepLines w:val="0"/>
        <w:pageBreakBefore w:val="0"/>
        <w:widowControl w:val="0"/>
        <w:wordWrap/>
        <w:overflowPunct/>
        <w:topLinePunct w:val="0"/>
        <w:bidi w:val="0"/>
        <w:spacing w:line="360" w:lineRule="exact"/>
        <w:ind w:firstLine="420" w:firstLineChars="200"/>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负责人签字：</w:t>
      </w:r>
    </w:p>
    <w:p w14:paraId="7017B946">
      <w:pPr>
        <w:pStyle w:val="11"/>
        <w:keepNext w:val="0"/>
        <w:keepLines w:val="0"/>
        <w:pageBreakBefore w:val="0"/>
        <w:widowControl w:val="0"/>
        <w:wordWrap/>
        <w:overflowPunct/>
        <w:topLinePunct w:val="0"/>
        <w:bidi w:val="0"/>
        <w:spacing w:line="360" w:lineRule="exact"/>
        <w:ind w:left="7810"/>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w:t>
      </w:r>
      <w:r>
        <w:rPr>
          <w:rFonts w:hint="eastAsia" w:ascii="宋体" w:hAnsi="宋体" w:eastAsia="宋体" w:cs="宋体"/>
          <w:spacing w:val="0"/>
          <w:position w:val="0"/>
          <w:sz w:val="21"/>
          <w:szCs w:val="21"/>
          <w:highlight w:val="none"/>
          <w:lang w:val="en-US" w:eastAsia="zh-CN"/>
        </w:rPr>
        <w:t xml:space="preserve"> </w:t>
      </w:r>
    </w:p>
    <w:p w14:paraId="57149236">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054907AF">
      <w:pPr>
        <w:keepNext w:val="0"/>
        <w:keepLines w:val="0"/>
        <w:pageBreakBefore w:val="0"/>
        <w:widowControl w:val="0"/>
        <w:wordWrap/>
        <w:overflowPunct/>
        <w:topLinePunct w:val="0"/>
        <w:bidi w:val="0"/>
        <w:spacing w:line="360" w:lineRule="exact"/>
        <w:rPr>
          <w:rFonts w:hint="eastAsia" w:ascii="宋体" w:hAnsi="宋体" w:eastAsia="宋体" w:cs="宋体"/>
          <w:spacing w:val="0"/>
          <w:position w:val="0"/>
          <w:sz w:val="21"/>
          <w:szCs w:val="21"/>
          <w:highlight w:val="none"/>
        </w:rPr>
      </w:pPr>
    </w:p>
    <w:p w14:paraId="18AD7FEA">
      <w:pPr>
        <w:pStyle w:val="11"/>
        <w:keepNext w:val="0"/>
        <w:keepLines w:val="0"/>
        <w:pageBreakBefore w:val="0"/>
        <w:widowControl w:val="0"/>
        <w:wordWrap/>
        <w:overflowPunct/>
        <w:topLinePunct w:val="0"/>
        <w:bidi w:val="0"/>
        <w:spacing w:line="360" w:lineRule="exact"/>
        <w:jc w:val="right"/>
        <w:rPr>
          <w:rFonts w:hint="eastAsia" w:ascii="宋体" w:hAnsi="宋体" w:eastAsia="宋体" w:cs="宋体"/>
          <w:spacing w:val="0"/>
          <w:position w:val="0"/>
          <w:sz w:val="21"/>
          <w:szCs w:val="21"/>
          <w:highlight w:val="none"/>
          <w:u w:val="single"/>
        </w:rPr>
      </w:pPr>
      <w:r>
        <w:rPr>
          <w:rFonts w:hint="eastAsia" w:ascii="宋体" w:hAnsi="宋体" w:eastAsia="宋体" w:cs="宋体"/>
          <w:spacing w:val="0"/>
          <w:position w:val="0"/>
          <w:sz w:val="21"/>
          <w:szCs w:val="21"/>
          <w:highlight w:val="none"/>
        </w:rPr>
        <w:t>签约地点：</w:t>
      </w:r>
      <w:r>
        <w:rPr>
          <w:rFonts w:hint="eastAsia" w:ascii="宋体" w:hAnsi="宋体" w:eastAsia="宋体" w:cs="宋体"/>
          <w:spacing w:val="0"/>
          <w:position w:val="0"/>
          <w:sz w:val="21"/>
          <w:szCs w:val="21"/>
          <w:highlight w:val="none"/>
          <w:u w:val="single"/>
          <w:lang w:val="en-US" w:eastAsia="zh-CN"/>
        </w:rPr>
        <w:t>云 和 县</w:t>
      </w:r>
      <w:r>
        <w:rPr>
          <w:rFonts w:hint="eastAsia" w:ascii="宋体" w:hAnsi="宋体" w:eastAsia="宋体" w:cs="宋体"/>
          <w:spacing w:val="0"/>
          <w:position w:val="0"/>
          <w:sz w:val="21"/>
          <w:szCs w:val="21"/>
          <w:highlight w:val="none"/>
          <w:u w:val="single"/>
        </w:rPr>
        <w:t xml:space="preserve"> 农 业 农 村 局</w:t>
      </w:r>
    </w:p>
    <w:p w14:paraId="5BBC4474">
      <w:pPr>
        <w:keepNext w:val="0"/>
        <w:keepLines w:val="0"/>
        <w:pageBreakBefore w:val="0"/>
        <w:widowControl w:val="0"/>
        <w:wordWrap/>
        <w:overflowPunct/>
        <w:topLinePunct w:val="0"/>
        <w:bidi w:val="0"/>
        <w:spacing w:line="360" w:lineRule="exact"/>
        <w:jc w:val="both"/>
        <w:rPr>
          <w:rFonts w:hint="eastAsia" w:ascii="宋体" w:hAnsi="宋体" w:eastAsia="宋体" w:cs="宋体"/>
          <w:spacing w:val="0"/>
          <w:position w:val="0"/>
          <w:sz w:val="21"/>
          <w:szCs w:val="21"/>
          <w:highlight w:val="none"/>
          <w:u w:val="single"/>
        </w:rPr>
      </w:pPr>
    </w:p>
    <w:p w14:paraId="55EC9345">
      <w:pPr>
        <w:pStyle w:val="11"/>
        <w:keepNext w:val="0"/>
        <w:keepLines w:val="0"/>
        <w:pageBreakBefore w:val="0"/>
        <w:widowControl w:val="0"/>
        <w:wordWrap/>
        <w:overflowPunct/>
        <w:topLinePunct w:val="0"/>
        <w:bidi w:val="0"/>
        <w:spacing w:line="360" w:lineRule="exact"/>
        <w:jc w:val="center"/>
        <w:rPr>
          <w:rFonts w:hint="eastAsia" w:ascii="宋体" w:hAnsi="宋体" w:eastAsia="宋体" w:cs="宋体"/>
          <w:spacing w:val="0"/>
          <w:position w:val="0"/>
          <w:sz w:val="21"/>
          <w:szCs w:val="21"/>
          <w:highlight w:val="none"/>
          <w:u w:val="single"/>
          <w:lang w:val="en-US" w:eastAsia="zh-CN"/>
        </w:rPr>
      </w:pP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rPr>
        <w:t>签约日期</w:t>
      </w:r>
      <w:r>
        <w:rPr>
          <w:rFonts w:hint="eastAsia" w:ascii="宋体" w:hAnsi="宋体" w:eastAsia="宋体" w:cs="宋体"/>
          <w:spacing w:val="0"/>
          <w:position w:val="0"/>
          <w:sz w:val="21"/>
          <w:szCs w:val="21"/>
          <w:highlight w:val="none"/>
          <w:lang w:val="en-US" w:eastAsia="zh-CN"/>
        </w:rPr>
        <w:t xml:space="preserve">: </w:t>
      </w:r>
      <w:r>
        <w:rPr>
          <w:rFonts w:hint="eastAsia" w:ascii="宋体" w:hAnsi="宋体" w:eastAsia="宋体" w:cs="宋体"/>
          <w:spacing w:val="0"/>
          <w:position w:val="0"/>
          <w:sz w:val="21"/>
          <w:szCs w:val="21"/>
          <w:highlight w:val="none"/>
          <w:u w:val="single"/>
        </w:rPr>
        <w:t>202</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rPr>
        <w:t>年</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rPr>
        <w:t>月</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rPr>
        <w:t xml:space="preserve"> 日</w:t>
      </w:r>
      <w:r>
        <w:rPr>
          <w:rFonts w:hint="eastAsia" w:ascii="宋体" w:hAnsi="宋体" w:eastAsia="宋体" w:cs="宋体"/>
          <w:spacing w:val="0"/>
          <w:position w:val="0"/>
          <w:sz w:val="21"/>
          <w:szCs w:val="21"/>
          <w:highlight w:val="none"/>
          <w:u w:val="single"/>
          <w:lang w:val="en-US" w:eastAsia="zh-CN"/>
        </w:rPr>
        <w:t xml:space="preserve">        </w:t>
      </w:r>
    </w:p>
    <w:p w14:paraId="422C4A35">
      <w:pPr>
        <w:pStyle w:val="34"/>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注：本合同仅作示范文本，具体以双方签定的正式合同为准，合同内容不得违背本招标文件实质性要求。</w:t>
      </w:r>
    </w:p>
    <w:p w14:paraId="038AADF0">
      <w:pPr>
        <w:pStyle w:val="34"/>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highlight w:val="none"/>
        </w:rPr>
        <w:sectPr>
          <w:pgSz w:w="11906" w:h="16838"/>
          <w:pgMar w:top="1185" w:right="1151" w:bottom="1157" w:left="1185" w:header="851" w:footer="992" w:gutter="0"/>
          <w:pgNumType w:fmt="decimal"/>
          <w:cols w:space="425" w:num="1"/>
          <w:titlePg/>
          <w:docGrid w:type="lines" w:linePitch="312" w:charSpace="0"/>
        </w:sectPr>
      </w:pPr>
    </w:p>
    <w:p w14:paraId="4E8999A0">
      <w:pPr>
        <w:pStyle w:val="34"/>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highlight w:val="none"/>
        </w:rPr>
      </w:pPr>
    </w:p>
    <w:p w14:paraId="66E46459">
      <w:pPr>
        <w:pStyle w:val="34"/>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highlight w:val="none"/>
        </w:rPr>
      </w:pPr>
    </w:p>
    <w:p w14:paraId="74F0715A">
      <w:pPr>
        <w:pStyle w:val="2"/>
        <w:pageBreakBefore w:val="0"/>
        <w:tabs>
          <w:tab w:val="left" w:pos="1080"/>
        </w:tabs>
        <w:kinsoku/>
        <w:overflowPunct/>
        <w:topLinePunct w:val="0"/>
        <w:bidi w:val="0"/>
        <w:spacing w:line="400" w:lineRule="exact"/>
        <w:ind w:firstLine="0" w:firstLineChars="0"/>
        <w:jc w:val="center"/>
        <w:outlineLvl w:val="0"/>
        <w:rPr>
          <w:rStyle w:val="32"/>
          <w:rFonts w:hint="eastAsia" w:hAnsi="Calibri" w:cs="Times New Roman"/>
          <w:b/>
          <w:bCs w:val="0"/>
          <w:color w:val="auto"/>
          <w:sz w:val="30"/>
          <w:szCs w:val="30"/>
          <w:highlight w:val="none"/>
          <w:lang w:val="en-US" w:eastAsia="zh-CN" w:bidi="ar-SA"/>
        </w:rPr>
      </w:pPr>
      <w:bookmarkStart w:id="85" w:name="_Toc8811"/>
      <w:r>
        <w:rPr>
          <w:rStyle w:val="32"/>
          <w:rFonts w:hint="eastAsia" w:ascii="宋体" w:hAnsi="宋体" w:eastAsia="宋体" w:cs="宋体"/>
          <w:b/>
          <w:bCs w:val="0"/>
          <w:color w:val="auto"/>
          <w:sz w:val="28"/>
          <w:szCs w:val="28"/>
          <w:highlight w:val="none"/>
          <w:lang w:val="en-US" w:eastAsia="zh-CN" w:bidi="ar-SA"/>
        </w:rPr>
        <w:t>第五章　磋商相关文件格式</w:t>
      </w:r>
      <w:bookmarkEnd w:id="84"/>
      <w:bookmarkEnd w:id="85"/>
      <w:bookmarkStart w:id="86" w:name="_Toc47756041"/>
      <w:bookmarkStart w:id="87" w:name="_Toc45506740"/>
      <w:bookmarkStart w:id="88" w:name="_Toc15813259"/>
      <w:bookmarkStart w:id="89" w:name="_Toc15805942"/>
    </w:p>
    <w:p w14:paraId="1AEA0FC7">
      <w:pPr>
        <w:pageBreakBefore w:val="0"/>
        <w:kinsoku/>
        <w:overflowPunct/>
        <w:topLinePunct w:val="0"/>
        <w:bidi w:val="0"/>
        <w:spacing w:line="400" w:lineRule="exact"/>
        <w:rPr>
          <w:rFonts w:hint="eastAsia" w:ascii="宋体" w:hAnsi="宋体" w:eastAsia="宋体" w:cs="宋体"/>
          <w:color w:val="auto"/>
          <w:sz w:val="21"/>
          <w:szCs w:val="21"/>
          <w:highlight w:val="none"/>
        </w:rPr>
      </w:pPr>
      <w:bookmarkStart w:id="90" w:name="_Toc386467624"/>
    </w:p>
    <w:p w14:paraId="1447CB0D">
      <w:pPr>
        <w:pageBreakBefore w:val="0"/>
        <w:kinsoku/>
        <w:overflowPunct/>
        <w:topLinePunct w:val="0"/>
        <w:bidi w:val="0"/>
        <w:spacing w:line="400" w:lineRule="exact"/>
        <w:ind w:firstLine="600"/>
        <w:jc w:val="center"/>
        <w:outlineLvl w:val="9"/>
        <w:rPr>
          <w:rFonts w:hint="eastAsia" w:ascii="宋体" w:hAnsi="宋体" w:eastAsia="宋体" w:cs="宋体"/>
          <w:b/>
          <w:bCs/>
          <w:color w:val="auto"/>
          <w:sz w:val="24"/>
          <w:szCs w:val="24"/>
          <w:highlight w:val="none"/>
        </w:rPr>
      </w:pPr>
      <w:bookmarkStart w:id="91" w:name="_Toc15497220"/>
      <w:bookmarkStart w:id="92" w:name="_Toc48143002"/>
    </w:p>
    <w:p w14:paraId="7DCF7E7A">
      <w:pPr>
        <w:pageBreakBefore w:val="0"/>
        <w:kinsoku/>
        <w:overflowPunct/>
        <w:topLinePunct w:val="0"/>
        <w:bidi w:val="0"/>
        <w:spacing w:line="400" w:lineRule="exact"/>
        <w:ind w:firstLine="60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投标文件封面及外包装封面格式</w:t>
      </w:r>
    </w:p>
    <w:p w14:paraId="5B37C511">
      <w:pPr>
        <w:pStyle w:val="5"/>
        <w:pageBreakBefore w:val="0"/>
        <w:kinsoku/>
        <w:overflowPunct/>
        <w:topLinePunct w:val="0"/>
        <w:bidi w:val="0"/>
        <w:spacing w:line="400" w:lineRule="exact"/>
        <w:ind w:firstLine="630" w:firstLineChars="300"/>
        <w:rPr>
          <w:rFonts w:hint="eastAsia" w:ascii="宋体" w:hAnsi="宋体" w:eastAsia="宋体" w:cs="宋体"/>
          <w:color w:val="auto"/>
          <w:sz w:val="21"/>
          <w:szCs w:val="21"/>
          <w:highlight w:val="none"/>
        </w:rPr>
      </w:pPr>
    </w:p>
    <w:p w14:paraId="38108223">
      <w:pPr>
        <w:pStyle w:val="5"/>
        <w:pageBreakBefore w:val="0"/>
        <w:kinsoku/>
        <w:overflowPunct/>
        <w:topLinePunct w:val="0"/>
        <w:bidi w:val="0"/>
        <w:spacing w:line="400" w:lineRule="exact"/>
        <w:ind w:firstLine="630" w:firstLineChars="300"/>
        <w:rPr>
          <w:rFonts w:hint="eastAsia" w:ascii="宋体" w:hAnsi="宋体" w:eastAsia="宋体" w:cs="宋体"/>
          <w:color w:val="auto"/>
          <w:sz w:val="21"/>
          <w:szCs w:val="21"/>
          <w:highlight w:val="none"/>
        </w:rPr>
      </w:pPr>
    </w:p>
    <w:p w14:paraId="6FA3CCF3">
      <w:pPr>
        <w:pStyle w:val="5"/>
        <w:pageBreakBefore w:val="0"/>
        <w:kinsoku/>
        <w:overflowPunct/>
        <w:topLinePunct w:val="0"/>
        <w:bidi w:val="0"/>
        <w:spacing w:line="4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（正本）或（副本）</w:t>
      </w:r>
    </w:p>
    <w:p w14:paraId="110EE241">
      <w:pPr>
        <w:pStyle w:val="5"/>
        <w:pageBreakBefore w:val="0"/>
        <w:kinsoku/>
        <w:overflowPunct/>
        <w:topLinePunct w:val="0"/>
        <w:bidi w:val="0"/>
        <w:spacing w:line="400" w:lineRule="exact"/>
        <w:ind w:firstLine="278" w:firstLineChars="116"/>
        <w:rPr>
          <w:rFonts w:hint="eastAsia" w:ascii="宋体" w:hAnsi="宋体" w:eastAsia="宋体" w:cs="宋体"/>
          <w:color w:val="auto"/>
          <w:sz w:val="24"/>
          <w:szCs w:val="24"/>
          <w:highlight w:val="none"/>
        </w:rPr>
      </w:pPr>
    </w:p>
    <w:p w14:paraId="5703542B">
      <w:pPr>
        <w:pStyle w:val="5"/>
        <w:pageBreakBefore w:val="0"/>
        <w:kinsoku/>
        <w:overflowPunct/>
        <w:topLinePunct w:val="0"/>
        <w:bidi w:val="0"/>
        <w:spacing w:line="400" w:lineRule="exact"/>
        <w:ind w:firstLine="998" w:firstLineChars="4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14:paraId="0F1809DB">
      <w:pPr>
        <w:pStyle w:val="5"/>
        <w:pageBreakBefore w:val="0"/>
        <w:kinsoku/>
        <w:overflowPunct/>
        <w:topLinePunct w:val="0"/>
        <w:bidi w:val="0"/>
        <w:spacing w:line="400" w:lineRule="exact"/>
        <w:rPr>
          <w:rFonts w:hint="eastAsia" w:ascii="宋体" w:hAnsi="宋体" w:eastAsia="宋体" w:cs="宋体"/>
          <w:color w:val="auto"/>
          <w:sz w:val="24"/>
          <w:szCs w:val="24"/>
          <w:highlight w:val="none"/>
        </w:rPr>
      </w:pPr>
    </w:p>
    <w:p w14:paraId="4A6DFD3C">
      <w:pPr>
        <w:pStyle w:val="5"/>
        <w:pageBreakBefore w:val="0"/>
        <w:kinsoku/>
        <w:overflowPunct/>
        <w:topLinePunct w:val="0"/>
        <w:bidi w:val="0"/>
        <w:spacing w:line="400" w:lineRule="exact"/>
        <w:ind w:firstLine="998" w:firstLineChars="4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F16F885">
      <w:pPr>
        <w:pStyle w:val="5"/>
        <w:pageBreakBefore w:val="0"/>
        <w:kinsoku/>
        <w:overflowPunct/>
        <w:topLinePunct w:val="0"/>
        <w:bidi w:val="0"/>
        <w:spacing w:line="400" w:lineRule="exact"/>
        <w:ind w:firstLine="0"/>
        <w:rPr>
          <w:rFonts w:hint="eastAsia" w:ascii="宋体" w:hAnsi="宋体" w:eastAsia="宋体" w:cs="宋体"/>
          <w:color w:val="auto"/>
          <w:sz w:val="24"/>
          <w:szCs w:val="24"/>
          <w:highlight w:val="none"/>
        </w:rPr>
      </w:pPr>
    </w:p>
    <w:p w14:paraId="76FA20A4">
      <w:pPr>
        <w:pStyle w:val="5"/>
        <w:pageBreakBefore w:val="0"/>
        <w:kinsoku/>
        <w:overflowPunct/>
        <w:topLinePunct w:val="0"/>
        <w:bidi w:val="0"/>
        <w:spacing w:line="400" w:lineRule="exact"/>
        <w:ind w:firstLine="998" w:firstLineChars="4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投标文件名称：资格审查文件/资信商务及技术文件/报价文件</w:t>
      </w:r>
    </w:p>
    <w:p w14:paraId="35350329">
      <w:pPr>
        <w:pStyle w:val="5"/>
        <w:pageBreakBefore w:val="0"/>
        <w:kinsoku/>
        <w:overflowPunct/>
        <w:topLinePunct w:val="0"/>
        <w:bidi w:val="0"/>
        <w:spacing w:line="400" w:lineRule="exact"/>
        <w:rPr>
          <w:rFonts w:hint="eastAsia" w:ascii="宋体" w:hAnsi="宋体" w:eastAsia="宋体" w:cs="宋体"/>
          <w:color w:val="auto"/>
          <w:sz w:val="24"/>
          <w:szCs w:val="24"/>
          <w:highlight w:val="none"/>
        </w:rPr>
      </w:pPr>
    </w:p>
    <w:p w14:paraId="00181BE3">
      <w:pPr>
        <w:pStyle w:val="5"/>
        <w:pageBreakBefore w:val="0"/>
        <w:kinsoku/>
        <w:overflowPunct/>
        <w:topLinePunct w:val="0"/>
        <w:bidi w:val="0"/>
        <w:spacing w:line="400" w:lineRule="exact"/>
        <w:ind w:firstLine="998" w:firstLineChars="41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p>
    <w:p w14:paraId="79431A61">
      <w:pPr>
        <w:pStyle w:val="5"/>
        <w:pageBreakBefore w:val="0"/>
        <w:kinsoku/>
        <w:overflowPunct/>
        <w:topLinePunct w:val="0"/>
        <w:bidi w:val="0"/>
        <w:spacing w:line="400" w:lineRule="exact"/>
        <w:ind w:firstLine="1668" w:firstLineChars="695"/>
        <w:rPr>
          <w:rFonts w:hint="eastAsia" w:ascii="宋体" w:hAnsi="宋体" w:eastAsia="宋体" w:cs="宋体"/>
          <w:color w:val="auto"/>
          <w:sz w:val="24"/>
          <w:szCs w:val="24"/>
          <w:highlight w:val="none"/>
        </w:rPr>
      </w:pPr>
    </w:p>
    <w:p w14:paraId="0640A7A6">
      <w:pPr>
        <w:pStyle w:val="5"/>
        <w:pageBreakBefore w:val="0"/>
        <w:kinsoku/>
        <w:overflowPunct/>
        <w:topLinePunct w:val="0"/>
        <w:bidi w:val="0"/>
        <w:spacing w:line="400" w:lineRule="exact"/>
        <w:ind w:firstLine="998" w:firstLineChars="41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地址：</w:t>
      </w:r>
    </w:p>
    <w:p w14:paraId="2AE0E257">
      <w:pPr>
        <w:pStyle w:val="5"/>
        <w:pageBreakBefore w:val="0"/>
        <w:kinsoku/>
        <w:overflowPunct/>
        <w:topLinePunct w:val="0"/>
        <w:bidi w:val="0"/>
        <w:spacing w:line="400" w:lineRule="exact"/>
        <w:ind w:firstLine="998" w:firstLineChars="416"/>
        <w:rPr>
          <w:rFonts w:hint="eastAsia" w:ascii="宋体" w:hAnsi="宋体" w:eastAsia="宋体" w:cs="宋体"/>
          <w:color w:val="auto"/>
          <w:sz w:val="24"/>
          <w:szCs w:val="24"/>
          <w:highlight w:val="none"/>
        </w:rPr>
      </w:pPr>
    </w:p>
    <w:p w14:paraId="6C66343D">
      <w:pPr>
        <w:pStyle w:val="5"/>
        <w:pageBreakBefore w:val="0"/>
        <w:kinsoku/>
        <w:overflowPunct/>
        <w:topLinePunct w:val="0"/>
        <w:bidi w:val="0"/>
        <w:spacing w:line="400" w:lineRule="exact"/>
        <w:ind w:firstLine="998" w:firstLineChars="4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负责人或委托代理人（签字或盖章）：</w:t>
      </w:r>
    </w:p>
    <w:p w14:paraId="796B5138">
      <w:pPr>
        <w:pStyle w:val="5"/>
        <w:pageBreakBefore w:val="0"/>
        <w:kinsoku/>
        <w:overflowPunct/>
        <w:topLinePunct w:val="0"/>
        <w:bidi w:val="0"/>
        <w:spacing w:line="400" w:lineRule="exact"/>
        <w:ind w:firstLine="0"/>
        <w:rPr>
          <w:rFonts w:hint="eastAsia" w:ascii="宋体" w:hAnsi="宋体" w:eastAsia="宋体" w:cs="宋体"/>
          <w:color w:val="auto"/>
          <w:sz w:val="24"/>
          <w:szCs w:val="24"/>
          <w:highlight w:val="none"/>
        </w:rPr>
      </w:pPr>
    </w:p>
    <w:p w14:paraId="17259D48">
      <w:pPr>
        <w:pStyle w:val="5"/>
        <w:pageBreakBefore w:val="0"/>
        <w:kinsoku/>
        <w:overflowPunct/>
        <w:topLinePunct w:val="0"/>
        <w:bidi w:val="0"/>
        <w:spacing w:line="400" w:lineRule="exact"/>
        <w:ind w:firstLine="960" w:firstLineChars="4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时间：在  年  月  日  时  分之前不得启封</w:t>
      </w:r>
    </w:p>
    <w:p w14:paraId="083F7BD9">
      <w:pPr>
        <w:pageBreakBefore w:val="0"/>
        <w:tabs>
          <w:tab w:val="left" w:pos="2355"/>
          <w:tab w:val="center" w:pos="4513"/>
        </w:tabs>
        <w:kinsoku/>
        <w:overflowPunct/>
        <w:topLinePunct w:val="0"/>
        <w:bidi w:val="0"/>
        <w:spacing w:line="400" w:lineRule="exact"/>
        <w:rPr>
          <w:rFonts w:hint="eastAsia" w:ascii="宋体" w:hAnsi="宋体" w:eastAsia="宋体" w:cs="宋体"/>
          <w:color w:val="auto"/>
          <w:sz w:val="21"/>
          <w:szCs w:val="21"/>
          <w:highlight w:val="none"/>
        </w:rPr>
      </w:pPr>
    </w:p>
    <w:p w14:paraId="4DAB369E">
      <w:pPr>
        <w:keepNext w:val="0"/>
        <w:keepLines w:val="0"/>
        <w:pageBreakBefore w:val="0"/>
        <w:kinsoku/>
        <w:overflowPunct/>
        <w:topLinePunct w:val="0"/>
        <w:bidi w:val="0"/>
        <w:spacing w:line="400" w:lineRule="exact"/>
        <w:ind w:firstLine="2184" w:firstLineChars="104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p>
    <w:p w14:paraId="51C2972D">
      <w:pPr>
        <w:pStyle w:val="3"/>
        <w:keepNext w:val="0"/>
        <w:keepLines w:val="0"/>
        <w:pageBreakBefore w:val="0"/>
        <w:kinsoku/>
        <w:overflowPunct/>
        <w:topLinePunct w:val="0"/>
        <w:bidi w:val="0"/>
        <w:spacing w:line="400" w:lineRule="exact"/>
        <w:jc w:val="center"/>
        <w:outlineLvl w:val="1"/>
        <w:rPr>
          <w:rFonts w:hint="eastAsia" w:ascii="宋体" w:hAnsi="宋体" w:eastAsia="宋体" w:cs="宋体"/>
          <w:b w:val="0"/>
          <w:bCs/>
          <w:color w:val="auto"/>
          <w:sz w:val="21"/>
          <w:szCs w:val="21"/>
          <w:highlight w:val="none"/>
        </w:rPr>
      </w:pPr>
      <w:bookmarkStart w:id="93" w:name="_Toc10946"/>
      <w:r>
        <w:rPr>
          <w:rFonts w:hint="eastAsia" w:ascii="宋体" w:hAnsi="宋体" w:eastAsia="宋体" w:cs="宋体"/>
          <w:b/>
          <w:bCs w:val="0"/>
          <w:color w:val="auto"/>
          <w:sz w:val="24"/>
          <w:szCs w:val="24"/>
          <w:highlight w:val="none"/>
        </w:rPr>
        <w:t>一   资格审查文件格式</w:t>
      </w:r>
      <w:bookmarkEnd w:id="91"/>
      <w:bookmarkEnd w:id="92"/>
      <w:bookmarkEnd w:id="93"/>
    </w:p>
    <w:p w14:paraId="25AFE999">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p>
    <w:p w14:paraId="5468573D">
      <w:pPr>
        <w:pStyle w:val="5"/>
        <w:pageBreakBefore w:val="0"/>
        <w:kinsoku/>
        <w:overflowPunct/>
        <w:topLinePunct w:val="0"/>
        <w:bidi w:val="0"/>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▲1、公司有效营业执照</w:t>
      </w:r>
    </w:p>
    <w:p w14:paraId="6CE5D203">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供应商应</w:t>
      </w:r>
      <w:r>
        <w:rPr>
          <w:rFonts w:hint="eastAsia" w:ascii="宋体" w:hAnsi="宋体" w:cs="宋体"/>
          <w:b w:val="0"/>
          <w:bCs w:val="0"/>
          <w:color w:val="auto"/>
          <w:sz w:val="21"/>
          <w:szCs w:val="21"/>
          <w:highlight w:val="none"/>
          <w:u w:val="none"/>
          <w:lang w:val="en-US" w:eastAsia="zh-CN"/>
        </w:rPr>
        <w:t>具有有效的道路运输经营许可证</w:t>
      </w:r>
    </w:p>
    <w:p w14:paraId="3A8885BE">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、授权委托书</w:t>
      </w:r>
    </w:p>
    <w:p w14:paraId="15C995B3">
      <w:pPr>
        <w:pStyle w:val="5"/>
        <w:pageBreakBefore w:val="0"/>
        <w:kinsoku/>
        <w:overflowPunct/>
        <w:topLinePunct w:val="0"/>
        <w:bidi w:val="0"/>
        <w:spacing w:line="400" w:lineRule="exact"/>
        <w:ind w:right="630" w:rightChars="3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、资格声明</w:t>
      </w:r>
    </w:p>
    <w:p w14:paraId="669A83DB">
      <w:pPr>
        <w:pStyle w:val="5"/>
        <w:pageBreakBefore w:val="0"/>
        <w:kinsoku/>
        <w:overflowPunct/>
        <w:topLinePunct w:val="0"/>
        <w:bidi w:val="0"/>
        <w:spacing w:line="400" w:lineRule="exact"/>
        <w:ind w:right="630" w:rightChars="3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b/>
          <w:bCs/>
          <w:color w:val="auto"/>
          <w:szCs w:val="21"/>
          <w:highlight w:val="none"/>
          <w:lang w:val="en-US" w:eastAsia="zh-CN"/>
        </w:rPr>
        <w:t>5、</w:t>
      </w:r>
      <w:r>
        <w:rPr>
          <w:rFonts w:hint="eastAsia" w:ascii="宋体" w:hAnsi="宋体" w:cs="宋体"/>
          <w:b w:val="0"/>
          <w:bCs w:val="0"/>
          <w:color w:val="auto"/>
          <w:szCs w:val="21"/>
          <w:highlight w:val="none"/>
        </w:rPr>
        <w:t>具有良好的财务会计制度、依法缴纳税收和社会保障资金的承诺函</w:t>
      </w:r>
    </w:p>
    <w:p w14:paraId="52B22BA3">
      <w:pPr>
        <w:pStyle w:val="5"/>
        <w:pageBreakBefore w:val="0"/>
        <w:kinsoku/>
        <w:overflowPunct/>
        <w:topLinePunct w:val="0"/>
        <w:bidi w:val="0"/>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、无重大违法记录声明书</w:t>
      </w:r>
    </w:p>
    <w:p w14:paraId="4C914D29">
      <w:pPr>
        <w:pStyle w:val="5"/>
        <w:pageBreakBefore w:val="0"/>
        <w:kinsoku/>
        <w:overflowPunct/>
        <w:topLinePunct w:val="0"/>
        <w:bidi w:val="0"/>
        <w:spacing w:line="400" w:lineRule="exact"/>
        <w:ind w:left="0" w:leftChars="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、具有履行合同所必需设备和专业技术能力的承诺函</w:t>
      </w:r>
    </w:p>
    <w:p w14:paraId="03CABFA2">
      <w:pPr>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5D77944">
      <w:pPr>
        <w:pageBreakBefore w:val="0"/>
        <w:kinsoku/>
        <w:overflowPunct/>
        <w:topLinePunct w:val="0"/>
        <w:bidi w:val="0"/>
        <w:spacing w:line="400" w:lineRule="exact"/>
        <w:jc w:val="center"/>
        <w:outlineLvl w:val="2"/>
        <w:rPr>
          <w:rFonts w:hint="eastAsia" w:ascii="宋体" w:hAnsi="宋体" w:eastAsia="宋体" w:cs="宋体"/>
          <w:b/>
          <w:bCs/>
          <w:color w:val="auto"/>
          <w:sz w:val="24"/>
          <w:szCs w:val="24"/>
          <w:highlight w:val="none"/>
        </w:rPr>
      </w:pPr>
      <w:bookmarkStart w:id="94" w:name="_Toc10741"/>
      <w:r>
        <w:rPr>
          <w:rFonts w:hint="eastAsia" w:ascii="宋体" w:hAnsi="宋体" w:eastAsia="宋体" w:cs="宋体"/>
          <w:b/>
          <w:bCs/>
          <w:color w:val="auto"/>
          <w:sz w:val="24"/>
          <w:szCs w:val="24"/>
          <w:highlight w:val="none"/>
        </w:rPr>
        <w:t>▲1、公司有效营业执照</w:t>
      </w:r>
      <w:bookmarkEnd w:id="94"/>
    </w:p>
    <w:p w14:paraId="1B9FD8A6">
      <w:pPr>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p w14:paraId="7ABBEFC9">
      <w:pPr>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1.提供有效的营业执照复印件；</w:t>
      </w:r>
    </w:p>
    <w:p w14:paraId="4313BA2D">
      <w:pPr>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注：以上复印件须加盖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章。</w:t>
      </w:r>
    </w:p>
    <w:p w14:paraId="0DD70C82">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6F82CC49">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6697704C">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02D563E2">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60205D76">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44A9749C">
      <w:pPr>
        <w:outlineLvl w:val="9"/>
        <w:rPr>
          <w:rFonts w:hint="eastAsia" w:ascii="宋体" w:hAnsi="宋体" w:eastAsia="宋体" w:cs="宋体"/>
          <w:color w:val="auto"/>
          <w:sz w:val="21"/>
          <w:szCs w:val="21"/>
          <w:highlight w:val="none"/>
        </w:rPr>
      </w:pPr>
    </w:p>
    <w:p w14:paraId="3CF2CB97">
      <w:pPr>
        <w:rPr>
          <w:rFonts w:hint="eastAsia"/>
          <w:color w:val="auto"/>
          <w:highlight w:val="none"/>
        </w:rPr>
      </w:pPr>
    </w:p>
    <w:p w14:paraId="0EAF629B">
      <w:pPr>
        <w:pageBreakBefore w:val="0"/>
        <w:kinsoku/>
        <w:overflowPunct/>
        <w:topLinePunct w:val="0"/>
        <w:bidi w:val="0"/>
        <w:spacing w:line="400" w:lineRule="exact"/>
        <w:ind w:firstLine="3373" w:firstLineChars="1400"/>
        <w:outlineLvl w:val="2"/>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4"/>
          <w:szCs w:val="24"/>
          <w:highlight w:val="none"/>
        </w:rPr>
        <w:t>▲2、特定资格要求</w:t>
      </w:r>
    </w:p>
    <w:p w14:paraId="504E19B3">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5052F1A5">
      <w:pPr>
        <w:pageBreakBefore w:val="0"/>
        <w:kinsoku/>
        <w:overflowPunct/>
        <w:topLinePunct w:val="0"/>
        <w:bidi w:val="0"/>
        <w:spacing w:line="400" w:lineRule="exac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要求：</w:t>
      </w:r>
    </w:p>
    <w:p w14:paraId="3C0A654F">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1、提供供应商应为</w:t>
      </w:r>
      <w:r>
        <w:rPr>
          <w:rFonts w:hint="eastAsia" w:ascii="宋体" w:hAnsi="宋体" w:cs="宋体"/>
          <w:b w:val="0"/>
          <w:bCs w:val="0"/>
          <w:color w:val="auto"/>
          <w:sz w:val="21"/>
          <w:szCs w:val="21"/>
          <w:highlight w:val="none"/>
          <w:u w:val="none"/>
          <w:lang w:val="en-US" w:eastAsia="zh-CN"/>
        </w:rPr>
        <w:t>具有有效的特定资格证</w:t>
      </w:r>
      <w:r>
        <w:rPr>
          <w:rFonts w:hint="eastAsia" w:ascii="宋体" w:hAnsi="宋体" w:eastAsia="宋体" w:cs="宋体"/>
          <w:color w:val="auto"/>
          <w:sz w:val="21"/>
          <w:szCs w:val="21"/>
          <w:highlight w:val="none"/>
        </w:rPr>
        <w:t>复印件；</w:t>
      </w:r>
    </w:p>
    <w:p w14:paraId="58190429">
      <w:pPr>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注：以上复印件须加盖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章。</w:t>
      </w:r>
    </w:p>
    <w:p w14:paraId="5337EC7D">
      <w:pPr>
        <w:pageBreakBefore w:val="0"/>
        <w:kinsoku/>
        <w:overflowPunct/>
        <w:topLinePunct w:val="0"/>
        <w:bidi w:val="0"/>
        <w:spacing w:line="400" w:lineRule="exact"/>
        <w:jc w:val="center"/>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95" w:name="_Toc18660"/>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、授权委托书</w:t>
      </w:r>
      <w:bookmarkEnd w:id="95"/>
    </w:p>
    <w:p w14:paraId="2E6257DB">
      <w:pPr>
        <w:pStyle w:val="35"/>
        <w:pageBreakBefore w:val="0"/>
        <w:kinsoku/>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u w:val="single"/>
          <w:lang w:eastAsia="zh-CN"/>
        </w:rPr>
        <w:t>云和县农村集体经济发展有限公司</w:t>
      </w:r>
      <w:r>
        <w:rPr>
          <w:rFonts w:hint="eastAsia" w:ascii="宋体" w:hAnsi="宋体" w:eastAsia="宋体" w:cs="宋体"/>
          <w:color w:val="auto"/>
          <w:sz w:val="21"/>
          <w:szCs w:val="21"/>
          <w:highlight w:val="none"/>
        </w:rPr>
        <w:t>：</w:t>
      </w:r>
    </w:p>
    <w:p w14:paraId="33BB3A5A">
      <w:pPr>
        <w:pStyle w:val="35"/>
        <w:pageBreakBefore w:val="0"/>
        <w:kinsoku/>
        <w:overflowPunct/>
        <w:topLinePunct w:val="0"/>
        <w:autoSpaceDE w:val="0"/>
        <w:autoSpaceDN w:val="0"/>
        <w:bidi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负责人姓名）系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全称）的负责人，现授权委托本单位</w:t>
      </w:r>
      <w:r>
        <w:rPr>
          <w:rFonts w:hint="eastAsia" w:ascii="宋体" w:hAnsi="宋体" w:eastAsia="宋体" w:cs="宋体"/>
          <w:b/>
          <w:color w:val="auto"/>
          <w:sz w:val="21"/>
          <w:szCs w:val="21"/>
          <w:highlight w:val="none"/>
        </w:rPr>
        <w:t>在职职工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（姓名）以我方的名义参加就贵方组织的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云和县病死动物集中无害化处理中心采购项目</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的投标活动，并代表我方全权办理针对上述项目的投标、开标、评审、签约等具体事务和签署相关文件。</w:t>
      </w:r>
    </w:p>
    <w:p w14:paraId="1A1C93BD">
      <w:pPr>
        <w:pStyle w:val="35"/>
        <w:pageBreakBefore w:val="0"/>
        <w:kinsoku/>
        <w:overflowPunct/>
        <w:topLinePunct w:val="0"/>
        <w:autoSpaceDE w:val="0"/>
        <w:autoSpaceDN w:val="0"/>
        <w:bidi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我方对委托代理人的签字或盖章事项负全部责任。</w:t>
      </w:r>
    </w:p>
    <w:p w14:paraId="517AAA25">
      <w:pPr>
        <w:pStyle w:val="35"/>
        <w:pageBreakBefore w:val="0"/>
        <w:kinsoku/>
        <w:overflowPunct/>
        <w:topLinePunct w:val="0"/>
        <w:bidi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本授权书自签署之日起生效，在撤销授权的书面通知送达贵方以前，本授权委托书一直有效。委托代理人在授权书有效期内签署的所有文件不因授权的撤销而失效。</w:t>
      </w:r>
    </w:p>
    <w:p w14:paraId="4306EE65">
      <w:pPr>
        <w:pStyle w:val="35"/>
        <w:pageBreakBefore w:val="0"/>
        <w:kinsoku/>
        <w:overflowPunct/>
        <w:topLinePunct w:val="0"/>
        <w:bidi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委托代理人无转委托权，特此声明。</w:t>
      </w:r>
    </w:p>
    <w:p w14:paraId="7530FEF9">
      <w:pPr>
        <w:pStyle w:val="35"/>
        <w:pageBreakBefore w:val="0"/>
        <w:kinsoku/>
        <w:overflowPunct/>
        <w:topLinePunct w:val="0"/>
        <w:bidi w:val="0"/>
        <w:spacing w:line="400" w:lineRule="exact"/>
        <w:ind w:firstLine="480"/>
        <w:rPr>
          <w:rFonts w:hint="eastAsia" w:ascii="宋体" w:hAnsi="宋体" w:eastAsia="宋体" w:cs="宋体"/>
          <w:color w:val="auto"/>
          <w:sz w:val="21"/>
          <w:szCs w:val="21"/>
          <w:highlight w:val="none"/>
        </w:rPr>
      </w:pPr>
    </w:p>
    <w:p w14:paraId="4FD548F1">
      <w:pPr>
        <w:pStyle w:val="35"/>
        <w:pageBreakBefore w:val="0"/>
        <w:kinsoku/>
        <w:overflowPunct/>
        <w:topLinePunct w:val="0"/>
        <w:bidi w:val="0"/>
        <w:spacing w:line="400" w:lineRule="exact"/>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8B68996">
      <w:pPr>
        <w:pStyle w:val="35"/>
        <w:pageBreakBefore w:val="0"/>
        <w:kinsoku/>
        <w:overflowPunct/>
        <w:topLinePunct w:val="0"/>
        <w:bidi w:val="0"/>
        <w:spacing w:line="400" w:lineRule="exact"/>
        <w:ind w:firstLine="3360" w:firstLineChars="1600"/>
        <w:rPr>
          <w:rFonts w:hint="eastAsia" w:ascii="宋体" w:hAnsi="宋体" w:eastAsia="宋体" w:cs="宋体"/>
          <w:color w:val="auto"/>
          <w:sz w:val="21"/>
          <w:szCs w:val="21"/>
          <w:highlight w:val="none"/>
        </w:rPr>
      </w:pPr>
    </w:p>
    <w:p w14:paraId="09C328FE">
      <w:pPr>
        <w:pStyle w:val="35"/>
        <w:pageBreakBefore w:val="0"/>
        <w:kinsoku/>
        <w:overflowPunct/>
        <w:topLinePunct w:val="0"/>
        <w:bidi w:val="0"/>
        <w:spacing w:line="400" w:lineRule="exact"/>
        <w:ind w:firstLine="3360" w:firstLineChars="1600"/>
        <w:rPr>
          <w:rFonts w:hint="eastAsia" w:ascii="宋体" w:hAnsi="宋体" w:eastAsia="宋体" w:cs="宋体"/>
          <w:color w:val="auto"/>
          <w:sz w:val="21"/>
          <w:szCs w:val="21"/>
          <w:highlight w:val="none"/>
        </w:rPr>
      </w:pPr>
    </w:p>
    <w:p w14:paraId="12481019">
      <w:pPr>
        <w:pStyle w:val="35"/>
        <w:pageBreakBefore w:val="0"/>
        <w:kinsoku/>
        <w:overflowPunct/>
        <w:topLinePunct w:val="0"/>
        <w:bidi w:val="0"/>
        <w:spacing w:line="400" w:lineRule="exact"/>
        <w:ind w:firstLine="3465" w:firstLineChars="1650"/>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0"/>
          <w:sz w:val="21"/>
          <w:szCs w:val="21"/>
          <w:highlight w:val="none"/>
        </w:rPr>
        <w:t>负责人签字或盖章：</w:t>
      </w:r>
      <w:r>
        <w:rPr>
          <w:rFonts w:hint="eastAsia" w:ascii="宋体" w:hAnsi="宋体" w:eastAsia="宋体" w:cs="宋体"/>
          <w:color w:val="auto"/>
          <w:spacing w:val="20"/>
          <w:sz w:val="21"/>
          <w:szCs w:val="21"/>
          <w:highlight w:val="none"/>
          <w:u w:val="single"/>
        </w:rPr>
        <w:t xml:space="preserve">          </w:t>
      </w:r>
    </w:p>
    <w:p w14:paraId="7DC3606F">
      <w:pPr>
        <w:pStyle w:val="35"/>
        <w:pageBreakBefore w:val="0"/>
        <w:kinsoku/>
        <w:overflowPunct/>
        <w:topLinePunct w:val="0"/>
        <w:bidi w:val="0"/>
        <w:spacing w:line="400" w:lineRule="exact"/>
        <w:ind w:firstLine="4375" w:firstLineChars="1750"/>
        <w:rPr>
          <w:rFonts w:hint="eastAsia" w:ascii="宋体" w:hAnsi="宋体" w:eastAsia="宋体" w:cs="宋体"/>
          <w:color w:val="auto"/>
          <w:spacing w:val="20"/>
          <w:sz w:val="21"/>
          <w:szCs w:val="21"/>
          <w:highlight w:val="none"/>
          <w:u w:val="single"/>
        </w:rPr>
      </w:pPr>
      <w:r>
        <w:rPr>
          <w:rFonts w:hint="eastAsia" w:ascii="宋体" w:hAnsi="宋体" w:cs="宋体"/>
          <w:color w:val="auto"/>
          <w:spacing w:val="20"/>
          <w:sz w:val="21"/>
          <w:szCs w:val="21"/>
          <w:highlight w:val="none"/>
          <w:lang w:eastAsia="zh-CN"/>
        </w:rPr>
        <w:t>供应商</w:t>
      </w:r>
      <w:r>
        <w:rPr>
          <w:rFonts w:hint="eastAsia" w:ascii="宋体" w:hAnsi="宋体" w:eastAsia="宋体" w:cs="宋体"/>
          <w:color w:val="auto"/>
          <w:spacing w:val="20"/>
          <w:sz w:val="21"/>
          <w:szCs w:val="21"/>
          <w:highlight w:val="none"/>
        </w:rPr>
        <w:t>盖章：</w:t>
      </w:r>
      <w:r>
        <w:rPr>
          <w:rFonts w:hint="eastAsia" w:ascii="宋体" w:hAnsi="宋体" w:eastAsia="宋体" w:cs="宋体"/>
          <w:color w:val="auto"/>
          <w:spacing w:val="20"/>
          <w:sz w:val="21"/>
          <w:szCs w:val="21"/>
          <w:highlight w:val="none"/>
          <w:u w:val="single"/>
        </w:rPr>
        <w:t xml:space="preserve">          </w:t>
      </w:r>
    </w:p>
    <w:p w14:paraId="026DF51C">
      <w:pPr>
        <w:pStyle w:val="35"/>
        <w:pageBreakBefore w:val="0"/>
        <w:kinsoku/>
        <w:overflowPunct/>
        <w:topLinePunct w:val="0"/>
        <w:bidi w:val="0"/>
        <w:spacing w:line="400" w:lineRule="exact"/>
        <w:ind w:firstLine="4500" w:firstLineChars="1800"/>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p>
    <w:p w14:paraId="3DC4D84E">
      <w:pPr>
        <w:pStyle w:val="35"/>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_____________________________________________________________________</w:t>
      </w:r>
    </w:p>
    <w:p w14:paraId="758C584B">
      <w:pPr>
        <w:pStyle w:val="35"/>
        <w:pageBreakBefore w:val="0"/>
        <w:kinsoku/>
        <w:overflowPunct/>
        <w:topLinePunct w:val="0"/>
        <w:bidi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附：1、委托代理人工作单位：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职务： </w:t>
      </w:r>
    </w:p>
    <w:p w14:paraId="576E3152">
      <w:pPr>
        <w:pStyle w:val="35"/>
        <w:pageBreakBefore w:val="0"/>
        <w:kinsoku/>
        <w:overflowPunct/>
        <w:topLinePunct w:val="0"/>
        <w:bidi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身份证号码：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性别：　    </w:t>
      </w:r>
    </w:p>
    <w:p w14:paraId="6ACD613A">
      <w:pPr>
        <w:pStyle w:val="35"/>
        <w:pageBreakBefore w:val="0"/>
        <w:kinsoku/>
        <w:overflowPunct/>
        <w:topLinePunct w:val="0"/>
        <w:bidi w:val="0"/>
        <w:spacing w:line="400" w:lineRule="exact"/>
        <w:ind w:firstLine="420"/>
        <w:rPr>
          <w:rFonts w:hint="eastAsia" w:ascii="宋体" w:hAnsi="宋体" w:eastAsia="宋体" w:cs="宋体"/>
          <w:b/>
          <w:color w:val="auto"/>
          <w:sz w:val="21"/>
          <w:szCs w:val="21"/>
          <w:highlight w:val="none"/>
        </w:rPr>
      </w:pPr>
    </w:p>
    <w:p w14:paraId="51553B05">
      <w:pPr>
        <w:pStyle w:val="35"/>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为法人企业的，其负责人为其法定代表人；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为其他组织的，其负责人为法律、行政法规规定代表单位行使职权的主要负责人；。</w:t>
      </w:r>
    </w:p>
    <w:p w14:paraId="29C379AC">
      <w:pPr>
        <w:pStyle w:val="35"/>
        <w:pageBreakBefore w:val="0"/>
        <w:kinsoku/>
        <w:overflowPunct/>
        <w:topLinePunct w:val="0"/>
        <w:bidi w:val="0"/>
        <w:spacing w:line="400" w:lineRule="exact"/>
        <w:ind w:firstLine="787" w:firstLineChars="3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2、委托人为上述条款中的负责人。</w:t>
      </w:r>
    </w:p>
    <w:p w14:paraId="1E72A74E">
      <w:pPr>
        <w:pStyle w:val="35"/>
        <w:pageBreakBefore w:val="0"/>
        <w:kinsoku/>
        <w:overflowPunct/>
        <w:topLinePunct w:val="0"/>
        <w:bidi w:val="0"/>
        <w:spacing w:line="400" w:lineRule="exact"/>
        <w:ind w:firstLine="787" w:firstLineChars="3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3、本“授权委托书”需附负责人和委托代理人身份证件扫描件（或复印件），如扫描件（或复印件）不清晰或错误的，后果由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w:t>
      </w:r>
      <w:r>
        <w:rPr>
          <w:rFonts w:hint="eastAsia" w:ascii="宋体" w:hAnsi="宋体" w:eastAsia="宋体" w:cs="宋体"/>
          <w:b/>
          <w:color w:val="auto"/>
          <w:sz w:val="21"/>
          <w:szCs w:val="21"/>
          <w:highlight w:val="none"/>
        </w:rPr>
        <w:t>负责人参加投标的，提供负责人身份证原件核对，委托代理人参加投标的，提供委托代理人身份证原件核对。</w:t>
      </w:r>
    </w:p>
    <w:p w14:paraId="7DEF7D70">
      <w:pPr>
        <w:pStyle w:val="36"/>
        <w:pageBreakBefore w:val="0"/>
        <w:kinsoku/>
        <w:overflowPunct/>
        <w:topLinePunct w:val="0"/>
        <w:bidi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Cs/>
          <w:color w:val="auto"/>
          <w:sz w:val="21"/>
          <w:szCs w:val="21"/>
          <w:highlight w:val="none"/>
        </w:rPr>
        <w:t>负责人身份证件扫描件：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0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4487CB">
            <w:pPr>
              <w:pStyle w:val="36"/>
              <w:pageBreakBefore w:val="0"/>
              <w:kinsoku/>
              <w:overflowPunct/>
              <w:topLinePunct w:val="0"/>
              <w:bidi w:val="0"/>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1CC73F44">
            <w:pPr>
              <w:pStyle w:val="36"/>
              <w:pageBreakBefore w:val="0"/>
              <w:kinsoku/>
              <w:overflowPunct/>
              <w:topLinePunct w:val="0"/>
              <w:bidi w:val="0"/>
              <w:spacing w:line="400" w:lineRule="exact"/>
              <w:rPr>
                <w:rFonts w:hint="eastAsia" w:ascii="宋体" w:hAnsi="宋体" w:eastAsia="宋体" w:cs="宋体"/>
                <w:bCs/>
                <w:color w:val="auto"/>
                <w:sz w:val="21"/>
                <w:szCs w:val="21"/>
                <w:highlight w:val="none"/>
              </w:rPr>
            </w:pPr>
          </w:p>
        </w:tc>
      </w:tr>
    </w:tbl>
    <w:p w14:paraId="2C24D7C5">
      <w:pPr>
        <w:pStyle w:val="36"/>
        <w:pageBreakBefore w:val="0"/>
        <w:kinsoku/>
        <w:overflowPunct/>
        <w:topLinePunct w:val="0"/>
        <w:bidi w:val="0"/>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委托代理人身份证件扫描件：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B1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A9AF91">
            <w:pPr>
              <w:pStyle w:val="36"/>
              <w:pageBreakBefore w:val="0"/>
              <w:kinsoku/>
              <w:overflowPunct/>
              <w:topLinePunct w:val="0"/>
              <w:bidi w:val="0"/>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6187EDFB">
            <w:pPr>
              <w:pStyle w:val="36"/>
              <w:pageBreakBefore w:val="0"/>
              <w:kinsoku/>
              <w:overflowPunct/>
              <w:topLinePunct w:val="0"/>
              <w:bidi w:val="0"/>
              <w:spacing w:line="400" w:lineRule="exact"/>
              <w:rPr>
                <w:rFonts w:hint="eastAsia" w:ascii="宋体" w:hAnsi="宋体" w:eastAsia="宋体" w:cs="宋体"/>
                <w:bCs/>
                <w:color w:val="auto"/>
                <w:sz w:val="21"/>
                <w:szCs w:val="21"/>
                <w:highlight w:val="none"/>
              </w:rPr>
            </w:pPr>
          </w:p>
        </w:tc>
      </w:tr>
    </w:tbl>
    <w:p w14:paraId="58212346">
      <w:pPr>
        <w:pStyle w:val="36"/>
        <w:pageBreakBefore w:val="0"/>
        <w:kinsoku/>
        <w:overflowPunct/>
        <w:topLinePunct w:val="0"/>
        <w:bidi w:val="0"/>
        <w:spacing w:line="400" w:lineRule="exact"/>
        <w:ind w:firstLine="4000" w:firstLineChars="1600"/>
        <w:rPr>
          <w:rFonts w:hint="eastAsia" w:ascii="宋体" w:hAnsi="宋体" w:eastAsia="宋体" w:cs="宋体"/>
          <w:color w:val="auto"/>
          <w:spacing w:val="20"/>
          <w:sz w:val="21"/>
          <w:szCs w:val="21"/>
          <w:highlight w:val="none"/>
        </w:rPr>
        <w:sectPr>
          <w:pgSz w:w="11906" w:h="16838"/>
          <w:pgMar w:top="1185" w:right="1151" w:bottom="1157" w:left="1185" w:header="851" w:footer="992" w:gutter="0"/>
          <w:pgNumType w:fmt="decimal"/>
          <w:cols w:space="425" w:num="1"/>
          <w:titlePg/>
          <w:docGrid w:type="lines" w:linePitch="312" w:charSpace="0"/>
        </w:sectPr>
      </w:pPr>
    </w:p>
    <w:p w14:paraId="6C258077">
      <w:pPr>
        <w:pageBreakBefore w:val="0"/>
        <w:kinsoku/>
        <w:overflowPunct/>
        <w:topLinePunct w:val="0"/>
        <w:bidi w:val="0"/>
        <w:spacing w:line="400" w:lineRule="exact"/>
        <w:jc w:val="center"/>
        <w:outlineLvl w:val="2"/>
        <w:rPr>
          <w:rFonts w:hint="eastAsia" w:ascii="宋体" w:hAnsi="宋体" w:eastAsia="宋体" w:cs="宋体"/>
          <w:color w:val="auto"/>
          <w:sz w:val="24"/>
          <w:szCs w:val="24"/>
          <w:highlight w:val="none"/>
        </w:rPr>
      </w:pPr>
      <w:bookmarkStart w:id="96" w:name="_Toc9964"/>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、资格声明</w:t>
      </w:r>
      <w:bookmarkEnd w:id="96"/>
    </w:p>
    <w:p w14:paraId="205B0EC5">
      <w:pPr>
        <w:pStyle w:val="35"/>
        <w:pageBreakBefore w:val="0"/>
        <w:kinsoku/>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u w:val="single"/>
          <w:lang w:eastAsia="zh-CN"/>
        </w:rPr>
        <w:t>云和县农村集体经济发展有限公司</w:t>
      </w:r>
      <w:r>
        <w:rPr>
          <w:rFonts w:hint="eastAsia" w:ascii="宋体" w:hAnsi="宋体" w:eastAsia="宋体" w:cs="宋体"/>
          <w:color w:val="auto"/>
          <w:sz w:val="21"/>
          <w:szCs w:val="21"/>
          <w:highlight w:val="none"/>
        </w:rPr>
        <w:t>：</w:t>
      </w:r>
    </w:p>
    <w:p w14:paraId="2BFE72CB">
      <w:pPr>
        <w:pStyle w:val="37"/>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全称)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2D347B3">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(法定代表人或负责人名字)</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为负责人，我方愿意参加贵方组织的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云和县病死动物集中无害化处理中心采购项目</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的投标。为便于贵方公正、择优地确定中标人以及投标产品和服务，我方就本次投标有关事项证明如下：</w:t>
      </w:r>
    </w:p>
    <w:p w14:paraId="617B9B88">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（一）名称及概况：</w:t>
      </w:r>
    </w:p>
    <w:p w14:paraId="2AAB31B9">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1．企业名称：________________________________________________ </w:t>
      </w:r>
    </w:p>
    <w:p w14:paraId="63544ED6">
      <w:pPr>
        <w:pStyle w:val="38"/>
        <w:pageBreakBefore w:val="0"/>
        <w:kinsoku/>
        <w:overflowPunct/>
        <w:topLinePunct w:val="0"/>
        <w:bidi w:val="0"/>
        <w:spacing w:line="400" w:lineRule="exact"/>
        <w:ind w:firstLine="42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银行开户名称：________________________________________________</w:t>
      </w:r>
    </w:p>
    <w:p w14:paraId="4EB7CAEA">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开户银行：_________________________________________________ </w:t>
      </w:r>
    </w:p>
    <w:p w14:paraId="5D0D8A81">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账    号：________________________________________________ </w:t>
      </w:r>
    </w:p>
    <w:p w14:paraId="2FDFF9E0">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企业详细地址：________________________________________________ </w:t>
      </w:r>
    </w:p>
    <w:p w14:paraId="2E0DDA16">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 ________________________________________________</w:t>
      </w:r>
    </w:p>
    <w:p w14:paraId="5EABB3B0">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    话： ________________________________________________</w:t>
      </w:r>
    </w:p>
    <w:p w14:paraId="041992E8">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2．负责人姓名：___________________________________________ </w:t>
      </w:r>
    </w:p>
    <w:p w14:paraId="0BFE045C">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3．项目联系人：姓名__________职务：______电话______手机______</w:t>
      </w:r>
    </w:p>
    <w:p w14:paraId="2A056FB1">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4．注册地址：________________________________________________</w:t>
      </w:r>
    </w:p>
    <w:p w14:paraId="5687C552">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5．注册资金：________________________________________________ </w:t>
      </w:r>
    </w:p>
    <w:p w14:paraId="7F55FF61">
      <w:pPr>
        <w:pStyle w:val="38"/>
        <w:pageBreakBefore w:val="0"/>
        <w:kinsoku/>
        <w:overflowPunct/>
        <w:topLinePunct w:val="0"/>
        <w:bidi w:val="0"/>
        <w:spacing w:line="400" w:lineRule="exact"/>
        <w:ind w:firstLine="7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自有资金：______________________________________________________</w:t>
      </w:r>
    </w:p>
    <w:p w14:paraId="360A18C8">
      <w:pPr>
        <w:pStyle w:val="38"/>
        <w:pageBreakBefore w:val="0"/>
        <w:kinsoku/>
        <w:overflowPunct/>
        <w:topLinePunct w:val="0"/>
        <w:bidi w:val="0"/>
        <w:spacing w:line="400" w:lineRule="exact"/>
        <w:ind w:firstLine="7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企业人数：_______</w:t>
      </w:r>
      <w:r>
        <w:rPr>
          <w:rFonts w:hint="eastAsia" w:ascii="宋体" w:hAnsi="宋体" w:eastAsia="宋体" w:cs="宋体"/>
          <w:b/>
          <w:bCs/>
          <w:color w:val="auto"/>
          <w:sz w:val="21"/>
          <w:szCs w:val="21"/>
          <w:highlight w:val="none"/>
        </w:rPr>
        <w:t>_</w:t>
      </w:r>
      <w:r>
        <w:rPr>
          <w:rFonts w:hint="eastAsia" w:ascii="宋体" w:hAnsi="宋体" w:eastAsia="宋体" w:cs="宋体"/>
          <w:color w:val="auto"/>
          <w:sz w:val="21"/>
          <w:szCs w:val="21"/>
          <w:highlight w:val="none"/>
        </w:rPr>
        <w:t>人</w:t>
      </w:r>
    </w:p>
    <w:p w14:paraId="69C85B21">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6．企业性质：____________股份有限公司 </w:t>
      </w:r>
    </w:p>
    <w:p w14:paraId="292C53C8">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7．主要经营地点：________________________________________________ </w:t>
      </w:r>
    </w:p>
    <w:p w14:paraId="4D8D468A">
      <w:pPr>
        <w:pStyle w:val="38"/>
        <w:pageBreakBefore w:val="0"/>
        <w:kinsoku/>
        <w:overflowPunct/>
        <w:topLinePunct w:val="0"/>
        <w:bidi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如有派出机构，请列出名称及详细通讯地址如下：</w:t>
      </w:r>
      <w:r>
        <w:rPr>
          <w:rFonts w:hint="eastAsia" w:ascii="宋体" w:hAnsi="宋体" w:eastAsia="宋体" w:cs="宋体"/>
          <w:color w:val="auto"/>
          <w:sz w:val="21"/>
          <w:szCs w:val="21"/>
          <w:highlight w:val="none"/>
          <w:u w:val="single"/>
        </w:rPr>
        <w:t xml:space="preserve">               </w:t>
      </w:r>
    </w:p>
    <w:p w14:paraId="498DB2F9">
      <w:pPr>
        <w:pStyle w:val="38"/>
        <w:pageBreakBefore w:val="0"/>
        <w:kinsoku/>
        <w:overflowPunct/>
        <w:topLinePunct w:val="0"/>
        <w:bidi w:val="0"/>
        <w:spacing w:line="400" w:lineRule="exact"/>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8.必需的设备：_______________________________________________</w:t>
      </w:r>
    </w:p>
    <w:p w14:paraId="3270DC20">
      <w:pPr>
        <w:pStyle w:val="38"/>
        <w:pageBreakBefore w:val="0"/>
        <w:kinsoku/>
        <w:overflowPunct/>
        <w:topLinePunct w:val="0"/>
        <w:bidi w:val="0"/>
        <w:spacing w:line="400" w:lineRule="exact"/>
        <w:ind w:firstLine="46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9.专业技术能力的证明材料：__________________________</w:t>
      </w:r>
    </w:p>
    <w:p w14:paraId="6771BC99">
      <w:pPr>
        <w:pStyle w:val="38"/>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兹证明上述声明是真实、正确的，并提供了全部能提供的资料和数据，我们同意遵照贵方要求出示有关证明文件。</w:t>
      </w:r>
    </w:p>
    <w:p w14:paraId="32EBF485">
      <w:pPr>
        <w:pStyle w:val="38"/>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p>
    <w:p w14:paraId="0B7B29A2">
      <w:pPr>
        <w:pStyle w:val="38"/>
        <w:spacing w:line="520" w:lineRule="exact"/>
        <w:ind w:firstLine="4125" w:firstLineChars="1650"/>
        <w:rPr>
          <w:rFonts w:hint="eastAsia" w:hAnsi="宋体"/>
          <w:color w:val="auto"/>
          <w:spacing w:val="20"/>
          <w:szCs w:val="21"/>
          <w:highlight w:val="none"/>
          <w:lang w:eastAsia="zh-CN"/>
        </w:rPr>
      </w:pPr>
      <w:r>
        <w:rPr>
          <w:rFonts w:hAnsi="宋体"/>
          <w:color w:val="auto"/>
          <w:spacing w:val="20"/>
          <w:szCs w:val="21"/>
          <w:highlight w:val="none"/>
        </w:rPr>
        <w:t>负责人</w:t>
      </w:r>
      <w:r>
        <w:rPr>
          <w:rFonts w:hint="eastAsia" w:hAnsi="宋体"/>
          <w:color w:val="auto"/>
          <w:spacing w:val="20"/>
          <w:szCs w:val="21"/>
          <w:highlight w:val="none"/>
        </w:rPr>
        <w:t>（</w:t>
      </w:r>
      <w:r>
        <w:rPr>
          <w:rFonts w:hAnsi="宋体"/>
          <w:color w:val="auto"/>
          <w:spacing w:val="20"/>
          <w:szCs w:val="21"/>
          <w:highlight w:val="none"/>
        </w:rPr>
        <w:t>或</w:t>
      </w:r>
      <w:r>
        <w:rPr>
          <w:rFonts w:hint="eastAsia" w:hAnsi="宋体"/>
          <w:color w:val="auto"/>
          <w:spacing w:val="20"/>
          <w:szCs w:val="21"/>
          <w:highlight w:val="none"/>
        </w:rPr>
        <w:t>委托代理人）签字或盖章</w:t>
      </w:r>
      <w:r>
        <w:rPr>
          <w:rFonts w:hint="eastAsia" w:hAnsi="宋体"/>
          <w:color w:val="auto"/>
          <w:spacing w:val="20"/>
          <w:szCs w:val="21"/>
          <w:highlight w:val="none"/>
          <w:lang w:eastAsia="zh-CN"/>
        </w:rPr>
        <w:t>：</w:t>
      </w:r>
      <w:r>
        <w:rPr>
          <w:rFonts w:hint="eastAsia" w:hAnsi="宋体"/>
          <w:color w:val="auto"/>
          <w:spacing w:val="20"/>
          <w:szCs w:val="21"/>
          <w:highlight w:val="none"/>
          <w:u w:val="single"/>
        </w:rPr>
        <w:t xml:space="preserve">            </w:t>
      </w:r>
    </w:p>
    <w:p w14:paraId="6A555A99">
      <w:pPr>
        <w:pStyle w:val="35"/>
        <w:wordWrap w:val="0"/>
        <w:spacing w:line="360" w:lineRule="auto"/>
        <w:ind w:firstLine="480"/>
        <w:jc w:val="right"/>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115D6A6">
      <w:pPr>
        <w:pStyle w:val="35"/>
        <w:wordWrap w:val="0"/>
        <w:spacing w:line="360" w:lineRule="auto"/>
        <w:ind w:firstLine="480"/>
        <w:jc w:val="right"/>
        <w:rPr>
          <w:rFonts w:ascii="宋体" w:hAnsi="宋体"/>
          <w:color w:val="auto"/>
          <w:szCs w:val="21"/>
          <w:highlight w:val="none"/>
          <w:u w:val="single"/>
        </w:r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11713D7">
      <w:pPr>
        <w:pStyle w:val="5"/>
        <w:pageBreakBefore w:val="0"/>
        <w:kinsoku/>
        <w:overflowPunct/>
        <w:topLinePunct w:val="0"/>
        <w:bidi w:val="0"/>
        <w:spacing w:line="400" w:lineRule="exact"/>
        <w:ind w:firstLine="0"/>
        <w:rPr>
          <w:rFonts w:hint="eastAsia" w:ascii="宋体" w:hAnsi="宋体" w:eastAsia="宋体" w:cs="宋体"/>
          <w:b/>
          <w:color w:val="auto"/>
          <w:sz w:val="21"/>
          <w:szCs w:val="21"/>
          <w:highlight w:val="none"/>
        </w:rPr>
      </w:pPr>
    </w:p>
    <w:p w14:paraId="75C5E4D9">
      <w:pPr>
        <w:pStyle w:val="5"/>
        <w:pageBreakBefore w:val="0"/>
        <w:kinsoku/>
        <w:overflowPunct/>
        <w:topLinePunct w:val="0"/>
        <w:bidi w:val="0"/>
        <w:spacing w:line="400" w:lineRule="exact"/>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2007F068">
      <w:pPr>
        <w:pStyle w:val="5"/>
        <w:pageBreakBefore w:val="0"/>
        <w:kinsoku/>
        <w:overflowPunct/>
        <w:topLinePunct w:val="0"/>
        <w:bidi w:val="0"/>
        <w:spacing w:line="400" w:lineRule="exact"/>
        <w:ind w:firstLine="0"/>
        <w:rPr>
          <w:rFonts w:hint="eastAsia" w:ascii="宋体" w:hAnsi="宋体" w:eastAsia="宋体" w:cs="宋体"/>
          <w:color w:val="auto"/>
          <w:sz w:val="21"/>
          <w:szCs w:val="21"/>
          <w:highlight w:val="none"/>
        </w:rPr>
        <w:sectPr>
          <w:pgSz w:w="11906" w:h="16838"/>
          <w:pgMar w:top="1185" w:right="1151" w:bottom="1157" w:left="1185" w:header="851" w:footer="992" w:gutter="0"/>
          <w:pgNumType w:fmt="decimal"/>
          <w:cols w:space="425" w:num="1"/>
          <w:titlePg/>
          <w:docGrid w:type="lines" w:linePitch="312" w:charSpace="0"/>
        </w:sectPr>
      </w:pPr>
      <w:r>
        <w:rPr>
          <w:rFonts w:hint="eastAsia" w:ascii="宋体" w:hAnsi="宋体" w:eastAsia="宋体" w:cs="宋体"/>
          <w:color w:val="auto"/>
          <w:sz w:val="21"/>
          <w:szCs w:val="21"/>
          <w:highlight w:val="none"/>
        </w:rPr>
        <w:t>1.上表8、9项内容可自行添加（格式自拟）。</w:t>
      </w:r>
      <w:bookmarkStart w:id="97" w:name="_Toc27402"/>
    </w:p>
    <w:p w14:paraId="6E6021C8">
      <w:pPr>
        <w:pageBreakBefore w:val="0"/>
        <w:kinsoku/>
        <w:overflowPunct/>
        <w:topLinePunct w:val="0"/>
        <w:bidi w:val="0"/>
        <w:spacing w:line="400" w:lineRule="exact"/>
        <w:jc w:val="center"/>
        <w:outlineLvl w:val="2"/>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rPr>
        <w:t>具有良好的财务会计制度、依法缴纳税收和社会保障资金的承诺函</w:t>
      </w:r>
      <w:bookmarkEnd w:id="97"/>
    </w:p>
    <w:p w14:paraId="03BD225E">
      <w:pPr>
        <w:pStyle w:val="39"/>
        <w:pageBreakBefore w:val="0"/>
        <w:kinsoku/>
        <w:overflowPunct/>
        <w:topLinePunct w:val="0"/>
        <w:bidi w:val="0"/>
        <w:spacing w:line="400" w:lineRule="exact"/>
        <w:rPr>
          <w:rFonts w:hint="eastAsia" w:ascii="宋体" w:hAnsi="宋体" w:cs="宋体"/>
          <w:color w:val="auto"/>
          <w:szCs w:val="21"/>
          <w:highlight w:val="none"/>
        </w:rPr>
      </w:pPr>
    </w:p>
    <w:p w14:paraId="620214E2">
      <w:pPr>
        <w:pStyle w:val="39"/>
        <w:pageBreakBefore w:val="0"/>
        <w:kinsoku/>
        <w:overflowPunct/>
        <w:topLinePunct w:val="0"/>
        <w:bidi w:val="0"/>
        <w:spacing w:line="400" w:lineRule="exact"/>
        <w:rPr>
          <w:rFonts w:hint="eastAsia" w:ascii="宋体" w:hAnsi="宋体" w:cs="宋体"/>
          <w:color w:val="auto"/>
          <w:szCs w:val="21"/>
          <w:highlight w:val="none"/>
        </w:rPr>
      </w:pPr>
      <w:r>
        <w:rPr>
          <w:rFonts w:hint="eastAsia" w:ascii="宋体" w:hAnsi="宋体" w:cs="宋体"/>
          <w:color w:val="auto"/>
          <w:szCs w:val="21"/>
          <w:highlight w:val="none"/>
          <w:u w:val="single"/>
          <w:lang w:eastAsia="zh-CN"/>
        </w:rPr>
        <w:t>云和县农村集体经济发展有限公司</w:t>
      </w:r>
      <w:r>
        <w:rPr>
          <w:rFonts w:hint="eastAsia" w:ascii="宋体" w:hAnsi="宋体" w:cs="宋体"/>
          <w:color w:val="auto"/>
          <w:szCs w:val="21"/>
          <w:highlight w:val="none"/>
        </w:rPr>
        <w:t>：</w:t>
      </w:r>
    </w:p>
    <w:p w14:paraId="20E0F025">
      <w:pPr>
        <w:pStyle w:val="5"/>
        <w:pageBreakBefore w:val="0"/>
        <w:kinsoku/>
        <w:overflowPunct/>
        <w:topLinePunct w:val="0"/>
        <w:bidi w:val="0"/>
        <w:spacing w:line="400" w:lineRule="exact"/>
        <w:ind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我方参与的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云和县病死动物集中无害化处理中心采购项目</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的投标活动，我方郑重承诺，我方具有良好的财务会计制度、依法缴纳税收和社会保障资金，不偷逃税款和逃避缴纳社会保障资金。如有虚假，</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可取消我方任何资格（投标/中标/签订合同），我方对此无任何异议。</w:t>
      </w:r>
    </w:p>
    <w:p w14:paraId="29412FED">
      <w:pPr>
        <w:pStyle w:val="39"/>
        <w:pageBreakBefore w:val="0"/>
        <w:kinsoku/>
        <w:overflowPunct/>
        <w:topLinePunct w:val="0"/>
        <w:bidi w:val="0"/>
        <w:spacing w:line="400" w:lineRule="exact"/>
        <w:ind w:firstLine="420" w:firstLineChars="200"/>
        <w:rPr>
          <w:rFonts w:hint="eastAsia" w:ascii="宋体" w:hAnsi="宋体" w:cs="宋体"/>
          <w:color w:val="auto"/>
          <w:szCs w:val="21"/>
          <w:highlight w:val="none"/>
        </w:rPr>
      </w:pPr>
    </w:p>
    <w:p w14:paraId="7A2E59F7">
      <w:pPr>
        <w:pStyle w:val="35"/>
        <w:pageBreakBefore w:val="0"/>
        <w:kinsoku/>
        <w:overflowPunct/>
        <w:topLinePunct w:val="0"/>
        <w:bidi w:val="0"/>
        <w:spacing w:line="400" w:lineRule="exact"/>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特此承诺！</w:t>
      </w:r>
    </w:p>
    <w:p w14:paraId="4C0E0C10">
      <w:pPr>
        <w:pStyle w:val="35"/>
        <w:pageBreakBefore w:val="0"/>
        <w:kinsoku/>
        <w:overflowPunct/>
        <w:topLinePunct w:val="0"/>
        <w:bidi w:val="0"/>
        <w:spacing w:line="400" w:lineRule="exact"/>
        <w:ind w:firstLine="3250" w:firstLineChars="1300"/>
        <w:rPr>
          <w:rFonts w:hint="eastAsia" w:ascii="宋体" w:hAnsi="宋体" w:cs="宋体"/>
          <w:color w:val="auto"/>
          <w:spacing w:val="20"/>
          <w:szCs w:val="21"/>
          <w:highlight w:val="none"/>
        </w:rPr>
      </w:pPr>
    </w:p>
    <w:p w14:paraId="4F4C3041">
      <w:pPr>
        <w:pStyle w:val="35"/>
        <w:pageBreakBefore w:val="0"/>
        <w:kinsoku/>
        <w:overflowPunct/>
        <w:topLinePunct w:val="0"/>
        <w:bidi w:val="0"/>
        <w:spacing w:line="400" w:lineRule="exact"/>
        <w:ind w:firstLine="3250" w:firstLineChars="1300"/>
        <w:rPr>
          <w:rFonts w:hint="eastAsia" w:ascii="宋体" w:hAnsi="宋体" w:cs="宋体"/>
          <w:color w:val="auto"/>
          <w:spacing w:val="20"/>
          <w:szCs w:val="21"/>
          <w:highlight w:val="none"/>
        </w:rPr>
      </w:pPr>
    </w:p>
    <w:p w14:paraId="310F7345">
      <w:pPr>
        <w:pStyle w:val="35"/>
        <w:pageBreakBefore w:val="0"/>
        <w:kinsoku/>
        <w:overflowPunct/>
        <w:topLinePunct w:val="0"/>
        <w:bidi w:val="0"/>
        <w:spacing w:line="400" w:lineRule="exact"/>
        <w:ind w:firstLine="3250" w:firstLineChars="1300"/>
        <w:rPr>
          <w:rFonts w:hint="eastAsia" w:ascii="宋体" w:hAnsi="宋体" w:cs="宋体"/>
          <w:color w:val="auto"/>
          <w:spacing w:val="20"/>
          <w:szCs w:val="21"/>
          <w:highlight w:val="none"/>
        </w:rPr>
      </w:pPr>
    </w:p>
    <w:p w14:paraId="1A6C59C9">
      <w:pPr>
        <w:pStyle w:val="38"/>
        <w:spacing w:line="520" w:lineRule="exact"/>
        <w:ind w:firstLine="3625" w:firstLineChars="1450"/>
        <w:rPr>
          <w:rFonts w:hint="eastAsia" w:hAnsi="宋体"/>
          <w:color w:val="auto"/>
          <w:spacing w:val="20"/>
          <w:szCs w:val="21"/>
          <w:highlight w:val="none"/>
          <w:lang w:eastAsia="zh-CN"/>
        </w:rPr>
      </w:pPr>
      <w:r>
        <w:rPr>
          <w:rFonts w:hAnsi="宋体"/>
          <w:color w:val="auto"/>
          <w:spacing w:val="20"/>
          <w:szCs w:val="21"/>
          <w:highlight w:val="none"/>
        </w:rPr>
        <w:t>负责人</w:t>
      </w:r>
      <w:r>
        <w:rPr>
          <w:rFonts w:hint="eastAsia" w:hAnsi="宋体"/>
          <w:color w:val="auto"/>
          <w:spacing w:val="20"/>
          <w:szCs w:val="21"/>
          <w:highlight w:val="none"/>
        </w:rPr>
        <w:t>（</w:t>
      </w:r>
      <w:r>
        <w:rPr>
          <w:rFonts w:hAnsi="宋体"/>
          <w:color w:val="auto"/>
          <w:spacing w:val="20"/>
          <w:szCs w:val="21"/>
          <w:highlight w:val="none"/>
        </w:rPr>
        <w:t>或</w:t>
      </w:r>
      <w:r>
        <w:rPr>
          <w:rFonts w:hint="eastAsia" w:hAnsi="宋体"/>
          <w:color w:val="auto"/>
          <w:spacing w:val="20"/>
          <w:szCs w:val="21"/>
          <w:highlight w:val="none"/>
        </w:rPr>
        <w:t>委托代理人）签字或盖章</w:t>
      </w:r>
      <w:r>
        <w:rPr>
          <w:rFonts w:hint="eastAsia" w:hAnsi="宋体"/>
          <w:color w:val="auto"/>
          <w:spacing w:val="20"/>
          <w:szCs w:val="21"/>
          <w:highlight w:val="none"/>
          <w:lang w:eastAsia="zh-CN"/>
        </w:rPr>
        <w:t>：</w:t>
      </w:r>
      <w:r>
        <w:rPr>
          <w:rFonts w:hint="eastAsia" w:hAnsi="宋体"/>
          <w:color w:val="auto"/>
          <w:spacing w:val="20"/>
          <w:szCs w:val="21"/>
          <w:highlight w:val="none"/>
          <w:u w:val="single"/>
        </w:rPr>
        <w:t xml:space="preserve">            </w:t>
      </w:r>
    </w:p>
    <w:p w14:paraId="305F29DF">
      <w:pPr>
        <w:pStyle w:val="35"/>
        <w:wordWrap w:val="0"/>
        <w:spacing w:line="360" w:lineRule="auto"/>
        <w:ind w:firstLine="480"/>
        <w:jc w:val="right"/>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74361D4">
      <w:pPr>
        <w:pStyle w:val="35"/>
        <w:wordWrap w:val="0"/>
        <w:spacing w:line="360" w:lineRule="auto"/>
        <w:ind w:firstLine="480"/>
        <w:jc w:val="right"/>
        <w:rPr>
          <w:rFonts w:ascii="宋体" w:hAnsi="宋体"/>
          <w:color w:val="auto"/>
          <w:szCs w:val="21"/>
          <w:highlight w:val="none"/>
          <w:u w:val="single"/>
        </w:r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12CE0CE">
      <w:pPr>
        <w:pageBreakBefore w:val="0"/>
        <w:kinsoku/>
        <w:overflowPunct/>
        <w:topLinePunct w:val="0"/>
        <w:bidi w:val="0"/>
        <w:spacing w:before="0" w:after="0" w:line="400" w:lineRule="exact"/>
        <w:ind w:firstLine="0" w:firstLineChars="0"/>
        <w:jc w:val="left"/>
        <w:outlineLvl w:val="9"/>
        <w:rPr>
          <w:rFonts w:hint="eastAsia" w:ascii="宋体" w:hAnsi="宋体" w:eastAsia="宋体" w:cs="宋体"/>
          <w:color w:val="auto"/>
          <w:sz w:val="21"/>
          <w:szCs w:val="21"/>
          <w:highlight w:val="none"/>
        </w:rPr>
      </w:pPr>
    </w:p>
    <w:p w14:paraId="28706E87">
      <w:pPr>
        <w:pageBreakBefore w:val="0"/>
        <w:kinsoku/>
        <w:overflowPunct/>
        <w:topLinePunct w:val="0"/>
        <w:bidi w:val="0"/>
        <w:spacing w:before="0" w:after="0" w:line="400" w:lineRule="exact"/>
        <w:ind w:firstLine="0" w:firstLineChars="0"/>
        <w:jc w:val="left"/>
        <w:outlineLvl w:val="9"/>
        <w:rPr>
          <w:rFonts w:hint="eastAsia" w:ascii="宋体" w:hAnsi="宋体" w:eastAsia="宋体" w:cs="宋体"/>
          <w:color w:val="auto"/>
          <w:sz w:val="21"/>
          <w:szCs w:val="21"/>
          <w:highlight w:val="none"/>
        </w:rPr>
      </w:pPr>
    </w:p>
    <w:p w14:paraId="0D0CCF8C">
      <w:pPr>
        <w:pageBreakBefore w:val="0"/>
        <w:kinsoku/>
        <w:overflowPunct/>
        <w:topLinePunct w:val="0"/>
        <w:bidi w:val="0"/>
        <w:spacing w:line="400" w:lineRule="exact"/>
        <w:jc w:val="both"/>
        <w:rPr>
          <w:rFonts w:hint="eastAsia" w:ascii="宋体" w:hAnsi="宋体" w:eastAsia="宋体" w:cs="宋体"/>
          <w:color w:val="auto"/>
          <w:sz w:val="21"/>
          <w:szCs w:val="21"/>
          <w:highlight w:val="none"/>
        </w:rPr>
      </w:pPr>
    </w:p>
    <w:p w14:paraId="2AFCC48A">
      <w:pPr>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p w14:paraId="6182DDA7">
      <w:pPr>
        <w:pageBreakBefore w:val="0"/>
        <w:kinsoku/>
        <w:overflowPunct/>
        <w:topLinePunct w:val="0"/>
        <w:bidi w:val="0"/>
        <w:spacing w:line="400" w:lineRule="exact"/>
        <w:ind w:firstLine="3132" w:firstLineChars="1300"/>
        <w:jc w:val="both"/>
        <w:outlineLvl w:val="2"/>
        <w:rPr>
          <w:rFonts w:hint="eastAsia" w:ascii="宋体" w:hAnsi="宋体" w:eastAsia="宋体" w:cs="宋体"/>
          <w:b/>
          <w:bCs/>
          <w:color w:val="auto"/>
          <w:sz w:val="24"/>
          <w:szCs w:val="24"/>
          <w:highlight w:val="none"/>
        </w:rPr>
      </w:pPr>
      <w:bookmarkStart w:id="98" w:name="_Toc6145"/>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、无重大违法记录声明书</w:t>
      </w:r>
      <w:bookmarkEnd w:id="98"/>
    </w:p>
    <w:p w14:paraId="10069C23">
      <w:pPr>
        <w:pStyle w:val="35"/>
        <w:pageBreakBefore w:val="0"/>
        <w:kinsoku/>
        <w:overflowPunct/>
        <w:topLinePunct w:val="0"/>
        <w:bidi w:val="0"/>
        <w:spacing w:line="400" w:lineRule="exact"/>
        <w:rPr>
          <w:rFonts w:hint="eastAsia" w:ascii="宋体" w:hAnsi="宋体" w:eastAsia="宋体" w:cs="宋体"/>
          <w:color w:val="auto"/>
          <w:spacing w:val="6"/>
          <w:sz w:val="21"/>
          <w:szCs w:val="21"/>
          <w:highlight w:val="none"/>
          <w:u w:val="single"/>
        </w:rPr>
      </w:pPr>
    </w:p>
    <w:p w14:paraId="02C793C7">
      <w:pPr>
        <w:pStyle w:val="35"/>
        <w:pageBreakBefore w:val="0"/>
        <w:kinsoku/>
        <w:overflowPunct/>
        <w:topLinePunct w:val="0"/>
        <w:bidi w:val="0"/>
        <w:spacing w:line="400" w:lineRule="exact"/>
        <w:rPr>
          <w:rFonts w:hint="eastAsia" w:ascii="宋体" w:hAnsi="宋体" w:eastAsia="宋体" w:cs="宋体"/>
          <w:color w:val="auto"/>
          <w:spacing w:val="6"/>
          <w:sz w:val="21"/>
          <w:szCs w:val="21"/>
          <w:highlight w:val="none"/>
          <w:u w:val="single"/>
        </w:rPr>
      </w:pPr>
      <w:r>
        <w:rPr>
          <w:rFonts w:hint="eastAsia" w:ascii="宋体" w:hAnsi="宋体" w:cs="宋体"/>
          <w:color w:val="auto"/>
          <w:spacing w:val="6"/>
          <w:sz w:val="21"/>
          <w:szCs w:val="21"/>
          <w:highlight w:val="none"/>
          <w:u w:val="single"/>
          <w:lang w:eastAsia="zh-CN"/>
        </w:rPr>
        <w:t>云和县农村集体经济发展有限公司</w:t>
      </w:r>
      <w:r>
        <w:rPr>
          <w:rFonts w:hint="eastAsia" w:ascii="宋体" w:hAnsi="宋体" w:eastAsia="宋体" w:cs="宋体"/>
          <w:color w:val="auto"/>
          <w:spacing w:val="6"/>
          <w:sz w:val="21"/>
          <w:szCs w:val="21"/>
          <w:highlight w:val="none"/>
          <w:u w:val="single"/>
        </w:rPr>
        <w:t>：</w:t>
      </w:r>
    </w:p>
    <w:p w14:paraId="483F7A6E">
      <w:pPr>
        <w:pStyle w:val="39"/>
        <w:pageBreakBefore w:val="0"/>
        <w:kinsoku/>
        <w:overflowPunct/>
        <w:topLinePunct w:val="0"/>
        <w:bidi w:val="0"/>
        <w:spacing w:before="120" w:beforeLines="50" w:line="40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我方参与的</w:t>
      </w:r>
      <w:r>
        <w:rPr>
          <w:rFonts w:hint="eastAsia" w:ascii="宋体" w:hAnsi="宋体" w:cs="宋体"/>
          <w:color w:val="auto"/>
          <w:spacing w:val="6"/>
          <w:sz w:val="21"/>
          <w:szCs w:val="21"/>
          <w:highlight w:val="none"/>
          <w:lang w:val="en-US" w:eastAsia="zh-CN"/>
        </w:rPr>
        <w:t xml:space="preserve"> </w:t>
      </w:r>
      <w:r>
        <w:rPr>
          <w:rFonts w:hint="eastAsia" w:ascii="宋体" w:hAnsi="宋体" w:cs="宋体"/>
          <w:color w:val="auto"/>
          <w:spacing w:val="6"/>
          <w:sz w:val="21"/>
          <w:szCs w:val="21"/>
          <w:highlight w:val="none"/>
          <w:u w:val="single"/>
          <w:lang w:eastAsia="zh-CN"/>
        </w:rPr>
        <w:t>云和县病死动物集中无害化处理中心采购项目</w:t>
      </w:r>
      <w:r>
        <w:rPr>
          <w:rFonts w:hint="eastAsia" w:ascii="宋体"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的投标活动，我方郑重声明，我方参加本项目投标活动前三年内无重大违法记录（重大违法记录是指</w:t>
      </w:r>
      <w:r>
        <w:rPr>
          <w:rFonts w:hint="eastAsia" w:ascii="宋体" w:hAnsi="宋体" w:cs="宋体"/>
          <w:color w:val="auto"/>
          <w:spacing w:val="6"/>
          <w:sz w:val="21"/>
          <w:szCs w:val="21"/>
          <w:highlight w:val="none"/>
          <w:lang w:eastAsia="zh-CN"/>
        </w:rPr>
        <w:t>供应商</w:t>
      </w:r>
      <w:r>
        <w:rPr>
          <w:rFonts w:hint="eastAsia" w:ascii="宋体" w:hAnsi="宋体" w:eastAsia="宋体" w:cs="宋体"/>
          <w:color w:val="auto"/>
          <w:spacing w:val="6"/>
          <w:sz w:val="21"/>
          <w:szCs w:val="21"/>
          <w:highlight w:val="none"/>
        </w:rPr>
        <w:t>因违法经营受到刑事处罚或者责令停产停业、吊销许可证或者执照、较大数额罚款等行政处罚），符合《中华人民共和国政府采购法》、《中华人民共和国政府采购法实施条例》的规定。我方对此声明负全部法律责任。</w:t>
      </w:r>
    </w:p>
    <w:p w14:paraId="28BEA2CF">
      <w:pPr>
        <w:pStyle w:val="39"/>
        <w:pageBreakBefore w:val="0"/>
        <w:kinsoku/>
        <w:overflowPunct/>
        <w:topLinePunct w:val="0"/>
        <w:bidi w:val="0"/>
        <w:spacing w:line="40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ab/>
      </w:r>
      <w:r>
        <w:rPr>
          <w:rFonts w:hint="eastAsia" w:ascii="宋体" w:hAnsi="宋体" w:eastAsia="宋体" w:cs="宋体"/>
          <w:color w:val="auto"/>
          <w:spacing w:val="6"/>
          <w:sz w:val="21"/>
          <w:szCs w:val="21"/>
          <w:highlight w:val="none"/>
        </w:rPr>
        <w:t>特此声明。</w:t>
      </w:r>
    </w:p>
    <w:p w14:paraId="58B1E2FA">
      <w:pPr>
        <w:pStyle w:val="40"/>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p w14:paraId="416A1A4A">
      <w:pPr>
        <w:pStyle w:val="40"/>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p w14:paraId="6AC2A26D">
      <w:pPr>
        <w:pStyle w:val="40"/>
        <w:pageBreakBefore w:val="0"/>
        <w:kinsoku/>
        <w:overflowPunct/>
        <w:topLinePunct w:val="0"/>
        <w:bidi w:val="0"/>
        <w:spacing w:line="400" w:lineRule="exact"/>
        <w:jc w:val="both"/>
        <w:rPr>
          <w:rFonts w:hint="eastAsia" w:ascii="宋体" w:hAnsi="宋体" w:eastAsia="宋体" w:cs="宋体"/>
          <w:color w:val="auto"/>
          <w:sz w:val="21"/>
          <w:szCs w:val="21"/>
          <w:highlight w:val="none"/>
        </w:rPr>
      </w:pPr>
    </w:p>
    <w:p w14:paraId="7EB98851">
      <w:pPr>
        <w:pStyle w:val="38"/>
        <w:spacing w:line="520" w:lineRule="exact"/>
        <w:ind w:firstLine="3625" w:firstLineChars="1450"/>
        <w:rPr>
          <w:rFonts w:hint="eastAsia" w:hAnsi="宋体"/>
          <w:color w:val="auto"/>
          <w:spacing w:val="20"/>
          <w:szCs w:val="21"/>
          <w:highlight w:val="none"/>
          <w:lang w:eastAsia="zh-CN"/>
        </w:rPr>
      </w:pPr>
      <w:r>
        <w:rPr>
          <w:rFonts w:hAnsi="宋体"/>
          <w:color w:val="auto"/>
          <w:spacing w:val="20"/>
          <w:szCs w:val="21"/>
          <w:highlight w:val="none"/>
        </w:rPr>
        <w:t>负责人</w:t>
      </w:r>
      <w:r>
        <w:rPr>
          <w:rFonts w:hint="eastAsia" w:hAnsi="宋体"/>
          <w:color w:val="auto"/>
          <w:spacing w:val="20"/>
          <w:szCs w:val="21"/>
          <w:highlight w:val="none"/>
        </w:rPr>
        <w:t>（</w:t>
      </w:r>
      <w:r>
        <w:rPr>
          <w:rFonts w:hAnsi="宋体"/>
          <w:color w:val="auto"/>
          <w:spacing w:val="20"/>
          <w:szCs w:val="21"/>
          <w:highlight w:val="none"/>
        </w:rPr>
        <w:t>或</w:t>
      </w:r>
      <w:r>
        <w:rPr>
          <w:rFonts w:hint="eastAsia" w:hAnsi="宋体"/>
          <w:color w:val="auto"/>
          <w:spacing w:val="20"/>
          <w:szCs w:val="21"/>
          <w:highlight w:val="none"/>
        </w:rPr>
        <w:t>委托代理人）签字或盖章</w:t>
      </w:r>
      <w:r>
        <w:rPr>
          <w:rFonts w:hint="eastAsia" w:hAnsi="宋体"/>
          <w:color w:val="auto"/>
          <w:spacing w:val="20"/>
          <w:szCs w:val="21"/>
          <w:highlight w:val="none"/>
          <w:lang w:eastAsia="zh-CN"/>
        </w:rPr>
        <w:t>：</w:t>
      </w:r>
      <w:r>
        <w:rPr>
          <w:rFonts w:hint="eastAsia" w:hAnsi="宋体"/>
          <w:color w:val="auto"/>
          <w:spacing w:val="20"/>
          <w:szCs w:val="21"/>
          <w:highlight w:val="none"/>
          <w:u w:val="single"/>
        </w:rPr>
        <w:t xml:space="preserve">            </w:t>
      </w:r>
    </w:p>
    <w:p w14:paraId="2F38F4C2">
      <w:pPr>
        <w:pStyle w:val="35"/>
        <w:wordWrap w:val="0"/>
        <w:spacing w:line="360" w:lineRule="auto"/>
        <w:ind w:firstLine="480"/>
        <w:jc w:val="right"/>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8C199DA">
      <w:pPr>
        <w:pStyle w:val="35"/>
        <w:wordWrap w:val="0"/>
        <w:spacing w:line="360" w:lineRule="auto"/>
        <w:ind w:firstLine="480"/>
        <w:jc w:val="right"/>
        <w:rPr>
          <w:rFonts w:ascii="宋体" w:hAnsi="宋体"/>
          <w:color w:val="auto"/>
          <w:szCs w:val="21"/>
          <w:highlight w:val="none"/>
          <w:u w:val="single"/>
        </w:r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4590FE0">
      <w:pPr>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AB6DA4C">
      <w:pPr>
        <w:pStyle w:val="5"/>
        <w:spacing w:line="360" w:lineRule="auto"/>
        <w:ind w:firstLine="0"/>
        <w:jc w:val="center"/>
        <w:outlineLvl w:val="2"/>
        <w:rPr>
          <w:rFonts w:hint="eastAsia" w:ascii="宋体" w:hAnsi="宋体" w:eastAsia="宋体" w:cs="宋体"/>
          <w:color w:val="auto"/>
          <w:kern w:val="2"/>
          <w:sz w:val="24"/>
          <w:szCs w:val="24"/>
          <w:highlight w:val="none"/>
          <w:lang w:val="en-US" w:eastAsia="zh-CN" w:bidi="ar-SA"/>
        </w:rPr>
      </w:pPr>
      <w:bookmarkStart w:id="99" w:name="_Toc10578"/>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7</w:t>
      </w:r>
      <w:r>
        <w:rPr>
          <w:rFonts w:hint="eastAsia" w:ascii="宋体" w:hAnsi="宋体" w:eastAsia="宋体" w:cs="宋体"/>
          <w:b/>
          <w:bCs/>
          <w:color w:val="auto"/>
          <w:kern w:val="2"/>
          <w:sz w:val="24"/>
          <w:szCs w:val="24"/>
          <w:highlight w:val="none"/>
          <w:lang w:val="en-US" w:eastAsia="zh-CN" w:bidi="ar-SA"/>
        </w:rPr>
        <w:t>、具有履行合同所必需设备和专业技术能力的承诺函</w:t>
      </w:r>
      <w:bookmarkEnd w:id="99"/>
    </w:p>
    <w:p w14:paraId="598F5C08">
      <w:pPr>
        <w:snapToGrid w:val="0"/>
        <w:spacing w:line="360" w:lineRule="auto"/>
        <w:rPr>
          <w:rFonts w:hint="eastAsia" w:ascii="宋体" w:hAnsi="宋体" w:cs="宋体"/>
          <w:color w:val="auto"/>
          <w:highlight w:val="none"/>
        </w:rPr>
      </w:pPr>
    </w:p>
    <w:p w14:paraId="71C8E03B">
      <w:pPr>
        <w:pStyle w:val="39"/>
        <w:spacing w:line="360" w:lineRule="auto"/>
        <w:rPr>
          <w:rFonts w:hint="eastAsia" w:ascii="宋体" w:hAnsi="宋体"/>
          <w:color w:val="auto"/>
          <w:spacing w:val="6"/>
          <w:szCs w:val="21"/>
          <w:highlight w:val="none"/>
        </w:rPr>
      </w:pPr>
      <w:r>
        <w:rPr>
          <w:rFonts w:hint="eastAsia" w:ascii="宋体" w:hAnsi="宋体"/>
          <w:color w:val="auto"/>
          <w:spacing w:val="6"/>
          <w:szCs w:val="21"/>
          <w:highlight w:val="none"/>
          <w:u w:val="single"/>
          <w:lang w:eastAsia="zh-CN"/>
        </w:rPr>
        <w:t>云和县农村集体经济发展有限公司</w:t>
      </w:r>
      <w:r>
        <w:rPr>
          <w:rFonts w:hint="eastAsia" w:ascii="宋体" w:hAnsi="宋体"/>
          <w:color w:val="auto"/>
          <w:spacing w:val="6"/>
          <w:szCs w:val="21"/>
          <w:highlight w:val="none"/>
        </w:rPr>
        <w:t>：</w:t>
      </w:r>
    </w:p>
    <w:p w14:paraId="3E0B1E3B">
      <w:pPr>
        <w:pStyle w:val="39"/>
        <w:spacing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我方参与的</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u w:val="single"/>
          <w:lang w:eastAsia="zh-CN"/>
        </w:rPr>
        <w:t>云和县病死动物集中无害化处理中心采购项目</w:t>
      </w:r>
      <w:r>
        <w:rPr>
          <w:rFonts w:hint="eastAsia" w:ascii="宋体" w:hAnsi="宋体"/>
          <w:color w:val="auto"/>
          <w:spacing w:val="6"/>
          <w:szCs w:val="21"/>
          <w:highlight w:val="none"/>
          <w:lang w:val="en-US" w:eastAsia="zh-CN"/>
        </w:rPr>
        <w:t xml:space="preserve"> </w:t>
      </w:r>
      <w:r>
        <w:rPr>
          <w:rFonts w:hint="eastAsia" w:ascii="宋体" w:hAnsi="宋体"/>
          <w:color w:val="auto"/>
          <w:spacing w:val="6"/>
          <w:szCs w:val="21"/>
          <w:highlight w:val="none"/>
        </w:rPr>
        <w:t>的</w:t>
      </w:r>
      <w:r>
        <w:rPr>
          <w:rFonts w:hint="eastAsia" w:ascii="宋体" w:hAnsi="宋体"/>
          <w:color w:val="auto"/>
          <w:spacing w:val="6"/>
          <w:szCs w:val="21"/>
          <w:highlight w:val="none"/>
          <w:lang w:val="en-US" w:eastAsia="zh-CN"/>
        </w:rPr>
        <w:t>投标</w:t>
      </w:r>
      <w:r>
        <w:rPr>
          <w:rFonts w:hint="eastAsia" w:ascii="宋体" w:hAnsi="宋体"/>
          <w:color w:val="auto"/>
          <w:spacing w:val="6"/>
          <w:szCs w:val="21"/>
          <w:highlight w:val="none"/>
        </w:rPr>
        <w:t>活动，</w:t>
      </w:r>
      <w:r>
        <w:rPr>
          <w:rFonts w:ascii="宋体" w:hAnsi="宋体"/>
          <w:color w:val="auto"/>
          <w:spacing w:val="6"/>
          <w:szCs w:val="21"/>
          <w:highlight w:val="none"/>
        </w:rPr>
        <w:t>我方</w:t>
      </w:r>
      <w:r>
        <w:rPr>
          <w:rFonts w:hint="eastAsia" w:ascii="宋体" w:hAnsi="宋体"/>
          <w:color w:val="auto"/>
          <w:spacing w:val="6"/>
          <w:szCs w:val="21"/>
          <w:highlight w:val="none"/>
        </w:rPr>
        <w:t>郑重</w:t>
      </w:r>
      <w:r>
        <w:rPr>
          <w:rFonts w:ascii="宋体" w:hAnsi="宋体"/>
          <w:color w:val="auto"/>
          <w:spacing w:val="6"/>
          <w:szCs w:val="21"/>
          <w:highlight w:val="none"/>
        </w:rPr>
        <w:t>承诺，我方</w:t>
      </w:r>
      <w:r>
        <w:rPr>
          <w:rFonts w:hint="eastAsia" w:ascii="宋体" w:hAnsi="宋体"/>
          <w:color w:val="auto"/>
          <w:spacing w:val="6"/>
          <w:szCs w:val="21"/>
          <w:highlight w:val="none"/>
        </w:rPr>
        <w:t>承诺具有履行合同所必需设备和专业技术能力。如有虚假，采购人可取消我方任何资格（投标/中标/签订合同），我方对此无任何异议。</w:t>
      </w:r>
    </w:p>
    <w:p w14:paraId="3B29B961">
      <w:pPr>
        <w:pStyle w:val="39"/>
        <w:spacing w:line="360" w:lineRule="auto"/>
        <w:ind w:firstLine="444" w:firstLineChars="200"/>
        <w:rPr>
          <w:rFonts w:hint="eastAsia" w:ascii="宋体" w:hAnsi="宋体"/>
          <w:color w:val="auto"/>
          <w:spacing w:val="6"/>
          <w:szCs w:val="21"/>
          <w:highlight w:val="none"/>
        </w:rPr>
      </w:pPr>
    </w:p>
    <w:p w14:paraId="3B05D03A">
      <w:pPr>
        <w:pStyle w:val="39"/>
        <w:spacing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特此承诺！</w:t>
      </w:r>
    </w:p>
    <w:p w14:paraId="16C79E1E">
      <w:pPr>
        <w:pStyle w:val="38"/>
        <w:spacing w:line="520" w:lineRule="exact"/>
        <w:ind w:firstLine="2125" w:firstLineChars="850"/>
        <w:rPr>
          <w:rFonts w:hint="eastAsia" w:hAnsi="宋体"/>
          <w:color w:val="auto"/>
          <w:spacing w:val="20"/>
          <w:szCs w:val="21"/>
          <w:highlight w:val="none"/>
          <w:lang w:eastAsia="zh-CN"/>
        </w:rPr>
      </w:pPr>
    </w:p>
    <w:p w14:paraId="3679BE40">
      <w:pPr>
        <w:pStyle w:val="38"/>
        <w:spacing w:line="520" w:lineRule="exact"/>
        <w:ind w:firstLine="2125" w:firstLineChars="850"/>
        <w:rPr>
          <w:rFonts w:hint="eastAsia" w:hAnsi="宋体"/>
          <w:color w:val="auto"/>
          <w:spacing w:val="20"/>
          <w:szCs w:val="21"/>
          <w:highlight w:val="none"/>
          <w:lang w:eastAsia="zh-CN"/>
        </w:rPr>
      </w:pPr>
    </w:p>
    <w:p w14:paraId="4FABB9BA">
      <w:pPr>
        <w:pStyle w:val="38"/>
        <w:spacing w:line="520" w:lineRule="exact"/>
        <w:ind w:firstLine="4125" w:firstLineChars="1650"/>
        <w:rPr>
          <w:rFonts w:hint="eastAsia" w:hAnsi="宋体"/>
          <w:color w:val="auto"/>
          <w:spacing w:val="20"/>
          <w:szCs w:val="21"/>
          <w:highlight w:val="none"/>
          <w:lang w:eastAsia="zh-CN"/>
        </w:rPr>
      </w:pPr>
      <w:r>
        <w:rPr>
          <w:rFonts w:hAnsi="宋体"/>
          <w:color w:val="auto"/>
          <w:spacing w:val="20"/>
          <w:szCs w:val="21"/>
          <w:highlight w:val="none"/>
        </w:rPr>
        <w:t>负责人</w:t>
      </w:r>
      <w:r>
        <w:rPr>
          <w:rFonts w:hint="eastAsia" w:hAnsi="宋体"/>
          <w:color w:val="auto"/>
          <w:spacing w:val="20"/>
          <w:szCs w:val="21"/>
          <w:highlight w:val="none"/>
        </w:rPr>
        <w:t>（</w:t>
      </w:r>
      <w:r>
        <w:rPr>
          <w:rFonts w:hAnsi="宋体"/>
          <w:color w:val="auto"/>
          <w:spacing w:val="20"/>
          <w:szCs w:val="21"/>
          <w:highlight w:val="none"/>
        </w:rPr>
        <w:t>或</w:t>
      </w:r>
      <w:r>
        <w:rPr>
          <w:rFonts w:hint="eastAsia" w:hAnsi="宋体"/>
          <w:color w:val="auto"/>
          <w:spacing w:val="20"/>
          <w:szCs w:val="21"/>
          <w:highlight w:val="none"/>
        </w:rPr>
        <w:t>委托代理人）签字或盖章</w:t>
      </w:r>
      <w:r>
        <w:rPr>
          <w:rFonts w:hint="eastAsia" w:hAnsi="宋体"/>
          <w:color w:val="auto"/>
          <w:spacing w:val="20"/>
          <w:szCs w:val="21"/>
          <w:highlight w:val="none"/>
          <w:lang w:eastAsia="zh-CN"/>
        </w:rPr>
        <w:t>：</w:t>
      </w:r>
      <w:r>
        <w:rPr>
          <w:rFonts w:hint="eastAsia" w:hAnsi="宋体"/>
          <w:color w:val="auto"/>
          <w:spacing w:val="20"/>
          <w:szCs w:val="21"/>
          <w:highlight w:val="none"/>
          <w:u w:val="single"/>
        </w:rPr>
        <w:t xml:space="preserve">            </w:t>
      </w:r>
    </w:p>
    <w:p w14:paraId="2328A4F8">
      <w:pPr>
        <w:pStyle w:val="35"/>
        <w:wordWrap w:val="0"/>
        <w:spacing w:line="360" w:lineRule="auto"/>
        <w:ind w:firstLine="480"/>
        <w:jc w:val="right"/>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22CD59B">
      <w:pPr>
        <w:pStyle w:val="35"/>
        <w:wordWrap w:val="0"/>
        <w:spacing w:line="360" w:lineRule="auto"/>
        <w:ind w:firstLine="480"/>
        <w:jc w:val="right"/>
        <w:rPr>
          <w:rFonts w:ascii="宋体" w:hAnsi="宋体"/>
          <w:color w:val="auto"/>
          <w:szCs w:val="21"/>
          <w:highlight w:val="none"/>
          <w:u w:val="single"/>
        </w:r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7C8FC9B">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p>
    <w:p w14:paraId="01D09650">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p>
    <w:p w14:paraId="545A354B">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p>
    <w:p w14:paraId="45E465DB">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p>
    <w:p w14:paraId="7295CD72">
      <w:pPr>
        <w:spacing w:line="360" w:lineRule="auto"/>
        <w:jc w:val="center"/>
        <w:rPr>
          <w:rFonts w:hint="eastAsia" w:ascii="宋体" w:hAnsi="宋体" w:eastAsia="宋体" w:cs="宋体"/>
          <w:b/>
          <w:bCs/>
          <w:color w:val="auto"/>
          <w:kern w:val="2"/>
          <w:sz w:val="24"/>
          <w:szCs w:val="24"/>
          <w:highlight w:val="none"/>
          <w:lang w:val="en-US" w:eastAsia="zh-CN" w:bidi="ar-SA"/>
        </w:rPr>
      </w:pPr>
    </w:p>
    <w:p w14:paraId="15247673">
      <w:pPr>
        <w:spacing w:line="360" w:lineRule="auto"/>
        <w:jc w:val="center"/>
        <w:rPr>
          <w:rFonts w:hint="eastAsia" w:ascii="宋体" w:hAnsi="宋体" w:eastAsia="宋体" w:cs="宋体"/>
          <w:b/>
          <w:bCs/>
          <w:color w:val="auto"/>
          <w:kern w:val="2"/>
          <w:sz w:val="24"/>
          <w:szCs w:val="24"/>
          <w:highlight w:val="none"/>
          <w:lang w:val="en-US" w:eastAsia="zh-CN" w:bidi="ar-SA"/>
        </w:rPr>
      </w:pPr>
    </w:p>
    <w:p w14:paraId="0882F77F">
      <w:pPr>
        <w:spacing w:line="360" w:lineRule="auto"/>
        <w:jc w:val="center"/>
        <w:rPr>
          <w:rFonts w:hint="eastAsia" w:ascii="宋体" w:hAnsi="宋体" w:eastAsia="宋体" w:cs="宋体"/>
          <w:b/>
          <w:bCs/>
          <w:color w:val="auto"/>
          <w:kern w:val="2"/>
          <w:sz w:val="24"/>
          <w:szCs w:val="24"/>
          <w:highlight w:val="none"/>
          <w:lang w:val="en-US" w:eastAsia="zh-CN" w:bidi="ar-SA"/>
        </w:rPr>
      </w:pPr>
    </w:p>
    <w:p w14:paraId="42D32BD2">
      <w:pPr>
        <w:spacing w:line="360" w:lineRule="auto"/>
        <w:jc w:val="center"/>
        <w:rPr>
          <w:rFonts w:hint="eastAsia" w:ascii="宋体" w:hAnsi="宋体" w:eastAsia="宋体" w:cs="宋体"/>
          <w:b/>
          <w:bCs/>
          <w:color w:val="auto"/>
          <w:kern w:val="2"/>
          <w:sz w:val="24"/>
          <w:szCs w:val="24"/>
          <w:highlight w:val="none"/>
          <w:lang w:val="en-US" w:eastAsia="zh-CN" w:bidi="ar-SA"/>
        </w:rPr>
      </w:pPr>
    </w:p>
    <w:p w14:paraId="475EFFAD">
      <w:pPr>
        <w:spacing w:line="360" w:lineRule="auto"/>
        <w:jc w:val="center"/>
        <w:rPr>
          <w:rFonts w:hint="eastAsia" w:ascii="宋体" w:hAnsi="宋体" w:eastAsia="宋体" w:cs="宋体"/>
          <w:b/>
          <w:bCs/>
          <w:color w:val="auto"/>
          <w:kern w:val="2"/>
          <w:sz w:val="24"/>
          <w:szCs w:val="24"/>
          <w:highlight w:val="none"/>
          <w:lang w:val="en-US" w:eastAsia="zh-CN" w:bidi="ar-SA"/>
        </w:rPr>
      </w:pPr>
    </w:p>
    <w:p w14:paraId="28887AA1">
      <w:pPr>
        <w:spacing w:line="360" w:lineRule="auto"/>
        <w:jc w:val="center"/>
        <w:rPr>
          <w:rFonts w:hint="eastAsia" w:ascii="宋体" w:hAnsi="宋体" w:eastAsia="宋体" w:cs="宋体"/>
          <w:b/>
          <w:bCs/>
          <w:color w:val="auto"/>
          <w:kern w:val="2"/>
          <w:sz w:val="24"/>
          <w:szCs w:val="24"/>
          <w:highlight w:val="none"/>
          <w:lang w:val="en-US" w:eastAsia="zh-CN" w:bidi="ar-SA"/>
        </w:rPr>
        <w:sectPr>
          <w:pgSz w:w="11906" w:h="16838"/>
          <w:pgMar w:top="1185" w:right="1151" w:bottom="1157" w:left="1185" w:header="851" w:footer="992" w:gutter="0"/>
          <w:pgNumType w:fmt="decimal"/>
          <w:cols w:space="425" w:num="1"/>
          <w:titlePg/>
          <w:docGrid w:type="lines" w:linePitch="312" w:charSpace="0"/>
        </w:sectPr>
      </w:pPr>
    </w:p>
    <w:p w14:paraId="517374DF">
      <w:pPr>
        <w:spacing w:line="360" w:lineRule="auto"/>
        <w:jc w:val="center"/>
        <w:rPr>
          <w:rFonts w:hint="eastAsia" w:ascii="宋体" w:hAnsi="宋体" w:eastAsia="宋体" w:cs="宋体"/>
          <w:b/>
          <w:bCs/>
          <w:color w:val="auto"/>
          <w:kern w:val="2"/>
          <w:sz w:val="24"/>
          <w:szCs w:val="24"/>
          <w:highlight w:val="none"/>
          <w:lang w:val="en-US" w:eastAsia="zh-CN" w:bidi="ar-SA"/>
        </w:rPr>
      </w:pPr>
    </w:p>
    <w:p w14:paraId="2AC5C6A4">
      <w:pPr>
        <w:spacing w:line="360" w:lineRule="auto"/>
        <w:jc w:val="center"/>
        <w:rPr>
          <w:rFonts w:hint="eastAsia" w:ascii="宋体" w:hAnsi="宋体" w:eastAsia="宋体" w:cs="宋体"/>
          <w:b/>
          <w:bCs/>
          <w:color w:val="auto"/>
          <w:kern w:val="2"/>
          <w:sz w:val="24"/>
          <w:szCs w:val="24"/>
          <w:highlight w:val="none"/>
          <w:lang w:val="en-US" w:eastAsia="zh-CN" w:bidi="ar-SA"/>
        </w:rPr>
      </w:pPr>
    </w:p>
    <w:p w14:paraId="06D3CD59">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p>
    <w:p w14:paraId="25A677C2">
      <w:pPr>
        <w:pStyle w:val="5"/>
        <w:pageBreakBefore w:val="0"/>
        <w:kinsoku/>
        <w:overflowPunct/>
        <w:topLinePunct w:val="0"/>
        <w:bidi w:val="0"/>
        <w:spacing w:line="400" w:lineRule="exact"/>
        <w:ind w:left="0" w:leftChars="0" w:firstLine="0" w:firstLineChars="0"/>
        <w:rPr>
          <w:rFonts w:hint="eastAsia" w:ascii="宋体" w:hAnsi="宋体" w:eastAsia="宋体" w:cs="宋体"/>
          <w:color w:val="auto"/>
          <w:sz w:val="21"/>
          <w:szCs w:val="21"/>
          <w:highlight w:val="none"/>
        </w:rPr>
      </w:pPr>
    </w:p>
    <w:p w14:paraId="30B649C2">
      <w:pPr>
        <w:pStyle w:val="5"/>
        <w:pageBreakBefore w:val="0"/>
        <w:kinsoku/>
        <w:overflowPunct/>
        <w:topLinePunct w:val="0"/>
        <w:bidi w:val="0"/>
        <w:spacing w:line="400" w:lineRule="exact"/>
        <w:rPr>
          <w:rFonts w:hint="eastAsia" w:ascii="宋体" w:hAnsi="宋体" w:eastAsia="宋体" w:cs="宋体"/>
          <w:color w:val="auto"/>
          <w:sz w:val="21"/>
          <w:szCs w:val="21"/>
          <w:highlight w:val="none"/>
        </w:rPr>
      </w:pPr>
    </w:p>
    <w:bookmarkEnd w:id="90"/>
    <w:p w14:paraId="61AE2FFE">
      <w:pPr>
        <w:pStyle w:val="3"/>
        <w:pageBreakBefore w:val="0"/>
        <w:numPr>
          <w:ilvl w:val="0"/>
          <w:numId w:val="2"/>
        </w:numPr>
        <w:kinsoku/>
        <w:overflowPunct/>
        <w:topLinePunct w:val="0"/>
        <w:bidi w:val="0"/>
        <w:spacing w:line="400" w:lineRule="exact"/>
        <w:jc w:val="center"/>
        <w:outlineLvl w:val="1"/>
        <w:rPr>
          <w:rFonts w:hint="eastAsia" w:ascii="宋体" w:hAnsi="宋体" w:eastAsia="宋体" w:cs="宋体"/>
          <w:color w:val="auto"/>
          <w:sz w:val="24"/>
          <w:szCs w:val="24"/>
          <w:highlight w:val="none"/>
        </w:rPr>
      </w:pPr>
      <w:bookmarkStart w:id="100" w:name="_Toc24621"/>
      <w:r>
        <w:rPr>
          <w:rFonts w:hint="eastAsia" w:ascii="宋体" w:hAnsi="宋体" w:eastAsia="宋体" w:cs="宋体"/>
          <w:color w:val="auto"/>
          <w:sz w:val="24"/>
          <w:szCs w:val="24"/>
          <w:highlight w:val="none"/>
        </w:rPr>
        <w:t>资信商务及技术文件格式</w:t>
      </w:r>
      <w:bookmarkEnd w:id="100"/>
    </w:p>
    <w:bookmarkEnd w:id="86"/>
    <w:bookmarkEnd w:id="87"/>
    <w:bookmarkEnd w:id="88"/>
    <w:bookmarkEnd w:id="89"/>
    <w:p w14:paraId="50632A6E">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highlight w:val="none"/>
          <w:u w:val="single"/>
        </w:rPr>
      </w:pPr>
    </w:p>
    <w:p w14:paraId="1BAF2D54">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highlight w:val="none"/>
          <w:u w:val="single"/>
        </w:rPr>
      </w:pPr>
    </w:p>
    <w:p w14:paraId="625DAC32">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highlight w:val="none"/>
          <w:u w:val="single"/>
        </w:rPr>
      </w:pPr>
      <w:r>
        <w:rPr>
          <w:rFonts w:hint="eastAsia" w:ascii="宋体" w:hAnsi="宋体" w:cs="宋体"/>
          <w:color w:val="auto"/>
          <w:spacing w:val="20"/>
          <w:sz w:val="21"/>
          <w:szCs w:val="21"/>
          <w:highlight w:val="none"/>
          <w:u w:val="none"/>
          <w:lang w:eastAsia="zh-CN"/>
        </w:rPr>
        <w:t>（</w:t>
      </w:r>
      <w:r>
        <w:rPr>
          <w:rFonts w:hint="eastAsia" w:ascii="宋体" w:hAnsi="宋体" w:cs="宋体"/>
          <w:color w:val="auto"/>
          <w:spacing w:val="20"/>
          <w:sz w:val="21"/>
          <w:szCs w:val="21"/>
          <w:highlight w:val="none"/>
          <w:u w:val="none"/>
          <w:lang w:val="en-US" w:eastAsia="zh-CN"/>
        </w:rPr>
        <w:t>注：根据第二章采购需求和第六章磋商办法和细则编制，格式可自拟）</w:t>
      </w:r>
    </w:p>
    <w:p w14:paraId="70BF498C">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highlight w:val="none"/>
          <w:u w:val="single"/>
        </w:rPr>
        <w:sectPr>
          <w:pgSz w:w="11906" w:h="16838"/>
          <w:pgMar w:top="1185" w:right="1151" w:bottom="1157" w:left="1185" w:header="851" w:footer="992" w:gutter="0"/>
          <w:pgNumType w:fmt="decimal"/>
          <w:cols w:space="425" w:num="1"/>
          <w:titlePg/>
          <w:docGrid w:type="lines" w:linePitch="312" w:charSpace="0"/>
        </w:sectPr>
      </w:pPr>
    </w:p>
    <w:p w14:paraId="3CB4BDBF">
      <w:pPr>
        <w:pStyle w:val="14"/>
        <w:pageBreakBefore w:val="0"/>
        <w:kinsoku/>
        <w:overflowPunct/>
        <w:topLinePunct w:val="0"/>
        <w:bidi w:val="0"/>
        <w:spacing w:line="400" w:lineRule="exact"/>
        <w:jc w:val="center"/>
        <w:outlineLvl w:val="2"/>
        <w:rPr>
          <w:rFonts w:hint="eastAsia" w:ascii="宋体" w:hAnsi="宋体" w:eastAsia="宋体" w:cs="宋体"/>
          <w:color w:val="auto"/>
          <w:sz w:val="24"/>
          <w:szCs w:val="24"/>
          <w:highlight w:val="none"/>
        </w:rPr>
      </w:pPr>
      <w:bookmarkStart w:id="101" w:name="_Toc8421"/>
      <w:r>
        <w:rPr>
          <w:rFonts w:hint="eastAsia" w:ascii="宋体" w:hAnsi="宋体" w:eastAsia="宋体" w:cs="宋体"/>
          <w:b/>
          <w:color w:val="auto"/>
          <w:sz w:val="24"/>
          <w:szCs w:val="24"/>
          <w:highlight w:val="none"/>
        </w:rPr>
        <w:t>1、磋商声明书</w:t>
      </w:r>
      <w:bookmarkEnd w:id="101"/>
    </w:p>
    <w:p w14:paraId="60CA7970">
      <w:pPr>
        <w:pStyle w:val="14"/>
        <w:pageBreakBefore w:val="0"/>
        <w:tabs>
          <w:tab w:val="left" w:pos="0"/>
        </w:tabs>
        <w:kinsoku/>
        <w:overflowPunct/>
        <w:topLinePunct w:val="0"/>
        <w:bidi w:val="0"/>
        <w:spacing w:line="4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u w:val="single"/>
          <w:lang w:eastAsia="zh-CN"/>
        </w:rPr>
        <w:t>云和县农村集体经济发展有限公司</w:t>
      </w:r>
      <w:r>
        <w:rPr>
          <w:rFonts w:hint="eastAsia" w:ascii="宋体" w:hAnsi="宋体" w:eastAsia="宋体" w:cs="宋体"/>
          <w:color w:val="auto"/>
          <w:sz w:val="21"/>
          <w:szCs w:val="21"/>
          <w:highlight w:val="none"/>
        </w:rPr>
        <w:t>：</w:t>
      </w:r>
    </w:p>
    <w:p w14:paraId="3D3CA1BC">
      <w:pPr>
        <w:pStyle w:val="14"/>
        <w:pageBreakBefore w:val="0"/>
        <w:kinsoku/>
        <w:overflowPunct/>
        <w:topLinePunct w:val="0"/>
        <w:bidi w:val="0"/>
        <w:spacing w:line="400" w:lineRule="exact"/>
        <w:ind w:firstLine="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(供应商名称)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B2C9ED">
      <w:pPr>
        <w:pStyle w:val="14"/>
        <w:pageBreakBefore w:val="0"/>
        <w:kinsoku/>
        <w:overflowPunct/>
        <w:topLinePunct w:val="0"/>
        <w:bidi w:val="0"/>
        <w:spacing w:line="400" w:lineRule="exact"/>
        <w:ind w:firstLine="7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(法定代表人或负责人名字)</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为负责人，我方愿意参加贵方组织的</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lang w:eastAsia="zh-CN"/>
        </w:rPr>
        <w:t>云和县病死动物集中无害化处理中心采购项目</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的竞争性磋商。为便于贵方公正、择优地确定成交人以及磋商产品和服务，我方就本次磋商有关事项郑重承诺如下：</w:t>
      </w:r>
    </w:p>
    <w:p w14:paraId="369D2A44">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14:paraId="78CD0379">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2、我方承诺已经具备《中华人民共和国政府采购法》、《中华人民共和国政府采购法实施条例》中规定的参加政府采购活动的供应商应当具备的条件，并真实提供相关材料。</w:t>
      </w:r>
    </w:p>
    <w:p w14:paraId="6CFAFA9F">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3、提供供应商须知规定的全部响应文件，包括：</w:t>
      </w:r>
    </w:p>
    <w:p w14:paraId="2293723F">
      <w:pPr>
        <w:pStyle w:val="37"/>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资格审查文件正本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500D33D4">
      <w:pPr>
        <w:pStyle w:val="37"/>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资信及技术文件正本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6E2543F3">
      <w:pPr>
        <w:pStyle w:val="37"/>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报价文件正本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3903D919">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4、如果我方成交，将派出  </w:t>
      </w:r>
      <w:r>
        <w:rPr>
          <w:rFonts w:hint="eastAsia" w:ascii="宋体" w:hAnsi="宋体" w:eastAsia="宋体" w:cs="宋体"/>
          <w:color w:val="auto"/>
          <w:sz w:val="21"/>
          <w:szCs w:val="21"/>
          <w:highlight w:val="none"/>
          <w:u w:val="single"/>
        </w:rPr>
        <w:t xml:space="preserve">（姓名及身份证号码）   </w:t>
      </w:r>
      <w:r>
        <w:rPr>
          <w:rFonts w:hint="eastAsia" w:ascii="宋体" w:hAnsi="宋体" w:eastAsia="宋体" w:cs="宋体"/>
          <w:color w:val="auto"/>
          <w:sz w:val="21"/>
          <w:szCs w:val="21"/>
          <w:highlight w:val="none"/>
        </w:rPr>
        <w:t>，作为本项目与采购单位联系的项目实施负责人，联系手机号码：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在项目实施过程中，并承诺项目实施负责人不更换，若确需更换的，书面征得采购人同意后才准予更换。</w:t>
      </w:r>
    </w:p>
    <w:p w14:paraId="54263E73">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5、我方的磋商有效期自在提交响应文件截止之日起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天内有效。如果在磋商后规定的磋商有效期内撤回的，贵方可不退还我方的磋商保证金。</w:t>
      </w:r>
    </w:p>
    <w:p w14:paraId="3406B40C">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6、我方在磋商之前已经与贵方进行了充分的沟通，完全理解并接受磋商文件的各项规定和要求，对磋商文件的合理性、合法性不再有异议。</w:t>
      </w:r>
    </w:p>
    <w:p w14:paraId="4DBB96DC">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我方愿意向贵方提供真实完整的任何与该项磋商有关的数据、情况和技术资料。若贵方需要，我方愿意提供我方作出的一切承诺的证明材料。</w:t>
      </w:r>
    </w:p>
    <w:p w14:paraId="28DF8EB9">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已详细审核全部磋商文件，包括磋商文件的澄清或修改文件（如有的话）、参考资料及有关附件，已经了解我方对于磋商文件、采购过程、采购结果有依法进行询问、质疑、投诉的权利及相关渠道和要求。</w:t>
      </w:r>
    </w:p>
    <w:p w14:paraId="1639D0BC">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8、我方不是采购人的附属机构，并未为本项目提供整体设计、规范编制或者项目管理、监理、监测等服务。</w:t>
      </w:r>
    </w:p>
    <w:p w14:paraId="5058D150">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r>
        <w:rPr>
          <w:rFonts w:hint="eastAsia" w:hAnsi="宋体" w:cs="宋体"/>
          <w:color w:val="auto"/>
          <w:sz w:val="21"/>
          <w:szCs w:val="21"/>
          <w:highlight w:val="none"/>
          <w:lang w:eastAsia="zh-CN"/>
        </w:rPr>
        <w:t>；对采购人造成损失的，赔偿采购人相应损失</w:t>
      </w:r>
      <w:r>
        <w:rPr>
          <w:rFonts w:hint="eastAsia" w:ascii="宋体" w:hAnsi="宋体" w:eastAsia="宋体" w:cs="宋体"/>
          <w:color w:val="auto"/>
          <w:sz w:val="21"/>
          <w:szCs w:val="21"/>
          <w:highlight w:val="none"/>
        </w:rPr>
        <w:t>：</w:t>
      </w:r>
    </w:p>
    <w:p w14:paraId="17207772">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（一）提供虚假材料谋取成交、成交的；</w:t>
      </w:r>
    </w:p>
    <w:p w14:paraId="36A64124">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（二）采取不正当手段诋毁、排挤其他供应商的；</w:t>
      </w:r>
    </w:p>
    <w:p w14:paraId="32E919AD">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（三）与采购人、其它供应商或者采购代理机构恶意串通的；</w:t>
      </w:r>
    </w:p>
    <w:p w14:paraId="09F5BC07">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（四）向采购人、采购代理机构行贿或者提供其他不正当利益的；</w:t>
      </w:r>
    </w:p>
    <w:p w14:paraId="3B42BF42">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（五）在磋商采购过程中与采购人进行协商磋商的；</w:t>
      </w:r>
    </w:p>
    <w:p w14:paraId="1A94E330">
      <w:pPr>
        <w:pStyle w:val="14"/>
        <w:pageBreakBefore w:val="0"/>
        <w:kinsoku/>
        <w:overflowPunct/>
        <w:topLinePunct w:val="0"/>
        <w:bidi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（六）拒绝有关部门监督检查或提供虚假情况的。</w:t>
      </w:r>
    </w:p>
    <w:p w14:paraId="25EB3491">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10、如成交，本响应文件至本项目合同履行完毕止均保持有效，我方将按磋商文件及政府采购法律、法规的规定履行合同责任和义务。</w:t>
      </w:r>
    </w:p>
    <w:p w14:paraId="4DA5C2FF">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11、以上事项如有虚假或隐瞒，我方愿意承担一切不利后果，并不再寻求任何旨在减轻或免除法律责任。</w:t>
      </w:r>
    </w:p>
    <w:p w14:paraId="059CEA85">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12、我单位承诺按磋商文件规定向招标代理机构缴纳招标代理费。</w:t>
      </w:r>
    </w:p>
    <w:p w14:paraId="1535E6AB">
      <w:pPr>
        <w:pStyle w:val="14"/>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与本次磋商有关的一切正式往来信函请寄：</w:t>
      </w:r>
    </w:p>
    <w:p w14:paraId="3B93054A">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w:t>
      </w:r>
    </w:p>
    <w:p w14:paraId="497E01B3">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pacing w:val="20"/>
          <w:sz w:val="21"/>
          <w:szCs w:val="21"/>
          <w:highlight w:val="none"/>
          <w:u w:val="single"/>
        </w:rPr>
        <w:t xml:space="preserve">           </w:t>
      </w:r>
    </w:p>
    <w:p w14:paraId="61A25F5E">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p>
    <w:p w14:paraId="34447369">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p>
    <w:p w14:paraId="47676A0D">
      <w:pPr>
        <w:pStyle w:val="14"/>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p>
    <w:p w14:paraId="2D9AF80F">
      <w:pPr>
        <w:pStyle w:val="14"/>
        <w:pageBreakBefore w:val="0"/>
        <w:kinsoku/>
        <w:overflowPunct/>
        <w:topLinePunct w:val="0"/>
        <w:bidi w:val="0"/>
        <w:spacing w:line="400" w:lineRule="exact"/>
        <w:ind w:firstLine="2750" w:firstLineChars="1100"/>
        <w:rPr>
          <w:rFonts w:hint="eastAsia" w:ascii="宋体" w:hAnsi="宋体" w:eastAsia="宋体" w:cs="宋体"/>
          <w:color w:val="auto"/>
          <w:spacing w:val="20"/>
          <w:sz w:val="21"/>
          <w:szCs w:val="21"/>
          <w:highlight w:val="none"/>
        </w:rPr>
      </w:pPr>
      <w:bookmarkStart w:id="102" w:name="_Toc45506741"/>
      <w:bookmarkStart w:id="103" w:name="_Toc15813264"/>
      <w:bookmarkStart w:id="104" w:name="_Toc47756042"/>
      <w:bookmarkStart w:id="105" w:name="_Toc15805947"/>
    </w:p>
    <w:p w14:paraId="2A75B667">
      <w:pPr>
        <w:pStyle w:val="38"/>
        <w:spacing w:line="520" w:lineRule="exact"/>
        <w:ind w:firstLine="3625" w:firstLineChars="1450"/>
        <w:rPr>
          <w:rFonts w:hint="eastAsia" w:hAnsi="宋体"/>
          <w:color w:val="auto"/>
          <w:spacing w:val="20"/>
          <w:szCs w:val="21"/>
          <w:highlight w:val="none"/>
          <w:lang w:eastAsia="zh-CN"/>
        </w:rPr>
      </w:pPr>
      <w:r>
        <w:rPr>
          <w:rFonts w:hAnsi="宋体"/>
          <w:color w:val="auto"/>
          <w:spacing w:val="20"/>
          <w:szCs w:val="21"/>
          <w:highlight w:val="none"/>
        </w:rPr>
        <w:t>负责人</w:t>
      </w:r>
      <w:r>
        <w:rPr>
          <w:rFonts w:hint="eastAsia" w:hAnsi="宋体"/>
          <w:color w:val="auto"/>
          <w:spacing w:val="20"/>
          <w:szCs w:val="21"/>
          <w:highlight w:val="none"/>
        </w:rPr>
        <w:t>（</w:t>
      </w:r>
      <w:r>
        <w:rPr>
          <w:rFonts w:hAnsi="宋体"/>
          <w:color w:val="auto"/>
          <w:spacing w:val="20"/>
          <w:szCs w:val="21"/>
          <w:highlight w:val="none"/>
        </w:rPr>
        <w:t>或</w:t>
      </w:r>
      <w:r>
        <w:rPr>
          <w:rFonts w:hint="eastAsia" w:hAnsi="宋体"/>
          <w:color w:val="auto"/>
          <w:spacing w:val="20"/>
          <w:szCs w:val="21"/>
          <w:highlight w:val="none"/>
        </w:rPr>
        <w:t>委托代理人）签字或盖章</w:t>
      </w:r>
      <w:r>
        <w:rPr>
          <w:rFonts w:hint="eastAsia" w:hAnsi="宋体"/>
          <w:color w:val="auto"/>
          <w:spacing w:val="20"/>
          <w:szCs w:val="21"/>
          <w:highlight w:val="none"/>
          <w:lang w:eastAsia="zh-CN"/>
        </w:rPr>
        <w:t>：</w:t>
      </w:r>
      <w:r>
        <w:rPr>
          <w:rFonts w:hint="eastAsia" w:hAnsi="宋体"/>
          <w:color w:val="auto"/>
          <w:spacing w:val="20"/>
          <w:szCs w:val="21"/>
          <w:highlight w:val="none"/>
          <w:u w:val="single"/>
        </w:rPr>
        <w:t xml:space="preserve">            </w:t>
      </w:r>
    </w:p>
    <w:p w14:paraId="3AF2B581">
      <w:pPr>
        <w:pStyle w:val="35"/>
        <w:wordWrap w:val="0"/>
        <w:spacing w:line="360" w:lineRule="auto"/>
        <w:ind w:firstLine="480"/>
        <w:jc w:val="right"/>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0714469">
      <w:pPr>
        <w:pStyle w:val="35"/>
        <w:wordWrap w:val="0"/>
        <w:spacing w:line="360" w:lineRule="auto"/>
        <w:ind w:firstLine="480"/>
        <w:jc w:val="right"/>
        <w:rPr>
          <w:rFonts w:ascii="宋体" w:hAnsi="宋体"/>
          <w:color w:val="auto"/>
          <w:szCs w:val="21"/>
          <w:highlight w:val="none"/>
          <w:u w:val="single"/>
        </w:r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72BE939">
      <w:pPr>
        <w:pStyle w:val="6"/>
        <w:pageBreakBefore w:val="0"/>
        <w:kinsoku/>
        <w:overflowPunct/>
        <w:topLinePunct w:val="0"/>
        <w:bidi w:val="0"/>
        <w:spacing w:line="400" w:lineRule="exact"/>
        <w:rPr>
          <w:rFonts w:hint="eastAsia" w:ascii="宋体" w:hAnsi="宋体" w:eastAsia="宋体" w:cs="宋体"/>
          <w:color w:val="auto"/>
          <w:sz w:val="21"/>
          <w:szCs w:val="21"/>
          <w:highlight w:val="none"/>
        </w:rPr>
        <w:sectPr>
          <w:pgSz w:w="11906" w:h="16838"/>
          <w:pgMar w:top="1185" w:right="1151" w:bottom="1157" w:left="1185" w:header="851" w:footer="992" w:gutter="0"/>
          <w:pgNumType w:fmt="decimal"/>
          <w:cols w:space="425" w:num="1"/>
          <w:titlePg/>
          <w:docGrid w:type="lines" w:linePitch="312" w:charSpace="0"/>
        </w:sectPr>
      </w:pPr>
    </w:p>
    <w:p w14:paraId="297B49B6">
      <w:pPr>
        <w:pStyle w:val="14"/>
        <w:pageBreakBefore w:val="0"/>
        <w:kinsoku/>
        <w:overflowPunct/>
        <w:topLinePunct w:val="0"/>
        <w:bidi w:val="0"/>
        <w:spacing w:line="400" w:lineRule="exact"/>
        <w:ind w:firstLine="3373" w:firstLineChars="1400"/>
        <w:outlineLvl w:val="2"/>
        <w:rPr>
          <w:rFonts w:hint="eastAsia" w:ascii="宋体" w:hAnsi="宋体" w:eastAsia="宋体" w:cs="宋体"/>
          <w:b/>
          <w:color w:val="auto"/>
          <w:sz w:val="24"/>
          <w:szCs w:val="24"/>
          <w:highlight w:val="none"/>
        </w:rPr>
      </w:pPr>
      <w:bookmarkStart w:id="106" w:name="_Toc32216"/>
      <w:r>
        <w:rPr>
          <w:rFonts w:hint="eastAsia" w:ascii="宋体" w:hAnsi="宋体" w:eastAsia="宋体" w:cs="宋体"/>
          <w:b/>
          <w:color w:val="auto"/>
          <w:sz w:val="24"/>
          <w:szCs w:val="24"/>
          <w:highlight w:val="none"/>
        </w:rPr>
        <w:t>2、供应商磋商申请表</w:t>
      </w:r>
      <w:bookmarkEnd w:id="106"/>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532"/>
        <w:gridCol w:w="1358"/>
        <w:gridCol w:w="539"/>
        <w:gridCol w:w="1080"/>
        <w:gridCol w:w="1628"/>
        <w:gridCol w:w="2843"/>
      </w:tblGrid>
      <w:tr w14:paraId="702F0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6B41DAC0">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w:t>
            </w:r>
          </w:p>
          <w:p w14:paraId="60A1F5F5">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23A019F3">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539ABCA6">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6455D0A8">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1F1A4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43DAE370">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p>
        </w:tc>
        <w:tc>
          <w:tcPr>
            <w:tcW w:w="2977" w:type="dxa"/>
            <w:gridSpan w:val="3"/>
            <w:vMerge w:val="continue"/>
            <w:tcBorders>
              <w:left w:val="single" w:color="auto" w:sz="4" w:space="0"/>
              <w:bottom w:val="single" w:color="auto" w:sz="4" w:space="0"/>
              <w:right w:val="single" w:color="auto" w:sz="4" w:space="0"/>
            </w:tcBorders>
            <w:vAlign w:val="center"/>
          </w:tcPr>
          <w:p w14:paraId="17D54B11">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BFBEC6C">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52B2E210">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5C6D6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03BEE847">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F6FF507">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587CEF1B">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4D345462">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79A36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33C1BCCE">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641BAAA2">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459AF7AE">
            <w:pPr>
              <w:pStyle w:val="41"/>
              <w:pageBreakBefore w:val="0"/>
              <w:kinsoku/>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1B3C3DA5">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56195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E5FD981">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A602BEF">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452769D9">
            <w:pPr>
              <w:pStyle w:val="41"/>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32A95CBE">
            <w:pPr>
              <w:pStyle w:val="41"/>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w:t>
            </w:r>
          </w:p>
        </w:tc>
      </w:tr>
      <w:tr w14:paraId="5B155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CC58DEB">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4E7743C6">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397EAAD6">
            <w:pPr>
              <w:pStyle w:val="41"/>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4ED2F1E">
            <w:pPr>
              <w:pStyle w:val="41"/>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w:t>
            </w:r>
          </w:p>
        </w:tc>
      </w:tr>
      <w:tr w14:paraId="5BCA9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C70BF15">
            <w:pPr>
              <w:pStyle w:val="41"/>
              <w:pageBreakBefore w:val="0"/>
              <w:kinsoku/>
              <w:overflowPunct/>
              <w:topLinePunct w:val="0"/>
              <w:bidi w:val="0"/>
              <w:spacing w:line="400" w:lineRule="exact"/>
              <w:ind w:left="-109" w:leftChars="-52" w:right="-113" w:rightChars="-5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7D3CEC5">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35C48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1DB2995">
            <w:pPr>
              <w:pStyle w:val="41"/>
              <w:pageBreakBefore w:val="0"/>
              <w:kinsoku/>
              <w:overflowPunct/>
              <w:topLinePunct w:val="0"/>
              <w:bidi w:val="0"/>
              <w:spacing w:line="400" w:lineRule="exact"/>
              <w:ind w:left="-109" w:leftChars="-52" w:right="-113" w:rightChars="-5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542E3273">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17FD4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44C0080A">
            <w:pPr>
              <w:pStyle w:val="41"/>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本单位申请参加下列采购项目的磋商：</w:t>
            </w:r>
          </w:p>
        </w:tc>
      </w:tr>
      <w:tr w14:paraId="040E6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3CE1AA61">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FE3688B">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C4D94D0">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775E8269">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磋商品牌（如磋商文件有品牌可选）</w:t>
            </w:r>
          </w:p>
        </w:tc>
      </w:tr>
      <w:tr w14:paraId="59659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B75D713">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3EA311D">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6DEAB35">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4411B111">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F05E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B9E4755">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343F69B">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22F7EC8">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27CC938B">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6441A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F59AACD">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5C1ABDE">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9D6E081">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00774094">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60C7F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B2910D5">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A99BF52">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71DA7CA">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F787A0C">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29E6E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F1A3E55">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AB7DE7A">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BBBE08E">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7D651056">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28AE8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248DF04">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3171145">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E002BCF">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66FF77BB">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248EF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24EB34E">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8BA9D48">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F2EBAB8">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701AA48E">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r w14:paraId="6BF77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F7ECA75">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0F6D274">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F8442B1">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15D2D65">
            <w:pPr>
              <w:pStyle w:val="41"/>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r>
    </w:tbl>
    <w:p w14:paraId="6EE9EFB5">
      <w:pPr>
        <w:pStyle w:val="35"/>
        <w:pageBreakBefore w:val="0"/>
        <w:kinsoku/>
        <w:overflowPunct/>
        <w:topLinePunct w:val="0"/>
        <w:bidi w:val="0"/>
        <w:spacing w:line="400" w:lineRule="exact"/>
        <w:ind w:firstLine="4000" w:firstLineChars="1600"/>
        <w:rPr>
          <w:rFonts w:hint="eastAsia" w:ascii="宋体" w:hAnsi="宋体" w:eastAsia="宋体" w:cs="宋体"/>
          <w:color w:val="auto"/>
          <w:spacing w:val="20"/>
          <w:sz w:val="21"/>
          <w:szCs w:val="21"/>
          <w:highlight w:val="none"/>
        </w:rPr>
      </w:pPr>
    </w:p>
    <w:bookmarkEnd w:id="102"/>
    <w:bookmarkEnd w:id="103"/>
    <w:bookmarkEnd w:id="104"/>
    <w:bookmarkEnd w:id="105"/>
    <w:p w14:paraId="67868239">
      <w:pPr>
        <w:pStyle w:val="14"/>
        <w:pageBreakBefore w:val="0"/>
        <w:kinsoku/>
        <w:overflowPunct/>
        <w:topLinePunct w:val="0"/>
        <w:bidi w:val="0"/>
        <w:spacing w:line="400" w:lineRule="exact"/>
        <w:ind w:firstLine="2750" w:firstLineChars="1100"/>
        <w:rPr>
          <w:rFonts w:hint="eastAsia" w:ascii="宋体" w:hAnsi="宋体" w:eastAsia="宋体" w:cs="宋体"/>
          <w:color w:val="auto"/>
          <w:spacing w:val="20"/>
          <w:sz w:val="21"/>
          <w:szCs w:val="21"/>
          <w:highlight w:val="none"/>
        </w:rPr>
      </w:pPr>
    </w:p>
    <w:p w14:paraId="4FB6AD47">
      <w:pPr>
        <w:pStyle w:val="38"/>
        <w:spacing w:line="520" w:lineRule="exact"/>
        <w:ind w:firstLine="3625" w:firstLineChars="1450"/>
        <w:rPr>
          <w:rFonts w:hint="eastAsia" w:hAnsi="宋体"/>
          <w:color w:val="auto"/>
          <w:spacing w:val="20"/>
          <w:szCs w:val="21"/>
          <w:highlight w:val="none"/>
          <w:lang w:eastAsia="zh-CN"/>
        </w:rPr>
      </w:pPr>
      <w:r>
        <w:rPr>
          <w:rFonts w:hAnsi="宋体"/>
          <w:color w:val="auto"/>
          <w:spacing w:val="20"/>
          <w:szCs w:val="21"/>
          <w:highlight w:val="none"/>
        </w:rPr>
        <w:t>负责人</w:t>
      </w:r>
      <w:r>
        <w:rPr>
          <w:rFonts w:hint="eastAsia" w:hAnsi="宋体"/>
          <w:color w:val="auto"/>
          <w:spacing w:val="20"/>
          <w:szCs w:val="21"/>
          <w:highlight w:val="none"/>
        </w:rPr>
        <w:t>（</w:t>
      </w:r>
      <w:r>
        <w:rPr>
          <w:rFonts w:hAnsi="宋体"/>
          <w:color w:val="auto"/>
          <w:spacing w:val="20"/>
          <w:szCs w:val="21"/>
          <w:highlight w:val="none"/>
        </w:rPr>
        <w:t>或</w:t>
      </w:r>
      <w:r>
        <w:rPr>
          <w:rFonts w:hint="eastAsia" w:hAnsi="宋体"/>
          <w:color w:val="auto"/>
          <w:spacing w:val="20"/>
          <w:szCs w:val="21"/>
          <w:highlight w:val="none"/>
        </w:rPr>
        <w:t>委托代理人）签字或盖章</w:t>
      </w:r>
      <w:r>
        <w:rPr>
          <w:rFonts w:hint="eastAsia" w:hAnsi="宋体"/>
          <w:color w:val="auto"/>
          <w:spacing w:val="20"/>
          <w:szCs w:val="21"/>
          <w:highlight w:val="none"/>
          <w:lang w:eastAsia="zh-CN"/>
        </w:rPr>
        <w:t>：</w:t>
      </w:r>
      <w:r>
        <w:rPr>
          <w:rFonts w:hint="eastAsia" w:hAnsi="宋体"/>
          <w:color w:val="auto"/>
          <w:spacing w:val="20"/>
          <w:szCs w:val="21"/>
          <w:highlight w:val="none"/>
          <w:u w:val="single"/>
        </w:rPr>
        <w:t xml:space="preserve">            </w:t>
      </w:r>
    </w:p>
    <w:p w14:paraId="64AFFE4A">
      <w:pPr>
        <w:pStyle w:val="35"/>
        <w:wordWrap w:val="0"/>
        <w:spacing w:line="360" w:lineRule="auto"/>
        <w:ind w:firstLine="480"/>
        <w:jc w:val="right"/>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5D5234A">
      <w:pPr>
        <w:pStyle w:val="35"/>
        <w:wordWrap w:val="0"/>
        <w:spacing w:line="360" w:lineRule="auto"/>
        <w:ind w:firstLine="480"/>
        <w:jc w:val="right"/>
        <w:rPr>
          <w:rFonts w:ascii="宋体" w:hAnsi="宋体"/>
          <w:color w:val="auto"/>
          <w:szCs w:val="21"/>
          <w:highlight w:val="none"/>
          <w:u w:val="single"/>
        </w:rPr>
        <w:sectPr>
          <w:pgSz w:w="11906" w:h="16838"/>
          <w:pgMar w:top="1185" w:right="1151" w:bottom="1157" w:left="1185" w:header="851" w:footer="992" w:gutter="0"/>
          <w:pgNumType w:fmt="decimal"/>
          <w:cols w:space="425" w:num="1"/>
          <w:titlePg/>
          <w:docGrid w:type="lines" w:linePitch="312" w:charSpace="0"/>
        </w:sect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37816C5">
      <w:pPr>
        <w:pStyle w:val="5"/>
        <w:pageBreakBefore w:val="0"/>
        <w:kinsoku/>
        <w:overflowPunct/>
        <w:topLinePunct w:val="0"/>
        <w:bidi w:val="0"/>
        <w:spacing w:line="400" w:lineRule="exact"/>
        <w:ind w:firstLine="0"/>
        <w:jc w:val="center"/>
        <w:outlineLvl w:val="2"/>
        <w:rPr>
          <w:rFonts w:hint="eastAsia" w:ascii="宋体" w:hAnsi="宋体" w:eastAsia="宋体" w:cs="宋体"/>
          <w:b/>
          <w:color w:val="auto"/>
          <w:sz w:val="24"/>
          <w:szCs w:val="24"/>
          <w:highlight w:val="none"/>
          <w:lang w:eastAsia="zh-CN"/>
        </w:rPr>
      </w:pPr>
      <w:bookmarkStart w:id="107" w:name="_Toc23774"/>
      <w:bookmarkStart w:id="108" w:name="_Toc457320297"/>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bookmarkEnd w:id="107"/>
      <w:r>
        <w:rPr>
          <w:rFonts w:hint="eastAsia" w:ascii="宋体" w:hAnsi="宋体" w:eastAsia="宋体" w:cs="宋体"/>
          <w:b/>
          <w:color w:val="auto"/>
          <w:sz w:val="24"/>
          <w:szCs w:val="24"/>
          <w:highlight w:val="none"/>
          <w:lang w:val="en-US" w:eastAsia="zh-CN"/>
        </w:rPr>
        <w:t>运营方案</w:t>
      </w:r>
    </w:p>
    <w:p w14:paraId="0B2D162B">
      <w:pPr>
        <w:pStyle w:val="14"/>
        <w:pageBreakBefore w:val="0"/>
        <w:kinsoku/>
        <w:overflowPunct/>
        <w:topLinePunct w:val="0"/>
        <w:bidi w:val="0"/>
        <w:spacing w:line="400" w:lineRule="exact"/>
        <w:rPr>
          <w:rFonts w:hint="eastAsia" w:ascii="宋体" w:hAnsi="宋体" w:eastAsia="宋体" w:cs="宋体"/>
          <w:color w:val="auto"/>
          <w:spacing w:val="20"/>
          <w:sz w:val="24"/>
          <w:szCs w:val="24"/>
          <w:highlight w:val="none"/>
        </w:rPr>
      </w:pPr>
    </w:p>
    <w:p w14:paraId="68A72B16">
      <w:pPr>
        <w:pStyle w:val="42"/>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p w14:paraId="48DEDB05">
      <w:pPr>
        <w:pStyle w:val="42"/>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根据技术文件部分评审办法自行编写。</w:t>
      </w:r>
    </w:p>
    <w:p w14:paraId="0885ED61">
      <w:pPr>
        <w:pStyle w:val="43"/>
        <w:pageBreakBefore w:val="0"/>
        <w:kinsoku/>
        <w:overflowPunct/>
        <w:topLinePunct w:val="0"/>
        <w:bidi w:val="0"/>
        <w:spacing w:line="400" w:lineRule="exact"/>
        <w:rPr>
          <w:rFonts w:hint="eastAsia" w:ascii="宋体" w:hAnsi="宋体" w:eastAsia="宋体" w:cs="宋体"/>
          <w:color w:val="auto"/>
          <w:sz w:val="21"/>
          <w:szCs w:val="21"/>
          <w:highlight w:val="none"/>
        </w:rPr>
      </w:pPr>
    </w:p>
    <w:p w14:paraId="7430CCE2">
      <w:pPr>
        <w:pStyle w:val="44"/>
        <w:pageBreakBefore w:val="0"/>
        <w:kinsoku/>
        <w:overflowPunct/>
        <w:topLinePunct w:val="0"/>
        <w:bidi w:val="0"/>
        <w:spacing w:line="400" w:lineRule="exact"/>
        <w:rPr>
          <w:rFonts w:hint="eastAsia" w:ascii="宋体" w:hAnsi="宋体" w:eastAsia="宋体" w:cs="宋体"/>
          <w:color w:val="auto"/>
          <w:sz w:val="21"/>
          <w:szCs w:val="21"/>
          <w:highlight w:val="none"/>
        </w:rPr>
      </w:pPr>
    </w:p>
    <w:p w14:paraId="47CF23FF">
      <w:pPr>
        <w:pStyle w:val="44"/>
        <w:pageBreakBefore w:val="0"/>
        <w:kinsoku/>
        <w:overflowPunct/>
        <w:topLinePunct w:val="0"/>
        <w:bidi w:val="0"/>
        <w:spacing w:line="400" w:lineRule="exact"/>
        <w:rPr>
          <w:rFonts w:hint="eastAsia" w:ascii="宋体" w:hAnsi="宋体" w:eastAsia="宋体" w:cs="宋体"/>
          <w:color w:val="auto"/>
          <w:sz w:val="21"/>
          <w:szCs w:val="21"/>
          <w:highlight w:val="none"/>
        </w:rPr>
      </w:pPr>
    </w:p>
    <w:p w14:paraId="5CED4062">
      <w:pPr>
        <w:pStyle w:val="44"/>
        <w:pageBreakBefore w:val="0"/>
        <w:kinsoku/>
        <w:overflowPunct/>
        <w:topLinePunct w:val="0"/>
        <w:bidi w:val="0"/>
        <w:spacing w:line="40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格式自拟；</w:t>
      </w:r>
    </w:p>
    <w:p w14:paraId="7B3B8AE9">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119FEF61">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0727EFE5">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12C4EA7A">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7A32E417">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13E6B889">
      <w:pPr>
        <w:pageBreakBefore w:val="0"/>
        <w:kinsoku/>
        <w:overflowPunct/>
        <w:topLinePunct w:val="0"/>
        <w:bidi w:val="0"/>
        <w:spacing w:line="400" w:lineRule="exact"/>
        <w:rPr>
          <w:rFonts w:hint="eastAsia" w:ascii="宋体" w:hAnsi="宋体" w:eastAsia="宋体" w:cs="宋体"/>
          <w:color w:val="auto"/>
          <w:sz w:val="21"/>
          <w:szCs w:val="21"/>
          <w:highlight w:val="none"/>
        </w:rPr>
      </w:pPr>
    </w:p>
    <w:p w14:paraId="37C8E7C8">
      <w:pPr>
        <w:pStyle w:val="38"/>
        <w:spacing w:line="520" w:lineRule="exact"/>
        <w:ind w:firstLine="3625" w:firstLineChars="1450"/>
        <w:rPr>
          <w:rFonts w:hint="eastAsia" w:hAnsi="宋体"/>
          <w:color w:val="auto"/>
          <w:spacing w:val="20"/>
          <w:szCs w:val="21"/>
          <w:highlight w:val="none"/>
          <w:lang w:eastAsia="zh-CN"/>
        </w:rPr>
      </w:pPr>
      <w:r>
        <w:rPr>
          <w:rFonts w:hAnsi="宋体"/>
          <w:color w:val="auto"/>
          <w:spacing w:val="20"/>
          <w:szCs w:val="21"/>
          <w:highlight w:val="none"/>
        </w:rPr>
        <w:t>负责人</w:t>
      </w:r>
      <w:r>
        <w:rPr>
          <w:rFonts w:hint="eastAsia" w:hAnsi="宋体"/>
          <w:color w:val="auto"/>
          <w:spacing w:val="20"/>
          <w:szCs w:val="21"/>
          <w:highlight w:val="none"/>
        </w:rPr>
        <w:t>（</w:t>
      </w:r>
      <w:r>
        <w:rPr>
          <w:rFonts w:hAnsi="宋体"/>
          <w:color w:val="auto"/>
          <w:spacing w:val="20"/>
          <w:szCs w:val="21"/>
          <w:highlight w:val="none"/>
        </w:rPr>
        <w:t>或</w:t>
      </w:r>
      <w:r>
        <w:rPr>
          <w:rFonts w:hint="eastAsia" w:hAnsi="宋体"/>
          <w:color w:val="auto"/>
          <w:spacing w:val="20"/>
          <w:szCs w:val="21"/>
          <w:highlight w:val="none"/>
        </w:rPr>
        <w:t>委托代理人）签字或盖章</w:t>
      </w:r>
      <w:r>
        <w:rPr>
          <w:rFonts w:hint="eastAsia" w:hAnsi="宋体"/>
          <w:color w:val="auto"/>
          <w:spacing w:val="20"/>
          <w:szCs w:val="21"/>
          <w:highlight w:val="none"/>
          <w:lang w:eastAsia="zh-CN"/>
        </w:rPr>
        <w:t>：</w:t>
      </w:r>
      <w:r>
        <w:rPr>
          <w:rFonts w:hint="eastAsia" w:hAnsi="宋体"/>
          <w:color w:val="auto"/>
          <w:spacing w:val="20"/>
          <w:szCs w:val="21"/>
          <w:highlight w:val="none"/>
          <w:u w:val="single"/>
        </w:rPr>
        <w:t xml:space="preserve">            </w:t>
      </w:r>
    </w:p>
    <w:p w14:paraId="51FAA847">
      <w:pPr>
        <w:pStyle w:val="35"/>
        <w:wordWrap w:val="0"/>
        <w:spacing w:line="360" w:lineRule="auto"/>
        <w:ind w:firstLine="480"/>
        <w:jc w:val="right"/>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DE5F61E">
      <w:pPr>
        <w:pStyle w:val="35"/>
        <w:wordWrap w:val="0"/>
        <w:spacing w:line="360" w:lineRule="auto"/>
        <w:ind w:firstLine="480"/>
        <w:jc w:val="right"/>
        <w:rPr>
          <w:rFonts w:ascii="宋体" w:hAnsi="宋体"/>
          <w:color w:val="auto"/>
          <w:szCs w:val="21"/>
          <w:highlight w:val="none"/>
          <w:u w:val="single"/>
        </w:rPr>
        <w:sectPr>
          <w:pgSz w:w="11906" w:h="16838"/>
          <w:pgMar w:top="1185" w:right="1151" w:bottom="1157" w:left="1185" w:header="851" w:footer="992" w:gutter="0"/>
          <w:pgNumType w:fmt="decimal"/>
          <w:cols w:space="425" w:num="1"/>
          <w:titlePg/>
          <w:docGrid w:type="lines" w:linePitch="312" w:charSpace="0"/>
        </w:sect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05CE85D">
      <w:pPr>
        <w:pageBreakBefore w:val="0"/>
        <w:kinsoku/>
        <w:overflowPunct/>
        <w:topLinePunct w:val="0"/>
        <w:bidi w:val="0"/>
        <w:spacing w:before="120" w:beforeLines="50" w:after="120" w:afterLines="50" w:line="400" w:lineRule="exact"/>
        <w:jc w:val="center"/>
        <w:outlineLvl w:val="2"/>
        <w:rPr>
          <w:rFonts w:hint="default" w:ascii="宋体" w:hAnsi="宋体" w:eastAsia="宋体" w:cs="宋体"/>
          <w:b/>
          <w:color w:val="auto"/>
          <w:sz w:val="24"/>
          <w:szCs w:val="24"/>
          <w:highlight w:val="none"/>
          <w:lang w:val="en-US" w:eastAsia="zh-CN"/>
        </w:rPr>
      </w:pPr>
      <w:bookmarkStart w:id="109" w:name="_Toc9374"/>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bookmarkStart w:id="110" w:name="_Toc493956068"/>
      <w:bookmarkStart w:id="111" w:name="_Toc16866428"/>
      <w:r>
        <w:rPr>
          <w:rFonts w:hint="eastAsia" w:ascii="宋体" w:hAnsi="宋体" w:eastAsia="宋体" w:cs="宋体"/>
          <w:b/>
          <w:color w:val="auto"/>
          <w:sz w:val="24"/>
          <w:szCs w:val="24"/>
          <w:highlight w:val="none"/>
        </w:rPr>
        <w:t>偏离表</w:t>
      </w:r>
      <w:bookmarkEnd w:id="109"/>
      <w:bookmarkEnd w:id="110"/>
      <w:bookmarkEnd w:id="111"/>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格式自拟）</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1855"/>
        <w:gridCol w:w="1855"/>
        <w:gridCol w:w="1855"/>
        <w:gridCol w:w="945"/>
      </w:tblGrid>
      <w:tr w14:paraId="43F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40" w:type="dxa"/>
            <w:tcBorders>
              <w:top w:val="single" w:color="auto" w:sz="4" w:space="0"/>
              <w:left w:val="single" w:color="auto" w:sz="4" w:space="0"/>
              <w:right w:val="single" w:color="auto" w:sz="4" w:space="0"/>
            </w:tcBorders>
            <w:vAlign w:val="center"/>
          </w:tcPr>
          <w:p w14:paraId="68FCB6BB">
            <w:pPr>
              <w:pStyle w:val="45"/>
              <w:pageBreakBefore w:val="0"/>
              <w:tabs>
                <w:tab w:val="left" w:pos="3200"/>
              </w:tabs>
              <w:kinsoku/>
              <w:overflowPunct/>
              <w:topLinePunct w:val="0"/>
              <w:bidi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80" w:type="dxa"/>
            <w:tcBorders>
              <w:top w:val="single" w:color="auto" w:sz="4" w:space="0"/>
              <w:left w:val="single" w:color="auto" w:sz="4" w:space="0"/>
              <w:right w:val="single" w:color="auto" w:sz="4" w:space="0"/>
            </w:tcBorders>
            <w:vAlign w:val="center"/>
          </w:tcPr>
          <w:p w14:paraId="2BC32D9E">
            <w:pPr>
              <w:pStyle w:val="45"/>
              <w:pageBreakBefore w:val="0"/>
              <w:tabs>
                <w:tab w:val="left" w:pos="3200"/>
              </w:tabs>
              <w:kinsoku/>
              <w:overflowPunct/>
              <w:topLinePunct w:val="0"/>
              <w:bidi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服务内容</w:t>
            </w:r>
          </w:p>
        </w:tc>
        <w:tc>
          <w:tcPr>
            <w:tcW w:w="1855" w:type="dxa"/>
            <w:tcBorders>
              <w:top w:val="single" w:color="auto" w:sz="4" w:space="0"/>
              <w:left w:val="single" w:color="auto" w:sz="4" w:space="0"/>
              <w:right w:val="single" w:color="auto" w:sz="4" w:space="0"/>
            </w:tcBorders>
            <w:vAlign w:val="center"/>
          </w:tcPr>
          <w:p w14:paraId="5351690E">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855" w:type="dxa"/>
            <w:tcBorders>
              <w:top w:val="single" w:color="auto" w:sz="4" w:space="0"/>
              <w:left w:val="single" w:color="auto" w:sz="4" w:space="0"/>
              <w:right w:val="single" w:color="auto" w:sz="4" w:space="0"/>
            </w:tcBorders>
            <w:vAlign w:val="center"/>
          </w:tcPr>
          <w:p w14:paraId="1FEA7369">
            <w:pPr>
              <w:pStyle w:val="45"/>
              <w:pageBreakBefore w:val="0"/>
              <w:kinsoku/>
              <w:overflowPunct/>
              <w:topLinePunct w:val="0"/>
              <w:bidi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响应情况</w:t>
            </w:r>
          </w:p>
        </w:tc>
        <w:tc>
          <w:tcPr>
            <w:tcW w:w="1855" w:type="dxa"/>
            <w:tcBorders>
              <w:top w:val="single" w:color="auto" w:sz="4" w:space="0"/>
              <w:left w:val="single" w:color="auto" w:sz="4" w:space="0"/>
              <w:right w:val="single" w:color="auto" w:sz="4" w:space="0"/>
            </w:tcBorders>
            <w:vAlign w:val="center"/>
          </w:tcPr>
          <w:p w14:paraId="4E8FB482">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偏离情况详细说明</w:t>
            </w:r>
          </w:p>
        </w:tc>
        <w:tc>
          <w:tcPr>
            <w:tcW w:w="945" w:type="dxa"/>
            <w:tcBorders>
              <w:top w:val="single" w:color="auto" w:sz="4" w:space="0"/>
              <w:left w:val="single" w:color="auto" w:sz="4" w:space="0"/>
              <w:right w:val="single" w:color="auto" w:sz="4" w:space="0"/>
            </w:tcBorders>
            <w:vAlign w:val="center"/>
          </w:tcPr>
          <w:p w14:paraId="43856FA5">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82B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14:paraId="765EEAFE">
            <w:pPr>
              <w:pStyle w:val="45"/>
              <w:pageBreakBefore w:val="0"/>
              <w:tabs>
                <w:tab w:val="left" w:pos="3200"/>
              </w:tabs>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0" w:type="dxa"/>
            <w:tcBorders>
              <w:top w:val="single" w:color="auto" w:sz="4" w:space="0"/>
              <w:left w:val="single" w:color="auto" w:sz="4" w:space="0"/>
              <w:right w:val="single" w:color="auto" w:sz="4" w:space="0"/>
            </w:tcBorders>
            <w:vAlign w:val="center"/>
          </w:tcPr>
          <w:p w14:paraId="5AF2358B">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313C55CD">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29EFFC4A">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597DC9D1">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14:paraId="22212379">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lang w:val="en-GB"/>
              </w:rPr>
            </w:pPr>
          </w:p>
        </w:tc>
      </w:tr>
      <w:tr w14:paraId="0C22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14:paraId="29AD2763">
            <w:pPr>
              <w:pStyle w:val="45"/>
              <w:pageBreakBefore w:val="0"/>
              <w:tabs>
                <w:tab w:val="left" w:pos="3200"/>
              </w:tabs>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0" w:type="dxa"/>
            <w:tcBorders>
              <w:left w:val="single" w:color="auto" w:sz="4" w:space="0"/>
              <w:right w:val="single" w:color="auto" w:sz="4" w:space="0"/>
            </w:tcBorders>
            <w:vAlign w:val="center"/>
          </w:tcPr>
          <w:p w14:paraId="33E28FA9">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1FFE9E01">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5AD5F647">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245A5FBE">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lang w:val="en-GB"/>
              </w:rPr>
            </w:pPr>
          </w:p>
        </w:tc>
        <w:tc>
          <w:tcPr>
            <w:tcW w:w="945" w:type="dxa"/>
            <w:tcBorders>
              <w:top w:val="single" w:color="auto" w:sz="4" w:space="0"/>
              <w:left w:val="single" w:color="auto" w:sz="4" w:space="0"/>
              <w:bottom w:val="single" w:color="auto" w:sz="4" w:space="0"/>
              <w:right w:val="single" w:color="auto" w:sz="4" w:space="0"/>
            </w:tcBorders>
            <w:vAlign w:val="center"/>
          </w:tcPr>
          <w:p w14:paraId="5A75374A">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lang w:val="en-GB"/>
              </w:rPr>
            </w:pPr>
          </w:p>
        </w:tc>
      </w:tr>
      <w:tr w14:paraId="0E4A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vAlign w:val="center"/>
          </w:tcPr>
          <w:p w14:paraId="3614F64C">
            <w:pPr>
              <w:pStyle w:val="45"/>
              <w:pageBreakBefore w:val="0"/>
              <w:tabs>
                <w:tab w:val="left" w:pos="3200"/>
              </w:tabs>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80" w:type="dxa"/>
            <w:tcBorders>
              <w:left w:val="single" w:color="auto" w:sz="4" w:space="0"/>
              <w:bottom w:val="single" w:color="auto" w:sz="4" w:space="0"/>
              <w:right w:val="single" w:color="auto" w:sz="4" w:space="0"/>
            </w:tcBorders>
            <w:vAlign w:val="center"/>
          </w:tcPr>
          <w:p w14:paraId="3F4349A6">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E6B7778">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2C3379F1">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73EA09ED">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w:t>
            </w:r>
          </w:p>
        </w:tc>
        <w:tc>
          <w:tcPr>
            <w:tcW w:w="945" w:type="dxa"/>
            <w:tcBorders>
              <w:top w:val="single" w:color="auto" w:sz="4" w:space="0"/>
              <w:left w:val="single" w:color="auto" w:sz="4" w:space="0"/>
              <w:bottom w:val="single" w:color="auto" w:sz="4" w:space="0"/>
              <w:right w:val="single" w:color="auto" w:sz="4" w:space="0"/>
            </w:tcBorders>
            <w:vAlign w:val="center"/>
          </w:tcPr>
          <w:p w14:paraId="0E73F343">
            <w:pPr>
              <w:pStyle w:val="45"/>
              <w:pageBreakBefore w:val="0"/>
              <w:kinsoku/>
              <w:overflowPunct/>
              <w:topLinePunct w:val="0"/>
              <w:bidi w:val="0"/>
              <w:spacing w:line="400" w:lineRule="exact"/>
              <w:jc w:val="center"/>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w:t>
            </w:r>
          </w:p>
        </w:tc>
      </w:tr>
    </w:tbl>
    <w:p w14:paraId="120AB5A2">
      <w:pPr>
        <w:pStyle w:val="45"/>
        <w:pageBreakBefore w:val="0"/>
        <w:kinsoku/>
        <w:overflowPunct/>
        <w:topLinePunct w:val="0"/>
        <w:bidi w:val="0"/>
        <w:spacing w:line="400" w:lineRule="exac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注：</w:t>
      </w:r>
    </w:p>
    <w:p w14:paraId="7D6AA24C">
      <w:pPr>
        <w:pStyle w:val="45"/>
        <w:pageBreakBefore w:val="0"/>
        <w:kinsoku/>
        <w:overflowPunct/>
        <w:topLinePunct w:val="0"/>
        <w:bidi w:val="0"/>
        <w:spacing w:line="400" w:lineRule="exac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请各</w:t>
      </w:r>
      <w:r>
        <w:rPr>
          <w:rFonts w:hint="eastAsia" w:ascii="宋体" w:hAnsi="宋体" w:cs="宋体"/>
          <w:color w:val="auto"/>
          <w:sz w:val="21"/>
          <w:szCs w:val="21"/>
          <w:highlight w:val="none"/>
          <w:lang w:val="en-GB" w:eastAsia="zh-CN"/>
        </w:rPr>
        <w:t>供应商</w:t>
      </w:r>
      <w:r>
        <w:rPr>
          <w:rFonts w:hint="eastAsia" w:ascii="宋体" w:hAnsi="宋体" w:eastAsia="宋体" w:cs="宋体"/>
          <w:color w:val="auto"/>
          <w:sz w:val="21"/>
          <w:szCs w:val="21"/>
          <w:highlight w:val="none"/>
          <w:lang w:val="en-GB"/>
        </w:rPr>
        <w:t>参照招标文件严格按以下要求认真填写偏离表：</w:t>
      </w:r>
    </w:p>
    <w:p w14:paraId="502540C9">
      <w:pPr>
        <w:pStyle w:val="45"/>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1.</w:t>
      </w:r>
      <w:r>
        <w:rPr>
          <w:rFonts w:hint="eastAsia" w:ascii="宋体" w:hAnsi="宋体" w:cs="宋体"/>
          <w:color w:val="auto"/>
          <w:sz w:val="21"/>
          <w:szCs w:val="21"/>
          <w:highlight w:val="none"/>
          <w:lang w:val="en-GB" w:eastAsia="zh-CN"/>
        </w:rPr>
        <w:t>供应商</w:t>
      </w:r>
      <w:r>
        <w:rPr>
          <w:rFonts w:hint="eastAsia" w:ascii="宋体" w:hAnsi="宋体" w:eastAsia="宋体" w:cs="宋体"/>
          <w:color w:val="auto"/>
          <w:sz w:val="21"/>
          <w:szCs w:val="21"/>
          <w:highlight w:val="none"/>
          <w:lang w:val="en-GB"/>
        </w:rPr>
        <w:t>应根据投标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GB"/>
        </w:rPr>
        <w:t>的实际</w:t>
      </w:r>
      <w:r>
        <w:rPr>
          <w:rFonts w:hint="eastAsia" w:ascii="宋体" w:hAnsi="宋体" w:cs="宋体"/>
          <w:color w:val="auto"/>
          <w:sz w:val="21"/>
          <w:szCs w:val="21"/>
          <w:highlight w:val="none"/>
          <w:lang w:val="en-US" w:eastAsia="zh-CN"/>
        </w:rPr>
        <w:t>情况</w:t>
      </w:r>
      <w:r>
        <w:rPr>
          <w:rFonts w:hint="eastAsia" w:ascii="宋体" w:hAnsi="宋体" w:eastAsia="宋体" w:cs="宋体"/>
          <w:color w:val="auto"/>
          <w:sz w:val="21"/>
          <w:szCs w:val="21"/>
          <w:highlight w:val="none"/>
          <w:lang w:val="en-GB"/>
        </w:rPr>
        <w:t>，并对照</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GB"/>
        </w:rPr>
        <w:t>文件要求，对确实存在投标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GB"/>
        </w:rPr>
        <w:t>与</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GB"/>
        </w:rPr>
        <w:t>文件要求有偏离的情况，应真实、认真的填写本表。</w:t>
      </w:r>
      <w:r>
        <w:rPr>
          <w:rFonts w:hint="eastAsia" w:ascii="宋体" w:hAnsi="宋体" w:eastAsia="宋体" w:cs="宋体"/>
          <w:b/>
          <w:color w:val="auto"/>
          <w:sz w:val="21"/>
          <w:szCs w:val="21"/>
          <w:highlight w:val="none"/>
          <w:lang w:val="en-GB"/>
        </w:rPr>
        <w:t>无偏离部分无需填到此表内，</w:t>
      </w:r>
      <w:r>
        <w:rPr>
          <w:rFonts w:hint="eastAsia" w:ascii="宋体" w:hAnsi="宋体" w:eastAsia="宋体" w:cs="宋体"/>
          <w:color w:val="auto"/>
          <w:sz w:val="21"/>
          <w:szCs w:val="21"/>
          <w:highlight w:val="none"/>
          <w:lang w:val="en-GB"/>
        </w:rPr>
        <w:t>“</w:t>
      </w:r>
      <w:r>
        <w:rPr>
          <w:rFonts w:hint="eastAsia" w:ascii="宋体" w:hAnsi="宋体" w:cs="宋体"/>
          <w:color w:val="auto"/>
          <w:sz w:val="21"/>
          <w:szCs w:val="21"/>
          <w:highlight w:val="none"/>
          <w:lang w:val="en-US" w:eastAsia="zh-CN"/>
        </w:rPr>
        <w:t>服务内容</w:t>
      </w:r>
      <w:r>
        <w:rPr>
          <w:rFonts w:hint="eastAsia" w:ascii="宋体" w:hAnsi="宋体" w:eastAsia="宋体" w:cs="宋体"/>
          <w:color w:val="auto"/>
          <w:sz w:val="21"/>
          <w:szCs w:val="21"/>
          <w:highlight w:val="none"/>
          <w:lang w:val="en-GB"/>
        </w:rPr>
        <w:t>”栏注明偏离</w:t>
      </w:r>
      <w:r>
        <w:rPr>
          <w:rFonts w:hint="eastAsia" w:ascii="宋体" w:hAnsi="宋体" w:cs="宋体"/>
          <w:color w:val="auto"/>
          <w:sz w:val="21"/>
          <w:szCs w:val="21"/>
          <w:highlight w:val="none"/>
          <w:lang w:val="en-US" w:eastAsia="zh-CN"/>
        </w:rPr>
        <w:t>服务内容</w:t>
      </w:r>
      <w:r>
        <w:rPr>
          <w:rFonts w:hint="eastAsia" w:ascii="宋体" w:hAnsi="宋体" w:eastAsia="宋体" w:cs="宋体"/>
          <w:color w:val="auto"/>
          <w:sz w:val="21"/>
          <w:szCs w:val="21"/>
          <w:highlight w:val="none"/>
          <w:lang w:val="en-GB"/>
        </w:rPr>
        <w:t>的名称；“</w:t>
      </w: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响应情况</w:t>
      </w:r>
      <w:r>
        <w:rPr>
          <w:rFonts w:hint="eastAsia" w:ascii="宋体" w:hAnsi="宋体" w:eastAsia="宋体" w:cs="宋体"/>
          <w:color w:val="auto"/>
          <w:sz w:val="21"/>
          <w:szCs w:val="21"/>
          <w:highlight w:val="none"/>
          <w:lang w:val="en-GB"/>
        </w:rPr>
        <w:t>” 栏注明投标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GB"/>
        </w:rPr>
        <w:t>的详细技术</w:t>
      </w:r>
      <w:r>
        <w:rPr>
          <w:rFonts w:hint="eastAsia" w:ascii="宋体" w:hAnsi="宋体" w:cs="宋体"/>
          <w:color w:val="auto"/>
          <w:sz w:val="21"/>
          <w:szCs w:val="21"/>
          <w:highlight w:val="none"/>
          <w:lang w:val="en-US" w:eastAsia="zh-CN"/>
        </w:rPr>
        <w:t xml:space="preserve">服务内容 </w:t>
      </w:r>
      <w:r>
        <w:rPr>
          <w:rFonts w:hint="eastAsia" w:ascii="宋体" w:hAnsi="宋体" w:eastAsia="宋体" w:cs="宋体"/>
          <w:color w:val="auto"/>
          <w:sz w:val="21"/>
          <w:szCs w:val="21"/>
          <w:highlight w:val="none"/>
          <w:lang w:val="en-GB"/>
        </w:rPr>
        <w:t>；“偏离情况详细说明”栏注明详细的偏离指标及说明；“备注”栏注明此项偏离为“正偏离”或“负偏离”；</w:t>
      </w:r>
      <w:r>
        <w:rPr>
          <w:rFonts w:hint="eastAsia" w:ascii="宋体" w:hAnsi="宋体" w:cs="宋体"/>
          <w:color w:val="auto"/>
          <w:sz w:val="21"/>
          <w:szCs w:val="21"/>
          <w:highlight w:val="none"/>
          <w:lang w:val="en-GB" w:eastAsia="zh-CN"/>
        </w:rPr>
        <w:t>供应商</w:t>
      </w:r>
      <w:r>
        <w:rPr>
          <w:rFonts w:hint="eastAsia" w:ascii="宋体" w:hAnsi="宋体" w:eastAsia="宋体" w:cs="宋体"/>
          <w:color w:val="auto"/>
          <w:sz w:val="21"/>
          <w:szCs w:val="21"/>
          <w:highlight w:val="none"/>
          <w:lang w:val="en-GB"/>
        </w:rPr>
        <w:t>应任何原因漏写或缺项或填写不正确的，后果由</w:t>
      </w:r>
      <w:r>
        <w:rPr>
          <w:rFonts w:hint="eastAsia" w:ascii="宋体" w:hAnsi="宋体" w:cs="宋体"/>
          <w:color w:val="auto"/>
          <w:sz w:val="21"/>
          <w:szCs w:val="21"/>
          <w:highlight w:val="none"/>
          <w:lang w:val="en-GB" w:eastAsia="zh-CN"/>
        </w:rPr>
        <w:t>供应商</w:t>
      </w:r>
      <w:r>
        <w:rPr>
          <w:rFonts w:hint="eastAsia" w:ascii="宋体" w:hAnsi="宋体" w:eastAsia="宋体" w:cs="宋体"/>
          <w:color w:val="auto"/>
          <w:sz w:val="21"/>
          <w:szCs w:val="21"/>
          <w:highlight w:val="none"/>
          <w:lang w:val="en-GB"/>
        </w:rPr>
        <w:t>自行承担。</w:t>
      </w:r>
    </w:p>
    <w:p w14:paraId="14E71340">
      <w:pPr>
        <w:pStyle w:val="45"/>
        <w:pageBreakBefore w:val="0"/>
        <w:tabs>
          <w:tab w:val="left" w:pos="1267"/>
        </w:tabs>
        <w:kinsoku/>
        <w:overflowPunct/>
        <w:topLinePunct w:val="0"/>
        <w:bidi w:val="0"/>
        <w:spacing w:line="400" w:lineRule="exact"/>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2.</w:t>
      </w:r>
      <w:r>
        <w:rPr>
          <w:rFonts w:hint="eastAsia" w:ascii="宋体" w:hAnsi="宋体" w:cs="宋体"/>
          <w:color w:val="auto"/>
          <w:sz w:val="21"/>
          <w:szCs w:val="21"/>
          <w:highlight w:val="none"/>
          <w:lang w:val="en-GB" w:eastAsia="zh-CN"/>
        </w:rPr>
        <w:t>供应商</w:t>
      </w:r>
      <w:r>
        <w:rPr>
          <w:rFonts w:hint="eastAsia" w:ascii="宋体" w:hAnsi="宋体" w:eastAsia="宋体" w:cs="宋体"/>
          <w:color w:val="auto"/>
          <w:sz w:val="21"/>
          <w:szCs w:val="21"/>
          <w:highlight w:val="none"/>
          <w:lang w:val="en-GB"/>
        </w:rPr>
        <w:t>真实填写本表，并对其真实性负责。</w:t>
      </w: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val="en-GB"/>
        </w:rPr>
        <w:t>将根据评审办法和细则进行打分。）如某项非实质性投标规格实际为“负偏离”，而</w:t>
      </w:r>
      <w:r>
        <w:rPr>
          <w:rFonts w:hint="eastAsia" w:ascii="宋体" w:hAnsi="宋体" w:cs="宋体"/>
          <w:color w:val="auto"/>
          <w:sz w:val="21"/>
          <w:szCs w:val="21"/>
          <w:highlight w:val="none"/>
          <w:lang w:val="en-GB" w:eastAsia="zh-CN"/>
        </w:rPr>
        <w:t>供应商</w:t>
      </w:r>
      <w:r>
        <w:rPr>
          <w:rFonts w:hint="eastAsia" w:ascii="宋体" w:hAnsi="宋体" w:eastAsia="宋体" w:cs="宋体"/>
          <w:color w:val="auto"/>
          <w:sz w:val="21"/>
          <w:szCs w:val="21"/>
          <w:highlight w:val="none"/>
          <w:lang w:val="en-GB"/>
        </w:rPr>
        <w:t>注明为“正偏离”或不注明的，</w:t>
      </w: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val="en-GB"/>
        </w:rPr>
        <w:t>可对此项偏离按评审办法加倍减分。</w:t>
      </w:r>
    </w:p>
    <w:p w14:paraId="38BA398E">
      <w:pPr>
        <w:pStyle w:val="45"/>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 xml:space="preserve">3. </w:t>
      </w:r>
      <w:r>
        <w:rPr>
          <w:rFonts w:hint="eastAsia" w:ascii="宋体" w:hAnsi="宋体" w:cs="宋体"/>
          <w:color w:val="auto"/>
          <w:sz w:val="21"/>
          <w:szCs w:val="21"/>
          <w:highlight w:val="none"/>
          <w:lang w:val="en-GB" w:eastAsia="zh-CN"/>
        </w:rPr>
        <w:t>供应商</w:t>
      </w:r>
      <w:r>
        <w:rPr>
          <w:rFonts w:hint="eastAsia" w:ascii="宋体" w:hAnsi="宋体" w:eastAsia="宋体" w:cs="宋体"/>
          <w:color w:val="auto"/>
          <w:sz w:val="21"/>
          <w:szCs w:val="21"/>
          <w:highlight w:val="none"/>
          <w:lang w:val="en-GB"/>
        </w:rPr>
        <w:t>注明的偏离情况只作为评审专家评定的参考，最终是否构成偏离或实质性偏离情况应由</w:t>
      </w: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val="en-GB"/>
        </w:rPr>
        <w:t>决定。</w:t>
      </w:r>
    </w:p>
    <w:p w14:paraId="07BFFA2D">
      <w:pPr>
        <w:pStyle w:val="45"/>
        <w:pageBreakBefore w:val="0"/>
        <w:kinsoku/>
        <w:overflowPunct/>
        <w:topLinePunct w:val="0"/>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4.不允许存在实质性负偏离。（招标文件中</w:t>
      </w:r>
      <w:r>
        <w:rPr>
          <w:rFonts w:hint="eastAsia" w:ascii="宋体" w:hAnsi="宋体" w:eastAsia="宋体" w:cs="宋体"/>
          <w:color w:val="auto"/>
          <w:sz w:val="21"/>
          <w:szCs w:val="21"/>
          <w:highlight w:val="none"/>
        </w:rPr>
        <w:t>“▲”条款为实质性条款）</w:t>
      </w:r>
    </w:p>
    <w:p w14:paraId="0278192A">
      <w:pPr>
        <w:pStyle w:val="45"/>
        <w:pageBreakBefore w:val="0"/>
        <w:kinsoku/>
        <w:overflowPunct/>
        <w:topLinePunct w:val="0"/>
        <w:bidi w:val="0"/>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GB"/>
        </w:rPr>
        <w:t>5.投标规格的实际偏离情况以</w:t>
      </w: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val="en-GB"/>
        </w:rPr>
        <w:t>综合评价为准，</w:t>
      </w:r>
      <w:r>
        <w:rPr>
          <w:rFonts w:hint="eastAsia" w:ascii="宋体" w:hAnsi="宋体" w:eastAsia="宋体" w:cs="宋体"/>
          <w:bCs/>
          <w:color w:val="auto"/>
          <w:sz w:val="21"/>
          <w:szCs w:val="21"/>
          <w:highlight w:val="none"/>
        </w:rPr>
        <w:t>解释权属</w:t>
      </w:r>
      <w:r>
        <w:rPr>
          <w:rFonts w:hint="eastAsia" w:ascii="宋体" w:hAnsi="宋体" w:eastAsia="宋体" w:cs="宋体"/>
          <w:color w:val="auto"/>
          <w:sz w:val="21"/>
          <w:szCs w:val="21"/>
          <w:highlight w:val="none"/>
        </w:rPr>
        <w:t>评标委员会</w:t>
      </w:r>
      <w:r>
        <w:rPr>
          <w:rFonts w:hint="eastAsia" w:ascii="宋体" w:hAnsi="宋体" w:eastAsia="宋体" w:cs="宋体"/>
          <w:bCs/>
          <w:color w:val="auto"/>
          <w:sz w:val="21"/>
          <w:szCs w:val="21"/>
          <w:highlight w:val="none"/>
        </w:rPr>
        <w:t>。</w:t>
      </w:r>
    </w:p>
    <w:p w14:paraId="75F1FE38">
      <w:pPr>
        <w:pageBreakBefore w:val="0"/>
        <w:kinsoku/>
        <w:overflowPunct/>
        <w:topLinePunct w:val="0"/>
        <w:bidi w:val="0"/>
        <w:spacing w:line="400" w:lineRule="exact"/>
        <w:jc w:val="center"/>
        <w:rPr>
          <w:rFonts w:hint="eastAsia" w:ascii="宋体" w:hAnsi="宋体" w:eastAsia="宋体" w:cs="宋体"/>
          <w:color w:val="auto"/>
          <w:sz w:val="21"/>
          <w:szCs w:val="21"/>
          <w:highlight w:val="none"/>
        </w:rPr>
      </w:pPr>
    </w:p>
    <w:p w14:paraId="38BAF3F7">
      <w:pPr>
        <w:pStyle w:val="38"/>
        <w:spacing w:line="520" w:lineRule="exact"/>
        <w:ind w:firstLine="3625" w:firstLineChars="1450"/>
        <w:rPr>
          <w:rFonts w:hint="eastAsia" w:hAnsi="宋体"/>
          <w:color w:val="auto"/>
          <w:spacing w:val="20"/>
          <w:szCs w:val="21"/>
          <w:highlight w:val="none"/>
          <w:lang w:eastAsia="zh-CN"/>
        </w:rPr>
      </w:pPr>
      <w:r>
        <w:rPr>
          <w:rFonts w:hAnsi="宋体"/>
          <w:color w:val="auto"/>
          <w:spacing w:val="20"/>
          <w:szCs w:val="21"/>
          <w:highlight w:val="none"/>
        </w:rPr>
        <w:t>负责人</w:t>
      </w:r>
      <w:r>
        <w:rPr>
          <w:rFonts w:hint="eastAsia" w:hAnsi="宋体"/>
          <w:color w:val="auto"/>
          <w:spacing w:val="20"/>
          <w:szCs w:val="21"/>
          <w:highlight w:val="none"/>
        </w:rPr>
        <w:t>（</w:t>
      </w:r>
      <w:r>
        <w:rPr>
          <w:rFonts w:hAnsi="宋体"/>
          <w:color w:val="auto"/>
          <w:spacing w:val="20"/>
          <w:szCs w:val="21"/>
          <w:highlight w:val="none"/>
        </w:rPr>
        <w:t>或</w:t>
      </w:r>
      <w:r>
        <w:rPr>
          <w:rFonts w:hint="eastAsia" w:hAnsi="宋体"/>
          <w:color w:val="auto"/>
          <w:spacing w:val="20"/>
          <w:szCs w:val="21"/>
          <w:highlight w:val="none"/>
        </w:rPr>
        <w:t>委托代理人）签字或盖章</w:t>
      </w:r>
      <w:r>
        <w:rPr>
          <w:rFonts w:hint="eastAsia" w:hAnsi="宋体"/>
          <w:color w:val="auto"/>
          <w:spacing w:val="20"/>
          <w:szCs w:val="21"/>
          <w:highlight w:val="none"/>
          <w:lang w:eastAsia="zh-CN"/>
        </w:rPr>
        <w:t>：</w:t>
      </w:r>
      <w:r>
        <w:rPr>
          <w:rFonts w:hint="eastAsia" w:hAnsi="宋体"/>
          <w:color w:val="auto"/>
          <w:spacing w:val="20"/>
          <w:szCs w:val="21"/>
          <w:highlight w:val="none"/>
          <w:u w:val="single"/>
        </w:rPr>
        <w:t xml:space="preserve">            </w:t>
      </w:r>
    </w:p>
    <w:p w14:paraId="684D8DD3">
      <w:pPr>
        <w:pStyle w:val="35"/>
        <w:wordWrap w:val="0"/>
        <w:spacing w:line="360" w:lineRule="auto"/>
        <w:ind w:firstLine="480"/>
        <w:jc w:val="right"/>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E5DE365">
      <w:pPr>
        <w:pStyle w:val="35"/>
        <w:wordWrap w:val="0"/>
        <w:spacing w:line="360" w:lineRule="auto"/>
        <w:ind w:firstLine="480"/>
        <w:jc w:val="right"/>
        <w:rPr>
          <w:rFonts w:ascii="宋体" w:hAnsi="宋体"/>
          <w:color w:val="auto"/>
          <w:szCs w:val="21"/>
          <w:highlight w:val="none"/>
          <w:u w:val="single"/>
        </w:rPr>
        <w:sectPr>
          <w:pgSz w:w="11906" w:h="16838"/>
          <w:pgMar w:top="1185" w:right="1151" w:bottom="1157" w:left="1185" w:header="851" w:footer="992" w:gutter="0"/>
          <w:pgNumType w:fmt="decimal"/>
          <w:cols w:space="425" w:num="1"/>
          <w:titlePg/>
          <w:docGrid w:type="lines" w:linePitch="312" w:charSpace="0"/>
        </w:sect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2BA2311">
      <w:pPr>
        <w:pStyle w:val="14"/>
        <w:pageBreakBefore w:val="0"/>
        <w:kinsoku/>
        <w:overflowPunct/>
        <w:topLinePunct w:val="0"/>
        <w:bidi w:val="0"/>
        <w:spacing w:line="400" w:lineRule="exact"/>
        <w:ind w:firstLine="3855" w:firstLineChars="1600"/>
        <w:outlineLvl w:val="2"/>
        <w:rPr>
          <w:rFonts w:hint="eastAsia" w:ascii="宋体" w:hAnsi="宋体" w:eastAsia="宋体" w:cs="宋体"/>
          <w:b/>
          <w:color w:val="auto"/>
          <w:sz w:val="24"/>
          <w:szCs w:val="24"/>
          <w:highlight w:val="none"/>
        </w:rPr>
      </w:pPr>
      <w:bookmarkStart w:id="112" w:name="_Toc2963"/>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、其  他</w:t>
      </w:r>
      <w:bookmarkEnd w:id="112"/>
    </w:p>
    <w:p w14:paraId="011E43FD">
      <w:pPr>
        <w:pStyle w:val="46"/>
        <w:pageBreakBefore w:val="0"/>
        <w:kinsoku/>
        <w:overflowPunct/>
        <w:topLinePunct w:val="0"/>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除磋商文件规定的资信及商务文件要求格式外，供应商还可以提供（不限于）如下证明材料：</w:t>
      </w:r>
    </w:p>
    <w:p w14:paraId="7ACEC089">
      <w:pPr>
        <w:pStyle w:val="46"/>
        <w:pageBreakBefore w:val="0"/>
        <w:kinsoku/>
        <w:overflowPunct/>
        <w:topLinePunct w:val="0"/>
        <w:bidi w:val="0"/>
        <w:spacing w:line="400" w:lineRule="exact"/>
        <w:ind w:firstLine="422" w:firstLineChars="200"/>
        <w:rPr>
          <w:rFonts w:hint="eastAsia" w:ascii="宋体" w:hAnsi="宋体" w:eastAsia="宋体" w:cs="宋体"/>
          <w:b/>
          <w:bCs/>
          <w:color w:val="auto"/>
          <w:sz w:val="21"/>
          <w:szCs w:val="21"/>
          <w:highlight w:val="none"/>
        </w:rPr>
      </w:pP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1</w:t>
      </w:r>
      <w:r>
        <w:rPr>
          <w:rFonts w:hint="eastAsia"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资信及商务评审办法要求的其他资料；</w:t>
      </w:r>
    </w:p>
    <w:p w14:paraId="599DE44E">
      <w:pPr>
        <w:pStyle w:val="46"/>
        <w:pageBreakBefore w:val="0"/>
        <w:kinsoku/>
        <w:overflowPunct/>
        <w:topLinePunct w:val="0"/>
        <w:bidi w:val="0"/>
        <w:spacing w:line="400" w:lineRule="exact"/>
        <w:ind w:firstLine="422" w:firstLineChars="200"/>
        <w:rPr>
          <w:rFonts w:hint="eastAsia" w:ascii="宋体" w:hAnsi="宋体" w:eastAsia="宋体" w:cs="宋体"/>
          <w:b/>
          <w:bCs/>
          <w:color w:val="auto"/>
          <w:sz w:val="21"/>
          <w:szCs w:val="21"/>
          <w:highlight w:val="none"/>
        </w:rPr>
      </w:pP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2</w:t>
      </w:r>
      <w:r>
        <w:rPr>
          <w:rFonts w:hint="eastAsia"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供应商认为可以证明其资信及商务方面的其他材料；</w:t>
      </w:r>
    </w:p>
    <w:p w14:paraId="17D4CADD">
      <w:pPr>
        <w:pStyle w:val="46"/>
        <w:pageBreakBefore w:val="0"/>
        <w:kinsoku/>
        <w:overflowPunct/>
        <w:topLinePunct w:val="0"/>
        <w:bidi w:val="0"/>
        <w:spacing w:line="400" w:lineRule="exact"/>
        <w:ind w:firstLine="422" w:firstLineChars="200"/>
        <w:rPr>
          <w:rFonts w:hint="eastAsia" w:ascii="宋体" w:hAnsi="宋体" w:eastAsia="宋体" w:cs="宋体"/>
          <w:b/>
          <w:bCs/>
          <w:color w:val="auto"/>
          <w:sz w:val="21"/>
          <w:szCs w:val="21"/>
          <w:highlight w:val="none"/>
        </w:rPr>
      </w:pP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3</w:t>
      </w:r>
      <w:r>
        <w:rPr>
          <w:rFonts w:hint="eastAsia"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供应商认为需要提供的及评分办法要求提供的其他资料</w:t>
      </w:r>
    </w:p>
    <w:p w14:paraId="373BBF04">
      <w:pPr>
        <w:pStyle w:val="47"/>
        <w:pageBreakBefore w:val="0"/>
        <w:kinsoku/>
        <w:overflowPunct/>
        <w:topLinePunct w:val="0"/>
        <w:bidi w:val="0"/>
        <w:snapToGrid w:val="0"/>
        <w:spacing w:line="4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格式自拟。</w:t>
      </w:r>
    </w:p>
    <w:p w14:paraId="4514A475">
      <w:pPr>
        <w:pageBreakBefore w:val="0"/>
        <w:kinsoku/>
        <w:overflowPunct/>
        <w:topLinePunct w:val="0"/>
        <w:bidi w:val="0"/>
        <w:spacing w:line="400" w:lineRule="exact"/>
        <w:jc w:val="center"/>
        <w:rPr>
          <w:rFonts w:hint="eastAsia" w:ascii="宋体" w:hAnsi="宋体" w:eastAsia="宋体" w:cs="宋体"/>
          <w:b/>
          <w:color w:val="auto"/>
          <w:sz w:val="24"/>
          <w:szCs w:val="24"/>
          <w:highlight w:val="none"/>
        </w:rPr>
      </w:pPr>
    </w:p>
    <w:p w14:paraId="3EF0A7D0">
      <w:pPr>
        <w:pStyle w:val="5"/>
        <w:pageBreakBefore w:val="0"/>
        <w:kinsoku/>
        <w:overflowPunct/>
        <w:topLinePunct w:val="0"/>
        <w:bidi w:val="0"/>
        <w:spacing w:line="400" w:lineRule="exact"/>
        <w:ind w:firstLine="0"/>
        <w:rPr>
          <w:rFonts w:hint="eastAsia" w:ascii="宋体" w:hAnsi="宋体" w:eastAsia="宋体" w:cs="宋体"/>
          <w:color w:val="auto"/>
          <w:sz w:val="21"/>
          <w:szCs w:val="21"/>
          <w:highlight w:val="none"/>
        </w:rPr>
      </w:pPr>
    </w:p>
    <w:p w14:paraId="07C36839">
      <w:pPr>
        <w:pStyle w:val="5"/>
        <w:pageBreakBefore w:val="0"/>
        <w:kinsoku/>
        <w:overflowPunct/>
        <w:topLinePunct w:val="0"/>
        <w:bidi w:val="0"/>
        <w:spacing w:line="400" w:lineRule="exact"/>
        <w:ind w:firstLine="0"/>
        <w:rPr>
          <w:rFonts w:hint="eastAsia" w:ascii="宋体" w:hAnsi="宋体" w:eastAsia="宋体" w:cs="宋体"/>
          <w:color w:val="auto"/>
          <w:sz w:val="21"/>
          <w:szCs w:val="21"/>
          <w:highlight w:val="none"/>
        </w:rPr>
      </w:pPr>
    </w:p>
    <w:p w14:paraId="6FA6DB7E">
      <w:pPr>
        <w:pStyle w:val="5"/>
        <w:pageBreakBefore w:val="0"/>
        <w:kinsoku/>
        <w:overflowPunct/>
        <w:topLinePunct w:val="0"/>
        <w:bidi w:val="0"/>
        <w:spacing w:line="400" w:lineRule="exact"/>
        <w:ind w:firstLine="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br w:type="page"/>
      </w:r>
    </w:p>
    <w:p w14:paraId="1F15A59D">
      <w:pPr>
        <w:pStyle w:val="3"/>
        <w:pageBreakBefore w:val="0"/>
        <w:kinsoku/>
        <w:overflowPunct/>
        <w:topLinePunct w:val="0"/>
        <w:bidi w:val="0"/>
        <w:spacing w:line="400" w:lineRule="exact"/>
        <w:ind w:firstLine="0" w:firstLineChars="0"/>
        <w:jc w:val="center"/>
        <w:outlineLvl w:val="1"/>
        <w:rPr>
          <w:rFonts w:hint="eastAsia" w:ascii="宋体" w:hAnsi="宋体" w:eastAsia="宋体" w:cs="宋体"/>
          <w:color w:val="auto"/>
          <w:sz w:val="28"/>
          <w:szCs w:val="28"/>
          <w:highlight w:val="none"/>
        </w:rPr>
      </w:pPr>
      <w:bookmarkStart w:id="113" w:name="_Toc15497221"/>
      <w:bookmarkStart w:id="114" w:name="_Toc48143003"/>
      <w:bookmarkStart w:id="115" w:name="_Toc5635"/>
      <w:r>
        <w:rPr>
          <w:rFonts w:hint="eastAsia" w:ascii="宋体" w:hAnsi="宋体" w:eastAsia="宋体" w:cs="宋体"/>
          <w:color w:val="auto"/>
          <w:sz w:val="28"/>
          <w:szCs w:val="28"/>
          <w:highlight w:val="none"/>
        </w:rPr>
        <w:t>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报价文件格式</w:t>
      </w:r>
      <w:bookmarkEnd w:id="108"/>
      <w:bookmarkEnd w:id="113"/>
      <w:bookmarkEnd w:id="114"/>
      <w:bookmarkEnd w:id="115"/>
    </w:p>
    <w:p w14:paraId="4DCBC6F0">
      <w:pPr>
        <w:pageBreakBefore w:val="0"/>
        <w:kinsoku/>
        <w:overflowPunct/>
        <w:topLinePunct w:val="0"/>
        <w:bidi w:val="0"/>
        <w:spacing w:line="400" w:lineRule="exact"/>
        <w:jc w:val="both"/>
        <w:rPr>
          <w:rFonts w:hint="eastAsia" w:ascii="宋体" w:hAnsi="宋体" w:eastAsia="宋体" w:cs="宋体"/>
          <w:color w:val="auto"/>
          <w:sz w:val="21"/>
          <w:szCs w:val="21"/>
          <w:highlight w:val="none"/>
        </w:rPr>
        <w:sectPr>
          <w:pgSz w:w="11906" w:h="16838"/>
          <w:pgMar w:top="1185" w:right="1151" w:bottom="1157" w:left="1185" w:header="851" w:footer="992" w:gutter="0"/>
          <w:pgNumType w:fmt="decimal"/>
          <w:cols w:space="425" w:num="1"/>
          <w:titlePg/>
          <w:docGrid w:type="lines" w:linePitch="312" w:charSpace="0"/>
        </w:sectPr>
      </w:pPr>
    </w:p>
    <w:p w14:paraId="330513F6">
      <w:pPr>
        <w:pStyle w:val="5"/>
        <w:pageBreakBefore w:val="0"/>
        <w:kinsoku/>
        <w:overflowPunct/>
        <w:topLinePunct w:val="0"/>
        <w:bidi w:val="0"/>
        <w:spacing w:line="400" w:lineRule="exact"/>
        <w:ind w:firstLine="4006" w:firstLineChars="1900"/>
        <w:jc w:val="both"/>
        <w:outlineLvl w:val="2"/>
        <w:rPr>
          <w:rFonts w:hint="eastAsia" w:ascii="宋体" w:hAnsi="宋体" w:eastAsia="宋体" w:cs="宋体"/>
          <w:b/>
          <w:color w:val="auto"/>
          <w:sz w:val="21"/>
          <w:szCs w:val="21"/>
          <w:highlight w:val="none"/>
        </w:rPr>
      </w:pPr>
      <w:bookmarkStart w:id="116" w:name="_Toc2808"/>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开标一览表</w:t>
      </w:r>
      <w:bookmarkEnd w:id="116"/>
    </w:p>
    <w:p w14:paraId="7D08FCA5">
      <w:pPr>
        <w:spacing w:line="360" w:lineRule="auto"/>
        <w:ind w:firstLine="280" w:firstLineChars="100"/>
        <w:rPr>
          <w:rFonts w:hint="eastAsia" w:ascii="宋体" w:hAnsi="宋体"/>
          <w:color w:val="auto"/>
          <w:spacing w:val="20"/>
          <w:sz w:val="24"/>
          <w:highlight w:val="none"/>
        </w:rPr>
      </w:pPr>
      <w:r>
        <w:rPr>
          <w:rFonts w:hint="eastAsia" w:ascii="宋体" w:hAnsi="宋体"/>
          <w:color w:val="auto"/>
          <w:spacing w:val="20"/>
          <w:sz w:val="24"/>
          <w:highlight w:val="none"/>
        </w:rPr>
        <w:t>采购编号：</w:t>
      </w:r>
    </w:p>
    <w:p w14:paraId="7409D603">
      <w:pPr>
        <w:spacing w:line="360" w:lineRule="auto"/>
        <w:ind w:firstLine="280" w:firstLineChars="100"/>
        <w:rPr>
          <w:rFonts w:ascii="宋体" w:hAnsi="宋体"/>
          <w:color w:val="auto"/>
          <w:spacing w:val="20"/>
          <w:sz w:val="24"/>
          <w:highlight w:val="none"/>
        </w:rPr>
      </w:pPr>
      <w:r>
        <w:rPr>
          <w:rFonts w:hint="eastAsia" w:ascii="宋体" w:hAnsi="宋体"/>
          <w:color w:val="auto"/>
          <w:spacing w:val="20"/>
          <w:sz w:val="24"/>
          <w:highlight w:val="none"/>
        </w:rPr>
        <w:t>项目名称：</w:t>
      </w:r>
    </w:p>
    <w:tbl>
      <w:tblPr>
        <w:tblStyle w:val="26"/>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07"/>
        <w:gridCol w:w="3016"/>
        <w:gridCol w:w="2430"/>
        <w:gridCol w:w="2430"/>
      </w:tblGrid>
      <w:tr w14:paraId="18B4CAE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907" w:type="dxa"/>
            <w:tcBorders>
              <w:bottom w:val="single" w:color="000000" w:sz="6" w:space="0"/>
              <w:right w:val="single" w:color="000000" w:sz="6" w:space="0"/>
            </w:tcBorders>
            <w:noWrap w:val="0"/>
            <w:vAlign w:val="center"/>
          </w:tcPr>
          <w:p w14:paraId="3A84F26D">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序号</w:t>
            </w:r>
          </w:p>
        </w:tc>
        <w:tc>
          <w:tcPr>
            <w:tcW w:w="3016" w:type="dxa"/>
            <w:tcBorders>
              <w:left w:val="single" w:color="000000" w:sz="6" w:space="0"/>
              <w:bottom w:val="single" w:color="000000" w:sz="6" w:space="0"/>
              <w:right w:val="single" w:color="000000" w:sz="6" w:space="0"/>
            </w:tcBorders>
            <w:noWrap w:val="0"/>
            <w:vAlign w:val="center"/>
          </w:tcPr>
          <w:p w14:paraId="556602CA">
            <w:pPr>
              <w:tabs>
                <w:tab w:val="left" w:pos="420"/>
                <w:tab w:val="center" w:pos="4153"/>
                <w:tab w:val="right" w:pos="8306"/>
              </w:tabs>
              <w:adjustRightInd w:val="0"/>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项目内容</w:t>
            </w:r>
          </w:p>
        </w:tc>
        <w:tc>
          <w:tcPr>
            <w:tcW w:w="2430" w:type="dxa"/>
            <w:tcBorders>
              <w:left w:val="single" w:color="000000" w:sz="6" w:space="0"/>
              <w:bottom w:val="single" w:color="000000" w:sz="6" w:space="0"/>
            </w:tcBorders>
            <w:noWrap w:val="0"/>
            <w:vAlign w:val="center"/>
          </w:tcPr>
          <w:p w14:paraId="2FC2A391">
            <w:pPr>
              <w:spacing w:line="360" w:lineRule="auto"/>
              <w:jc w:val="center"/>
              <w:rPr>
                <w:rFonts w:hint="eastAsia" w:ascii="宋体" w:hAnsi="宋体" w:eastAsia="宋体"/>
                <w:color w:val="auto"/>
                <w:spacing w:val="20"/>
                <w:sz w:val="24"/>
                <w:highlight w:val="none"/>
                <w:u w:val="single"/>
                <w:lang w:val="en-US" w:eastAsia="zh-CN"/>
              </w:rPr>
            </w:pPr>
            <w:r>
              <w:rPr>
                <w:rFonts w:hint="eastAsia" w:ascii="宋体" w:hAnsi="宋体" w:eastAsia="宋体" w:cs="Times New Roman"/>
                <w:color w:val="auto"/>
                <w:spacing w:val="20"/>
                <w:sz w:val="24"/>
                <w:highlight w:val="none"/>
              </w:rPr>
              <w:t>▲报价</w:t>
            </w:r>
            <w:r>
              <w:rPr>
                <w:rFonts w:hint="eastAsia" w:ascii="宋体" w:hAnsi="宋体" w:eastAsia="宋体" w:cs="Times New Roman"/>
                <w:color w:val="auto"/>
                <w:spacing w:val="20"/>
                <w:sz w:val="24"/>
                <w:highlight w:val="none"/>
                <w:lang w:val="en-US" w:eastAsia="zh-CN"/>
              </w:rPr>
              <w:t>范围</w:t>
            </w:r>
          </w:p>
        </w:tc>
        <w:tc>
          <w:tcPr>
            <w:tcW w:w="2430" w:type="dxa"/>
            <w:tcBorders>
              <w:left w:val="single" w:color="000000" w:sz="6" w:space="0"/>
              <w:bottom w:val="single" w:color="000000" w:sz="6" w:space="0"/>
            </w:tcBorders>
            <w:noWrap w:val="0"/>
            <w:vAlign w:val="center"/>
          </w:tcPr>
          <w:p w14:paraId="32BA52D8">
            <w:pPr>
              <w:spacing w:line="360" w:lineRule="auto"/>
              <w:jc w:val="center"/>
              <w:rPr>
                <w:rFonts w:hint="eastAsia"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投标</w:t>
            </w:r>
            <w:r>
              <w:rPr>
                <w:rFonts w:hint="eastAsia" w:ascii="宋体" w:hAnsi="宋体"/>
                <w:color w:val="auto"/>
                <w:spacing w:val="20"/>
                <w:sz w:val="24"/>
                <w:highlight w:val="none"/>
              </w:rPr>
              <w:t>报价</w:t>
            </w:r>
          </w:p>
        </w:tc>
      </w:tr>
      <w:tr w14:paraId="2D31C77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2152" w:hRule="atLeast"/>
          <w:jc w:val="center"/>
        </w:trPr>
        <w:tc>
          <w:tcPr>
            <w:tcW w:w="907" w:type="dxa"/>
            <w:tcBorders>
              <w:top w:val="single" w:color="000000" w:sz="6" w:space="0"/>
              <w:right w:val="single" w:color="000000" w:sz="6" w:space="0"/>
            </w:tcBorders>
            <w:noWrap w:val="0"/>
            <w:vAlign w:val="center"/>
          </w:tcPr>
          <w:p w14:paraId="19061B53">
            <w:pPr>
              <w:spacing w:line="360" w:lineRule="auto"/>
              <w:jc w:val="center"/>
              <w:rPr>
                <w:rFonts w:hint="eastAsia" w:ascii="宋体" w:hAnsi="宋体"/>
                <w:color w:val="auto"/>
                <w:spacing w:val="20"/>
                <w:sz w:val="24"/>
                <w:highlight w:val="none"/>
              </w:rPr>
            </w:pPr>
            <w:r>
              <w:rPr>
                <w:rFonts w:hint="eastAsia" w:ascii="宋体" w:hAnsi="宋体"/>
                <w:color w:val="auto"/>
                <w:spacing w:val="20"/>
                <w:sz w:val="24"/>
                <w:highlight w:val="none"/>
              </w:rPr>
              <w:t>1</w:t>
            </w:r>
          </w:p>
        </w:tc>
        <w:tc>
          <w:tcPr>
            <w:tcW w:w="3016" w:type="dxa"/>
            <w:tcBorders>
              <w:top w:val="single" w:color="000000" w:sz="6" w:space="0"/>
              <w:left w:val="single" w:color="000000" w:sz="6" w:space="0"/>
              <w:right w:val="single" w:color="auto" w:sz="4" w:space="0"/>
            </w:tcBorders>
            <w:noWrap w:val="0"/>
            <w:vAlign w:val="center"/>
          </w:tcPr>
          <w:p w14:paraId="0059C4EB">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eastAsia="宋体" w:cs="Times New Roman"/>
                <w:color w:val="auto"/>
                <w:spacing w:val="20"/>
                <w:sz w:val="24"/>
                <w:highlight w:val="none"/>
                <w:lang w:val="en-US" w:eastAsia="zh-CN"/>
              </w:rPr>
              <w:t>场地年租金</w:t>
            </w:r>
          </w:p>
        </w:tc>
        <w:tc>
          <w:tcPr>
            <w:tcW w:w="2430" w:type="dxa"/>
            <w:tcBorders>
              <w:top w:val="single" w:color="000000" w:sz="6" w:space="0"/>
              <w:left w:val="single" w:color="auto" w:sz="4" w:space="0"/>
            </w:tcBorders>
            <w:noWrap w:val="0"/>
            <w:vAlign w:val="center"/>
          </w:tcPr>
          <w:p w14:paraId="60CDBD2F">
            <w:pPr>
              <w:spacing w:line="360" w:lineRule="auto"/>
              <w:rPr>
                <w:rFonts w:hint="default" w:ascii="宋体" w:hAnsi="宋体"/>
                <w:color w:val="auto"/>
                <w:spacing w:val="20"/>
                <w:sz w:val="24"/>
                <w:highlight w:val="none"/>
                <w:lang w:val="en-US"/>
              </w:rPr>
            </w:pPr>
            <w:r>
              <w:rPr>
                <w:rFonts w:hint="eastAsia" w:ascii="宋体" w:hAnsi="宋体"/>
                <w:color w:val="auto"/>
                <w:spacing w:val="20"/>
                <w:sz w:val="24"/>
                <w:highlight w:val="none"/>
                <w:u w:val="none"/>
                <w:lang w:val="en-US" w:eastAsia="zh-CN"/>
              </w:rPr>
              <w:t xml:space="preserve">   7%-10%</w:t>
            </w:r>
          </w:p>
        </w:tc>
        <w:tc>
          <w:tcPr>
            <w:tcW w:w="2430" w:type="dxa"/>
            <w:tcBorders>
              <w:top w:val="single" w:color="000000" w:sz="6" w:space="0"/>
              <w:left w:val="single" w:color="auto" w:sz="4" w:space="0"/>
            </w:tcBorders>
            <w:noWrap w:val="0"/>
            <w:vAlign w:val="center"/>
          </w:tcPr>
          <w:p w14:paraId="077CE97D">
            <w:pPr>
              <w:spacing w:line="360" w:lineRule="auto"/>
              <w:rPr>
                <w:rFonts w:hint="default" w:ascii="宋体" w:hAnsi="宋体"/>
                <w:color w:val="auto"/>
                <w:spacing w:val="20"/>
                <w:sz w:val="24"/>
                <w:highlight w:val="none"/>
                <w:u w:val="single"/>
                <w:lang w:val="en-US" w:eastAsia="zh-CN"/>
              </w:rPr>
            </w:pPr>
            <w:r>
              <w:rPr>
                <w:rFonts w:hint="eastAsia" w:ascii="宋体" w:hAnsi="宋体"/>
                <w:color w:val="auto"/>
                <w:spacing w:val="20"/>
                <w:sz w:val="24"/>
                <w:highlight w:val="none"/>
                <w:u w:val="none"/>
                <w:lang w:val="en-US" w:eastAsia="zh-CN"/>
              </w:rPr>
              <w:t xml:space="preserve">     </w:t>
            </w:r>
            <w:r>
              <w:rPr>
                <w:rFonts w:hint="eastAsia" w:ascii="宋体" w:hAnsi="宋体"/>
                <w:color w:val="auto"/>
                <w:spacing w:val="20"/>
                <w:sz w:val="24"/>
                <w:highlight w:val="none"/>
                <w:u w:val="single"/>
                <w:lang w:val="en-US" w:eastAsia="zh-CN"/>
              </w:rPr>
              <w:t xml:space="preserve"> %</w:t>
            </w:r>
          </w:p>
        </w:tc>
      </w:tr>
    </w:tbl>
    <w:p w14:paraId="16503521">
      <w:pPr>
        <w:pStyle w:val="48"/>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0322D11">
      <w:pPr>
        <w:pStyle w:val="48"/>
        <w:pageBreakBefore w:val="0"/>
        <w:kinsoku/>
        <w:overflowPunct/>
        <w:topLinePunct w:val="0"/>
        <w:bidi w:val="0"/>
        <w:spacing w:line="40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14:paraId="4BB16755">
      <w:pPr>
        <w:pStyle w:val="48"/>
        <w:pageBreakBefore w:val="0"/>
        <w:kinsoku/>
        <w:overflowPunct/>
        <w:topLinePunct w:val="0"/>
        <w:autoSpaceDE w:val="0"/>
        <w:autoSpaceDN w:val="0"/>
        <w:bidi w:val="0"/>
        <w:adjustRightInd w:val="0"/>
        <w:spacing w:line="400" w:lineRule="exact"/>
        <w:ind w:firstLine="210" w:firstLineChars="100"/>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rPr>
        <w:t>▲报价一经涂改，应在涂改处加盖单位公章或由负责人或授权代表签字或盖章，否则其报价文件不进入评定，报价得分为0，且不得推荐为中标候选人。</w:t>
      </w:r>
    </w:p>
    <w:p w14:paraId="7391217F">
      <w:pPr>
        <w:pStyle w:val="48"/>
        <w:pageBreakBefore w:val="0"/>
        <w:kinsoku/>
        <w:overflowPunct/>
        <w:topLinePunct w:val="0"/>
        <w:autoSpaceDE w:val="0"/>
        <w:autoSpaceDN w:val="0"/>
        <w:bidi w:val="0"/>
        <w:adjustRightInd w:val="0"/>
        <w:spacing w:line="400" w:lineRule="exact"/>
        <w:ind w:firstLine="210" w:firstLineChars="100"/>
        <w:rPr>
          <w:rFonts w:hint="eastAsia" w:ascii="宋体" w:hAnsi="宋体" w:eastAsia="宋体" w:cs="宋体"/>
          <w:bCs/>
          <w:color w:val="auto"/>
          <w:sz w:val="21"/>
          <w:szCs w:val="21"/>
          <w:highlight w:val="none"/>
        </w:rPr>
      </w:pPr>
    </w:p>
    <w:p w14:paraId="7AE62293">
      <w:pPr>
        <w:pStyle w:val="48"/>
        <w:pageBreakBefore w:val="0"/>
        <w:kinsoku/>
        <w:overflowPunct/>
        <w:topLinePunct w:val="0"/>
        <w:bidi w:val="0"/>
        <w:spacing w:line="400" w:lineRule="exact"/>
        <w:ind w:firstLine="210" w:firstLineChars="100"/>
        <w:rPr>
          <w:rFonts w:hint="eastAsia" w:ascii="宋体" w:hAnsi="宋体" w:eastAsia="宋体" w:cs="宋体"/>
          <w:bCs/>
          <w:color w:val="auto"/>
          <w:sz w:val="21"/>
          <w:szCs w:val="21"/>
          <w:highlight w:val="none"/>
        </w:rPr>
      </w:pPr>
    </w:p>
    <w:p w14:paraId="21B7E433">
      <w:pPr>
        <w:pageBreakBefore w:val="0"/>
        <w:kinsoku/>
        <w:overflowPunct/>
        <w:topLinePunct w:val="0"/>
        <w:bidi w:val="0"/>
        <w:spacing w:line="400" w:lineRule="exact"/>
        <w:ind w:left="105" w:leftChars="50"/>
        <w:rPr>
          <w:rFonts w:hint="eastAsia" w:ascii="宋体" w:hAnsi="宋体" w:eastAsia="宋体" w:cs="宋体"/>
          <w:b/>
          <w:color w:val="auto"/>
          <w:sz w:val="21"/>
          <w:szCs w:val="21"/>
          <w:highlight w:val="none"/>
          <w:u w:val="single"/>
        </w:rPr>
      </w:pPr>
    </w:p>
    <w:p w14:paraId="267185DE">
      <w:pPr>
        <w:pageBreakBefore w:val="0"/>
        <w:kinsoku/>
        <w:overflowPunct/>
        <w:topLinePunct w:val="0"/>
        <w:bidi w:val="0"/>
        <w:spacing w:line="400" w:lineRule="exact"/>
        <w:rPr>
          <w:rFonts w:hint="eastAsia" w:ascii="宋体" w:hAnsi="宋体" w:eastAsia="宋体" w:cs="宋体"/>
          <w:b/>
          <w:color w:val="auto"/>
          <w:sz w:val="21"/>
          <w:szCs w:val="21"/>
          <w:highlight w:val="none"/>
          <w:u w:val="single"/>
        </w:rPr>
      </w:pPr>
    </w:p>
    <w:p w14:paraId="0E9EA09D">
      <w:pPr>
        <w:pageBreakBefore w:val="0"/>
        <w:kinsoku/>
        <w:overflowPunct/>
        <w:topLinePunct w:val="0"/>
        <w:bidi w:val="0"/>
        <w:spacing w:line="400" w:lineRule="exact"/>
        <w:rPr>
          <w:rFonts w:hint="eastAsia" w:ascii="宋体" w:hAnsi="宋体" w:eastAsia="宋体" w:cs="宋体"/>
          <w:bCs/>
          <w:color w:val="auto"/>
          <w:sz w:val="21"/>
          <w:szCs w:val="21"/>
          <w:highlight w:val="none"/>
        </w:rPr>
      </w:pPr>
    </w:p>
    <w:p w14:paraId="6961AC8B">
      <w:pPr>
        <w:pageBreakBefore w:val="0"/>
        <w:kinsoku/>
        <w:overflowPunct/>
        <w:topLinePunct w:val="0"/>
        <w:bidi w:val="0"/>
        <w:spacing w:line="400" w:lineRule="exact"/>
        <w:rPr>
          <w:rFonts w:hint="eastAsia" w:ascii="宋体" w:hAnsi="宋体" w:eastAsia="宋体" w:cs="宋体"/>
          <w:b/>
          <w:bCs/>
          <w:color w:val="auto"/>
          <w:sz w:val="21"/>
          <w:szCs w:val="21"/>
          <w:highlight w:val="none"/>
        </w:rPr>
      </w:pPr>
    </w:p>
    <w:p w14:paraId="3968746A">
      <w:pPr>
        <w:pStyle w:val="38"/>
        <w:spacing w:line="520" w:lineRule="exact"/>
        <w:ind w:firstLine="3625" w:firstLineChars="1450"/>
        <w:rPr>
          <w:rFonts w:hint="eastAsia" w:hAnsi="宋体"/>
          <w:color w:val="auto"/>
          <w:spacing w:val="20"/>
          <w:szCs w:val="21"/>
          <w:highlight w:val="none"/>
          <w:lang w:eastAsia="zh-CN"/>
        </w:rPr>
      </w:pPr>
      <w:r>
        <w:rPr>
          <w:rFonts w:hAnsi="宋体"/>
          <w:color w:val="auto"/>
          <w:spacing w:val="20"/>
          <w:szCs w:val="21"/>
          <w:highlight w:val="none"/>
        </w:rPr>
        <w:t>负责人</w:t>
      </w:r>
      <w:r>
        <w:rPr>
          <w:rFonts w:hint="eastAsia" w:hAnsi="宋体"/>
          <w:color w:val="auto"/>
          <w:spacing w:val="20"/>
          <w:szCs w:val="21"/>
          <w:highlight w:val="none"/>
        </w:rPr>
        <w:t>（</w:t>
      </w:r>
      <w:r>
        <w:rPr>
          <w:rFonts w:hAnsi="宋体"/>
          <w:color w:val="auto"/>
          <w:spacing w:val="20"/>
          <w:szCs w:val="21"/>
          <w:highlight w:val="none"/>
        </w:rPr>
        <w:t>或</w:t>
      </w:r>
      <w:r>
        <w:rPr>
          <w:rFonts w:hint="eastAsia" w:hAnsi="宋体"/>
          <w:color w:val="auto"/>
          <w:spacing w:val="20"/>
          <w:szCs w:val="21"/>
          <w:highlight w:val="none"/>
        </w:rPr>
        <w:t>委托代理人）签字或盖章</w:t>
      </w:r>
      <w:r>
        <w:rPr>
          <w:rFonts w:hint="eastAsia" w:hAnsi="宋体"/>
          <w:color w:val="auto"/>
          <w:spacing w:val="20"/>
          <w:szCs w:val="21"/>
          <w:highlight w:val="none"/>
          <w:lang w:eastAsia="zh-CN"/>
        </w:rPr>
        <w:t>：</w:t>
      </w:r>
      <w:r>
        <w:rPr>
          <w:rFonts w:hint="eastAsia" w:hAnsi="宋体"/>
          <w:color w:val="auto"/>
          <w:spacing w:val="20"/>
          <w:szCs w:val="21"/>
          <w:highlight w:val="none"/>
          <w:u w:val="single"/>
        </w:rPr>
        <w:t xml:space="preserve">            </w:t>
      </w:r>
    </w:p>
    <w:p w14:paraId="447FCC2F">
      <w:pPr>
        <w:pStyle w:val="35"/>
        <w:wordWrap w:val="0"/>
        <w:spacing w:line="360" w:lineRule="auto"/>
        <w:ind w:firstLine="480"/>
        <w:jc w:val="right"/>
        <w:rPr>
          <w:rFonts w:hint="eastAsia"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0F43180">
      <w:pPr>
        <w:pStyle w:val="35"/>
        <w:wordWrap w:val="0"/>
        <w:spacing w:line="360" w:lineRule="auto"/>
        <w:ind w:firstLine="480"/>
        <w:jc w:val="right"/>
        <w:rPr>
          <w:rFonts w:ascii="宋体" w:hAnsi="宋体"/>
          <w:color w:val="auto"/>
          <w:szCs w:val="21"/>
          <w:highlight w:val="none"/>
          <w:u w:val="single"/>
        </w:rPr>
        <w:sectPr>
          <w:pgSz w:w="11906" w:h="16838"/>
          <w:pgMar w:top="1185" w:right="1151" w:bottom="1157" w:left="1185" w:header="851" w:footer="992" w:gutter="0"/>
          <w:pgNumType w:fmt="decimal"/>
          <w:cols w:space="425" w:num="1"/>
          <w:titlePg/>
          <w:docGrid w:type="lines" w:linePitch="312" w:charSpace="0"/>
        </w:sect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B159635">
      <w:pPr>
        <w:pStyle w:val="49"/>
        <w:jc w:val="center"/>
        <w:rPr>
          <w:rFonts w:hint="eastAsia" w:ascii="宋体" w:hAnsi="宋体" w:cs="宋体"/>
          <w:bCs/>
          <w:color w:val="auto"/>
          <w:sz w:val="21"/>
          <w:szCs w:val="21"/>
          <w:highlight w:val="none"/>
        </w:rPr>
        <w:sectPr>
          <w:pgSz w:w="11906" w:h="16838"/>
          <w:pgMar w:top="1185" w:right="1151" w:bottom="1157" w:left="1185" w:header="851" w:footer="992" w:gutter="0"/>
          <w:pgNumType w:fmt="decimal"/>
          <w:cols w:space="425" w:num="1"/>
          <w:titlePg/>
          <w:docGrid w:type="lines" w:linePitch="312" w:charSpace="0"/>
        </w:sectPr>
      </w:pPr>
      <w:bookmarkStart w:id="117" w:name="_Toc14527"/>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bookmarkEnd w:id="117"/>
      <w:bookmarkStart w:id="118" w:name="_Toc26901"/>
      <w:r>
        <w:rPr>
          <w:rFonts w:hint="eastAsia" w:ascii="宋体" w:hAnsi="宋体" w:cs="宋体"/>
          <w:b/>
          <w:bCs/>
          <w:color w:val="auto"/>
          <w:sz w:val="24"/>
          <w:szCs w:val="24"/>
          <w:highlight w:val="none"/>
          <w:lang w:val="en-US" w:eastAsia="zh-CN"/>
        </w:rPr>
        <w:t>其他</w:t>
      </w:r>
    </w:p>
    <w:p w14:paraId="37FC5D61">
      <w:pPr>
        <w:pageBreakBefore w:val="0"/>
        <w:kinsoku/>
        <w:overflowPunct/>
        <w:topLinePunct w:val="0"/>
        <w:bidi w:val="0"/>
        <w:spacing w:line="400" w:lineRule="exact"/>
        <w:jc w:val="center"/>
        <w:outlineLvl w:val="1"/>
        <w:rPr>
          <w:rFonts w:hint="eastAsia" w:ascii="宋体" w:hAnsi="宋体" w:eastAsia="宋体" w:cs="宋体"/>
          <w:b/>
          <w:bCs/>
          <w:color w:val="auto"/>
          <w:spacing w:val="20"/>
          <w:sz w:val="24"/>
          <w:szCs w:val="24"/>
          <w:highlight w:val="none"/>
        </w:rPr>
      </w:pPr>
      <w:r>
        <w:rPr>
          <w:rFonts w:hint="eastAsia" w:ascii="宋体" w:hAnsi="宋体" w:cs="宋体"/>
          <w:b/>
          <w:bCs/>
          <w:color w:val="auto"/>
          <w:spacing w:val="20"/>
          <w:sz w:val="24"/>
          <w:szCs w:val="24"/>
          <w:highlight w:val="none"/>
          <w:lang w:eastAsia="zh-CN"/>
        </w:rPr>
        <w:t>四、</w:t>
      </w:r>
      <w:r>
        <w:rPr>
          <w:rFonts w:hint="eastAsia" w:ascii="宋体" w:hAnsi="宋体" w:eastAsia="宋体" w:cs="宋体"/>
          <w:b/>
          <w:bCs/>
          <w:color w:val="auto"/>
          <w:spacing w:val="20"/>
          <w:sz w:val="24"/>
          <w:szCs w:val="24"/>
          <w:highlight w:val="none"/>
        </w:rPr>
        <w:t>成交供应商公告内容</w:t>
      </w:r>
      <w:bookmarkEnd w:id="11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544"/>
        <w:gridCol w:w="810"/>
        <w:gridCol w:w="1735"/>
        <w:gridCol w:w="2545"/>
      </w:tblGrid>
      <w:tr w14:paraId="3E6F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3EDA1289">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成交供应商名称</w:t>
            </w:r>
          </w:p>
        </w:tc>
        <w:tc>
          <w:tcPr>
            <w:tcW w:w="2544" w:type="dxa"/>
          </w:tcPr>
          <w:p w14:paraId="2F0F66E9">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2545" w:type="dxa"/>
            <w:gridSpan w:val="2"/>
          </w:tcPr>
          <w:p w14:paraId="632A923C">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项目名称</w:t>
            </w:r>
          </w:p>
        </w:tc>
        <w:tc>
          <w:tcPr>
            <w:tcW w:w="2545" w:type="dxa"/>
          </w:tcPr>
          <w:p w14:paraId="5360302B">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r>
      <w:tr w14:paraId="760E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79E5B927">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供应商地址</w:t>
            </w:r>
          </w:p>
        </w:tc>
        <w:tc>
          <w:tcPr>
            <w:tcW w:w="7634" w:type="dxa"/>
            <w:gridSpan w:val="4"/>
          </w:tcPr>
          <w:p w14:paraId="791FA4BE">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r>
      <w:tr w14:paraId="6193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78" w:type="dxa"/>
            <w:gridSpan w:val="5"/>
            <w:vAlign w:val="center"/>
          </w:tcPr>
          <w:p w14:paraId="0BF2941C">
            <w:pPr>
              <w:pageBreakBefore w:val="0"/>
              <w:kinsoku/>
              <w:overflowPunct/>
              <w:topLinePunct w:val="0"/>
              <w:bidi w:val="0"/>
              <w:spacing w:line="400" w:lineRule="exact"/>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成交标的</w:t>
            </w:r>
          </w:p>
        </w:tc>
      </w:tr>
      <w:tr w14:paraId="7D7A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vAlign w:val="center"/>
          </w:tcPr>
          <w:p w14:paraId="71C08742">
            <w:pPr>
              <w:pageBreakBefore w:val="0"/>
              <w:kinsoku/>
              <w:overflowPunct/>
              <w:topLinePunct w:val="0"/>
              <w:bidi w:val="0"/>
              <w:spacing w:line="400" w:lineRule="exact"/>
              <w:jc w:val="center"/>
              <w:rPr>
                <w:rFonts w:hint="default" w:ascii="宋体" w:hAnsi="宋体" w:eastAsia="宋体" w:cs="宋体"/>
                <w:color w:val="auto"/>
                <w:spacing w:val="20"/>
                <w:sz w:val="21"/>
                <w:szCs w:val="21"/>
                <w:highlight w:val="none"/>
                <w:lang w:val="en-US" w:eastAsia="zh-CN"/>
              </w:rPr>
            </w:pPr>
            <w:r>
              <w:rPr>
                <w:rFonts w:hint="eastAsia" w:ascii="宋体" w:hAnsi="宋体" w:cs="宋体"/>
                <w:color w:val="auto"/>
                <w:spacing w:val="20"/>
                <w:sz w:val="21"/>
                <w:szCs w:val="21"/>
                <w:highlight w:val="none"/>
                <w:lang w:val="en-US" w:eastAsia="zh-CN"/>
              </w:rPr>
              <w:t xml:space="preserve">服务事项 </w:t>
            </w:r>
          </w:p>
        </w:tc>
        <w:tc>
          <w:tcPr>
            <w:tcW w:w="3354" w:type="dxa"/>
            <w:gridSpan w:val="2"/>
            <w:vAlign w:val="center"/>
          </w:tcPr>
          <w:p w14:paraId="4274718B">
            <w:pPr>
              <w:pageBreakBefore w:val="0"/>
              <w:kinsoku/>
              <w:overflowPunct/>
              <w:topLinePunct w:val="0"/>
              <w:bidi w:val="0"/>
              <w:spacing w:line="400" w:lineRule="exact"/>
              <w:jc w:val="center"/>
              <w:rPr>
                <w:rFonts w:hint="default" w:ascii="宋体" w:hAnsi="宋体" w:eastAsia="宋体" w:cs="宋体"/>
                <w:color w:val="auto"/>
                <w:spacing w:val="20"/>
                <w:sz w:val="21"/>
                <w:szCs w:val="21"/>
                <w:highlight w:val="none"/>
                <w:lang w:val="en-US" w:eastAsia="zh-CN"/>
              </w:rPr>
            </w:pPr>
            <w:r>
              <w:rPr>
                <w:rFonts w:hint="eastAsia" w:ascii="宋体" w:hAnsi="宋体" w:cs="宋体"/>
                <w:color w:val="auto"/>
                <w:spacing w:val="20"/>
                <w:sz w:val="21"/>
                <w:szCs w:val="21"/>
                <w:highlight w:val="none"/>
                <w:lang w:val="en-US" w:eastAsia="zh-CN"/>
              </w:rPr>
              <w:t>服务内容</w:t>
            </w:r>
          </w:p>
        </w:tc>
        <w:tc>
          <w:tcPr>
            <w:tcW w:w="1735" w:type="dxa"/>
            <w:vAlign w:val="center"/>
          </w:tcPr>
          <w:p w14:paraId="34BDD2C5">
            <w:pPr>
              <w:pageBreakBefore w:val="0"/>
              <w:kinsoku/>
              <w:overflowPunct/>
              <w:topLinePunct w:val="0"/>
              <w:bidi w:val="0"/>
              <w:spacing w:line="400" w:lineRule="exact"/>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数量</w:t>
            </w:r>
          </w:p>
        </w:tc>
        <w:tc>
          <w:tcPr>
            <w:tcW w:w="2545" w:type="dxa"/>
            <w:vAlign w:val="center"/>
          </w:tcPr>
          <w:p w14:paraId="618334D7">
            <w:pPr>
              <w:pageBreakBefore w:val="0"/>
              <w:kinsoku/>
              <w:overflowPunct/>
              <w:topLinePunct w:val="0"/>
              <w:bidi w:val="0"/>
              <w:spacing w:line="400" w:lineRule="exact"/>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单价</w:t>
            </w:r>
          </w:p>
        </w:tc>
      </w:tr>
      <w:tr w14:paraId="0E03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165AAE36">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3354" w:type="dxa"/>
            <w:gridSpan w:val="2"/>
          </w:tcPr>
          <w:p w14:paraId="7238AB8D">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1735" w:type="dxa"/>
          </w:tcPr>
          <w:p w14:paraId="5661CEB4">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2545" w:type="dxa"/>
          </w:tcPr>
          <w:p w14:paraId="6EFC4231">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r>
      <w:tr w14:paraId="4423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24136BA5">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3354" w:type="dxa"/>
            <w:gridSpan w:val="2"/>
          </w:tcPr>
          <w:p w14:paraId="4E2BAA76">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1735" w:type="dxa"/>
          </w:tcPr>
          <w:p w14:paraId="42D2D45A">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2545" w:type="dxa"/>
          </w:tcPr>
          <w:p w14:paraId="1B6EC377">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r>
      <w:tr w14:paraId="6AEA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70746C5A">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3354" w:type="dxa"/>
            <w:gridSpan w:val="2"/>
          </w:tcPr>
          <w:p w14:paraId="3FFA1F60">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1735" w:type="dxa"/>
          </w:tcPr>
          <w:p w14:paraId="0B267CD3">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2545" w:type="dxa"/>
          </w:tcPr>
          <w:p w14:paraId="6CD06296">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r>
      <w:tr w14:paraId="7711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71186A65">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3354" w:type="dxa"/>
            <w:gridSpan w:val="2"/>
          </w:tcPr>
          <w:p w14:paraId="42B6BFC4">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1735" w:type="dxa"/>
          </w:tcPr>
          <w:p w14:paraId="31B4DC70">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2545" w:type="dxa"/>
          </w:tcPr>
          <w:p w14:paraId="7A2098D5">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r>
      <w:tr w14:paraId="423D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08DB218D">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3354" w:type="dxa"/>
            <w:gridSpan w:val="2"/>
          </w:tcPr>
          <w:p w14:paraId="5CDEAAD5">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1735" w:type="dxa"/>
          </w:tcPr>
          <w:p w14:paraId="3522D33B">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2545" w:type="dxa"/>
          </w:tcPr>
          <w:p w14:paraId="6A2EA230">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r>
      <w:tr w14:paraId="6FE7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4428E0FA">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3354" w:type="dxa"/>
            <w:gridSpan w:val="2"/>
          </w:tcPr>
          <w:p w14:paraId="5084E031">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1735" w:type="dxa"/>
          </w:tcPr>
          <w:p w14:paraId="2B3A4E4F">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c>
          <w:tcPr>
            <w:tcW w:w="2545" w:type="dxa"/>
          </w:tcPr>
          <w:p w14:paraId="461E6E0D">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r>
      <w:tr w14:paraId="646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633" w:type="dxa"/>
            <w:gridSpan w:val="4"/>
            <w:vAlign w:val="center"/>
          </w:tcPr>
          <w:p w14:paraId="55A6DD1A">
            <w:pPr>
              <w:pageBreakBefore w:val="0"/>
              <w:kinsoku/>
              <w:overflowPunct/>
              <w:topLinePunct w:val="0"/>
              <w:bidi w:val="0"/>
              <w:spacing w:line="400" w:lineRule="exact"/>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成交金额合计</w:t>
            </w:r>
          </w:p>
        </w:tc>
        <w:tc>
          <w:tcPr>
            <w:tcW w:w="2545" w:type="dxa"/>
          </w:tcPr>
          <w:p w14:paraId="13708FC1">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p>
        </w:tc>
      </w:tr>
      <w:tr w14:paraId="0927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0178" w:type="dxa"/>
            <w:gridSpan w:val="5"/>
          </w:tcPr>
          <w:p w14:paraId="471140EB">
            <w:pPr>
              <w:pageBreakBefore w:val="0"/>
              <w:kinsoku/>
              <w:overflowPunct/>
              <w:topLinePunct w:val="0"/>
              <w:bidi w:val="0"/>
              <w:spacing w:line="400" w:lineRule="exact"/>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项目服务要求：</w:t>
            </w:r>
          </w:p>
        </w:tc>
      </w:tr>
    </w:tbl>
    <w:p w14:paraId="45985C3C">
      <w:pPr>
        <w:pageBreakBefore w:val="0"/>
        <w:kinsoku/>
        <w:overflowPunct/>
        <w:topLinePunct w:val="0"/>
        <w:bidi w:val="0"/>
        <w:spacing w:line="400" w:lineRule="exact"/>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注：1、供应商应根据磋商情况填写该表，并保证其与响应文件内容的一致性、正确性和真实性；</w:t>
      </w:r>
    </w:p>
    <w:p w14:paraId="78DF6A95">
      <w:pPr>
        <w:pageBreakBefore w:val="0"/>
        <w:kinsoku/>
        <w:overflowPunct/>
        <w:topLinePunct w:val="0"/>
        <w:bidi w:val="0"/>
        <w:spacing w:line="400" w:lineRule="exact"/>
        <w:ind w:firstLine="492" w:firstLineChars="196"/>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2、填写该表不代表供应商已具有成交供应商资格。本表只作为成交结果公告内容的一部分，进行公告使用；</w:t>
      </w:r>
    </w:p>
    <w:p w14:paraId="0D8D9287">
      <w:pPr>
        <w:pageBreakBefore w:val="0"/>
        <w:kinsoku/>
        <w:overflowPunct/>
        <w:topLinePunct w:val="0"/>
        <w:bidi w:val="0"/>
        <w:spacing w:line="400" w:lineRule="exact"/>
        <w:ind w:firstLine="492" w:firstLineChars="196"/>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3、本表内容涉及较多，供应商可以适当增减表格行数，以保证表格内容的完整；</w:t>
      </w:r>
    </w:p>
    <w:p w14:paraId="17A84290">
      <w:pPr>
        <w:pageBreakBefore w:val="0"/>
        <w:kinsoku/>
        <w:overflowPunct/>
        <w:topLinePunct w:val="0"/>
        <w:bidi w:val="0"/>
        <w:spacing w:line="400" w:lineRule="exact"/>
        <w:ind w:firstLine="492" w:firstLineChars="196"/>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4、</w:t>
      </w:r>
      <w:r>
        <w:rPr>
          <w:rFonts w:hint="eastAsia" w:ascii="宋体" w:hAnsi="宋体" w:cs="宋体"/>
          <w:b/>
          <w:color w:val="auto"/>
          <w:spacing w:val="20"/>
          <w:sz w:val="21"/>
          <w:szCs w:val="21"/>
          <w:highlight w:val="none"/>
          <w:lang w:eastAsia="zh-CN"/>
        </w:rPr>
        <w:t>本表由中标供应商提供</w:t>
      </w:r>
      <w:r>
        <w:rPr>
          <w:rFonts w:hint="eastAsia" w:ascii="宋体" w:hAnsi="宋体" w:eastAsia="宋体" w:cs="宋体"/>
          <w:b/>
          <w:color w:val="auto"/>
          <w:spacing w:val="20"/>
          <w:sz w:val="21"/>
          <w:szCs w:val="21"/>
          <w:highlight w:val="none"/>
        </w:rPr>
        <w:t>。</w:t>
      </w:r>
    </w:p>
    <w:p w14:paraId="5F6E8552">
      <w:pPr>
        <w:pageBreakBefore w:val="0"/>
        <w:kinsoku/>
        <w:overflowPunct/>
        <w:topLinePunct w:val="0"/>
        <w:bidi w:val="0"/>
        <w:spacing w:line="400" w:lineRule="exact"/>
        <w:ind w:firstLine="500" w:firstLineChars="200"/>
        <w:rPr>
          <w:rFonts w:hint="eastAsia" w:ascii="宋体" w:hAnsi="宋体" w:eastAsia="宋体" w:cs="宋体"/>
          <w:color w:val="auto"/>
          <w:spacing w:val="20"/>
          <w:sz w:val="21"/>
          <w:szCs w:val="21"/>
          <w:highlight w:val="none"/>
        </w:rPr>
        <w:sectPr>
          <w:pgSz w:w="11906" w:h="16838"/>
          <w:pgMar w:top="1185" w:right="1151" w:bottom="1157" w:left="1185" w:header="851" w:footer="992" w:gutter="0"/>
          <w:pgNumType w:fmt="decimal"/>
          <w:cols w:space="425" w:num="1"/>
          <w:titlePg/>
          <w:docGrid w:type="lines" w:linePitch="312" w:charSpace="0"/>
        </w:sectPr>
      </w:pPr>
    </w:p>
    <w:p w14:paraId="360BA2CD">
      <w:pPr>
        <w:pStyle w:val="2"/>
        <w:pageBreakBefore w:val="0"/>
        <w:tabs>
          <w:tab w:val="left" w:pos="1080"/>
        </w:tabs>
        <w:kinsoku/>
        <w:overflowPunct/>
        <w:topLinePunct w:val="0"/>
        <w:bidi w:val="0"/>
        <w:spacing w:line="400" w:lineRule="exact"/>
        <w:ind w:firstLine="0" w:firstLineChars="0"/>
        <w:jc w:val="center"/>
        <w:outlineLvl w:val="0"/>
        <w:rPr>
          <w:rStyle w:val="32"/>
          <w:rFonts w:hint="eastAsia" w:ascii="宋体" w:hAnsi="宋体" w:eastAsia="宋体" w:cs="宋体"/>
          <w:b/>
          <w:bCs w:val="0"/>
          <w:color w:val="auto"/>
          <w:sz w:val="24"/>
          <w:szCs w:val="24"/>
          <w:highlight w:val="none"/>
          <w:lang w:val="en-US" w:eastAsia="zh-CN" w:bidi="ar-SA"/>
        </w:rPr>
      </w:pPr>
      <w:bookmarkStart w:id="119" w:name="_Toc335664294"/>
      <w:bookmarkStart w:id="120" w:name="_Toc390938600"/>
      <w:bookmarkStart w:id="121" w:name="_Toc10464"/>
      <w:r>
        <w:rPr>
          <w:rStyle w:val="32"/>
          <w:rFonts w:hint="eastAsia" w:ascii="宋体" w:hAnsi="宋体" w:eastAsia="宋体" w:cs="宋体"/>
          <w:b/>
          <w:bCs w:val="0"/>
          <w:color w:val="auto"/>
          <w:sz w:val="24"/>
          <w:szCs w:val="24"/>
          <w:highlight w:val="none"/>
          <w:lang w:val="en-US" w:eastAsia="zh-CN" w:bidi="ar-SA"/>
        </w:rPr>
        <w:t>第六章  磋商办法和细则</w:t>
      </w:r>
      <w:bookmarkEnd w:id="119"/>
      <w:bookmarkEnd w:id="120"/>
      <w:bookmarkEnd w:id="121"/>
    </w:p>
    <w:p w14:paraId="462E797A">
      <w:pPr>
        <w:pStyle w:val="16"/>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参考《中华人民共和国政府采购法》等有关法律法规的规定，并结合本项目的实际，按照公正、公平、科学、择优的原则选择成交供应商，特制定本办法。</w:t>
      </w:r>
    </w:p>
    <w:p w14:paraId="43F1C391">
      <w:pPr>
        <w:pStyle w:val="3"/>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highlight w:val="none"/>
        </w:rPr>
      </w:pPr>
      <w:bookmarkStart w:id="122" w:name="_Toc390938601"/>
      <w:bookmarkStart w:id="123" w:name="_Toc31275"/>
      <w:bookmarkStart w:id="124" w:name="_Toc335664295"/>
      <w:r>
        <w:rPr>
          <w:rFonts w:hint="eastAsia" w:ascii="宋体" w:hAnsi="宋体" w:eastAsia="宋体" w:cs="宋体"/>
          <w:b w:val="0"/>
          <w:bCs w:val="0"/>
          <w:color w:val="auto"/>
          <w:sz w:val="21"/>
          <w:szCs w:val="21"/>
          <w:highlight w:val="none"/>
        </w:rPr>
        <w:t>一   总则</w:t>
      </w:r>
      <w:bookmarkEnd w:id="122"/>
      <w:bookmarkEnd w:id="123"/>
      <w:bookmarkEnd w:id="124"/>
    </w:p>
    <w:p w14:paraId="4C2CD76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为最大限度地保护各当事人的权益，磋商小组应严格按照磋商文件的技术、资信、商务要求，对响应文件进行综合分析评价并编制磋商报告。磋商人员必须严格遵守保密规定，不得泄漏磋商有关的情况，不得索贿受贿，不得参加影响磋商的任何活动。</w:t>
      </w:r>
    </w:p>
    <w:p w14:paraId="03F18B4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1.2磋商时，磋商小组应对照磋商文件规定的条件和标准，对响应文件的合规性、完整性和有效性进行审查、比较和评估。</w:t>
      </w:r>
    </w:p>
    <w:p w14:paraId="65E25E0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竞争性磋商供应商的资格条件、主要技术参数、商务磋商和其他磋商要素等，磋商小组应逐项进行审查、比较，不得漏评、少评。如发现与磋商文件要求相偏离的，应对其偏离情况进行必要的核实，并在工作底稿中予以说明；如属于实质性偏离或符合无效响应条件的，可当场询问竞争性磋商供应商，并可允许竞争性磋商供应商进行陈述申辩，但不允许其对偏离条款进行补充、修正或撤回。</w:t>
      </w:r>
    </w:p>
    <w:p w14:paraId="740D2E9C">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1.3本次评审方法采取百分制综合评分法，按总得分由高到低顺序排列。总得分相同的，按报价得分由高到低顺序排列；总得分和报价得分均相同的，按技术得分由高到低顺序排列</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总得分</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报价和技术得分均相同的</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按技术得分</w:t>
      </w:r>
      <w:r>
        <w:rPr>
          <w:rFonts w:hint="eastAsia" w:ascii="宋体" w:hAnsi="宋体" w:eastAsia="宋体" w:cs="宋体"/>
          <w:b/>
          <w:color w:val="auto"/>
          <w:sz w:val="21"/>
          <w:szCs w:val="21"/>
          <w:highlight w:val="none"/>
          <w:lang w:val="en-US" w:eastAsia="zh-CN"/>
        </w:rPr>
        <w:t>中的投资保障、业绩能力</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rPr>
        <w:t>建设方案</w:t>
      </w:r>
      <w:r>
        <w:rPr>
          <w:rFonts w:hint="eastAsia" w:ascii="宋体" w:hAnsi="宋体" w:cs="宋体"/>
          <w:b/>
          <w:color w:val="auto"/>
          <w:sz w:val="21"/>
          <w:szCs w:val="21"/>
          <w:highlight w:val="none"/>
          <w:lang w:eastAsia="zh-CN"/>
        </w:rPr>
        <w:t>的</w:t>
      </w:r>
      <w:r>
        <w:rPr>
          <w:rFonts w:hint="eastAsia" w:ascii="宋体" w:hAnsi="宋体" w:cs="宋体"/>
          <w:b/>
          <w:color w:val="auto"/>
          <w:sz w:val="21"/>
          <w:szCs w:val="21"/>
          <w:highlight w:val="none"/>
          <w:lang w:val="en-US" w:eastAsia="zh-CN"/>
        </w:rPr>
        <w:t>先后</w:t>
      </w:r>
      <w:r>
        <w:rPr>
          <w:rFonts w:hint="eastAsia" w:ascii="宋体" w:hAnsi="宋体" w:eastAsia="宋体" w:cs="宋体"/>
          <w:b/>
          <w:color w:val="auto"/>
          <w:sz w:val="21"/>
          <w:szCs w:val="21"/>
          <w:highlight w:val="none"/>
        </w:rPr>
        <w:t>顺序</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由高到低顺序排列；以上得分均相同的，由采购人抽签确定排名（即第一抽出人为第一名，以此类推）。评标委员会按总得分从高到低推荐中标人候选人，由采购人确认第一中标候选人作为本项目中标人。</w:t>
      </w:r>
    </w:p>
    <w:p w14:paraId="5D7E3077">
      <w:pPr>
        <w:pStyle w:val="3"/>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highlight w:val="none"/>
        </w:rPr>
      </w:pPr>
      <w:bookmarkStart w:id="125" w:name="_Toc335664296"/>
      <w:bookmarkStart w:id="126" w:name="_Toc13811"/>
      <w:bookmarkStart w:id="127" w:name="_Toc390938602"/>
      <w:r>
        <w:rPr>
          <w:rFonts w:hint="eastAsia" w:ascii="宋体" w:hAnsi="宋体" w:eastAsia="宋体" w:cs="宋体"/>
          <w:b w:val="0"/>
          <w:bCs w:val="0"/>
          <w:color w:val="auto"/>
          <w:sz w:val="21"/>
          <w:szCs w:val="21"/>
          <w:highlight w:val="none"/>
        </w:rPr>
        <w:t xml:space="preserve">二  </w:t>
      </w:r>
      <w:bookmarkEnd w:id="125"/>
      <w:r>
        <w:rPr>
          <w:rFonts w:hint="eastAsia" w:ascii="宋体" w:hAnsi="宋体" w:eastAsia="宋体" w:cs="宋体"/>
          <w:b w:val="0"/>
          <w:bCs w:val="0"/>
          <w:color w:val="auto"/>
          <w:sz w:val="21"/>
          <w:szCs w:val="21"/>
          <w:highlight w:val="none"/>
        </w:rPr>
        <w:t>磋商小组</w:t>
      </w:r>
      <w:bookmarkEnd w:id="126"/>
      <w:bookmarkEnd w:id="127"/>
    </w:p>
    <w:p w14:paraId="5EF5C06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2.1磋商小组</w:t>
      </w:r>
    </w:p>
    <w:p w14:paraId="7839EC3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2.1.1成员：由采购人代表和磋商小组组成，其中磋商小组不得少于磋商小组总人数的三分之二。磋商小组由采购人按规定组建。</w:t>
      </w:r>
    </w:p>
    <w:p w14:paraId="0DBE9608">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2.1.2职责：按政府采购法律法规的有关规定执行，磋商小组成员应按磋商文件规定的磋商要求、磋商程序、磋商内容、磋商方法和磋商标准进行磋商，对磋商意见承担个人责任。</w:t>
      </w:r>
    </w:p>
    <w:p w14:paraId="13F825A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2.2如发现磋商小组的磋商意见带有明显倾向性，或不按规定程序和标准磋商的，可要求磋商小组进行书面澄清和说明。</w:t>
      </w:r>
    </w:p>
    <w:p w14:paraId="2EA8CEC5">
      <w:pPr>
        <w:pStyle w:val="3"/>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highlight w:val="none"/>
        </w:rPr>
      </w:pPr>
      <w:bookmarkStart w:id="128" w:name="_Toc3727"/>
      <w:bookmarkStart w:id="129" w:name="_Toc335664298"/>
      <w:bookmarkStart w:id="130" w:name="_Toc390938603"/>
      <w:r>
        <w:rPr>
          <w:rFonts w:hint="eastAsia" w:ascii="宋体" w:hAnsi="宋体" w:eastAsia="宋体" w:cs="宋体"/>
          <w:color w:val="auto"/>
          <w:sz w:val="21"/>
          <w:szCs w:val="21"/>
          <w:highlight w:val="none"/>
        </w:rPr>
        <w:t xml:space="preserve">三  </w:t>
      </w:r>
      <w:r>
        <w:rPr>
          <w:rFonts w:hint="eastAsia" w:ascii="宋体" w:hAnsi="宋体" w:eastAsia="宋体" w:cs="宋体"/>
          <w:b w:val="0"/>
          <w:bCs w:val="0"/>
          <w:color w:val="auto"/>
          <w:sz w:val="21"/>
          <w:szCs w:val="21"/>
          <w:highlight w:val="none"/>
        </w:rPr>
        <w:t>磋商程序</w:t>
      </w:r>
      <w:bookmarkEnd w:id="128"/>
      <w:bookmarkEnd w:id="129"/>
      <w:bookmarkEnd w:id="130"/>
    </w:p>
    <w:p w14:paraId="0FE6BC15">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bookmarkStart w:id="131" w:name="_Toc335664299"/>
      <w:bookmarkStart w:id="132" w:name="_Toc390938605"/>
      <w:r>
        <w:rPr>
          <w:rFonts w:hint="eastAsia" w:ascii="宋体" w:hAnsi="宋体" w:eastAsia="宋体" w:cs="宋体"/>
          <w:b/>
          <w:color w:val="auto"/>
          <w:sz w:val="21"/>
          <w:szCs w:val="21"/>
          <w:highlight w:val="none"/>
        </w:rPr>
        <w:t>3.1 符合性审查</w:t>
      </w:r>
    </w:p>
    <w:p w14:paraId="0B6A3C4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4239DBDA">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 磋商</w:t>
      </w:r>
    </w:p>
    <w:p w14:paraId="53B6C86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3.2.1磋商小组对响应文件进行评审，并根据磋商文件规定的程序、评定成交的标准等事项与实质性响应磋商文件要求的供应商进行多轮磋商。</w:t>
      </w:r>
    </w:p>
    <w:p w14:paraId="797423D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按磋商文件提交的顺序分别进行磋商（若有演示、讲解内容，演示、讲解顺序同磋商顺序）。磋商小组所有成员应当集中与单一供应商分别进行磋商，并给予所有参加磋商的供应商平等的磋商机会。</w:t>
      </w:r>
    </w:p>
    <w:p w14:paraId="0E12A42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sz w:val="21"/>
          <w:szCs w:val="21"/>
          <w:highlight w:val="none"/>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14:paraId="2696F75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（3）在磋商过程中，磋商小组可以根据磋商文件和磋商情况实质性变动采购需求中的技术、服务要求以及合同条款。实质性变动的内容，须经采购人代表确认。</w:t>
      </w:r>
    </w:p>
    <w:p w14:paraId="68669BA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对磋商文件作出实质性变动是磋商文件的有效组成部分，磋商小组应当及时以书面形式同时通知所有参加磋商的供应商。</w:t>
      </w:r>
    </w:p>
    <w:p w14:paraId="241350C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（4）磋商文件能够详细列明采购标的的技术、服务要求的，磋商结束后，磋商小组应当要求所有继续参加磋商的供应商在规定时间内提交最后报价，提交最后报价的供应商不得少于3家。</w:t>
      </w:r>
    </w:p>
    <w:p w14:paraId="3FDC858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（5）磋商小组采用综合评分法对确定作出最后报价的供应商的响应文件进行综合评分。</w:t>
      </w:r>
    </w:p>
    <w:p w14:paraId="2128B34D">
      <w:pPr>
        <w:keepNext w:val="0"/>
        <w:keepLines w:val="0"/>
        <w:pageBreakBefore w:val="0"/>
        <w:widowControl w:val="0"/>
        <w:kinsoku/>
        <w:wordWrap/>
        <w:overflowPunct/>
        <w:topLinePunct w:val="0"/>
        <w:autoSpaceDE/>
        <w:autoSpaceDN/>
        <w:bidi w:val="0"/>
        <w:spacing w:line="360" w:lineRule="exact"/>
        <w:ind w:firstLine="420" w:firstLineChars="200"/>
        <w:rPr>
          <w:rFonts w:hint="eastAsia"/>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）磋商小组对报价进行评分。</w:t>
      </w:r>
    </w:p>
    <w:p w14:paraId="51EE18B4">
      <w:pPr>
        <w:keepNext w:val="0"/>
        <w:keepLines w:val="0"/>
        <w:pageBreakBefore w:val="0"/>
        <w:widowControl w:val="0"/>
        <w:tabs>
          <w:tab w:val="left" w:pos="6870"/>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3.2.2 磋商注意事项</w:t>
      </w:r>
      <w:r>
        <w:rPr>
          <w:rFonts w:hint="eastAsia" w:ascii="宋体" w:hAnsi="宋体" w:eastAsia="宋体" w:cs="宋体"/>
          <w:b/>
          <w:color w:val="auto"/>
          <w:sz w:val="21"/>
          <w:szCs w:val="21"/>
          <w:highlight w:val="none"/>
        </w:rPr>
        <w:tab/>
      </w:r>
    </w:p>
    <w:p w14:paraId="717FC65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时，参与磋商的供应商应派代表在指定的地点参加磋商。参与磋商的供应商人员应及时解释和澄清磋商响应文件相关内容，以书面的形式重新做出承诺并签署确定。后一轮磋商的价格、服务承诺及优惠条件等必须优于或等于前一轮磋商的价格、服务承诺及优惠条件等。</w:t>
      </w:r>
      <w:r>
        <w:rPr>
          <w:rFonts w:hint="eastAsia" w:ascii="宋体" w:hAnsi="宋体" w:eastAsia="宋体" w:cs="宋体"/>
          <w:b/>
          <w:color w:val="auto"/>
          <w:sz w:val="21"/>
          <w:szCs w:val="21"/>
          <w:highlight w:val="none"/>
        </w:rPr>
        <w:t>如磋商只要求对总价进行报价的，各分项报价按总价针对前一轮报价下浮比例下浮。</w:t>
      </w:r>
    </w:p>
    <w:p w14:paraId="6A69DDB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席磋商的有关人员：监督人员、磋商小组成员和采购代理机构工作人员；监督人员负责现场监督。参与磋商的供应商的所有磋商响应文件(包括每次报价及重新承诺)截至时间前由采购代理机构工作人员进行接收，任何参与磋商的个人均不得私自拆封。磋商小组负责本次项目所有磋商任务，包括全程磋商、推荐成交候选人、填写评审报告等。</w:t>
      </w:r>
    </w:p>
    <w:p w14:paraId="5FC6B0EE">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 评审</w:t>
      </w:r>
    </w:p>
    <w:p w14:paraId="27352C67">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3.3.1 技术文件评审</w:t>
      </w:r>
    </w:p>
    <w:p w14:paraId="0830176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（1）磋商小组依据磋商文件的规定，对各</w:t>
      </w:r>
      <w:r>
        <w:rPr>
          <w:rFonts w:hint="eastAsia" w:ascii="宋体" w:hAnsi="宋体" w:eastAsia="宋体" w:cs="宋体"/>
          <w:color w:val="auto"/>
          <w:kern w:val="0"/>
          <w:sz w:val="21"/>
          <w:szCs w:val="21"/>
          <w:highlight w:val="none"/>
        </w:rPr>
        <w:t>供应商的</w:t>
      </w:r>
      <w:r>
        <w:rPr>
          <w:rFonts w:hint="eastAsia" w:ascii="宋体" w:hAnsi="宋体" w:eastAsia="宋体" w:cs="宋体"/>
          <w:color w:val="auto"/>
          <w:sz w:val="21"/>
          <w:szCs w:val="21"/>
          <w:highlight w:val="none"/>
        </w:rPr>
        <w:t>技术文件进行独立评审。对各</w:t>
      </w: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sz w:val="21"/>
          <w:szCs w:val="21"/>
          <w:highlight w:val="none"/>
        </w:rPr>
        <w:t>进行比较和必要的澄清，若有演示、样品要求和技术文件评审同步进行，演示顺序为响应文件递交顺序，并根据审查、澄清、演示、样品等情况结合评审办法进行独立打分；</w:t>
      </w:r>
    </w:p>
    <w:p w14:paraId="262155F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（2）各供应商的技术得分，为各磋商小组成员对该供应商的技术得分结果汇总后的算术平均数。</w:t>
      </w:r>
    </w:p>
    <w:p w14:paraId="135DC644">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3.3.2 资信及商务文件评审</w:t>
      </w:r>
    </w:p>
    <w:p w14:paraId="2CEC6DF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磋商小组依据磋商文件的规定，对各</w:t>
      </w:r>
      <w:r>
        <w:rPr>
          <w:rFonts w:hint="eastAsia" w:ascii="宋体" w:hAnsi="宋体" w:eastAsia="宋体" w:cs="宋体"/>
          <w:color w:val="auto"/>
          <w:kern w:val="0"/>
          <w:sz w:val="21"/>
          <w:szCs w:val="21"/>
          <w:highlight w:val="none"/>
        </w:rPr>
        <w:t>供应商的</w:t>
      </w:r>
      <w:r>
        <w:rPr>
          <w:rFonts w:hint="eastAsia" w:ascii="宋体" w:hAnsi="宋体" w:eastAsia="宋体" w:cs="宋体"/>
          <w:color w:val="auto"/>
          <w:sz w:val="21"/>
          <w:szCs w:val="21"/>
          <w:highlight w:val="none"/>
        </w:rPr>
        <w:t>资信及商务文件进行评审，对客观分应统一意见后统一给分。</w:t>
      </w:r>
    </w:p>
    <w:p w14:paraId="476FAE80">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3.3.3 报价文件评审</w:t>
      </w:r>
    </w:p>
    <w:p w14:paraId="03F3901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（1）磋商小组依据磋商文件的规定，对各供应商的最终报价的合理性进行审查，必要时可要求供应商对其报价做出澄清、说明。</w:t>
      </w:r>
    </w:p>
    <w:p w14:paraId="10DEF75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（2）报价修正； </w:t>
      </w:r>
    </w:p>
    <w:p w14:paraId="4BF8C77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（3）政府政策优惠扣除；</w:t>
      </w:r>
    </w:p>
    <w:p w14:paraId="4863D67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（4）磋商小组根据供应商的报价和评审标准，计算各供应商的报价得分。</w:t>
      </w:r>
    </w:p>
    <w:p w14:paraId="1106DB94">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 评审结果</w:t>
      </w:r>
    </w:p>
    <w:p w14:paraId="0802717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 评审结果汇总，供应商结果排序；</w:t>
      </w:r>
    </w:p>
    <w:p w14:paraId="0FF70BC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 起草磋商报告，确定成交候选人；</w:t>
      </w:r>
    </w:p>
    <w:p w14:paraId="5917DBDD">
      <w:pPr>
        <w:pStyle w:val="3"/>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color w:val="auto"/>
          <w:sz w:val="21"/>
          <w:szCs w:val="21"/>
          <w:highlight w:val="none"/>
        </w:rPr>
      </w:pPr>
      <w:bookmarkStart w:id="133" w:name="_Toc20501"/>
      <w:r>
        <w:rPr>
          <w:rFonts w:hint="eastAsia" w:ascii="宋体" w:hAnsi="宋体" w:eastAsia="宋体" w:cs="宋体"/>
          <w:b w:val="0"/>
          <w:bCs w:val="0"/>
          <w:color w:val="auto"/>
          <w:sz w:val="21"/>
          <w:szCs w:val="21"/>
          <w:highlight w:val="none"/>
        </w:rPr>
        <w:t xml:space="preserve">四   </w:t>
      </w:r>
      <w:bookmarkEnd w:id="131"/>
      <w:r>
        <w:rPr>
          <w:rFonts w:hint="eastAsia" w:ascii="宋体" w:hAnsi="宋体" w:eastAsia="宋体" w:cs="宋体"/>
          <w:b w:val="0"/>
          <w:color w:val="auto"/>
          <w:sz w:val="21"/>
          <w:szCs w:val="21"/>
          <w:highlight w:val="none"/>
        </w:rPr>
        <w:t>磋商内容及规定</w:t>
      </w:r>
      <w:bookmarkEnd w:id="132"/>
      <w:bookmarkEnd w:id="133"/>
    </w:p>
    <w:p w14:paraId="664E8A66">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资信商务及技术分的权重为</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%，评审分值为</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6A5E07E6">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报价分的权重为</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%，评审分值为</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分，由磋商小组按各供应商报价统一计算。</w:t>
      </w:r>
    </w:p>
    <w:p w14:paraId="7A06C0CC">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 供应商总得分=资信商务及技术得分+报价得分。</w:t>
      </w:r>
    </w:p>
    <w:p w14:paraId="11943234">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评审专家在规定的分值范围内打分，评分保留两位小数。</w:t>
      </w:r>
    </w:p>
    <w:p w14:paraId="52ADA085">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报价分（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14:paraId="42343984">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.1 报价得分采用</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价优先法计算，即满足磋商文件要求且磋商价格最</w:t>
      </w:r>
      <w:r>
        <w:rPr>
          <w:rFonts w:hint="eastAsia" w:ascii="宋体" w:hAnsi="宋体" w:eastAsia="宋体" w:cs="宋体"/>
          <w:color w:val="auto"/>
          <w:sz w:val="21"/>
          <w:szCs w:val="21"/>
          <w:highlight w:val="none"/>
          <w:lang w:eastAsia="zh-CN"/>
        </w:rPr>
        <w:t>高</w:t>
      </w:r>
      <w:r>
        <w:rPr>
          <w:rFonts w:hint="eastAsia" w:ascii="宋体" w:hAnsi="宋体" w:eastAsia="宋体" w:cs="宋体"/>
          <w:color w:val="auto"/>
          <w:sz w:val="21"/>
          <w:szCs w:val="21"/>
          <w:highlight w:val="none"/>
        </w:rPr>
        <w:t>的磋商报价为评审基准价，其他供应商的价格分按照下列公式计算：</w:t>
      </w:r>
    </w:p>
    <w:p w14:paraId="1032314F">
      <w:pPr>
        <w:pStyle w:val="1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价格分=（磋商报价/评审基准价）×报价权重×100</w:t>
      </w:r>
    </w:p>
    <w:p w14:paraId="7B6B724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.2 磋商由磋商小组负责，磋商报告由采购单位确认，成交通知书由采购代理机构发出。</w:t>
      </w:r>
    </w:p>
    <w:p w14:paraId="6FC4E35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磋商结果在评定当日在开标大厅宣布。</w:t>
      </w:r>
    </w:p>
    <w:p w14:paraId="7066DAA3">
      <w:pPr>
        <w:pStyle w:val="3"/>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color w:val="auto"/>
          <w:sz w:val="21"/>
          <w:szCs w:val="21"/>
          <w:highlight w:val="none"/>
        </w:rPr>
      </w:pPr>
      <w:bookmarkStart w:id="134" w:name="_Toc7141"/>
      <w:r>
        <w:rPr>
          <w:rFonts w:hint="eastAsia" w:ascii="宋体" w:hAnsi="宋体" w:eastAsia="宋体" w:cs="宋体"/>
          <w:b w:val="0"/>
          <w:bCs w:val="0"/>
          <w:color w:val="auto"/>
          <w:sz w:val="21"/>
          <w:szCs w:val="21"/>
          <w:highlight w:val="none"/>
        </w:rPr>
        <w:t xml:space="preserve">五  </w:t>
      </w:r>
      <w:r>
        <w:rPr>
          <w:rFonts w:hint="eastAsia" w:ascii="宋体" w:hAnsi="宋体" w:eastAsia="宋体" w:cs="宋体"/>
          <w:b w:val="0"/>
          <w:color w:val="auto"/>
          <w:sz w:val="21"/>
          <w:szCs w:val="21"/>
          <w:highlight w:val="none"/>
        </w:rPr>
        <w:t>评标办法和细则</w:t>
      </w:r>
      <w:bookmarkEnd w:id="134"/>
    </w:p>
    <w:p w14:paraId="242FF363">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bookmarkStart w:id="135" w:name="_Toc390938606"/>
      <w:bookmarkStart w:id="136" w:name="_Toc335664301"/>
      <w:r>
        <w:rPr>
          <w:rFonts w:hint="eastAsia" w:ascii="宋体" w:hAnsi="宋体" w:eastAsia="宋体" w:cs="宋体"/>
          <w:color w:val="auto"/>
          <w:sz w:val="21"/>
          <w:szCs w:val="21"/>
          <w:highlight w:val="none"/>
        </w:rPr>
        <w:t>5.1资信商务</w:t>
      </w:r>
      <w:r>
        <w:rPr>
          <w:rFonts w:hint="eastAsia" w:ascii="宋体" w:hAnsi="宋体" w:cs="宋体"/>
          <w:color w:val="auto"/>
          <w:sz w:val="21"/>
          <w:szCs w:val="21"/>
          <w:highlight w:val="none"/>
          <w:lang w:val="en-US" w:eastAsia="zh-CN"/>
        </w:rPr>
        <w:t>及技术</w:t>
      </w:r>
      <w:r>
        <w:rPr>
          <w:rFonts w:hint="eastAsia" w:ascii="宋体" w:hAnsi="宋体" w:eastAsia="宋体" w:cs="宋体"/>
          <w:color w:val="auto"/>
          <w:sz w:val="21"/>
          <w:szCs w:val="21"/>
          <w:highlight w:val="none"/>
        </w:rPr>
        <w:t>得分</w:t>
      </w:r>
    </w:p>
    <w:tbl>
      <w:tblPr>
        <w:tblStyle w:val="26"/>
        <w:tblW w:w="9244"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18"/>
        <w:gridCol w:w="6240"/>
        <w:gridCol w:w="910"/>
      </w:tblGrid>
      <w:tr w14:paraId="768F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76" w:type="dxa"/>
            <w:noWrap w:val="0"/>
            <w:vAlign w:val="center"/>
          </w:tcPr>
          <w:p w14:paraId="5535A5A6">
            <w:pPr>
              <w:pStyle w:val="14"/>
              <w:adjustRightInd w:val="0"/>
              <w:snapToGrid w:val="0"/>
              <w:spacing w:line="320" w:lineRule="exact"/>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序号</w:t>
            </w:r>
          </w:p>
        </w:tc>
        <w:tc>
          <w:tcPr>
            <w:tcW w:w="1318" w:type="dxa"/>
            <w:noWrap w:val="0"/>
            <w:vAlign w:val="center"/>
          </w:tcPr>
          <w:p w14:paraId="49116E45">
            <w:pPr>
              <w:pStyle w:val="14"/>
              <w:adjustRightInd w:val="0"/>
              <w:snapToGrid w:val="0"/>
              <w:spacing w:line="320" w:lineRule="exact"/>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评审内容</w:t>
            </w:r>
          </w:p>
        </w:tc>
        <w:tc>
          <w:tcPr>
            <w:tcW w:w="6240" w:type="dxa"/>
            <w:noWrap w:val="0"/>
            <w:vAlign w:val="center"/>
          </w:tcPr>
          <w:p w14:paraId="02D75AC2">
            <w:pPr>
              <w:pStyle w:val="14"/>
              <w:adjustRightInd w:val="0"/>
              <w:snapToGrid w:val="0"/>
              <w:spacing w:line="320" w:lineRule="exact"/>
              <w:ind w:firstLine="1897" w:firstLineChars="9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评审标准</w:t>
            </w:r>
          </w:p>
        </w:tc>
        <w:tc>
          <w:tcPr>
            <w:tcW w:w="910" w:type="dxa"/>
            <w:noWrap w:val="0"/>
            <w:vAlign w:val="center"/>
          </w:tcPr>
          <w:p w14:paraId="1B35A349">
            <w:pPr>
              <w:pStyle w:val="14"/>
              <w:adjustRightInd w:val="0"/>
              <w:snapToGrid w:val="0"/>
              <w:spacing w:line="32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分值</w:t>
            </w:r>
          </w:p>
        </w:tc>
      </w:tr>
      <w:tr w14:paraId="258E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76" w:type="dxa"/>
            <w:noWrap w:val="0"/>
            <w:vAlign w:val="center"/>
          </w:tcPr>
          <w:p w14:paraId="3811BCB9">
            <w:pPr>
              <w:pStyle w:val="14"/>
              <w:adjustRightInd w:val="0"/>
              <w:snapToGrid w:val="0"/>
              <w:spacing w:line="32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1318" w:type="dxa"/>
            <w:noWrap w:val="0"/>
            <w:vAlign w:val="center"/>
          </w:tcPr>
          <w:p w14:paraId="7C451A8D">
            <w:pPr>
              <w:pStyle w:val="14"/>
              <w:adjustRightInd w:val="0"/>
              <w:snapToGrid w:val="0"/>
              <w:spacing w:line="32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业绩</w:t>
            </w:r>
          </w:p>
        </w:tc>
        <w:tc>
          <w:tcPr>
            <w:tcW w:w="6240" w:type="dxa"/>
            <w:noWrap w:val="0"/>
            <w:vAlign w:val="center"/>
          </w:tcPr>
          <w:p w14:paraId="6AB26452">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投标人自2021年1月1日起（以合同签订时间为准）至投标截止时间止，具有同类项目业绩，每个业绩得1分，最高得1分。</w:t>
            </w:r>
          </w:p>
          <w:p w14:paraId="071A0273">
            <w:pPr>
              <w:pStyle w:val="14"/>
              <w:adjustRightInd w:val="0"/>
              <w:snapToGrid w:val="0"/>
              <w:spacing w:line="320" w:lineRule="exac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注：须同时提供中标通知书、合同扫描件，否则不得分。</w:t>
            </w:r>
          </w:p>
        </w:tc>
        <w:tc>
          <w:tcPr>
            <w:tcW w:w="910" w:type="dxa"/>
            <w:noWrap w:val="0"/>
            <w:vAlign w:val="center"/>
          </w:tcPr>
          <w:p w14:paraId="7D2D60C2">
            <w:pPr>
              <w:pStyle w:val="14"/>
              <w:adjustRightInd w:val="0"/>
              <w:snapToGrid w:val="0"/>
              <w:spacing w:line="320" w:lineRule="exact"/>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0-1</w:t>
            </w:r>
          </w:p>
          <w:p w14:paraId="707A57B4">
            <w:pPr>
              <w:pStyle w:val="14"/>
              <w:adjustRightInd w:val="0"/>
              <w:snapToGrid w:val="0"/>
              <w:spacing w:line="320" w:lineRule="exact"/>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1873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76" w:type="dxa"/>
            <w:noWrap w:val="0"/>
            <w:vAlign w:val="center"/>
          </w:tcPr>
          <w:p w14:paraId="3ED26962">
            <w:pPr>
              <w:pStyle w:val="14"/>
              <w:adjustRightInd w:val="0"/>
              <w:snapToGrid w:val="0"/>
              <w:spacing w:line="320" w:lineRule="exact"/>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1318" w:type="dxa"/>
            <w:noWrap w:val="0"/>
            <w:vAlign w:val="center"/>
          </w:tcPr>
          <w:p w14:paraId="171299A0">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Cs w:val="21"/>
                <w:highlight w:val="none"/>
              </w:rPr>
              <w:t>企业认证</w:t>
            </w:r>
          </w:p>
        </w:tc>
        <w:tc>
          <w:tcPr>
            <w:tcW w:w="6240" w:type="dxa"/>
            <w:noWrap w:val="0"/>
            <w:vAlign w:val="center"/>
          </w:tcPr>
          <w:p w14:paraId="2F430749">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投标人具备有效期内的质量管理体系认证证书、环境管理体系认证证书、职业健康安全管理体系认证证书，且上述证书的认证范围包含本项目招标内容的，每具备一项认证证书得1分，最高得3分。</w:t>
            </w:r>
          </w:p>
          <w:p w14:paraId="623C64E1">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注：</w:t>
            </w:r>
            <w:r>
              <w:rPr>
                <w:rFonts w:hint="eastAsia" w:asciiTheme="minorEastAsia" w:hAnsiTheme="minorEastAsia" w:eastAsiaTheme="minorEastAsia" w:cstheme="minorEastAsia"/>
                <w:szCs w:val="21"/>
                <w:highlight w:val="none"/>
              </w:rPr>
              <w:t>提供证书扫描件，否则不得分</w:t>
            </w:r>
            <w:r>
              <w:rPr>
                <w:rFonts w:hint="eastAsia" w:asciiTheme="minorEastAsia" w:hAnsiTheme="minorEastAsia" w:eastAsiaTheme="minorEastAsia" w:cstheme="minorEastAsia"/>
                <w:szCs w:val="21"/>
                <w:highlight w:val="none"/>
                <w:lang w:eastAsia="zh-CN"/>
              </w:rPr>
              <w:t>。</w:t>
            </w:r>
          </w:p>
        </w:tc>
        <w:tc>
          <w:tcPr>
            <w:tcW w:w="910" w:type="dxa"/>
            <w:noWrap w:val="0"/>
            <w:vAlign w:val="center"/>
          </w:tcPr>
          <w:p w14:paraId="1EB2D8AA">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0</w:t>
            </w:r>
            <w:r>
              <w:rPr>
                <w:rFonts w:asciiTheme="minorEastAsia" w:hAnsiTheme="minorEastAsia" w:eastAsiaTheme="minorEastAsia" w:cstheme="minorEastAsia"/>
                <w:b/>
                <w:bCs/>
                <w:szCs w:val="21"/>
                <w:highlight w:val="none"/>
              </w:rPr>
              <w:t>-3</w:t>
            </w:r>
          </w:p>
          <w:p w14:paraId="61443219">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1ECE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776" w:type="dxa"/>
            <w:noWrap w:val="0"/>
            <w:vAlign w:val="center"/>
          </w:tcPr>
          <w:p w14:paraId="39007819">
            <w:pPr>
              <w:pStyle w:val="14"/>
              <w:adjustRightInd w:val="0"/>
              <w:snapToGrid w:val="0"/>
              <w:spacing w:line="32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1318" w:type="dxa"/>
            <w:noWrap w:val="0"/>
            <w:vAlign w:val="center"/>
          </w:tcPr>
          <w:p w14:paraId="5D9CEEBB">
            <w:pPr>
              <w:pStyle w:val="14"/>
              <w:adjustRightInd w:val="0"/>
              <w:snapToGrid w:val="0"/>
              <w:spacing w:line="32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服务团队</w:t>
            </w:r>
          </w:p>
        </w:tc>
        <w:tc>
          <w:tcPr>
            <w:tcW w:w="6240" w:type="dxa"/>
            <w:noWrap w:val="0"/>
            <w:vAlign w:val="center"/>
          </w:tcPr>
          <w:p w14:paraId="4840A500">
            <w:pPr>
              <w:pStyle w:val="14"/>
              <w:adjustRightInd w:val="0"/>
              <w:snapToGrid w:val="0"/>
              <w:spacing w:line="320" w:lineRule="exac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投标人拟派的服务团队人员(除项目负责人外)中，具有动物疫病防治员、兽医师、动物检疫员、电工证、锅炉证等证书的，以上证书每具备一项得1分，最高得5分。</w:t>
            </w:r>
          </w:p>
          <w:p w14:paraId="49848D1D">
            <w:pPr>
              <w:pStyle w:val="14"/>
              <w:adjustRightInd w:val="0"/>
              <w:snapToGrid w:val="0"/>
              <w:spacing w:line="320" w:lineRule="exac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注：提供相关人员相关证书扫描件，否则不得分。</w:t>
            </w:r>
          </w:p>
        </w:tc>
        <w:tc>
          <w:tcPr>
            <w:tcW w:w="910" w:type="dxa"/>
            <w:noWrap w:val="0"/>
            <w:vAlign w:val="center"/>
          </w:tcPr>
          <w:p w14:paraId="7A5B378B">
            <w:pPr>
              <w:pStyle w:val="14"/>
              <w:adjustRightInd w:val="0"/>
              <w:snapToGrid w:val="0"/>
              <w:spacing w:line="320" w:lineRule="exact"/>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0-5</w:t>
            </w:r>
          </w:p>
          <w:p w14:paraId="1C4AE39D">
            <w:pPr>
              <w:pStyle w:val="14"/>
              <w:adjustRightInd w:val="0"/>
              <w:snapToGrid w:val="0"/>
              <w:spacing w:line="320" w:lineRule="exact"/>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19D2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76" w:type="dxa"/>
            <w:noWrap w:val="0"/>
            <w:vAlign w:val="center"/>
          </w:tcPr>
          <w:p w14:paraId="5BC182E5">
            <w:pPr>
              <w:pStyle w:val="14"/>
              <w:adjustRightInd w:val="0"/>
              <w:snapToGrid w:val="0"/>
              <w:spacing w:line="320" w:lineRule="exact"/>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c>
          <w:tcPr>
            <w:tcW w:w="1318" w:type="dxa"/>
            <w:noWrap w:val="0"/>
            <w:vAlign w:val="center"/>
          </w:tcPr>
          <w:p w14:paraId="5221605C">
            <w:pPr>
              <w:pStyle w:val="14"/>
              <w:adjustRightInd w:val="0"/>
              <w:snapToGrid w:val="0"/>
              <w:spacing w:line="32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采购需求响应情况</w:t>
            </w:r>
          </w:p>
        </w:tc>
        <w:tc>
          <w:tcPr>
            <w:tcW w:w="6240" w:type="dxa"/>
            <w:noWrap w:val="0"/>
            <w:vAlign w:val="center"/>
          </w:tcPr>
          <w:p w14:paraId="1AD21E29">
            <w:pPr>
              <w:pStyle w:val="14"/>
              <w:adjustRightInd w:val="0"/>
              <w:snapToGrid w:val="0"/>
              <w:spacing w:line="320" w:lineRule="exac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投标人响应采购需求所有条款的，得10分，每有一条不符合要求的扣1分，扣完为止。</w:t>
            </w:r>
          </w:p>
        </w:tc>
        <w:tc>
          <w:tcPr>
            <w:tcW w:w="910" w:type="dxa"/>
            <w:noWrap w:val="0"/>
            <w:vAlign w:val="center"/>
          </w:tcPr>
          <w:p w14:paraId="38054647">
            <w:pPr>
              <w:pStyle w:val="14"/>
              <w:adjustRightInd w:val="0"/>
              <w:snapToGrid w:val="0"/>
              <w:spacing w:line="320" w:lineRule="exact"/>
              <w:jc w:val="center"/>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0-10</w:t>
            </w:r>
          </w:p>
          <w:p w14:paraId="6C824DC1">
            <w:pPr>
              <w:pStyle w:val="14"/>
              <w:adjustRightInd w:val="0"/>
              <w:snapToGrid w:val="0"/>
              <w:spacing w:line="320" w:lineRule="exact"/>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3ACD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6" w:type="dxa"/>
            <w:noWrap w:val="0"/>
            <w:vAlign w:val="center"/>
          </w:tcPr>
          <w:p w14:paraId="2E54095B">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c>
          <w:tcPr>
            <w:tcW w:w="1318" w:type="dxa"/>
            <w:noWrap w:val="0"/>
            <w:vAlign w:val="center"/>
          </w:tcPr>
          <w:p w14:paraId="3581FB4B">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服务响应情况</w:t>
            </w:r>
          </w:p>
        </w:tc>
        <w:tc>
          <w:tcPr>
            <w:tcW w:w="6240" w:type="dxa"/>
            <w:noWrap w:val="0"/>
            <w:vAlign w:val="center"/>
          </w:tcPr>
          <w:p w14:paraId="70BEEC66">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评委根据招标文件服务要求包括处理方式、处理能力、收集要求、人员防护、处理要求、场地要求共6项供应商响应及优化方案等情况。</w:t>
            </w:r>
          </w:p>
          <w:p w14:paraId="649F4AE3">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完全满足项目要求，内容合理、完整、科学且切实可行的得6分；</w:t>
            </w:r>
          </w:p>
          <w:p w14:paraId="0C63CA2D">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基本能满足项目要求，内容全面但存在不足之处的得4分；</w:t>
            </w:r>
          </w:p>
          <w:p w14:paraId="39E5391C">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基本能满足项目要求，但内容不全面、存在缺陷的得2分；</w:t>
            </w:r>
          </w:p>
          <w:p w14:paraId="088341DE">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24366406">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313E52AB">
            <w:pPr>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0-6</w:t>
            </w:r>
          </w:p>
          <w:p w14:paraId="2F879F61">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5EFE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6" w:type="dxa"/>
            <w:noWrap w:val="0"/>
            <w:vAlign w:val="center"/>
          </w:tcPr>
          <w:p w14:paraId="2998B18E">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1318" w:type="dxa"/>
            <w:noWrap w:val="0"/>
            <w:vAlign w:val="center"/>
          </w:tcPr>
          <w:p w14:paraId="0B3B8A9C">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处理工艺</w:t>
            </w:r>
          </w:p>
        </w:tc>
        <w:tc>
          <w:tcPr>
            <w:tcW w:w="6240" w:type="dxa"/>
            <w:noWrap w:val="0"/>
            <w:vAlign w:val="center"/>
          </w:tcPr>
          <w:p w14:paraId="7651962B">
            <w:pPr>
              <w:pStyle w:val="9"/>
              <w:adjustRightInd w:val="0"/>
              <w:snapToGrid w:val="0"/>
              <w:spacing w:before="0" w:line="240" w:lineRule="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投标人提供处理工艺为</w:t>
            </w:r>
            <w:r>
              <w:rPr>
                <w:rFonts w:hint="eastAsia" w:ascii="宋体" w:hAnsi="宋体" w:eastAsia="宋体" w:cs="宋体"/>
                <w:color w:val="auto"/>
                <w:sz w:val="21"/>
                <w:szCs w:val="21"/>
                <w:highlight w:val="none"/>
                <w:lang w:val="en-US" w:eastAsia="zh-CN"/>
              </w:rPr>
              <w:t>焚烧</w:t>
            </w:r>
            <w:r>
              <w:rPr>
                <w:rFonts w:hint="eastAsia" w:ascii="宋体" w:hAnsi="宋体" w:cs="宋体"/>
                <w:color w:val="auto"/>
                <w:sz w:val="21"/>
                <w:szCs w:val="21"/>
                <w:highlight w:val="none"/>
                <w:lang w:val="en-US" w:eastAsia="zh-CN"/>
              </w:rPr>
              <w:t>的，得10分；</w:t>
            </w:r>
            <w:r>
              <w:rPr>
                <w:rFonts w:hint="eastAsia" w:asciiTheme="minorEastAsia" w:hAnsiTheme="minorEastAsia" w:eastAsiaTheme="minorEastAsia" w:cstheme="minorEastAsia"/>
                <w:color w:val="auto"/>
                <w:kern w:val="2"/>
                <w:sz w:val="21"/>
                <w:szCs w:val="21"/>
                <w:highlight w:val="none"/>
                <w:lang w:val="en-US" w:eastAsia="zh-CN" w:bidi="ar-SA"/>
              </w:rPr>
              <w:t>处理工艺为</w:t>
            </w:r>
            <w:r>
              <w:rPr>
                <w:rFonts w:hint="eastAsia" w:ascii="宋体" w:hAnsi="宋体" w:cs="宋体"/>
                <w:color w:val="auto"/>
                <w:sz w:val="21"/>
                <w:szCs w:val="21"/>
                <w:highlight w:val="none"/>
                <w:lang w:val="en-US" w:eastAsia="zh-CN"/>
              </w:rPr>
              <w:t>碳化的，得5分。</w:t>
            </w:r>
          </w:p>
        </w:tc>
        <w:tc>
          <w:tcPr>
            <w:tcW w:w="910" w:type="dxa"/>
            <w:noWrap w:val="0"/>
            <w:vAlign w:val="center"/>
          </w:tcPr>
          <w:p w14:paraId="67BF4F4A">
            <w:pPr>
              <w:jc w:val="center"/>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0-10</w:t>
            </w:r>
          </w:p>
        </w:tc>
      </w:tr>
      <w:tr w14:paraId="1934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76" w:type="dxa"/>
            <w:vMerge w:val="restart"/>
            <w:noWrap w:val="0"/>
            <w:vAlign w:val="center"/>
          </w:tcPr>
          <w:p w14:paraId="704F5481">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c>
          <w:tcPr>
            <w:tcW w:w="1318" w:type="dxa"/>
            <w:vMerge w:val="restart"/>
            <w:noWrap w:val="0"/>
            <w:vAlign w:val="center"/>
          </w:tcPr>
          <w:p w14:paraId="59CD9396">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设备</w:t>
            </w:r>
          </w:p>
        </w:tc>
        <w:tc>
          <w:tcPr>
            <w:tcW w:w="6240" w:type="dxa"/>
            <w:noWrap w:val="0"/>
            <w:vAlign w:val="center"/>
          </w:tcPr>
          <w:p w14:paraId="291B276F">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评委根据设备供货安装、调试、验收、试运营方案由评委比较打分。</w:t>
            </w:r>
          </w:p>
          <w:p w14:paraId="358D52EB">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完全满足项目要求，内容合理、完整、科学且切实可行的得5分；</w:t>
            </w:r>
          </w:p>
          <w:p w14:paraId="1B6BBBE6">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基本能满足项目要求，内容全面但存在不足之处的得3分；</w:t>
            </w:r>
          </w:p>
          <w:p w14:paraId="27F68E0F">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基本能满足项目要求，但内容不全面、存在缺陷的得2分；</w:t>
            </w:r>
          </w:p>
          <w:p w14:paraId="15449B9D">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350F5922">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4C8344D4">
            <w:pPr>
              <w:jc w:val="center"/>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0-5</w:t>
            </w:r>
          </w:p>
        </w:tc>
      </w:tr>
      <w:tr w14:paraId="2717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6" w:type="dxa"/>
            <w:vMerge w:val="continue"/>
            <w:noWrap w:val="0"/>
            <w:vAlign w:val="center"/>
          </w:tcPr>
          <w:p w14:paraId="4473C419">
            <w:pPr>
              <w:jc w:val="center"/>
              <w:rPr>
                <w:rFonts w:hint="default" w:asciiTheme="minorEastAsia" w:hAnsiTheme="minorEastAsia" w:eastAsiaTheme="minorEastAsia" w:cstheme="minorEastAsia"/>
                <w:color w:val="auto"/>
                <w:kern w:val="2"/>
                <w:sz w:val="21"/>
                <w:szCs w:val="21"/>
                <w:highlight w:val="none"/>
                <w:lang w:val="en-US" w:eastAsia="zh-CN" w:bidi="ar-SA"/>
              </w:rPr>
            </w:pPr>
          </w:p>
        </w:tc>
        <w:tc>
          <w:tcPr>
            <w:tcW w:w="1318" w:type="dxa"/>
            <w:vMerge w:val="continue"/>
            <w:noWrap w:val="0"/>
            <w:vAlign w:val="center"/>
          </w:tcPr>
          <w:p w14:paraId="13653F9F">
            <w:pPr>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6240" w:type="dxa"/>
            <w:noWrap w:val="0"/>
            <w:vAlign w:val="center"/>
          </w:tcPr>
          <w:p w14:paraId="6B540A5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拟投入设备的先进性、合理性，</w:t>
            </w:r>
          </w:p>
          <w:p w14:paraId="0DCAC96B">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完全满足项目要求，内容合理、完整、科学且切实可行的得5分；</w:t>
            </w:r>
          </w:p>
          <w:p w14:paraId="1631F1F5">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基本能满足项目要求，内容全面但存在不足之处的得3分；</w:t>
            </w:r>
          </w:p>
          <w:p w14:paraId="505BBFBE">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基本能满足项目要求，但内容不全面、存在缺陷的得2分；</w:t>
            </w:r>
          </w:p>
          <w:p w14:paraId="2B052723">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4485B6B0">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18AE4550">
            <w:pPr>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0-5</w:t>
            </w:r>
          </w:p>
          <w:p w14:paraId="644C064A">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17C2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76" w:type="dxa"/>
            <w:noWrap w:val="0"/>
            <w:vAlign w:val="center"/>
          </w:tcPr>
          <w:p w14:paraId="3C91149F">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1318" w:type="dxa"/>
            <w:noWrap w:val="0"/>
            <w:vAlign w:val="center"/>
          </w:tcPr>
          <w:p w14:paraId="2683B3E9">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运营方案</w:t>
            </w:r>
          </w:p>
        </w:tc>
        <w:tc>
          <w:tcPr>
            <w:tcW w:w="6240" w:type="dxa"/>
            <w:noWrap w:val="0"/>
            <w:vAlign w:val="center"/>
          </w:tcPr>
          <w:p w14:paraId="592F4A39">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根据投标人提供的运营机构设置合理、完整、可行性；运营管理方案合理、完整、可行性；卫生方案合理、完整、可行性。</w:t>
            </w:r>
          </w:p>
          <w:p w14:paraId="31F618D6">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完全满足项目要求，内容合理、完整、科学且切实可行的得5分；</w:t>
            </w:r>
          </w:p>
          <w:p w14:paraId="033B1660">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基本能满足项目要求，内容全面但存在不足之处的得3分；</w:t>
            </w:r>
          </w:p>
          <w:p w14:paraId="07730824">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基本能满足项目要求，但内容不全面、存在缺陷的得2分；</w:t>
            </w:r>
          </w:p>
          <w:p w14:paraId="4E977601">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4D2C020D">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69E5272E">
            <w:pPr>
              <w:jc w:val="center"/>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0-5</w:t>
            </w:r>
          </w:p>
          <w:p w14:paraId="32927CF6">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6E39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76" w:type="dxa"/>
            <w:noWrap w:val="0"/>
            <w:vAlign w:val="center"/>
          </w:tcPr>
          <w:p w14:paraId="5DD5D2B4">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w:t>
            </w:r>
          </w:p>
        </w:tc>
        <w:tc>
          <w:tcPr>
            <w:tcW w:w="1318" w:type="dxa"/>
            <w:noWrap w:val="0"/>
            <w:vAlign w:val="center"/>
          </w:tcPr>
          <w:p w14:paraId="1DAA53BD">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收运方案</w:t>
            </w:r>
          </w:p>
        </w:tc>
        <w:tc>
          <w:tcPr>
            <w:tcW w:w="6240" w:type="dxa"/>
            <w:noWrap w:val="0"/>
            <w:vAlign w:val="center"/>
          </w:tcPr>
          <w:p w14:paraId="65FBA964">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根据投标人提供的收运车辆选型配置合理、完整、可行性；收运模式合理、完整、可行性；及时收运措施合理、完整、可行性。</w:t>
            </w:r>
          </w:p>
          <w:p w14:paraId="6AAAB404">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完全满足项目要求，内容合理、完整、科学且切实可行的得5分；</w:t>
            </w:r>
          </w:p>
          <w:p w14:paraId="2C6ECADA">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基本能满足项目要求，内容全面但存在不足之处的得3分；</w:t>
            </w:r>
          </w:p>
          <w:p w14:paraId="049C32E4">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基本能满足项目要求，但内容不全面、存在缺陷的得2分；</w:t>
            </w:r>
          </w:p>
          <w:p w14:paraId="7BCF23E0">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3DB1A8B3">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3CC12C86">
            <w:pPr>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0-5</w:t>
            </w:r>
          </w:p>
          <w:p w14:paraId="2A8BD7B5">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09AA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776" w:type="dxa"/>
            <w:noWrap w:val="0"/>
            <w:vAlign w:val="center"/>
          </w:tcPr>
          <w:p w14:paraId="7B987536">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w:t>
            </w:r>
          </w:p>
        </w:tc>
        <w:tc>
          <w:tcPr>
            <w:tcW w:w="1318" w:type="dxa"/>
            <w:noWrap w:val="0"/>
            <w:vAlign w:val="center"/>
          </w:tcPr>
          <w:p w14:paraId="3B08F489">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应急预案</w:t>
            </w:r>
          </w:p>
        </w:tc>
        <w:tc>
          <w:tcPr>
            <w:tcW w:w="6240" w:type="dxa"/>
            <w:noWrap w:val="0"/>
            <w:vAlign w:val="center"/>
          </w:tcPr>
          <w:p w14:paraId="5C21B7D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根据投标人的应急预案，从大面积大量病害动物、传播性强的病害动物应急处理方案合理、完整、可行性；车辆故障应急处理方案可行性；处理厂设备故障应急处理方案合理、完整、可行性。</w:t>
            </w:r>
          </w:p>
          <w:p w14:paraId="4B2486C3">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完全满足项目要求，内容合理、完整、科学且切实可行的得5分；</w:t>
            </w:r>
          </w:p>
          <w:p w14:paraId="39C98801">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基本能满足项目要求，内容全面但存在不足之处的得3分；</w:t>
            </w:r>
          </w:p>
          <w:p w14:paraId="426883A2">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基本能满足项目要求，但内容不全面、存在缺陷的得2分；</w:t>
            </w:r>
          </w:p>
          <w:p w14:paraId="6041A4B9">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7F3F4AD2">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779E499B">
            <w:pPr>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0-5</w:t>
            </w:r>
          </w:p>
          <w:p w14:paraId="6F24EBC0">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634C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76" w:type="dxa"/>
            <w:noWrap w:val="0"/>
            <w:vAlign w:val="center"/>
          </w:tcPr>
          <w:p w14:paraId="07CC2441">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w:t>
            </w:r>
          </w:p>
        </w:tc>
        <w:tc>
          <w:tcPr>
            <w:tcW w:w="1318" w:type="dxa"/>
            <w:noWrap w:val="0"/>
            <w:vAlign w:val="center"/>
          </w:tcPr>
          <w:p w14:paraId="28EAA067">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监控管理方案</w:t>
            </w:r>
          </w:p>
        </w:tc>
        <w:tc>
          <w:tcPr>
            <w:tcW w:w="6240" w:type="dxa"/>
            <w:noWrap w:val="0"/>
            <w:vAlign w:val="center"/>
          </w:tcPr>
          <w:p w14:paraId="60A15E7F">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根据投标人提供的病死畜禽收集和处理监控管理方案进行评分，</w:t>
            </w:r>
          </w:p>
          <w:p w14:paraId="77A5AE87">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完全满足项目要求，内容合理、完整、科学且切实可行的得5分；</w:t>
            </w:r>
          </w:p>
          <w:p w14:paraId="3A833332">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基本能满足项目要求，内容全面但存在不足之处的得3分；</w:t>
            </w:r>
          </w:p>
          <w:p w14:paraId="6C236ED6">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基本能满足项目要求，但内容不全面、存在缺陷的得2分；</w:t>
            </w:r>
          </w:p>
          <w:p w14:paraId="42E20134">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2CCCE67C">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2EAA876C">
            <w:pPr>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zh-TW" w:eastAsia="zh-CN" w:bidi="ar-SA"/>
              </w:rPr>
              <w:t>0-</w:t>
            </w:r>
            <w:r>
              <w:rPr>
                <w:rFonts w:hint="eastAsia" w:asciiTheme="minorEastAsia" w:hAnsiTheme="minorEastAsia" w:eastAsiaTheme="minorEastAsia" w:cstheme="minorEastAsia"/>
                <w:b/>
                <w:bCs/>
                <w:color w:val="auto"/>
                <w:kern w:val="2"/>
                <w:sz w:val="21"/>
                <w:szCs w:val="21"/>
                <w:highlight w:val="none"/>
                <w:lang w:val="en-US" w:eastAsia="zh-CN" w:bidi="ar-SA"/>
              </w:rPr>
              <w:t>5</w:t>
            </w:r>
          </w:p>
          <w:p w14:paraId="1068D2C0">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61E9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76" w:type="dxa"/>
            <w:noWrap w:val="0"/>
            <w:vAlign w:val="center"/>
          </w:tcPr>
          <w:p w14:paraId="0AB6A799">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w:t>
            </w:r>
          </w:p>
        </w:tc>
        <w:tc>
          <w:tcPr>
            <w:tcW w:w="1318" w:type="dxa"/>
            <w:noWrap w:val="0"/>
            <w:vAlign w:val="center"/>
          </w:tcPr>
          <w:p w14:paraId="05A5CAC3">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防疫安全管理</w:t>
            </w:r>
          </w:p>
        </w:tc>
        <w:tc>
          <w:tcPr>
            <w:tcW w:w="6240" w:type="dxa"/>
            <w:noWrap w:val="0"/>
            <w:vAlign w:val="center"/>
          </w:tcPr>
          <w:p w14:paraId="4A515D5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根据投标人提供的生产场区防疫安全管理方案合理、完整、可行性；收运过程防疫安全管理方案合理、完整、可行性。</w:t>
            </w:r>
          </w:p>
          <w:p w14:paraId="65F77B3B">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完全满足项目要求，内容合理、完整、科学且切实可行的得5分；</w:t>
            </w:r>
          </w:p>
          <w:p w14:paraId="7AFD389E">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基本能满足项目要求，内容全面但存在不足之处的得3分；</w:t>
            </w:r>
          </w:p>
          <w:p w14:paraId="0E4B0A0D">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基本能满足项目要求，但内容不全面、存在缺陷的得2分；</w:t>
            </w:r>
          </w:p>
          <w:p w14:paraId="0B2741DA">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788DF16E">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16C06700">
            <w:pPr>
              <w:jc w:val="center"/>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0-5</w:t>
            </w:r>
          </w:p>
          <w:p w14:paraId="569007DD">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104E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76" w:type="dxa"/>
            <w:noWrap w:val="0"/>
            <w:vAlign w:val="center"/>
          </w:tcPr>
          <w:p w14:paraId="22F4BAA1">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w:t>
            </w:r>
          </w:p>
        </w:tc>
        <w:tc>
          <w:tcPr>
            <w:tcW w:w="1318" w:type="dxa"/>
            <w:noWrap w:val="0"/>
            <w:vAlign w:val="center"/>
          </w:tcPr>
          <w:p w14:paraId="25D6DB45">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环境保护方案</w:t>
            </w:r>
          </w:p>
        </w:tc>
        <w:tc>
          <w:tcPr>
            <w:tcW w:w="6240" w:type="dxa"/>
            <w:noWrap w:val="0"/>
            <w:vAlign w:val="center"/>
          </w:tcPr>
          <w:p w14:paraId="37C67027">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根据投标人提供的处理方案合理、完整、可行性；固体废弃物处理方案合理、完整、可行性。</w:t>
            </w:r>
          </w:p>
          <w:p w14:paraId="18BA24EE">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完全满足项目要求，内容合理、完整、科学且切实可行的得5分；</w:t>
            </w:r>
          </w:p>
          <w:p w14:paraId="6E160D2F">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基本能满足项目要求，内容全面但存在不足之处的得3分；</w:t>
            </w:r>
          </w:p>
          <w:p w14:paraId="004F2087">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基本能满足项目要求，但内容不全面、存在缺陷的得2分；</w:t>
            </w:r>
          </w:p>
          <w:p w14:paraId="5B757374">
            <w:pPr>
              <w:pStyle w:val="9"/>
              <w:adjustRightInd w:val="0"/>
              <w:snapToGrid w:val="0"/>
              <w:spacing w:before="0"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3EC242AD">
            <w:pPr>
              <w:pStyle w:val="9"/>
              <w:adjustRightInd w:val="0"/>
              <w:snapToGrid w:val="0"/>
              <w:spacing w:before="0" w:line="24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73882761">
            <w:pPr>
              <w:jc w:val="center"/>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0-5</w:t>
            </w:r>
          </w:p>
          <w:p w14:paraId="1A314A8F">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r w14:paraId="7D97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76" w:type="dxa"/>
            <w:noWrap w:val="0"/>
            <w:vAlign w:val="center"/>
          </w:tcPr>
          <w:p w14:paraId="21036999">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14</w:t>
            </w:r>
          </w:p>
        </w:tc>
        <w:tc>
          <w:tcPr>
            <w:tcW w:w="1318" w:type="dxa"/>
            <w:noWrap w:val="0"/>
            <w:vAlign w:val="center"/>
          </w:tcPr>
          <w:p w14:paraId="477E0D64">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环保、再利用</w:t>
            </w:r>
          </w:p>
        </w:tc>
        <w:tc>
          <w:tcPr>
            <w:tcW w:w="6240" w:type="dxa"/>
            <w:noWrap w:val="0"/>
            <w:vAlign w:val="center"/>
          </w:tcPr>
          <w:p w14:paraId="667C0E69">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根据投标人提供的处理后产出物的资源化利用方案进行评分，</w:t>
            </w:r>
          </w:p>
          <w:p w14:paraId="1DDBB59F">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完全满足项目要求，内容合理、完整、科学且切实可行的得5分；</w:t>
            </w:r>
          </w:p>
          <w:p w14:paraId="353E355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基本能满足项目要求，内容全面但存在不足之处的得3分；</w:t>
            </w:r>
          </w:p>
          <w:p w14:paraId="39A121E3">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基本能满足项目要求，但内容不全面、缺陷较多的得1分；</w:t>
            </w:r>
          </w:p>
          <w:p w14:paraId="56244FA6">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无法满足项目要求的得0分。</w:t>
            </w:r>
          </w:p>
        </w:tc>
        <w:tc>
          <w:tcPr>
            <w:tcW w:w="910" w:type="dxa"/>
            <w:noWrap w:val="0"/>
            <w:vAlign w:val="center"/>
          </w:tcPr>
          <w:p w14:paraId="5240422E">
            <w:pPr>
              <w:jc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0-5</w:t>
            </w:r>
          </w:p>
          <w:p w14:paraId="2BDC7633">
            <w:pPr>
              <w:jc w:val="center"/>
              <w:rPr>
                <w:rFonts w:hint="eastAsia" w:asciiTheme="minorEastAsia" w:hAnsiTheme="minorEastAsia" w:eastAsiaTheme="minorEastAsia" w:cstheme="minorEastAsia"/>
                <w:b/>
                <w:bCs/>
                <w:color w:val="auto"/>
                <w:kern w:val="2"/>
                <w:sz w:val="21"/>
                <w:szCs w:val="21"/>
                <w:highlight w:val="none"/>
                <w:lang w:val="en-US" w:eastAsia="zh-CN" w:bidi="ar-SA"/>
              </w:rPr>
            </w:pPr>
          </w:p>
        </w:tc>
      </w:tr>
    </w:tbl>
    <w:p w14:paraId="6CA91D8D">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磋商报价得分为</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0分,权重为</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0% ，由磋商小组根据以下内容统一计算打分：</w:t>
      </w:r>
    </w:p>
    <w:p w14:paraId="3D4B309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报价评分应在报价范围口径一致的评定价基础上进行。属磋商文件不清楚引起的报价内容和口径不一致的，则按有关规定统一调整报价内容和口径，计算出供应商的最终报价。属供应商失误造成的报价差错和遗漏，不得调整。</w:t>
      </w:r>
    </w:p>
    <w:p w14:paraId="5F89F57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.2最终报价</w:t>
      </w:r>
      <w:r>
        <w:rPr>
          <w:rFonts w:hint="eastAsia" w:ascii="宋体" w:hAnsi="宋体" w:cs="宋体"/>
          <w:color w:val="auto"/>
          <w:sz w:val="21"/>
          <w:szCs w:val="21"/>
          <w:highlight w:val="none"/>
          <w:lang w:eastAsia="zh-CN"/>
        </w:rPr>
        <w:t>不在报价范围内的，作无效标处理</w:t>
      </w:r>
      <w:r>
        <w:rPr>
          <w:rFonts w:hint="eastAsia" w:ascii="宋体" w:hAnsi="宋体" w:eastAsia="宋体" w:cs="宋体"/>
          <w:color w:val="auto"/>
          <w:sz w:val="21"/>
          <w:szCs w:val="21"/>
          <w:highlight w:val="none"/>
        </w:rPr>
        <w:t>。</w:t>
      </w:r>
    </w:p>
    <w:p w14:paraId="30324A6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.3最终报价有漏项的或报价数量少于磋商文件要求数量的，其报价无效。</w:t>
      </w:r>
    </w:p>
    <w:p w14:paraId="1B369151">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如最终报价有增项的或报价数量多于磋商文件要求数量的，不对其价格进行修正。若该供应商成交的，将按其承诺的有利于采购人的增项和数量进行供货，风险由成交人自行承担。</w:t>
      </w:r>
    </w:p>
    <w:p w14:paraId="64145C0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.4 评标基准价=进入报价评分的各</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有效报价中的最</w:t>
      </w:r>
      <w:r>
        <w:rPr>
          <w:rFonts w:hint="eastAsia" w:ascii="宋体" w:hAnsi="宋体" w:eastAsia="宋体" w:cs="宋体"/>
          <w:color w:val="auto"/>
          <w:sz w:val="21"/>
          <w:szCs w:val="21"/>
          <w:highlight w:val="none"/>
        </w:rPr>
        <w:t>高</w:t>
      </w:r>
      <w:r>
        <w:rPr>
          <w:rFonts w:hint="eastAsia" w:ascii="宋体" w:hAnsi="宋体" w:eastAsia="宋体" w:cs="宋体"/>
          <w:b w:val="0"/>
          <w:bCs/>
          <w:color w:val="auto"/>
          <w:sz w:val="21"/>
          <w:szCs w:val="21"/>
          <w:highlight w:val="none"/>
        </w:rPr>
        <w:t>价。</w:t>
      </w:r>
    </w:p>
    <w:p w14:paraId="1378CCFB">
      <w:pPr>
        <w:pStyle w:val="3"/>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highlight w:val="none"/>
        </w:rPr>
      </w:pPr>
      <w:bookmarkStart w:id="137" w:name="_Toc28669"/>
      <w:r>
        <w:rPr>
          <w:rFonts w:hint="eastAsia" w:ascii="宋体" w:hAnsi="宋体" w:eastAsia="宋体" w:cs="宋体"/>
          <w:b w:val="0"/>
          <w:bCs w:val="0"/>
          <w:color w:val="auto"/>
          <w:sz w:val="21"/>
          <w:szCs w:val="21"/>
          <w:highlight w:val="none"/>
        </w:rPr>
        <w:t>六   磋商纪律和要求</w:t>
      </w:r>
      <w:bookmarkEnd w:id="135"/>
      <w:bookmarkEnd w:id="136"/>
      <w:bookmarkEnd w:id="137"/>
    </w:p>
    <w:p w14:paraId="215BD224">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6.1磋商小组必须公平、公正磋商，遵纪守法,客观、廉洁地履行职责。</w:t>
      </w:r>
    </w:p>
    <w:p w14:paraId="4DE0FA99">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6.2磋商小组在磋商开始前,应关闭并上交随身携带的各种通信工具。</w:t>
      </w:r>
    </w:p>
    <w:p w14:paraId="1438F08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6.3磋商小组在磋商过程中,未经许可不得中途离开磋商现场,不得迟到早退。</w:t>
      </w:r>
    </w:p>
    <w:p w14:paraId="29692B7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6.4磋商小组和工作人员不得透露磋商过程中的讨论情况和磋商结果。</w:t>
      </w:r>
    </w:p>
    <w:p w14:paraId="5674ED2E">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磋商时，磋商小组须按磋商文件规定的程序、条件和标准，对竞争性磋商供应商响应文件的合规性、完整性和有效性进行审查、比较和评估，其中对竞争性磋商供应商的资格条件、主要技术参数、商务磋商和其他磋商要素等，磋商小组应逐项进行审查、比较，不得漏评少评。如发现与磋商文件要求相偏离的，应对其偏离情形进行必要的核实，并在工作底稿中予以说明；如属于实质性偏离或符合无效响应文件的，可询问竞争性磋商供应商，并允许竞争性磋商供应商进行陈述申辩，但不允许其对偏离条款进行补充、修正或撤回。</w:t>
      </w:r>
    </w:p>
    <w:p w14:paraId="074DC39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采购代理机构应当为磋商小组提供必要的磋商条件和相应的磋商工作底稿，并严格按规定程序组织磋商小组有步骤地进行磋商，对各磋商小组的评分情况和磋商意见进行合理性和合规性审查，如发现磋商小组的磋商意见带有明显倾向性，或不按规定程序和标准磋商、计分的，出现单项分值满分或零分的（除技术规格偏离评分），磋商小组打分高于或低于有效分值平均分20%的，应要求磋商小组进行书面澄清和说明。</w:t>
      </w:r>
    </w:p>
    <w:p w14:paraId="5DDFF97B">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6.7磋商小组在磋商过程中不得将自己的观点强加给其他磋商小组,磋商小组应自主发表见解,对磋商意见承担个人责任。</w:t>
      </w:r>
    </w:p>
    <w:p w14:paraId="522F6FC7">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磋商结束后，磋商小组应向采购代理机构提交项目磋商报告。磋商报告是采购人确定成交供应商的合法依据，磋商小组应当如实、客观地反映磋商情况，按磋商文件的磋商办法和细则的规定推荐3名成交候选人，说明推荐理由，并重点对成交候选人的技术、服务和价格等情况进行评价和比较。</w:t>
      </w:r>
    </w:p>
    <w:p w14:paraId="37EA62F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6.9磋商小组应当独立、客观、公正地提出磋商意见，不得带有倾向性，不得影响其他磋商小组磋商，并在磋商报告上签字；如对磋商报告有异议的，可在报告上签署不同意见，并说明理由，否则将视为同意。</w:t>
      </w:r>
    </w:p>
    <w:p w14:paraId="48E88BE5">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6.10磋商小组应当配合采购代理机构答复竞争性磋商供应商提出的质疑。</w:t>
      </w:r>
    </w:p>
    <w:p w14:paraId="2A55BF3F">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6.11磋商小组应当配合采购人上级主管部门的投诉处理工作。</w:t>
      </w:r>
    </w:p>
    <w:p w14:paraId="491A9166">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6.12磋商小组成员有如下行为之一的,责令改正,给予警告,可以并处一千元以下的罚款</w:t>
      </w:r>
      <w:r>
        <w:rPr>
          <w:rFonts w:hint="eastAsia" w:ascii="宋体" w:hAnsi="宋体" w:cs="宋体"/>
          <w:color w:val="auto"/>
          <w:sz w:val="21"/>
          <w:szCs w:val="21"/>
          <w:highlight w:val="none"/>
          <w:lang w:eastAsia="zh-CN"/>
        </w:rPr>
        <w:t>：</w:t>
      </w:r>
    </w:p>
    <w:p w14:paraId="12FC1B8C">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6.12.1明知应当回避而未主动回避的</w:t>
      </w:r>
      <w:r>
        <w:rPr>
          <w:rFonts w:hint="eastAsia" w:ascii="宋体" w:hAnsi="宋体" w:cs="宋体"/>
          <w:color w:val="auto"/>
          <w:sz w:val="21"/>
          <w:szCs w:val="21"/>
          <w:highlight w:val="none"/>
          <w:lang w:eastAsia="zh-CN"/>
        </w:rPr>
        <w:t>；</w:t>
      </w:r>
    </w:p>
    <w:p w14:paraId="6F9C8B7D">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6.12.2在知道自己为磋商小组身份后至磋商结束前的时段内私下接触竞争性磋商供应商的</w:t>
      </w:r>
      <w:r>
        <w:rPr>
          <w:rFonts w:hint="eastAsia" w:ascii="宋体" w:hAnsi="宋体" w:cs="宋体"/>
          <w:color w:val="auto"/>
          <w:sz w:val="21"/>
          <w:szCs w:val="21"/>
          <w:highlight w:val="none"/>
          <w:lang w:eastAsia="zh-CN"/>
        </w:rPr>
        <w:t>；</w:t>
      </w:r>
    </w:p>
    <w:p w14:paraId="1985C93A">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6.12.3在磋商过程中擅离职守,影响磋商程序正常进行的</w:t>
      </w:r>
      <w:r>
        <w:rPr>
          <w:rFonts w:hint="eastAsia" w:ascii="宋体" w:hAnsi="宋体" w:cs="宋体"/>
          <w:color w:val="auto"/>
          <w:sz w:val="21"/>
          <w:szCs w:val="21"/>
          <w:highlight w:val="none"/>
          <w:lang w:eastAsia="zh-CN"/>
        </w:rPr>
        <w:t>；</w:t>
      </w:r>
    </w:p>
    <w:p w14:paraId="7BC6D2F2">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6.12.4在磋商过程有明显不合理或者不正当倾向性的</w:t>
      </w:r>
      <w:r>
        <w:rPr>
          <w:rFonts w:hint="eastAsia" w:ascii="宋体" w:hAnsi="宋体" w:cs="宋体"/>
          <w:color w:val="auto"/>
          <w:sz w:val="21"/>
          <w:szCs w:val="21"/>
          <w:highlight w:val="none"/>
          <w:lang w:eastAsia="zh-CN"/>
        </w:rPr>
        <w:t>；</w:t>
      </w:r>
    </w:p>
    <w:p w14:paraId="5F7EDD2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6.12.5未按磋商文件规定的磋商方法和标准进行磋商的</w:t>
      </w:r>
      <w:r>
        <w:rPr>
          <w:rFonts w:hint="eastAsia" w:ascii="宋体" w:hAnsi="宋体" w:cs="宋体"/>
          <w:color w:val="auto"/>
          <w:sz w:val="21"/>
          <w:szCs w:val="21"/>
          <w:highlight w:val="none"/>
          <w:lang w:eastAsia="zh-CN"/>
        </w:rPr>
        <w:t>；</w:t>
      </w:r>
    </w:p>
    <w:p w14:paraId="096424B0">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6.12.6上述6.12.1至6.12.5行为影响成交结果的,成交结果无效。</w:t>
      </w:r>
    </w:p>
    <w:sectPr>
      <w:pgSz w:w="11906" w:h="16838"/>
      <w:pgMar w:top="1185" w:right="1151" w:bottom="1157" w:left="1185"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D055">
    <w:pPr>
      <w:pStyle w:val="17"/>
      <w:pBdr>
        <w:top w:val="thinThickSmallGap" w:color="auto" w:sz="24" w:space="1"/>
      </w:pBdr>
      <w:ind w:right="360"/>
      <w:rPr>
        <w:rFonts w:hint="default"/>
        <w:lang w:val="en-US"/>
      </w:rPr>
    </w:pPr>
    <w:r>
      <w:rPr>
        <w:rFonts w:hint="eastAsia" w:ascii="宋体" w:hAnsi="宋体" w:eastAsia="宋体"/>
        <w:sz w:val="20"/>
      </w:rPr>
      <w:t>招标代理机构：</w:t>
    </w:r>
    <w:r>
      <w:rPr>
        <w:rFonts w:hint="eastAsia" w:ascii="宋体" w:hAnsi="宋体"/>
        <w:sz w:val="20"/>
        <w:lang w:eastAsia="zh-CN"/>
      </w:rPr>
      <w:t>云和县丰汇项目管理有限公司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5D932">
    <w:pPr>
      <w:pStyle w:val="17"/>
      <w:pBdr>
        <w:top w:val="thinThickSmallGap" w:color="auto" w:sz="24" w:space="1"/>
      </w:pBdr>
      <w:ind w:right="360"/>
      <w:rPr>
        <w:rFonts w:hint="default"/>
        <w:lang w:val="en-US"/>
      </w:rPr>
    </w:pPr>
    <w:r>
      <w:rPr>
        <w:rFonts w:hint="eastAsia" w:ascii="宋体" w:hAnsi="宋体" w:eastAsia="宋体"/>
        <w:sz w:val="20"/>
      </w:rPr>
      <w:t>招标代理机构：</w:t>
    </w:r>
    <w:r>
      <w:rPr>
        <w:rFonts w:hint="eastAsia" w:ascii="宋体" w:hAnsi="宋体"/>
        <w:sz w:val="20"/>
        <w:lang w:eastAsia="zh-CN"/>
      </w:rPr>
      <w:t>云和县丰汇项目管理有限公司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B7F3">
    <w:pPr>
      <w:pStyle w:val="18"/>
      <w:pBdr>
        <w:bottom w:val="single" w:color="auto" w:sz="4" w:space="1"/>
      </w:pBdr>
    </w:pPr>
    <w:r>
      <w:rPr>
        <w:rFonts w:hint="eastAsia" w:ascii="宋体" w:hAnsi="宋体" w:cs="宋体"/>
        <w:color w:val="auto"/>
        <w:sz w:val="21"/>
        <w:szCs w:val="21"/>
        <w:lang w:eastAsia="zh-CN"/>
      </w:rPr>
      <w:t>云和县病死动物集中无害化处理中心采购项目</w:t>
    </w:r>
    <w:r>
      <w:rPr>
        <w:rFonts w:hint="eastAsia" w:ascii="宋体" w:hAnsi="宋体" w:cs="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D057F">
    <w:pPr>
      <w:pStyle w:val="18"/>
      <w:pBdr>
        <w:bottom w:val="single" w:color="auto" w:sz="4" w:space="1"/>
      </w:pBdr>
    </w:pPr>
    <w:r>
      <w:rPr>
        <w:rFonts w:hint="eastAsia" w:ascii="宋体" w:hAnsi="宋体" w:cs="宋体"/>
        <w:color w:val="auto"/>
        <w:sz w:val="21"/>
        <w:szCs w:val="21"/>
        <w:lang w:eastAsia="zh-CN"/>
      </w:rPr>
      <w:t>云和县病死动物集中无害化处理中心采购项目</w:t>
    </w:r>
    <w:r>
      <w:rPr>
        <w:rFonts w:hint="eastAsia" w:ascii="宋体" w:hAnsi="宋体" w:cs="宋体"/>
        <w:sz w:val="21"/>
        <w:szCs w:val="21"/>
      </w:rPr>
      <w:t>竞争性磋商文件</w:t>
    </w: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2769F">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22769F">
                    <w:pPr>
                      <w:pStyle w:val="18"/>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5DDF">
    <w:pPr>
      <w:pStyle w:val="18"/>
      <w:pBdr>
        <w:bottom w:val="single" w:color="auto" w:sz="4" w:space="1"/>
      </w:pBd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DECA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7DECA8">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color w:val="auto"/>
        <w:sz w:val="21"/>
        <w:szCs w:val="21"/>
        <w:lang w:eastAsia="zh-CN"/>
      </w:rPr>
      <w:t>云和县病死动物集中无害化处理中心采购项目</w:t>
    </w:r>
    <w:r>
      <w:rPr>
        <w:rFonts w:hint="eastAsia" w:ascii="宋体" w:hAnsi="宋体" w:cs="宋体"/>
        <w:sz w:val="21"/>
        <w:szCs w:val="21"/>
      </w:rPr>
      <w:t>竞争性磋商文件</w:t>
    </w:r>
  </w:p>
  <w:p w14:paraId="55BB01F9">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0B17A"/>
    <w:multiLevelType w:val="singleLevel"/>
    <w:tmpl w:val="DC20B17A"/>
    <w:lvl w:ilvl="0" w:tentative="0">
      <w:start w:val="2"/>
      <w:numFmt w:val="decimal"/>
      <w:suff w:val="nothing"/>
      <w:lvlText w:val="（%1）"/>
      <w:lvlJc w:val="left"/>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YWIxNTZjYmQzOGZlZDFkN2EzNzk2ZDA4NzM0NDcifQ=="/>
  </w:docVars>
  <w:rsids>
    <w:rsidRoot w:val="00000000"/>
    <w:rsid w:val="005F4006"/>
    <w:rsid w:val="00EA4CD0"/>
    <w:rsid w:val="032C48CF"/>
    <w:rsid w:val="054E5B79"/>
    <w:rsid w:val="06CE1DB6"/>
    <w:rsid w:val="071312A6"/>
    <w:rsid w:val="0AAA6302"/>
    <w:rsid w:val="0E4D5CB6"/>
    <w:rsid w:val="117714FA"/>
    <w:rsid w:val="12A14823"/>
    <w:rsid w:val="15533669"/>
    <w:rsid w:val="16CC523F"/>
    <w:rsid w:val="16EA49EA"/>
    <w:rsid w:val="1771552C"/>
    <w:rsid w:val="18EC3BE9"/>
    <w:rsid w:val="195405CB"/>
    <w:rsid w:val="19C113B6"/>
    <w:rsid w:val="19D64878"/>
    <w:rsid w:val="1AA83505"/>
    <w:rsid w:val="1F034F6D"/>
    <w:rsid w:val="1F0871D4"/>
    <w:rsid w:val="21BE0F4D"/>
    <w:rsid w:val="21D464C4"/>
    <w:rsid w:val="228060AC"/>
    <w:rsid w:val="243D403B"/>
    <w:rsid w:val="24862223"/>
    <w:rsid w:val="249B7F0A"/>
    <w:rsid w:val="270C15FA"/>
    <w:rsid w:val="27434F33"/>
    <w:rsid w:val="28C17D02"/>
    <w:rsid w:val="2A8126BF"/>
    <w:rsid w:val="2ADE0312"/>
    <w:rsid w:val="2B5B780D"/>
    <w:rsid w:val="2BCB580D"/>
    <w:rsid w:val="2BCC4267"/>
    <w:rsid w:val="305B34BD"/>
    <w:rsid w:val="30E943F9"/>
    <w:rsid w:val="316867E0"/>
    <w:rsid w:val="32313075"/>
    <w:rsid w:val="328F5BE6"/>
    <w:rsid w:val="339A7A71"/>
    <w:rsid w:val="33EB6C84"/>
    <w:rsid w:val="35641083"/>
    <w:rsid w:val="363F15C0"/>
    <w:rsid w:val="367F2437"/>
    <w:rsid w:val="36CC15BF"/>
    <w:rsid w:val="36CC4695"/>
    <w:rsid w:val="39EB73F4"/>
    <w:rsid w:val="39F62E4F"/>
    <w:rsid w:val="3A371445"/>
    <w:rsid w:val="3CBB375B"/>
    <w:rsid w:val="3D843809"/>
    <w:rsid w:val="3E9C3F6D"/>
    <w:rsid w:val="3F171845"/>
    <w:rsid w:val="437B61E7"/>
    <w:rsid w:val="440E7E61"/>
    <w:rsid w:val="46050E60"/>
    <w:rsid w:val="46202C29"/>
    <w:rsid w:val="490E5A67"/>
    <w:rsid w:val="4A385CAE"/>
    <w:rsid w:val="4A391A57"/>
    <w:rsid w:val="4E9E1621"/>
    <w:rsid w:val="518014CC"/>
    <w:rsid w:val="520A60C1"/>
    <w:rsid w:val="53874873"/>
    <w:rsid w:val="53E75C29"/>
    <w:rsid w:val="55C67E1F"/>
    <w:rsid w:val="57686D4F"/>
    <w:rsid w:val="57BB6877"/>
    <w:rsid w:val="5A194228"/>
    <w:rsid w:val="5BD602F7"/>
    <w:rsid w:val="5D5654CB"/>
    <w:rsid w:val="5F3574E1"/>
    <w:rsid w:val="5F6C6046"/>
    <w:rsid w:val="5FA878F5"/>
    <w:rsid w:val="63CA0050"/>
    <w:rsid w:val="64533FF8"/>
    <w:rsid w:val="64796F79"/>
    <w:rsid w:val="65573729"/>
    <w:rsid w:val="656C5B97"/>
    <w:rsid w:val="66E870C9"/>
    <w:rsid w:val="67B14486"/>
    <w:rsid w:val="68AC04C3"/>
    <w:rsid w:val="6A753D6B"/>
    <w:rsid w:val="6B86337B"/>
    <w:rsid w:val="6C0D41E6"/>
    <w:rsid w:val="6C823EF2"/>
    <w:rsid w:val="6FA8099A"/>
    <w:rsid w:val="72DD5FE2"/>
    <w:rsid w:val="74CE5F27"/>
    <w:rsid w:val="759F2416"/>
    <w:rsid w:val="78144598"/>
    <w:rsid w:val="79944586"/>
    <w:rsid w:val="7A1432AB"/>
    <w:rsid w:val="7A1563A6"/>
    <w:rsid w:val="7B6A44CF"/>
    <w:rsid w:val="7CA123F8"/>
    <w:rsid w:val="7DB358E1"/>
    <w:rsid w:val="7EF0017C"/>
    <w:rsid w:val="7F4F5EB6"/>
    <w:rsid w:val="7F536ABD"/>
    <w:rsid w:val="7FE505C8"/>
    <w:rsid w:val="F3F783EC"/>
    <w:rsid w:val="FFFAD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4"/>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qFormat/>
    <w:uiPriority w:val="0"/>
    <w:pPr>
      <w:keepNext/>
      <w:keepLines/>
      <w:spacing w:line="240" w:lineRule="auto"/>
      <w:ind w:firstLine="602" w:firstLineChars="200"/>
      <w:outlineLvl w:val="2"/>
    </w:pPr>
    <w:rPr>
      <w:rFonts w:ascii="仿宋_GB2312" w:hAnsi="仿宋_GB2312" w:eastAsia="仿宋_GB2312"/>
      <w:b/>
      <w:bCs/>
      <w:sz w:val="30"/>
      <w:szCs w:val="20"/>
    </w:rPr>
  </w:style>
  <w:style w:type="paragraph" w:styleId="7">
    <w:name w:val="heading 4"/>
    <w:basedOn w:val="1"/>
    <w:next w:val="1"/>
    <w:qFormat/>
    <w:uiPriority w:val="9"/>
    <w:pPr>
      <w:keepLines/>
      <w:widowControl/>
      <w:spacing w:before="280" w:after="290" w:line="372" w:lineRule="auto"/>
      <w:outlineLvl w:val="3"/>
    </w:pPr>
    <w:rPr>
      <w:rFonts w:ascii="Arial" w:hAnsi="Arial" w:eastAsia="黑体"/>
      <w:b/>
      <w:color w:val="000000"/>
      <w:sz w:val="28"/>
      <w:szCs w:val="20"/>
    </w:rPr>
  </w:style>
  <w:style w:type="character" w:default="1" w:styleId="28">
    <w:name w:val="Default Paragraph Font"/>
    <w:qFormat/>
    <w:uiPriority w:val="0"/>
  </w:style>
  <w:style w:type="table" w:default="1" w:styleId="26">
    <w:name w:val="Normal Table"/>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5"/>
    <w:qFormat/>
    <w:uiPriority w:val="0"/>
    <w:pPr>
      <w:ind w:firstLine="540"/>
    </w:pPr>
    <w:rPr>
      <w:sz w:val="28"/>
      <w:szCs w:val="20"/>
    </w:rPr>
  </w:style>
  <w:style w:type="paragraph" w:styleId="8">
    <w:name w:val="table of authorities"/>
    <w:basedOn w:val="1"/>
    <w:next w:val="1"/>
    <w:qFormat/>
    <w:uiPriority w:val="99"/>
    <w:pPr>
      <w:ind w:left="420" w:leftChars="200"/>
    </w:pPr>
    <w:rPr>
      <w:sz w:val="21"/>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w:basedOn w:val="1"/>
    <w:qFormat/>
    <w:uiPriority w:val="0"/>
    <w:pPr>
      <w:tabs>
        <w:tab w:val="left" w:pos="208"/>
      </w:tabs>
      <w:spacing w:line="432" w:lineRule="auto"/>
    </w:pPr>
    <w:rPr>
      <w:rFonts w:ascii="仿宋_GB2312" w:eastAsia="仿宋_GB2312"/>
      <w:sz w:val="28"/>
    </w:rPr>
  </w:style>
  <w:style w:type="paragraph" w:styleId="12">
    <w:name w:val="Block Text"/>
    <w:basedOn w:val="1"/>
    <w:qFormat/>
    <w:uiPriority w:val="99"/>
    <w:pPr>
      <w:spacing w:after="120"/>
      <w:ind w:left="1440" w:leftChars="700" w:right="1440" w:rightChars="700"/>
    </w:pPr>
  </w:style>
  <w:style w:type="paragraph" w:styleId="13">
    <w:name w:val="toc 3"/>
    <w:basedOn w:val="1"/>
    <w:next w:val="1"/>
    <w:qFormat/>
    <w:uiPriority w:val="39"/>
    <w:pPr>
      <w:tabs>
        <w:tab w:val="right" w:leader="dot" w:pos="9060"/>
      </w:tabs>
      <w:ind w:left="1"/>
    </w:pPr>
    <w:rPr>
      <w:rFonts w:ascii="仿宋_GB2312" w:eastAsia="仿宋_GB2312"/>
      <w:sz w:val="24"/>
      <w:szCs w:val="36"/>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djustRightInd w:val="0"/>
      <w:spacing w:line="312" w:lineRule="atLeast"/>
    </w:pPr>
    <w:rPr>
      <w:rFonts w:ascii="仿宋_GB2312" w:eastAsia="仿宋_GB2312"/>
      <w:kern w:val="0"/>
      <w:sz w:val="28"/>
      <w:szCs w:val="20"/>
    </w:rPr>
  </w:style>
  <w:style w:type="paragraph" w:styleId="16">
    <w:name w:val="Body Text Indent 2"/>
    <w:basedOn w:val="1"/>
    <w:qFormat/>
    <w:uiPriority w:val="99"/>
    <w:pPr>
      <w:snapToGrid w:val="0"/>
      <w:spacing w:line="400" w:lineRule="exact"/>
      <w:ind w:firstLine="480"/>
    </w:pPr>
    <w:rPr>
      <w:rFonts w:eastAsia="仿宋_GB2312"/>
      <w:sz w:val="24"/>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List"/>
    <w:basedOn w:val="1"/>
    <w:qFormat/>
    <w:uiPriority w:val="0"/>
    <w:pPr>
      <w:ind w:left="200" w:hanging="200" w:hangingChars="200"/>
    </w:pPr>
    <w:rPr>
      <w:rFonts w:ascii="Times New Roman" w:hAnsi="Times New Roman"/>
      <w:szCs w:val="24"/>
    </w:rPr>
  </w:style>
  <w:style w:type="paragraph" w:styleId="21">
    <w:name w:val="toc 6"/>
    <w:basedOn w:val="1"/>
    <w:next w:val="1"/>
    <w:qFormat/>
    <w:uiPriority w:val="0"/>
    <w:pPr>
      <w:ind w:left="2100" w:leftChars="1000"/>
    </w:pPr>
  </w:style>
  <w:style w:type="paragraph" w:styleId="22">
    <w:name w:val="toc 2"/>
    <w:basedOn w:val="1"/>
    <w:next w:val="1"/>
    <w:qFormat/>
    <w:uiPriority w:val="39"/>
    <w:pPr>
      <w:tabs>
        <w:tab w:val="right" w:leader="dot" w:pos="9060"/>
      </w:tabs>
    </w:pPr>
    <w:rPr>
      <w:rFonts w:ascii="宋体" w:hAnsi="宋体"/>
      <w:b/>
      <w:bCs/>
      <w:sz w:val="24"/>
    </w:r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Body Text First Indent"/>
    <w:basedOn w:val="11"/>
    <w:next w:val="21"/>
    <w:qFormat/>
    <w:uiPriority w:val="0"/>
    <w:pPr>
      <w:widowControl w:val="0"/>
      <w:ind w:firstLine="420" w:firstLineChars="100"/>
    </w:pPr>
    <w:rPr>
      <w:color w:val="auto"/>
      <w:szCs w:val="24"/>
    </w:rPr>
  </w:style>
  <w:style w:type="paragraph" w:styleId="25">
    <w:name w:val="Body Text First Indent 2"/>
    <w:basedOn w:val="6"/>
    <w:next w:val="1"/>
    <w:qFormat/>
    <w:uiPriority w:val="99"/>
    <w:pPr>
      <w:spacing w:after="120" w:line="240" w:lineRule="auto"/>
      <w:ind w:left="420" w:leftChars="200" w:firstLine="420" w:firstLineChars="200"/>
    </w:pPr>
    <w:rPr>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Hyperlink"/>
    <w:qFormat/>
    <w:uiPriority w:val="99"/>
    <w:rPr>
      <w:color w:val="0000FF"/>
      <w:u w:val="single"/>
    </w:rPr>
  </w:style>
  <w:style w:type="paragraph" w:customStyle="1" w:styleId="31">
    <w:name w:val="_Style 3"/>
    <w:basedOn w:val="1"/>
    <w:qFormat/>
    <w:uiPriority w:val="0"/>
    <w:pPr>
      <w:ind w:firstLine="420" w:firstLineChars="200"/>
    </w:pPr>
    <w:rPr>
      <w:sz w:val="21"/>
    </w:rPr>
  </w:style>
  <w:style w:type="character" w:customStyle="1" w:styleId="32">
    <w:name w:val="标题 1 Char"/>
    <w:link w:val="2"/>
    <w:qFormat/>
    <w:uiPriority w:val="9"/>
    <w:rPr>
      <w:rFonts w:ascii="仿宋_GB2312" w:eastAsia="仿宋_GB2312"/>
      <w:b/>
      <w:sz w:val="44"/>
    </w:rPr>
  </w:style>
  <w:style w:type="paragraph" w:customStyle="1" w:styleId="33">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正文_1"/>
    <w:qFormat/>
    <w:uiPriority w:val="0"/>
    <w:pPr>
      <w:widowControl w:val="0"/>
      <w:jc w:val="both"/>
    </w:pPr>
    <w:rPr>
      <w:rFonts w:ascii="Calibri" w:hAnsi="Calibri" w:eastAsia="宋体" w:cs="Times New Roman"/>
      <w:kern w:val="2"/>
      <w:sz w:val="21"/>
      <w:szCs w:val="21"/>
      <w:lang w:val="en-US" w:eastAsia="zh-CN" w:bidi="ar-SA"/>
    </w:rPr>
  </w:style>
  <w:style w:type="paragraph" w:customStyle="1" w:styleId="3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纯文本_0_0"/>
    <w:basedOn w:val="35"/>
    <w:qFormat/>
    <w:uiPriority w:val="0"/>
    <w:rPr>
      <w:rFonts w:ascii="宋体" w:hAnsi="Courier New"/>
      <w:szCs w:val="21"/>
    </w:rPr>
  </w:style>
  <w:style w:type="paragraph" w:customStyle="1" w:styleId="37">
    <w:name w:val="纯文本_0"/>
    <w:basedOn w:val="1"/>
    <w:qFormat/>
    <w:uiPriority w:val="0"/>
    <w:rPr>
      <w:rFonts w:ascii="宋体" w:hAnsi="Courier New"/>
      <w:kern w:val="0"/>
      <w:sz w:val="20"/>
      <w:szCs w:val="20"/>
    </w:rPr>
  </w:style>
  <w:style w:type="paragraph" w:customStyle="1" w:styleId="38">
    <w:name w:val="纯文本_1"/>
    <w:basedOn w:val="1"/>
    <w:qFormat/>
    <w:uiPriority w:val="0"/>
    <w:rPr>
      <w:rFonts w:ascii="宋体" w:hAnsi="Courier New"/>
      <w:szCs w:val="20"/>
    </w:rPr>
  </w:style>
  <w:style w:type="paragraph" w:customStyle="1" w:styleId="39">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纯文本_3"/>
    <w:basedOn w:val="39"/>
    <w:qFormat/>
    <w:uiPriority w:val="0"/>
    <w:rPr>
      <w:rFonts w:ascii="宋体" w:hAnsi="Courier New"/>
      <w:szCs w:val="20"/>
    </w:rPr>
  </w:style>
  <w:style w:type="paragraph" w:customStyle="1" w:styleId="41">
    <w:name w:val="正文_2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纯文本_4_3"/>
    <w:basedOn w:val="1"/>
    <w:qFormat/>
    <w:uiPriority w:val="0"/>
    <w:rPr>
      <w:rFonts w:ascii="宋体" w:hAnsi="Courier New"/>
      <w:szCs w:val="20"/>
    </w:rPr>
  </w:style>
  <w:style w:type="paragraph" w:customStyle="1" w:styleId="44">
    <w:name w:val="正文_1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纯文本_5_0"/>
    <w:basedOn w:val="1"/>
    <w:qFormat/>
    <w:uiPriority w:val="0"/>
    <w:rPr>
      <w:rFonts w:ascii="宋体" w:hAnsi="Courier New"/>
      <w:szCs w:val="20"/>
    </w:rPr>
  </w:style>
  <w:style w:type="paragraph" w:customStyle="1" w:styleId="47">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4"/>
    <w:qFormat/>
    <w:uiPriority w:val="0"/>
    <w:pPr>
      <w:widowControl w:val="0"/>
      <w:jc w:val="both"/>
    </w:pPr>
    <w:rPr>
      <w:rFonts w:ascii="Calibri" w:hAnsi="Calibri" w:eastAsia="宋体" w:cs="Times New Roman"/>
      <w:kern w:val="2"/>
      <w:sz w:val="21"/>
      <w:szCs w:val="24"/>
      <w:lang w:val="en-US" w:eastAsia="zh-CN" w:bidi="ar-SA"/>
    </w:rPr>
  </w:style>
  <w:style w:type="paragraph" w:styleId="50">
    <w:name w:val="No Spacing"/>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character" w:customStyle="1" w:styleId="51">
    <w:name w:val="textcontents1"/>
    <w:basedOn w:val="28"/>
    <w:qFormat/>
    <w:uiPriority w:val="0"/>
    <w:rPr>
      <w:color w:val="000000"/>
      <w:sz w:val="30"/>
      <w:szCs w:val="30"/>
    </w:rPr>
  </w:style>
  <w:style w:type="paragraph" w:customStyle="1" w:styleId="52">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53">
    <w:name w:val="Normal_20"/>
    <w:qFormat/>
    <w:uiPriority w:val="0"/>
    <w:pPr>
      <w:widowControl w:val="0"/>
      <w:jc w:val="both"/>
    </w:pPr>
    <w:rPr>
      <w:rFonts w:ascii="Times New Roman" w:hAnsi="Times New Roman" w:eastAsia="Times New Roman" w:cs="Times New Roman"/>
      <w:lang w:bidi="ar-SA"/>
    </w:rPr>
  </w:style>
  <w:style w:type="paragraph" w:customStyle="1" w:styleId="54">
    <w:name w:val="表格文字"/>
    <w:basedOn w:val="1"/>
    <w:next w:val="11"/>
    <w:qFormat/>
    <w:uiPriority w:val="0"/>
    <w:pPr>
      <w:adjustRightInd w:val="0"/>
      <w:spacing w:line="420" w:lineRule="atLeast"/>
      <w:textAlignment w:val="baseline"/>
    </w:pPr>
    <w:rPr>
      <w:rFonts w:ascii="Calibri" w:hAnsi="Calibri" w:cs="Calibri"/>
    </w:rPr>
  </w:style>
  <w:style w:type="paragraph" w:customStyle="1" w:styleId="55">
    <w:name w:val="Body Text First Indent 21"/>
    <w:basedOn w:val="1"/>
    <w:qFormat/>
    <w:uiPriority w:val="0"/>
    <w:pPr>
      <w:autoSpaceDE w:val="0"/>
      <w:autoSpaceDN w:val="0"/>
      <w:adjustRightInd w:val="0"/>
      <w:spacing w:after="120"/>
      <w:ind w:left="420" w:leftChars="200" w:right="0" w:firstLine="420"/>
    </w:pPr>
    <w:rPr>
      <w:rFonts w:ascii="宋体" w:hAnsi="宋体" w:eastAsia="宋体" w:cs="宋体"/>
      <w:sz w:val="24"/>
      <w:szCs w:val="21"/>
    </w:rPr>
  </w:style>
  <w:style w:type="paragraph" w:styleId="56">
    <w:name w:val="List Paragraph"/>
    <w:basedOn w:val="1"/>
    <w:qFormat/>
    <w:uiPriority w:val="34"/>
    <w:pPr>
      <w:ind w:firstLine="420" w:firstLineChars="200"/>
    </w:pPr>
    <w:rPr>
      <w:rFonts w:ascii="Calibri" w:hAnsi="Calibri"/>
      <w:szCs w:val="22"/>
    </w:rPr>
  </w:style>
  <w:style w:type="paragraph" w:customStyle="1" w:styleId="57">
    <w:name w:val="正文缩进1"/>
    <w:basedOn w:val="1"/>
    <w:qFormat/>
    <w:uiPriority w:val="0"/>
    <w:pPr>
      <w:ind w:firstLine="420" w:firstLineChars="200"/>
    </w:pPr>
  </w:style>
  <w:style w:type="character" w:customStyle="1" w:styleId="58">
    <w:name w:val="font21"/>
    <w:basedOn w:val="28"/>
    <w:qFormat/>
    <w:uiPriority w:val="0"/>
    <w:rPr>
      <w:rFonts w:hint="eastAsia" w:ascii="宋体" w:hAnsi="宋体" w:eastAsia="宋体" w:cs="宋体"/>
      <w:b/>
      <w:bCs/>
      <w:color w:val="000000"/>
      <w:sz w:val="21"/>
      <w:szCs w:val="21"/>
      <w:u w:val="none"/>
    </w:rPr>
  </w:style>
  <w:style w:type="character" w:customStyle="1" w:styleId="59">
    <w:name w:val="font31"/>
    <w:basedOn w:val="28"/>
    <w:qFormat/>
    <w:uiPriority w:val="0"/>
    <w:rPr>
      <w:rFonts w:hint="eastAsia" w:ascii="宋体" w:hAnsi="宋体" w:eastAsia="宋体" w:cs="宋体"/>
      <w:color w:val="000000"/>
      <w:sz w:val="21"/>
      <w:szCs w:val="21"/>
      <w:u w:val="none"/>
    </w:rPr>
  </w:style>
  <w:style w:type="paragraph" w:customStyle="1" w:styleId="60">
    <w:name w:val="Other|1"/>
    <w:basedOn w:val="1"/>
    <w:qFormat/>
    <w:uiPriority w:val="0"/>
    <w:pPr>
      <w:autoSpaceDE/>
      <w:autoSpaceDN/>
      <w:adjustRightInd/>
      <w:spacing w:line="415" w:lineRule="auto"/>
      <w:ind w:firstLine="400"/>
    </w:pPr>
    <w:rPr>
      <w:rFonts w:ascii="宋体" w:hAnsi="宋体" w:cs="宋体"/>
      <w:sz w:val="22"/>
      <w:szCs w:val="22"/>
      <w:lang w:val="zh-TW" w:eastAsia="zh-TW" w:bidi="zh-TW"/>
    </w:rPr>
  </w:style>
  <w:style w:type="paragraph" w:customStyle="1" w:styleId="61">
    <w:name w:val="无间隔1"/>
    <w:qFormat/>
    <w:uiPriority w:val="0"/>
    <w:rPr>
      <w:rFonts w:ascii="等线" w:hAnsi="等线" w:eastAsia="等线" w:cs="Times New Roman"/>
      <w:sz w:val="22"/>
      <w:szCs w:val="22"/>
      <w:lang w:val="en-US" w:eastAsia="zh-CN" w:bidi="ar-SA"/>
    </w:rPr>
  </w:style>
  <w:style w:type="paragraph" w:customStyle="1" w:styleId="62">
    <w:name w:val="BodyText1I2"/>
    <w:basedOn w:val="63"/>
    <w:qFormat/>
    <w:uiPriority w:val="0"/>
    <w:pPr>
      <w:spacing w:after="120"/>
      <w:ind w:left="420" w:leftChars="200" w:firstLine="420" w:firstLineChars="200"/>
      <w:textAlignment w:val="baseline"/>
    </w:pPr>
    <w:rPr>
      <w:color w:val="000000"/>
    </w:rPr>
  </w:style>
  <w:style w:type="paragraph" w:customStyle="1" w:styleId="63">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character" w:customStyle="1" w:styleId="64">
    <w:name w:val="标题 1 字符"/>
    <w:link w:val="2"/>
    <w:qFormat/>
    <w:uiPriority w:val="9"/>
    <w:rPr>
      <w:rFonts w:ascii="仿宋_GB2312" w:eastAsia="仿宋_GB2312"/>
      <w:b/>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22190</Words>
  <Characters>23367</Characters>
  <Paragraphs>1581</Paragraphs>
  <TotalTime>6</TotalTime>
  <ScaleCrop>false</ScaleCrop>
  <LinksUpToDate>false</LinksUpToDate>
  <CharactersWithSpaces>24084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2024-03-05T02:53:00Z</dcterms:created>
  <dc:creator>风起春寒</dc:creator>
  <cp:lastModifiedBy>Administrator</cp:lastModifiedBy>
  <cp:lastPrinted>2024-12-02T06:17:00Z</cp:lastPrinted>
  <dcterms:modified xsi:type="dcterms:W3CDTF">2025-07-18T08:05:17Z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D7F65B91EF334FC0BB79D5987D2A2416_13</vt:lpwstr>
  </property>
  <property fmtid="{D5CDD505-2E9C-101B-9397-08002B2CF9AE}" pid="4" name="KSOTemplateDocerSaveRecord">
    <vt:lpwstr>eyJoZGlkIjoiYWYxNWEyOWYzY2QyN2UwNWQyNmFkMjcyODJhZmVjZjQiLCJ1c2VySWQiOiIzMzM5MzAwNjIifQ==</vt:lpwstr>
  </property>
</Properties>
</file>