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8E12E">
      <w:pPr>
        <w:pStyle w:val="11"/>
        <w:numPr>
          <w:ilvl w:val="0"/>
          <w:numId w:val="0"/>
        </w:numPr>
        <w:outlineLvl w:val="0"/>
        <w:rPr>
          <w:rFonts w:ascii="Times New Roman" w:hAnsi="Times New Roman" w:cs="Times New Roman"/>
          <w:highlight w:val="none"/>
        </w:rPr>
      </w:pPr>
      <w:bookmarkStart w:id="0" w:name="_Toc2019"/>
      <w:bookmarkStart w:id="1" w:name="_Toc195502497"/>
      <w:bookmarkStart w:id="2" w:name="_Toc19017"/>
      <w:bookmarkStart w:id="3" w:name="_Toc15419"/>
      <w:bookmarkStart w:id="4" w:name="_Toc195502587"/>
      <w:bookmarkStart w:id="5" w:name="_Toc18197"/>
      <w:bookmarkStart w:id="6" w:name="_Toc202085297"/>
      <w:bookmarkStart w:id="60" w:name="_GoBack"/>
      <w:bookmarkEnd w:id="60"/>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磋商内容及要求</w:t>
      </w:r>
      <w:bookmarkEnd w:id="0"/>
      <w:bookmarkEnd w:id="1"/>
      <w:bookmarkEnd w:id="2"/>
      <w:bookmarkEnd w:id="3"/>
      <w:bookmarkEnd w:id="4"/>
      <w:bookmarkEnd w:id="5"/>
      <w:bookmarkEnd w:id="6"/>
    </w:p>
    <w:p w14:paraId="3F7CF999">
      <w:pPr>
        <w:pStyle w:val="2"/>
        <w:numPr>
          <w:ilvl w:val="0"/>
          <w:numId w:val="1"/>
        </w:numPr>
        <w:topLinePunct w:val="0"/>
        <w:ind w:left="0" w:leftChars="0" w:firstLine="0" w:firstLineChars="0"/>
        <w:rPr>
          <w:b/>
        </w:rPr>
      </w:pPr>
      <w:bookmarkStart w:id="7" w:name="_Toc2638"/>
      <w:bookmarkStart w:id="8" w:name="_Toc25800"/>
      <w:r>
        <w:t>维保技术规范</w:t>
      </w:r>
      <w:bookmarkEnd w:id="7"/>
      <w:bookmarkEnd w:id="8"/>
    </w:p>
    <w:p w14:paraId="4370070B">
      <w:pPr>
        <w:pStyle w:val="4"/>
        <w:numPr>
          <w:ilvl w:val="0"/>
          <w:numId w:val="2"/>
        </w:numPr>
        <w:topLinePunct w:val="0"/>
        <w:ind w:left="0" w:leftChars="0" w:firstLine="420" w:firstLineChars="0"/>
        <w:rPr>
          <w:b w:val="0"/>
        </w:rPr>
      </w:pPr>
      <w:r>
        <w:t>维保人员应确保设备的巡查等日常运行维保工作；负责紧急事故处理、倒闸操作、市电正常、停电运行等工作。维保单位需保留巡检记录。</w:t>
      </w:r>
    </w:p>
    <w:p w14:paraId="414604F6">
      <w:pPr>
        <w:pStyle w:val="4"/>
        <w:numPr>
          <w:ilvl w:val="0"/>
          <w:numId w:val="2"/>
        </w:numPr>
        <w:topLinePunct w:val="0"/>
        <w:ind w:left="0" w:leftChars="0" w:firstLine="420" w:firstLineChars="0"/>
        <w:rPr>
          <w:b w:val="0"/>
        </w:rPr>
      </w:pPr>
      <w:r>
        <w:t>维保单位对配电室内电气设备进行安全检查，加强设备缺陷管理。运行人员发现设备缺陷后应做好记录。对一般缺陷可列入计划进行处理。严重或危急缺陷应及时消除或采取措施，防止造成事故。</w:t>
      </w:r>
    </w:p>
    <w:p w14:paraId="045B77E6">
      <w:pPr>
        <w:pStyle w:val="4"/>
        <w:numPr>
          <w:ilvl w:val="0"/>
          <w:numId w:val="2"/>
        </w:numPr>
        <w:topLinePunct w:val="0"/>
        <w:ind w:left="0" w:leftChars="0" w:firstLine="420" w:firstLineChars="0"/>
        <w:rPr>
          <w:b w:val="0"/>
        </w:rPr>
      </w:pPr>
      <w:r>
        <w:t>确保配电室变压器、高压配电装置、低压配电装置的操作区、维保通道铺设绝缘胶垫。</w:t>
      </w:r>
    </w:p>
    <w:p w14:paraId="01526FE9">
      <w:pPr>
        <w:pStyle w:val="4"/>
        <w:numPr>
          <w:ilvl w:val="0"/>
          <w:numId w:val="2"/>
        </w:numPr>
        <w:topLinePunct w:val="0"/>
        <w:ind w:left="0" w:leftChars="0" w:firstLine="420" w:firstLineChars="0"/>
        <w:rPr>
          <w:b w:val="0"/>
        </w:rPr>
      </w:pPr>
      <w:r>
        <w:t>正常照明和应急照明完整齐全。应急照明应至少进行充放电试验1次。</w:t>
      </w:r>
    </w:p>
    <w:p w14:paraId="1B730B6B">
      <w:pPr>
        <w:pStyle w:val="4"/>
        <w:numPr>
          <w:ilvl w:val="0"/>
          <w:numId w:val="2"/>
        </w:numPr>
        <w:topLinePunct w:val="0"/>
        <w:ind w:left="0" w:leftChars="0" w:firstLine="420" w:firstLineChars="0"/>
        <w:rPr>
          <w:b w:val="0"/>
        </w:rPr>
      </w:pPr>
      <w:r>
        <w:t>配电室设置适用电气灭火的消防设施（由招标人提供），中标单位需至少检查1次，并保存记录。现场消防设施不应挪作他用，周围不应堆放杂物和其他设备，并按国家相关要求定期测试。</w:t>
      </w:r>
    </w:p>
    <w:p w14:paraId="08C04CF7">
      <w:pPr>
        <w:pStyle w:val="4"/>
        <w:numPr>
          <w:ilvl w:val="0"/>
          <w:numId w:val="2"/>
        </w:numPr>
        <w:topLinePunct w:val="0"/>
        <w:ind w:left="0" w:leftChars="0" w:firstLine="420" w:firstLineChars="0"/>
        <w:rPr>
          <w:b w:val="0"/>
        </w:rPr>
      </w:pPr>
      <w:r>
        <w:t>配备运行维保的相关用具（由中标人提供），并应保证数量充足、质量合格。各种用具统一分类编号，登记在专用记录薄内，做到账物相符，并及时记录安全用具的检查、试验情况。</w:t>
      </w:r>
    </w:p>
    <w:p w14:paraId="2E7AB313">
      <w:pPr>
        <w:pStyle w:val="4"/>
        <w:numPr>
          <w:ilvl w:val="0"/>
          <w:numId w:val="2"/>
        </w:numPr>
        <w:topLinePunct w:val="0"/>
        <w:ind w:left="0" w:leftChars="0" w:firstLine="420" w:firstLineChars="0"/>
        <w:rPr>
          <w:b w:val="0"/>
        </w:rPr>
      </w:pPr>
      <w:r>
        <w:t>配电室电气设备定期按照DL/T596《电力设备预防性试验规程》的要求对高低压柜、变压器、综保预防性试验检测，维保单位出具检测报告，提供给招标单位，维保单位应留存试验记录。</w:t>
      </w:r>
    </w:p>
    <w:p w14:paraId="5443258A">
      <w:pPr>
        <w:pStyle w:val="4"/>
        <w:numPr>
          <w:ilvl w:val="0"/>
          <w:numId w:val="2"/>
        </w:numPr>
        <w:topLinePunct w:val="0"/>
        <w:ind w:left="0" w:leftChars="0" w:firstLine="420" w:firstLineChars="0"/>
        <w:rPr>
          <w:b w:val="0"/>
        </w:rPr>
      </w:pPr>
      <w:r>
        <w:t>各种安全用具首次使用前应经试验并定期复检，合格后方可使用。电气绝缘安全用具中的令克棒、验电笔、绝缘手套、绝缘靴等的绝缘试验周期至少为每年一次。维保单位出具检测报告，提供给招标单位，维保单位应留存试验记录。</w:t>
      </w:r>
    </w:p>
    <w:p w14:paraId="55A2F487">
      <w:pPr>
        <w:pStyle w:val="4"/>
        <w:numPr>
          <w:ilvl w:val="0"/>
          <w:numId w:val="2"/>
        </w:numPr>
        <w:topLinePunct w:val="0"/>
        <w:ind w:left="0" w:leftChars="0" w:firstLine="420" w:firstLineChars="0"/>
        <w:rPr>
          <w:b w:val="0"/>
        </w:rPr>
      </w:pPr>
      <w:r>
        <w:t xml:space="preserve">配电室内绝缘垫定期测周期至少为每年一次，并出具检测报告，提供给招标单位，维保单位应留存检测记检测，检录。 </w:t>
      </w:r>
    </w:p>
    <w:p w14:paraId="034DEBCB">
      <w:pPr>
        <w:pStyle w:val="4"/>
        <w:numPr>
          <w:ilvl w:val="0"/>
          <w:numId w:val="2"/>
        </w:numPr>
        <w:topLinePunct w:val="0"/>
        <w:ind w:left="0" w:leftChars="0" w:firstLine="420" w:firstLineChars="0"/>
        <w:rPr>
          <w:b w:val="0"/>
        </w:rPr>
      </w:pPr>
      <w:r>
        <w:t>异常运行及事故处置要按照规范进行。</w:t>
      </w:r>
    </w:p>
    <w:p w14:paraId="15AB7994">
      <w:pPr>
        <w:pStyle w:val="4"/>
        <w:numPr>
          <w:ilvl w:val="0"/>
          <w:numId w:val="2"/>
        </w:numPr>
        <w:topLinePunct w:val="0"/>
        <w:ind w:left="0" w:leftChars="0" w:firstLine="420" w:firstLineChars="0"/>
        <w:rPr>
          <w:b w:val="0"/>
        </w:rPr>
      </w:pPr>
      <w:r>
        <w:t>配电室日常运行环境要按照规范进行。</w:t>
      </w:r>
    </w:p>
    <w:p w14:paraId="75CF4A1B">
      <w:pPr>
        <w:pStyle w:val="2"/>
        <w:numPr>
          <w:ilvl w:val="0"/>
          <w:numId w:val="1"/>
        </w:numPr>
        <w:topLinePunct w:val="0"/>
        <w:ind w:left="0" w:leftChars="0" w:firstLine="0" w:firstLineChars="0"/>
        <w:rPr>
          <w:b/>
        </w:rPr>
      </w:pPr>
      <w:bookmarkStart w:id="9" w:name="_Toc19160"/>
      <w:bookmarkStart w:id="10" w:name="_Toc8590"/>
      <w:r>
        <w:t>服务范围</w:t>
      </w:r>
      <w:bookmarkEnd w:id="9"/>
      <w:bookmarkEnd w:id="10"/>
    </w:p>
    <w:p w14:paraId="4373E14E">
      <w:pPr>
        <w:pStyle w:val="3"/>
        <w:numPr>
          <w:ilvl w:val="0"/>
          <w:numId w:val="3"/>
        </w:numPr>
        <w:topLinePunct w:val="0"/>
        <w:ind w:left="0" w:leftChars="0" w:firstLine="420" w:firstLineChars="0"/>
        <w:rPr>
          <w:b/>
        </w:rPr>
      </w:pPr>
      <w:bookmarkStart w:id="11" w:name="_Toc20129"/>
      <w:bookmarkStart w:id="12" w:name="_Toc12659"/>
      <w:r>
        <w:t>配电室电力运行维保：</w:t>
      </w:r>
      <w:bookmarkEnd w:id="11"/>
      <w:bookmarkEnd w:id="12"/>
    </w:p>
    <w:p w14:paraId="0A7022F6">
      <w:pPr>
        <w:pStyle w:val="4"/>
        <w:numPr>
          <w:ilvl w:val="0"/>
          <w:numId w:val="4"/>
        </w:numPr>
        <w:topLinePunct w:val="0"/>
        <w:ind w:left="1265" w:leftChars="0" w:hanging="425" w:firstLineChars="0"/>
        <w:rPr>
          <w:b w:val="0"/>
        </w:rPr>
      </w:pPr>
      <w:r>
        <w:t>定期巡检：对合同范围内的配电设备每月1次的专业维保人员上门服务，对招标单位配电设备以及发电机组进行定期巡视、检查、检测，通过系统数据的日常监控及现场的定期巡视及时了解和掌握配电设备的运行状态。做好设备运行记录，包括配电室设备重点部位进行局部放电测试、温度检测、凝露检查、开关设备的跳闸次数、熔丝熔断情况等，对潜在的风险点和缺陷点进行记录，并出具巡视报告，及时提供设备评价依据。</w:t>
      </w:r>
    </w:p>
    <w:p w14:paraId="371DE1C9">
      <w:pPr>
        <w:pStyle w:val="4"/>
        <w:numPr>
          <w:ilvl w:val="0"/>
          <w:numId w:val="4"/>
        </w:numPr>
        <w:topLinePunct w:val="0"/>
        <w:ind w:left="1265" w:leftChars="0" w:hanging="425" w:firstLineChars="0"/>
        <w:rPr>
          <w:b w:val="0"/>
        </w:rPr>
      </w:pPr>
      <w:r>
        <w:t>配电室标准化改造：全面提升配电室的安全用电管理水平，将传统的管理转化为规范化、标准化的管理模式，包括管理标准上墙、设备标识标准化、绝缘垫维护、防小动物采取的“防、堵”等措施，提高配电设施的安全运行水平。对有安全隐患的配电室进行全面整改，减少因配电设施引起的停电及异常故障。</w:t>
      </w:r>
    </w:p>
    <w:p w14:paraId="751E8883">
      <w:pPr>
        <w:pStyle w:val="4"/>
        <w:numPr>
          <w:ilvl w:val="0"/>
          <w:numId w:val="4"/>
        </w:numPr>
        <w:topLinePunct w:val="0"/>
        <w:ind w:left="1265" w:leftChars="0" w:hanging="425" w:firstLineChars="0"/>
        <w:rPr>
          <w:b w:val="0"/>
        </w:rPr>
      </w:pPr>
      <w:r>
        <w:t>环境清理：每年2次对配电室进行墙面、大门、窗户、地面、配电柜体表面、柜内元件（停电时）、通风系统和照明系统进行清洁工作。</w:t>
      </w:r>
    </w:p>
    <w:p w14:paraId="131DA9C0">
      <w:pPr>
        <w:pStyle w:val="4"/>
        <w:numPr>
          <w:ilvl w:val="0"/>
          <w:numId w:val="4"/>
        </w:numPr>
        <w:topLinePunct w:val="0"/>
        <w:ind w:left="1265" w:leftChars="0" w:hanging="425" w:firstLineChars="0"/>
        <w:rPr>
          <w:b w:val="0"/>
        </w:rPr>
      </w:pPr>
      <w:r>
        <w:t>预防性试验：根据招标单位需求提供例行试验和诊断性试验并出具试验报告，重要设备运行满2年宜进行例行试验；特别重要设备、重要设备停运6个月以上重新投运前应进行例行试验。</w:t>
      </w:r>
    </w:p>
    <w:p w14:paraId="1577361B">
      <w:pPr>
        <w:pStyle w:val="4"/>
        <w:numPr>
          <w:ilvl w:val="0"/>
          <w:numId w:val="4"/>
        </w:numPr>
        <w:topLinePunct w:val="0"/>
        <w:ind w:left="1265" w:leftChars="0" w:hanging="425" w:firstLineChars="0"/>
        <w:rPr>
          <w:b w:val="0"/>
        </w:rPr>
      </w:pPr>
      <w:r>
        <w:t>运行评估：掌握招标单位配电设备运行情况，科学指导招标单位针对性的开展设备缺陷处理和新建改造，为招标单位计划资金上报提供依据，给招标单位提供运行设备评估报告，评估报告涵盖10KV配电网概况、设备运行情况、企业用电负荷特性、存在问题、建设与改造项目的建议和资金需求等。</w:t>
      </w:r>
    </w:p>
    <w:p w14:paraId="2E09C776">
      <w:pPr>
        <w:pStyle w:val="3"/>
        <w:numPr>
          <w:ilvl w:val="0"/>
          <w:numId w:val="3"/>
        </w:numPr>
        <w:topLinePunct w:val="0"/>
        <w:ind w:left="0" w:leftChars="0" w:firstLine="420" w:firstLineChars="0"/>
        <w:rPr>
          <w:b/>
        </w:rPr>
      </w:pPr>
      <w:bookmarkStart w:id="13" w:name="_Toc23756"/>
      <w:bookmarkStart w:id="14" w:name="_Toc2310"/>
      <w:r>
        <w:t>应急保供电工作：</w:t>
      </w:r>
      <w:bookmarkEnd w:id="13"/>
      <w:bookmarkEnd w:id="14"/>
    </w:p>
    <w:p w14:paraId="7761D9E6">
      <w:pPr>
        <w:pStyle w:val="4"/>
      </w:pPr>
      <w:r>
        <w:rPr>
          <w:rFonts w:hint="eastAsia"/>
          <w:lang w:val="en-US" w:eastAsia="zh-CN"/>
        </w:rPr>
        <w:t>1.</w:t>
      </w:r>
      <w:r>
        <w:t>准备工作：</w:t>
      </w:r>
    </w:p>
    <w:p w14:paraId="3B0DF339">
      <w:pPr>
        <w:pStyle w:val="4"/>
        <w:numPr>
          <w:ilvl w:val="0"/>
          <w:numId w:val="5"/>
        </w:numPr>
        <w:topLinePunct w:val="0"/>
        <w:ind w:left="0" w:leftChars="0" w:firstLine="480" w:firstLineChars="0"/>
        <w:rPr>
          <w:b w:val="0"/>
        </w:rPr>
      </w:pPr>
      <w:r>
        <w:t>巡检人员预先对保供电用户的配电设备、线路、用电设备等做好详细的安全隐患排查并做好相应的巡检记录，对于排查的故障和隐患及时告知客户，并制定好故障和隐患排除方案，及时将故障和隐患处理。</w:t>
      </w:r>
    </w:p>
    <w:p w14:paraId="1DE19DD7">
      <w:pPr>
        <w:pStyle w:val="4"/>
        <w:numPr>
          <w:ilvl w:val="0"/>
          <w:numId w:val="5"/>
        </w:numPr>
        <w:topLinePunct w:val="0"/>
        <w:ind w:left="0" w:leftChars="0" w:firstLine="480" w:firstLineChars="0"/>
        <w:rPr>
          <w:b w:val="0"/>
        </w:rPr>
      </w:pPr>
      <w:r>
        <w:t>根据现场实际情况，指导客户做好应急保电工作，为客户提供用电安全服务，指导客户排除用电安全隐患；了解客户负荷特性，准确掌握用电安全危险源和抢险用电需求。</w:t>
      </w:r>
    </w:p>
    <w:p w14:paraId="609CE976">
      <w:pPr>
        <w:pStyle w:val="4"/>
        <w:numPr>
          <w:ilvl w:val="0"/>
          <w:numId w:val="5"/>
        </w:numPr>
        <w:topLinePunct w:val="0"/>
        <w:ind w:left="0" w:leftChars="0" w:firstLine="480" w:firstLineChars="0"/>
        <w:rPr>
          <w:b w:val="0"/>
        </w:rPr>
      </w:pPr>
      <w:r>
        <w:t>根据用户需求将用电设备保电等级分类，在突发故障或者停电情况下，按照用户需要的保电等级进行优先保供电。</w:t>
      </w:r>
    </w:p>
    <w:p w14:paraId="2C2FBFE0">
      <w:pPr>
        <w:pStyle w:val="4"/>
        <w:numPr>
          <w:ilvl w:val="0"/>
          <w:numId w:val="5"/>
        </w:numPr>
        <w:topLinePunct w:val="0"/>
        <w:ind w:left="0" w:leftChars="0" w:firstLine="480" w:firstLineChars="0"/>
        <w:rPr>
          <w:b w:val="0"/>
        </w:rPr>
      </w:pPr>
      <w:r>
        <w:t>编制在发生紧急停电故障情况下的应急响应机制和应急处理预案。</w:t>
      </w:r>
    </w:p>
    <w:p w14:paraId="23792C9C">
      <w:pPr>
        <w:pStyle w:val="4"/>
        <w:numPr>
          <w:ilvl w:val="0"/>
          <w:numId w:val="5"/>
        </w:numPr>
        <w:topLinePunct w:val="0"/>
        <w:ind w:left="0" w:leftChars="0" w:firstLine="480" w:firstLineChars="0"/>
        <w:rPr>
          <w:b w:val="0"/>
        </w:rPr>
      </w:pPr>
      <w:r>
        <w:t>预备具有专业知识和丰富的抢修经验的后备抢修队伍。</w:t>
      </w:r>
    </w:p>
    <w:p w14:paraId="44079FD7">
      <w:pPr>
        <w:pStyle w:val="4"/>
        <w:numPr>
          <w:ilvl w:val="0"/>
          <w:numId w:val="5"/>
        </w:numPr>
        <w:topLinePunct w:val="0"/>
        <w:ind w:left="0" w:leftChars="0" w:firstLine="480" w:firstLineChars="0"/>
        <w:rPr>
          <w:b w:val="0"/>
        </w:rPr>
      </w:pPr>
      <w:r>
        <w:t>对于易发故障或常用的材料及开关做好合理储备。</w:t>
      </w:r>
    </w:p>
    <w:p w14:paraId="31A8E089">
      <w:pPr>
        <w:pStyle w:val="4"/>
      </w:pPr>
      <w:r>
        <w:rPr>
          <w:rFonts w:hint="eastAsia"/>
          <w:lang w:val="en-US" w:eastAsia="zh-CN"/>
        </w:rPr>
        <w:t>2.</w:t>
      </w:r>
      <w:r>
        <w:t>应急保供电工作：</w:t>
      </w:r>
    </w:p>
    <w:p w14:paraId="6E037B8F">
      <w:pPr>
        <w:pStyle w:val="4"/>
        <w:numPr>
          <w:ilvl w:val="0"/>
          <w:numId w:val="0"/>
        </w:numPr>
        <w:ind w:leftChars="0" w:firstLine="480" w:firstLineChars="200"/>
        <w:rPr>
          <w:b w:val="0"/>
        </w:rPr>
      </w:pPr>
      <w:r>
        <w:rPr>
          <w:rFonts w:hint="eastAsia"/>
          <w:lang w:eastAsia="zh-CN"/>
        </w:rPr>
        <w:t>（</w:t>
      </w:r>
      <w:r>
        <w:rPr>
          <w:rFonts w:hint="eastAsia"/>
          <w:lang w:val="en-US" w:eastAsia="zh-CN"/>
        </w:rPr>
        <w:t>1）</w:t>
      </w:r>
      <w:r>
        <w:t>对于重要的配电设备和用电设备处配备保电人员专门看守，并定时记录设备运行状况，一旦发现故障及时上报。</w:t>
      </w:r>
    </w:p>
    <w:p w14:paraId="54FB59F1">
      <w:pPr>
        <w:pStyle w:val="4"/>
        <w:numPr>
          <w:ilvl w:val="0"/>
          <w:numId w:val="0"/>
        </w:numPr>
        <w:ind w:leftChars="0" w:firstLine="480" w:firstLineChars="200"/>
        <w:rPr>
          <w:b w:val="0"/>
        </w:rPr>
      </w:pPr>
      <w:r>
        <w:rPr>
          <w:rFonts w:hint="eastAsia"/>
          <w:lang w:eastAsia="zh-CN"/>
        </w:rPr>
        <w:t>（</w:t>
      </w:r>
      <w:r>
        <w:rPr>
          <w:rFonts w:hint="eastAsia"/>
          <w:lang w:val="en-US" w:eastAsia="zh-CN"/>
        </w:rPr>
        <w:t>2）</w:t>
      </w:r>
      <w:r>
        <w:t>安排巡查人员定时对各个看守岗位监督和检查，对保供电的设备运行状况做到全面了解并及时反馈。</w:t>
      </w:r>
    </w:p>
    <w:p w14:paraId="0C1B2B21">
      <w:pPr>
        <w:pStyle w:val="4"/>
        <w:numPr>
          <w:ilvl w:val="0"/>
          <w:numId w:val="0"/>
        </w:numPr>
        <w:ind w:leftChars="0" w:firstLine="480" w:firstLineChars="200"/>
        <w:rPr>
          <w:b w:val="0"/>
        </w:rPr>
      </w:pPr>
      <w:r>
        <w:rPr>
          <w:rFonts w:hint="eastAsia"/>
          <w:lang w:eastAsia="zh-CN"/>
        </w:rPr>
        <w:t>（</w:t>
      </w:r>
      <w:r>
        <w:rPr>
          <w:rFonts w:hint="eastAsia"/>
          <w:lang w:val="en-US" w:eastAsia="zh-CN"/>
        </w:rPr>
        <w:t>3）</w:t>
      </w:r>
      <w:r>
        <w:t>工作中由专人统一指挥，时刻保持通讯畅通，一旦遇到突发故障，组织人员立即展开抢修工作，并做好抢修记录报告。</w:t>
      </w:r>
    </w:p>
    <w:p w14:paraId="70B46F88">
      <w:pPr>
        <w:pStyle w:val="4"/>
        <w:numPr>
          <w:ilvl w:val="0"/>
          <w:numId w:val="0"/>
        </w:numPr>
        <w:ind w:leftChars="0" w:firstLine="480" w:firstLineChars="200"/>
        <w:rPr>
          <w:b w:val="0"/>
        </w:rPr>
      </w:pPr>
      <w:r>
        <w:rPr>
          <w:rFonts w:hint="eastAsia"/>
          <w:lang w:eastAsia="zh-CN"/>
        </w:rPr>
        <w:t>（</w:t>
      </w:r>
      <w:r>
        <w:rPr>
          <w:rFonts w:hint="eastAsia"/>
          <w:lang w:val="en-US" w:eastAsia="zh-CN"/>
        </w:rPr>
        <w:t>4）</w:t>
      </w:r>
      <w:r>
        <w:t>必要时提供160kVA或以上应急发电车及专业维保队伍现场待命保供电。发电车应在接到抢险保电任务后，第一时间到达指定地址并与客户负责人联系，将客户低压侧出线电缆放置到指定位置，同时应急发电车出线电缆亦放到指定位置，以备及时接入。 </w:t>
      </w:r>
    </w:p>
    <w:p w14:paraId="4BD17CDC">
      <w:pPr>
        <w:pStyle w:val="4"/>
        <w:numPr>
          <w:ilvl w:val="0"/>
          <w:numId w:val="0"/>
        </w:numPr>
        <w:ind w:leftChars="0" w:firstLine="480" w:firstLineChars="200"/>
        <w:rPr>
          <w:b w:val="0"/>
        </w:rPr>
      </w:pPr>
      <w:r>
        <w:rPr>
          <w:rFonts w:hint="eastAsia"/>
          <w:lang w:eastAsia="zh-CN"/>
        </w:rPr>
        <w:t>（</w:t>
      </w:r>
      <w:r>
        <w:rPr>
          <w:rFonts w:hint="eastAsia"/>
          <w:lang w:val="en-US" w:eastAsia="zh-CN"/>
        </w:rPr>
        <w:t>5）</w:t>
      </w:r>
      <w:r>
        <w:t>活动结束后，整理各项设备巡查记录和抢修记录，梳理整个保电过程中遇到的状况，将巡查记录和抢修记录中的问题深入分析，并做好针对性的分析和整改措施，为下次保供电工作提供有效保障。</w:t>
      </w:r>
    </w:p>
    <w:p w14:paraId="37C01463">
      <w:pPr>
        <w:pStyle w:val="3"/>
        <w:numPr>
          <w:ilvl w:val="0"/>
          <w:numId w:val="3"/>
        </w:numPr>
        <w:topLinePunct w:val="0"/>
        <w:ind w:left="0" w:leftChars="0" w:firstLine="420" w:firstLineChars="0"/>
        <w:rPr>
          <w:b/>
        </w:rPr>
      </w:pPr>
      <w:bookmarkStart w:id="15" w:name="_Toc5108"/>
      <w:bookmarkStart w:id="16" w:name="_Toc834"/>
      <w:r>
        <w:t>故障抢修服务</w:t>
      </w:r>
      <w:bookmarkEnd w:id="15"/>
      <w:bookmarkEnd w:id="16"/>
    </w:p>
    <w:p w14:paraId="64A428A8">
      <w:pPr>
        <w:pStyle w:val="4"/>
        <w:numPr>
          <w:ilvl w:val="0"/>
          <w:numId w:val="6"/>
        </w:numPr>
        <w:ind w:left="0" w:leftChars="0" w:firstLine="480" w:firstLineChars="0"/>
      </w:pPr>
      <w:r>
        <w:t>提供全日24小时用电故障报修服务，报障电话确保时刻通畅</w:t>
      </w:r>
      <w:r>
        <w:rPr>
          <w:rFonts w:hint="eastAsia"/>
          <w:lang w:eastAsia="zh-CN"/>
        </w:rPr>
        <w:t>，</w:t>
      </w:r>
      <w:r>
        <w:t>用电故障报修电话铃响立即响应。</w:t>
      </w:r>
    </w:p>
    <w:p w14:paraId="3C7551F9">
      <w:pPr>
        <w:pStyle w:val="4"/>
        <w:numPr>
          <w:ilvl w:val="0"/>
          <w:numId w:val="6"/>
        </w:numPr>
        <w:ind w:left="0" w:leftChars="0" w:firstLine="480" w:firstLineChars="0"/>
        <w:rPr>
          <w:b w:val="0"/>
        </w:rPr>
      </w:pPr>
      <w:r>
        <w:t>接到报修电话后，当值人员立即通知维保主管。由维保主管组织人员、车辆、工具及材料，保证接到报修电话后10分钟内出发，40分钟到达现场后，立即进行故障判定，采取应急措施，做出处理方案，尽一切可能加快抢修进度及故障处理的时间。</w:t>
      </w:r>
    </w:p>
    <w:p w14:paraId="4EE20FAE">
      <w:pPr>
        <w:pStyle w:val="4"/>
        <w:numPr>
          <w:ilvl w:val="0"/>
          <w:numId w:val="6"/>
        </w:numPr>
        <w:ind w:left="0" w:leftChars="0" w:firstLine="480" w:firstLineChars="0"/>
        <w:rPr>
          <w:b w:val="0"/>
        </w:rPr>
      </w:pPr>
      <w:r>
        <w:t>轻微故障承诺30分钟现场值班人员到场，1小时之内处理完毕；</w:t>
      </w:r>
    </w:p>
    <w:p w14:paraId="0A874C72">
      <w:pPr>
        <w:pStyle w:val="4"/>
        <w:numPr>
          <w:ilvl w:val="0"/>
          <w:numId w:val="6"/>
        </w:numPr>
        <w:ind w:left="0" w:leftChars="0" w:firstLine="480" w:firstLineChars="0"/>
        <w:rPr>
          <w:b w:val="0"/>
        </w:rPr>
      </w:pPr>
      <w:r>
        <w:t>一般故障、需要更换部分仪表或控制单元的故障，承诺30分钟现场值班人员到达现场，并对现场进行初步保护，抢修班组在接到报修电话40分钟内到达现场，到场后2小时之内处理完毕；</w:t>
      </w:r>
    </w:p>
    <w:p w14:paraId="71B25C5E">
      <w:pPr>
        <w:pStyle w:val="4"/>
        <w:numPr>
          <w:ilvl w:val="0"/>
          <w:numId w:val="6"/>
        </w:numPr>
        <w:ind w:left="0" w:leftChars="0" w:firstLine="480" w:firstLineChars="0"/>
        <w:rPr>
          <w:b w:val="0"/>
        </w:rPr>
      </w:pPr>
      <w:r>
        <w:t>重大故障需要更换配电设施总成的，体育中心采购的设备到场后8小时内处理完毕，由公司采购设备的，承诺在故障发生起24小时内处理完毕。</w:t>
      </w:r>
    </w:p>
    <w:p w14:paraId="4C94B302">
      <w:pPr>
        <w:pStyle w:val="4"/>
        <w:numPr>
          <w:ilvl w:val="0"/>
          <w:numId w:val="6"/>
        </w:numPr>
        <w:ind w:left="0" w:leftChars="0" w:firstLine="480" w:firstLineChars="0"/>
        <w:rPr>
          <w:b w:val="0"/>
        </w:rPr>
      </w:pPr>
      <w:r>
        <w:t>配备热成像仪、局放检测仪，在避免停电的情况下对设备进行有效监测。</w:t>
      </w:r>
    </w:p>
    <w:p w14:paraId="0C77FA74">
      <w:pPr>
        <w:pStyle w:val="4"/>
        <w:numPr>
          <w:ilvl w:val="0"/>
          <w:numId w:val="6"/>
        </w:numPr>
        <w:ind w:left="0" w:leftChars="0" w:firstLine="480" w:firstLineChars="0"/>
        <w:rPr>
          <w:b w:val="0"/>
        </w:rPr>
      </w:pPr>
      <w:r>
        <w:t>配备独立仓库，常年备有抢修常用设备及零配件，可以高效配合现场抢修进度，第一时间完成抢修。</w:t>
      </w:r>
    </w:p>
    <w:p w14:paraId="40C22E2F">
      <w:pPr>
        <w:pStyle w:val="4"/>
        <w:numPr>
          <w:ilvl w:val="0"/>
          <w:numId w:val="6"/>
        </w:numPr>
        <w:ind w:left="0" w:leftChars="0" w:firstLine="480" w:firstLineChars="0"/>
        <w:rPr>
          <w:b w:val="0"/>
        </w:rPr>
      </w:pPr>
      <w:r>
        <w:t>客户重大活动期间安排专业工程师现场值班，预防突发情况发生。</w:t>
      </w:r>
    </w:p>
    <w:p w14:paraId="7951F781">
      <w:pPr>
        <w:pStyle w:val="6"/>
        <w:rPr>
          <w:rFonts w:hint="default"/>
          <w:lang w:val="en-US" w:eastAsia="zh-CN"/>
        </w:rPr>
      </w:pPr>
    </w:p>
    <w:p w14:paraId="1D430F6C">
      <w:pPr>
        <w:pStyle w:val="4"/>
        <w:widowControl/>
        <w:autoSpaceDE/>
        <w:autoSpaceDN/>
        <w:adjustRightInd/>
        <w:ind w:firstLine="120" w:firstLineChars="50"/>
        <w:jc w:val="both"/>
        <w:rPr>
          <w:rFonts w:hint="eastAsia" w:hAnsi="宋体" w:cs="宋体"/>
          <w:b/>
          <w:bCs/>
          <w:sz w:val="32"/>
          <w:szCs w:val="32"/>
        </w:rPr>
      </w:pPr>
      <w:r>
        <w:rPr>
          <w:rFonts w:hint="eastAsia"/>
          <w:lang w:val="en-US" w:eastAsia="zh-CN"/>
        </w:rPr>
        <w:t xml:space="preserve"> </w:t>
      </w:r>
      <w:r>
        <w:rPr>
          <w:rFonts w:hint="eastAsia"/>
          <w:b/>
          <w:bCs/>
          <w:lang w:val="en-US" w:eastAsia="zh-CN"/>
        </w:rPr>
        <w:t>（四）</w:t>
      </w:r>
      <w:r>
        <w:rPr>
          <w:rFonts w:hint="eastAsia"/>
          <w:lang w:val="en-US" w:eastAsia="zh-CN"/>
        </w:rPr>
        <w:t xml:space="preserve"> </w:t>
      </w:r>
      <w:r>
        <w:rPr>
          <w:rFonts w:hint="eastAsia" w:hAnsi="宋体" w:cs="宋体"/>
          <w:b/>
          <w:bCs/>
          <w:sz w:val="24"/>
          <w:szCs w:val="24"/>
          <w:lang w:eastAsia="zh-Hans"/>
        </w:rPr>
        <w:t>代维服务内容</w:t>
      </w:r>
    </w:p>
    <w:p w14:paraId="6A61A666">
      <w:pPr>
        <w:rPr>
          <w:rFonts w:hint="default"/>
          <w:lang w:val="en-US" w:eastAsia="zh-CN"/>
        </w:rPr>
      </w:pPr>
    </w:p>
    <w:p w14:paraId="718C7114">
      <w:pPr>
        <w:spacing w:line="400" w:lineRule="exact"/>
        <w:jc w:val="center"/>
        <w:rPr>
          <w:rFonts w:hint="eastAsia" w:ascii="宋体" w:hAnsi="宋体" w:cs="宋体"/>
          <w:b/>
          <w:bCs/>
          <w:kern w:val="0"/>
          <w:sz w:val="30"/>
          <w:szCs w:val="30"/>
          <w:lang w:bidi="ar"/>
        </w:rPr>
      </w:pPr>
      <w:r>
        <w:rPr>
          <w:rFonts w:hint="eastAsia" w:ascii="宋体" w:hAnsi="宋体" w:cs="宋体"/>
          <w:b/>
          <w:bCs/>
          <w:kern w:val="0"/>
          <w:sz w:val="30"/>
          <w:szCs w:val="30"/>
          <w:lang w:bidi="ar"/>
        </w:rPr>
        <w:t>体育中心设备明细</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83"/>
        <w:gridCol w:w="938"/>
        <w:gridCol w:w="1426"/>
        <w:gridCol w:w="1640"/>
        <w:gridCol w:w="1745"/>
        <w:gridCol w:w="879"/>
        <w:gridCol w:w="925"/>
      </w:tblGrid>
      <w:tr w14:paraId="33CE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E56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529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配电房</w:t>
            </w: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135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设备名称</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C91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339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规格型号</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C9C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C47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14:paraId="6BB6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E9B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6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C65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体育场</w:t>
            </w: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3E2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10KV进线柜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A0C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180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KYN28A-12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84A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595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2EE7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CDB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D98E2">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959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高压计量柜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67C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308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KYN28A-12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D73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53B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271C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40F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6EBC1">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2C9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高压压变柜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CB8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2FF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KYN28A-12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E4D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E63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13DA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A1B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66834">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32E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高压出线柜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CDC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008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KYN28A-12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95E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A72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3CED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F53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25161">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4F6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高压压变柜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E7B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842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KYN28A-12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402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4F5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0110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B60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D09FF">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CDB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高压隔离柜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997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55C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KYN28A-12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31C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06D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286B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ECC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3F2C9">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FDC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201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温州变电设备厂</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E05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SCB13-1250/10</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44A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B8B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5D83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7E0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24F08">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F3F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低压进线柜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AE4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146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GCS</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14A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41E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6A18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8D5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20893">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B42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电容柜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13F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A31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GCS</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313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0BB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14:paraId="771E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571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A4750">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95A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馈线柜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301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F57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GCS</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BDB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7F9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0FF0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B45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41F48">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07E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联络柜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EFB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AC1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GCS</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1E0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EBA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7D05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F0B6B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22D10">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997F4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发电柜</w:t>
            </w:r>
          </w:p>
        </w:tc>
        <w:tc>
          <w:tcPr>
            <w:tcW w:w="987"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5F5B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川力电气</w:t>
            </w:r>
          </w:p>
        </w:tc>
        <w:tc>
          <w:tcPr>
            <w:tcW w:w="104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0DB8B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GCS</w:t>
            </w:r>
          </w:p>
        </w:tc>
        <w:tc>
          <w:tcPr>
            <w:tcW w:w="52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E5572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2031F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448E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17059">
            <w:pPr>
              <w:jc w:val="center"/>
              <w:rPr>
                <w:rFonts w:hint="eastAsia" w:ascii="宋体" w:hAnsi="宋体" w:eastAsia="宋体" w:cs="宋体"/>
                <w:i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30268">
            <w:pPr>
              <w:jc w:val="center"/>
              <w:rPr>
                <w:rFonts w:hint="eastAsia" w:ascii="宋体" w:hAnsi="宋体" w:eastAsia="宋体" w:cs="宋体"/>
                <w:i w:val="0"/>
                <w:color w:val="000000"/>
                <w:sz w:val="21"/>
                <w:szCs w:val="21"/>
                <w:u w:val="none"/>
              </w:rPr>
            </w:pPr>
          </w:p>
        </w:tc>
        <w:tc>
          <w:tcPr>
            <w:tcW w:w="289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405F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C4F4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BED8D">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26</w:t>
            </w:r>
          </w:p>
        </w:tc>
      </w:tr>
      <w:tr w14:paraId="09B0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1D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6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E0B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游泳馆</w:t>
            </w: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9AE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10KV进线柜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623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厦门ABB</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5F7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UNI Gear</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66B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8D0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0B23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B2A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75F5D">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7B2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AA4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厦门ABB</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E48ABF">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UNI Gear</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5B6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041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0A9C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CE5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90909">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188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936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厦门ABB</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BF4080">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UNI Gear</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C2D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3C3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38E1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378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EF560">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5CD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PT柜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12D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厦门ABB</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47B1D6">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UNI Gear</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A90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281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5FA2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675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7A7D6">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8FE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D1E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FBC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SCB13-800/10</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88B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A38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75BB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7B1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BCFE0">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2E9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低压总柜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634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D7B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GCK1</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551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504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3DA9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581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5A45D">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D4C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电容柜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4DA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28C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CT.WX-SPC(SVG)</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CE3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2D4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7B41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D00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313B3">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4F0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馈线柜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D52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25F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GCK1</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886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EF3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r w14:paraId="728E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988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491E5">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F02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联络柜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FB7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61A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GCK1</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E1E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4EF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7C28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E9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0A91B">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05E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直流电源屏</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A42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166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GZS2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D47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D6D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0EE5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0ACC5">
            <w:pPr>
              <w:rPr>
                <w:rFonts w:hint="eastAsia" w:ascii="宋体" w:hAnsi="宋体" w:eastAsia="宋体" w:cs="宋体"/>
                <w:i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D22A1">
            <w:pPr>
              <w:rPr>
                <w:rFonts w:hint="eastAsia" w:ascii="宋体" w:hAnsi="宋体" w:eastAsia="宋体" w:cs="宋体"/>
                <w:i w:val="0"/>
                <w:color w:val="000000"/>
                <w:sz w:val="21"/>
                <w:szCs w:val="21"/>
                <w:u w:val="none"/>
              </w:rPr>
            </w:pPr>
          </w:p>
        </w:tc>
        <w:tc>
          <w:tcPr>
            <w:tcW w:w="289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73BEF">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21F2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AAD1C">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25</w:t>
            </w:r>
          </w:p>
        </w:tc>
      </w:tr>
      <w:tr w14:paraId="6C48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8FA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6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F26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体育馆</w:t>
            </w: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2E6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10KV进线柜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4F0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泰昌电气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537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XGN15-12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DC0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187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4AEB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B1E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79DE0">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0A2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6D0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泰昌电气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3D8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XGN15-12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B78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DE5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1501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753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7D69D">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B21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22B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泰昌电气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7E4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XGN15-12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3A6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75D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3E11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C1A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BC2A2">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2A1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联络柜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F4D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泰昌电气</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12C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XGN15-12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04A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5BB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5BB8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9B9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DC435">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2E4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56B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台湾盛英</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139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SC9-1000/10</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3C1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DDF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045C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510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747AE">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E5C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247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中国许继</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067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SC9-630/10</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93A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540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3043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90A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E292E">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54C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低压总柜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9B3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上海电器</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2A4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GGD3</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0DE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CB1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55E6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7C4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3FFDC">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2FC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电容柜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1D3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上海电器</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1B8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GGJ1</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BF6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79E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7EB0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B59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EC2BB">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C10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馈线柜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E5C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浙江大亚</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154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GGO2-59C</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A8C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896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r>
      <w:tr w14:paraId="62BEA46C">
        <w:tblPrEx>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E90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0626A">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EC4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联络柜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D7A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上海电器</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CA3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GGD3</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5A9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08F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2B67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A4A71">
            <w:pPr>
              <w:jc w:val="center"/>
              <w:rPr>
                <w:rFonts w:hint="eastAsia" w:ascii="宋体" w:hAnsi="宋体" w:eastAsia="宋体" w:cs="宋体"/>
                <w:i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A0D09">
            <w:pPr>
              <w:jc w:val="center"/>
              <w:rPr>
                <w:rFonts w:hint="eastAsia" w:ascii="宋体" w:hAnsi="宋体" w:eastAsia="宋体" w:cs="宋体"/>
                <w:i w:val="0"/>
                <w:color w:val="000000"/>
                <w:sz w:val="21"/>
                <w:szCs w:val="21"/>
                <w:u w:val="none"/>
              </w:rPr>
            </w:pPr>
          </w:p>
        </w:tc>
        <w:tc>
          <w:tcPr>
            <w:tcW w:w="289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67BF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8CC1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B3F3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37</w:t>
            </w:r>
          </w:p>
        </w:tc>
      </w:tr>
      <w:tr w14:paraId="6304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46454">
            <w:pPr>
              <w:jc w:val="center"/>
              <w:rPr>
                <w:rFonts w:hint="eastAsia" w:ascii="宋体" w:hAnsi="宋体" w:eastAsia="宋体" w:cs="宋体"/>
                <w:i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3CA60">
            <w:pPr>
              <w:jc w:val="center"/>
              <w:rPr>
                <w:rFonts w:hint="eastAsia" w:ascii="宋体" w:hAnsi="宋体" w:eastAsia="宋体" w:cs="宋体"/>
                <w:i w:val="0"/>
                <w:color w:val="000000"/>
                <w:sz w:val="21"/>
                <w:szCs w:val="21"/>
                <w:u w:val="none"/>
              </w:rPr>
            </w:pPr>
          </w:p>
        </w:tc>
        <w:tc>
          <w:tcPr>
            <w:tcW w:w="289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1782E">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15033">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BD1A7">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p>
        </w:tc>
      </w:tr>
      <w:tr w14:paraId="3D63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59E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6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B95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室外箱变</w:t>
            </w: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49D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 进线柜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24F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ECA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CT.CQG-12(C)</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BDD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D21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7CE8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151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6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DA487">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24B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506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B87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CT.CQG-12(M)</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68E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F6C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502B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590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6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621E2">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EAF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507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CF9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CT.CQG-12(F)</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6D8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129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7760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DEA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6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D9538">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284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A8A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B15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S11-800/10</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258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8B8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5D7AB463">
        <w:tblPrEx>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1D3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6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82594">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027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低压总柜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0EF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2DA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GGD2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A10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597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64A3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5A0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6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56A29">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420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电容柜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61F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2E4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ZCK-ZN</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023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205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4BA3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78C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6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E84AA">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56C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馈线柜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64D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D58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GGD2</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5D4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5AB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6271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05B03">
            <w:pPr>
              <w:jc w:val="center"/>
              <w:rPr>
                <w:rFonts w:hint="eastAsia" w:ascii="宋体" w:hAnsi="宋体" w:eastAsia="宋体" w:cs="宋体"/>
                <w:i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652EF">
            <w:pPr>
              <w:jc w:val="center"/>
              <w:rPr>
                <w:rFonts w:hint="eastAsia" w:ascii="宋体" w:hAnsi="宋体" w:eastAsia="宋体" w:cs="宋体"/>
                <w:i w:val="0"/>
                <w:color w:val="000000"/>
                <w:sz w:val="21"/>
                <w:szCs w:val="21"/>
                <w:u w:val="none"/>
              </w:rPr>
            </w:pPr>
          </w:p>
        </w:tc>
        <w:tc>
          <w:tcPr>
            <w:tcW w:w="289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E87F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CCA4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EE63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w:t>
            </w:r>
          </w:p>
        </w:tc>
      </w:tr>
      <w:tr w14:paraId="41C1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599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6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208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九山体育学校</w:t>
            </w: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F9B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10KV进线柜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ABB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昌泰电力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F4C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IV2000-VCB-01</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ABB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685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3A8F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875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933DD">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AF4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145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昌泰电力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0C3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LK-M</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B34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919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65C4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382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467C7">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796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D1E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昌泰电力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9D0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IV2000-VCB-01</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4B7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ED7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7A6C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4B8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57AE8">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422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8C1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昌泰电力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EC0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LK-LCA-G24</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C3F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BE8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5BFA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2E9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AAB43">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28D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170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宁波仁栋</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7AC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SCB10-1250/10.5</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81A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7F8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002D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898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A8A6E">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45D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73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温州变电</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378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SCB11-800/10.5</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796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5BD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1EBD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FB8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685EB">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1E2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1号低压总柜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53D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温州开元</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DF4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80F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2F1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5E30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4E9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6F11E">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C74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电容柜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E35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温州开元</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628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GGJE</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4A4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14C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1B38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9C6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F1310">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E17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馈线柜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517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温州开元</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4FA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EC8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0DD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5AC5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9A6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111CA">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F60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联络柜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4B7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温州开元</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CA7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98B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06A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0F1C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D09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7CE79">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D86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2号低压总柜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8F8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上海德兰</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3A2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GCK-01</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8B8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809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48C0A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C99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396CE">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72D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电容柜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4EA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上海德兰</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1A3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GCK-34</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1C7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1EC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3AAC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818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C96E7">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0C7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馈线柜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F48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上海德兰</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DE8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GCK-14</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70F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FAD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4D39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0AE65">
            <w:pPr>
              <w:jc w:val="center"/>
              <w:rPr>
                <w:rFonts w:hint="eastAsia" w:ascii="宋体" w:hAnsi="宋体" w:eastAsia="宋体" w:cs="宋体"/>
                <w:i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C6134">
            <w:pPr>
              <w:jc w:val="center"/>
              <w:rPr>
                <w:rFonts w:hint="eastAsia" w:ascii="宋体" w:hAnsi="宋体" w:eastAsia="宋体" w:cs="宋体"/>
                <w:i w:val="0"/>
                <w:color w:val="000000"/>
                <w:sz w:val="21"/>
                <w:szCs w:val="21"/>
                <w:u w:val="none"/>
              </w:rPr>
            </w:pPr>
          </w:p>
        </w:tc>
        <w:tc>
          <w:tcPr>
            <w:tcW w:w="289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C207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4200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4D0AC">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w:t>
            </w:r>
          </w:p>
        </w:tc>
      </w:tr>
      <w:tr w14:paraId="16A7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92E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6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546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九山社体大楼</w:t>
            </w: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CF4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10KV进线柜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D57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福建中能</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8CA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ELE-F-12/N-L</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9D2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104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244A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627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72F90">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93F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计量柜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F84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福建中能</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FD5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HE-F-12/M</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720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D73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61E3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E15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401AB">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39B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F45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福建中能</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1ED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ELE-F-12/TT-R</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7E7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322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54E6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34B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6C228">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017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5A7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昌泰电力</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9AE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LK-LCA-G24</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66C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69C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7A74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9C5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404B4">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F0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2B1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浙江金三角</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31E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SCB10-RL-400/10</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303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68C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7588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5B5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DBC5F">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26E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低压总柜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295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温州开元</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B08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GCK-01</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A9F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9AF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6559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62A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8A753">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92F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电容柜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910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温州开元</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731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GGJE</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BBD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536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71A7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475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7B7A0">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DC5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馈线柜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D7C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温州开元</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A98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GCK-14</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23C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DD7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14:paraId="1D88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19B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DAA9C">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C32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联络柜</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FED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温州开元</w:t>
            </w: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942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GCK-08</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A81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732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4C8B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770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F7CF0">
            <w:pPr>
              <w:jc w:val="center"/>
              <w:rPr>
                <w:rFonts w:hint="eastAsia" w:ascii="宋体" w:hAnsi="宋体" w:eastAsia="宋体" w:cs="宋体"/>
                <w:i w:val="0"/>
                <w:color w:val="000000"/>
                <w:sz w:val="21"/>
                <w:szCs w:val="21"/>
                <w:u w:val="none"/>
              </w:rPr>
            </w:pPr>
          </w:p>
        </w:tc>
        <w:tc>
          <w:tcPr>
            <w:tcW w:w="8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7A6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发电机</w:t>
            </w:r>
          </w:p>
        </w:tc>
        <w:tc>
          <w:tcPr>
            <w:tcW w:w="9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49DCB">
            <w:pPr>
              <w:jc w:val="center"/>
              <w:rPr>
                <w:rFonts w:hint="eastAsia" w:ascii="宋体" w:hAnsi="宋体" w:eastAsia="宋体" w:cs="宋体"/>
                <w:i w:val="0"/>
                <w:color w:val="000000"/>
                <w:sz w:val="21"/>
                <w:szCs w:val="21"/>
                <w:u w:val="none"/>
              </w:rPr>
            </w:pPr>
          </w:p>
        </w:tc>
        <w:tc>
          <w:tcPr>
            <w:tcW w:w="10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FC8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250KW</w:t>
            </w:r>
          </w:p>
        </w:tc>
        <w:tc>
          <w:tcPr>
            <w:tcW w:w="5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792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068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14:paraId="2B19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29CC1">
            <w:pPr>
              <w:jc w:val="center"/>
              <w:rPr>
                <w:rFonts w:hint="eastAsia" w:ascii="宋体" w:hAnsi="宋体" w:eastAsia="宋体" w:cs="宋体"/>
                <w:i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515CF">
            <w:pPr>
              <w:jc w:val="center"/>
              <w:rPr>
                <w:rFonts w:hint="eastAsia" w:ascii="宋体" w:hAnsi="宋体" w:eastAsia="宋体" w:cs="宋体"/>
                <w:i w:val="0"/>
                <w:color w:val="000000"/>
                <w:sz w:val="21"/>
                <w:szCs w:val="21"/>
                <w:u w:val="none"/>
              </w:rPr>
            </w:pPr>
          </w:p>
        </w:tc>
        <w:tc>
          <w:tcPr>
            <w:tcW w:w="2894"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A65F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5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72A6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1604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w:t>
            </w:r>
          </w:p>
        </w:tc>
      </w:tr>
      <w:tr w14:paraId="7BDB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C01D7">
            <w:pPr>
              <w:jc w:val="center"/>
              <w:rPr>
                <w:rFonts w:hint="eastAsia" w:ascii="宋体" w:hAnsi="宋体" w:eastAsia="宋体" w:cs="宋体"/>
                <w:i w:val="0"/>
                <w:color w:val="000000"/>
                <w:sz w:val="21"/>
                <w:szCs w:val="21"/>
                <w:u w:val="none"/>
              </w:rPr>
            </w:pPr>
          </w:p>
        </w:tc>
        <w:tc>
          <w:tcPr>
            <w:tcW w:w="56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AF410">
            <w:pPr>
              <w:jc w:val="center"/>
              <w:rPr>
                <w:rFonts w:hint="eastAsia" w:ascii="宋体" w:hAnsi="宋体" w:eastAsia="宋体" w:cs="宋体"/>
                <w:i w:val="0"/>
                <w:color w:val="000000"/>
                <w:sz w:val="21"/>
                <w:szCs w:val="21"/>
                <w:u w:val="none"/>
              </w:rPr>
            </w:pPr>
          </w:p>
        </w:tc>
        <w:tc>
          <w:tcPr>
            <w:tcW w:w="2894"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697AF">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5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321B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台</w:t>
            </w:r>
          </w:p>
        </w:tc>
        <w:tc>
          <w:tcPr>
            <w:tcW w:w="5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C2BD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129</w:t>
            </w:r>
          </w:p>
        </w:tc>
      </w:tr>
      <w:tr w14:paraId="0E6E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4FB93">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仿宋" w:hAnsi="仿宋" w:eastAsia="仿宋" w:cs="仿宋"/>
                <w:kern w:val="0"/>
                <w:sz w:val="24"/>
                <w:lang w:bidi="ar"/>
              </w:rPr>
              <w:t>注：每个场馆免费提供制度上墙服务（包含制作费），免费提供一套相关的安全工器具（绝缘鞋、绝缘手套、令克棒、验电笔）</w:t>
            </w:r>
          </w:p>
        </w:tc>
      </w:tr>
    </w:tbl>
    <w:p w14:paraId="16C90388">
      <w:pPr>
        <w:pStyle w:val="4"/>
        <w:jc w:val="both"/>
        <w:rPr>
          <w:rFonts w:hint="eastAsia" w:hAnsi="宋体" w:cs="宋体"/>
          <w:b/>
          <w:bCs/>
          <w:kern w:val="0"/>
          <w:lang w:val="en-US" w:bidi="ar"/>
        </w:rPr>
      </w:pPr>
    </w:p>
    <w:p w14:paraId="6CC2A317">
      <w:pPr>
        <w:spacing w:line="400" w:lineRule="exact"/>
        <w:jc w:val="center"/>
        <w:rPr>
          <w:rFonts w:hint="eastAsia" w:ascii="宋体" w:hAnsi="宋体" w:cs="宋体"/>
          <w:b/>
          <w:bCs/>
          <w:kern w:val="0"/>
          <w:sz w:val="24"/>
          <w:szCs w:val="24"/>
          <w:lang w:bidi="ar"/>
        </w:rPr>
      </w:pPr>
    </w:p>
    <w:p w14:paraId="5E16B59E">
      <w:pPr>
        <w:pStyle w:val="12"/>
        <w:jc w:val="both"/>
        <w:outlineLvl w:val="2"/>
        <w:rPr>
          <w:rFonts w:hint="eastAsia"/>
          <w:sz w:val="30"/>
          <w:szCs w:val="30"/>
          <w:lang w:val="en-US" w:eastAsia="zh-CN"/>
        </w:rPr>
      </w:pPr>
      <w:bookmarkStart w:id="17" w:name="_Toc21481"/>
      <w:bookmarkStart w:id="18" w:name="_Toc2023"/>
    </w:p>
    <w:p w14:paraId="61E10222">
      <w:pPr>
        <w:pStyle w:val="12"/>
        <w:jc w:val="both"/>
        <w:outlineLvl w:val="2"/>
        <w:rPr>
          <w:rFonts w:hint="default" w:eastAsia="宋体"/>
          <w:sz w:val="30"/>
          <w:szCs w:val="30"/>
          <w:lang w:val="en-US" w:eastAsia="zh-CN"/>
        </w:rPr>
      </w:pPr>
      <w:r>
        <w:rPr>
          <w:rFonts w:hint="eastAsia"/>
          <w:sz w:val="30"/>
          <w:szCs w:val="30"/>
          <w:lang w:val="en-US" w:eastAsia="zh-CN"/>
        </w:rPr>
        <w:t>（五）电气试验费用明细</w:t>
      </w:r>
      <w:bookmarkEnd w:id="17"/>
    </w:p>
    <w:p w14:paraId="79C59B91">
      <w:pPr>
        <w:pStyle w:val="12"/>
        <w:jc w:val="both"/>
        <w:outlineLvl w:val="2"/>
      </w:pPr>
      <w:bookmarkStart w:id="19" w:name="_Toc12194"/>
      <w:r>
        <w:rPr>
          <w:rFonts w:hint="eastAsia"/>
          <w:lang w:val="en-US" w:eastAsia="zh-CN"/>
        </w:rPr>
        <w:t>1.</w:t>
      </w:r>
      <w:r>
        <w:t>九山场馆电气试验费用</w:t>
      </w:r>
      <w:bookmarkEnd w:id="18"/>
      <w:bookmarkEnd w:id="19"/>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4"/>
        <w:gridCol w:w="1850"/>
        <w:gridCol w:w="1850"/>
        <w:gridCol w:w="1850"/>
        <w:gridCol w:w="1849"/>
      </w:tblGrid>
      <w:tr w14:paraId="574E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A68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C26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绝缘靴试验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DDF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100元/双</w:t>
            </w:r>
          </w:p>
        </w:tc>
        <w:tc>
          <w:tcPr>
            <w:tcW w:w="111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4693F">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EC2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半年/次</w:t>
            </w:r>
          </w:p>
        </w:tc>
      </w:tr>
      <w:tr w14:paraId="7B01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AB4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CE5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绝缘手套试验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F68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100元/双</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E553F">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370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半年/次</w:t>
            </w:r>
          </w:p>
        </w:tc>
      </w:tr>
      <w:tr w14:paraId="15A9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01E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E91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安全帽试验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052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150元/顶</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40FF3">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178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049E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010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7B8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绝缘垫试验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FD7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120元/块</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8A579">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E5A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734D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63F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5DD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验电笔试验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EAA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160元/支</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5BA44">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2A6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447C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8D5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086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令克棒试验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896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100元/付</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3C1CE">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511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3E0F3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B44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FF3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接地电阻试验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6FD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13936">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AEB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0397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1D7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608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高压环网柜试验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A3F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024AD">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E9B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5C18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DB1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DC1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中置式开关柜</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3BA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BA427">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A06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5CDC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071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57E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高压电缆试验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E6B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1600元/条</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1A4D0">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2FB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5E94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A33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B98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E62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38DC8">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50D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7BC3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ADF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FB3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低压开关柜试验</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CD6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2E196">
            <w:pPr>
              <w:jc w:val="center"/>
              <w:rPr>
                <w:rFonts w:hint="eastAsia" w:ascii="宋体" w:hAnsi="宋体" w:eastAsia="宋体" w:cs="宋体"/>
                <w:i w:val="0"/>
                <w:color w:val="000000"/>
                <w:sz w:val="21"/>
                <w:szCs w:val="21"/>
                <w:u w:val="none"/>
              </w:rPr>
            </w:pP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CD9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bl>
    <w:p w14:paraId="6ECC5669">
      <w:pPr>
        <w:jc w:val="center"/>
        <w:rPr>
          <w:rFonts w:hint="eastAsia" w:ascii="宋体" w:hAnsi="宋体" w:cs="宋体"/>
          <w:b/>
          <w:bCs/>
          <w:kern w:val="0"/>
          <w:sz w:val="24"/>
          <w:lang w:bidi="ar"/>
        </w:rPr>
      </w:pPr>
    </w:p>
    <w:p w14:paraId="32CCC460">
      <w:pPr>
        <w:pStyle w:val="12"/>
        <w:jc w:val="both"/>
        <w:outlineLvl w:val="2"/>
      </w:pPr>
      <w:bookmarkStart w:id="20" w:name="_Toc2079"/>
      <w:bookmarkStart w:id="21" w:name="_Toc20682"/>
      <w:r>
        <w:rPr>
          <w:rFonts w:hint="eastAsia"/>
          <w:lang w:val="en-US" w:eastAsia="zh-CN"/>
        </w:rPr>
        <w:t>2.</w:t>
      </w:r>
      <w:r>
        <w:t>温州体育中心电气试验费用</w:t>
      </w:r>
      <w:bookmarkEnd w:id="20"/>
      <w:bookmarkEnd w:id="21"/>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4"/>
        <w:gridCol w:w="1850"/>
        <w:gridCol w:w="1849"/>
        <w:gridCol w:w="1850"/>
        <w:gridCol w:w="1850"/>
      </w:tblGrid>
      <w:tr w14:paraId="2700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B9D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FAA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绝缘靴试验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964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100元/双</w:t>
            </w:r>
          </w:p>
        </w:tc>
        <w:tc>
          <w:tcPr>
            <w:tcW w:w="111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D886F">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F22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半年/次</w:t>
            </w:r>
          </w:p>
        </w:tc>
      </w:tr>
      <w:tr w14:paraId="6CC1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522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7DF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绝缘手套试验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557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100元/双</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89937">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9DA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半年/次</w:t>
            </w:r>
          </w:p>
        </w:tc>
      </w:tr>
      <w:tr w14:paraId="3617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FB5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B28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安全帽试验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C35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150元/顶</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115A8">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073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337A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387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7A2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绝缘垫试验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CEA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120元/块</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D0BDB">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EC8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7DDD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F3E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D4B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验电笔试验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2D7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160元/支</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7C5D6">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F8F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6B77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F00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8CF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令克棒试验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8A8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100元/付</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3DFE2">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87F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39FD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389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4C6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接地电阻试验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9B3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5110B">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F29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445C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74C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723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高压环网柜试验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C27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78095">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085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504F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410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4D2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中置式开关柜</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FC1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8A72A">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E34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3C14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974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594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高压电缆试验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6C7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1600元/条</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BEF48">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D59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2986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322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458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变压器试验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C40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E7922">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98C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r w14:paraId="0C61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73A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B1B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低压开关柜试验</w:t>
            </w:r>
          </w:p>
        </w:tc>
        <w:tc>
          <w:tcPr>
            <w:tcW w:w="11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823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1000元/台</w:t>
            </w:r>
          </w:p>
        </w:tc>
        <w:tc>
          <w:tcPr>
            <w:tcW w:w="111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A9D1A">
            <w:pPr>
              <w:jc w:val="center"/>
              <w:rPr>
                <w:rFonts w:hint="eastAsia" w:ascii="宋体" w:hAnsi="宋体" w:eastAsia="宋体" w:cs="宋体"/>
                <w:i w:val="0"/>
                <w:color w:val="000000"/>
                <w:sz w:val="21"/>
                <w:szCs w:val="21"/>
                <w:u w:val="none"/>
              </w:rPr>
            </w:pPr>
          </w:p>
        </w:tc>
        <w:tc>
          <w:tcPr>
            <w:tcW w:w="11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2EE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1年/次</w:t>
            </w:r>
          </w:p>
        </w:tc>
      </w:tr>
    </w:tbl>
    <w:p w14:paraId="25F1D393">
      <w:pPr>
        <w:pStyle w:val="4"/>
        <w:jc w:val="center"/>
        <w:rPr>
          <w:rFonts w:hint="eastAsia" w:hAnsi="宋体" w:cs="宋体"/>
          <w:b/>
          <w:bCs/>
          <w:kern w:val="0"/>
          <w:lang w:val="en-US" w:bidi="ar"/>
        </w:rPr>
      </w:pPr>
    </w:p>
    <w:p w14:paraId="3E3A67F4">
      <w:pPr>
        <w:pStyle w:val="4"/>
        <w:rPr>
          <w:b/>
        </w:rPr>
      </w:pPr>
      <w:r>
        <w:rPr>
          <w:b/>
        </w:rPr>
        <w:t>应急保供电及故障抢修超出免费部分计价：</w:t>
      </w:r>
    </w:p>
    <w:tbl>
      <w:tblPr>
        <w:tblStyle w:val="8"/>
        <w:tblW w:w="4915" w:type="pct"/>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43"/>
        <w:gridCol w:w="2123"/>
        <w:gridCol w:w="1957"/>
      </w:tblGrid>
      <w:tr w14:paraId="4376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50" w:type="pct"/>
            <w:noWrap w:val="0"/>
            <w:vAlign w:val="center"/>
          </w:tcPr>
          <w:p w14:paraId="1F302A1D">
            <w:pPr>
              <w:spacing w:line="240" w:lineRule="auto"/>
              <w:jc w:val="center"/>
              <w:outlineLvl w:val="2"/>
              <w:rPr>
                <w:rFonts w:hint="eastAsia" w:ascii="宋体" w:hAnsi="宋体" w:cs="宋体"/>
                <w:sz w:val="24"/>
              </w:rPr>
            </w:pPr>
            <w:bookmarkStart w:id="22" w:name="_Toc32161"/>
            <w:bookmarkStart w:id="23" w:name="_Toc7965"/>
            <w:r>
              <w:rPr>
                <w:rFonts w:hint="eastAsia" w:ascii="宋体" w:hAnsi="宋体" w:cs="宋体"/>
                <w:sz w:val="24"/>
              </w:rPr>
              <w:t>序号</w:t>
            </w:r>
            <w:bookmarkEnd w:id="22"/>
            <w:bookmarkEnd w:id="23"/>
          </w:p>
        </w:tc>
        <w:tc>
          <w:tcPr>
            <w:tcW w:w="2114" w:type="pct"/>
            <w:noWrap w:val="0"/>
            <w:vAlign w:val="center"/>
          </w:tcPr>
          <w:p w14:paraId="62C2DE57">
            <w:pPr>
              <w:spacing w:line="240" w:lineRule="auto"/>
              <w:jc w:val="center"/>
              <w:outlineLvl w:val="2"/>
              <w:rPr>
                <w:rFonts w:hint="eastAsia" w:ascii="宋体" w:hAnsi="宋体" w:cs="宋体"/>
                <w:sz w:val="24"/>
              </w:rPr>
            </w:pPr>
            <w:bookmarkStart w:id="24" w:name="_Toc6752"/>
            <w:bookmarkStart w:id="25" w:name="_Toc13216"/>
            <w:r>
              <w:rPr>
                <w:rFonts w:hint="eastAsia" w:ascii="宋体" w:hAnsi="宋体" w:cs="宋体"/>
                <w:sz w:val="24"/>
              </w:rPr>
              <w:t>项目</w:t>
            </w:r>
            <w:bookmarkEnd w:id="24"/>
            <w:bookmarkEnd w:id="25"/>
          </w:p>
        </w:tc>
        <w:tc>
          <w:tcPr>
            <w:tcW w:w="1267" w:type="pct"/>
            <w:noWrap w:val="0"/>
            <w:vAlign w:val="center"/>
          </w:tcPr>
          <w:p w14:paraId="0E452375">
            <w:pPr>
              <w:spacing w:line="240" w:lineRule="auto"/>
              <w:jc w:val="center"/>
              <w:outlineLvl w:val="2"/>
              <w:rPr>
                <w:rFonts w:hint="eastAsia" w:ascii="宋体" w:hAnsi="宋体" w:cs="宋体"/>
                <w:sz w:val="24"/>
              </w:rPr>
            </w:pPr>
            <w:bookmarkStart w:id="26" w:name="_Toc7616"/>
            <w:bookmarkStart w:id="27" w:name="_Toc18513"/>
            <w:r>
              <w:rPr>
                <w:rFonts w:hint="eastAsia" w:ascii="宋体" w:hAnsi="宋体" w:cs="宋体"/>
                <w:sz w:val="24"/>
              </w:rPr>
              <w:t>价格</w:t>
            </w:r>
            <w:bookmarkEnd w:id="26"/>
            <w:bookmarkEnd w:id="27"/>
          </w:p>
        </w:tc>
        <w:tc>
          <w:tcPr>
            <w:tcW w:w="1167" w:type="pct"/>
            <w:noWrap w:val="0"/>
            <w:vAlign w:val="center"/>
          </w:tcPr>
          <w:p w14:paraId="1D6A78E1">
            <w:pPr>
              <w:spacing w:line="240" w:lineRule="auto"/>
              <w:jc w:val="center"/>
              <w:outlineLvl w:val="2"/>
              <w:rPr>
                <w:rFonts w:hint="eastAsia" w:ascii="宋体" w:hAnsi="宋体" w:cs="宋体"/>
                <w:sz w:val="24"/>
              </w:rPr>
            </w:pPr>
            <w:bookmarkStart w:id="28" w:name="_Toc24960"/>
            <w:bookmarkStart w:id="29" w:name="_Toc21106"/>
            <w:r>
              <w:rPr>
                <w:rFonts w:hint="eastAsia" w:ascii="宋体" w:hAnsi="宋体" w:cs="宋体"/>
                <w:sz w:val="24"/>
              </w:rPr>
              <w:t>备注</w:t>
            </w:r>
            <w:bookmarkEnd w:id="28"/>
            <w:bookmarkEnd w:id="29"/>
          </w:p>
        </w:tc>
      </w:tr>
      <w:tr w14:paraId="5D8B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50" w:type="pct"/>
            <w:noWrap w:val="0"/>
            <w:vAlign w:val="center"/>
          </w:tcPr>
          <w:p w14:paraId="2EA0E15D">
            <w:pPr>
              <w:spacing w:line="240" w:lineRule="auto"/>
              <w:jc w:val="center"/>
              <w:outlineLvl w:val="2"/>
              <w:rPr>
                <w:rFonts w:hint="eastAsia" w:ascii="宋体" w:hAnsi="宋体" w:cs="宋体"/>
                <w:sz w:val="24"/>
              </w:rPr>
            </w:pPr>
            <w:bookmarkStart w:id="30" w:name="_Toc26212"/>
            <w:bookmarkStart w:id="31" w:name="_Toc21717"/>
            <w:r>
              <w:rPr>
                <w:rFonts w:hint="eastAsia" w:ascii="宋体" w:hAnsi="宋体" w:cs="宋体"/>
                <w:sz w:val="24"/>
              </w:rPr>
              <w:t>1</w:t>
            </w:r>
            <w:bookmarkEnd w:id="30"/>
            <w:bookmarkEnd w:id="31"/>
          </w:p>
        </w:tc>
        <w:tc>
          <w:tcPr>
            <w:tcW w:w="2114" w:type="pct"/>
            <w:noWrap w:val="0"/>
            <w:vAlign w:val="center"/>
          </w:tcPr>
          <w:p w14:paraId="7B5F937B">
            <w:pPr>
              <w:spacing w:line="240" w:lineRule="auto"/>
              <w:jc w:val="left"/>
              <w:outlineLvl w:val="2"/>
              <w:rPr>
                <w:rFonts w:hint="eastAsia" w:ascii="宋体" w:hAnsi="宋体" w:cs="宋体"/>
                <w:sz w:val="24"/>
              </w:rPr>
            </w:pPr>
            <w:bookmarkStart w:id="32" w:name="_Toc9173"/>
            <w:bookmarkStart w:id="33" w:name="_Toc5490"/>
            <w:r>
              <w:rPr>
                <w:rFonts w:hint="eastAsia" w:ascii="宋体" w:hAnsi="宋体" w:cs="宋体"/>
                <w:sz w:val="24"/>
              </w:rPr>
              <w:t>人工费用</w:t>
            </w:r>
            <w:bookmarkEnd w:id="32"/>
            <w:bookmarkEnd w:id="33"/>
          </w:p>
        </w:tc>
        <w:tc>
          <w:tcPr>
            <w:tcW w:w="1267" w:type="pct"/>
            <w:noWrap w:val="0"/>
            <w:vAlign w:val="center"/>
          </w:tcPr>
          <w:p w14:paraId="4E5957F0">
            <w:pPr>
              <w:spacing w:line="240" w:lineRule="auto"/>
              <w:jc w:val="center"/>
              <w:outlineLvl w:val="9"/>
              <w:rPr>
                <w:rFonts w:hint="eastAsia" w:ascii="宋体" w:hAnsi="宋体" w:cs="宋体"/>
                <w:sz w:val="24"/>
              </w:rPr>
            </w:pPr>
          </w:p>
        </w:tc>
        <w:tc>
          <w:tcPr>
            <w:tcW w:w="1167" w:type="pct"/>
            <w:noWrap w:val="0"/>
            <w:vAlign w:val="center"/>
          </w:tcPr>
          <w:p w14:paraId="5F84005F">
            <w:pPr>
              <w:spacing w:line="240" w:lineRule="auto"/>
              <w:jc w:val="center"/>
              <w:outlineLvl w:val="9"/>
              <w:rPr>
                <w:rFonts w:hint="eastAsia" w:ascii="宋体" w:hAnsi="宋体" w:cs="宋体"/>
                <w:sz w:val="24"/>
              </w:rPr>
            </w:pPr>
          </w:p>
        </w:tc>
      </w:tr>
      <w:tr w14:paraId="59BE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50" w:type="pct"/>
            <w:noWrap w:val="0"/>
            <w:vAlign w:val="center"/>
          </w:tcPr>
          <w:p w14:paraId="33072DF8">
            <w:pPr>
              <w:spacing w:line="240" w:lineRule="auto"/>
              <w:jc w:val="center"/>
              <w:outlineLvl w:val="2"/>
              <w:rPr>
                <w:rFonts w:hint="eastAsia" w:ascii="宋体" w:hAnsi="宋体" w:cs="宋体"/>
                <w:sz w:val="24"/>
              </w:rPr>
            </w:pPr>
            <w:bookmarkStart w:id="34" w:name="_Toc16569"/>
            <w:bookmarkStart w:id="35" w:name="_Toc3798"/>
            <w:r>
              <w:rPr>
                <w:rFonts w:hint="eastAsia" w:ascii="宋体" w:hAnsi="宋体" w:cs="宋体"/>
                <w:sz w:val="24"/>
              </w:rPr>
              <w:t>2</w:t>
            </w:r>
            <w:bookmarkEnd w:id="34"/>
            <w:bookmarkEnd w:id="35"/>
          </w:p>
        </w:tc>
        <w:tc>
          <w:tcPr>
            <w:tcW w:w="2114" w:type="pct"/>
            <w:noWrap w:val="0"/>
            <w:vAlign w:val="center"/>
          </w:tcPr>
          <w:p w14:paraId="4F388FF2">
            <w:pPr>
              <w:spacing w:line="240" w:lineRule="auto"/>
              <w:jc w:val="left"/>
              <w:outlineLvl w:val="2"/>
              <w:rPr>
                <w:rFonts w:hint="eastAsia" w:ascii="宋体" w:hAnsi="宋体" w:cs="宋体"/>
                <w:sz w:val="24"/>
              </w:rPr>
            </w:pPr>
            <w:bookmarkStart w:id="36" w:name="_Toc3267"/>
            <w:bookmarkStart w:id="37" w:name="_Toc27199"/>
            <w:r>
              <w:rPr>
                <w:rFonts w:hint="eastAsia" w:ascii="宋体" w:hAnsi="宋体" w:cs="宋体"/>
                <w:sz w:val="24"/>
              </w:rPr>
              <w:t>车辆费用</w:t>
            </w:r>
            <w:bookmarkEnd w:id="36"/>
            <w:bookmarkEnd w:id="37"/>
          </w:p>
        </w:tc>
        <w:tc>
          <w:tcPr>
            <w:tcW w:w="1267" w:type="pct"/>
            <w:noWrap w:val="0"/>
            <w:vAlign w:val="center"/>
          </w:tcPr>
          <w:p w14:paraId="31DBC1B4">
            <w:pPr>
              <w:spacing w:line="240" w:lineRule="auto"/>
              <w:jc w:val="center"/>
              <w:outlineLvl w:val="9"/>
              <w:rPr>
                <w:rFonts w:hint="eastAsia" w:ascii="宋体" w:hAnsi="宋体" w:cs="宋体"/>
                <w:sz w:val="24"/>
              </w:rPr>
            </w:pPr>
          </w:p>
        </w:tc>
        <w:tc>
          <w:tcPr>
            <w:tcW w:w="1167" w:type="pct"/>
            <w:noWrap w:val="0"/>
            <w:vAlign w:val="center"/>
          </w:tcPr>
          <w:p w14:paraId="6075570F">
            <w:pPr>
              <w:spacing w:line="240" w:lineRule="auto"/>
              <w:jc w:val="center"/>
              <w:outlineLvl w:val="9"/>
              <w:rPr>
                <w:rFonts w:hint="eastAsia" w:ascii="宋体" w:hAnsi="宋体" w:cs="宋体"/>
                <w:sz w:val="24"/>
              </w:rPr>
            </w:pPr>
          </w:p>
        </w:tc>
      </w:tr>
      <w:tr w14:paraId="580C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50" w:type="pct"/>
            <w:noWrap w:val="0"/>
            <w:vAlign w:val="center"/>
          </w:tcPr>
          <w:p w14:paraId="314D2B88">
            <w:pPr>
              <w:spacing w:line="240" w:lineRule="auto"/>
              <w:jc w:val="center"/>
              <w:outlineLvl w:val="2"/>
              <w:rPr>
                <w:rFonts w:hint="eastAsia" w:ascii="宋体" w:hAnsi="宋体" w:cs="宋体"/>
                <w:sz w:val="24"/>
              </w:rPr>
            </w:pPr>
            <w:bookmarkStart w:id="38" w:name="_Toc7006"/>
            <w:bookmarkStart w:id="39" w:name="_Toc21391"/>
            <w:r>
              <w:rPr>
                <w:rFonts w:hint="eastAsia" w:ascii="宋体" w:hAnsi="宋体" w:cs="宋体"/>
                <w:sz w:val="24"/>
              </w:rPr>
              <w:t>3</w:t>
            </w:r>
            <w:bookmarkEnd w:id="38"/>
            <w:bookmarkEnd w:id="39"/>
          </w:p>
        </w:tc>
        <w:tc>
          <w:tcPr>
            <w:tcW w:w="2114" w:type="pct"/>
            <w:noWrap w:val="0"/>
            <w:vAlign w:val="center"/>
          </w:tcPr>
          <w:p w14:paraId="2F28D5D0">
            <w:pPr>
              <w:spacing w:line="240" w:lineRule="auto"/>
              <w:jc w:val="left"/>
              <w:outlineLvl w:val="2"/>
              <w:rPr>
                <w:rFonts w:hint="eastAsia" w:ascii="宋体" w:hAnsi="宋体" w:cs="宋体"/>
                <w:sz w:val="24"/>
              </w:rPr>
            </w:pPr>
            <w:bookmarkStart w:id="40" w:name="_Toc28194"/>
            <w:bookmarkStart w:id="41" w:name="_Toc18135"/>
            <w:r>
              <w:rPr>
                <w:rFonts w:hint="eastAsia" w:ascii="宋体" w:hAnsi="宋体" w:cs="宋体"/>
                <w:sz w:val="24"/>
              </w:rPr>
              <w:t>应急发电车台班费（160KVA）</w:t>
            </w:r>
            <w:bookmarkEnd w:id="40"/>
            <w:bookmarkEnd w:id="41"/>
          </w:p>
        </w:tc>
        <w:tc>
          <w:tcPr>
            <w:tcW w:w="1267" w:type="pct"/>
            <w:noWrap w:val="0"/>
            <w:vAlign w:val="center"/>
          </w:tcPr>
          <w:p w14:paraId="0ACA7FD5">
            <w:pPr>
              <w:spacing w:line="240" w:lineRule="auto"/>
              <w:jc w:val="center"/>
              <w:outlineLvl w:val="9"/>
              <w:rPr>
                <w:rFonts w:hint="eastAsia" w:ascii="宋体" w:hAnsi="宋体" w:cs="宋体"/>
                <w:sz w:val="24"/>
              </w:rPr>
            </w:pPr>
          </w:p>
        </w:tc>
        <w:tc>
          <w:tcPr>
            <w:tcW w:w="1167" w:type="pct"/>
            <w:noWrap w:val="0"/>
            <w:vAlign w:val="center"/>
          </w:tcPr>
          <w:p w14:paraId="7591E35A">
            <w:pPr>
              <w:spacing w:line="240" w:lineRule="auto"/>
              <w:jc w:val="center"/>
              <w:outlineLvl w:val="9"/>
              <w:rPr>
                <w:rFonts w:hint="eastAsia" w:ascii="宋体" w:hAnsi="宋体" w:cs="宋体"/>
                <w:sz w:val="24"/>
              </w:rPr>
            </w:pPr>
          </w:p>
        </w:tc>
      </w:tr>
      <w:tr w14:paraId="5F77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50" w:type="pct"/>
            <w:noWrap w:val="0"/>
            <w:vAlign w:val="center"/>
          </w:tcPr>
          <w:p w14:paraId="4457E93A">
            <w:pPr>
              <w:spacing w:line="240" w:lineRule="auto"/>
              <w:jc w:val="center"/>
              <w:outlineLvl w:val="2"/>
              <w:rPr>
                <w:rFonts w:hint="eastAsia" w:ascii="宋体" w:hAnsi="宋体" w:cs="宋体"/>
                <w:sz w:val="24"/>
              </w:rPr>
            </w:pPr>
            <w:bookmarkStart w:id="42" w:name="_Toc16977"/>
            <w:bookmarkStart w:id="43" w:name="_Toc11577"/>
            <w:r>
              <w:rPr>
                <w:rFonts w:hint="eastAsia" w:ascii="宋体" w:hAnsi="宋体" w:cs="宋体"/>
                <w:sz w:val="24"/>
              </w:rPr>
              <w:t>4</w:t>
            </w:r>
            <w:bookmarkEnd w:id="42"/>
            <w:bookmarkEnd w:id="43"/>
          </w:p>
        </w:tc>
        <w:tc>
          <w:tcPr>
            <w:tcW w:w="2114" w:type="pct"/>
            <w:noWrap w:val="0"/>
            <w:vAlign w:val="center"/>
          </w:tcPr>
          <w:p w14:paraId="6335D8B5">
            <w:pPr>
              <w:spacing w:line="240" w:lineRule="auto"/>
              <w:jc w:val="left"/>
              <w:outlineLvl w:val="2"/>
              <w:rPr>
                <w:rFonts w:hint="eastAsia" w:ascii="宋体" w:hAnsi="宋体" w:cs="宋体"/>
                <w:sz w:val="24"/>
              </w:rPr>
            </w:pPr>
            <w:bookmarkStart w:id="44" w:name="_Toc9152"/>
            <w:bookmarkStart w:id="45" w:name="_Toc22521"/>
            <w:r>
              <w:rPr>
                <w:rFonts w:hint="eastAsia" w:ascii="宋体" w:hAnsi="宋体" w:cs="宋体"/>
                <w:sz w:val="24"/>
              </w:rPr>
              <w:t>应急发电车燃油费（160KVA）</w:t>
            </w:r>
            <w:bookmarkEnd w:id="44"/>
            <w:bookmarkEnd w:id="45"/>
          </w:p>
        </w:tc>
        <w:tc>
          <w:tcPr>
            <w:tcW w:w="1267" w:type="pct"/>
            <w:noWrap w:val="0"/>
            <w:vAlign w:val="center"/>
          </w:tcPr>
          <w:p w14:paraId="019DEB61">
            <w:pPr>
              <w:spacing w:line="240" w:lineRule="auto"/>
              <w:jc w:val="center"/>
              <w:rPr>
                <w:rFonts w:hint="eastAsia" w:ascii="宋体" w:hAnsi="宋体" w:cs="宋体"/>
                <w:sz w:val="24"/>
              </w:rPr>
            </w:pPr>
          </w:p>
        </w:tc>
        <w:tc>
          <w:tcPr>
            <w:tcW w:w="1167" w:type="pct"/>
            <w:noWrap w:val="0"/>
            <w:vAlign w:val="center"/>
          </w:tcPr>
          <w:p w14:paraId="4EF9124B">
            <w:pPr>
              <w:spacing w:line="240" w:lineRule="auto"/>
              <w:jc w:val="center"/>
              <w:outlineLvl w:val="9"/>
              <w:rPr>
                <w:rFonts w:hint="eastAsia" w:ascii="宋体" w:hAnsi="宋体" w:cs="宋体"/>
                <w:sz w:val="24"/>
              </w:rPr>
            </w:pPr>
          </w:p>
        </w:tc>
      </w:tr>
      <w:tr w14:paraId="7EB6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50" w:type="pct"/>
            <w:noWrap w:val="0"/>
            <w:vAlign w:val="center"/>
          </w:tcPr>
          <w:p w14:paraId="5EE0910B">
            <w:pPr>
              <w:spacing w:line="240" w:lineRule="auto"/>
              <w:jc w:val="center"/>
              <w:outlineLvl w:val="2"/>
              <w:rPr>
                <w:rFonts w:hint="eastAsia" w:ascii="宋体" w:hAnsi="宋体" w:cs="宋体"/>
                <w:sz w:val="24"/>
              </w:rPr>
            </w:pPr>
            <w:bookmarkStart w:id="46" w:name="_Toc22451"/>
            <w:bookmarkStart w:id="47" w:name="_Toc5790"/>
            <w:r>
              <w:rPr>
                <w:rFonts w:hint="eastAsia" w:ascii="宋体" w:hAnsi="宋体" w:cs="宋体"/>
                <w:sz w:val="24"/>
              </w:rPr>
              <w:t>5</w:t>
            </w:r>
            <w:bookmarkEnd w:id="46"/>
            <w:bookmarkEnd w:id="47"/>
          </w:p>
        </w:tc>
        <w:tc>
          <w:tcPr>
            <w:tcW w:w="2114" w:type="pct"/>
            <w:noWrap w:val="0"/>
            <w:vAlign w:val="center"/>
          </w:tcPr>
          <w:p w14:paraId="1B79D14D">
            <w:pPr>
              <w:spacing w:line="240" w:lineRule="auto"/>
              <w:jc w:val="left"/>
              <w:outlineLvl w:val="2"/>
              <w:rPr>
                <w:rFonts w:hint="eastAsia" w:ascii="宋体" w:hAnsi="宋体" w:cs="宋体"/>
                <w:sz w:val="24"/>
              </w:rPr>
            </w:pPr>
            <w:bookmarkStart w:id="48" w:name="_Toc29132"/>
            <w:bookmarkStart w:id="49" w:name="_Toc6116"/>
            <w:r>
              <w:rPr>
                <w:rFonts w:hint="eastAsia" w:ascii="宋体" w:hAnsi="宋体" w:cs="宋体"/>
                <w:sz w:val="24"/>
              </w:rPr>
              <w:t>应急发电车台班费（400KVA）</w:t>
            </w:r>
            <w:bookmarkEnd w:id="48"/>
            <w:bookmarkEnd w:id="49"/>
          </w:p>
        </w:tc>
        <w:tc>
          <w:tcPr>
            <w:tcW w:w="1267" w:type="pct"/>
            <w:noWrap w:val="0"/>
            <w:vAlign w:val="center"/>
          </w:tcPr>
          <w:p w14:paraId="024A07D3">
            <w:pPr>
              <w:spacing w:line="240" w:lineRule="auto"/>
              <w:jc w:val="center"/>
              <w:rPr>
                <w:rFonts w:hint="eastAsia" w:ascii="宋体" w:hAnsi="宋体" w:cs="宋体"/>
                <w:sz w:val="24"/>
              </w:rPr>
            </w:pPr>
          </w:p>
        </w:tc>
        <w:tc>
          <w:tcPr>
            <w:tcW w:w="1167" w:type="pct"/>
            <w:noWrap w:val="0"/>
            <w:vAlign w:val="center"/>
          </w:tcPr>
          <w:p w14:paraId="1BE73FEA">
            <w:pPr>
              <w:spacing w:line="240" w:lineRule="auto"/>
              <w:jc w:val="center"/>
              <w:outlineLvl w:val="9"/>
              <w:rPr>
                <w:rFonts w:hint="eastAsia" w:ascii="宋体" w:hAnsi="宋体" w:cs="宋体"/>
                <w:sz w:val="24"/>
              </w:rPr>
            </w:pPr>
          </w:p>
        </w:tc>
      </w:tr>
      <w:tr w14:paraId="6204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50" w:type="pct"/>
            <w:noWrap w:val="0"/>
            <w:vAlign w:val="center"/>
          </w:tcPr>
          <w:p w14:paraId="2B07F1E1">
            <w:pPr>
              <w:spacing w:line="240" w:lineRule="auto"/>
              <w:jc w:val="center"/>
              <w:outlineLvl w:val="2"/>
              <w:rPr>
                <w:rFonts w:hint="eastAsia" w:ascii="宋体" w:hAnsi="宋体" w:cs="宋体"/>
                <w:sz w:val="24"/>
              </w:rPr>
            </w:pPr>
            <w:bookmarkStart w:id="50" w:name="_Toc18468"/>
            <w:bookmarkStart w:id="51" w:name="_Toc24510"/>
            <w:r>
              <w:rPr>
                <w:rFonts w:hint="eastAsia" w:ascii="宋体" w:hAnsi="宋体" w:cs="宋体"/>
                <w:sz w:val="24"/>
              </w:rPr>
              <w:t>6</w:t>
            </w:r>
            <w:bookmarkEnd w:id="50"/>
            <w:bookmarkEnd w:id="51"/>
          </w:p>
        </w:tc>
        <w:tc>
          <w:tcPr>
            <w:tcW w:w="2114" w:type="pct"/>
            <w:noWrap w:val="0"/>
            <w:vAlign w:val="center"/>
          </w:tcPr>
          <w:p w14:paraId="3213F42F">
            <w:pPr>
              <w:spacing w:line="240" w:lineRule="auto"/>
              <w:jc w:val="left"/>
              <w:outlineLvl w:val="2"/>
              <w:rPr>
                <w:rFonts w:hint="eastAsia" w:ascii="宋体" w:hAnsi="宋体" w:cs="宋体"/>
                <w:sz w:val="24"/>
              </w:rPr>
            </w:pPr>
            <w:bookmarkStart w:id="52" w:name="_Toc25961"/>
            <w:bookmarkStart w:id="53" w:name="_Toc6172"/>
            <w:r>
              <w:rPr>
                <w:rFonts w:hint="eastAsia" w:ascii="宋体" w:hAnsi="宋体" w:cs="宋体"/>
                <w:sz w:val="24"/>
              </w:rPr>
              <w:t>应急发电车燃油费（400KVA）</w:t>
            </w:r>
            <w:bookmarkEnd w:id="52"/>
            <w:bookmarkEnd w:id="53"/>
          </w:p>
        </w:tc>
        <w:tc>
          <w:tcPr>
            <w:tcW w:w="1267" w:type="pct"/>
            <w:noWrap w:val="0"/>
            <w:vAlign w:val="center"/>
          </w:tcPr>
          <w:p w14:paraId="4B7B20EF">
            <w:pPr>
              <w:spacing w:line="240" w:lineRule="auto"/>
              <w:jc w:val="center"/>
              <w:rPr>
                <w:rFonts w:hint="eastAsia" w:ascii="宋体" w:hAnsi="宋体" w:cs="宋体"/>
                <w:sz w:val="24"/>
              </w:rPr>
            </w:pPr>
          </w:p>
        </w:tc>
        <w:tc>
          <w:tcPr>
            <w:tcW w:w="1167" w:type="pct"/>
            <w:noWrap w:val="0"/>
            <w:vAlign w:val="center"/>
          </w:tcPr>
          <w:p w14:paraId="01A1651B">
            <w:pPr>
              <w:spacing w:line="240" w:lineRule="auto"/>
              <w:jc w:val="center"/>
              <w:outlineLvl w:val="9"/>
              <w:rPr>
                <w:rFonts w:hint="eastAsia" w:ascii="宋体" w:hAnsi="宋体" w:cs="宋体"/>
                <w:sz w:val="24"/>
              </w:rPr>
            </w:pPr>
          </w:p>
        </w:tc>
      </w:tr>
    </w:tbl>
    <w:p w14:paraId="08AD1373">
      <w:pPr>
        <w:pStyle w:val="2"/>
        <w:numPr>
          <w:ilvl w:val="0"/>
          <w:numId w:val="1"/>
        </w:numPr>
        <w:topLinePunct w:val="0"/>
        <w:ind w:left="0" w:leftChars="0" w:firstLine="0" w:firstLineChars="0"/>
        <w:rPr>
          <w:b/>
        </w:rPr>
      </w:pPr>
      <w:bookmarkStart w:id="54" w:name="_Toc15383"/>
      <w:bookmarkStart w:id="55" w:name="_Toc11391"/>
      <w:r>
        <w:t>服务要求</w:t>
      </w:r>
      <w:bookmarkEnd w:id="54"/>
      <w:bookmarkEnd w:id="55"/>
    </w:p>
    <w:p w14:paraId="4925A586">
      <w:pPr>
        <w:pStyle w:val="4"/>
        <w:numPr>
          <w:ilvl w:val="0"/>
          <w:numId w:val="7"/>
        </w:numPr>
        <w:topLinePunct w:val="0"/>
        <w:ind w:left="0" w:leftChars="0" w:firstLine="420" w:firstLineChars="0"/>
        <w:rPr>
          <w:b w:val="0"/>
        </w:rPr>
      </w:pPr>
      <w:r>
        <w:t>负责温州体育中心及九山配电室内电气设备（如高低压设备、变压器、电线电缆等）运行、电气设施维保，接到报修电话后，当值人员立即通知维保主管。由维保主管组织人员、车辆、工具及材料，保证接到报修电话后10分钟内出发，40分钟到达现场后，立即进行故障判定，采取应急措施，做出处理方案，尽一切可能加快抢修进度及故障处理的时间。保证动力设备应急处理率100%，一般性故障排除不过夜；</w:t>
      </w:r>
    </w:p>
    <w:p w14:paraId="565E9F97">
      <w:pPr>
        <w:pStyle w:val="4"/>
        <w:numPr>
          <w:ilvl w:val="0"/>
          <w:numId w:val="7"/>
        </w:numPr>
        <w:topLinePunct w:val="0"/>
        <w:ind w:left="0" w:leftChars="0" w:firstLine="420" w:firstLineChars="0"/>
        <w:rPr>
          <w:b w:val="0"/>
        </w:rPr>
      </w:pPr>
      <w:r>
        <w:t>设施维护及时率100%。报修处理及时率100%，维修质量一次合格率100%，回访率100％；</w:t>
      </w:r>
    </w:p>
    <w:p w14:paraId="1E68A34E">
      <w:pPr>
        <w:pStyle w:val="4"/>
        <w:numPr>
          <w:ilvl w:val="0"/>
          <w:numId w:val="7"/>
        </w:numPr>
        <w:topLinePunct w:val="0"/>
        <w:ind w:left="0" w:leftChars="0" w:firstLine="420" w:firstLineChars="0"/>
        <w:rPr>
          <w:b w:val="0"/>
        </w:rPr>
      </w:pPr>
      <w:r>
        <w:t>确保设备运行正常率100%，设施应急处理率100%；</w:t>
      </w:r>
    </w:p>
    <w:p w14:paraId="46CC83D8">
      <w:pPr>
        <w:pStyle w:val="4"/>
        <w:numPr>
          <w:ilvl w:val="0"/>
          <w:numId w:val="7"/>
        </w:numPr>
        <w:topLinePunct w:val="0"/>
        <w:ind w:left="0" w:leftChars="0" w:firstLine="420" w:firstLineChars="0"/>
        <w:rPr>
          <w:b w:val="0"/>
        </w:rPr>
      </w:pPr>
      <w:r>
        <w:t>一般维修噪声不超过标准；</w:t>
      </w:r>
    </w:p>
    <w:p w14:paraId="5E3650A1">
      <w:pPr>
        <w:pStyle w:val="4"/>
        <w:numPr>
          <w:ilvl w:val="0"/>
          <w:numId w:val="7"/>
        </w:numPr>
        <w:topLinePunct w:val="0"/>
        <w:ind w:left="0" w:leftChars="0" w:firstLine="420" w:firstLineChars="0"/>
        <w:rPr>
          <w:b w:val="0"/>
        </w:rPr>
      </w:pPr>
      <w:r>
        <w:t>运行单位主责作业事故为0。</w:t>
      </w:r>
    </w:p>
    <w:p w14:paraId="4E9885D8">
      <w:pPr>
        <w:spacing w:line="360" w:lineRule="auto"/>
        <w:ind w:firstLine="480" w:firstLineChars="200"/>
        <w:rPr>
          <w:rFonts w:hint="eastAsia" w:ascii="宋体" w:hAnsi="宋体" w:eastAsia="宋体" w:cs="Times New Roman"/>
          <w:sz w:val="24"/>
          <w:lang w:eastAsia="zh-CN"/>
        </w:rPr>
      </w:pPr>
    </w:p>
    <w:p w14:paraId="1337FCE1">
      <w:pPr>
        <w:pStyle w:val="2"/>
        <w:numPr>
          <w:ilvl w:val="0"/>
          <w:numId w:val="1"/>
        </w:numPr>
        <w:topLinePunct w:val="0"/>
        <w:ind w:left="0" w:leftChars="0" w:firstLine="0" w:firstLineChars="0"/>
        <w:rPr>
          <w:b/>
        </w:rPr>
      </w:pPr>
      <w:bookmarkStart w:id="56" w:name="_Toc12066"/>
      <w:bookmarkStart w:id="57" w:name="_Toc15980"/>
      <w:r>
        <w:t>人员配置</w:t>
      </w:r>
      <w:bookmarkEnd w:id="56"/>
      <w:bookmarkEnd w:id="57"/>
    </w:p>
    <w:p w14:paraId="420F1C28">
      <w:pPr>
        <w:pStyle w:val="4"/>
        <w:numPr>
          <w:ilvl w:val="0"/>
          <w:numId w:val="8"/>
        </w:numPr>
        <w:topLinePunct w:val="0"/>
        <w:ind w:left="0" w:leftChars="0" w:firstLine="420" w:firstLineChars="0"/>
        <w:rPr>
          <w:b w:val="0"/>
        </w:rPr>
      </w:pPr>
      <w:r>
        <w:t>人员配备应符合行业要求，需配置项目经理1名，负责该项目日常运行管理，配置不驻场工程师2名，定期开展技术指导、培训等服务，并不定期处理紧急事故。人员应持证上岗；按招标文件要求提供资格证书。</w:t>
      </w:r>
    </w:p>
    <w:p w14:paraId="7BC6FE3C">
      <w:pPr>
        <w:pStyle w:val="4"/>
        <w:numPr>
          <w:ilvl w:val="0"/>
          <w:numId w:val="8"/>
        </w:numPr>
        <w:topLinePunct w:val="0"/>
        <w:ind w:left="0" w:leftChars="0" w:firstLine="420" w:firstLineChars="0"/>
        <w:rPr>
          <w:b w:val="0"/>
        </w:rPr>
      </w:pPr>
      <w:r>
        <w:t>投标报价应至少包括人员费用、高低压配电室预防性试验及绝缘用具检测费用等。</w:t>
      </w:r>
    </w:p>
    <w:p w14:paraId="0628150F">
      <w:pPr>
        <w:pStyle w:val="4"/>
        <w:numPr>
          <w:ilvl w:val="0"/>
          <w:numId w:val="8"/>
        </w:numPr>
        <w:topLinePunct w:val="0"/>
        <w:ind w:left="0" w:leftChars="0" w:firstLine="420" w:firstLineChars="0"/>
        <w:rPr>
          <w:b w:val="0"/>
        </w:rPr>
      </w:pPr>
      <w:r>
        <w:t>人员的基本要求</w:t>
      </w:r>
    </w:p>
    <w:p w14:paraId="63DD34AD">
      <w:pPr>
        <w:pStyle w:val="4"/>
        <w:numPr>
          <w:ilvl w:val="0"/>
          <w:numId w:val="9"/>
        </w:numPr>
        <w:topLinePunct w:val="0"/>
        <w:ind w:left="386" w:leftChars="0" w:firstLine="454" w:firstLineChars="0"/>
        <w:rPr>
          <w:b w:val="0"/>
        </w:rPr>
      </w:pPr>
      <w:r>
        <w:t>应按照国家有关规定，取得合格有效的《特种作业操作证》（电工类），且操作证由电工随身携带或由用电单位统一进行管理。</w:t>
      </w:r>
    </w:p>
    <w:p w14:paraId="09461B12">
      <w:pPr>
        <w:pStyle w:val="4"/>
        <w:numPr>
          <w:ilvl w:val="0"/>
          <w:numId w:val="9"/>
        </w:numPr>
        <w:topLinePunct w:val="0"/>
        <w:ind w:left="386" w:leftChars="0" w:firstLine="454" w:firstLineChars="0"/>
        <w:rPr>
          <w:b w:val="0"/>
        </w:rPr>
      </w:pPr>
      <w:r>
        <w:t>掌握触电急救和心肺复苏法。</w:t>
      </w:r>
    </w:p>
    <w:p w14:paraId="2450B155">
      <w:pPr>
        <w:pStyle w:val="4"/>
        <w:numPr>
          <w:ilvl w:val="0"/>
          <w:numId w:val="9"/>
        </w:numPr>
        <w:topLinePunct w:val="0"/>
        <w:ind w:left="386" w:leftChars="0" w:firstLine="454" w:firstLineChars="0"/>
        <w:rPr>
          <w:b w:val="0"/>
        </w:rPr>
      </w:pPr>
      <w:r>
        <w:t>掌握必备的电气知识和业务技能，熟悉与其工种、岗位有关的电气设备的性能及操作方法。</w:t>
      </w:r>
    </w:p>
    <w:p w14:paraId="2CD48F97">
      <w:pPr>
        <w:pStyle w:val="4"/>
        <w:numPr>
          <w:ilvl w:val="0"/>
          <w:numId w:val="9"/>
        </w:numPr>
        <w:topLinePunct w:val="0"/>
        <w:ind w:left="386" w:leftChars="0" w:firstLine="454" w:firstLineChars="0"/>
        <w:rPr>
          <w:b w:val="0"/>
        </w:rPr>
      </w:pPr>
      <w:r>
        <w:t>熟悉常用灭火器材及灭火设施的性能、布置和适用范围，掌握其使用方法。</w:t>
      </w:r>
    </w:p>
    <w:p w14:paraId="4999B930">
      <w:pPr>
        <w:pStyle w:val="4"/>
        <w:numPr>
          <w:ilvl w:val="0"/>
          <w:numId w:val="9"/>
        </w:numPr>
        <w:topLinePunct w:val="0"/>
        <w:ind w:left="386" w:leftChars="0" w:firstLine="454" w:firstLineChars="0"/>
        <w:rPr>
          <w:b w:val="0"/>
        </w:rPr>
      </w:pPr>
      <w:r>
        <w:t>熟悉应急预案内容和处置流程，能够正确、迅速地进行事故处置。</w:t>
      </w:r>
    </w:p>
    <w:p w14:paraId="12C3B60A">
      <w:pPr>
        <w:pStyle w:val="4"/>
        <w:numPr>
          <w:ilvl w:val="0"/>
          <w:numId w:val="9"/>
        </w:numPr>
        <w:topLinePunct w:val="0"/>
        <w:ind w:left="386" w:leftChars="0" w:firstLine="454" w:firstLineChars="0"/>
        <w:rPr>
          <w:b w:val="0"/>
        </w:rPr>
      </w:pPr>
      <w:r>
        <w:t>人员上岗期间应穿全棉长袖工作服和绝缘鞋。进行电缆隧道、电缆井、电缆沟道作业时，应严格执行DB11/852、1、DB11/852、2和DB11/852、3《地下有限空间作业安全技术规范》有关有限空间作业的安全管理要求。</w:t>
      </w:r>
    </w:p>
    <w:p w14:paraId="1AFDA8B5">
      <w:pPr>
        <w:pStyle w:val="7"/>
        <w:ind w:left="0" w:leftChars="0" w:firstLine="0" w:firstLineChars="0"/>
        <w:rPr>
          <w:rFonts w:hint="default"/>
          <w:lang w:val="en-US" w:eastAsia="zh-CN"/>
        </w:rPr>
      </w:pPr>
    </w:p>
    <w:p w14:paraId="1BE875AC">
      <w:pPr>
        <w:pStyle w:val="2"/>
        <w:widowControl/>
      </w:pPr>
      <w:bookmarkStart w:id="58" w:name="_Toc16833"/>
      <w:bookmarkStart w:id="59" w:name="_Toc11267"/>
      <w:r>
        <w:t>▲</w:t>
      </w:r>
      <w:r>
        <w:rPr>
          <w:rFonts w:hint="eastAsia"/>
          <w:lang w:val="en-US" w:eastAsia="zh-CN"/>
        </w:rPr>
        <w:t>五</w:t>
      </w:r>
      <w:r>
        <w:t>、商务条款</w:t>
      </w:r>
      <w:bookmarkEnd w:id="58"/>
      <w:bookmarkEnd w:id="59"/>
    </w:p>
    <w:p w14:paraId="2D239A00">
      <w:pPr>
        <w:pStyle w:val="4"/>
        <w:numPr>
          <w:ilvl w:val="0"/>
          <w:numId w:val="0"/>
        </w:numPr>
        <w:ind w:left="482" w:leftChars="0"/>
        <w:rPr>
          <w:b/>
          <w:highlight w:val="yellow"/>
          <w:u w:val="single"/>
        </w:rPr>
      </w:pPr>
      <w:r>
        <w:rPr>
          <w:rFonts w:hint="eastAsia"/>
          <w:b/>
          <w:highlight w:val="yellow"/>
          <w:u w:val="single"/>
          <w:lang w:val="en-US" w:eastAsia="zh-CN"/>
        </w:rPr>
        <w:t>（一）</w:t>
      </w:r>
      <w:r>
        <w:rPr>
          <w:b/>
          <w:highlight w:val="yellow"/>
          <w:u w:val="single"/>
        </w:rPr>
        <w:t>服务期限：合同签订后7个日历天内电气维保人员到位进场。</w:t>
      </w:r>
    </w:p>
    <w:p w14:paraId="5DB7C3F2">
      <w:pPr>
        <w:pStyle w:val="4"/>
        <w:numPr>
          <w:ilvl w:val="0"/>
          <w:numId w:val="0"/>
        </w:numPr>
        <w:ind w:left="482" w:leftChars="0"/>
        <w:rPr>
          <w:b/>
          <w:bCs w:val="0"/>
          <w:highlight w:val="yellow"/>
          <w:u w:val="single"/>
        </w:rPr>
      </w:pPr>
      <w:r>
        <w:rPr>
          <w:rFonts w:hint="eastAsia"/>
          <w:b/>
          <w:bCs w:val="0"/>
          <w:highlight w:val="yellow"/>
          <w:u w:val="single"/>
          <w:lang w:eastAsia="zh-CN"/>
        </w:rPr>
        <w:t>（</w:t>
      </w:r>
      <w:r>
        <w:rPr>
          <w:rFonts w:hint="eastAsia"/>
          <w:b/>
          <w:bCs w:val="0"/>
          <w:highlight w:val="yellow"/>
          <w:u w:val="single"/>
          <w:lang w:val="en-US" w:eastAsia="zh-CN"/>
        </w:rPr>
        <w:t>二）</w:t>
      </w:r>
      <w:r>
        <w:rPr>
          <w:b/>
          <w:bCs w:val="0"/>
          <w:highlight w:val="yellow"/>
          <w:u w:val="single"/>
        </w:rPr>
        <w:t>服务地点：由采购人指定。</w:t>
      </w:r>
    </w:p>
    <w:p w14:paraId="6A0FE1AD">
      <w:pPr>
        <w:pStyle w:val="4"/>
        <w:numPr>
          <w:ilvl w:val="0"/>
          <w:numId w:val="0"/>
        </w:numPr>
        <w:ind w:left="482" w:leftChars="0"/>
        <w:rPr>
          <w:b/>
          <w:u w:val="single"/>
        </w:rPr>
      </w:pPr>
      <w:r>
        <w:rPr>
          <w:rFonts w:hint="eastAsia"/>
          <w:b/>
          <w:highlight w:val="yellow"/>
          <w:u w:val="single"/>
          <w:lang w:eastAsia="zh-CN"/>
        </w:rPr>
        <w:t>（</w:t>
      </w:r>
      <w:r>
        <w:rPr>
          <w:rFonts w:hint="eastAsia"/>
          <w:b/>
          <w:highlight w:val="yellow"/>
          <w:u w:val="single"/>
          <w:lang w:val="en-US" w:eastAsia="zh-CN"/>
        </w:rPr>
        <w:t>三）</w:t>
      </w:r>
      <w:r>
        <w:rPr>
          <w:b/>
          <w:highlight w:val="yellow"/>
          <w:u w:val="single"/>
        </w:rPr>
        <w:t>服务期：合同签订后人员就位，正常运行之日起1年。</w:t>
      </w:r>
    </w:p>
    <w:p w14:paraId="1044D63E">
      <w:pPr>
        <w:pStyle w:val="4"/>
        <w:numPr>
          <w:ilvl w:val="0"/>
          <w:numId w:val="0"/>
        </w:numPr>
        <w:ind w:left="482" w:leftChars="0"/>
        <w:rPr>
          <w:b/>
          <w:highlight w:val="yellow"/>
        </w:rPr>
      </w:pPr>
      <w:r>
        <w:rPr>
          <w:rFonts w:hint="eastAsia"/>
          <w:b/>
          <w:highlight w:val="yellow"/>
          <w:u w:val="single"/>
          <w:lang w:eastAsia="zh-CN"/>
        </w:rPr>
        <w:t>（</w:t>
      </w:r>
      <w:r>
        <w:rPr>
          <w:rFonts w:hint="eastAsia"/>
          <w:b/>
          <w:highlight w:val="yellow"/>
          <w:u w:val="single"/>
          <w:lang w:val="en-US" w:eastAsia="zh-CN"/>
        </w:rPr>
        <w:t>四）</w:t>
      </w:r>
      <w:r>
        <w:rPr>
          <w:b/>
          <w:highlight w:val="yellow"/>
          <w:u w:val="single"/>
        </w:rPr>
        <w:t>付款方式：</w:t>
      </w:r>
      <w:r>
        <w:rPr>
          <w:b/>
          <w:highlight w:val="yellow"/>
        </w:rPr>
        <w:t>付款方法和条件：</w:t>
      </w:r>
    </w:p>
    <w:p w14:paraId="43A03F66">
      <w:pPr>
        <w:pStyle w:val="4"/>
        <w:numPr>
          <w:ilvl w:val="0"/>
          <w:numId w:val="0"/>
        </w:numPr>
        <w:ind w:firstLine="964" w:firstLineChars="400"/>
        <w:rPr>
          <w:b/>
          <w:highlight w:val="yellow"/>
        </w:rPr>
      </w:pPr>
      <w:r>
        <w:rPr>
          <w:rFonts w:hint="eastAsia"/>
          <w:b/>
          <w:highlight w:val="yellow"/>
          <w:lang w:val="en-US" w:eastAsia="zh-CN"/>
        </w:rPr>
        <w:t>1.</w:t>
      </w:r>
      <w:r>
        <w:rPr>
          <w:b/>
          <w:highlight w:val="yellow"/>
        </w:rPr>
        <w:t>合同签订且预算资金审批到位后支付合同总额的60%，在合同签订后的7个工作日内付支付。</w:t>
      </w:r>
    </w:p>
    <w:p w14:paraId="7F9CC575">
      <w:pPr>
        <w:pStyle w:val="4"/>
        <w:numPr>
          <w:ilvl w:val="0"/>
          <w:numId w:val="0"/>
        </w:numPr>
        <w:ind w:firstLine="964" w:firstLineChars="400"/>
        <w:rPr>
          <w:b/>
          <w:highlight w:val="yellow"/>
        </w:rPr>
      </w:pPr>
      <w:r>
        <w:rPr>
          <w:rFonts w:hint="eastAsia"/>
          <w:b/>
          <w:highlight w:val="yellow"/>
          <w:lang w:val="en-US" w:eastAsia="zh-CN"/>
        </w:rPr>
        <w:t>2.</w:t>
      </w:r>
      <w:r>
        <w:rPr>
          <w:b/>
          <w:highlight w:val="yellow"/>
        </w:rPr>
        <w:t>乙方按照合同约定完成所有内容，向甲方出具合约期内工作报告并通过采购人认可后，甲方向乙方支付剩余合同尾款。</w:t>
      </w:r>
    </w:p>
    <w:p w14:paraId="1FBA2B4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6350">
    <w:pPr>
      <w:pStyle w:val="5"/>
      <w:jc w:val="right"/>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4FC3A4">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D4FC3A4">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lang w:val="en-US" w:eastAsia="zh-CN"/>
      </w:rPr>
      <w:t>浙江工汇项目管理有限公司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DC5FF"/>
    <w:multiLevelType w:val="singleLevel"/>
    <w:tmpl w:val="887DC5FF"/>
    <w:lvl w:ilvl="0" w:tentative="0">
      <w:start w:val="1"/>
      <w:numFmt w:val="chineseCounting"/>
      <w:suff w:val="nothing"/>
      <w:lvlText w:val="（%1）"/>
      <w:lvlJc w:val="left"/>
      <w:pPr>
        <w:ind w:left="0" w:firstLine="420"/>
      </w:pPr>
      <w:rPr>
        <w:rFonts w:hint="eastAsia"/>
      </w:rPr>
    </w:lvl>
  </w:abstractNum>
  <w:abstractNum w:abstractNumId="1">
    <w:nsid w:val="8AA23AEE"/>
    <w:multiLevelType w:val="singleLevel"/>
    <w:tmpl w:val="8AA23AEE"/>
    <w:lvl w:ilvl="0" w:tentative="0">
      <w:start w:val="1"/>
      <w:numFmt w:val="decimal"/>
      <w:suff w:val="space"/>
      <w:lvlText w:val="%1."/>
      <w:lvlJc w:val="left"/>
      <w:pPr>
        <w:ind w:left="0" w:firstLine="480"/>
      </w:pPr>
      <w:rPr>
        <w:rFonts w:hint="default"/>
      </w:rPr>
    </w:lvl>
  </w:abstractNum>
  <w:abstractNum w:abstractNumId="2">
    <w:nsid w:val="8C555171"/>
    <w:multiLevelType w:val="singleLevel"/>
    <w:tmpl w:val="8C555171"/>
    <w:lvl w:ilvl="0" w:tentative="0">
      <w:start w:val="1"/>
      <w:numFmt w:val="chineseCounting"/>
      <w:suff w:val="nothing"/>
      <w:lvlText w:val="%1、"/>
      <w:lvlJc w:val="left"/>
      <w:pPr>
        <w:ind w:left="0" w:firstLine="0"/>
      </w:pPr>
      <w:rPr>
        <w:rFonts w:hint="eastAsia"/>
      </w:rPr>
    </w:lvl>
  </w:abstractNum>
  <w:abstractNum w:abstractNumId="3">
    <w:nsid w:val="9E80BB02"/>
    <w:multiLevelType w:val="singleLevel"/>
    <w:tmpl w:val="9E80BB02"/>
    <w:lvl w:ilvl="0" w:tentative="0">
      <w:start w:val="1"/>
      <w:numFmt w:val="decimal"/>
      <w:suff w:val="space"/>
      <w:lvlText w:val="%1."/>
      <w:lvlJc w:val="left"/>
      <w:pPr>
        <w:ind w:left="1265" w:hanging="425"/>
      </w:pPr>
      <w:rPr>
        <w:rFonts w:hint="default"/>
      </w:rPr>
    </w:lvl>
  </w:abstractNum>
  <w:abstractNum w:abstractNumId="4">
    <w:nsid w:val="BE2B4EFA"/>
    <w:multiLevelType w:val="singleLevel"/>
    <w:tmpl w:val="BE2B4EFA"/>
    <w:lvl w:ilvl="0" w:tentative="0">
      <w:start w:val="1"/>
      <w:numFmt w:val="chineseCounting"/>
      <w:suff w:val="nothing"/>
      <w:lvlText w:val="（%1）"/>
      <w:lvlJc w:val="left"/>
      <w:pPr>
        <w:ind w:left="0" w:firstLine="420"/>
      </w:pPr>
      <w:rPr>
        <w:rFonts w:hint="eastAsia"/>
      </w:rPr>
    </w:lvl>
  </w:abstractNum>
  <w:abstractNum w:abstractNumId="5">
    <w:nsid w:val="E06D7A69"/>
    <w:multiLevelType w:val="singleLevel"/>
    <w:tmpl w:val="E06D7A69"/>
    <w:lvl w:ilvl="0" w:tentative="0">
      <w:start w:val="1"/>
      <w:numFmt w:val="decimal"/>
      <w:suff w:val="nothing"/>
      <w:lvlText w:val="（%1）"/>
      <w:lvlJc w:val="left"/>
      <w:pPr>
        <w:ind w:left="0" w:firstLine="480"/>
      </w:pPr>
      <w:rPr>
        <w:rFonts w:hint="default"/>
      </w:rPr>
    </w:lvl>
  </w:abstractNum>
  <w:abstractNum w:abstractNumId="6">
    <w:nsid w:val="0D6A2307"/>
    <w:multiLevelType w:val="singleLevel"/>
    <w:tmpl w:val="0D6A2307"/>
    <w:lvl w:ilvl="0" w:tentative="0">
      <w:start w:val="1"/>
      <w:numFmt w:val="chineseCounting"/>
      <w:suff w:val="nothing"/>
      <w:lvlText w:val="（%1）"/>
      <w:lvlJc w:val="left"/>
      <w:pPr>
        <w:ind w:left="0" w:firstLine="420"/>
      </w:pPr>
      <w:rPr>
        <w:rFonts w:hint="eastAsia"/>
      </w:rPr>
    </w:lvl>
  </w:abstractNum>
  <w:abstractNum w:abstractNumId="7">
    <w:nsid w:val="54918741"/>
    <w:multiLevelType w:val="singleLevel"/>
    <w:tmpl w:val="54918741"/>
    <w:lvl w:ilvl="0" w:tentative="0">
      <w:start w:val="1"/>
      <w:numFmt w:val="chineseCounting"/>
      <w:suff w:val="nothing"/>
      <w:lvlText w:val="（%1）"/>
      <w:lvlJc w:val="left"/>
      <w:pPr>
        <w:ind w:left="0" w:firstLine="420"/>
      </w:pPr>
      <w:rPr>
        <w:rFonts w:hint="eastAsia"/>
      </w:rPr>
    </w:lvl>
  </w:abstractNum>
  <w:abstractNum w:abstractNumId="8">
    <w:nsid w:val="76FEAF6B"/>
    <w:multiLevelType w:val="singleLevel"/>
    <w:tmpl w:val="76FEAF6B"/>
    <w:lvl w:ilvl="0" w:tentative="0">
      <w:start w:val="1"/>
      <w:numFmt w:val="decimal"/>
      <w:lvlText w:val="%1."/>
      <w:lvlJc w:val="left"/>
      <w:pPr>
        <w:ind w:left="386" w:firstLine="454"/>
      </w:pPr>
      <w:rPr>
        <w:rFont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63253"/>
    <w:rsid w:val="10D63253"/>
    <w:rsid w:val="508F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3">
    <w:name w:val="heading 2"/>
    <w:next w:val="1"/>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toc 6"/>
    <w:basedOn w:val="1"/>
    <w:next w:val="1"/>
    <w:semiHidden/>
    <w:qFormat/>
    <w:uiPriority w:val="0"/>
    <w:pPr>
      <w:ind w:left="1050"/>
      <w:jc w:val="left"/>
    </w:pPr>
    <w:rPr>
      <w:sz w:val="18"/>
      <w:szCs w:val="18"/>
    </w:rPr>
  </w:style>
  <w:style w:type="paragraph" w:styleId="7">
    <w:name w:val="Body Text First Indent"/>
    <w:basedOn w:val="4"/>
    <w:next w:val="6"/>
    <w:qFormat/>
    <w:uiPriority w:val="0"/>
    <w:pPr>
      <w:ind w:firstLine="420" w:firstLineChars="100"/>
    </w:pPr>
  </w:style>
  <w:style w:type="paragraph" w:customStyle="1" w:styleId="10">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paragraph" w:customStyle="1" w:styleId="11">
    <w:name w:val="章节标题"/>
    <w:next w:val="1"/>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paragraph" w:customStyle="1" w:styleId="12">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2025-01-06T06:49:00Z</dcterms:created>
  <dc:creator>略略略略</dc:creator>
  <cp:lastModifiedBy>略略略略</cp:lastModifiedBy>
  <dcterms:modified xsi:type="dcterms:W3CDTF">2025-01-06T07:00:53Z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6C6C7B4FE5984E4C9323AA5A2515A432_13</vt:lpwstr>
  </property>
  <property fmtid="{D5CDD505-2E9C-101B-9397-08002B2CF9AE}" pid="4" name="KSOTemplateDocerSaveRecord">
    <vt:lpwstr>eyJoZGlkIjoiZjgxYzE5NzRlZDBmYzIwMjJlMWUxZDRkZTE5NTU5ZWYiLCJ1c2VySWQiOiI1MjAxNDY5NTQifQ==</vt:lpwstr>
  </property>
</Properties>
</file>