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41B03">
      <w:pPr>
        <w:spacing w:before="156" w:beforeLines="50" w:line="312" w:lineRule="auto"/>
        <w:jc w:val="center"/>
        <w:rPr>
          <w:rFonts w:hint="eastAsia" w:ascii="宋体" w:hAnsi="宋体" w:cs="宋体"/>
          <w:b/>
          <w:bCs/>
          <w:color w:val="000000"/>
          <w:sz w:val="44"/>
          <w:szCs w:val="44"/>
          <w:highlight w:val="none"/>
          <w:lang w:eastAsia="zh-CN"/>
        </w:rPr>
      </w:pPr>
      <w:r>
        <w:rPr>
          <w:rFonts w:hint="eastAsia" w:ascii="宋体" w:hAnsi="宋体" w:cs="宋体"/>
          <w:b/>
          <w:bCs/>
          <w:color w:val="000000"/>
          <w:sz w:val="48"/>
          <w:szCs w:val="48"/>
          <w:highlight w:val="none"/>
          <w:lang w:eastAsia="zh-CN"/>
        </w:rPr>
        <w:t>新昌县智慧城市建设有限公司招标代理单位入围采购项目</w:t>
      </w:r>
    </w:p>
    <w:p w14:paraId="794F28F5">
      <w:pPr>
        <w:spacing w:before="156" w:beforeLines="50" w:line="312" w:lineRule="auto"/>
        <w:jc w:val="center"/>
        <w:rPr>
          <w:rFonts w:hint="eastAsia" w:ascii="宋体" w:hAnsi="宋体" w:cs="宋体"/>
          <w:b/>
          <w:bCs/>
          <w:color w:val="000000"/>
          <w:sz w:val="36"/>
          <w:szCs w:val="36"/>
          <w:highlight w:val="none"/>
        </w:rPr>
      </w:pPr>
    </w:p>
    <w:p w14:paraId="225F2BD4">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3FF6D7D0">
      <w:pPr>
        <w:spacing w:before="156" w:beforeLines="50" w:line="312" w:lineRule="auto"/>
        <w:jc w:val="center"/>
        <w:rPr>
          <w:rFonts w:ascii="宋体" w:hAnsi="宋体" w:cs="宋体"/>
          <w:color w:val="000000"/>
          <w:sz w:val="32"/>
          <w:szCs w:val="32"/>
          <w:highlight w:val="none"/>
        </w:rPr>
      </w:pPr>
    </w:p>
    <w:p w14:paraId="25FDB433">
      <w:pPr>
        <w:spacing w:before="156" w:beforeLines="50" w:line="312"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2025001-XC</w:t>
      </w:r>
    </w:p>
    <w:p w14:paraId="3FE3F3CF">
      <w:pPr>
        <w:spacing w:before="156" w:beforeLines="50" w:line="312" w:lineRule="auto"/>
        <w:jc w:val="center"/>
        <w:rPr>
          <w:rFonts w:ascii="宋体" w:hAnsi="宋体" w:cs="宋体"/>
          <w:b/>
          <w:bCs/>
          <w:color w:val="auto"/>
          <w:sz w:val="44"/>
          <w:szCs w:val="20"/>
          <w:highlight w:val="none"/>
        </w:rPr>
      </w:pPr>
    </w:p>
    <w:p w14:paraId="2980F2DC">
      <w:pPr>
        <w:pStyle w:val="2"/>
        <w:rPr>
          <w:color w:val="auto"/>
          <w:highlight w:val="none"/>
        </w:rPr>
      </w:pPr>
    </w:p>
    <w:p w14:paraId="49575B3D">
      <w:pPr>
        <w:spacing w:before="156" w:beforeLines="50" w:line="312" w:lineRule="auto"/>
        <w:ind w:left="2702" w:leftChars="534" w:hanging="1581" w:hangingChars="492"/>
        <w:rPr>
          <w:rFonts w:ascii="宋体" w:hAnsi="宋体" w:cs="宋体"/>
          <w:b/>
          <w:bCs/>
          <w:color w:val="auto"/>
          <w:sz w:val="32"/>
          <w:szCs w:val="32"/>
          <w:highlight w:val="none"/>
        </w:rPr>
      </w:pPr>
    </w:p>
    <w:p w14:paraId="027BD604">
      <w:pPr>
        <w:spacing w:before="156" w:beforeLines="50" w:line="312" w:lineRule="auto"/>
        <w:ind w:left="2702" w:leftChars="534" w:hanging="1581" w:hangingChars="492"/>
        <w:rPr>
          <w:rFonts w:ascii="宋体" w:hAnsi="宋体" w:cs="宋体"/>
          <w:b/>
          <w:bCs/>
          <w:color w:val="auto"/>
          <w:sz w:val="32"/>
          <w:szCs w:val="32"/>
          <w:highlight w:val="none"/>
        </w:rPr>
      </w:pPr>
    </w:p>
    <w:p w14:paraId="05804877">
      <w:pPr>
        <w:spacing w:before="156" w:beforeLines="50" w:line="312" w:lineRule="auto"/>
        <w:ind w:left="2702" w:leftChars="534" w:hanging="1581" w:hangingChars="492"/>
        <w:rPr>
          <w:rFonts w:ascii="宋体" w:hAnsi="宋体" w:cs="宋体"/>
          <w:b/>
          <w:bCs/>
          <w:color w:val="auto"/>
          <w:sz w:val="32"/>
          <w:szCs w:val="32"/>
          <w:highlight w:val="none"/>
        </w:rPr>
      </w:pPr>
    </w:p>
    <w:p w14:paraId="71B94C7D">
      <w:pPr>
        <w:pStyle w:val="2"/>
        <w:rPr>
          <w:color w:val="auto"/>
          <w:highlight w:val="none"/>
        </w:rPr>
      </w:pPr>
    </w:p>
    <w:p w14:paraId="509727AA">
      <w:pPr>
        <w:spacing w:before="156" w:beforeLines="50" w:line="312" w:lineRule="auto"/>
        <w:ind w:left="2702" w:leftChars="534" w:hanging="1581" w:hangingChars="492"/>
        <w:rPr>
          <w:rFonts w:ascii="宋体" w:hAnsi="宋体" w:cs="宋体"/>
          <w:b/>
          <w:bCs/>
          <w:color w:val="auto"/>
          <w:sz w:val="32"/>
          <w:szCs w:val="32"/>
          <w:highlight w:val="none"/>
        </w:rPr>
      </w:pPr>
    </w:p>
    <w:p w14:paraId="46943F69">
      <w:pPr>
        <w:pStyle w:val="10"/>
        <w:snapToGrid w:val="0"/>
        <w:spacing w:line="600" w:lineRule="exact"/>
        <w:ind w:firstLine="1120" w:firstLineChars="400"/>
        <w:rPr>
          <w:rFonts w:hAnsi="宋体" w:cs="宋体"/>
          <w:b w:val="0"/>
          <w:bCs/>
          <w:sz w:val="28"/>
          <w:szCs w:val="28"/>
          <w:highlight w:val="none"/>
          <w:u w:val="single"/>
        </w:rPr>
      </w:pPr>
      <w:r>
        <w:rPr>
          <w:rFonts w:hint="eastAsia" w:hAnsi="宋体" w:cs="宋体"/>
          <w:b w:val="0"/>
          <w:bCs/>
          <w:sz w:val="28"/>
          <w:szCs w:val="28"/>
          <w:highlight w:val="none"/>
        </w:rPr>
        <w:t>采购单位：</w:t>
      </w:r>
      <w:r>
        <w:rPr>
          <w:rFonts w:hint="eastAsia" w:hAnsi="宋体" w:cs="宋体"/>
          <w:b w:val="0"/>
          <w:bCs/>
          <w:spacing w:val="28"/>
          <w:sz w:val="28"/>
          <w:szCs w:val="28"/>
          <w:highlight w:val="none"/>
          <w:u w:val="single"/>
          <w:lang w:eastAsia="zh-CN"/>
        </w:rPr>
        <w:t>新昌县智慧城市建设有限公司</w:t>
      </w:r>
      <w:r>
        <w:rPr>
          <w:rFonts w:hint="eastAsia" w:hAnsi="宋体" w:cs="宋体"/>
          <w:b w:val="0"/>
          <w:bCs/>
          <w:sz w:val="28"/>
          <w:szCs w:val="28"/>
          <w:highlight w:val="none"/>
          <w:u w:val="single"/>
        </w:rPr>
        <w:t>(盖章)</w:t>
      </w:r>
    </w:p>
    <w:p w14:paraId="19715067">
      <w:pPr>
        <w:pStyle w:val="10"/>
        <w:snapToGrid w:val="0"/>
        <w:spacing w:line="600" w:lineRule="exact"/>
        <w:ind w:firstLine="1120" w:firstLineChars="400"/>
        <w:rPr>
          <w:rFonts w:hAnsi="宋体" w:cs="宋体"/>
          <w:b w:val="0"/>
          <w:bCs/>
          <w:sz w:val="28"/>
          <w:szCs w:val="28"/>
        </w:rPr>
      </w:pPr>
      <w:r>
        <w:rPr>
          <w:rFonts w:hint="eastAsia" w:hAnsi="宋体" w:cs="宋体"/>
          <w:b w:val="0"/>
          <w:bCs/>
          <w:sz w:val="28"/>
          <w:szCs w:val="28"/>
        </w:rPr>
        <w:t>代理机构：</w:t>
      </w:r>
      <w:r>
        <w:rPr>
          <w:rFonts w:hint="eastAsia" w:hAnsi="宋体" w:cs="宋体"/>
          <w:b w:val="0"/>
          <w:bCs/>
          <w:spacing w:val="40"/>
          <w:sz w:val="28"/>
          <w:szCs w:val="28"/>
          <w:u w:val="single"/>
          <w:lang w:eastAsia="zh-CN"/>
        </w:rPr>
        <w:t>欧邦工程管理集团有限公司</w:t>
      </w:r>
      <w:r>
        <w:rPr>
          <w:rFonts w:hint="eastAsia" w:hAnsi="宋体" w:cs="宋体"/>
          <w:b w:val="0"/>
          <w:bCs/>
          <w:sz w:val="28"/>
          <w:szCs w:val="28"/>
          <w:u w:val="single"/>
        </w:rPr>
        <w:t>（盖章）</w:t>
      </w:r>
    </w:p>
    <w:p w14:paraId="02A7FA69">
      <w:pPr>
        <w:pStyle w:val="10"/>
        <w:spacing w:line="600" w:lineRule="exact"/>
        <w:ind w:firstLine="1120" w:firstLineChars="400"/>
        <w:rPr>
          <w:rFonts w:hAnsi="宋体" w:cs="宋体"/>
          <w:b w:val="0"/>
          <w:bCs/>
          <w:sz w:val="44"/>
          <w:szCs w:val="44"/>
        </w:rPr>
      </w:pPr>
      <w:r>
        <w:rPr>
          <w:rFonts w:hint="eastAsia" w:hAnsi="宋体" w:cs="宋体"/>
          <w:b w:val="0"/>
          <w:bCs/>
          <w:sz w:val="28"/>
          <w:szCs w:val="28"/>
        </w:rPr>
        <w:t>日    期：</w:t>
      </w:r>
      <w:r>
        <w:rPr>
          <w:rFonts w:hint="eastAsia" w:hAnsi="宋体" w:cs="宋体"/>
          <w:b w:val="0"/>
          <w:bCs/>
          <w:sz w:val="28"/>
          <w:szCs w:val="28"/>
          <w:u w:val="single"/>
          <w:lang w:val="en-US" w:eastAsia="zh-CN"/>
        </w:rPr>
        <w:t xml:space="preserve">  </w:t>
      </w:r>
      <w:r>
        <w:rPr>
          <w:rFonts w:hint="eastAsia" w:hAnsi="宋体" w:cs="宋体"/>
          <w:b w:val="0"/>
          <w:bCs/>
          <w:sz w:val="28"/>
          <w:szCs w:val="28"/>
          <w:u w:val="single"/>
        </w:rPr>
        <w:t>2025</w:t>
      </w:r>
      <w:r>
        <w:rPr>
          <w:rFonts w:hint="eastAsia" w:hAnsi="宋体" w:cs="宋体"/>
          <w:b w:val="0"/>
          <w:bCs/>
          <w:sz w:val="28"/>
          <w:szCs w:val="28"/>
          <w:u w:val="single"/>
          <w:lang w:val="en-US" w:eastAsia="zh-CN"/>
        </w:rPr>
        <w:t xml:space="preserve">  </w:t>
      </w:r>
      <w:r>
        <w:rPr>
          <w:rFonts w:hint="eastAsia" w:hAnsi="宋体" w:cs="宋体"/>
          <w:b w:val="0"/>
          <w:bCs/>
          <w:sz w:val="28"/>
          <w:szCs w:val="28"/>
          <w:u w:val="single"/>
        </w:rPr>
        <w:t>年</w:t>
      </w:r>
      <w:r>
        <w:rPr>
          <w:rFonts w:hint="eastAsia" w:hAnsi="宋体" w:cs="宋体"/>
          <w:b w:val="0"/>
          <w:bCs/>
          <w:sz w:val="28"/>
          <w:szCs w:val="28"/>
          <w:u w:val="single"/>
          <w:lang w:val="en-US" w:eastAsia="zh-CN"/>
        </w:rPr>
        <w:t xml:space="preserve">  6  </w:t>
      </w:r>
      <w:r>
        <w:rPr>
          <w:rFonts w:hint="eastAsia" w:hAnsi="宋体" w:cs="宋体"/>
          <w:b w:val="0"/>
          <w:bCs/>
          <w:sz w:val="28"/>
          <w:szCs w:val="28"/>
          <w:u w:val="single"/>
        </w:rPr>
        <w:t>月</w:t>
      </w:r>
    </w:p>
    <w:p w14:paraId="47982B81">
      <w:pPr>
        <w:pStyle w:val="8"/>
        <w:rPr>
          <w:rFonts w:ascii="宋体" w:hAnsi="宋体" w:cs="宋体"/>
          <w:color w:val="0000FF"/>
          <w:highlight w:val="none"/>
        </w:rPr>
        <w:sectPr>
          <w:footerReference r:id="rId5" w:type="first"/>
          <w:headerReference r:id="rId3" w:type="default"/>
          <w:footerReference r:id="rId4" w:type="default"/>
          <w:pgSz w:w="11906" w:h="16838"/>
          <w:pgMar w:top="1440" w:right="1440" w:bottom="1440" w:left="1440" w:header="851" w:footer="992" w:gutter="0"/>
          <w:pgNumType w:fmt="decimal" w:start="1"/>
          <w:cols w:space="425" w:num="1"/>
          <w:titlePg/>
          <w:docGrid w:type="lines" w:linePitch="312" w:charSpace="0"/>
        </w:sectPr>
      </w:pPr>
    </w:p>
    <w:p w14:paraId="335529B0">
      <w:pPr>
        <w:pStyle w:val="12"/>
        <w:rPr>
          <w:rFonts w:ascii="宋体" w:hAnsi="宋体" w:eastAsia="宋体" w:cs="宋体"/>
          <w:highlight w:val="none"/>
        </w:rPr>
      </w:pPr>
    </w:p>
    <w:p w14:paraId="713D2C92">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779B3D93">
      <w:pPr>
        <w:pStyle w:val="6"/>
        <w:rPr>
          <w:rFonts w:ascii="宋体" w:hAnsi="宋体" w:eastAsia="宋体" w:cs="宋体"/>
          <w:b/>
          <w:bCs/>
          <w:sz w:val="44"/>
          <w:szCs w:val="44"/>
          <w:highlight w:val="none"/>
        </w:rPr>
      </w:pPr>
    </w:p>
    <w:p w14:paraId="681D7471">
      <w:pPr>
        <w:pStyle w:val="7"/>
        <w:rPr>
          <w:rFonts w:ascii="宋体" w:hAnsi="宋体" w:eastAsia="宋体" w:cs="宋体"/>
          <w:highlight w:val="none"/>
        </w:rPr>
      </w:pPr>
    </w:p>
    <w:p w14:paraId="437B5E04">
      <w:pPr>
        <w:snapToGrid w:val="0"/>
        <w:spacing w:line="480" w:lineRule="auto"/>
        <w:ind w:firstLine="1890" w:firstLineChars="900"/>
        <w:jc w:val="left"/>
        <w:rPr>
          <w:rFonts w:hint="eastAsia" w:ascii="宋体" w:hAnsi="宋体" w:eastAsia="宋体" w:cs="宋体"/>
          <w:b/>
          <w:sz w:val="36"/>
          <w:szCs w:val="36"/>
        </w:rPr>
      </w:pPr>
      <w:r>
        <w:rPr>
          <w:rStyle w:val="17"/>
          <w:rFonts w:hint="eastAsia" w:eastAsia="宋体"/>
          <w:b w:val="0"/>
          <w:bCs w:val="0"/>
          <w:color w:val="auto"/>
          <w:sz w:val="21"/>
          <w:szCs w:val="21"/>
          <w:highlight w:val="none"/>
        </w:rPr>
        <w:fldChar w:fldCharType="begin"/>
      </w:r>
      <w:r>
        <w:rPr>
          <w:rStyle w:val="17"/>
          <w:rFonts w:hint="eastAsia" w:eastAsia="宋体"/>
          <w:b w:val="0"/>
          <w:bCs w:val="0"/>
          <w:color w:val="auto"/>
          <w:sz w:val="21"/>
          <w:szCs w:val="21"/>
          <w:highlight w:val="none"/>
        </w:rPr>
        <w:instrText xml:space="preserve"> TOC \o "1-3" \h \z </w:instrText>
      </w:r>
      <w:r>
        <w:rPr>
          <w:rStyle w:val="17"/>
          <w:rFonts w:hint="eastAsia" w:eastAsia="宋体"/>
          <w:b w:val="0"/>
          <w:bCs w:val="0"/>
          <w:color w:val="auto"/>
          <w:sz w:val="21"/>
          <w:szCs w:val="21"/>
          <w:highlight w:val="none"/>
        </w:rPr>
        <w:fldChar w:fldCharType="separate"/>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"_Toc43498217"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第一部分 招标公告</w:t>
      </w:r>
      <w:r>
        <w:rPr>
          <w:rFonts w:hint="eastAsia" w:ascii="宋体" w:hAnsi="宋体" w:eastAsia="宋体" w:cs="宋体"/>
          <w:b/>
          <w:sz w:val="36"/>
          <w:szCs w:val="36"/>
        </w:rPr>
        <w:fldChar w:fldCharType="end"/>
      </w:r>
    </w:p>
    <w:p w14:paraId="79389F9A">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"_Toc43498218"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第二部分 投标人须知</w:t>
      </w:r>
      <w:r>
        <w:rPr>
          <w:rFonts w:hint="eastAsia" w:ascii="宋体" w:hAnsi="宋体" w:eastAsia="宋体" w:cs="宋体"/>
          <w:b/>
          <w:sz w:val="36"/>
          <w:szCs w:val="36"/>
        </w:rPr>
        <w:fldChar w:fldCharType="end"/>
      </w:r>
    </w:p>
    <w:p w14:paraId="156A88ED">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"_Toc43498234"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第三部分 采购需求</w:t>
      </w:r>
      <w:r>
        <w:rPr>
          <w:rFonts w:hint="eastAsia" w:ascii="宋体" w:hAnsi="宋体" w:eastAsia="宋体" w:cs="宋体"/>
          <w:b/>
          <w:sz w:val="36"/>
          <w:szCs w:val="36"/>
        </w:rPr>
        <w:fldChar w:fldCharType="end"/>
      </w:r>
    </w:p>
    <w:p w14:paraId="788C78EF">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"_Toc43498235"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第四部分 评标办法和细则</w:t>
      </w:r>
      <w:r>
        <w:rPr>
          <w:rFonts w:hint="eastAsia" w:ascii="宋体" w:hAnsi="宋体" w:eastAsia="宋体" w:cs="宋体"/>
          <w:b/>
          <w:sz w:val="36"/>
          <w:szCs w:val="36"/>
        </w:rPr>
        <w:fldChar w:fldCharType="end"/>
      </w:r>
    </w:p>
    <w:p w14:paraId="5F63C199">
      <w:pPr>
        <w:snapToGrid w:val="0"/>
        <w:spacing w:line="480" w:lineRule="auto"/>
        <w:ind w:firstLine="1807" w:firstLineChars="500"/>
        <w:jc w:val="left"/>
        <w:rPr>
          <w:rFonts w:hint="eastAsia" w:ascii="宋体" w:hAnsi="宋体" w:eastAsia="宋体" w:cs="宋体"/>
          <w:b/>
          <w:sz w:val="36"/>
          <w:szCs w:val="36"/>
          <w:lang w:val="en-US"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"_Toc43498236"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第五部分 合同格式</w:t>
      </w:r>
      <w:r>
        <w:rPr>
          <w:rFonts w:hint="eastAsia" w:ascii="宋体" w:hAnsi="宋体" w:eastAsia="宋体" w:cs="宋体"/>
          <w:b/>
          <w:sz w:val="36"/>
          <w:szCs w:val="36"/>
        </w:rPr>
        <w:fldChar w:fldCharType="end"/>
      </w:r>
    </w:p>
    <w:p w14:paraId="52BDC54C">
      <w:pPr>
        <w:snapToGrid w:val="0"/>
        <w:spacing w:line="480" w:lineRule="auto"/>
        <w:ind w:firstLine="1807" w:firstLineChars="500"/>
        <w:jc w:val="left"/>
        <w:rPr>
          <w:rFonts w:hint="default" w:ascii="宋体" w:hAnsi="宋体" w:eastAsia="宋体" w:cs="宋体"/>
          <w:b/>
          <w:sz w:val="36"/>
          <w:szCs w:val="36"/>
          <w:lang w:val="en-US"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"_Toc43498241"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第六部分 投标相关文件格式</w:t>
      </w:r>
      <w:r>
        <w:rPr>
          <w:rFonts w:hint="eastAsia" w:ascii="宋体" w:hAnsi="宋体" w:eastAsia="宋体" w:cs="宋体"/>
          <w:b/>
          <w:sz w:val="36"/>
          <w:szCs w:val="36"/>
        </w:rPr>
        <w:fldChar w:fldCharType="end"/>
      </w:r>
    </w:p>
    <w:p w14:paraId="08F264FC">
      <w:pPr>
        <w:pStyle w:val="9"/>
        <w:spacing w:line="480" w:lineRule="auto"/>
        <w:ind w:left="105" w:leftChars="0" w:hanging="105"/>
        <w:rPr>
          <w:rFonts w:ascii="宋体" w:hAnsi="宋体" w:eastAsia="宋体" w:cs="宋体"/>
          <w:sz w:val="21"/>
          <w:szCs w:val="21"/>
          <w:highlight w:val="none"/>
        </w:rPr>
      </w:pPr>
    </w:p>
    <w:p w14:paraId="27BCF43E">
      <w:pPr>
        <w:pStyle w:val="9"/>
        <w:spacing w:line="480" w:lineRule="auto"/>
        <w:ind w:left="105" w:leftChars="0" w:hanging="105"/>
        <w:rPr>
          <w:rFonts w:ascii="宋体" w:hAnsi="宋体" w:eastAsia="宋体" w:cs="宋体"/>
          <w:sz w:val="28"/>
          <w:szCs w:val="28"/>
          <w:highlight w:val="none"/>
        </w:rPr>
      </w:pPr>
      <w:r>
        <w:rPr>
          <w:rStyle w:val="17"/>
          <w:rFonts w:hint="eastAsia" w:ascii="宋体" w:hAnsi="宋体" w:eastAsia="宋体" w:cs="宋体"/>
          <w:b/>
          <w:bCs/>
          <w:color w:val="auto"/>
          <w:sz w:val="21"/>
          <w:szCs w:val="21"/>
          <w:highlight w:val="none"/>
        </w:rPr>
        <w:fldChar w:fldCharType="end"/>
      </w:r>
    </w:p>
    <w:p w14:paraId="5EBB5083">
      <w:pPr>
        <w:pStyle w:val="3"/>
        <w:spacing w:line="560" w:lineRule="exact"/>
        <w:rPr>
          <w:rFonts w:ascii="宋体" w:hAnsi="宋体" w:eastAsia="宋体" w:cs="宋体"/>
          <w:sz w:val="21"/>
          <w:szCs w:val="21"/>
          <w:highlight w:val="none"/>
        </w:rPr>
        <w:sectPr>
          <w:footerReference r:id="rId7" w:type="first"/>
          <w:footerReference r:id="rId6" w:type="default"/>
          <w:pgSz w:w="11906" w:h="16838"/>
          <w:pgMar w:top="1361" w:right="1440" w:bottom="1361" w:left="1440" w:header="851" w:footer="992" w:gutter="0"/>
          <w:pgNumType w:fmt="decimal" w:start="2"/>
          <w:cols w:space="425" w:num="1"/>
          <w:titlePg/>
          <w:docGrid w:type="lines" w:linePitch="312" w:charSpace="0"/>
        </w:sectPr>
      </w:pPr>
      <w:bookmarkStart w:id="0" w:name="_Toc43498217"/>
    </w:p>
    <w:p w14:paraId="78280F61">
      <w:pPr>
        <w:pStyle w:val="3"/>
        <w:spacing w:line="560" w:lineRule="exact"/>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w:t>
      </w:r>
      <w:bookmarkEnd w:id="0"/>
      <w:r>
        <w:rPr>
          <w:rFonts w:hint="eastAsia" w:ascii="宋体" w:hAnsi="宋体" w:eastAsia="宋体" w:cs="宋体"/>
          <w:sz w:val="32"/>
          <w:szCs w:val="32"/>
          <w:highlight w:val="none"/>
        </w:rPr>
        <w:t>公告</w:t>
      </w:r>
    </w:p>
    <w:p w14:paraId="32151730">
      <w:pPr>
        <w:pBdr>
          <w:top w:val="single" w:color="auto" w:sz="4" w:space="1"/>
          <w:left w:val="single" w:color="auto" w:sz="4" w:space="4"/>
          <w:bottom w:val="single" w:color="auto" w:sz="4" w:space="1"/>
          <w:right w:val="single" w:color="auto" w:sz="4" w:space="2"/>
        </w:pBdr>
        <w:spacing w:line="420" w:lineRule="exact"/>
        <w:rPr>
          <w:rFonts w:hint="eastAsia" w:ascii="宋体" w:hAnsi="宋体" w:eastAsia="宋体" w:cs="宋体"/>
          <w:sz w:val="24"/>
          <w:szCs w:val="24"/>
          <w:highlight w:val="none"/>
        </w:rPr>
      </w:pPr>
      <w:bookmarkStart w:id="1" w:name="_Toc35393621"/>
      <w:bookmarkStart w:id="2" w:name="_Toc28359079"/>
      <w:bookmarkStart w:id="3" w:name="_Toc35393790"/>
      <w:bookmarkStart w:id="4" w:name="_Toc28359002"/>
      <w:bookmarkStart w:id="5" w:name="_Hlk24379207"/>
      <w:bookmarkStart w:id="6" w:name="EBf1e27c6183244f4a8f3fc355defd653e"/>
      <w:r>
        <w:rPr>
          <w:rFonts w:hint="eastAsia" w:ascii="宋体" w:hAnsi="宋体" w:eastAsia="宋体" w:cs="宋体"/>
          <w:sz w:val="24"/>
          <w:szCs w:val="24"/>
          <w:highlight w:val="none"/>
        </w:rPr>
        <w:t>项目概况：</w:t>
      </w:r>
    </w:p>
    <w:p w14:paraId="1EE5A20A">
      <w:pPr>
        <w:pBdr>
          <w:top w:val="single" w:color="auto" w:sz="4" w:space="1"/>
          <w:left w:val="single" w:color="auto" w:sz="4" w:space="4"/>
          <w:bottom w:val="single" w:color="auto" w:sz="4" w:space="1"/>
          <w:right w:val="single" w:color="auto" w:sz="4" w:space="2"/>
        </w:pBdr>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sz w:val="24"/>
          <w:szCs w:val="24"/>
          <w:highlight w:val="none"/>
          <w:u w:val="single"/>
          <w:lang w:eastAsia="zh-CN"/>
        </w:rPr>
        <w:t>新昌县智慧城市建设有限公司招标代理单位入围采购项目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lang w:eastAsia="zh-CN"/>
        </w:rPr>
        <w:t>乐采云平台(www.lecaiyun.com)</w:t>
      </w:r>
      <w:r>
        <w:rPr>
          <w:rFonts w:hint="eastAsia" w:ascii="宋体" w:hAnsi="宋体" w:eastAsia="宋体" w:cs="宋体"/>
          <w:sz w:val="24"/>
          <w:szCs w:val="24"/>
          <w:highlight w:val="none"/>
        </w:rPr>
        <w:t>获取（下载）招标文件，</w:t>
      </w:r>
      <w:r>
        <w:rPr>
          <w:rFonts w:hint="eastAsia" w:ascii="宋体" w:hAnsi="宋体" w:eastAsia="宋体" w:cs="宋体"/>
          <w:color w:val="auto"/>
          <w:sz w:val="24"/>
          <w:szCs w:val="24"/>
          <w:highlight w:val="none"/>
        </w:rPr>
        <w:t>并于</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u w:val="single"/>
          <w:lang w:val="en-US" w:eastAsia="zh-CN"/>
        </w:rPr>
        <w:t xml:space="preserve">  14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bCs/>
          <w:color w:val="auto"/>
          <w:sz w:val="24"/>
          <w:szCs w:val="24"/>
          <w:highlight w:val="none"/>
        </w:rPr>
        <w:t>（北京时间）前提交（上传）响应文件。</w:t>
      </w:r>
    </w:p>
    <w:p w14:paraId="085EFB62">
      <w:pPr>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bookmarkEnd w:id="1"/>
      <w:bookmarkEnd w:id="2"/>
      <w:bookmarkEnd w:id="3"/>
      <w:bookmarkEnd w:id="4"/>
    </w:p>
    <w:bookmarkEnd w:id="5"/>
    <w:p w14:paraId="58E49F11">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cs="宋体"/>
          <w:sz w:val="24"/>
          <w:szCs w:val="24"/>
          <w:highlight w:val="none"/>
          <w:lang w:val="en-US" w:eastAsia="zh-CN"/>
        </w:rPr>
        <w:t>2025001-XC</w:t>
      </w:r>
    </w:p>
    <w:p w14:paraId="3D79A882">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新昌县智慧城市建设有限公司招标代理单位入围采购项目</w:t>
      </w:r>
    </w:p>
    <w:p w14:paraId="7E7E8E4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采购方式：公开招标</w:t>
      </w:r>
    </w:p>
    <w:p w14:paraId="1213A493">
      <w:pPr>
        <w:spacing w:line="40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w:t>
      </w:r>
    </w:p>
    <w:p w14:paraId="6327EDC5">
      <w:pPr>
        <w:spacing w:line="400" w:lineRule="exact"/>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最高限价：</w:t>
      </w:r>
      <w:r>
        <w:rPr>
          <w:rFonts w:hint="eastAsia" w:ascii="宋体" w:hAnsi="宋体" w:cs="宋体"/>
          <w:sz w:val="24"/>
          <w:szCs w:val="24"/>
          <w:highlight w:val="none"/>
          <w:lang w:val="en-US" w:eastAsia="zh-CN"/>
        </w:rPr>
        <w:t>招标文件</w:t>
      </w:r>
      <w:r>
        <w:rPr>
          <w:rFonts w:hint="default" w:ascii="宋体" w:hAnsi="宋体" w:cs="宋体"/>
          <w:sz w:val="24"/>
          <w:szCs w:val="24"/>
          <w:highlight w:val="none"/>
          <w:lang w:val="en-US" w:eastAsia="zh-CN"/>
        </w:rPr>
        <w:t>采购需求中所列收费标准的70%</w:t>
      </w:r>
    </w:p>
    <w:p w14:paraId="12E0C813">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详见招标文件</w:t>
      </w:r>
    </w:p>
    <w:p w14:paraId="702BEB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项目服务期：入围公告发布起1年</w:t>
      </w:r>
      <w:r>
        <w:rPr>
          <w:rFonts w:hint="eastAsia" w:ascii="宋体" w:hAnsi="宋体" w:eastAsia="宋体" w:cs="宋体"/>
          <w:sz w:val="24"/>
          <w:szCs w:val="24"/>
          <w:highlight w:val="none"/>
          <w:lang w:eastAsia="zh-CN"/>
        </w:rPr>
        <w:t>。</w:t>
      </w:r>
    </w:p>
    <w:p w14:paraId="74A7AEE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w:t>
      </w:r>
      <w:r>
        <w:rPr>
          <w:rFonts w:hint="eastAsia" w:ascii="宋体" w:hAnsi="宋体" w:eastAsia="宋体" w:cs="宋体"/>
          <w:sz w:val="24"/>
          <w:szCs w:val="24"/>
          <w:highlight w:val="none"/>
          <w:lang w:val="en-US" w:eastAsia="zh-CN"/>
        </w:rPr>
        <w:t>目</w:t>
      </w:r>
      <w:r>
        <w:rPr>
          <w:rFonts w:hint="eastAsia" w:ascii="宋体" w:hAnsi="宋体" w:eastAsia="宋体" w:cs="宋体"/>
          <w:sz w:val="24"/>
          <w:szCs w:val="24"/>
          <w:highlight w:val="none"/>
        </w:rPr>
        <w:t>不接受联合体投标。</w:t>
      </w:r>
    </w:p>
    <w:p w14:paraId="536408AB">
      <w:pPr>
        <w:spacing w:line="400" w:lineRule="exact"/>
        <w:jc w:val="left"/>
        <w:rPr>
          <w:rFonts w:hint="eastAsia" w:ascii="宋体" w:hAnsi="宋体" w:eastAsia="宋体" w:cs="宋体"/>
          <w:b/>
          <w:sz w:val="24"/>
          <w:szCs w:val="24"/>
          <w:highlight w:val="none"/>
        </w:rPr>
      </w:pPr>
      <w:bookmarkStart w:id="7" w:name="_Toc35393791"/>
      <w:bookmarkStart w:id="8" w:name="_Toc28359003"/>
      <w:bookmarkStart w:id="9" w:name="_Toc35393622"/>
      <w:bookmarkStart w:id="10" w:name="_Toc28359080"/>
      <w:r>
        <w:rPr>
          <w:rFonts w:hint="eastAsia" w:ascii="宋体" w:hAnsi="宋体" w:eastAsia="宋体" w:cs="宋体"/>
          <w:b/>
          <w:sz w:val="24"/>
          <w:szCs w:val="24"/>
          <w:highlight w:val="none"/>
        </w:rPr>
        <w:t>二、申请人的资格要求</w:t>
      </w:r>
      <w:bookmarkEnd w:id="7"/>
      <w:bookmarkEnd w:id="8"/>
      <w:bookmarkEnd w:id="9"/>
      <w:bookmarkEnd w:id="10"/>
    </w:p>
    <w:p w14:paraId="706CFEC8">
      <w:pPr>
        <w:spacing w:line="400" w:lineRule="exact"/>
        <w:ind w:firstLine="480" w:firstLineChars="200"/>
        <w:rPr>
          <w:rFonts w:hint="eastAsia" w:ascii="宋体" w:hAnsi="宋体" w:eastAsia="宋体" w:cs="宋体"/>
          <w:sz w:val="24"/>
          <w:szCs w:val="24"/>
          <w:highlight w:val="none"/>
          <w:lang w:eastAsia="zh-CN"/>
        </w:rPr>
      </w:pPr>
      <w:bookmarkStart w:id="11" w:name="_Toc28359004"/>
      <w:bookmarkStart w:id="12" w:name="_Toc35393792"/>
      <w:bookmarkStart w:id="13" w:name="_Toc35393623"/>
      <w:bookmarkStart w:id="14" w:name="_Toc28359081"/>
      <w:r>
        <w:rPr>
          <w:rFonts w:hint="eastAsia" w:ascii="宋体" w:hAnsi="宋体" w:eastAsia="宋体" w:cs="宋体"/>
          <w:sz w:val="24"/>
          <w:szCs w:val="24"/>
          <w:highlight w:val="none"/>
        </w:rPr>
        <w:t>1.满足《中华人民共和国政府采购法》第二十二条规定</w:t>
      </w:r>
      <w:r>
        <w:rPr>
          <w:rFonts w:hint="eastAsia" w:ascii="宋体" w:hAnsi="宋体" w:cs="宋体"/>
          <w:sz w:val="24"/>
          <w:szCs w:val="24"/>
          <w:highlight w:val="none"/>
          <w:lang w:eastAsia="zh-CN"/>
        </w:rPr>
        <w:t>；</w:t>
      </w:r>
    </w:p>
    <w:p w14:paraId="056F5A17">
      <w:pPr>
        <w:spacing w:line="400" w:lineRule="exact"/>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未被“信用中国”网站（</w:t>
      </w:r>
      <w:r>
        <w:rPr>
          <w:rFonts w:hint="eastAsia" w:ascii="宋体" w:hAnsi="宋体" w:eastAsia="宋体" w:cs="宋体"/>
          <w:sz w:val="24"/>
          <w:szCs w:val="24"/>
          <w:highlight w:val="none"/>
          <w:u w:val="single"/>
        </w:rPr>
        <w:t>www.creditchina.gov.cn</w:t>
      </w:r>
      <w:r>
        <w:rPr>
          <w:rFonts w:hint="eastAsia" w:ascii="宋体" w:hAnsi="宋体" w:eastAsia="宋体" w:cs="宋体"/>
          <w:sz w:val="24"/>
          <w:szCs w:val="24"/>
          <w:highlight w:val="none"/>
        </w:rPr>
        <w:t>）、中国政府采购网（</w:t>
      </w:r>
      <w:r>
        <w:rPr>
          <w:rFonts w:hint="eastAsia" w:ascii="宋体" w:hAnsi="宋体" w:eastAsia="宋体" w:cs="宋体"/>
          <w:sz w:val="24"/>
          <w:szCs w:val="24"/>
          <w:highlight w:val="none"/>
          <w:u w:val="single"/>
        </w:rPr>
        <w:t>www.ccgp.gov.cn</w:t>
      </w:r>
      <w:r>
        <w:rPr>
          <w:rFonts w:hint="eastAsia" w:ascii="宋体" w:hAnsi="宋体" w:eastAsia="宋体" w:cs="宋体"/>
          <w:sz w:val="24"/>
          <w:szCs w:val="24"/>
          <w:highlight w:val="none"/>
        </w:rPr>
        <w:t>）列入失信被执行人、重大税收违法当事人名单、政府采购严重违法失信行为记录名单</w:t>
      </w:r>
      <w:r>
        <w:rPr>
          <w:rFonts w:hint="eastAsia" w:ascii="宋体" w:hAnsi="宋体" w:cs="宋体"/>
          <w:sz w:val="24"/>
          <w:szCs w:val="24"/>
          <w:highlight w:val="none"/>
          <w:lang w:eastAsia="zh-CN"/>
        </w:rPr>
        <w:t>；</w:t>
      </w:r>
    </w:p>
    <w:p w14:paraId="5FA0C37C">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与招标人存在利害关系可能影响招标公正性的单位，不得参加本项目投标。单位负责人为同一人或者存在控股、管理关系的不同单位，不得同时参加本招标项目投标。</w:t>
      </w:r>
    </w:p>
    <w:bookmarkEnd w:id="11"/>
    <w:bookmarkEnd w:id="12"/>
    <w:bookmarkEnd w:id="13"/>
    <w:bookmarkEnd w:id="14"/>
    <w:p w14:paraId="544DC4E2">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p>
    <w:p w14:paraId="21E565E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时间：发布公告之日至</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14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18D908F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地点：乐采云平台(www.lecaiyun.com)线上</w:t>
      </w:r>
    </w:p>
    <w:p w14:paraId="05F20EC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方式：供应商登录乐采云平台(www.lecaiyun.com)在线申请获取采购文件（进入“项目采购”应用，在获取采购文件菜单中选择项目，申请获取采购文件）</w:t>
      </w:r>
    </w:p>
    <w:p w14:paraId="7189FDA9">
      <w:pPr>
        <w:spacing w:line="400" w:lineRule="exact"/>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4. 售价：</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元</w:t>
      </w:r>
      <w:bookmarkStart w:id="15" w:name="_Toc35393794"/>
      <w:bookmarkStart w:id="16" w:name="_Toc35393625"/>
      <w:bookmarkStart w:id="17" w:name="_Toc28359007"/>
      <w:bookmarkStart w:id="18" w:name="_Toc28359084"/>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售后恕不退还。</w:t>
      </w:r>
    </w:p>
    <w:p w14:paraId="495EBBF5">
      <w:pPr>
        <w:spacing w:line="40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5.报名时所需上传资料：营业执照、法定代表人身份证明书、法定代表人授权委托书（如委托），报名及获取文件登记表。以上所有资料均需提供复印件加盖公章。</w:t>
      </w:r>
    </w:p>
    <w:p w14:paraId="663205D5">
      <w:pPr>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四、响应文件提交 </w:t>
      </w:r>
      <w:r>
        <w:rPr>
          <w:rFonts w:hint="eastAsia" w:ascii="宋体" w:hAnsi="宋体" w:eastAsia="宋体" w:cs="宋体"/>
          <w:color w:val="auto"/>
          <w:sz w:val="24"/>
          <w:szCs w:val="24"/>
          <w:highlight w:val="none"/>
        </w:rPr>
        <w:t xml:space="preserve">  </w:t>
      </w:r>
    </w:p>
    <w:p w14:paraId="1E3F86E7">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截止时间：</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u w:val="single"/>
          <w:lang w:val="en-US" w:eastAsia="zh-CN"/>
        </w:rPr>
        <w:t xml:space="preserve">  14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lang w:val="en-US" w:eastAsia="zh-CN"/>
        </w:rPr>
        <w:t>（北京时间）        </w:t>
      </w:r>
    </w:p>
    <w:p w14:paraId="3FD73FC2">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2.地点：请登录乐采云投标客户端投标，客户端下载地址https://sitecdn.zcycdn.com/zcy-client/bidding-client-new/official/lcy/LeCaiYunSetup.latest.exe</w:t>
      </w:r>
    </w:p>
    <w:p w14:paraId="5D521E75">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五、响应文件开启</w:t>
      </w:r>
    </w:p>
    <w:p w14:paraId="7DF4A268">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开启时间：</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eastAsia="宋体" w:cs="宋体"/>
          <w:bCs/>
          <w:snapToGrid w:val="0"/>
          <w:color w:val="auto"/>
          <w:sz w:val="24"/>
          <w:szCs w:val="24"/>
          <w:highlight w:val="none"/>
          <w:u w:val="single"/>
        </w:rPr>
        <w:t xml:space="preserve"> </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14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lang w:val="en-US" w:eastAsia="zh-CN"/>
        </w:rPr>
        <w:t>（北京时间）</w:t>
      </w:r>
    </w:p>
    <w:p w14:paraId="6C3FD104">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地点：乐采云平台(www.lecaiyun.com)线上  </w:t>
      </w:r>
    </w:p>
    <w:p w14:paraId="21920AEF">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公告期限</w:t>
      </w:r>
      <w:bookmarkEnd w:id="15"/>
      <w:bookmarkEnd w:id="16"/>
      <w:bookmarkEnd w:id="17"/>
      <w:bookmarkEnd w:id="18"/>
    </w:p>
    <w:p w14:paraId="51732FD4">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03685B07">
      <w:pPr>
        <w:spacing w:line="400" w:lineRule="exact"/>
        <w:jc w:val="left"/>
        <w:rPr>
          <w:rFonts w:hint="eastAsia" w:ascii="宋体" w:hAnsi="宋体" w:eastAsia="宋体" w:cs="宋体"/>
          <w:b/>
          <w:color w:val="auto"/>
          <w:sz w:val="24"/>
          <w:szCs w:val="24"/>
          <w:highlight w:val="none"/>
        </w:rPr>
      </w:pPr>
      <w:bookmarkStart w:id="19" w:name="_Toc35393795"/>
      <w:bookmarkStart w:id="20" w:name="_Toc35393626"/>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19"/>
      <w:bookmarkEnd w:id="20"/>
    </w:p>
    <w:p w14:paraId="70AB76C0">
      <w:pPr>
        <w:spacing w:line="400" w:lineRule="exact"/>
        <w:ind w:firstLine="480" w:firstLineChars="200"/>
        <w:jc w:val="left"/>
        <w:rPr>
          <w:rFonts w:hint="eastAsia" w:ascii="宋体" w:hAnsi="宋体" w:eastAsia="宋体" w:cs="宋体"/>
          <w:color w:val="auto"/>
          <w:kern w:val="2"/>
          <w:sz w:val="24"/>
          <w:szCs w:val="24"/>
        </w:rPr>
      </w:pPr>
      <w:bookmarkStart w:id="21" w:name="_Toc28359008"/>
      <w:bookmarkStart w:id="22" w:name="_Toc35393796"/>
      <w:bookmarkStart w:id="23" w:name="_Toc28359085"/>
      <w:bookmarkStart w:id="24" w:name="_Toc35393627"/>
      <w:r>
        <w:rPr>
          <w:rFonts w:hint="eastAsia" w:ascii="宋体" w:hAnsi="宋体" w:eastAsia="宋体" w:cs="宋体"/>
          <w:color w:val="auto"/>
          <w:kern w:val="2"/>
          <w:sz w:val="24"/>
          <w:szCs w:val="24"/>
        </w:rPr>
        <w:t>其他事项：①采购文件及更正补充公告请自行登录乐采云平台(www.lecaiyun.com)下载。②成交供应商中标后需要提供与电子响应文件内容一致的纸质响应文件（一正二副）作为存档资料。</w:t>
      </w:r>
    </w:p>
    <w:p w14:paraId="196B0756">
      <w:pPr>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w:t>
      </w:r>
      <w:bookmarkEnd w:id="21"/>
      <w:bookmarkEnd w:id="22"/>
      <w:bookmarkEnd w:id="23"/>
      <w:bookmarkEnd w:id="24"/>
      <w:r>
        <w:rPr>
          <w:rFonts w:hint="eastAsia" w:ascii="宋体" w:hAnsi="宋体" w:eastAsia="宋体" w:cs="宋体"/>
          <w:b/>
          <w:bCs/>
          <w:sz w:val="24"/>
          <w:szCs w:val="24"/>
          <w:highlight w:val="none"/>
        </w:rPr>
        <w:t>对本次招标提出询问、质疑、投诉，请按以下方式联系</w:t>
      </w:r>
    </w:p>
    <w:bookmarkEnd w:id="6"/>
    <w:p w14:paraId="2F8E66B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cs="Tahoma"/>
          <w:sz w:val="24"/>
          <w:u w:val="none" w:color="auto"/>
          <w:lang w:eastAsia="zh-CN" w:bidi="ar-SA"/>
        </w:rPr>
      </w:pPr>
      <w:r>
        <w:rPr>
          <w:rFonts w:hint="eastAsia" w:ascii="宋体" w:cs="Tahoma"/>
          <w:sz w:val="24"/>
          <w:lang w:bidi="ar-SA"/>
        </w:rPr>
        <w:t>1</w:t>
      </w:r>
      <w:r>
        <w:rPr>
          <w:rFonts w:hint="eastAsia" w:ascii="宋体" w:cs="Tahoma"/>
          <w:sz w:val="24"/>
          <w:lang w:val="en-US" w:eastAsia="zh-CN" w:bidi="ar-SA"/>
        </w:rPr>
        <w:t>.</w:t>
      </w:r>
      <w:r>
        <w:rPr>
          <w:rFonts w:hint="eastAsia" w:ascii="宋体" w:cs="Tahoma"/>
          <w:sz w:val="24"/>
          <w:lang w:bidi="ar-SA"/>
        </w:rPr>
        <w:t>采购方名称</w:t>
      </w:r>
      <w:r>
        <w:rPr>
          <w:rFonts w:hint="eastAsia" w:ascii="宋体" w:cs="Tahoma"/>
          <w:sz w:val="24"/>
          <w:u w:val="none" w:color="auto"/>
          <w:lang w:bidi="ar-SA"/>
        </w:rPr>
        <w:t>：</w:t>
      </w:r>
      <w:r>
        <w:rPr>
          <w:rFonts w:hint="eastAsia" w:ascii="宋体"/>
          <w:sz w:val="24"/>
          <w:u w:val="none" w:color="auto"/>
          <w:lang w:eastAsia="zh-CN"/>
        </w:rPr>
        <w:t>新昌县智慧城市建设有限公司</w:t>
      </w:r>
    </w:p>
    <w:p w14:paraId="354B423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cs="Tahoma"/>
          <w:sz w:val="24"/>
          <w:u w:val="none" w:color="auto"/>
          <w:lang w:eastAsia="zh-CN" w:bidi="ar-SA"/>
        </w:rPr>
      </w:pPr>
      <w:r>
        <w:rPr>
          <w:rFonts w:hint="eastAsia" w:ascii="宋体" w:cs="Tahoma"/>
          <w:sz w:val="24"/>
          <w:u w:val="none" w:color="auto"/>
          <w:lang w:bidi="ar-SA"/>
        </w:rPr>
        <w:t>采购方地址：</w:t>
      </w:r>
      <w:r>
        <w:rPr>
          <w:rFonts w:hint="eastAsia" w:ascii="宋体" w:cs="Tahoma"/>
          <w:sz w:val="24"/>
          <w:u w:val="none" w:color="auto"/>
          <w:lang w:eastAsia="zh-CN" w:bidi="ar-SA"/>
        </w:rPr>
        <w:t>新昌县七星街道江滨西路600号人防大楼一楼</w:t>
      </w:r>
    </w:p>
    <w:p w14:paraId="4EF946C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sz w:val="24"/>
          <w:u w:val="none" w:color="auto"/>
          <w:lang w:val="en-US" w:eastAsia="zh-CN" w:bidi="ar-SA"/>
        </w:rPr>
      </w:pPr>
      <w:r>
        <w:rPr>
          <w:rFonts w:hint="eastAsia" w:ascii="宋体" w:cs="Tahoma"/>
          <w:sz w:val="24"/>
          <w:u w:val="none" w:color="auto"/>
          <w:lang w:bidi="ar-SA"/>
        </w:rPr>
        <w:t>采购单位联系人：</w:t>
      </w:r>
      <w:r>
        <w:rPr>
          <w:rFonts w:hint="eastAsia" w:ascii="宋体" w:cs="Tahoma"/>
          <w:sz w:val="24"/>
          <w:u w:val="none" w:color="auto"/>
          <w:lang w:val="en-US" w:eastAsia="zh-CN" w:bidi="ar-SA"/>
        </w:rPr>
        <w:t>何先生</w:t>
      </w:r>
    </w:p>
    <w:p w14:paraId="4CA3D36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sz w:val="24"/>
          <w:u w:val="none" w:color="auto"/>
          <w:lang w:bidi="ar-SA"/>
        </w:rPr>
      </w:pPr>
      <w:r>
        <w:rPr>
          <w:rFonts w:hint="eastAsia" w:ascii="宋体" w:cs="Tahoma"/>
          <w:sz w:val="24"/>
          <w:u w:val="none" w:color="auto"/>
          <w:lang w:bidi="ar-SA"/>
        </w:rPr>
        <w:t>采购单位联系电话：0575-86688022</w:t>
      </w:r>
    </w:p>
    <w:p w14:paraId="6B56E9E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cs="Tahoma"/>
          <w:b/>
          <w:sz w:val="24"/>
          <w:u w:val="none" w:color="auto"/>
          <w:lang w:eastAsia="zh-CN" w:bidi="ar-SA"/>
        </w:rPr>
      </w:pPr>
      <w:r>
        <w:rPr>
          <w:rFonts w:hint="eastAsia" w:ascii="宋体" w:cs="Tahoma"/>
          <w:sz w:val="24"/>
          <w:u w:val="none" w:color="auto"/>
          <w:lang w:bidi="ar-SA"/>
        </w:rPr>
        <w:t>2</w:t>
      </w:r>
      <w:r>
        <w:rPr>
          <w:rFonts w:hint="eastAsia" w:ascii="宋体" w:cs="Tahoma"/>
          <w:sz w:val="24"/>
          <w:u w:val="none" w:color="auto"/>
          <w:lang w:val="en-US" w:eastAsia="zh-CN" w:bidi="ar-SA"/>
        </w:rPr>
        <w:t>.</w:t>
      </w:r>
      <w:r>
        <w:rPr>
          <w:rFonts w:hint="eastAsia" w:ascii="宋体" w:cs="Tahoma"/>
          <w:sz w:val="24"/>
          <w:u w:val="none" w:color="auto"/>
          <w:lang w:bidi="ar-SA"/>
        </w:rPr>
        <w:t>采购代理机构名称：</w:t>
      </w:r>
      <w:r>
        <w:rPr>
          <w:rFonts w:hint="eastAsia" w:ascii="宋体" w:cs="Tahoma"/>
          <w:sz w:val="24"/>
          <w:u w:val="none" w:color="auto"/>
          <w:lang w:eastAsia="zh-CN" w:bidi="ar-SA"/>
        </w:rPr>
        <w:t xml:space="preserve">欧邦工程管理集团有限公司 </w:t>
      </w:r>
    </w:p>
    <w:p w14:paraId="3C8B1D9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b/>
          <w:sz w:val="24"/>
          <w:u w:val="none" w:color="auto"/>
          <w:lang w:bidi="ar-SA"/>
        </w:rPr>
      </w:pPr>
      <w:r>
        <w:rPr>
          <w:rFonts w:hint="eastAsia" w:ascii="宋体" w:cs="Tahoma"/>
          <w:sz w:val="24"/>
          <w:u w:val="none" w:color="auto"/>
          <w:lang w:bidi="ar-SA"/>
        </w:rPr>
        <w:t>采购代理机构地址：</w:t>
      </w:r>
      <w:r>
        <w:rPr>
          <w:rFonts w:hint="eastAsia" w:ascii="宋体" w:cs="Tahoma"/>
          <w:sz w:val="24"/>
          <w:u w:val="none" w:color="auto"/>
          <w:lang w:eastAsia="zh-CN" w:bidi="ar-SA"/>
        </w:rPr>
        <w:t>新昌县七星街道上石演新村10幢1号三楼</w:t>
      </w:r>
      <w:r>
        <w:rPr>
          <w:rFonts w:hint="eastAsia" w:ascii="宋体" w:cs="Tahoma"/>
          <w:sz w:val="24"/>
          <w:u w:val="none" w:color="auto"/>
          <w:lang w:bidi="ar-SA"/>
        </w:rPr>
        <w:t xml:space="preserve">   </w:t>
      </w:r>
    </w:p>
    <w:p w14:paraId="023071B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b/>
          <w:sz w:val="24"/>
          <w:u w:val="none" w:color="auto"/>
          <w:lang w:bidi="ar-SA"/>
        </w:rPr>
      </w:pPr>
      <w:r>
        <w:rPr>
          <w:rFonts w:hint="eastAsia" w:ascii="宋体" w:cs="Tahoma"/>
          <w:sz w:val="24"/>
          <w:u w:val="none" w:color="auto"/>
          <w:lang w:bidi="ar-SA"/>
        </w:rPr>
        <w:t>采购代理机构联系人：</w:t>
      </w:r>
      <w:r>
        <w:rPr>
          <w:rFonts w:hint="eastAsia" w:ascii="宋体" w:cs="Tahoma"/>
          <w:sz w:val="24"/>
          <w:u w:val="none" w:color="auto"/>
          <w:lang w:val="en-US" w:eastAsia="zh-CN" w:bidi="ar-SA"/>
        </w:rPr>
        <w:t>王</w:t>
      </w:r>
      <w:r>
        <w:rPr>
          <w:rFonts w:hint="eastAsia" w:ascii="宋体" w:cs="Tahoma"/>
          <w:sz w:val="24"/>
          <w:u w:val="none" w:color="auto"/>
          <w:lang w:bidi="ar-SA"/>
        </w:rPr>
        <w:t xml:space="preserve">女士   </w:t>
      </w:r>
    </w:p>
    <w:p w14:paraId="697BE248">
      <w:pPr>
        <w:adjustRightInd w:val="0"/>
        <w:spacing w:line="400" w:lineRule="exact"/>
        <w:ind w:firstLine="480" w:firstLineChars="200"/>
        <w:rPr>
          <w:rFonts w:ascii="宋体" w:hAnsi="宋体" w:cs="宋体"/>
          <w:sz w:val="24"/>
          <w:szCs w:val="24"/>
          <w:highlight w:val="none"/>
        </w:rPr>
      </w:pPr>
      <w:r>
        <w:rPr>
          <w:rFonts w:hint="eastAsia" w:ascii="宋体" w:cs="Tahoma"/>
          <w:sz w:val="24"/>
          <w:u w:val="none" w:color="auto"/>
          <w:lang w:bidi="ar-SA"/>
        </w:rPr>
        <w:t xml:space="preserve">采购代理机构联系电话：13587318375 </w:t>
      </w:r>
      <w:r>
        <w:rPr>
          <w:rFonts w:hint="eastAsia" w:ascii="宋体" w:hAnsi="宋体" w:cs="宋体"/>
          <w:kern w:val="2"/>
          <w:szCs w:val="24"/>
        </w:rPr>
        <w:t>　</w:t>
      </w:r>
    </w:p>
    <w:p w14:paraId="4316F273">
      <w:pPr>
        <w:adjustRightInd w:val="0"/>
        <w:spacing w:line="400" w:lineRule="exact"/>
        <w:ind w:firstLine="480" w:firstLineChars="200"/>
        <w:rPr>
          <w:rFonts w:hint="eastAsia" w:ascii="宋体" w:hAnsi="宋体" w:eastAsia="宋体" w:cs="宋体"/>
          <w:sz w:val="24"/>
          <w:szCs w:val="24"/>
          <w:highlight w:val="none"/>
        </w:rPr>
      </w:pPr>
    </w:p>
    <w:p w14:paraId="3634DBA3">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 xml:space="preserve">   </w:t>
      </w:r>
    </w:p>
    <w:p w14:paraId="7EE9E28D">
      <w:pPr>
        <w:adjustRightIn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0D7B3A04">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        </w:t>
      </w:r>
      <w:bookmarkStart w:id="25" w:name="_Toc43498218"/>
    </w:p>
    <w:p w14:paraId="1FF8DAFB">
      <w:pPr>
        <w:jc w:val="left"/>
        <w:rPr>
          <w:rFonts w:ascii="宋体" w:hAnsi="宋体" w:cs="宋体"/>
          <w:b/>
          <w:bCs/>
          <w:highlight w:val="none"/>
        </w:rPr>
      </w:pPr>
      <w:r>
        <w:rPr>
          <w:rFonts w:hint="eastAsia" w:ascii="宋体" w:hAnsi="宋体" w:cs="宋体"/>
          <w:b/>
          <w:bCs/>
          <w:highlight w:val="none"/>
        </w:rPr>
        <w:br w:type="page"/>
      </w:r>
    </w:p>
    <w:p w14:paraId="498461BA">
      <w:pPr>
        <w:snapToGrid w:val="0"/>
        <w:spacing w:line="4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672ABE8C">
      <w:pPr>
        <w:pStyle w:val="4"/>
        <w:spacing w:after="0" w:line="400" w:lineRule="exact"/>
        <w:ind w:firstLine="643"/>
        <w:jc w:val="center"/>
        <w:rPr>
          <w:rFonts w:ascii="宋体" w:hAnsi="宋体" w:eastAsia="宋体" w:cs="宋体"/>
          <w:sz w:val="32"/>
          <w:szCs w:val="32"/>
          <w:highlight w:val="none"/>
        </w:rPr>
      </w:pPr>
      <w:bookmarkStart w:id="26" w:name="_Toc43498219"/>
      <w:r>
        <w:rPr>
          <w:rFonts w:hint="eastAsia" w:ascii="宋体" w:hAnsi="宋体" w:eastAsia="宋体" w:cs="宋体"/>
          <w:sz w:val="32"/>
          <w:szCs w:val="32"/>
          <w:highlight w:val="none"/>
        </w:rPr>
        <w:t>前附表</w:t>
      </w:r>
      <w:bookmarkEnd w:id="26"/>
    </w:p>
    <w:tbl>
      <w:tblPr>
        <w:tblStyle w:val="14"/>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0F8A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55AB33A9">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7E5DCC2D">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C8A26E">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本项目的特别规定</w:t>
            </w:r>
          </w:p>
        </w:tc>
      </w:tr>
      <w:tr w14:paraId="1EC3B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020AF562">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48776D4E">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4C6DF">
            <w:pPr>
              <w:shd w:val="clear" w:color="auto" w:fill="auto"/>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val="zh-CN"/>
              </w:rPr>
              <w:t>有关本项目开展所需的费用均计入报价。</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val="zh-CN"/>
              </w:rPr>
              <w:t>文件未列明，而供应商认为必需的费用也需列入报价。收费标准见</w:t>
            </w:r>
            <w:r>
              <w:rPr>
                <w:rFonts w:hint="eastAsia" w:ascii="宋体" w:hAnsi="宋体" w:cs="仿宋"/>
                <w:color w:val="auto"/>
                <w:sz w:val="24"/>
                <w:highlight w:val="none"/>
              </w:rPr>
              <w:t>采购需求中所列收费标准。</w:t>
            </w:r>
            <w:r>
              <w:rPr>
                <w:rFonts w:hint="eastAsia" w:ascii="宋体" w:hAnsi="宋体" w:cs="仿宋"/>
                <w:color w:val="auto"/>
                <w:sz w:val="24"/>
                <w:highlight w:val="none"/>
                <w:lang w:val="zh-CN"/>
              </w:rPr>
              <w:t>报价方式为费率报价</w:t>
            </w:r>
            <w:r>
              <w:rPr>
                <w:rFonts w:hint="eastAsia" w:ascii="宋体" w:hAnsi="宋体" w:cs="仿宋"/>
                <w:color w:val="auto"/>
                <w:sz w:val="24"/>
                <w:highlight w:val="none"/>
              </w:rPr>
              <w:t>（即按照</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rPr>
              <w:t>文件规定收费标准</w:t>
            </w:r>
            <w:r>
              <w:rPr>
                <w:rFonts w:hint="eastAsia" w:ascii="宋体" w:hAnsi="宋体" w:cs="仿宋"/>
                <w:color w:val="auto"/>
                <w:sz w:val="24"/>
                <w:highlight w:val="none"/>
                <w:lang w:val="en-US" w:eastAsia="zh-CN"/>
              </w:rPr>
              <w:t>×投标费率</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0C02A325">
            <w:pPr>
              <w:shd w:val="clear" w:color="auto" w:fill="auto"/>
              <w:snapToGrid w:val="0"/>
              <w:spacing w:line="360" w:lineRule="auto"/>
              <w:ind w:firstLine="480" w:firstLineChars="200"/>
              <w:jc w:val="left"/>
              <w:rPr>
                <w:rFonts w:hint="eastAsia" w:ascii="宋体" w:hAnsi="宋体" w:cs="仿宋"/>
                <w:color w:val="auto"/>
                <w:sz w:val="24"/>
                <w:highlight w:val="none"/>
                <w:lang w:val="zh-CN"/>
              </w:rPr>
            </w:pPr>
            <w:r>
              <w:rPr>
                <w:rFonts w:hint="eastAsia" w:ascii="宋体" w:hAnsi="宋体" w:cs="仿宋"/>
                <w:color w:val="auto"/>
                <w:sz w:val="24"/>
                <w:highlight w:val="none"/>
                <w:lang w:val="zh-CN"/>
              </w:rPr>
              <w:t>投标报价出现下列情形的，投标无效：</w:t>
            </w:r>
          </w:p>
          <w:p w14:paraId="5C022481">
            <w:pPr>
              <w:shd w:val="clear" w:color="auto" w:fill="auto"/>
              <w:snapToGrid w:val="0"/>
              <w:spacing w:line="360" w:lineRule="auto"/>
              <w:ind w:firstLine="480" w:firstLineChars="200"/>
              <w:jc w:val="left"/>
              <w:rPr>
                <w:rFonts w:hint="eastAsia" w:ascii="宋体" w:hAnsi="宋体" w:cs="仿宋"/>
                <w:color w:val="auto"/>
                <w:sz w:val="24"/>
                <w:highlight w:val="none"/>
                <w:lang w:val="zh-CN"/>
              </w:rPr>
            </w:pPr>
            <w:r>
              <w:rPr>
                <w:rFonts w:hint="eastAsia" w:ascii="宋体" w:hAnsi="宋体" w:cs="仿宋"/>
                <w:color w:val="auto"/>
                <w:sz w:val="24"/>
                <w:highlight w:val="none"/>
              </w:rPr>
              <w:t>▲</w:t>
            </w:r>
            <w:r>
              <w:rPr>
                <w:rFonts w:hint="eastAsia" w:ascii="宋体" w:hAnsi="宋体" w:cs="仿宋"/>
                <w:color w:val="auto"/>
                <w:sz w:val="24"/>
                <w:highlight w:val="none"/>
                <w:lang w:val="zh-CN"/>
              </w:rPr>
              <w:t>投标文件出现不是唯一的、有选择性投标报价的；</w:t>
            </w:r>
          </w:p>
          <w:p w14:paraId="2EE758EF">
            <w:pPr>
              <w:shd w:val="clear" w:color="auto" w:fill="auto"/>
              <w:snapToGrid w:val="0"/>
              <w:spacing w:line="360" w:lineRule="auto"/>
              <w:ind w:firstLine="480" w:firstLineChars="200"/>
              <w:jc w:val="left"/>
              <w:rPr>
                <w:rFonts w:hint="eastAsia" w:ascii="宋体" w:hAnsi="宋体" w:cs="仿宋"/>
                <w:color w:val="auto"/>
                <w:sz w:val="24"/>
                <w:highlight w:val="none"/>
                <w:lang w:val="zh-CN"/>
              </w:rPr>
            </w:pPr>
            <w:r>
              <w:rPr>
                <w:rFonts w:hint="eastAsia" w:ascii="宋体" w:hAnsi="宋体" w:cs="仿宋"/>
                <w:color w:val="auto"/>
                <w:sz w:val="24"/>
                <w:highlight w:val="none"/>
              </w:rPr>
              <w:t>▲投标</w:t>
            </w:r>
            <w:r>
              <w:rPr>
                <w:rFonts w:hint="eastAsia" w:ascii="宋体" w:hAnsi="宋体" w:cs="仿宋"/>
                <w:color w:val="auto"/>
                <w:sz w:val="24"/>
                <w:highlight w:val="none"/>
                <w:lang w:val="zh-CN"/>
              </w:rPr>
              <w:t>报价超过招标文件中规定的</w:t>
            </w:r>
            <w:r>
              <w:rPr>
                <w:rFonts w:hint="eastAsia" w:ascii="宋体" w:hAnsi="宋体" w:cs="仿宋"/>
                <w:color w:val="auto"/>
                <w:sz w:val="24"/>
                <w:highlight w:val="none"/>
                <w:lang w:val="en-US" w:eastAsia="zh-CN"/>
              </w:rPr>
              <w:t>费率区间</w:t>
            </w:r>
            <w:r>
              <w:rPr>
                <w:rFonts w:hint="eastAsia" w:ascii="宋体" w:hAnsi="宋体" w:cs="仿宋"/>
                <w:color w:val="auto"/>
                <w:sz w:val="24"/>
                <w:highlight w:val="none"/>
                <w:lang w:val="zh-CN"/>
              </w:rPr>
              <w:t>的（</w:t>
            </w:r>
            <w:r>
              <w:rPr>
                <w:rFonts w:hint="eastAsia" w:ascii="宋体" w:hAnsi="宋体" w:cs="仿宋"/>
                <w:color w:val="auto"/>
                <w:sz w:val="24"/>
                <w:highlight w:val="none"/>
              </w:rPr>
              <w:t>本项目</w:t>
            </w:r>
            <w:r>
              <w:rPr>
                <w:rFonts w:hint="eastAsia" w:ascii="宋体" w:hAnsi="宋体" w:cs="仿宋"/>
                <w:color w:val="auto"/>
                <w:sz w:val="24"/>
                <w:highlight w:val="none"/>
                <w:lang w:val="en-US" w:eastAsia="zh-CN"/>
              </w:rPr>
              <w:t>报价费率区间</w:t>
            </w:r>
            <w:r>
              <w:rPr>
                <w:rFonts w:hint="eastAsia" w:ascii="宋体" w:hAnsi="宋体" w:cs="仿宋"/>
                <w:color w:val="auto"/>
                <w:sz w:val="24"/>
                <w:highlight w:val="none"/>
              </w:rPr>
              <w:t>为</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rPr>
              <w:t>文件所列收费标准的</w:t>
            </w:r>
            <w:r>
              <w:rPr>
                <w:rFonts w:hint="eastAsia" w:ascii="宋体" w:hAnsi="宋体" w:cs="仿宋"/>
                <w:color w:val="auto"/>
                <w:sz w:val="24"/>
                <w:highlight w:val="none"/>
                <w:lang w:val="en-US" w:eastAsia="zh-CN"/>
              </w:rPr>
              <w:t>6</w:t>
            </w:r>
            <w:r>
              <w:rPr>
                <w:rFonts w:hint="eastAsia" w:ascii="宋体" w:hAnsi="宋体" w:cs="仿宋"/>
                <w:color w:val="auto"/>
                <w:sz w:val="24"/>
                <w:highlight w:val="none"/>
              </w:rPr>
              <w:t>0%（含）—</w:t>
            </w:r>
            <w:r>
              <w:rPr>
                <w:rFonts w:hint="eastAsia" w:ascii="宋体" w:hAnsi="宋体" w:cs="仿宋"/>
                <w:color w:val="auto"/>
                <w:sz w:val="24"/>
                <w:highlight w:val="none"/>
                <w:lang w:val="en-US" w:eastAsia="zh-CN"/>
              </w:rPr>
              <w:t>7</w:t>
            </w:r>
            <w:r>
              <w:rPr>
                <w:rFonts w:hint="eastAsia" w:ascii="宋体" w:hAnsi="宋体" w:cs="仿宋"/>
                <w:color w:val="auto"/>
                <w:sz w:val="24"/>
                <w:highlight w:val="none"/>
              </w:rPr>
              <w:t>0%（含）</w:t>
            </w:r>
            <w:r>
              <w:rPr>
                <w:rFonts w:hint="eastAsia" w:ascii="宋体" w:hAnsi="宋体" w:cs="仿宋"/>
                <w:color w:val="auto"/>
                <w:sz w:val="24"/>
                <w:highlight w:val="none"/>
                <w:lang w:eastAsia="zh-CN"/>
              </w:rPr>
              <w:t>）</w:t>
            </w:r>
            <w:r>
              <w:rPr>
                <w:rFonts w:hint="eastAsia" w:ascii="宋体" w:hAnsi="宋体" w:cs="仿宋"/>
                <w:color w:val="auto"/>
                <w:sz w:val="24"/>
                <w:highlight w:val="none"/>
                <w:lang w:val="zh-CN"/>
              </w:rPr>
              <w:t>；</w:t>
            </w:r>
          </w:p>
          <w:p w14:paraId="3B47F9B9">
            <w:pPr>
              <w:shd w:val="clear" w:color="auto" w:fill="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▲《开标一览表》填写不完整或字迹不能辨认或有漏项的；</w:t>
            </w:r>
          </w:p>
          <w:p w14:paraId="25ECF5E7">
            <w:pPr>
              <w:adjustRightInd w:val="0"/>
              <w:spacing w:line="380" w:lineRule="exact"/>
              <w:ind w:firstLine="480" w:firstLineChars="200"/>
              <w:rPr>
                <w:rFonts w:hint="eastAsia" w:ascii="宋体" w:hAnsi="宋体" w:eastAsia="宋体" w:cs="宋体"/>
                <w:bCs/>
                <w:sz w:val="24"/>
                <w:szCs w:val="24"/>
                <w:highlight w:val="none"/>
              </w:rPr>
            </w:pPr>
            <w:r>
              <w:rPr>
                <w:rFonts w:hint="eastAsia" w:ascii="宋体" w:hAnsi="宋体" w:cs="仿宋"/>
                <w:color w:val="auto"/>
                <w:sz w:val="24"/>
                <w:highlight w:val="none"/>
              </w:rPr>
              <w:t>▲供应商对根据修正原则修正后的报价不确认的。</w:t>
            </w:r>
          </w:p>
        </w:tc>
      </w:tr>
      <w:tr w14:paraId="4C23C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18B418FC">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7A09044F">
            <w:pPr>
              <w:adjustRightInd w:val="0"/>
              <w:snapToGrid w:val="0"/>
              <w:spacing w:line="38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62C89D">
            <w:pPr>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不同意分包和转包。</w:t>
            </w:r>
          </w:p>
        </w:tc>
      </w:tr>
      <w:tr w14:paraId="0DABA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37864654">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1991" w:type="dxa"/>
            <w:vMerge w:val="restart"/>
            <w:tcBorders>
              <w:top w:val="single" w:color="000000" w:sz="8" w:space="0"/>
              <w:left w:val="single" w:color="auto" w:sz="4" w:space="0"/>
              <w:right w:val="single" w:color="000000" w:sz="8" w:space="0"/>
            </w:tcBorders>
            <w:vAlign w:val="center"/>
          </w:tcPr>
          <w:p w14:paraId="65ED7DCC">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A0727B">
            <w:pPr>
              <w:adjustRightInd w:val="0"/>
              <w:spacing w:line="380" w:lineRule="exact"/>
              <w:rPr>
                <w:rFonts w:hint="eastAsia" w:ascii="宋体" w:hAnsi="宋体" w:eastAsia="宋体" w:cs="宋体"/>
                <w:bCs/>
                <w:snapToGrid w:val="0"/>
                <w:kern w:val="0"/>
                <w:sz w:val="24"/>
                <w:szCs w:val="24"/>
                <w:highlight w:val="none"/>
              </w:rPr>
            </w:pPr>
            <w:r>
              <w:rPr>
                <w:rFonts w:hint="eastAsia" w:ascii="宋体" w:hAnsi="宋体" w:eastAsia="宋体" w:cs="宋体"/>
                <w:bCs/>
                <w:sz w:val="24"/>
                <w:szCs w:val="24"/>
                <w:highlight w:val="none"/>
              </w:rPr>
              <w:t>（1）资格审查文件：见招标文件第二部分11.1。</w:t>
            </w:r>
            <w:r>
              <w:rPr>
                <w:rFonts w:hint="eastAsia" w:ascii="宋体" w:hAnsi="宋体" w:eastAsia="宋体" w:cs="宋体"/>
                <w:bCs/>
                <w:kern w:val="0"/>
                <w:sz w:val="24"/>
                <w:szCs w:val="24"/>
                <w:highlight w:val="none"/>
                <w:lang w:val="zh-CN"/>
              </w:rPr>
              <w:t>投标人未提供有效的资格审查文件的，视为投标人不具备招标文件中规定的资格要求，投标无效。</w:t>
            </w:r>
          </w:p>
        </w:tc>
      </w:tr>
      <w:tr w14:paraId="1D8CD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675A252C">
            <w:pPr>
              <w:adjustRightInd w:val="0"/>
              <w:snapToGrid w:val="0"/>
              <w:spacing w:line="380" w:lineRule="exact"/>
              <w:jc w:val="center"/>
              <w:rPr>
                <w:rFonts w:hint="eastAsia" w:ascii="宋体" w:hAnsi="宋体" w:eastAsia="宋体" w:cs="宋体"/>
                <w:bCs/>
                <w:sz w:val="24"/>
                <w:szCs w:val="24"/>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8C2E972">
            <w:pPr>
              <w:adjustRightInd w:val="0"/>
              <w:snapToGrid w:val="0"/>
              <w:spacing w:line="380" w:lineRule="exact"/>
              <w:jc w:val="center"/>
              <w:rPr>
                <w:rFonts w:hint="eastAsia" w:ascii="宋体" w:hAnsi="宋体" w:eastAsia="宋体" w:cs="宋体"/>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F7ACAE9">
            <w:pPr>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（2）商务技术文件：见招标文件第二部分11.2。</w:t>
            </w:r>
          </w:p>
        </w:tc>
      </w:tr>
      <w:tr w14:paraId="703AA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6BC49BF">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71D84675">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2DD277">
            <w:pPr>
              <w:adjustRightInd w:val="0"/>
              <w:spacing w:line="38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不组织</w:t>
            </w:r>
          </w:p>
        </w:tc>
      </w:tr>
      <w:tr w14:paraId="1DE1B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0E00F5B0">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0D31271E">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5991A">
            <w:pPr>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不要求提供</w:t>
            </w:r>
          </w:p>
        </w:tc>
      </w:tr>
      <w:tr w14:paraId="7DCF1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F22080A">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1991" w:type="dxa"/>
            <w:tcBorders>
              <w:top w:val="single" w:color="000000" w:sz="8" w:space="0"/>
              <w:left w:val="single" w:color="auto" w:sz="4" w:space="0"/>
              <w:right w:val="single" w:color="000000" w:sz="8" w:space="0"/>
            </w:tcBorders>
            <w:vAlign w:val="center"/>
          </w:tcPr>
          <w:p w14:paraId="4AA626C1">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功能</w:t>
            </w:r>
            <w:r>
              <w:rPr>
                <w:rFonts w:hint="eastAsia" w:ascii="宋体" w:hAnsi="宋体" w:eastAsia="宋体" w:cs="宋体"/>
                <w:bCs/>
                <w:sz w:val="24"/>
                <w:szCs w:val="24"/>
                <w:highlight w:val="none"/>
              </w:rPr>
              <w:t>演示</w:t>
            </w:r>
          </w:p>
        </w:tc>
        <w:tc>
          <w:tcPr>
            <w:tcW w:w="6095" w:type="dxa"/>
            <w:tcBorders>
              <w:top w:val="single" w:color="000000" w:sz="8" w:space="0"/>
              <w:left w:val="single" w:color="000000" w:sz="2" w:space="0"/>
              <w:right w:val="single" w:color="000000" w:sz="8" w:space="0"/>
            </w:tcBorders>
            <w:vAlign w:val="center"/>
          </w:tcPr>
          <w:p w14:paraId="517AECE2">
            <w:pPr>
              <w:adjustRightInd w:val="0"/>
              <w:snapToGrid w:val="0"/>
              <w:spacing w:line="380" w:lineRule="exac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无功能讲解演示</w:t>
            </w:r>
          </w:p>
        </w:tc>
      </w:tr>
      <w:tr w14:paraId="13381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31AD680B">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3B94692">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46F71836">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无。</w:t>
            </w:r>
          </w:p>
        </w:tc>
      </w:tr>
      <w:tr w14:paraId="69288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74421069">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1991" w:type="dxa"/>
            <w:tcBorders>
              <w:top w:val="single" w:color="000000" w:sz="8" w:space="0"/>
              <w:left w:val="single" w:color="000000" w:sz="2" w:space="0"/>
              <w:bottom w:val="single" w:color="000000" w:sz="8" w:space="0"/>
              <w:right w:val="single" w:color="000000" w:sz="8" w:space="0"/>
            </w:tcBorders>
            <w:vAlign w:val="center"/>
          </w:tcPr>
          <w:p w14:paraId="49B39180">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53210A6">
            <w:pPr>
              <w:adjustRightInd w:val="0"/>
              <w:spacing w:line="38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投标文件存在下列情况的，视为撤回：</w:t>
            </w:r>
          </w:p>
          <w:p w14:paraId="02327BA4">
            <w:pPr>
              <w:widowControl/>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（1）投标文件未按时解密的</w:t>
            </w:r>
          </w:p>
          <w:p w14:paraId="6E514262">
            <w:pPr>
              <w:adjustRightInd w:val="0"/>
              <w:spacing w:line="380" w:lineRule="exact"/>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乐采云</w:t>
            </w:r>
            <w:r>
              <w:rPr>
                <w:rFonts w:hint="eastAsia" w:ascii="宋体" w:hAnsi="宋体" w:eastAsia="宋体" w:cs="宋体"/>
                <w:bCs/>
                <w:sz w:val="24"/>
                <w:szCs w:val="24"/>
                <w:highlight w:val="none"/>
              </w:rPr>
              <w:t xml:space="preserve">平台如对电子化开标及评审程序有调整的，按调整后的程序操作。 </w:t>
            </w:r>
          </w:p>
          <w:p w14:paraId="0420D09D">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cs="宋体"/>
                <w:bCs/>
                <w:snapToGrid w:val="0"/>
                <w:kern w:val="28"/>
                <w:sz w:val="24"/>
                <w:szCs w:val="24"/>
                <w:highlight w:val="none"/>
                <w:lang w:val="en-US" w:eastAsia="zh-CN"/>
              </w:rPr>
              <w:t>3</w:t>
            </w:r>
            <w:r>
              <w:rPr>
                <w:rFonts w:hint="eastAsia" w:ascii="宋体" w:hAnsi="宋体" w:eastAsia="宋体" w:cs="宋体"/>
                <w:bCs/>
                <w:snapToGrid w:val="0"/>
                <w:kern w:val="28"/>
                <w:sz w:val="24"/>
                <w:szCs w:val="24"/>
                <w:highlight w:val="none"/>
              </w:rPr>
              <w:t>.本项目投标所产生的一切费用由投标人承担，未中标单位不设补偿费。</w:t>
            </w:r>
          </w:p>
          <w:p w14:paraId="3458221D">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cs="宋体"/>
                <w:bCs/>
                <w:snapToGrid w:val="0"/>
                <w:kern w:val="28"/>
                <w:sz w:val="24"/>
                <w:szCs w:val="24"/>
                <w:highlight w:val="none"/>
                <w:lang w:val="en-US" w:eastAsia="zh-CN"/>
              </w:rPr>
              <w:t>4</w:t>
            </w:r>
            <w:r>
              <w:rPr>
                <w:rFonts w:hint="eastAsia" w:ascii="宋体" w:hAnsi="宋体" w:eastAsia="宋体" w:cs="宋体"/>
                <w:bCs/>
                <w:snapToGrid w:val="0"/>
                <w:kern w:val="28"/>
                <w:sz w:val="24"/>
                <w:szCs w:val="24"/>
                <w:highlight w:val="none"/>
              </w:rPr>
              <w:t>.招标人向投标人提供的有关资料和数据，是招标人现有的能使投标人利用的资源，投标人在此基础上作出的推论、理解、结论概不负责。各投标人的本次投标成果，无论是否中标，均归招标人所有。</w:t>
            </w:r>
          </w:p>
          <w:p w14:paraId="5AA318DD">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rPr>
              <w:t>投标人应对投标内容所涉及的一切知识产权承担责任，并负责保护采购单位的利益不受损害，一切由于侵权引起的法律、诉讼、裁决和所发生的费用均与采购单位无关。</w:t>
            </w:r>
          </w:p>
          <w:p w14:paraId="1A1A158A">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cs="宋体"/>
                <w:bCs/>
                <w:snapToGrid w:val="0"/>
                <w:kern w:val="28"/>
                <w:sz w:val="24"/>
                <w:szCs w:val="24"/>
                <w:highlight w:val="none"/>
                <w:lang w:val="en-US" w:eastAsia="zh-CN"/>
              </w:rPr>
              <w:t>5</w:t>
            </w:r>
            <w:r>
              <w:rPr>
                <w:rFonts w:hint="eastAsia" w:ascii="宋体" w:hAnsi="宋体" w:eastAsia="宋体" w:cs="宋体"/>
                <w:bCs/>
                <w:snapToGrid w:val="0"/>
                <w:kern w:val="28"/>
                <w:sz w:val="24"/>
                <w:szCs w:val="24"/>
                <w:highlight w:val="none"/>
              </w:rPr>
              <w:t>.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2A0781C3">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cs="宋体"/>
                <w:bCs/>
                <w:snapToGrid w:val="0"/>
                <w:kern w:val="28"/>
                <w:sz w:val="24"/>
                <w:szCs w:val="24"/>
                <w:highlight w:val="none"/>
                <w:lang w:val="en-US" w:eastAsia="zh-CN"/>
              </w:rPr>
              <w:t>6</w:t>
            </w:r>
            <w:r>
              <w:rPr>
                <w:rFonts w:hint="eastAsia" w:ascii="宋体" w:hAnsi="宋体" w:eastAsia="宋体" w:cs="宋体"/>
                <w:bCs/>
                <w:snapToGrid w:val="0"/>
                <w:kern w:val="28"/>
                <w:sz w:val="24"/>
                <w:szCs w:val="24"/>
                <w:highlight w:val="none"/>
              </w:rPr>
              <w:t>.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02286464">
            <w:pPr>
              <w:widowControl/>
              <w:adjustRightInd w:val="0"/>
              <w:spacing w:line="380" w:lineRule="exact"/>
              <w:jc w:val="left"/>
              <w:rPr>
                <w:rFonts w:hint="eastAsia" w:ascii="宋体" w:hAnsi="宋体" w:eastAsia="宋体" w:cs="宋体"/>
                <w:bCs/>
                <w:kern w:val="28"/>
                <w:sz w:val="24"/>
                <w:szCs w:val="24"/>
                <w:highlight w:val="none"/>
              </w:rPr>
            </w:pPr>
            <w:r>
              <w:rPr>
                <w:rFonts w:hint="eastAsia" w:ascii="宋体" w:hAnsi="宋体" w:cs="宋体"/>
                <w:bCs/>
                <w:snapToGrid w:val="0"/>
                <w:kern w:val="28"/>
                <w:sz w:val="24"/>
                <w:szCs w:val="24"/>
                <w:highlight w:val="none"/>
                <w:lang w:val="en-US" w:eastAsia="zh-CN"/>
              </w:rPr>
              <w:t>7</w:t>
            </w:r>
            <w:r>
              <w:rPr>
                <w:rFonts w:hint="eastAsia" w:ascii="宋体" w:hAnsi="宋体" w:eastAsia="宋体" w:cs="宋体"/>
                <w:bCs/>
                <w:snapToGrid w:val="0"/>
                <w:kern w:val="28"/>
                <w:sz w:val="24"/>
                <w:szCs w:val="24"/>
                <w:highlight w:val="none"/>
              </w:rPr>
              <w:t>.中标人在领取中标通知书提供纸质投标文件三份（电子投标文件打印，装订成册，采用胶订或线订；封面再加盖单位公章（物理章）。</w:t>
            </w:r>
            <w:r>
              <w:rPr>
                <w:rFonts w:hint="eastAsia" w:ascii="宋体" w:hAnsi="宋体" w:eastAsia="宋体" w:cs="宋体"/>
                <w:bCs/>
                <w:sz w:val="24"/>
                <w:szCs w:val="24"/>
                <w:highlight w:val="none"/>
              </w:rPr>
              <w:t xml:space="preserve">                                   </w:t>
            </w:r>
          </w:p>
        </w:tc>
      </w:tr>
    </w:tbl>
    <w:p w14:paraId="7FC799D9">
      <w:pPr>
        <w:pStyle w:val="4"/>
        <w:spacing w:before="0" w:after="0" w:line="400" w:lineRule="exact"/>
        <w:ind w:firstLine="482" w:firstLineChars="200"/>
        <w:rPr>
          <w:rFonts w:hint="eastAsia" w:ascii="宋体" w:hAnsi="宋体" w:eastAsia="宋体" w:cs="宋体"/>
          <w:sz w:val="24"/>
          <w:szCs w:val="24"/>
          <w:highlight w:val="none"/>
        </w:rPr>
        <w:sectPr>
          <w:footerReference r:id="rId9" w:type="first"/>
          <w:footerReference r:id="rId8" w:type="default"/>
          <w:pgSz w:w="11906" w:h="16838"/>
          <w:pgMar w:top="1361" w:right="1440" w:bottom="1361" w:left="1440" w:header="851" w:footer="992" w:gutter="0"/>
          <w:pgNumType w:fmt="decimal"/>
          <w:cols w:space="425" w:num="1"/>
          <w:titlePg/>
          <w:docGrid w:type="lines" w:linePitch="312" w:charSpace="0"/>
        </w:sectPr>
      </w:pPr>
      <w:bookmarkStart w:id="27" w:name="_Toc43498220"/>
      <w:r>
        <w:rPr>
          <w:rFonts w:hint="eastAsia" w:ascii="宋体" w:hAnsi="宋体" w:eastAsia="宋体" w:cs="宋体"/>
          <w:sz w:val="24"/>
          <w:szCs w:val="24"/>
          <w:highlight w:val="none"/>
        </w:rPr>
        <w:t>注：为维护政府采购交易市场的正常秩序，进一步遏制串标、抬标行为，保护交易各方的合法权益，凡在同一采购项目的评审中，发现①有二份及二份以上响应文件的相互之间有特别相同或相似之处②两家或两家以上响应供应商提供的响应文件出自同一终端设备的，或在相同Internet主机分配地址（相同IP地址）获取采购文件或网上响应的，且经询标澄清响应供应商无令人信服的理由和可靠证据证明其合理性的，经磋商小组半数以上成员确认有串通投标嫌疑的，其响应文件按无效响应处理，不再对其进行评审，也不影响采购工作继续评审。</w:t>
      </w:r>
    </w:p>
    <w:p w14:paraId="1D4B721C">
      <w:pPr>
        <w:pStyle w:val="4"/>
        <w:spacing w:before="0" w:after="0" w:line="40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总则</w:t>
      </w:r>
      <w:bookmarkEnd w:id="27"/>
    </w:p>
    <w:p w14:paraId="4E757B5F">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1.适用范围</w:t>
      </w:r>
    </w:p>
    <w:p w14:paraId="64373E5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1.1招标文件适用于本次所述项目的采购行为（法律、法规另有规定的，从其规定）。</w:t>
      </w:r>
    </w:p>
    <w:p w14:paraId="3586C76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2.定义</w:t>
      </w:r>
    </w:p>
    <w:p w14:paraId="05C1F22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“采购人”系指招标公告中载明的本项目的采购人/招标人。</w:t>
      </w:r>
    </w:p>
    <w:p w14:paraId="1AB22C6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“投标人”系指是指响应招标、参加投标竞争的法人、其他组织或者自然人。</w:t>
      </w:r>
    </w:p>
    <w:p w14:paraId="6495093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“采购代理机构”系指招标公告中载明的本项目的采购代理机构。</w:t>
      </w:r>
    </w:p>
    <w:p w14:paraId="5B75C31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2.4“负责人”系指法人企业的法定代表人，或其他组织为法律、行政法规规定代表单位行使职权的主要负责人。</w:t>
      </w:r>
    </w:p>
    <w:p w14:paraId="016645E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2.5“合同”系指委托方、受托方双方签署的规定委托方、受托方双方权利与义务的协议，以及所有的附件、附录和招标文件所提到的构成合同的所有文件。</w:t>
      </w:r>
    </w:p>
    <w:p w14:paraId="66ACA08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 “产品”系指投标人按招标文件规定，须向采购人提供的一切产品（包括：虚拟产品），以及产品相关的保险、税金、备品备件、附件、耗材、工具、手册及其它有关技术资料和材料等。</w:t>
      </w:r>
    </w:p>
    <w:p w14:paraId="3411183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“服务”系指投标人按招标文件规定应承担的送货上门、安装、调试、技术协助、校准、培训、技术指导以及其他类似的附随义务。</w:t>
      </w:r>
    </w:p>
    <w:p w14:paraId="7FCD52E0">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2.8本文件所指的公章均指供应商的</w:t>
      </w:r>
      <w:r>
        <w:rPr>
          <w:rFonts w:hint="eastAsia" w:ascii="宋体" w:hAnsi="宋体" w:eastAsia="宋体" w:cs="宋体"/>
          <w:b/>
          <w:bCs/>
          <w:sz w:val="24"/>
          <w:szCs w:val="24"/>
          <w:highlight w:val="none"/>
        </w:rPr>
        <w:t>CA</w:t>
      </w:r>
      <w:r>
        <w:rPr>
          <w:rFonts w:hint="eastAsia" w:ascii="宋体" w:hAnsi="宋体" w:eastAsia="宋体" w:cs="宋体"/>
          <w:bCs/>
          <w:sz w:val="24"/>
          <w:szCs w:val="24"/>
          <w:highlight w:val="none"/>
        </w:rPr>
        <w:t>电子章</w:t>
      </w:r>
      <w:r>
        <w:rPr>
          <w:rFonts w:hint="eastAsia" w:ascii="宋体" w:hAnsi="宋体" w:eastAsia="宋体" w:cs="宋体"/>
          <w:b/>
          <w:bCs/>
          <w:sz w:val="24"/>
          <w:szCs w:val="24"/>
          <w:highlight w:val="none"/>
        </w:rPr>
        <w:t>（格式另有要求的除外）</w:t>
      </w:r>
      <w:r>
        <w:rPr>
          <w:rFonts w:hint="eastAsia" w:ascii="宋体" w:hAnsi="宋体" w:eastAsia="宋体" w:cs="宋体"/>
          <w:sz w:val="24"/>
          <w:szCs w:val="24"/>
          <w:highlight w:val="none"/>
        </w:rPr>
        <w:t>。</w:t>
      </w:r>
    </w:p>
    <w:p w14:paraId="1FC93D31">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2.9“电子交易平台”是指本项目采购活动所依托的</w:t>
      </w:r>
      <w:r>
        <w:rPr>
          <w:rFonts w:hint="eastAsia" w:ascii="宋体" w:hAnsi="宋体" w:eastAsia="宋体" w:cs="宋体"/>
          <w:bCs/>
          <w:sz w:val="24"/>
          <w:szCs w:val="24"/>
          <w:highlight w:val="none"/>
          <w:lang w:val="en-US" w:eastAsia="zh-CN"/>
        </w:rPr>
        <w:t>乐采云</w:t>
      </w:r>
      <w:r>
        <w:rPr>
          <w:rFonts w:hint="eastAsia" w:ascii="宋体" w:hAnsi="宋体" w:eastAsia="宋体" w:cs="宋体"/>
          <w:bCs/>
          <w:sz w:val="24"/>
          <w:szCs w:val="24"/>
          <w:highlight w:val="none"/>
        </w:rPr>
        <w:t>平台。</w:t>
      </w:r>
    </w:p>
    <w:p w14:paraId="26E3797F">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2.10“书面形式”包括信函、传真、电邮等。</w:t>
      </w:r>
    </w:p>
    <w:p w14:paraId="499F23B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3.投标人资格条件</w:t>
      </w:r>
    </w:p>
    <w:p w14:paraId="7B09475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3.1符合第一部分申请人的资格要求的规定；</w:t>
      </w:r>
    </w:p>
    <w:p w14:paraId="2CF5609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3.2投标人应遵守有关的法律、法规和规章条例。</w:t>
      </w:r>
    </w:p>
    <w:p w14:paraId="3CA73D27">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4.联合体说明</w:t>
      </w:r>
    </w:p>
    <w:p w14:paraId="15937B1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4.1本项目不接受联合体投标。</w:t>
      </w:r>
    </w:p>
    <w:p w14:paraId="688B9CC2">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5.特别说明</w:t>
      </w:r>
    </w:p>
    <w:p w14:paraId="592B810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单位负责人为同一人或者存在直接控股、管理关系的不同投标人，以及属于同一母公司或集团的不同投标人不得参加同一合同项下的采购活动。</w:t>
      </w:r>
    </w:p>
    <w:p w14:paraId="644A412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 为采购项目提供整体设计、规范编制或者项目管理、监理、检测等服务的投标人，不得再参加该采购项目的其他采购活动。</w:t>
      </w:r>
    </w:p>
    <w:p w14:paraId="6C95916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5.3投标人自行承担所有与投标有关的全部费用。</w:t>
      </w:r>
      <w:bookmarkStart w:id="28" w:name="EBb242ed4d95ae426f999df4b9b64f51fb"/>
      <w:bookmarkEnd w:id="28"/>
      <w:bookmarkStart w:id="29" w:name="EBf33655181aa74616a4714729efbcef95"/>
      <w:bookmarkEnd w:id="29"/>
    </w:p>
    <w:p w14:paraId="5D35CBFE">
      <w:pPr>
        <w:pStyle w:val="4"/>
        <w:spacing w:before="0" w:after="0" w:line="400" w:lineRule="exact"/>
        <w:ind w:firstLine="422"/>
        <w:rPr>
          <w:rFonts w:hint="eastAsia" w:ascii="宋体" w:hAnsi="宋体" w:eastAsia="宋体" w:cs="宋体"/>
          <w:sz w:val="24"/>
          <w:szCs w:val="24"/>
          <w:highlight w:val="none"/>
        </w:rPr>
      </w:pPr>
      <w:bookmarkStart w:id="30" w:name="_Toc43498221"/>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招标文件说明</w:t>
      </w:r>
      <w:bookmarkEnd w:id="30"/>
    </w:p>
    <w:p w14:paraId="55883F8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6.招标文件的构成</w:t>
      </w:r>
    </w:p>
    <w:p w14:paraId="21055D1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6.1招标文件用以阐明所需货物及服务、招标、投标程序和合同条款。招标文件由下述部分组成：</w:t>
      </w:r>
    </w:p>
    <w:p w14:paraId="729057D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6.1.1招标公告</w:t>
      </w:r>
    </w:p>
    <w:p w14:paraId="5CF5B7C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6.1.2投标人须知</w:t>
      </w:r>
    </w:p>
    <w:p w14:paraId="412AE45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6.1.3采购需求</w:t>
      </w:r>
    </w:p>
    <w:p w14:paraId="72853DD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6.1.4评标办法和细则</w:t>
      </w:r>
    </w:p>
    <w:p w14:paraId="69B27A5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6.1.5合同格式</w:t>
      </w:r>
    </w:p>
    <w:p w14:paraId="2659BFA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6.1.6投标相关文件格式</w:t>
      </w:r>
    </w:p>
    <w:p w14:paraId="6025373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6.1.7与本项目有关的招标文件澄清、答复、修改、补充的内容。</w:t>
      </w:r>
    </w:p>
    <w:p w14:paraId="57A8492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7.投标人的风险</w:t>
      </w:r>
    </w:p>
    <w:p w14:paraId="34E3148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67B6CB5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8.招标文件的发售及澄清</w:t>
      </w:r>
    </w:p>
    <w:p w14:paraId="289530A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8.1招标文件澄清、答复、修改、补充的内容为招标文件的组成部分。</w:t>
      </w:r>
    </w:p>
    <w:p w14:paraId="2910B4C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报名投标人认真阅读招标文件，应于招标文件规定的时间前以书面形式或线上询问方式向采购代理机构提出澄清申请。采购代理机构对已发出的招标文件进行必要的澄清或者修改。澄清或者修改内容可能影响投标文件编制的，采购代理机构在投标截止时间15日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乐采云平台(www.lecaiyun.com)</w:t>
      </w:r>
      <w:r>
        <w:rPr>
          <w:rFonts w:hint="eastAsia" w:ascii="宋体" w:hAnsi="宋体" w:eastAsia="宋体" w:cs="宋体"/>
          <w:sz w:val="24"/>
          <w:szCs w:val="24"/>
          <w:highlight w:val="none"/>
        </w:rPr>
        <w:t>和新昌县公共资源交易平台http://www.zjxc.gov.cn/col/col1634736/index.html发布</w:t>
      </w:r>
      <w:r>
        <w:rPr>
          <w:rFonts w:hint="eastAsia" w:ascii="宋体" w:hAnsi="宋体" w:eastAsia="宋体" w:cs="宋体"/>
          <w:sz w:val="24"/>
          <w:szCs w:val="24"/>
          <w:highlight w:val="none"/>
          <w:lang w:val="en-US" w:eastAsia="zh-CN"/>
        </w:rPr>
        <w:t>更正</w:t>
      </w:r>
      <w:r>
        <w:rPr>
          <w:rFonts w:hint="eastAsia" w:ascii="宋体" w:hAnsi="宋体" w:eastAsia="宋体" w:cs="宋体"/>
          <w:sz w:val="24"/>
          <w:szCs w:val="24"/>
          <w:highlight w:val="none"/>
        </w:rPr>
        <w:t>公告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并对其具有约束力。不足15日的，采购代理机构有权顺延提交投标文件的截止时间。</w:t>
      </w:r>
    </w:p>
    <w:p w14:paraId="35ED642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8.3 潜在投标人应密切关注</w:t>
      </w:r>
      <w:r>
        <w:rPr>
          <w:rFonts w:hint="eastAsia" w:ascii="宋体" w:hAnsi="宋体" w:eastAsia="宋体" w:cs="宋体"/>
          <w:b/>
          <w:bCs/>
          <w:sz w:val="24"/>
          <w:szCs w:val="24"/>
          <w:highlight w:val="none"/>
          <w:lang w:eastAsia="zh-CN"/>
        </w:rPr>
        <w:t>乐采云平台(www.lecaiyun.com)</w:t>
      </w:r>
      <w:r>
        <w:rPr>
          <w:rFonts w:hint="eastAsia" w:ascii="宋体" w:hAnsi="宋体" w:eastAsia="宋体" w:cs="宋体"/>
          <w:b/>
          <w:bCs/>
          <w:sz w:val="24"/>
          <w:szCs w:val="24"/>
          <w:highlight w:val="none"/>
        </w:rPr>
        <w:t>和新昌县公共资源交易平台http://www.zjxc.gov.cn/col/col1634736/index.html，如有修改等，投标人应及时响应。</w:t>
      </w:r>
    </w:p>
    <w:p w14:paraId="58EFA000">
      <w:pPr>
        <w:pStyle w:val="4"/>
        <w:spacing w:before="0" w:after="0" w:line="400" w:lineRule="exact"/>
        <w:ind w:firstLine="200" w:firstLineChars="0"/>
        <w:rPr>
          <w:rFonts w:hint="eastAsia" w:ascii="宋体" w:hAnsi="宋体" w:eastAsia="宋体" w:cs="宋体"/>
          <w:sz w:val="24"/>
          <w:szCs w:val="24"/>
          <w:highlight w:val="none"/>
        </w:rPr>
      </w:pPr>
      <w:bookmarkStart w:id="31" w:name="_Toc43498222"/>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投标文件的编写</w:t>
      </w:r>
      <w:bookmarkEnd w:id="31"/>
    </w:p>
    <w:p w14:paraId="49AAAE00">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9.要求</w:t>
      </w:r>
    </w:p>
    <w:p w14:paraId="25B3366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9.1投标人应仔细阅读招标文件的所有内容，按照招标文件的要求提交投标文件，并对所提供的全部资料的真实性承担法律责任。</w:t>
      </w:r>
    </w:p>
    <w:p w14:paraId="5D77DFB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9.2投标文件、投标人与采购有关的往来通知、函件和文件均应使用中文。如涉及非中文内容的，投标人有义务将其内容翻译成中文，一切对非中文内容的误解，都将由投标人承担。</w:t>
      </w:r>
    </w:p>
    <w:p w14:paraId="7006F27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9.3投标文件的形式和效力</w:t>
      </w:r>
    </w:p>
    <w:p w14:paraId="0D4C94C8">
      <w:pPr>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9.3.1 投标文件的形式：投标文件为电子投标文件。</w:t>
      </w:r>
    </w:p>
    <w:p w14:paraId="6EE88DF0">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投标文件的组成</w:t>
      </w:r>
    </w:p>
    <w:p w14:paraId="7293E97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10.1上传的投标文件应分为资格审查文件、商务技术文件、报价文件三部分。资格审查文件、商务技术文件如有报价的内容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其投标文件无效。</w:t>
      </w:r>
    </w:p>
    <w:p w14:paraId="0E660B62">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投标文件编制内容和要求</w:t>
      </w:r>
    </w:p>
    <w:p w14:paraId="2929E3B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11.1 资格审查文件编制内容和要求：</w:t>
      </w:r>
      <w:r>
        <w:rPr>
          <w:rFonts w:hint="eastAsia" w:ascii="宋体" w:hAnsi="宋体" w:eastAsia="宋体" w:cs="宋体"/>
          <w:sz w:val="24"/>
          <w:szCs w:val="24"/>
          <w:highlight w:val="none"/>
        </w:rPr>
        <w:t>格式见第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部分资格审查文件格式</w:t>
      </w:r>
    </w:p>
    <w:p w14:paraId="6898C67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11.1.1公司有效营业执照</w:t>
      </w:r>
      <w:r>
        <w:rPr>
          <w:rFonts w:hint="eastAsia" w:ascii="宋体" w:hAnsi="宋体" w:eastAsia="宋体" w:cs="宋体"/>
          <w:sz w:val="24"/>
          <w:szCs w:val="24"/>
          <w:highlight w:val="none"/>
          <w:u w:val="none"/>
        </w:rPr>
        <w:t>扫描件</w:t>
      </w:r>
      <w:r>
        <w:rPr>
          <w:rFonts w:hint="eastAsia" w:ascii="宋体" w:hAnsi="宋体" w:eastAsia="宋体" w:cs="宋体"/>
          <w:sz w:val="24"/>
          <w:szCs w:val="24"/>
          <w:highlight w:val="none"/>
          <w:u w:val="none"/>
          <w:lang w:val="en-US" w:eastAsia="zh-CN"/>
        </w:rPr>
        <w:t>或复印件</w:t>
      </w:r>
      <w:r>
        <w:rPr>
          <w:rFonts w:hint="eastAsia" w:ascii="宋体" w:hAnsi="宋体" w:eastAsia="宋体" w:cs="宋体"/>
          <w:sz w:val="24"/>
          <w:szCs w:val="24"/>
          <w:highlight w:val="none"/>
        </w:rPr>
        <w:t>；</w:t>
      </w:r>
    </w:p>
    <w:p w14:paraId="32F9376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11.1.2提供自招标公告发布之日起至响应截止日内任意时间的“信用中国”网站（www.creditchina.gov.cn）中国政府采购网（www.ccgp.gov.cn）信用查询网页截图；</w:t>
      </w:r>
    </w:p>
    <w:p w14:paraId="6551CF10">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11.1.3履约承诺函</w:t>
      </w:r>
      <w:r>
        <w:rPr>
          <w:rFonts w:hint="eastAsia" w:ascii="宋体" w:hAnsi="宋体" w:cs="宋体"/>
          <w:sz w:val="24"/>
          <w:szCs w:val="24"/>
          <w:highlight w:val="none"/>
          <w:lang w:eastAsia="zh-CN"/>
        </w:rPr>
        <w:t>；</w:t>
      </w:r>
    </w:p>
    <w:p w14:paraId="55888B3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11.1.4无重大违法记录声明书；</w:t>
      </w:r>
    </w:p>
    <w:p w14:paraId="228A70BC">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11.1.5</w:t>
      </w: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rPr>
        <w:t>身份</w:t>
      </w:r>
      <w:r>
        <w:rPr>
          <w:rFonts w:hint="eastAsia" w:ascii="宋体" w:hAnsi="宋体" w:eastAsia="宋体" w:cs="宋体"/>
          <w:sz w:val="24"/>
          <w:szCs w:val="24"/>
          <w:highlight w:val="none"/>
          <w:lang w:val="en-US" w:eastAsia="zh-CN"/>
        </w:rPr>
        <w:t>证明书</w:t>
      </w:r>
      <w:r>
        <w:rPr>
          <w:rFonts w:hint="eastAsia" w:ascii="宋体" w:hAnsi="宋体" w:eastAsia="宋体" w:cs="宋体"/>
          <w:sz w:val="24"/>
          <w:szCs w:val="24"/>
          <w:highlight w:val="none"/>
        </w:rPr>
        <w:t>（委托代理人参加投标的，提供授权委托书及委托代理人身份证</w:t>
      </w:r>
      <w:r>
        <w:rPr>
          <w:rFonts w:hint="eastAsia" w:ascii="宋体" w:hAnsi="宋体" w:eastAsia="宋体" w:cs="宋体"/>
          <w:sz w:val="24"/>
          <w:szCs w:val="24"/>
          <w:highlight w:val="none"/>
          <w:u w:val="none"/>
        </w:rPr>
        <w:t>扫描件</w:t>
      </w:r>
      <w:r>
        <w:rPr>
          <w:rFonts w:hint="eastAsia" w:ascii="宋体" w:hAnsi="宋体" w:eastAsia="宋体" w:cs="宋体"/>
          <w:sz w:val="24"/>
          <w:szCs w:val="24"/>
          <w:highlight w:val="none"/>
          <w:u w:val="none"/>
          <w:lang w:val="en-US" w:eastAsia="zh-CN"/>
        </w:rPr>
        <w:t>或复印件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249AFA9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11.2商务技术文件编制内容和要求</w:t>
      </w:r>
    </w:p>
    <w:p w14:paraId="7F3FC684">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11.2.1自评分表（格式自拟）；</w:t>
      </w:r>
    </w:p>
    <w:p w14:paraId="4AB83A48">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11.2.2投标声明书（格式见第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w:t>
      </w:r>
    </w:p>
    <w:p w14:paraId="6FCA0C72">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11.2.3根据评分表及项目需求情况，自行添加相关表格及资料；</w:t>
      </w:r>
    </w:p>
    <w:p w14:paraId="07E620E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11.3报价文件内容: 详见第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部分格式</w:t>
      </w:r>
    </w:p>
    <w:p w14:paraId="46CB8248">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11.3.1</w:t>
      </w:r>
      <w:r>
        <w:rPr>
          <w:rFonts w:hint="eastAsia" w:ascii="宋体" w:hAnsi="宋体" w:eastAsia="宋体" w:cs="宋体"/>
          <w:sz w:val="24"/>
          <w:szCs w:val="24"/>
          <w:highlight w:val="none"/>
          <w:lang w:val="en-US" w:eastAsia="zh-CN"/>
        </w:rPr>
        <w:t>开标一览表。</w:t>
      </w:r>
    </w:p>
    <w:p w14:paraId="74C72A48">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应在招标文件所附的投标价格表上写明投标单价。投标人只允许有一个报价,采购人不接受有任何选择的报价。投标报价高于采购预算单价和总价(最高限价)的不进入报价标评审，视报价分为零分。并不得推荐为中标候选人。</w:t>
      </w:r>
    </w:p>
    <w:p w14:paraId="5C11576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12.排版</w:t>
      </w:r>
    </w:p>
    <w:p w14:paraId="05DA3AC8">
      <w:pPr>
        <w:wordWrap w:val="0"/>
        <w:spacing w:line="40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按</w:t>
      </w:r>
      <w:r>
        <w:rPr>
          <w:rFonts w:hint="eastAsia" w:ascii="宋体" w:hAnsi="宋体" w:eastAsia="宋体" w:cs="宋体"/>
          <w:b/>
          <w:bCs/>
          <w:sz w:val="24"/>
          <w:szCs w:val="24"/>
          <w:highlight w:val="none"/>
          <w:lang w:val="en-US" w:eastAsia="zh-CN"/>
        </w:rPr>
        <w:t>乐采云</w:t>
      </w:r>
      <w:r>
        <w:rPr>
          <w:rFonts w:hint="eastAsia" w:ascii="宋体" w:hAnsi="宋体" w:eastAsia="宋体" w:cs="宋体"/>
          <w:b/>
          <w:bCs/>
          <w:sz w:val="24"/>
          <w:szCs w:val="24"/>
          <w:highlight w:val="none"/>
        </w:rPr>
        <w:t>平台操作指南和本招标文件要求编制</w:t>
      </w:r>
      <w:r>
        <w:rPr>
          <w:rFonts w:hint="eastAsia" w:ascii="宋体" w:hAnsi="宋体" w:eastAsia="宋体" w:cs="宋体"/>
          <w:b/>
          <w:bCs/>
          <w:sz w:val="24"/>
          <w:szCs w:val="24"/>
          <w:highlight w:val="none"/>
          <w:lang w:eastAsia="zh-CN"/>
        </w:rPr>
        <w:t>。</w:t>
      </w:r>
    </w:p>
    <w:p w14:paraId="40130266">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13.投标有效期</w:t>
      </w:r>
    </w:p>
    <w:p w14:paraId="27A27F8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w:t>
      </w:r>
      <w:r>
        <w:rPr>
          <w:rFonts w:hint="eastAsia" w:ascii="宋体" w:hAnsi="宋体" w:eastAsia="宋体" w:cs="宋体"/>
          <w:snapToGrid w:val="0"/>
          <w:sz w:val="24"/>
          <w:szCs w:val="24"/>
          <w:highlight w:val="none"/>
        </w:rPr>
        <w:t>提交投标文件的截止之日起90天内有效。</w:t>
      </w:r>
    </w:p>
    <w:p w14:paraId="00CE2AD4">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14.投标文件的签署及规定</w:t>
      </w:r>
    </w:p>
    <w:p w14:paraId="080A24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14.1电报、电话、传真形式的投标概不接受。</w:t>
      </w:r>
    </w:p>
    <w:p w14:paraId="7C469A39">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14.2</w:t>
      </w:r>
      <w:r>
        <w:rPr>
          <w:rFonts w:hint="eastAsia" w:ascii="宋体" w:hAnsi="宋体" w:eastAsia="宋体" w:cs="宋体"/>
          <w:bCs/>
          <w:sz w:val="24"/>
          <w:szCs w:val="24"/>
          <w:highlight w:val="none"/>
        </w:rPr>
        <w:t>投标文件按照招标文件第</w:t>
      </w:r>
      <w:r>
        <w:rPr>
          <w:rFonts w:hint="eastAsia" w:ascii="宋体" w:hAnsi="宋体" w:eastAsia="宋体" w:cs="宋体"/>
          <w:bCs/>
          <w:sz w:val="24"/>
          <w:szCs w:val="24"/>
          <w:highlight w:val="none"/>
          <w:lang w:val="en-US" w:eastAsia="zh-CN"/>
        </w:rPr>
        <w:t>六</w:t>
      </w:r>
      <w:r>
        <w:rPr>
          <w:rFonts w:hint="eastAsia" w:ascii="宋体" w:hAnsi="宋体" w:eastAsia="宋体" w:cs="宋体"/>
          <w:bCs/>
          <w:sz w:val="24"/>
          <w:szCs w:val="24"/>
          <w:highlight w:val="none"/>
        </w:rPr>
        <w:t>部分格式要求进行签署、盖章。投标人的投标文件未按照招标文件要求签署、盖章的，其投标无效。</w:t>
      </w:r>
    </w:p>
    <w:p w14:paraId="64237036">
      <w:pPr>
        <w:wordWrap w:val="0"/>
        <w:spacing w:line="400" w:lineRule="exact"/>
        <w:ind w:firstLine="480" w:firstLineChars="200"/>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14.3</w:t>
      </w:r>
      <w:r>
        <w:rPr>
          <w:rFonts w:hint="eastAsia" w:ascii="宋体" w:hAnsi="宋体" w:eastAsia="宋体" w:cs="宋体"/>
          <w:b/>
          <w:bCs/>
          <w:sz w:val="24"/>
          <w:szCs w:val="24"/>
          <w:highlight w:val="none"/>
        </w:rPr>
        <w:t>电子投标文件编制要求：按</w:t>
      </w:r>
      <w:r>
        <w:rPr>
          <w:rFonts w:hint="eastAsia" w:ascii="宋体" w:hAnsi="宋体" w:eastAsia="宋体" w:cs="宋体"/>
          <w:b/>
          <w:bCs/>
          <w:sz w:val="24"/>
          <w:szCs w:val="24"/>
          <w:highlight w:val="none"/>
          <w:lang w:val="en-US" w:eastAsia="zh-CN"/>
        </w:rPr>
        <w:t>乐采云</w:t>
      </w:r>
      <w:r>
        <w:rPr>
          <w:rFonts w:hint="eastAsia" w:ascii="宋体" w:hAnsi="宋体" w:eastAsia="宋体" w:cs="宋体"/>
          <w:b/>
          <w:bCs/>
          <w:sz w:val="24"/>
          <w:szCs w:val="24"/>
          <w:highlight w:val="none"/>
        </w:rPr>
        <w:t>平台操作指南和本招标文件要求编制</w:t>
      </w:r>
      <w:r>
        <w:rPr>
          <w:rFonts w:hint="eastAsia" w:ascii="宋体" w:hAnsi="宋体" w:eastAsia="宋体" w:cs="宋体"/>
          <w:b/>
          <w:bCs/>
          <w:sz w:val="24"/>
          <w:szCs w:val="24"/>
          <w:highlight w:val="none"/>
          <w:lang w:eastAsia="zh-CN"/>
        </w:rPr>
        <w:t>。</w:t>
      </w:r>
    </w:p>
    <w:p w14:paraId="48B60176">
      <w:pPr>
        <w:pStyle w:val="4"/>
        <w:spacing w:before="0" w:after="0" w:line="400" w:lineRule="exact"/>
        <w:ind w:firstLine="422"/>
        <w:rPr>
          <w:rFonts w:hint="eastAsia" w:ascii="宋体" w:hAnsi="宋体" w:eastAsia="宋体" w:cs="宋体"/>
          <w:sz w:val="24"/>
          <w:szCs w:val="24"/>
          <w:highlight w:val="none"/>
        </w:rPr>
      </w:pPr>
      <w:bookmarkStart w:id="32" w:name="_Toc107820049"/>
      <w:bookmarkStart w:id="33" w:name="_Toc56928685"/>
      <w:bookmarkStart w:id="34" w:name="_Toc43498223"/>
      <w:r>
        <w:rPr>
          <w:rFonts w:hint="eastAsia" w:ascii="宋体" w:hAnsi="宋体" w:eastAsia="宋体" w:cs="宋体"/>
          <w:sz w:val="24"/>
          <w:szCs w:val="24"/>
          <w:highlight w:val="none"/>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投标文件的</w:t>
      </w:r>
      <w:bookmarkEnd w:id="32"/>
      <w:bookmarkEnd w:id="33"/>
      <w:r>
        <w:rPr>
          <w:rFonts w:hint="eastAsia" w:ascii="宋体" w:hAnsi="宋体" w:eastAsia="宋体" w:cs="宋体"/>
          <w:sz w:val="24"/>
          <w:szCs w:val="24"/>
          <w:highlight w:val="none"/>
        </w:rPr>
        <w:t>包装、提交、修改和撤回</w:t>
      </w:r>
      <w:bookmarkEnd w:id="34"/>
    </w:p>
    <w:p w14:paraId="11D8431B">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15.投标文件的密封和标记</w:t>
      </w:r>
    </w:p>
    <w:p w14:paraId="410D64F4">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15.1电子投标文件按</w:t>
      </w:r>
      <w:r>
        <w:rPr>
          <w:rFonts w:hint="eastAsia" w:ascii="宋体" w:hAnsi="宋体" w:eastAsia="宋体" w:cs="宋体"/>
          <w:b/>
          <w:bCs/>
          <w:sz w:val="24"/>
          <w:szCs w:val="24"/>
          <w:highlight w:val="none"/>
          <w:lang w:val="en-US" w:eastAsia="zh-CN"/>
        </w:rPr>
        <w:t>乐采云</w:t>
      </w:r>
      <w:r>
        <w:rPr>
          <w:rFonts w:hint="eastAsia" w:ascii="宋体" w:hAnsi="宋体" w:eastAsia="宋体" w:cs="宋体"/>
          <w:b/>
          <w:bCs/>
          <w:sz w:val="24"/>
          <w:szCs w:val="24"/>
          <w:highlight w:val="none"/>
        </w:rPr>
        <w:t>平台投标人操作指南进行加密，其中电子投标文件中所须加盖公章部分采用CA签章或签章后扫描上传。</w:t>
      </w:r>
    </w:p>
    <w:p w14:paraId="46CB33C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15.2按招标文件第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部分提供的格式制作。</w:t>
      </w:r>
    </w:p>
    <w:p w14:paraId="740AFED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15.3超过截止时间上传电子投标文件将被拒绝。由投标人标记错误造成投标文件被误投或提前解密的风险由投标人承担。</w:t>
      </w:r>
    </w:p>
    <w:p w14:paraId="52B93412">
      <w:pPr>
        <w:spacing w:line="400" w:lineRule="exact"/>
        <w:ind w:firstLine="482" w:firstLineChars="200"/>
        <w:rPr>
          <w:rFonts w:hint="eastAsia" w:ascii="宋体" w:hAnsi="宋体" w:eastAsia="宋体" w:cs="宋体"/>
          <w:b/>
          <w:bCs/>
          <w:sz w:val="24"/>
          <w:szCs w:val="24"/>
          <w:highlight w:val="none"/>
        </w:rPr>
      </w:pPr>
      <w:bookmarkStart w:id="35" w:name="_Toc107820050"/>
      <w:r>
        <w:rPr>
          <w:rFonts w:hint="eastAsia" w:ascii="宋体" w:hAnsi="宋体" w:eastAsia="宋体" w:cs="宋体"/>
          <w:b/>
          <w:bCs/>
          <w:sz w:val="24"/>
          <w:szCs w:val="24"/>
          <w:highlight w:val="none"/>
        </w:rPr>
        <w:t>16.投标文件的提交</w:t>
      </w:r>
    </w:p>
    <w:p w14:paraId="53343A9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16.1在投标截止时间前，投标人应按招标文件规定的时间和方式提交投标文件。在投标截止时间后，采购代理机构将拒收投标人的投标文件。</w:t>
      </w:r>
    </w:p>
    <w:p w14:paraId="252F050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16.2不予接收的电子投标文件情形</w:t>
      </w:r>
    </w:p>
    <w:p w14:paraId="1E29038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(1)投标截止时间前未完成传输的电子投标文件；</w:t>
      </w:r>
    </w:p>
    <w:p w14:paraId="296310B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(2)未生成加密的电子投标文件；</w:t>
      </w:r>
    </w:p>
    <w:p w14:paraId="75067B57">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(3)在规定时间内未解密的电子投标文件</w:t>
      </w:r>
      <w:r>
        <w:rPr>
          <w:rFonts w:hint="eastAsia" w:ascii="宋体" w:hAnsi="宋体" w:eastAsia="宋体" w:cs="宋体"/>
          <w:sz w:val="24"/>
          <w:szCs w:val="24"/>
          <w:highlight w:val="none"/>
          <w:lang w:eastAsia="zh-CN"/>
        </w:rPr>
        <w:t>。</w:t>
      </w:r>
    </w:p>
    <w:p w14:paraId="72E2D9D6">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17.投标文件的修改和撤销</w:t>
      </w:r>
    </w:p>
    <w:p w14:paraId="3C5AB4E7">
      <w:pPr>
        <w:spacing w:line="400" w:lineRule="exact"/>
        <w:ind w:firstLine="480" w:firstLineChars="200"/>
        <w:rPr>
          <w:rFonts w:hint="eastAsia" w:ascii="宋体" w:hAnsi="宋体" w:eastAsia="宋体" w:cs="宋体"/>
          <w:sz w:val="24"/>
          <w:szCs w:val="24"/>
          <w:highlight w:val="none"/>
          <w:lang w:eastAsia="zh-CN"/>
        </w:rPr>
      </w:pPr>
      <w:bookmarkStart w:id="36" w:name="_Toc43498224"/>
      <w:r>
        <w:rPr>
          <w:rFonts w:hint="eastAsia" w:ascii="宋体" w:hAnsi="宋体" w:eastAsia="宋体" w:cs="宋体"/>
          <w:sz w:val="24"/>
          <w:szCs w:val="24"/>
          <w:highlight w:val="none"/>
        </w:rPr>
        <w:t>17.1在投标截止时间前，可以修改或撤回其投标文件：（1）电子投标文件补充、修改或撤回的，应当先行撤回原文件，补充、修改后重新传输提交</w:t>
      </w:r>
      <w:r>
        <w:rPr>
          <w:rFonts w:hint="eastAsia" w:ascii="宋体" w:hAnsi="宋体" w:eastAsia="宋体" w:cs="宋体"/>
          <w:sz w:val="24"/>
          <w:szCs w:val="24"/>
          <w:highlight w:val="none"/>
          <w:lang w:eastAsia="zh-CN"/>
        </w:rPr>
        <w:t>。</w:t>
      </w:r>
    </w:p>
    <w:p w14:paraId="6849301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17.2修改后重新提交的投标文件应按招标文件的规定编制、标记和提交。</w:t>
      </w:r>
    </w:p>
    <w:p w14:paraId="6528F49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17.3在投标截止时间后,投标人不得修改、撤回已提交的投标文件。</w:t>
      </w:r>
    </w:p>
    <w:p w14:paraId="61E8331F">
      <w:pPr>
        <w:pStyle w:val="4"/>
        <w:spacing w:before="0" w:after="0" w:line="40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开标和评</w:t>
      </w:r>
      <w:bookmarkEnd w:id="35"/>
      <w:r>
        <w:rPr>
          <w:rFonts w:hint="eastAsia" w:ascii="宋体" w:hAnsi="宋体" w:eastAsia="宋体" w:cs="宋体"/>
          <w:sz w:val="24"/>
          <w:szCs w:val="24"/>
          <w:highlight w:val="none"/>
        </w:rPr>
        <w:t>审</w:t>
      </w:r>
      <w:bookmarkEnd w:id="36"/>
    </w:p>
    <w:p w14:paraId="3554A09A">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18.开标</w:t>
      </w:r>
    </w:p>
    <w:p w14:paraId="5C79D294">
      <w:pPr>
        <w:spacing w:line="400" w:lineRule="exact"/>
        <w:ind w:firstLine="480" w:firstLineChars="200"/>
        <w:rPr>
          <w:rFonts w:hint="eastAsia" w:ascii="宋体" w:hAnsi="宋体" w:eastAsia="宋体" w:cs="宋体"/>
          <w:b/>
          <w:sz w:val="24"/>
          <w:szCs w:val="24"/>
          <w:highlight w:val="none"/>
        </w:rPr>
      </w:pPr>
      <w:bookmarkStart w:id="37" w:name="_Toc415648536"/>
      <w:bookmarkStart w:id="38" w:name="_Toc396838136"/>
      <w:bookmarkStart w:id="39" w:name="_Toc393869892"/>
      <w:bookmarkStart w:id="40" w:name="_Toc393869894"/>
      <w:bookmarkStart w:id="41" w:name="_Toc335664280"/>
      <w:bookmarkStart w:id="42" w:name="_Toc334087238"/>
      <w:bookmarkStart w:id="43" w:name="_Toc394928032"/>
      <w:bookmarkStart w:id="44" w:name="_Toc107820051"/>
      <w:r>
        <w:rPr>
          <w:rFonts w:hint="eastAsia" w:ascii="宋体" w:hAnsi="宋体" w:eastAsia="宋体" w:cs="宋体"/>
          <w:bCs/>
          <w:sz w:val="24"/>
          <w:szCs w:val="24"/>
          <w:highlight w:val="none"/>
        </w:rPr>
        <w:t>18.1采购代理机构按照招标文件规定的时间通过电子交易平台组织开标，所有投标人均应当准时在线参加。投标人不足3家的，不得开标。</w:t>
      </w:r>
    </w:p>
    <w:p w14:paraId="3F1610C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18.2开标时，电子交易平台按开标时间自动提取所有投标文件。采购代理机构依托电子交易平台发起开始解密指令，投标人按照平台提示和招标文件的规定完成在线解密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30分钟内完成解密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4339B2E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18.3投标文件未按时解密，视为投标文件撤回。</w:t>
      </w:r>
    </w:p>
    <w:p w14:paraId="6C8D060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18.4投标人认为采购人员及相关人员与其他投标人有利害关系的，可向采购代理机构提出回避申请，并说明理</w:t>
      </w:r>
      <w:r>
        <w:rPr>
          <w:rFonts w:hint="eastAsia" w:ascii="宋体" w:hAnsi="宋体" w:eastAsia="宋体" w:cs="宋体"/>
          <w:sz w:val="24"/>
          <w:szCs w:val="24"/>
          <w:highlight w:val="none"/>
        </w:rPr>
        <w:t>由，申请须由投标人代表签字或盖章。</w:t>
      </w:r>
    </w:p>
    <w:p w14:paraId="1C0E039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 资格审查</w:t>
      </w:r>
    </w:p>
    <w:p w14:paraId="0039F21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19.1开标后，</w:t>
      </w:r>
      <w:r>
        <w:rPr>
          <w:rFonts w:hint="eastAsia" w:ascii="宋体" w:hAnsi="宋体" w:eastAsia="宋体" w:cs="宋体"/>
          <w:sz w:val="24"/>
          <w:szCs w:val="24"/>
          <w:highlight w:val="none"/>
          <w:lang w:val="en-US" w:eastAsia="zh-CN"/>
        </w:rPr>
        <w:t>评审小组</w:t>
      </w:r>
      <w:r>
        <w:rPr>
          <w:rFonts w:hint="eastAsia" w:ascii="宋体" w:hAnsi="宋体" w:eastAsia="宋体" w:cs="宋体"/>
          <w:sz w:val="24"/>
          <w:szCs w:val="24"/>
          <w:highlight w:val="none"/>
        </w:rPr>
        <w:t>将依法对投标人的资格进行审查。</w:t>
      </w:r>
    </w:p>
    <w:p w14:paraId="3D0853E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19.2</w:t>
      </w:r>
      <w:r>
        <w:rPr>
          <w:rFonts w:hint="eastAsia" w:ascii="宋体" w:hAnsi="宋体" w:eastAsia="宋体" w:cs="宋体"/>
          <w:sz w:val="24"/>
          <w:szCs w:val="24"/>
          <w:highlight w:val="none"/>
          <w:lang w:val="en-US" w:eastAsia="zh-CN"/>
        </w:rPr>
        <w:t>评审小组</w:t>
      </w:r>
      <w:r>
        <w:rPr>
          <w:rFonts w:hint="eastAsia" w:ascii="宋体" w:hAnsi="宋体" w:eastAsia="宋体" w:cs="宋体"/>
          <w:sz w:val="24"/>
          <w:szCs w:val="24"/>
          <w:highlight w:val="none"/>
        </w:rPr>
        <w:t>依据法律法规和招标文件的规定，对投标人的基本资格条件、特定资格条件进行审查。</w:t>
      </w:r>
    </w:p>
    <w:p w14:paraId="7339425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19.3投标人未按照招标文件要求提供与基本资格条件、特定资格条件相应的有效资格证明材料的，视为投标人不具备招标文件中规定的资格要求，其投标无效。</w:t>
      </w:r>
    </w:p>
    <w:p w14:paraId="421D81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19.4对未通过资格审查的投标人，采购人或采购代理机构告知其未通过的原因。</w:t>
      </w:r>
    </w:p>
    <w:p w14:paraId="7F0A12C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19.5合格投标人不足3家的，不再继续评标。</w:t>
      </w:r>
    </w:p>
    <w:p w14:paraId="01CF7C1D">
      <w:pPr>
        <w:numPr>
          <w:ilvl w:val="0"/>
          <w:numId w:val="1"/>
        </w:num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6信用信息查询</w:t>
      </w:r>
    </w:p>
    <w:p w14:paraId="780AFEEC">
      <w:pPr>
        <w:numPr>
          <w:ilvl w:val="255"/>
          <w:numId w:val="0"/>
        </w:num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19.6.1信用信息查询渠道及截止时间：采购代理机构将通过“信用中国”网站、中国政府采购网渠道查询投标人投标截止时间当天的信用记录。</w:t>
      </w:r>
    </w:p>
    <w:p w14:paraId="797E7F9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19.6.2信用信息的使用规则：经查询列入失信被执行人名单、重大税收违法案件当事人名单、采购严重违法失信行为记录名单的投标人将被拒绝参与采购活动。</w:t>
      </w:r>
    </w:p>
    <w:p w14:paraId="77FD7A5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20.评审流程</w:t>
      </w:r>
    </w:p>
    <w:p w14:paraId="6EF591BD">
      <w:pPr>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20.1采购代理机构和采购人将根据采购项目的特点组建</w:t>
      </w:r>
      <w:r>
        <w:rPr>
          <w:rFonts w:hint="eastAsia" w:ascii="宋体" w:hAnsi="宋体" w:eastAsia="宋体" w:cs="宋体"/>
          <w:sz w:val="24"/>
          <w:szCs w:val="24"/>
          <w:highlight w:val="none"/>
        </w:rPr>
        <w:t>评标委员会</w:t>
      </w:r>
      <w:r>
        <w:rPr>
          <w:rFonts w:hint="eastAsia" w:ascii="宋体" w:hAnsi="宋体" w:eastAsia="宋体" w:cs="宋体"/>
          <w:kern w:val="0"/>
          <w:sz w:val="24"/>
          <w:szCs w:val="24"/>
          <w:highlight w:val="none"/>
        </w:rPr>
        <w:t>，其成员由技术、经济等方面的专家和采购人代表组成。</w:t>
      </w:r>
      <w:r>
        <w:rPr>
          <w:rFonts w:hint="eastAsia" w:ascii="宋体" w:hAnsi="宋体" w:eastAsia="宋体" w:cs="宋体"/>
          <w:sz w:val="24"/>
          <w:szCs w:val="24"/>
          <w:highlight w:val="none"/>
        </w:rPr>
        <w:t>评标委员会</w:t>
      </w:r>
      <w:r>
        <w:rPr>
          <w:rFonts w:hint="eastAsia" w:ascii="宋体" w:hAnsi="宋体" w:eastAsia="宋体" w:cs="宋体"/>
          <w:kern w:val="0"/>
          <w:sz w:val="24"/>
          <w:szCs w:val="24"/>
          <w:highlight w:val="none"/>
        </w:rPr>
        <w:t>对投标文件进行符合性审查、询标、评价和推荐中标候选人。</w:t>
      </w:r>
    </w:p>
    <w:p w14:paraId="227E071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20.1.1符合性审查</w:t>
      </w:r>
    </w:p>
    <w:p w14:paraId="110EC8B3">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根据招标文件的规定，从投标文件的有效性、完整性和对招标文件的响应程度进行审查，以确定是否对招标文件的实质性要求作出响应。</w:t>
      </w:r>
      <w:r>
        <w:rPr>
          <w:rFonts w:hint="eastAsia" w:ascii="宋体" w:hAnsi="宋体" w:eastAsia="宋体" w:cs="宋体"/>
          <w:b/>
          <w:bCs/>
          <w:sz w:val="24"/>
          <w:szCs w:val="24"/>
          <w:highlight w:val="none"/>
        </w:rPr>
        <w:t>通过符合性审查不足三家的，除采购任务取消情形外，按相关规定重新组织招标。</w:t>
      </w:r>
    </w:p>
    <w:p w14:paraId="4BB740A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20.1.2 商务技术文件评审</w:t>
      </w:r>
    </w:p>
    <w:p w14:paraId="632CEEB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评标委员会依据招标文件的规定，对各</w:t>
      </w:r>
      <w:r>
        <w:rPr>
          <w:rFonts w:hint="eastAsia" w:ascii="宋体" w:hAnsi="宋体" w:eastAsia="宋体" w:cs="宋体"/>
          <w:kern w:val="0"/>
          <w:sz w:val="24"/>
          <w:szCs w:val="24"/>
          <w:highlight w:val="none"/>
        </w:rPr>
        <w:t>投标人的商务</w:t>
      </w:r>
      <w:r>
        <w:rPr>
          <w:rFonts w:hint="eastAsia" w:ascii="宋体" w:hAnsi="宋体" w:eastAsia="宋体" w:cs="宋体"/>
          <w:sz w:val="24"/>
          <w:szCs w:val="24"/>
          <w:highlight w:val="none"/>
        </w:rPr>
        <w:t>技术文件进行评审（商务资信部分讨论统一后由组长评审、技术部分独立评审），对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进行比较和必要的澄清。</w:t>
      </w:r>
    </w:p>
    <w:p w14:paraId="6F05F56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20.1.3报价文件评审</w:t>
      </w:r>
    </w:p>
    <w:p w14:paraId="4E22612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评标委员会依据招标文件的规定，对各投标人的报价的合理性进行审查，必要时可要求投标人对其报价做出澄清、说明。</w:t>
      </w:r>
    </w:p>
    <w:p w14:paraId="6D99CA8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 报价文件的澄清</w:t>
      </w:r>
    </w:p>
    <w:p w14:paraId="22159EAF">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21.1 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中含义不明确、同类问题表述不一致或者有明显文字和计算错误等内容，评标委员会应当通过</w:t>
      </w:r>
      <w:r>
        <w:rPr>
          <w:rFonts w:hint="eastAsia" w:ascii="宋体" w:hAnsi="宋体" w:eastAsia="宋体" w:cs="宋体"/>
          <w:sz w:val="24"/>
          <w:szCs w:val="24"/>
          <w:highlight w:val="none"/>
          <w:lang w:val="en-US" w:eastAsia="zh-CN"/>
        </w:rPr>
        <w:t>乐采云</w:t>
      </w:r>
      <w:r>
        <w:rPr>
          <w:rFonts w:hint="eastAsia" w:ascii="宋体" w:hAnsi="宋体" w:eastAsia="宋体" w:cs="宋体"/>
          <w:sz w:val="24"/>
          <w:szCs w:val="24"/>
          <w:highlight w:val="none"/>
        </w:rPr>
        <w:t>平台要求投标人作出必要的澄清、说明或者补正。投标人的澄清、说明或者补正应当通过</w:t>
      </w:r>
      <w:r>
        <w:rPr>
          <w:rFonts w:hint="eastAsia" w:ascii="宋体" w:hAnsi="宋体" w:eastAsia="宋体" w:cs="宋体"/>
          <w:sz w:val="24"/>
          <w:szCs w:val="24"/>
          <w:highlight w:val="none"/>
          <w:lang w:val="en-US" w:eastAsia="zh-CN"/>
        </w:rPr>
        <w:t>乐采云</w:t>
      </w:r>
      <w:r>
        <w:rPr>
          <w:rFonts w:hint="eastAsia" w:ascii="宋体" w:hAnsi="宋体" w:eastAsia="宋体" w:cs="宋体"/>
          <w:sz w:val="24"/>
          <w:szCs w:val="24"/>
          <w:highlight w:val="none"/>
        </w:rPr>
        <w:t>平台完成。投标人的澄清、说明或者补正不得超出投标文件的范围或者改变投标文件的实质性内容。</w:t>
      </w:r>
    </w:p>
    <w:p w14:paraId="2EFF5FB7">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21.2 报价算术错误将按以下方法修正：</w:t>
      </w:r>
    </w:p>
    <w:p w14:paraId="70CD35DB">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报价文件</w:t>
      </w:r>
      <w:r>
        <w:rPr>
          <w:rFonts w:hint="eastAsia" w:ascii="宋体" w:hAnsi="宋体" w:eastAsia="宋体" w:cs="宋体"/>
          <w:sz w:val="24"/>
          <w:szCs w:val="24"/>
          <w:highlight w:val="none"/>
        </w:rPr>
        <w:t>中开标一览表（报价表）内容与</w:t>
      </w:r>
      <w:r>
        <w:rPr>
          <w:rFonts w:hint="eastAsia" w:ascii="宋体" w:hAnsi="宋体" w:eastAsia="宋体" w:cs="宋体"/>
          <w:kern w:val="0"/>
          <w:sz w:val="24"/>
          <w:szCs w:val="24"/>
          <w:highlight w:val="none"/>
        </w:rPr>
        <w:t>报价</w:t>
      </w:r>
      <w:r>
        <w:rPr>
          <w:rFonts w:hint="eastAsia" w:ascii="宋体" w:hAnsi="宋体" w:eastAsia="宋体" w:cs="宋体"/>
          <w:sz w:val="24"/>
          <w:szCs w:val="24"/>
          <w:highlight w:val="none"/>
        </w:rPr>
        <w:t>明细表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若有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相应内容不一致的，以开标一览表（报价表）为准；</w:t>
      </w:r>
    </w:p>
    <w:p w14:paraId="374E1FD0">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（2）报价文件的大写金额和小写金额不一致的，以大写金额为准；</w:t>
      </w:r>
    </w:p>
    <w:p w14:paraId="6E13BD85">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（3）单价金额小数点或者百分比有明显错位的，以开标一览表（报价表）的总价为准，并修改单价；</w:t>
      </w:r>
    </w:p>
    <w:p w14:paraId="043E1E7B">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（4）总价金额与按单价汇总金额不一致的，以单价金额计算结果为准；</w:t>
      </w:r>
    </w:p>
    <w:p w14:paraId="66D03BD3">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（5）同时出现两种以上不一致的，按上述顺序修正。</w:t>
      </w:r>
    </w:p>
    <w:p w14:paraId="32740E23">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（6）对不同文字文本</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的解释发生异议的，以中文文本为准。</w:t>
      </w:r>
    </w:p>
    <w:p w14:paraId="78A65653">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22771C3">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对投标文件的比较和评价</w:t>
      </w:r>
    </w:p>
    <w:p w14:paraId="6DCF44A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266D7DEF">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22.2 相同品牌的产品</w:t>
      </w:r>
    </w:p>
    <w:p w14:paraId="156490A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944CB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22.2.2如按一家有效投标人认定后，造成项目有效投标人不足三家的，项目应予以废标处理</w:t>
      </w:r>
    </w:p>
    <w:p w14:paraId="4A9BD816">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 评标报告</w:t>
      </w:r>
    </w:p>
    <w:p w14:paraId="2B16BA6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23.1评标委员会根据全体评审成员的原始评审记录和评审结果编写评标报告，并推荐中标候选人，评审报告由评标委员会成员确认提交。</w:t>
      </w:r>
    </w:p>
    <w:p w14:paraId="01501AA3">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24.采购过程中出现以下情形，导致电子交易平台无法正常运行，或者无法保证电子交易的公平、公正和安全时，可中止电子交易活动：</w:t>
      </w:r>
    </w:p>
    <w:p w14:paraId="406557F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（一）电子交易平台发生故障而无法登录访问的； </w:t>
      </w:r>
    </w:p>
    <w:p w14:paraId="02C0771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（二）电子交易平台应用或数据库出现错误，不能进行正常操作的；</w:t>
      </w:r>
    </w:p>
    <w:p w14:paraId="723364F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（三）电子交易平台发现严重安全漏洞，有潜在泄密危险的；</w:t>
      </w:r>
    </w:p>
    <w:p w14:paraId="21A9A8A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（四）病毒发作导致不能进行正常操作的； </w:t>
      </w:r>
    </w:p>
    <w:p w14:paraId="2101EC5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（五）其他无法保证电子交易的公平、公正和安全的情况。</w:t>
      </w:r>
    </w:p>
    <w:p w14:paraId="1E9B3C1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出现前款规定情形，不影响采购公平、公正性的，采购代理机构可以待上述情形消除后继续组织电子交易活动；影响或可能影响采购公平、公正性的，重新组织采购。</w:t>
      </w:r>
    </w:p>
    <w:p w14:paraId="7158029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 采购代理机构或评审委员会因不可抗力（不可抗力包括但不限于自然灾害、断电、传播疫病等）原因造成电子交易活动无法正常运行的，将采取以下措施：</w:t>
      </w:r>
    </w:p>
    <w:p w14:paraId="615DAA2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⑴短时间内能消除不可抗力因素的，采购代理机构或评审委员会在消除不可抗力因素后继续组织电子交易活动。</w:t>
      </w:r>
    </w:p>
    <w:p w14:paraId="09B6C57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⑵长时间内无法消除不可抗力因素的，采购代理机构或评审委员会将中止电子交易活动。中止电子交易活动的，采购人应当重新组织采购活动。</w:t>
      </w:r>
    </w:p>
    <w:p w14:paraId="2B9568C8">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 保密</w:t>
      </w:r>
    </w:p>
    <w:p w14:paraId="1C88F6C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26.1 自开标时间起至中标结果公告发布时间止，凡属于审查、澄清、评价和比较投标的有关资料，且与授予合同有关的信息都不得向任何投标人或与上述评审过程无关的人员透露。</w:t>
      </w:r>
    </w:p>
    <w:p w14:paraId="1EF09222">
      <w:pPr>
        <w:pStyle w:val="4"/>
        <w:spacing w:before="0" w:after="0" w:line="400" w:lineRule="exact"/>
        <w:ind w:firstLine="0" w:firstLineChars="0"/>
        <w:rPr>
          <w:rFonts w:hint="eastAsia" w:ascii="宋体" w:hAnsi="宋体" w:eastAsia="宋体" w:cs="宋体"/>
          <w:sz w:val="24"/>
          <w:szCs w:val="24"/>
          <w:highlight w:val="none"/>
        </w:rPr>
      </w:pPr>
      <w:bookmarkStart w:id="45" w:name="_Toc494555855"/>
      <w:bookmarkStart w:id="46" w:name="_Toc493956039"/>
      <w:bookmarkStart w:id="47" w:name="_Toc43498225"/>
      <w:r>
        <w:rPr>
          <w:rFonts w:hint="eastAsia" w:ascii="宋体" w:hAnsi="宋体" w:eastAsia="宋体" w:cs="宋体"/>
          <w:sz w:val="24"/>
          <w:szCs w:val="24"/>
          <w:highlight w:val="none"/>
        </w:rPr>
        <w:t>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投标无效的情形</w:t>
      </w:r>
      <w:bookmarkEnd w:id="45"/>
      <w:bookmarkEnd w:id="46"/>
      <w:bookmarkEnd w:id="47"/>
    </w:p>
    <w:p w14:paraId="60359510">
      <w:pPr>
        <w:spacing w:line="400" w:lineRule="exact"/>
        <w:ind w:firstLine="482" w:firstLineChars="200"/>
        <w:rPr>
          <w:rFonts w:hint="eastAsia" w:ascii="宋体" w:hAnsi="宋体" w:eastAsia="宋体" w:cs="宋体"/>
          <w:b/>
          <w:sz w:val="24"/>
          <w:szCs w:val="24"/>
          <w:highlight w:val="none"/>
        </w:rPr>
      </w:pPr>
      <w:bookmarkStart w:id="48" w:name="_Toc494555856"/>
      <w:bookmarkStart w:id="49" w:name="_Toc43498226"/>
      <w:bookmarkStart w:id="50" w:name="_Toc493956040"/>
      <w:r>
        <w:rPr>
          <w:rFonts w:hint="eastAsia" w:ascii="宋体" w:hAnsi="宋体" w:eastAsia="宋体" w:cs="宋体"/>
          <w:b/>
          <w:sz w:val="24"/>
          <w:szCs w:val="24"/>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eastAsia="宋体" w:cs="宋体"/>
          <w:b/>
          <w:kern w:val="0"/>
          <w:sz w:val="24"/>
          <w:szCs w:val="24"/>
          <w:highlight w:val="none"/>
        </w:rPr>
        <w:t>投标文件</w:t>
      </w:r>
      <w:r>
        <w:rPr>
          <w:rFonts w:hint="eastAsia" w:ascii="宋体" w:hAnsi="宋体" w:eastAsia="宋体" w:cs="宋体"/>
          <w:b/>
          <w:sz w:val="24"/>
          <w:szCs w:val="24"/>
          <w:highlight w:val="none"/>
        </w:rPr>
        <w:t>无效：</w:t>
      </w:r>
    </w:p>
    <w:p w14:paraId="00781099">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27.1投标人不具备招标文件中规定的资格要求的（投标人未提供有效的资格文件的，视为投标人不具备招标文件中规定的资格要求）；</w:t>
      </w:r>
    </w:p>
    <w:p w14:paraId="7B85FE9D">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27.2投标文件未按照招标文件要求签署、盖章的；</w:t>
      </w:r>
    </w:p>
    <w:p w14:paraId="6C436340">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27.3投标文件含有采购人不能接受的附加条件的；</w:t>
      </w:r>
    </w:p>
    <w:p w14:paraId="0CA5962F">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27.4投标文件中承诺的投标有效期少于招标文件中载明的投标有效期的；</w:t>
      </w:r>
    </w:p>
    <w:p w14:paraId="45624381">
      <w:pPr>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27.5投标文件出现不是唯一的、有选择性投标报价的</w:t>
      </w:r>
      <w:r>
        <w:rPr>
          <w:rFonts w:hint="eastAsia" w:ascii="宋体" w:hAnsi="宋体" w:eastAsia="宋体" w:cs="宋体"/>
          <w:bCs/>
          <w:sz w:val="24"/>
          <w:szCs w:val="24"/>
          <w:highlight w:val="none"/>
          <w:lang w:eastAsia="zh-CN"/>
        </w:rPr>
        <w:t>；</w:t>
      </w:r>
    </w:p>
    <w:p w14:paraId="6D23559D">
      <w:pPr>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27.6投标报价超过招标文件中规定的预算金额或者最高限价的</w:t>
      </w:r>
      <w:r>
        <w:rPr>
          <w:rFonts w:hint="eastAsia" w:ascii="宋体" w:hAnsi="宋体" w:eastAsia="宋体" w:cs="宋体"/>
          <w:bCs/>
          <w:sz w:val="24"/>
          <w:szCs w:val="24"/>
          <w:highlight w:val="none"/>
          <w:lang w:eastAsia="zh-CN"/>
        </w:rPr>
        <w:t>；</w:t>
      </w:r>
    </w:p>
    <w:p w14:paraId="36333E16">
      <w:pPr>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Cs/>
          <w:sz w:val="24"/>
          <w:szCs w:val="24"/>
          <w:highlight w:val="none"/>
          <w:lang w:eastAsia="zh-CN"/>
        </w:rPr>
        <w:t>；</w:t>
      </w:r>
    </w:p>
    <w:p w14:paraId="25BD9E65">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27.8投标人对根据修正原则修正后的报价不确认的；</w:t>
      </w:r>
    </w:p>
    <w:p w14:paraId="56933886">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27.9投标人提供虚假材料投标的；</w:t>
      </w:r>
    </w:p>
    <w:p w14:paraId="3CE84181">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27.10投标人有恶意串通、妨碍其他投标人的竞争行为、损害采购人或者其他投标人的合法权益情形的；</w:t>
      </w:r>
    </w:p>
    <w:p w14:paraId="24743F5E">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27.11投标人仅提交备份投标文件，没有在电子交易平台传输递交投标文件的，投标无效；</w:t>
      </w:r>
    </w:p>
    <w:p w14:paraId="46E08768">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27.12投标文件不满足招标文件的其它实质性要求的；</w:t>
      </w:r>
    </w:p>
    <w:p w14:paraId="1B3C5619">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27.13投标文件组成严重漏项、或未按规定的格式编制、或内容严重不全的；</w:t>
      </w:r>
    </w:p>
    <w:p w14:paraId="3D09363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27.14履约保证金、供货期/工期/服务期、质保期、付款方式不满足招标文件要求的；</w:t>
      </w:r>
      <w:bookmarkStart w:id="51" w:name="EBdafef940fa674575a283c03dcfd15197"/>
      <w:r>
        <w:rPr>
          <w:rFonts w:hint="eastAsia" w:ascii="宋体" w:hAnsi="宋体" w:eastAsia="宋体" w:cs="宋体"/>
          <w:sz w:val="24"/>
          <w:szCs w:val="24"/>
          <w:highlight w:val="none"/>
        </w:rPr>
        <w:t xml:space="preserve"> </w:t>
      </w:r>
      <w:bookmarkEnd w:id="51"/>
      <w:bookmarkStart w:id="52" w:name="EB09b84f7f941446eb81ae304223ba6dc4"/>
      <w:r>
        <w:rPr>
          <w:rFonts w:hint="eastAsia" w:ascii="宋体" w:hAnsi="宋体" w:eastAsia="宋体" w:cs="宋体"/>
          <w:sz w:val="24"/>
          <w:szCs w:val="24"/>
          <w:highlight w:val="none"/>
        </w:rPr>
        <w:t xml:space="preserve"> </w:t>
      </w:r>
      <w:bookmarkEnd w:id="52"/>
    </w:p>
    <w:p w14:paraId="09BD311A">
      <w:pPr>
        <w:pStyle w:val="4"/>
        <w:spacing w:before="0" w:after="0" w:line="400" w:lineRule="exact"/>
        <w:ind w:firstLine="0" w:firstLineChars="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法律责任</w:t>
      </w:r>
      <w:bookmarkEnd w:id="48"/>
      <w:bookmarkEnd w:id="49"/>
      <w:bookmarkEnd w:id="50"/>
    </w:p>
    <w:p w14:paraId="5228C1B9">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28. 投标人有下列情形之一的，处以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p>
    <w:p w14:paraId="6F2EFA8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28.1 提供虚假材料谋取中标的；</w:t>
      </w:r>
    </w:p>
    <w:p w14:paraId="708076D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 采取不正当手段诋毁、排挤其他投标人的；</w:t>
      </w:r>
    </w:p>
    <w:p w14:paraId="0C1C1A0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28.3 与采购人、其他投标人或者采购代理机构恶意串通的；</w:t>
      </w:r>
    </w:p>
    <w:p w14:paraId="386962F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28.4 向采购人、采购代理机构行贿或者提供其他不正当利益的；</w:t>
      </w:r>
    </w:p>
    <w:p w14:paraId="7058257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28.5 在招标采购过程中与采购人进行协商谈判的；</w:t>
      </w:r>
    </w:p>
    <w:p w14:paraId="0E5E625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28.6 拒绝有关部门监督检查或者提供虚假情况的；</w:t>
      </w:r>
    </w:p>
    <w:p w14:paraId="71FDA7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投标人有前款2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.1至2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项情形之一的，中标无效。</w:t>
      </w:r>
    </w:p>
    <w:p w14:paraId="417CC570">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29. 投标人有下列情形之一的，追究法律责任：</w:t>
      </w:r>
    </w:p>
    <w:p w14:paraId="7C8130C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29.1 向评审委员会或者评审委员会成员行贿或者提供其他不正当利益；</w:t>
      </w:r>
    </w:p>
    <w:p w14:paraId="1A8D941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29.2 中标或者成交后无正当理由拒不与采购人签订采购合同；</w:t>
      </w:r>
    </w:p>
    <w:p w14:paraId="7666732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29.3 未按照招标文件确定的事项签订采购合同；</w:t>
      </w:r>
    </w:p>
    <w:p w14:paraId="7657D1D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 将采购合同转包；</w:t>
      </w:r>
    </w:p>
    <w:p w14:paraId="02DB052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29.5 提供假冒伪劣产品；</w:t>
      </w:r>
    </w:p>
    <w:p w14:paraId="32A9CA6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29.6 擅自变更、中止或者终止采购合同。</w:t>
      </w:r>
    </w:p>
    <w:p w14:paraId="2FAFEAC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投标人有前款第一项规定情形的，中标无效。评审阶段资格发生变化，投标人未依照规定通知采购人和采购代理机构的，处以采购金额5‰的罚款，列入不良行为记录名单，中标无效。</w:t>
      </w:r>
    </w:p>
    <w:p w14:paraId="4F6ADAB5">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30.投标人捏造事实、提供虚假材料或者以非法手段取得证明材料进行投诉的，由</w:t>
      </w:r>
      <w:r>
        <w:rPr>
          <w:rFonts w:hint="eastAsia" w:ascii="宋体" w:hAnsi="宋体" w:eastAsia="宋体" w:cs="宋体"/>
          <w:b/>
          <w:bCs/>
          <w:sz w:val="24"/>
          <w:szCs w:val="24"/>
          <w:highlight w:val="none"/>
          <w:lang w:val="en-US" w:eastAsia="zh-CN"/>
        </w:rPr>
        <w:t>主管部门</w:t>
      </w:r>
      <w:r>
        <w:rPr>
          <w:rFonts w:hint="eastAsia" w:ascii="宋体" w:hAnsi="宋体" w:eastAsia="宋体" w:cs="宋体"/>
          <w:b/>
          <w:bCs/>
          <w:sz w:val="24"/>
          <w:szCs w:val="24"/>
          <w:highlight w:val="none"/>
        </w:rPr>
        <w:t>列入不良行为记录名单，禁止其1至3年内参加采购活动。</w:t>
      </w:r>
    </w:p>
    <w:p w14:paraId="75564827">
      <w:pPr>
        <w:spacing w:line="40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31.有下列情形之一的，属于恶意串通，追究</w:t>
      </w:r>
      <w:r>
        <w:rPr>
          <w:rFonts w:hint="eastAsia" w:ascii="宋体" w:hAnsi="宋体" w:eastAsia="宋体" w:cs="宋体"/>
          <w:b/>
          <w:bCs/>
          <w:sz w:val="24"/>
          <w:szCs w:val="24"/>
          <w:highlight w:val="none"/>
          <w:lang w:val="en-US" w:eastAsia="zh-CN"/>
        </w:rPr>
        <w:t>其</w:t>
      </w:r>
      <w:r>
        <w:rPr>
          <w:rFonts w:hint="eastAsia" w:ascii="宋体" w:hAnsi="宋体" w:eastAsia="宋体" w:cs="宋体"/>
          <w:b/>
          <w:bCs/>
          <w:sz w:val="24"/>
          <w:szCs w:val="24"/>
          <w:highlight w:val="none"/>
        </w:rPr>
        <w:t>法律责任</w:t>
      </w:r>
      <w:r>
        <w:rPr>
          <w:rFonts w:hint="eastAsia" w:ascii="宋体" w:hAnsi="宋体" w:eastAsia="宋体" w:cs="宋体"/>
          <w:b/>
          <w:bCs/>
          <w:sz w:val="24"/>
          <w:szCs w:val="24"/>
          <w:highlight w:val="none"/>
          <w:lang w:eastAsia="zh-CN"/>
        </w:rPr>
        <w:t>：</w:t>
      </w:r>
    </w:p>
    <w:p w14:paraId="0EC5307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31.1投标人直接或者间接从采购人或者采购代理机构处获得其他投标人的相关情况并修改其</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w:t>
      </w:r>
    </w:p>
    <w:p w14:paraId="63A71F0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31.2 投标人按照采购人或者采购代理机构的授意撤换、修改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w:t>
      </w:r>
    </w:p>
    <w:p w14:paraId="59DBE5D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31.3 投标人之间协商报价、技术方案等</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的实质性内容；</w:t>
      </w:r>
    </w:p>
    <w:p w14:paraId="7613EEA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31.4属于同一集团、协会、商会等组织成员的投标人按照该组织要求协同参加采购活动；</w:t>
      </w:r>
    </w:p>
    <w:p w14:paraId="0E5978B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31.5 投标人之间事先约定由某一特定投标人中标、成交；</w:t>
      </w:r>
    </w:p>
    <w:p w14:paraId="1C2C32E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31.6 投标人之间商定部分投标人放弃参加采购活动或者放弃中标、成交；</w:t>
      </w:r>
    </w:p>
    <w:p w14:paraId="0007D85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31.7投标人与采购人或者采购代理机构之间、投标人相互之间，为谋求特定投标人中标、成交或者排斥其他投标人的其他串通行为；</w:t>
      </w:r>
    </w:p>
    <w:p w14:paraId="6810555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31.8 不同投标人的投标文件由同一单位或者个人编制；</w:t>
      </w:r>
    </w:p>
    <w:p w14:paraId="6C58092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31.9 不同投标人委托同一单位或者个人办理投标事宜；</w:t>
      </w:r>
    </w:p>
    <w:p w14:paraId="27B7221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31.10 不同投标人的投标文件载明的项目管理成员或者联系人员为同一人；</w:t>
      </w:r>
    </w:p>
    <w:p w14:paraId="7D7471D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31.11 不同投标人的投标文件异常一致或者投标报价呈规律性差异；</w:t>
      </w:r>
    </w:p>
    <w:p w14:paraId="5D9B293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31.12 不同投标人的投标文件相互混装；</w:t>
      </w:r>
    </w:p>
    <w:p w14:paraId="576C7B3F">
      <w:pPr>
        <w:pStyle w:val="4"/>
        <w:spacing w:before="0" w:after="0" w:line="400" w:lineRule="exact"/>
        <w:ind w:firstLine="422"/>
        <w:rPr>
          <w:rFonts w:hint="eastAsia" w:ascii="宋体" w:hAnsi="宋体" w:eastAsia="宋体" w:cs="宋体"/>
          <w:sz w:val="24"/>
          <w:szCs w:val="24"/>
          <w:highlight w:val="none"/>
        </w:rPr>
      </w:pPr>
      <w:bookmarkStart w:id="53" w:name="_Toc43498227"/>
      <w:r>
        <w:rPr>
          <w:rFonts w:hint="eastAsia" w:ascii="宋体" w:hAnsi="宋体" w:eastAsia="宋体" w:cs="宋体"/>
          <w:sz w:val="24"/>
          <w:szCs w:val="24"/>
          <w:highlight w:val="none"/>
        </w:rPr>
        <w:t>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询问</w:t>
      </w:r>
      <w:bookmarkEnd w:id="37"/>
      <w:bookmarkEnd w:id="38"/>
      <w:bookmarkEnd w:id="39"/>
      <w:bookmarkEnd w:id="53"/>
    </w:p>
    <w:p w14:paraId="7FA3D80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32.供应商询问</w:t>
      </w:r>
    </w:p>
    <w:p w14:paraId="0FCDCCB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6838137"/>
      <w:bookmarkStart w:id="55" w:name="_Toc393869893"/>
      <w:bookmarkStart w:id="56" w:name="_Toc176659672"/>
      <w:bookmarkStart w:id="57" w:name="_Toc335664279"/>
      <w:bookmarkStart w:id="58" w:name="_Toc334087237"/>
    </w:p>
    <w:p w14:paraId="75B97FBA">
      <w:pPr>
        <w:pStyle w:val="4"/>
        <w:spacing w:before="0" w:after="0" w:line="400" w:lineRule="exact"/>
        <w:ind w:firstLine="477" w:firstLineChars="198"/>
        <w:rPr>
          <w:rFonts w:hint="eastAsia" w:ascii="宋体" w:hAnsi="宋体" w:eastAsia="宋体" w:cs="宋体"/>
          <w:sz w:val="24"/>
          <w:szCs w:val="24"/>
          <w:highlight w:val="none"/>
        </w:rPr>
      </w:pPr>
      <w:bookmarkStart w:id="59" w:name="_Toc415648537"/>
      <w:bookmarkStart w:id="60" w:name="_Toc43498228"/>
      <w:r>
        <w:rPr>
          <w:rFonts w:hint="eastAsia" w:ascii="宋体" w:hAnsi="宋体" w:eastAsia="宋体" w:cs="宋体"/>
          <w:sz w:val="24"/>
          <w:szCs w:val="24"/>
          <w:highlight w:val="none"/>
        </w:rPr>
        <w:t xml:space="preserve">九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质疑</w:t>
      </w:r>
      <w:bookmarkEnd w:id="54"/>
      <w:bookmarkEnd w:id="55"/>
      <w:bookmarkEnd w:id="56"/>
      <w:bookmarkEnd w:id="57"/>
      <w:bookmarkEnd w:id="58"/>
      <w:bookmarkEnd w:id="59"/>
      <w:bookmarkEnd w:id="60"/>
    </w:p>
    <w:p w14:paraId="1A428BB7">
      <w:pPr>
        <w:pStyle w:val="10"/>
        <w:numPr>
          <w:ilvl w:val="0"/>
          <w:numId w:val="0"/>
        </w:num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供应商质疑</w:t>
      </w:r>
    </w:p>
    <w:p w14:paraId="16E2829E">
      <w:pPr>
        <w:pStyle w:val="10"/>
        <w:numPr>
          <w:ilvl w:val="255"/>
          <w:numId w:val="0"/>
        </w:num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33.1提出质疑的供应商应当是参与所质疑项目采购活动的供应商。潜在供应商已依法获取其可质疑的招标文件的，可以对该文件提出质疑。</w:t>
      </w:r>
    </w:p>
    <w:p w14:paraId="1CDC6368">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4051ED">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33.2.2.1对招标文件提出质疑的，质疑期限为供应商获得招标文件之日或者招标文件公告期限届满之日起计算。</w:t>
      </w:r>
    </w:p>
    <w:p w14:paraId="3CFF3E4C">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33.2.2.2对采购过程提出质疑的，质疑期限为各采购程序环节结束之日起计算。对同一采购程序环节的质疑，供应商须一次性提出。</w:t>
      </w:r>
    </w:p>
    <w:p w14:paraId="7782DDB1">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33.2.2.3对采购结果提出质疑的，质疑期限自采购结果公告期限届满之日起计算。</w:t>
      </w:r>
    </w:p>
    <w:p w14:paraId="5D20AFCF">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33.2.3供应商提出质疑应当提交质疑函和必要的证明材料。质疑函应当包括下列内容：</w:t>
      </w:r>
    </w:p>
    <w:p w14:paraId="065F4F9C">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33.2.3.1供应商的姓名或者名称、地址、邮编、联系人及联系电话；</w:t>
      </w:r>
    </w:p>
    <w:p w14:paraId="05901B45">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33.2.3.2质疑项目的名称、编号；</w:t>
      </w:r>
    </w:p>
    <w:p w14:paraId="643501FA">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33.2.3.3具体、明确的质疑事项和与质疑事项相关的请求；</w:t>
      </w:r>
    </w:p>
    <w:p w14:paraId="270A6B23">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33.2.3.4事实依据；</w:t>
      </w:r>
    </w:p>
    <w:p w14:paraId="4F517C0A">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33.2.3.5必要的法律依据；</w:t>
      </w:r>
    </w:p>
    <w:p w14:paraId="5E569E5E">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33.2.3.6提出质疑的日期。</w:t>
      </w:r>
    </w:p>
    <w:p w14:paraId="5CC8033C">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2C9A8F0B">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33.2.4采购人或者采购代理机构应当在收到供应商的书面质疑后七个工作日内作出答复，并以书面形式通知质疑供应商和其他与质疑处理结果有利害关系的采购当事人，但答复的内容不得涉及商业秘密。</w:t>
      </w:r>
    </w:p>
    <w:p w14:paraId="0ADB889A">
      <w:pPr>
        <w:pStyle w:val="1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33.2.5询问或者质疑事项可能影响采购结果的，采购人应当暂停签订合同，已经签订合同的，应当中止履行合同。</w:t>
      </w:r>
    </w:p>
    <w:p w14:paraId="2B26C6EB">
      <w:pPr>
        <w:pStyle w:val="4"/>
        <w:spacing w:before="0" w:after="0" w:line="400" w:lineRule="exact"/>
        <w:ind w:firstLine="236" w:firstLineChars="98"/>
        <w:rPr>
          <w:rFonts w:hint="eastAsia" w:ascii="宋体" w:hAnsi="宋体" w:eastAsia="宋体" w:cs="宋体"/>
          <w:sz w:val="24"/>
          <w:szCs w:val="24"/>
          <w:highlight w:val="none"/>
        </w:rPr>
      </w:pPr>
      <w:bookmarkStart w:id="61" w:name="_Toc43498229"/>
      <w:r>
        <w:rPr>
          <w:rFonts w:hint="eastAsia" w:ascii="宋体" w:hAnsi="宋体" w:eastAsia="宋体" w:cs="宋体"/>
          <w:sz w:val="24"/>
          <w:szCs w:val="24"/>
          <w:highlight w:val="none"/>
        </w:rPr>
        <w:t>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投诉</w:t>
      </w:r>
      <w:bookmarkEnd w:id="40"/>
      <w:bookmarkEnd w:id="41"/>
      <w:bookmarkEnd w:id="42"/>
      <w:bookmarkEnd w:id="43"/>
      <w:bookmarkEnd w:id="61"/>
    </w:p>
    <w:p w14:paraId="0E98989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34.供应商投诉</w:t>
      </w:r>
    </w:p>
    <w:p w14:paraId="51F7A14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34.1质疑供应商对采购人、采购代理机构的答复不满意或者采购人、采购代理机构未在规定的时间内作出答复的，可以在答复期满后十五个工作日内向同级采购监督管理部门提出投诉。</w:t>
      </w:r>
    </w:p>
    <w:p w14:paraId="37E48DB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34.2供应商投诉的事项不得超出已质疑事项的范围，基于质疑答复内容提出的投诉事项除外。</w:t>
      </w:r>
    </w:p>
    <w:p w14:paraId="3D5BAA3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34.3供应商投诉应当有明确的请求和必要的证明材料。</w:t>
      </w:r>
    </w:p>
    <w:p w14:paraId="69FE5AF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34.4 以联合体形式参加采购活动的，其投诉应当由组成联合体的所有供应商共同提出。</w:t>
      </w:r>
    </w:p>
    <w:p w14:paraId="3BBC8F10">
      <w:pPr>
        <w:pStyle w:val="4"/>
        <w:spacing w:before="0" w:after="0" w:line="400" w:lineRule="exact"/>
        <w:ind w:firstLine="241" w:firstLineChars="100"/>
        <w:rPr>
          <w:rFonts w:hint="eastAsia" w:ascii="宋体" w:hAnsi="宋体" w:eastAsia="宋体" w:cs="宋体"/>
          <w:sz w:val="24"/>
          <w:szCs w:val="24"/>
          <w:highlight w:val="none"/>
        </w:rPr>
      </w:pPr>
      <w:bookmarkStart w:id="62" w:name="_Toc43498230"/>
      <w:r>
        <w:rPr>
          <w:rFonts w:hint="eastAsia" w:ascii="宋体" w:hAnsi="宋体" w:eastAsia="宋体" w:cs="宋体"/>
          <w:sz w:val="24"/>
          <w:szCs w:val="24"/>
          <w:highlight w:val="none"/>
        </w:rPr>
        <w:t xml:space="preserve">十一 </w:t>
      </w:r>
      <w:bookmarkEnd w:id="44"/>
      <w:bookmarkEnd w:id="62"/>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定标</w:t>
      </w:r>
    </w:p>
    <w:p w14:paraId="0888C94F">
      <w:pPr>
        <w:adjustRightIn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35. 确定中标供应商</w:t>
      </w:r>
    </w:p>
    <w:p w14:paraId="48FF834C">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u w:val="none"/>
          <w:lang w:val="en-US" w:eastAsia="zh-CN"/>
        </w:rPr>
        <w:t>35.1</w:t>
      </w:r>
      <w:r>
        <w:rPr>
          <w:rFonts w:hint="eastAsia" w:ascii="宋体" w:hAnsi="宋体" w:eastAsia="宋体" w:cs="宋体"/>
          <w:bCs/>
          <w:sz w:val="24"/>
          <w:szCs w:val="24"/>
          <w:highlight w:val="none"/>
          <w:u w:val="none"/>
        </w:rPr>
        <w:t>招标代理机构应当在评标结束后2个工作日内将评标报告送采购人</w:t>
      </w:r>
      <w:r>
        <w:rPr>
          <w:rFonts w:hint="eastAsia" w:ascii="宋体" w:hAnsi="宋体" w:eastAsia="宋体" w:cs="宋体"/>
          <w:bCs/>
          <w:sz w:val="24"/>
          <w:szCs w:val="24"/>
          <w:highlight w:val="none"/>
        </w:rPr>
        <w:t>。采购人应当自收到评标报告之日起</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个工作日内，在评标报告确定的中标候选人名单中按顺序确定中标人。</w:t>
      </w:r>
    </w:p>
    <w:p w14:paraId="06D3FEA7">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36.</w:t>
      </w:r>
      <w:r>
        <w:rPr>
          <w:rFonts w:hint="eastAsia" w:ascii="宋体" w:hAnsi="宋体" w:eastAsia="宋体" w:cs="宋体"/>
          <w:bCs/>
          <w:sz w:val="24"/>
          <w:szCs w:val="24"/>
          <w:highlight w:val="none"/>
        </w:rPr>
        <w:t>中标通知与中标结果公告</w:t>
      </w:r>
    </w:p>
    <w:p w14:paraId="64525592">
      <w:pPr>
        <w:widowControl/>
        <w:adjustRightInd w:val="0"/>
        <w:spacing w:line="40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36.1</w:t>
      </w:r>
      <w:r>
        <w:rPr>
          <w:rFonts w:hint="eastAsia" w:ascii="宋体" w:hAnsi="宋体" w:eastAsia="宋体" w:cs="宋体"/>
          <w:bCs/>
          <w:sz w:val="24"/>
          <w:szCs w:val="24"/>
          <w:highlight w:val="none"/>
        </w:rPr>
        <w:t>采购结果经采购人确认后，采购代理机构将于2个工作日内在</w:t>
      </w:r>
      <w:r>
        <w:rPr>
          <w:rFonts w:hint="eastAsia" w:ascii="宋体" w:hAnsi="宋体" w:eastAsia="宋体" w:cs="宋体"/>
          <w:bCs/>
          <w:sz w:val="24"/>
          <w:szCs w:val="24"/>
          <w:highlight w:val="none"/>
          <w:lang w:eastAsia="zh-CN"/>
        </w:rPr>
        <w:t>乐采云平台</w:t>
      </w:r>
      <w:r>
        <w:rPr>
          <w:rFonts w:hint="eastAsia" w:ascii="宋体" w:hAnsi="宋体" w:eastAsia="宋体" w:cs="宋体"/>
          <w:bCs/>
          <w:sz w:val="24"/>
          <w:szCs w:val="24"/>
          <w:highlight w:val="none"/>
        </w:rPr>
        <w:t>和新昌县公共资源交易平台</w:t>
      </w:r>
      <w:r>
        <w:rPr>
          <w:rFonts w:hint="eastAsia" w:ascii="宋体" w:hAnsi="宋体" w:eastAsia="宋体" w:cs="宋体"/>
          <w:bCs/>
          <w:sz w:val="24"/>
          <w:szCs w:val="24"/>
          <w:highlight w:val="none"/>
          <w:lang w:val="en-US" w:eastAsia="zh-CN"/>
        </w:rPr>
        <w:t>上</w:t>
      </w:r>
      <w:r>
        <w:rPr>
          <w:rFonts w:hint="eastAsia" w:ascii="宋体" w:hAnsi="宋体" w:eastAsia="宋体" w:cs="宋体"/>
          <w:bCs/>
          <w:sz w:val="24"/>
          <w:szCs w:val="24"/>
          <w:highlight w:val="none"/>
        </w:rPr>
        <w:t>发布中标公告，并向中标方签发书面《中标通知书》。中标通知书发出后，中标单位无正当理由不得放弃中标。</w:t>
      </w:r>
    </w:p>
    <w:p w14:paraId="76D36C07">
      <w:pPr>
        <w:widowControl/>
        <w:adjustRightInd w:val="0"/>
        <w:spacing w:line="4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36.2</w:t>
      </w:r>
      <w:r>
        <w:rPr>
          <w:rFonts w:hint="eastAsia" w:ascii="宋体" w:hAnsi="宋体" w:eastAsia="宋体" w:cs="宋体"/>
          <w:sz w:val="24"/>
          <w:szCs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48E004A">
      <w:pPr>
        <w:widowControl/>
        <w:adjustRightInd w:val="0"/>
        <w:spacing w:line="4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.公告期限为1个工作日。</w:t>
      </w:r>
    </w:p>
    <w:p w14:paraId="1916F219">
      <w:pPr>
        <w:pStyle w:val="4"/>
        <w:spacing w:before="0" w:after="0" w:line="400" w:lineRule="exact"/>
        <w:ind w:firstLine="241"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十二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授予合同</w:t>
      </w:r>
    </w:p>
    <w:p w14:paraId="64118F4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合同的签订</w:t>
      </w:r>
    </w:p>
    <w:p w14:paraId="1D8CDB0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 采购人与中标人应当通过电子交易平台在中标通知书发出之日起三十日内，按照招标文件确定的事项签订采购合同，并在合同签订之日起2个工作日内依法发布合同公告。</w:t>
      </w:r>
    </w:p>
    <w:p w14:paraId="6843AFD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.2中标人按规定的日期、时间、地点，由法定代表人或其授权代表与采购人代表签订合同。如中标人为联合体的，由联合体成员各方法定代表人或其授权代表与采购人代表签订合同。</w:t>
      </w:r>
    </w:p>
    <w:p w14:paraId="2F37684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.3如签订合同并生效后，供应商无故拒绝或延期，除按照合同条款处理外，列入不良行为记录一次，并给予通报。</w:t>
      </w:r>
    </w:p>
    <w:p w14:paraId="2657C21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.4中标供应商拒绝与采购人签订合同的，采购人可以按照评审报告推荐的中标或者成交候选人名单排序，确定下一候选人为中标供应商，也可以重新开展采购活动。</w:t>
      </w:r>
    </w:p>
    <w:p w14:paraId="139A09A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.5采购合同由采购人与中标供应商根据招标文件、投标文件等内容通过采购电子交易平台在线签订，自动备案。</w:t>
      </w:r>
    </w:p>
    <w:p w14:paraId="27ED294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履约保证金</w:t>
      </w:r>
    </w:p>
    <w:p w14:paraId="55E86456">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r>
        <w:rPr>
          <w:rFonts w:hint="eastAsia" w:ascii="宋体" w:hAnsi="宋体" w:eastAsia="宋体" w:cs="宋体"/>
          <w:sz w:val="24"/>
          <w:szCs w:val="24"/>
          <w:highlight w:val="none"/>
        </w:rPr>
        <w:t>。</w:t>
      </w:r>
    </w:p>
    <w:p w14:paraId="4224A766">
      <w:pPr>
        <w:pStyle w:val="4"/>
        <w:spacing w:before="0" w:after="0" w:line="400" w:lineRule="exact"/>
        <w:ind w:firstLine="241" w:firstLineChars="100"/>
        <w:rPr>
          <w:rFonts w:hint="eastAsia" w:ascii="宋体" w:hAnsi="宋体" w:eastAsia="宋体" w:cs="宋体"/>
          <w:sz w:val="24"/>
          <w:szCs w:val="24"/>
          <w:highlight w:val="none"/>
          <w:lang w:eastAsia="zh-CN"/>
        </w:rPr>
      </w:pPr>
      <w:bookmarkStart w:id="63" w:name="_Toc43498231"/>
      <w:r>
        <w:rPr>
          <w:rFonts w:hint="eastAsia" w:ascii="宋体" w:hAnsi="宋体" w:eastAsia="宋体" w:cs="宋体"/>
          <w:sz w:val="24"/>
          <w:szCs w:val="24"/>
          <w:highlight w:val="none"/>
        </w:rPr>
        <w:t>十三</w:t>
      </w:r>
      <w:r>
        <w:rPr>
          <w:rFonts w:hint="eastAsia" w:ascii="宋体" w:hAnsi="宋体" w:eastAsia="宋体" w:cs="宋体"/>
          <w:sz w:val="24"/>
          <w:szCs w:val="24"/>
          <w:highlight w:val="none"/>
          <w:lang w:eastAsia="zh-CN"/>
        </w:rPr>
        <w:t>、</w:t>
      </w:r>
      <w:bookmarkEnd w:id="63"/>
      <w:r>
        <w:rPr>
          <w:rFonts w:hint="eastAsia" w:ascii="宋体" w:hAnsi="宋体" w:eastAsia="宋体" w:cs="宋体"/>
          <w:sz w:val="24"/>
          <w:szCs w:val="24"/>
          <w:highlight w:val="none"/>
          <w:lang w:val="en-US" w:eastAsia="zh-CN"/>
        </w:rPr>
        <w:t>其他</w:t>
      </w:r>
    </w:p>
    <w:p w14:paraId="544BC1C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 解释权</w:t>
      </w:r>
    </w:p>
    <w:p w14:paraId="4FE58DA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.1本招标文件是根据国家有关法律、法规、规章和有关规定编制的,解释权属采购代理机构。</w:t>
      </w:r>
    </w:p>
    <w:p w14:paraId="708238B5">
      <w:pPr>
        <w:spacing w:line="360" w:lineRule="auto"/>
        <w:ind w:firstLine="480" w:firstLineChars="200"/>
        <w:rPr>
          <w:rFonts w:ascii="宋体" w:hAnsi="宋体" w:cs="宋体"/>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采购代理机构对决标结果不负责解释。</w:t>
      </w:r>
      <w:bookmarkStart w:id="64" w:name="_Toc43498235"/>
    </w:p>
    <w:p w14:paraId="7F672F52">
      <w:pPr>
        <w:rPr>
          <w:rFonts w:ascii="宋体" w:hAnsi="宋体" w:cs="宋体"/>
          <w:highlight w:val="none"/>
        </w:rPr>
      </w:pPr>
      <w:r>
        <w:rPr>
          <w:rFonts w:hint="eastAsia" w:ascii="宋体" w:hAnsi="宋体" w:cs="宋体"/>
          <w:highlight w:val="none"/>
        </w:rPr>
        <w:br w:type="page"/>
      </w:r>
    </w:p>
    <w:p w14:paraId="3BA237E6">
      <w:pPr>
        <w:snapToGrid w:val="0"/>
        <w:spacing w:line="400" w:lineRule="exact"/>
        <w:ind w:firstLine="643" w:firstLineChars="200"/>
        <w:jc w:val="center"/>
        <w:rPr>
          <w:rFonts w:hint="eastAsia" w:ascii="宋体" w:hAnsi="宋体" w:eastAsia="宋体" w:cs="宋体"/>
          <w:b/>
          <w:bCs/>
          <w:sz w:val="32"/>
          <w:szCs w:val="32"/>
          <w:highlight w:val="none"/>
        </w:rPr>
      </w:pPr>
      <w:bookmarkStart w:id="65" w:name="_Toc43498234"/>
      <w:r>
        <w:rPr>
          <w:rFonts w:hint="eastAsia" w:ascii="宋体" w:hAnsi="宋体" w:eastAsia="宋体" w:cs="宋体"/>
          <w:b/>
          <w:bCs/>
          <w:sz w:val="32"/>
          <w:szCs w:val="32"/>
          <w:highlight w:val="none"/>
        </w:rPr>
        <w:t>第三部分  采购需求</w:t>
      </w:r>
      <w:bookmarkEnd w:id="65"/>
    </w:p>
    <w:p w14:paraId="46547571">
      <w:pPr>
        <w:pStyle w:val="6"/>
        <w:rPr>
          <w:rFonts w:hint="eastAsia" w:ascii="宋体" w:hAnsi="宋体" w:eastAsia="宋体" w:cs="宋体"/>
          <w:b w:val="0"/>
          <w:bCs w:val="0"/>
          <w:color w:val="000000"/>
          <w:sz w:val="24"/>
          <w:szCs w:val="24"/>
          <w:highlight w:val="none"/>
          <w:lang w:val="en-US" w:eastAsia="zh-CN"/>
        </w:rPr>
      </w:pPr>
      <w:bookmarkStart w:id="66" w:name="_Hlk156832416"/>
      <w:r>
        <w:rPr>
          <w:rFonts w:hint="eastAsia" w:ascii="宋体" w:hAnsi="宋体" w:eastAsia="宋体" w:cs="宋体"/>
          <w:b w:val="0"/>
          <w:bCs w:val="0"/>
          <w:color w:val="000000"/>
          <w:sz w:val="24"/>
          <w:szCs w:val="24"/>
          <w:highlight w:val="none"/>
          <w:lang w:val="en-US" w:eastAsia="zh-CN"/>
        </w:rPr>
        <w:t>一、项目概况</w:t>
      </w:r>
    </w:p>
    <w:p w14:paraId="29AF07B1">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1.项目背景：为规范采购流程，降低沟通成本，提高采购效率，新昌县智慧城市建设有限公司实行招标代理单位入围机制。内容包含所有委托项目（货物、服务等）招标代理服务。</w:t>
      </w:r>
    </w:p>
    <w:p w14:paraId="5775E8EA">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2.项目名称：新昌县智慧城市建设有限公司招标代理单位入围项目。</w:t>
      </w:r>
    </w:p>
    <w:p w14:paraId="6DAA68AF">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3.入围家数：报名数量≥6家，按综合得分排名取前5家；报名数量≤5家淘汰综合得分排名最后1家。</w:t>
      </w:r>
    </w:p>
    <w:p w14:paraId="7789D237">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4.项目服务期：入围公告发布起1年。</w:t>
      </w:r>
    </w:p>
    <w:p w14:paraId="3E137F66">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5.业务分配方式：由项目责任单位从入围库中选择。</w:t>
      </w:r>
    </w:p>
    <w:p w14:paraId="20C6C551">
      <w:pPr>
        <w:pStyle w:val="6"/>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二、采购内容</w:t>
      </w:r>
    </w:p>
    <w:p w14:paraId="6A5569E3">
      <w:pPr>
        <w:pStyle w:val="6"/>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1.代理范围：新昌县智慧城市建设有限公司出资建设的货物与服务项目。</w:t>
      </w:r>
    </w:p>
    <w:p w14:paraId="43D2461E">
      <w:pPr>
        <w:pStyle w:val="6"/>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2.新昌县智慧城市建设有限公司招标代理单位入围采购项目采购内容具体如下：</w:t>
      </w:r>
    </w:p>
    <w:p w14:paraId="33DDC511">
      <w:pPr>
        <w:pStyle w:val="6"/>
        <w:numPr>
          <w:ilvl w:val="0"/>
          <w:numId w:val="0"/>
        </w:numPr>
        <w:ind w:firstLine="240" w:firstLineChars="1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（1）智慧公司内部内部5-30万元公开询价采购项目，单次按固定费用3000元计算（含专家评审费）；</w:t>
      </w:r>
    </w:p>
    <w:p w14:paraId="5E08FD59">
      <w:pPr>
        <w:pStyle w:val="6"/>
        <w:numPr>
          <w:ilvl w:val="0"/>
          <w:numId w:val="0"/>
        </w:numPr>
        <w:ind w:firstLine="240" w:firstLineChars="1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（2）公开招投标采购项目，费用根据招标文件计费基准按中标折扣计算。具体项目情况及详细要求以单个项目实际发生为准。</w:t>
      </w:r>
    </w:p>
    <w:p w14:paraId="491FD1AC">
      <w:pPr>
        <w:pStyle w:val="6"/>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3.其它要求：单次询价采购业务代理费用为3000元，其他采购业务单个代理费不足5000元的按5000元计取，代理费用超过5万的按5万元计取。（含专家评审费）</w:t>
      </w:r>
    </w:p>
    <w:p w14:paraId="3D3F05C3">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jc w:val="left"/>
        <w:textAlignment w:val="auto"/>
        <w:outlineLvl w:val="1"/>
        <w:rPr>
          <w:rFonts w:hint="eastAsia" w:ascii="宋体" w:hAnsi="宋体" w:eastAsia="宋体" w:cs="宋体"/>
          <w:color w:val="auto"/>
          <w:sz w:val="21"/>
          <w:szCs w:val="21"/>
          <w:highlight w:val="none"/>
          <w:lang w:val="en-US" w:eastAsia="zh-CN"/>
        </w:rPr>
      </w:pPr>
    </w:p>
    <w:p w14:paraId="776131F9">
      <w:pPr>
        <w:rPr>
          <w:rFonts w:hint="eastAsia"/>
          <w:highlight w:val="none"/>
          <w:lang w:val="en-US" w:eastAsia="zh-CN"/>
        </w:rPr>
      </w:pPr>
    </w:p>
    <w:p w14:paraId="272EA376">
      <w:pPr>
        <w:pStyle w:val="6"/>
        <w:rPr>
          <w:rFonts w:hint="eastAsia"/>
          <w:highlight w:val="none"/>
          <w:lang w:val="en-US" w:eastAsia="zh-CN"/>
        </w:rPr>
      </w:pPr>
    </w:p>
    <w:bookmarkEnd w:id="66"/>
    <w:p w14:paraId="65D76FDD">
      <w:pPr>
        <w:rPr>
          <w:rFonts w:hint="eastAsia"/>
          <w:highlight w:val="none"/>
          <w:lang w:val="en-US" w:eastAsia="zh-CN"/>
        </w:rPr>
      </w:pPr>
    </w:p>
    <w:p w14:paraId="6F050858">
      <w:pPr>
        <w:adjustRightInd w:val="0"/>
        <w:snapToGrid w:val="0"/>
        <w:spacing w:line="360" w:lineRule="auto"/>
        <w:ind w:firstLine="480"/>
        <w:rPr>
          <w:rFonts w:hint="eastAsia" w:ascii="宋体" w:hAnsi="宋体" w:eastAsia="宋体" w:cs="宋体"/>
          <w:color w:val="auto"/>
          <w:sz w:val="21"/>
          <w:szCs w:val="21"/>
          <w:highlight w:val="none"/>
          <w:lang w:val="en-US" w:eastAsia="zh-CN"/>
        </w:rPr>
      </w:pPr>
    </w:p>
    <w:p w14:paraId="4C2ACE73">
      <w:pPr>
        <w:rPr>
          <w:rFonts w:ascii="宋体" w:hAnsi="宋体" w:eastAsia="宋体" w:cs="宋体"/>
          <w:sz w:val="21"/>
          <w:szCs w:val="21"/>
          <w:highlight w:val="none"/>
        </w:rPr>
      </w:pPr>
    </w:p>
    <w:p w14:paraId="71884E12">
      <w:pPr>
        <w:rPr>
          <w:rFonts w:ascii="宋体" w:hAnsi="宋体" w:eastAsia="宋体" w:cs="宋体"/>
          <w:sz w:val="21"/>
          <w:szCs w:val="21"/>
          <w:highlight w:val="none"/>
        </w:rPr>
      </w:pPr>
      <w:r>
        <w:rPr>
          <w:rFonts w:hint="eastAsia" w:ascii="宋体" w:hAnsi="宋体" w:eastAsia="宋体" w:cs="宋体"/>
          <w:sz w:val="21"/>
          <w:szCs w:val="21"/>
          <w:highlight w:val="none"/>
        </w:rPr>
        <w:br w:type="page"/>
      </w:r>
    </w:p>
    <w:p w14:paraId="13A0BB61">
      <w:pPr>
        <w:keepNext/>
        <w:adjustRightInd w:val="0"/>
        <w:snapToGrid w:val="0"/>
        <w:spacing w:before="120" w:after="120" w:line="560" w:lineRule="exact"/>
        <w:jc w:val="center"/>
        <w:textAlignment w:val="baseline"/>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32"/>
          <w:szCs w:val="32"/>
          <w:highlight w:val="none"/>
          <w:lang w:val="en-US" w:eastAsia="zh-CN"/>
        </w:rPr>
        <w:t xml:space="preserve">第四部分  </w:t>
      </w:r>
      <w:r>
        <w:rPr>
          <w:rFonts w:hint="eastAsia" w:ascii="宋体" w:hAnsi="宋体" w:eastAsia="宋体" w:cs="宋体"/>
          <w:b/>
          <w:bCs/>
          <w:kern w:val="0"/>
          <w:sz w:val="32"/>
          <w:szCs w:val="32"/>
          <w:highlight w:val="none"/>
        </w:rPr>
        <w:t>评标办法和细则</w:t>
      </w:r>
    </w:p>
    <w:p w14:paraId="2E44F96F">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根据有关法律法规的规定，并结合本项目的实际，按照公正、公平、科学、择优的原则选择中标人，特制定本办法。</w:t>
      </w:r>
    </w:p>
    <w:p w14:paraId="0757723C">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总则</w:t>
      </w:r>
    </w:p>
    <w:p w14:paraId="1AF50F9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为最大限度地保护各当事人的权益，评标委员会应严格按照招标文件的商务、技术、报价要求，对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进行综合分析评价并编制评标报告。评审专家必须严格遵守保密规定，不得泄漏评标有关的情况，不得索贿受贿，不得参加影响评标的任何活动。</w:t>
      </w:r>
    </w:p>
    <w:p w14:paraId="4BDD0426">
      <w:pPr>
        <w:autoSpaceDE w:val="0"/>
        <w:snapToGrid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eastAsia="宋体" w:cs="宋体"/>
          <w:b/>
          <w:sz w:val="24"/>
          <w:szCs w:val="24"/>
          <w:highlight w:val="none"/>
        </w:rPr>
        <w:t>以上得分均相同的，抽签产生中标候选人</w:t>
      </w:r>
      <w:r>
        <w:rPr>
          <w:rFonts w:hint="eastAsia" w:ascii="宋体" w:hAnsi="宋体" w:eastAsia="宋体" w:cs="宋体"/>
          <w:b/>
          <w:bCs/>
          <w:sz w:val="24"/>
          <w:szCs w:val="24"/>
          <w:highlight w:val="none"/>
        </w:rPr>
        <w:t>。评标委员会推荐最终得分最高的投标人为中标候选人。本项目</w:t>
      </w:r>
      <w:r>
        <w:rPr>
          <w:rFonts w:hint="eastAsia" w:ascii="宋体" w:hAnsi="宋体" w:eastAsia="宋体" w:cs="宋体"/>
          <w:b/>
          <w:bCs/>
          <w:sz w:val="24"/>
          <w:szCs w:val="24"/>
          <w:highlight w:val="none"/>
          <w:lang w:val="en-US" w:eastAsia="zh-CN"/>
        </w:rPr>
        <w:t>报名数量≥6家，按综合得分排名取前5家；报名数量≤5家淘汰综合得分排名最后1家</w:t>
      </w:r>
      <w:r>
        <w:rPr>
          <w:rFonts w:hint="eastAsia" w:ascii="宋体" w:hAnsi="宋体" w:eastAsia="宋体" w:cs="宋体"/>
          <w:b/>
          <w:bCs/>
          <w:sz w:val="24"/>
          <w:szCs w:val="24"/>
          <w:highlight w:val="none"/>
          <w:lang w:eastAsia="zh-CN"/>
        </w:rPr>
        <w:t>。</w:t>
      </w:r>
    </w:p>
    <w:p w14:paraId="3B90DA0C">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评审委员会</w:t>
      </w:r>
    </w:p>
    <w:p w14:paraId="10E68009">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2.1评审委员会</w:t>
      </w:r>
    </w:p>
    <w:p w14:paraId="2BE317D9">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2.1.1成员：由采购人代表和评审专家组成五人及以上单数，其中评审专家不得少于评审委员会总人数的三分之二。除国务院财政部门规定的情形外，评审专家由采购代理机构在采购专家库中随机抽取。</w:t>
      </w:r>
    </w:p>
    <w:p w14:paraId="32890A54">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2.1.2职责：严格按采购法律法规的有关规定执行，评审专家应按招标文件规定的评审要求、评审程序、评审内容、评审方法和评审标准进行评审，对评审意见承担个人责任。</w:t>
      </w:r>
    </w:p>
    <w:p w14:paraId="6BC0D598">
      <w:pPr>
        <w:autoSpaceDE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60D8D829">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评标程序</w:t>
      </w:r>
    </w:p>
    <w:p w14:paraId="311DA134">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 符合性审查</w:t>
      </w:r>
    </w:p>
    <w:p w14:paraId="540A93BF">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C078050">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3.2 商务技术文件评审</w:t>
      </w:r>
    </w:p>
    <w:p w14:paraId="5843F974">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3.2.1评标委员会依据招标文件的规定，对各</w:t>
      </w:r>
      <w:r>
        <w:rPr>
          <w:rFonts w:hint="eastAsia" w:ascii="宋体" w:hAnsi="宋体" w:eastAsia="宋体" w:cs="宋体"/>
          <w:kern w:val="0"/>
          <w:sz w:val="24"/>
          <w:szCs w:val="24"/>
          <w:highlight w:val="none"/>
        </w:rPr>
        <w:t>投标人的商务</w:t>
      </w:r>
      <w:r>
        <w:rPr>
          <w:rFonts w:hint="eastAsia" w:ascii="宋体" w:hAnsi="宋体" w:eastAsia="宋体" w:cs="宋体"/>
          <w:sz w:val="24"/>
          <w:szCs w:val="24"/>
          <w:highlight w:val="none"/>
        </w:rPr>
        <w:t>技术文件进行独立评审。对各</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进行比较和必要的澄清，若有演示、样品要求和商务技术文件评审同步进行，演示顺序为投标文件递交顺序，并根据审查、澄清、演示、样品等情况结合评审办法进行独立打分。</w:t>
      </w:r>
    </w:p>
    <w:p w14:paraId="0BDA26D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各投标人的商务技术得分，为各评审专家对该投标人的商务技术得分结果汇总后的算术平均数。</w:t>
      </w:r>
    </w:p>
    <w:p w14:paraId="3855C2E9">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3.3 报价文件评审</w:t>
      </w:r>
    </w:p>
    <w:p w14:paraId="51BCD17D">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 评标委员会依据招标文件的规定，对各投标人的报价的合理性进行审查，必要时可要求投标人对其报价做出澄清、说明。</w:t>
      </w:r>
    </w:p>
    <w:p w14:paraId="038078BC">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3.4 评标结果</w:t>
      </w:r>
    </w:p>
    <w:p w14:paraId="5DBCDC72">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 评审结果汇总，同品牌投标人的确定，投标人结果排序；</w:t>
      </w:r>
    </w:p>
    <w:p w14:paraId="62710491">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 起草评标报告，确定中标候选人；</w:t>
      </w:r>
    </w:p>
    <w:p w14:paraId="6FC0737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35D870">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评标一般规定</w:t>
      </w:r>
    </w:p>
    <w:p w14:paraId="4ADBBEB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4.本评标办法采用综合评分法,总分100分。</w:t>
      </w:r>
    </w:p>
    <w:p w14:paraId="68214A3E">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4.1项目商务技术分为</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08A680DB">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4.2报价分为</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分，由评委按各投标人的报价统一计算。</w:t>
      </w:r>
    </w:p>
    <w:p w14:paraId="5DF04DB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4.3评审专家在规定的分值范围内独立打分，评分保留两位小数。</w:t>
      </w:r>
    </w:p>
    <w:p w14:paraId="11643436">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评标办法和细则</w:t>
      </w:r>
    </w:p>
    <w:p w14:paraId="768ACA7D">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5.1商务技术文件得分为</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分，由评委独立完成打分。</w:t>
      </w:r>
    </w:p>
    <w:tbl>
      <w:tblPr>
        <w:tblStyle w:val="15"/>
        <w:tblpPr w:leftFromText="180" w:rightFromText="180" w:vertAnchor="text" w:horzAnchor="page" w:tblpX="1439" w:tblpY="67"/>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10"/>
        <w:gridCol w:w="6208"/>
        <w:gridCol w:w="1103"/>
      </w:tblGrid>
      <w:tr w14:paraId="3118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vAlign w:val="center"/>
          </w:tcPr>
          <w:p w14:paraId="08616380">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序号</w:t>
            </w:r>
          </w:p>
        </w:tc>
        <w:tc>
          <w:tcPr>
            <w:tcW w:w="1410" w:type="dxa"/>
            <w:vAlign w:val="center"/>
          </w:tcPr>
          <w:p w14:paraId="1E8193F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评分内容</w:t>
            </w:r>
          </w:p>
        </w:tc>
        <w:tc>
          <w:tcPr>
            <w:tcW w:w="6208" w:type="dxa"/>
            <w:vAlign w:val="center"/>
          </w:tcPr>
          <w:p w14:paraId="096761FE">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评分标准说明</w:t>
            </w:r>
          </w:p>
        </w:tc>
        <w:tc>
          <w:tcPr>
            <w:tcW w:w="1103" w:type="dxa"/>
            <w:vAlign w:val="center"/>
          </w:tcPr>
          <w:p w14:paraId="20F5CA80">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分值</w:t>
            </w:r>
          </w:p>
        </w:tc>
      </w:tr>
      <w:tr w14:paraId="45CF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3C58CA41">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w:t>
            </w:r>
          </w:p>
        </w:tc>
        <w:tc>
          <w:tcPr>
            <w:tcW w:w="1410" w:type="dxa"/>
            <w:vAlign w:val="center"/>
          </w:tcPr>
          <w:p w14:paraId="392E24D2">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信用情况</w:t>
            </w:r>
          </w:p>
        </w:tc>
        <w:tc>
          <w:tcPr>
            <w:tcW w:w="6208" w:type="dxa"/>
            <w:vAlign w:val="center"/>
          </w:tcPr>
          <w:p w14:paraId="7F11E883">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在信用浙江系统中（https://credit.zj.gov.cn/）, 查询单位信用记录</w:t>
            </w:r>
            <w:r>
              <w:rPr>
                <w:rFonts w:hint="eastAsia" w:ascii="宋体" w:hAnsi="宋体" w:cs="宋体"/>
                <w:color w:val="000000"/>
                <w:sz w:val="24"/>
                <w:szCs w:val="24"/>
                <w:lang w:val="en-US" w:eastAsia="zh-CN" w:bidi="ar-SA"/>
              </w:rPr>
              <w:t>，</w:t>
            </w:r>
            <w:r>
              <w:rPr>
                <w:rFonts w:hint="eastAsia" w:ascii="宋体" w:hAnsi="宋体" w:eastAsia="宋体" w:cs="宋体"/>
                <w:color w:val="000000"/>
                <w:sz w:val="24"/>
                <w:szCs w:val="24"/>
                <w:lang w:val="en-US" w:eastAsia="zh-CN" w:bidi="ar-SA"/>
              </w:rPr>
              <w:t>综合信用被评定为优秀</w:t>
            </w:r>
            <w:r>
              <w:rPr>
                <w:rFonts w:hint="eastAsia" w:ascii="宋体" w:hAnsi="宋体" w:cs="宋体"/>
                <w:color w:val="000000"/>
                <w:sz w:val="24"/>
                <w:szCs w:val="24"/>
                <w:lang w:val="en-US" w:eastAsia="zh-CN" w:bidi="ar-SA"/>
              </w:rPr>
              <w:t>的得</w:t>
            </w:r>
            <w:r>
              <w:rPr>
                <w:rFonts w:hint="eastAsia" w:ascii="宋体" w:hAnsi="宋体" w:eastAsia="宋体" w:cs="宋体"/>
                <w:color w:val="000000"/>
                <w:sz w:val="24"/>
                <w:szCs w:val="24"/>
                <w:lang w:val="en-US" w:eastAsia="zh-CN" w:bidi="ar-SA"/>
              </w:rPr>
              <w:t>3</w:t>
            </w:r>
            <w:r>
              <w:rPr>
                <w:rFonts w:hint="eastAsia" w:ascii="宋体" w:hAnsi="宋体" w:cs="宋体"/>
                <w:color w:val="000000"/>
                <w:sz w:val="24"/>
                <w:szCs w:val="24"/>
                <w:lang w:val="en-US" w:eastAsia="zh-CN" w:bidi="ar-SA"/>
              </w:rPr>
              <w:t>分</w:t>
            </w:r>
            <w:r>
              <w:rPr>
                <w:rFonts w:hint="eastAsia" w:ascii="宋体" w:hAnsi="宋体" w:eastAsia="宋体" w:cs="宋体"/>
                <w:color w:val="000000"/>
                <w:sz w:val="24"/>
                <w:szCs w:val="24"/>
                <w:lang w:val="en-US" w:eastAsia="zh-CN" w:bidi="ar-SA"/>
              </w:rPr>
              <w:t>、良好的得2分</w:t>
            </w:r>
            <w:r>
              <w:rPr>
                <w:rFonts w:hint="eastAsia" w:ascii="宋体" w:hAnsi="宋体" w:cs="宋体"/>
                <w:color w:val="000000"/>
                <w:sz w:val="24"/>
                <w:szCs w:val="24"/>
                <w:lang w:val="en-US" w:eastAsia="zh-CN" w:bidi="ar-SA"/>
              </w:rPr>
              <w:t>，</w:t>
            </w:r>
            <w:r>
              <w:rPr>
                <w:rFonts w:hint="eastAsia" w:ascii="宋体" w:hAnsi="宋体" w:eastAsia="宋体" w:cs="宋体"/>
                <w:color w:val="000000"/>
                <w:sz w:val="24"/>
                <w:szCs w:val="24"/>
                <w:lang w:val="en-US" w:eastAsia="zh-CN" w:bidi="ar-SA"/>
              </w:rPr>
              <w:t>中等的得1分</w:t>
            </w:r>
            <w:r>
              <w:rPr>
                <w:rFonts w:hint="eastAsia" w:ascii="宋体" w:hAnsi="宋体" w:cs="宋体"/>
                <w:color w:val="000000"/>
                <w:sz w:val="24"/>
                <w:szCs w:val="24"/>
                <w:lang w:val="en-US" w:eastAsia="zh-CN" w:bidi="ar-SA"/>
              </w:rPr>
              <w:t>，</w:t>
            </w:r>
            <w:r>
              <w:rPr>
                <w:rFonts w:hint="eastAsia" w:ascii="宋体" w:hAnsi="宋体" w:eastAsia="宋体" w:cs="宋体"/>
                <w:color w:val="000000"/>
                <w:sz w:val="24"/>
                <w:szCs w:val="24"/>
                <w:lang w:val="en-US" w:eastAsia="zh-CN" w:bidi="ar-SA"/>
              </w:rPr>
              <w:t>其他不得分。</w:t>
            </w:r>
          </w:p>
          <w:p w14:paraId="0E0E460C">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（提供网上截图并加盖公章）</w:t>
            </w:r>
          </w:p>
        </w:tc>
        <w:tc>
          <w:tcPr>
            <w:tcW w:w="1103" w:type="dxa"/>
            <w:vAlign w:val="center"/>
          </w:tcPr>
          <w:p w14:paraId="3EC12DE7">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0-3分</w:t>
            </w:r>
          </w:p>
        </w:tc>
      </w:tr>
      <w:tr w14:paraId="3F5F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5" w:type="dxa"/>
            <w:vAlign w:val="center"/>
          </w:tcPr>
          <w:p w14:paraId="7EDA0E4B">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w:t>
            </w:r>
          </w:p>
        </w:tc>
        <w:tc>
          <w:tcPr>
            <w:tcW w:w="1410" w:type="dxa"/>
            <w:vAlign w:val="center"/>
          </w:tcPr>
          <w:p w14:paraId="074F9DB9">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业绩</w:t>
            </w:r>
          </w:p>
        </w:tc>
        <w:tc>
          <w:tcPr>
            <w:tcW w:w="6208" w:type="dxa"/>
            <w:vAlign w:val="center"/>
          </w:tcPr>
          <w:p w14:paraId="1940CEA7">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202</w:t>
            </w:r>
            <w:r>
              <w:rPr>
                <w:rFonts w:hint="eastAsia" w:ascii="宋体" w:hAnsi="宋体" w:cs="宋体"/>
                <w:color w:val="000000"/>
                <w:sz w:val="24"/>
                <w:szCs w:val="24"/>
                <w:lang w:val="en-US" w:eastAsia="zh-CN" w:bidi="ar-SA"/>
              </w:rPr>
              <w:t>2</w:t>
            </w:r>
            <w:r>
              <w:rPr>
                <w:rFonts w:hint="eastAsia" w:ascii="宋体" w:hAnsi="宋体" w:eastAsia="宋体" w:cs="宋体"/>
                <w:color w:val="000000"/>
                <w:sz w:val="24"/>
                <w:szCs w:val="24"/>
                <w:lang w:val="en-US" w:eastAsia="zh-CN" w:bidi="ar-SA"/>
              </w:rPr>
              <w:t>年1月1日至今（以代理协议合同签订时间为准）代理过</w:t>
            </w:r>
            <w:r>
              <w:rPr>
                <w:rFonts w:hint="eastAsia" w:ascii="宋体" w:hAnsi="宋体" w:eastAsia="宋体" w:cs="宋体"/>
                <w:color w:val="000000"/>
                <w:sz w:val="24"/>
                <w:szCs w:val="24"/>
                <w:highlight w:val="none"/>
                <w:lang w:val="en-US" w:eastAsia="zh-CN" w:bidi="ar-SA"/>
              </w:rPr>
              <w:t>信</w:t>
            </w:r>
            <w:r>
              <w:rPr>
                <w:rFonts w:hint="eastAsia" w:ascii="宋体" w:hAnsi="宋体" w:eastAsia="宋体" w:cs="宋体"/>
                <w:color w:val="000000"/>
                <w:sz w:val="24"/>
                <w:szCs w:val="24"/>
                <w:lang w:val="en-US" w:eastAsia="zh-CN" w:bidi="ar-SA"/>
              </w:rPr>
              <w:t>息化项目（包括但不限于应用平台、视频监控、信息系统、信息化设备等）的，500万（含）以上的每个得0.5分，1000万（含）以上的每个得1分。本项最高得3分。提供代理协议合同、招标公告和中标结果公告截图。</w:t>
            </w:r>
          </w:p>
        </w:tc>
        <w:tc>
          <w:tcPr>
            <w:tcW w:w="1103" w:type="dxa"/>
            <w:vAlign w:val="center"/>
          </w:tcPr>
          <w:p w14:paraId="6D4B8562">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0-3</w:t>
            </w:r>
            <w:r>
              <w:rPr>
                <w:rFonts w:hint="eastAsia" w:ascii="宋体" w:hAnsi="宋体" w:eastAsia="宋体" w:cs="宋体"/>
                <w:color w:val="000000"/>
                <w:sz w:val="24"/>
                <w:szCs w:val="24"/>
                <w:lang w:val="en-US" w:eastAsia="zh-CN" w:bidi="ar-SA"/>
              </w:rPr>
              <w:t>分</w:t>
            </w:r>
          </w:p>
        </w:tc>
      </w:tr>
      <w:tr w14:paraId="6879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02DBB80C">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w:t>
            </w:r>
          </w:p>
        </w:tc>
        <w:tc>
          <w:tcPr>
            <w:tcW w:w="1410" w:type="dxa"/>
            <w:vAlign w:val="center"/>
          </w:tcPr>
          <w:p w14:paraId="11C40AC7">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项目团队负责人</w:t>
            </w:r>
          </w:p>
        </w:tc>
        <w:tc>
          <w:tcPr>
            <w:tcW w:w="6208" w:type="dxa"/>
            <w:vAlign w:val="center"/>
          </w:tcPr>
          <w:p w14:paraId="3108BB28">
            <w:pPr>
              <w:keepNext w:val="0"/>
              <w:keepLines w:val="0"/>
              <w:pageBreakBefore w:val="0"/>
              <w:widowControl w:val="0"/>
              <w:numPr>
                <w:ilvl w:val="0"/>
                <w:numId w:val="0"/>
              </w:numPr>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1.项目负责人为专科学历得1分，本科及以上学历得2分；</w:t>
            </w:r>
          </w:p>
          <w:p w14:paraId="622D7554">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2.项目负责人具有三年及以上工作经验的4分，两年工作经验得2分，一年工作经验得1分，无工作经验不得分；</w:t>
            </w:r>
          </w:p>
          <w:p w14:paraId="3688F573">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需提供项目负责人的劳动合同、近三年社保证明、身份证复印件、学历证明、相关证书复印件等。</w:t>
            </w:r>
          </w:p>
        </w:tc>
        <w:tc>
          <w:tcPr>
            <w:tcW w:w="1103" w:type="dxa"/>
            <w:vAlign w:val="center"/>
          </w:tcPr>
          <w:p w14:paraId="0A5F1038">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0-6</w:t>
            </w:r>
            <w:r>
              <w:rPr>
                <w:rFonts w:hint="eastAsia" w:ascii="宋体" w:hAnsi="宋体" w:eastAsia="宋体" w:cs="宋体"/>
                <w:color w:val="000000"/>
                <w:sz w:val="24"/>
                <w:szCs w:val="24"/>
                <w:lang w:val="en-US" w:eastAsia="zh-CN" w:bidi="ar-SA"/>
              </w:rPr>
              <w:t>分</w:t>
            </w:r>
          </w:p>
        </w:tc>
      </w:tr>
      <w:tr w14:paraId="76CA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F284FF2">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4</w:t>
            </w:r>
          </w:p>
        </w:tc>
        <w:tc>
          <w:tcPr>
            <w:tcW w:w="1410" w:type="dxa"/>
            <w:vAlign w:val="center"/>
          </w:tcPr>
          <w:p w14:paraId="569B9C77">
            <w:pPr>
              <w:keepNext w:val="0"/>
              <w:keepLines w:val="0"/>
              <w:pageBreakBefore w:val="0"/>
              <w:widowControl w:val="0"/>
              <w:kinsoku/>
              <w:wordWrap/>
              <w:overflowPunct/>
              <w:topLinePunct w:val="0"/>
              <w:autoSpaceDE/>
              <w:autoSpaceDN/>
              <w:bidi w:val="0"/>
              <w:adjustRightInd/>
              <w:snapToGrid/>
              <w:spacing w:line="308" w:lineRule="exact"/>
              <w:ind w:firstLine="0" w:firstLineChars="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团队成员</w:t>
            </w:r>
          </w:p>
          <w:p w14:paraId="57C026A9">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（不含项目团队负责人）</w:t>
            </w:r>
          </w:p>
        </w:tc>
        <w:tc>
          <w:tcPr>
            <w:tcW w:w="6208" w:type="dxa"/>
            <w:vAlign w:val="center"/>
          </w:tcPr>
          <w:p w14:paraId="63A6E3E3">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拟派本项目的团队成员：</w:t>
            </w:r>
          </w:p>
          <w:p w14:paraId="7DFFAAED">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1.专科及以上学历，每有1名的2分，最高得4分；</w:t>
            </w:r>
          </w:p>
          <w:p w14:paraId="67042E61">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2.两年及以上工作经验，每有1名得2分，最高得4分</w:t>
            </w:r>
          </w:p>
          <w:p w14:paraId="39DC185C">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需提供团队成员的劳动合同、近两年社保证明、身份证复印件、学历证明、相关证书复印件等。</w:t>
            </w:r>
          </w:p>
        </w:tc>
        <w:tc>
          <w:tcPr>
            <w:tcW w:w="1103" w:type="dxa"/>
            <w:vAlign w:val="center"/>
          </w:tcPr>
          <w:p w14:paraId="7CBF27CC">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0-8</w:t>
            </w:r>
            <w:r>
              <w:rPr>
                <w:rFonts w:hint="eastAsia" w:ascii="宋体" w:hAnsi="宋体" w:eastAsia="宋体" w:cs="宋体"/>
                <w:color w:val="000000"/>
                <w:sz w:val="24"/>
                <w:szCs w:val="24"/>
                <w:lang w:val="en-US" w:eastAsia="zh-CN" w:bidi="ar-SA"/>
              </w:rPr>
              <w:t>分</w:t>
            </w:r>
          </w:p>
        </w:tc>
      </w:tr>
      <w:tr w14:paraId="5D34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17BBED74">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5</w:t>
            </w:r>
          </w:p>
        </w:tc>
        <w:tc>
          <w:tcPr>
            <w:tcW w:w="1410" w:type="dxa"/>
            <w:vAlign w:val="center"/>
          </w:tcPr>
          <w:p w14:paraId="193D5E64">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场地及设施</w:t>
            </w:r>
          </w:p>
        </w:tc>
        <w:tc>
          <w:tcPr>
            <w:tcW w:w="6208" w:type="dxa"/>
            <w:vAlign w:val="center"/>
          </w:tcPr>
          <w:p w14:paraId="71CB325C">
            <w:pPr>
              <w:keepNext w:val="0"/>
              <w:keepLines w:val="0"/>
              <w:pageBreakBefore w:val="0"/>
              <w:widowControl w:val="0"/>
              <w:numPr>
                <w:ilvl w:val="0"/>
                <w:numId w:val="0"/>
              </w:numPr>
              <w:kinsoku/>
              <w:wordWrap/>
              <w:overflowPunct/>
              <w:topLinePunct w:val="0"/>
              <w:autoSpaceDE/>
              <w:autoSpaceDN/>
              <w:bidi w:val="0"/>
              <w:adjustRightInd/>
              <w:snapToGrid/>
              <w:spacing w:line="308"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1.办公场地内有固定开标室、评标室、休息室、档案保管室。根据办公场地布局是否合理和宽敞进行综合评分（0-4分）；</w:t>
            </w:r>
          </w:p>
          <w:p w14:paraId="6DAC486F">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2.固定的对外咨询服务电话、电子投影设备、手机屏蔽或保管设施、录音录像或监控等设施配备情况进行综合评分（0-4分）。</w:t>
            </w:r>
          </w:p>
        </w:tc>
        <w:tc>
          <w:tcPr>
            <w:tcW w:w="1103" w:type="dxa"/>
            <w:vAlign w:val="center"/>
          </w:tcPr>
          <w:p w14:paraId="0283245F">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0-8分</w:t>
            </w:r>
          </w:p>
        </w:tc>
      </w:tr>
      <w:tr w14:paraId="4A31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176BD66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6</w:t>
            </w:r>
          </w:p>
        </w:tc>
        <w:tc>
          <w:tcPr>
            <w:tcW w:w="1410" w:type="dxa"/>
            <w:vAlign w:val="center"/>
          </w:tcPr>
          <w:p w14:paraId="6E36A7B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内部管理</w:t>
            </w:r>
          </w:p>
        </w:tc>
        <w:tc>
          <w:tcPr>
            <w:tcW w:w="6208" w:type="dxa"/>
            <w:vAlign w:val="center"/>
          </w:tcPr>
          <w:p w14:paraId="7818DFFB">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投标人的内部管理制度：</w:t>
            </w:r>
          </w:p>
          <w:p w14:paraId="1339B421">
            <w:pPr>
              <w:keepNext w:val="0"/>
              <w:keepLines w:val="0"/>
              <w:pageBreakBefore w:val="0"/>
              <w:widowControl w:val="0"/>
              <w:numPr>
                <w:ilvl w:val="0"/>
                <w:numId w:val="0"/>
              </w:numPr>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1.岗位职责（0-3分）；</w:t>
            </w:r>
          </w:p>
          <w:p w14:paraId="13328763">
            <w:pPr>
              <w:keepNext w:val="0"/>
              <w:keepLines w:val="0"/>
              <w:pageBreakBefore w:val="0"/>
              <w:widowControl w:val="0"/>
              <w:numPr>
                <w:ilvl w:val="0"/>
                <w:numId w:val="0"/>
              </w:numPr>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2.基本操作规程或程序（0-3分）；</w:t>
            </w:r>
          </w:p>
          <w:p w14:paraId="5D715199">
            <w:pPr>
              <w:keepNext w:val="0"/>
              <w:keepLines w:val="0"/>
              <w:pageBreakBefore w:val="0"/>
              <w:widowControl w:val="0"/>
              <w:numPr>
                <w:ilvl w:val="0"/>
                <w:numId w:val="0"/>
              </w:numPr>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3.人员奖惩考核（0-3分）。</w:t>
            </w:r>
          </w:p>
        </w:tc>
        <w:tc>
          <w:tcPr>
            <w:tcW w:w="1103" w:type="dxa"/>
            <w:vAlign w:val="center"/>
          </w:tcPr>
          <w:p w14:paraId="04B3C85D">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0-9分</w:t>
            </w:r>
          </w:p>
        </w:tc>
      </w:tr>
      <w:tr w14:paraId="64DB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4329B639">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7</w:t>
            </w:r>
          </w:p>
        </w:tc>
        <w:tc>
          <w:tcPr>
            <w:tcW w:w="1410" w:type="dxa"/>
            <w:vAlign w:val="center"/>
          </w:tcPr>
          <w:p w14:paraId="5C12082A">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实施方案</w:t>
            </w:r>
          </w:p>
        </w:tc>
        <w:tc>
          <w:tcPr>
            <w:tcW w:w="6208" w:type="dxa"/>
            <w:vAlign w:val="center"/>
          </w:tcPr>
          <w:p w14:paraId="58A25073">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投标人提供的实施方案：</w:t>
            </w:r>
          </w:p>
          <w:p w14:paraId="707759C9">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1.招标代理工作计划（0-1分）；</w:t>
            </w:r>
          </w:p>
          <w:p w14:paraId="44D97B4C">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2.避免质疑投诉措施（0-1分）；</w:t>
            </w:r>
          </w:p>
          <w:p w14:paraId="21D29644">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3.争议解决机制措施（0-1分）；</w:t>
            </w:r>
          </w:p>
          <w:p w14:paraId="62772FB8">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4.防止招标失败措施（0-1分）；</w:t>
            </w:r>
          </w:p>
          <w:p w14:paraId="257CA765">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5.防止串标、围标的预案及措施（0-1分）。</w:t>
            </w:r>
          </w:p>
        </w:tc>
        <w:tc>
          <w:tcPr>
            <w:tcW w:w="1103" w:type="dxa"/>
            <w:vAlign w:val="center"/>
          </w:tcPr>
          <w:p w14:paraId="15D75290">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0-5</w:t>
            </w:r>
            <w:r>
              <w:rPr>
                <w:rFonts w:hint="eastAsia" w:ascii="宋体" w:hAnsi="宋体" w:eastAsia="宋体" w:cs="宋体"/>
                <w:color w:val="000000"/>
                <w:sz w:val="24"/>
                <w:szCs w:val="24"/>
                <w:lang w:val="en-US" w:eastAsia="zh-CN" w:bidi="ar-SA"/>
              </w:rPr>
              <w:t>分</w:t>
            </w:r>
          </w:p>
        </w:tc>
      </w:tr>
      <w:tr w14:paraId="095C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CF3640A">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8</w:t>
            </w:r>
          </w:p>
        </w:tc>
        <w:tc>
          <w:tcPr>
            <w:tcW w:w="1410" w:type="dxa"/>
            <w:vAlign w:val="center"/>
          </w:tcPr>
          <w:p w14:paraId="0EF8A1EF">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质量保证措施</w:t>
            </w:r>
          </w:p>
        </w:tc>
        <w:tc>
          <w:tcPr>
            <w:tcW w:w="6208" w:type="dxa"/>
            <w:vAlign w:val="center"/>
          </w:tcPr>
          <w:p w14:paraId="7338CB8B">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投标人提供的质量保证措施：</w:t>
            </w:r>
          </w:p>
          <w:p w14:paraId="695F7069">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1.编制、审核、复核措施是否完善（0-3分）；</w:t>
            </w:r>
          </w:p>
          <w:p w14:paraId="424A1C02">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2.质量相关控制制度是否健全（0-3分)。</w:t>
            </w:r>
          </w:p>
        </w:tc>
        <w:tc>
          <w:tcPr>
            <w:tcW w:w="1103" w:type="dxa"/>
            <w:vAlign w:val="center"/>
          </w:tcPr>
          <w:p w14:paraId="4BF4C2F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0-6分</w:t>
            </w:r>
          </w:p>
        </w:tc>
      </w:tr>
      <w:tr w14:paraId="25CB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0F2DD3D2">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9</w:t>
            </w:r>
          </w:p>
        </w:tc>
        <w:tc>
          <w:tcPr>
            <w:tcW w:w="1410" w:type="dxa"/>
            <w:vAlign w:val="center"/>
          </w:tcPr>
          <w:p w14:paraId="5EE327C1">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制度执行</w:t>
            </w:r>
          </w:p>
        </w:tc>
        <w:tc>
          <w:tcPr>
            <w:tcW w:w="6208" w:type="dxa"/>
            <w:vAlign w:val="center"/>
          </w:tcPr>
          <w:p w14:paraId="0808449B">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投标人的制度执行情况：</w:t>
            </w:r>
          </w:p>
          <w:p w14:paraId="214740B1">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1.档案管理制度（0-3分)；</w:t>
            </w:r>
          </w:p>
          <w:p w14:paraId="7159391A">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2.财务管理制度（0-3分)。</w:t>
            </w:r>
          </w:p>
        </w:tc>
        <w:tc>
          <w:tcPr>
            <w:tcW w:w="1103" w:type="dxa"/>
            <w:vAlign w:val="center"/>
          </w:tcPr>
          <w:p w14:paraId="13FB08DA">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0-6分</w:t>
            </w:r>
          </w:p>
        </w:tc>
      </w:tr>
      <w:tr w14:paraId="1D46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6205E356">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10</w:t>
            </w:r>
          </w:p>
        </w:tc>
        <w:tc>
          <w:tcPr>
            <w:tcW w:w="1410" w:type="dxa"/>
            <w:vAlign w:val="center"/>
          </w:tcPr>
          <w:p w14:paraId="03BB5453">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服务承诺</w:t>
            </w:r>
          </w:p>
        </w:tc>
        <w:tc>
          <w:tcPr>
            <w:tcW w:w="6208" w:type="dxa"/>
            <w:vAlign w:val="center"/>
          </w:tcPr>
          <w:p w14:paraId="44CD5B82">
            <w:pPr>
              <w:keepNext w:val="0"/>
              <w:keepLines w:val="0"/>
              <w:pageBreakBefore w:val="0"/>
              <w:widowControl w:val="0"/>
              <w:kinsoku/>
              <w:wordWrap/>
              <w:overflowPunct/>
              <w:topLinePunct w:val="0"/>
              <w:autoSpaceDE/>
              <w:autoSpaceDN/>
              <w:bidi w:val="0"/>
              <w:adjustRightInd/>
              <w:snapToGrid/>
              <w:spacing w:line="308" w:lineRule="exact"/>
              <w:ind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针对招标代理服务和本次招标的特点，对本项目的人员配备、人员到位率、服务态度、服务质量、应急措施等方面进行承诺。</w:t>
            </w:r>
          </w:p>
        </w:tc>
        <w:tc>
          <w:tcPr>
            <w:tcW w:w="1103" w:type="dxa"/>
            <w:vAlign w:val="center"/>
          </w:tcPr>
          <w:p w14:paraId="0A2C4465">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0-5</w:t>
            </w:r>
            <w:r>
              <w:rPr>
                <w:rFonts w:hint="eastAsia" w:ascii="宋体" w:hAnsi="宋体" w:eastAsia="宋体" w:cs="宋体"/>
                <w:color w:val="000000"/>
                <w:sz w:val="24"/>
                <w:szCs w:val="24"/>
                <w:lang w:val="en-US" w:eastAsia="zh-CN" w:bidi="ar-SA"/>
              </w:rPr>
              <w:t>分</w:t>
            </w:r>
          </w:p>
        </w:tc>
      </w:tr>
      <w:tr w14:paraId="1FD1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95" w:type="dxa"/>
            <w:vAlign w:val="center"/>
          </w:tcPr>
          <w:p w14:paraId="3A0E9B0F">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w:t>
            </w:r>
          </w:p>
        </w:tc>
        <w:tc>
          <w:tcPr>
            <w:tcW w:w="1410" w:type="dxa"/>
            <w:vAlign w:val="center"/>
          </w:tcPr>
          <w:p w14:paraId="7BD5200A">
            <w:pPr>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sz w:val="24"/>
                <w:szCs w:val="24"/>
                <w:highlight w:val="none"/>
                <w:lang w:val="en-US" w:eastAsia="zh-CN"/>
              </w:rPr>
              <w:t>陈述答辩</w:t>
            </w:r>
          </w:p>
        </w:tc>
        <w:tc>
          <w:tcPr>
            <w:tcW w:w="6208" w:type="dxa"/>
            <w:vAlign w:val="center"/>
          </w:tcPr>
          <w:p w14:paraId="76F08651">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投标人限时回答评标委员会围绕招标代理服务方面（包括但不限于对项目的理解、招标代理服务过程中的重点难点、应急保障措施、服务进度等）提出的问题。详细合理的得8-11分，较详细的得4-8分，一般的得0-4分。</w:t>
            </w:r>
          </w:p>
          <w:p w14:paraId="22C09270">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1.陈述答辩相关规定：</w:t>
            </w:r>
          </w:p>
          <w:p w14:paraId="348EE19F">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（1）不参加或未按通知要求的时间到达指定地点的，视为自动放弃陈述答辩，此项不得分。</w:t>
            </w:r>
          </w:p>
          <w:p w14:paraId="28F0D3D1">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 xml:space="preserve">（2）陈述答辩人应在陈述答辩问题的范围内进行陈述答辩。 </w:t>
            </w:r>
          </w:p>
          <w:p w14:paraId="0758A1A7">
            <w:pPr>
              <w:jc w:val="left"/>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3</w:t>
            </w:r>
            <w:r>
              <w:rPr>
                <w:rFonts w:hint="eastAsia" w:ascii="宋体" w:hAnsi="宋体" w:eastAsia="宋体" w:cs="宋体"/>
                <w:color w:val="000000"/>
                <w:sz w:val="24"/>
                <w:szCs w:val="24"/>
                <w:highlight w:val="none"/>
                <w:lang w:val="en-US" w:eastAsia="zh-CN" w:bidi="ar-SA"/>
              </w:rPr>
              <w:t>）陈述答辩开始时间：2025年7月14日10：</w:t>
            </w:r>
            <w:bookmarkStart w:id="94" w:name="_GoBack"/>
            <w:bookmarkEnd w:id="94"/>
            <w:r>
              <w:rPr>
                <w:rFonts w:hint="eastAsia" w:ascii="宋体" w:hAnsi="宋体" w:eastAsia="宋体" w:cs="宋体"/>
                <w:color w:val="000000"/>
                <w:sz w:val="24"/>
                <w:szCs w:val="24"/>
                <w:highlight w:val="none"/>
                <w:lang w:val="en-US" w:eastAsia="zh-CN" w:bidi="ar-SA"/>
              </w:rPr>
              <w:t>00</w:t>
            </w:r>
            <w:r>
              <w:rPr>
                <w:rFonts w:hint="eastAsia" w:ascii="宋体" w:hAnsi="宋体" w:cs="宋体"/>
                <w:color w:val="000000"/>
                <w:sz w:val="24"/>
                <w:szCs w:val="24"/>
                <w:highlight w:val="none"/>
                <w:lang w:val="en-US" w:eastAsia="zh-CN" w:bidi="ar-SA"/>
              </w:rPr>
              <w:t>时</w:t>
            </w:r>
          </w:p>
          <w:p w14:paraId="64023C56">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4</w:t>
            </w:r>
            <w:r>
              <w:rPr>
                <w:rFonts w:hint="eastAsia" w:ascii="宋体" w:hAnsi="宋体" w:eastAsia="宋体" w:cs="宋体"/>
                <w:color w:val="000000"/>
                <w:sz w:val="24"/>
                <w:szCs w:val="24"/>
                <w:highlight w:val="none"/>
                <w:lang w:val="en-US" w:eastAsia="zh-CN" w:bidi="ar-SA"/>
              </w:rPr>
              <w:t>）陈述答辩时间：不得超过30分钟</w:t>
            </w:r>
          </w:p>
          <w:p w14:paraId="11B098F2">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 xml:space="preserve">2.相关要求： </w:t>
            </w:r>
          </w:p>
          <w:p w14:paraId="0384AE4D">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投标人代表应携带本人二代身份证按照开标通知的要求及时进入答辩室，招标人(或招标代理机构)工作人员将通过二代身份证核对投标人代表身份。投标人代表需本人参加答辩，现场或事后发现冒名顶替的，将按照弄虚作假行为严肃处理。</w:t>
            </w:r>
          </w:p>
          <w:p w14:paraId="4B8B0510">
            <w:pP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（2）核对完毕后，进入答辩室前投标人代表应将手机及通讯工具关闭或调至静音状态后交由招标人(或代理机构)工作人员保管。</w:t>
            </w:r>
          </w:p>
        </w:tc>
        <w:tc>
          <w:tcPr>
            <w:tcW w:w="1103" w:type="dxa"/>
            <w:vAlign w:val="center"/>
          </w:tcPr>
          <w:p w14:paraId="22E43FC7">
            <w:pPr>
              <w:keepNext w:val="0"/>
              <w:keepLines w:val="0"/>
              <w:pageBreakBefore w:val="0"/>
              <w:widowControl w:val="0"/>
              <w:kinsoku/>
              <w:wordWrap/>
              <w:overflowPunct/>
              <w:topLinePunct w:val="0"/>
              <w:autoSpaceDE/>
              <w:autoSpaceDN/>
              <w:bidi w:val="0"/>
              <w:adjustRightInd/>
              <w:snapToGrid/>
              <w:spacing w:line="308" w:lineRule="exact"/>
              <w:ind w:firstLine="0" w:firstLineChars="0"/>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0-11</w:t>
            </w:r>
            <w:r>
              <w:rPr>
                <w:rFonts w:hint="eastAsia" w:ascii="宋体" w:hAnsi="宋体" w:eastAsia="宋体" w:cs="宋体"/>
                <w:color w:val="000000"/>
                <w:sz w:val="24"/>
                <w:szCs w:val="24"/>
                <w:lang w:val="en-US" w:eastAsia="zh-CN" w:bidi="ar-SA"/>
              </w:rPr>
              <w:t>分</w:t>
            </w:r>
          </w:p>
        </w:tc>
      </w:tr>
    </w:tbl>
    <w:p w14:paraId="204E3827">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注：证明材料提供扫描件或</w:t>
      </w:r>
      <w:r>
        <w:rPr>
          <w:rFonts w:hint="eastAsia" w:ascii="宋体" w:hAnsi="宋体" w:eastAsia="宋体" w:cs="宋体"/>
          <w:b/>
          <w:bCs/>
          <w:sz w:val="24"/>
          <w:szCs w:val="24"/>
          <w:highlight w:val="none"/>
          <w:lang w:val="en-US" w:eastAsia="zh-CN"/>
        </w:rPr>
        <w:t>复印件</w:t>
      </w:r>
      <w:r>
        <w:rPr>
          <w:rFonts w:hint="eastAsia" w:ascii="宋体" w:hAnsi="宋体" w:eastAsia="宋体" w:cs="宋体"/>
          <w:b/>
          <w:bCs/>
          <w:sz w:val="24"/>
          <w:szCs w:val="24"/>
          <w:highlight w:val="none"/>
        </w:rPr>
        <w:t>并加盖公章，未提供的不得分。</w:t>
      </w:r>
    </w:p>
    <w:p w14:paraId="16EA568F">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32FB6E7A">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5.2投标人报价满分为</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分，由评标委员会根据以下内容统一计算打分：</w:t>
      </w:r>
    </w:p>
    <w:tbl>
      <w:tblPr>
        <w:tblStyle w:val="15"/>
        <w:tblW w:w="493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833"/>
      </w:tblGrid>
      <w:tr w14:paraId="6F903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4" w:hRule="atLeast"/>
          <w:jc w:val="center"/>
        </w:trPr>
        <w:tc>
          <w:tcPr>
            <w:tcW w:w="709" w:type="pct"/>
            <w:noWrap w:val="0"/>
            <w:vAlign w:val="center"/>
          </w:tcPr>
          <w:p w14:paraId="4BE40CA7">
            <w:pPr>
              <w:rPr>
                <w:rFonts w:hint="eastAsia" w:ascii="宋体" w:hAnsi="宋体" w:eastAsia="宋体" w:cs="宋体"/>
                <w:b/>
                <w:bCs/>
                <w:color w:val="000000"/>
                <w:sz w:val="24"/>
                <w:szCs w:val="24"/>
              </w:rPr>
            </w:pPr>
            <w:r>
              <w:rPr>
                <w:rFonts w:hint="eastAsia" w:ascii="宋体" w:hAnsi="宋体" w:eastAsia="宋体" w:cs="宋体"/>
                <w:b/>
                <w:bCs/>
                <w:sz w:val="24"/>
                <w:szCs w:val="24"/>
                <w:highlight w:val="none"/>
              </w:rPr>
              <w:br w:type="page"/>
            </w:r>
            <w:r>
              <w:rPr>
                <w:rFonts w:hint="eastAsia" w:ascii="宋体" w:hAnsi="宋体" w:eastAsia="宋体" w:cs="宋体"/>
                <w:b/>
                <w:bCs/>
                <w:color w:val="000000"/>
                <w:sz w:val="24"/>
                <w:szCs w:val="24"/>
              </w:rPr>
              <w:t>评估指标</w:t>
            </w:r>
          </w:p>
        </w:tc>
        <w:tc>
          <w:tcPr>
            <w:tcW w:w="4290" w:type="pct"/>
            <w:noWrap w:val="0"/>
            <w:vAlign w:val="center"/>
          </w:tcPr>
          <w:p w14:paraId="3BF1398D">
            <w:pPr>
              <w:tabs>
                <w:tab w:val="left" w:pos="318"/>
              </w:tabs>
              <w:spacing w:line="276"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评审细则</w:t>
            </w:r>
          </w:p>
        </w:tc>
      </w:tr>
      <w:tr w14:paraId="2406B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pct"/>
            <w:noWrap w:val="0"/>
            <w:vAlign w:val="center"/>
          </w:tcPr>
          <w:p w14:paraId="64CF94BE">
            <w:pPr>
              <w:tabs>
                <w:tab w:val="left" w:pos="318"/>
              </w:tabs>
              <w:spacing w:line="276" w:lineRule="auto"/>
              <w:jc w:val="center"/>
              <w:rPr>
                <w:rFonts w:hint="eastAsia" w:ascii="宋体" w:hAnsi="宋体" w:eastAsia="宋体" w:cs="宋体"/>
                <w:bCs/>
                <w:color w:val="000000"/>
                <w:sz w:val="24"/>
                <w:szCs w:val="24"/>
              </w:rPr>
            </w:pPr>
            <w:r>
              <w:rPr>
                <w:rFonts w:hint="eastAsia" w:ascii="宋体" w:hAnsi="宋体" w:eastAsia="宋体" w:cs="宋体"/>
                <w:b/>
                <w:color w:val="000000"/>
                <w:sz w:val="24"/>
                <w:szCs w:val="24"/>
              </w:rPr>
              <w:t>价格得分的计算</w:t>
            </w:r>
          </w:p>
        </w:tc>
        <w:tc>
          <w:tcPr>
            <w:tcW w:w="4290" w:type="pct"/>
            <w:noWrap w:val="0"/>
            <w:vAlign w:val="top"/>
          </w:tcPr>
          <w:p w14:paraId="3E6106B7">
            <w:pPr>
              <w:rPr>
                <w:rFonts w:hint="eastAsia" w:ascii="宋体" w:hAnsi="宋体" w:eastAsia="宋体" w:cs="宋体"/>
                <w:b/>
                <w:bCs/>
                <w:sz w:val="24"/>
                <w:szCs w:val="24"/>
              </w:rPr>
            </w:pPr>
            <w:r>
              <w:rPr>
                <w:rFonts w:hint="eastAsia" w:ascii="宋体" w:hAnsi="宋体" w:eastAsia="宋体" w:cs="宋体"/>
                <w:b/>
                <w:bCs/>
                <w:sz w:val="24"/>
                <w:szCs w:val="24"/>
              </w:rPr>
              <w:t>全过程采购代理服务费收费标准：</w:t>
            </w:r>
          </w:p>
          <w:tbl>
            <w:tblPr>
              <w:tblStyle w:val="14"/>
              <w:tblW w:w="7279" w:type="dxa"/>
              <w:tblInd w:w="0" w:type="dxa"/>
              <w:tblLayout w:type="fixed"/>
              <w:tblCellMar>
                <w:top w:w="0" w:type="dxa"/>
                <w:left w:w="108" w:type="dxa"/>
                <w:bottom w:w="0" w:type="dxa"/>
                <w:right w:w="108" w:type="dxa"/>
              </w:tblCellMar>
            </w:tblPr>
            <w:tblGrid>
              <w:gridCol w:w="2289"/>
              <w:gridCol w:w="1701"/>
              <w:gridCol w:w="1418"/>
              <w:gridCol w:w="1871"/>
            </w:tblGrid>
            <w:tr w14:paraId="5D66AB87">
              <w:tblPrEx>
                <w:tblCellMar>
                  <w:top w:w="0" w:type="dxa"/>
                  <w:left w:w="108" w:type="dxa"/>
                  <w:bottom w:w="0" w:type="dxa"/>
                  <w:right w:w="108" w:type="dxa"/>
                </w:tblCellMar>
              </w:tblPrEx>
              <w:trPr>
                <w:trHeight w:val="270" w:hRule="atLeast"/>
              </w:trPr>
              <w:tc>
                <w:tcPr>
                  <w:tcW w:w="2289" w:type="dxa"/>
                  <w:vMerge w:val="restart"/>
                  <w:tcBorders>
                    <w:top w:val="single" w:color="auto" w:sz="4" w:space="0"/>
                    <w:left w:val="single" w:color="auto" w:sz="4" w:space="0"/>
                    <w:bottom w:val="single" w:color="auto" w:sz="4" w:space="0"/>
                    <w:right w:val="single" w:color="auto" w:sz="4" w:space="0"/>
                  </w:tcBorders>
                  <w:noWrap w:val="0"/>
                  <w:vAlign w:val="center"/>
                </w:tcPr>
                <w:p w14:paraId="7DEA0B38">
                  <w:pPr>
                    <w:widowControl/>
                    <w:jc w:val="center"/>
                    <w:rPr>
                      <w:rFonts w:hint="eastAsia" w:ascii="宋体" w:hAnsi="宋体" w:eastAsia="宋体" w:cs="宋体"/>
                      <w:b/>
                      <w:bCs/>
                      <w:sz w:val="24"/>
                      <w:szCs w:val="24"/>
                    </w:rPr>
                  </w:pPr>
                  <w:r>
                    <w:rPr>
                      <w:rFonts w:hint="eastAsia" w:ascii="宋体" w:hAnsi="宋体" w:eastAsia="宋体" w:cs="宋体"/>
                      <w:b/>
                      <w:bCs/>
                      <w:sz w:val="24"/>
                      <w:szCs w:val="24"/>
                    </w:rPr>
                    <w:t>中标金额（万元）</w:t>
                  </w:r>
                </w:p>
              </w:tc>
              <w:tc>
                <w:tcPr>
                  <w:tcW w:w="4990" w:type="dxa"/>
                  <w:gridSpan w:val="3"/>
                  <w:tcBorders>
                    <w:top w:val="single" w:color="auto" w:sz="4" w:space="0"/>
                    <w:left w:val="nil"/>
                    <w:bottom w:val="single" w:color="auto" w:sz="4" w:space="0"/>
                    <w:right w:val="single" w:color="auto" w:sz="4" w:space="0"/>
                  </w:tcBorders>
                  <w:noWrap/>
                  <w:vAlign w:val="center"/>
                </w:tcPr>
                <w:p w14:paraId="144DDC25">
                  <w:pPr>
                    <w:widowControl/>
                    <w:jc w:val="center"/>
                    <w:rPr>
                      <w:rFonts w:hint="eastAsia" w:ascii="宋体" w:hAnsi="宋体" w:eastAsia="宋体" w:cs="宋体"/>
                      <w:b/>
                      <w:bCs/>
                      <w:sz w:val="24"/>
                      <w:szCs w:val="24"/>
                    </w:rPr>
                  </w:pPr>
                  <w:r>
                    <w:rPr>
                      <w:rFonts w:hint="eastAsia" w:ascii="宋体" w:hAnsi="宋体" w:eastAsia="宋体" w:cs="宋体"/>
                      <w:b/>
                      <w:bCs/>
                      <w:sz w:val="24"/>
                      <w:szCs w:val="24"/>
                    </w:rPr>
                    <w:t>服务类型</w:t>
                  </w:r>
                </w:p>
              </w:tc>
            </w:tr>
            <w:tr w14:paraId="68F9F040">
              <w:tblPrEx>
                <w:tblCellMar>
                  <w:top w:w="0" w:type="dxa"/>
                  <w:left w:w="108" w:type="dxa"/>
                  <w:bottom w:w="0" w:type="dxa"/>
                  <w:right w:w="108" w:type="dxa"/>
                </w:tblCellMar>
              </w:tblPrEx>
              <w:trPr>
                <w:trHeight w:val="270" w:hRule="atLeast"/>
              </w:trPr>
              <w:tc>
                <w:tcPr>
                  <w:tcW w:w="2289" w:type="dxa"/>
                  <w:vMerge w:val="continue"/>
                  <w:tcBorders>
                    <w:top w:val="single" w:color="auto" w:sz="4" w:space="0"/>
                    <w:left w:val="single" w:color="auto" w:sz="4" w:space="0"/>
                    <w:bottom w:val="single" w:color="auto" w:sz="4" w:space="0"/>
                    <w:right w:val="single" w:color="auto" w:sz="4" w:space="0"/>
                  </w:tcBorders>
                  <w:noWrap w:val="0"/>
                  <w:vAlign w:val="center"/>
                </w:tcPr>
                <w:p w14:paraId="5124C4D7">
                  <w:pPr>
                    <w:widowControl/>
                    <w:jc w:val="left"/>
                    <w:rPr>
                      <w:rFonts w:hint="eastAsia" w:ascii="宋体" w:hAnsi="宋体" w:eastAsia="宋体" w:cs="宋体"/>
                      <w:b/>
                      <w:bCs/>
                      <w:sz w:val="24"/>
                      <w:szCs w:val="24"/>
                    </w:rPr>
                  </w:pPr>
                </w:p>
              </w:tc>
              <w:tc>
                <w:tcPr>
                  <w:tcW w:w="1701" w:type="dxa"/>
                  <w:tcBorders>
                    <w:top w:val="nil"/>
                    <w:left w:val="nil"/>
                    <w:bottom w:val="single" w:color="auto" w:sz="4" w:space="0"/>
                    <w:right w:val="single" w:color="auto" w:sz="4" w:space="0"/>
                  </w:tcBorders>
                  <w:noWrap w:val="0"/>
                  <w:vAlign w:val="center"/>
                </w:tcPr>
                <w:p w14:paraId="3B06C06E">
                  <w:pPr>
                    <w:widowControl/>
                    <w:jc w:val="center"/>
                    <w:rPr>
                      <w:rFonts w:hint="eastAsia" w:ascii="宋体" w:hAnsi="宋体" w:eastAsia="宋体" w:cs="宋体"/>
                      <w:b/>
                      <w:bCs/>
                      <w:sz w:val="24"/>
                      <w:szCs w:val="24"/>
                    </w:rPr>
                  </w:pPr>
                  <w:r>
                    <w:rPr>
                      <w:rFonts w:hint="eastAsia" w:ascii="宋体" w:hAnsi="宋体" w:eastAsia="宋体" w:cs="宋体"/>
                      <w:b/>
                      <w:bCs/>
                      <w:sz w:val="24"/>
                      <w:szCs w:val="24"/>
                    </w:rPr>
                    <w:t>货物招标</w:t>
                  </w:r>
                </w:p>
              </w:tc>
              <w:tc>
                <w:tcPr>
                  <w:tcW w:w="1418" w:type="dxa"/>
                  <w:tcBorders>
                    <w:top w:val="nil"/>
                    <w:left w:val="nil"/>
                    <w:bottom w:val="single" w:color="auto" w:sz="4" w:space="0"/>
                    <w:right w:val="single" w:color="auto" w:sz="4" w:space="0"/>
                  </w:tcBorders>
                  <w:noWrap w:val="0"/>
                  <w:vAlign w:val="center"/>
                </w:tcPr>
                <w:p w14:paraId="00543A3C">
                  <w:pPr>
                    <w:widowControl/>
                    <w:jc w:val="center"/>
                    <w:rPr>
                      <w:rFonts w:hint="eastAsia" w:ascii="宋体" w:hAnsi="宋体" w:eastAsia="宋体" w:cs="宋体"/>
                      <w:b/>
                      <w:bCs/>
                      <w:sz w:val="24"/>
                      <w:szCs w:val="24"/>
                    </w:rPr>
                  </w:pPr>
                  <w:r>
                    <w:rPr>
                      <w:rFonts w:hint="eastAsia" w:ascii="宋体" w:hAnsi="宋体" w:eastAsia="宋体" w:cs="宋体"/>
                      <w:b/>
                      <w:bCs/>
                      <w:sz w:val="24"/>
                      <w:szCs w:val="24"/>
                    </w:rPr>
                    <w:t>服务招标</w:t>
                  </w:r>
                </w:p>
              </w:tc>
              <w:tc>
                <w:tcPr>
                  <w:tcW w:w="1871" w:type="dxa"/>
                  <w:tcBorders>
                    <w:top w:val="nil"/>
                    <w:left w:val="nil"/>
                    <w:bottom w:val="single" w:color="auto" w:sz="4" w:space="0"/>
                    <w:right w:val="single" w:color="auto" w:sz="4" w:space="0"/>
                  </w:tcBorders>
                  <w:noWrap w:val="0"/>
                  <w:vAlign w:val="center"/>
                </w:tcPr>
                <w:p w14:paraId="1E7E04CF">
                  <w:pPr>
                    <w:widowControl/>
                    <w:jc w:val="center"/>
                    <w:rPr>
                      <w:rFonts w:hint="eastAsia" w:ascii="宋体" w:hAnsi="宋体" w:eastAsia="宋体" w:cs="宋体"/>
                      <w:b/>
                      <w:bCs/>
                      <w:sz w:val="24"/>
                      <w:szCs w:val="24"/>
                    </w:rPr>
                  </w:pPr>
                  <w:r>
                    <w:rPr>
                      <w:rFonts w:hint="eastAsia" w:ascii="宋体" w:hAnsi="宋体" w:eastAsia="宋体" w:cs="宋体"/>
                      <w:b/>
                      <w:bCs/>
                      <w:sz w:val="24"/>
                      <w:szCs w:val="24"/>
                    </w:rPr>
                    <w:t>工程招标</w:t>
                  </w:r>
                </w:p>
              </w:tc>
            </w:tr>
            <w:tr w14:paraId="03A851BA">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31D1EE44">
                  <w:pPr>
                    <w:widowControl/>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1701" w:type="dxa"/>
                  <w:tcBorders>
                    <w:top w:val="nil"/>
                    <w:left w:val="nil"/>
                    <w:bottom w:val="single" w:color="auto" w:sz="4" w:space="0"/>
                    <w:right w:val="single" w:color="auto" w:sz="4" w:space="0"/>
                  </w:tcBorders>
                  <w:noWrap w:val="0"/>
                  <w:vAlign w:val="center"/>
                </w:tcPr>
                <w:p w14:paraId="6B18A60D">
                  <w:pPr>
                    <w:widowControl/>
                    <w:jc w:val="center"/>
                    <w:rPr>
                      <w:rFonts w:hint="eastAsia" w:ascii="宋体" w:hAnsi="宋体" w:eastAsia="宋体" w:cs="宋体"/>
                      <w:sz w:val="24"/>
                      <w:szCs w:val="24"/>
                    </w:rPr>
                  </w:pPr>
                  <w:r>
                    <w:rPr>
                      <w:rFonts w:hint="eastAsia" w:ascii="宋体" w:hAnsi="宋体" w:eastAsia="宋体" w:cs="宋体"/>
                      <w:sz w:val="24"/>
                      <w:szCs w:val="24"/>
                    </w:rPr>
                    <w:t>1.50%</w:t>
                  </w:r>
                </w:p>
              </w:tc>
              <w:tc>
                <w:tcPr>
                  <w:tcW w:w="1418" w:type="dxa"/>
                  <w:tcBorders>
                    <w:top w:val="nil"/>
                    <w:left w:val="nil"/>
                    <w:bottom w:val="single" w:color="auto" w:sz="4" w:space="0"/>
                    <w:right w:val="single" w:color="auto" w:sz="4" w:space="0"/>
                  </w:tcBorders>
                  <w:noWrap w:val="0"/>
                  <w:vAlign w:val="center"/>
                </w:tcPr>
                <w:p w14:paraId="0E0A4154">
                  <w:pPr>
                    <w:widowControl/>
                    <w:jc w:val="center"/>
                    <w:rPr>
                      <w:rFonts w:hint="eastAsia" w:ascii="宋体" w:hAnsi="宋体" w:eastAsia="宋体" w:cs="宋体"/>
                      <w:sz w:val="24"/>
                      <w:szCs w:val="24"/>
                    </w:rPr>
                  </w:pPr>
                  <w:r>
                    <w:rPr>
                      <w:rFonts w:hint="eastAsia" w:ascii="宋体" w:hAnsi="宋体" w:eastAsia="宋体" w:cs="宋体"/>
                      <w:sz w:val="24"/>
                      <w:szCs w:val="24"/>
                    </w:rPr>
                    <w:t>1.50%</w:t>
                  </w:r>
                </w:p>
              </w:tc>
              <w:tc>
                <w:tcPr>
                  <w:tcW w:w="1871" w:type="dxa"/>
                  <w:tcBorders>
                    <w:top w:val="nil"/>
                    <w:left w:val="nil"/>
                    <w:bottom w:val="single" w:color="auto" w:sz="4" w:space="0"/>
                    <w:right w:val="single" w:color="auto" w:sz="4" w:space="0"/>
                  </w:tcBorders>
                  <w:noWrap w:val="0"/>
                  <w:vAlign w:val="center"/>
                </w:tcPr>
                <w:p w14:paraId="679D0D9B">
                  <w:pPr>
                    <w:widowControl/>
                    <w:jc w:val="center"/>
                    <w:rPr>
                      <w:rFonts w:hint="eastAsia" w:ascii="宋体" w:hAnsi="宋体" w:eastAsia="宋体" w:cs="宋体"/>
                      <w:sz w:val="24"/>
                      <w:szCs w:val="24"/>
                    </w:rPr>
                  </w:pPr>
                  <w:r>
                    <w:rPr>
                      <w:rFonts w:hint="eastAsia" w:ascii="宋体" w:hAnsi="宋体" w:eastAsia="宋体" w:cs="宋体"/>
                      <w:sz w:val="24"/>
                      <w:szCs w:val="24"/>
                    </w:rPr>
                    <w:t>1.00%</w:t>
                  </w:r>
                </w:p>
              </w:tc>
            </w:tr>
            <w:tr w14:paraId="14D39288">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40E802A4">
                  <w:pPr>
                    <w:widowControl/>
                    <w:jc w:val="center"/>
                    <w:rPr>
                      <w:rFonts w:hint="eastAsia" w:ascii="宋体" w:hAnsi="宋体" w:eastAsia="宋体" w:cs="宋体"/>
                      <w:sz w:val="24"/>
                      <w:szCs w:val="24"/>
                    </w:rPr>
                  </w:pPr>
                  <w:r>
                    <w:rPr>
                      <w:rFonts w:hint="eastAsia" w:ascii="宋体" w:hAnsi="宋体" w:eastAsia="宋体" w:cs="宋体"/>
                      <w:sz w:val="24"/>
                      <w:szCs w:val="24"/>
                    </w:rPr>
                    <w:t>100-500</w:t>
                  </w:r>
                </w:p>
              </w:tc>
              <w:tc>
                <w:tcPr>
                  <w:tcW w:w="1701" w:type="dxa"/>
                  <w:tcBorders>
                    <w:top w:val="nil"/>
                    <w:left w:val="nil"/>
                    <w:bottom w:val="single" w:color="auto" w:sz="4" w:space="0"/>
                    <w:right w:val="single" w:color="auto" w:sz="4" w:space="0"/>
                  </w:tcBorders>
                  <w:noWrap w:val="0"/>
                  <w:vAlign w:val="center"/>
                </w:tcPr>
                <w:p w14:paraId="2C0CB961">
                  <w:pPr>
                    <w:widowControl/>
                    <w:jc w:val="center"/>
                    <w:rPr>
                      <w:rFonts w:hint="eastAsia" w:ascii="宋体" w:hAnsi="宋体" w:eastAsia="宋体" w:cs="宋体"/>
                      <w:sz w:val="24"/>
                      <w:szCs w:val="24"/>
                    </w:rPr>
                  </w:pPr>
                  <w:r>
                    <w:rPr>
                      <w:rFonts w:hint="eastAsia" w:ascii="宋体" w:hAnsi="宋体" w:eastAsia="宋体" w:cs="宋体"/>
                      <w:sz w:val="24"/>
                      <w:szCs w:val="24"/>
                    </w:rPr>
                    <w:t>1.10%</w:t>
                  </w:r>
                </w:p>
              </w:tc>
              <w:tc>
                <w:tcPr>
                  <w:tcW w:w="1418" w:type="dxa"/>
                  <w:tcBorders>
                    <w:top w:val="nil"/>
                    <w:left w:val="nil"/>
                    <w:bottom w:val="single" w:color="auto" w:sz="4" w:space="0"/>
                    <w:right w:val="single" w:color="auto" w:sz="4" w:space="0"/>
                  </w:tcBorders>
                  <w:noWrap w:val="0"/>
                  <w:vAlign w:val="center"/>
                </w:tcPr>
                <w:p w14:paraId="5725A4E5">
                  <w:pPr>
                    <w:widowControl/>
                    <w:jc w:val="center"/>
                    <w:rPr>
                      <w:rFonts w:hint="eastAsia" w:ascii="宋体" w:hAnsi="宋体" w:eastAsia="宋体" w:cs="宋体"/>
                      <w:sz w:val="24"/>
                      <w:szCs w:val="24"/>
                    </w:rPr>
                  </w:pPr>
                  <w:r>
                    <w:rPr>
                      <w:rFonts w:hint="eastAsia" w:ascii="宋体" w:hAnsi="宋体" w:eastAsia="宋体" w:cs="宋体"/>
                      <w:sz w:val="24"/>
                      <w:szCs w:val="24"/>
                    </w:rPr>
                    <w:t>0.80%</w:t>
                  </w:r>
                </w:p>
              </w:tc>
              <w:tc>
                <w:tcPr>
                  <w:tcW w:w="1871" w:type="dxa"/>
                  <w:tcBorders>
                    <w:top w:val="nil"/>
                    <w:left w:val="nil"/>
                    <w:bottom w:val="single" w:color="auto" w:sz="4" w:space="0"/>
                    <w:right w:val="single" w:color="auto" w:sz="4" w:space="0"/>
                  </w:tcBorders>
                  <w:noWrap w:val="0"/>
                  <w:vAlign w:val="center"/>
                </w:tcPr>
                <w:p w14:paraId="6B1577E5">
                  <w:pPr>
                    <w:widowControl/>
                    <w:jc w:val="center"/>
                    <w:rPr>
                      <w:rFonts w:hint="eastAsia" w:ascii="宋体" w:hAnsi="宋体" w:eastAsia="宋体" w:cs="宋体"/>
                      <w:sz w:val="24"/>
                      <w:szCs w:val="24"/>
                    </w:rPr>
                  </w:pPr>
                  <w:r>
                    <w:rPr>
                      <w:rFonts w:hint="eastAsia" w:ascii="宋体" w:hAnsi="宋体" w:eastAsia="宋体" w:cs="宋体"/>
                      <w:sz w:val="24"/>
                      <w:szCs w:val="24"/>
                    </w:rPr>
                    <w:t>0.70%</w:t>
                  </w:r>
                </w:p>
              </w:tc>
            </w:tr>
            <w:tr w14:paraId="78841B55">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613F73FB">
                  <w:pPr>
                    <w:widowControl/>
                    <w:jc w:val="center"/>
                    <w:rPr>
                      <w:rFonts w:hint="eastAsia" w:ascii="宋体" w:hAnsi="宋体" w:eastAsia="宋体" w:cs="宋体"/>
                      <w:sz w:val="24"/>
                      <w:szCs w:val="24"/>
                    </w:rPr>
                  </w:pPr>
                  <w:r>
                    <w:rPr>
                      <w:rFonts w:hint="eastAsia" w:ascii="宋体" w:hAnsi="宋体" w:eastAsia="宋体" w:cs="宋体"/>
                      <w:sz w:val="24"/>
                      <w:szCs w:val="24"/>
                    </w:rPr>
                    <w:t>500-1000</w:t>
                  </w:r>
                </w:p>
              </w:tc>
              <w:tc>
                <w:tcPr>
                  <w:tcW w:w="1701" w:type="dxa"/>
                  <w:tcBorders>
                    <w:top w:val="nil"/>
                    <w:left w:val="nil"/>
                    <w:bottom w:val="single" w:color="auto" w:sz="4" w:space="0"/>
                    <w:right w:val="single" w:color="auto" w:sz="4" w:space="0"/>
                  </w:tcBorders>
                  <w:noWrap w:val="0"/>
                  <w:vAlign w:val="center"/>
                </w:tcPr>
                <w:p w14:paraId="6CFA8764">
                  <w:pPr>
                    <w:widowControl/>
                    <w:jc w:val="center"/>
                    <w:rPr>
                      <w:rFonts w:hint="eastAsia" w:ascii="宋体" w:hAnsi="宋体" w:eastAsia="宋体" w:cs="宋体"/>
                      <w:sz w:val="24"/>
                      <w:szCs w:val="24"/>
                    </w:rPr>
                  </w:pPr>
                  <w:r>
                    <w:rPr>
                      <w:rFonts w:hint="eastAsia" w:ascii="宋体" w:hAnsi="宋体" w:eastAsia="宋体" w:cs="宋体"/>
                      <w:sz w:val="24"/>
                      <w:szCs w:val="24"/>
                    </w:rPr>
                    <w:t>0.80%</w:t>
                  </w:r>
                </w:p>
              </w:tc>
              <w:tc>
                <w:tcPr>
                  <w:tcW w:w="1418" w:type="dxa"/>
                  <w:tcBorders>
                    <w:top w:val="nil"/>
                    <w:left w:val="nil"/>
                    <w:bottom w:val="single" w:color="auto" w:sz="4" w:space="0"/>
                    <w:right w:val="single" w:color="auto" w:sz="4" w:space="0"/>
                  </w:tcBorders>
                  <w:noWrap w:val="0"/>
                  <w:vAlign w:val="center"/>
                </w:tcPr>
                <w:p w14:paraId="0832FEC7">
                  <w:pPr>
                    <w:widowControl/>
                    <w:jc w:val="center"/>
                    <w:rPr>
                      <w:rFonts w:hint="eastAsia" w:ascii="宋体" w:hAnsi="宋体" w:eastAsia="宋体" w:cs="宋体"/>
                      <w:sz w:val="24"/>
                      <w:szCs w:val="24"/>
                    </w:rPr>
                  </w:pPr>
                  <w:r>
                    <w:rPr>
                      <w:rFonts w:hint="eastAsia" w:ascii="宋体" w:hAnsi="宋体" w:eastAsia="宋体" w:cs="宋体"/>
                      <w:sz w:val="24"/>
                      <w:szCs w:val="24"/>
                    </w:rPr>
                    <w:t>0.45%</w:t>
                  </w:r>
                </w:p>
              </w:tc>
              <w:tc>
                <w:tcPr>
                  <w:tcW w:w="1871" w:type="dxa"/>
                  <w:tcBorders>
                    <w:top w:val="nil"/>
                    <w:left w:val="nil"/>
                    <w:bottom w:val="single" w:color="auto" w:sz="4" w:space="0"/>
                    <w:right w:val="single" w:color="auto" w:sz="4" w:space="0"/>
                  </w:tcBorders>
                  <w:noWrap w:val="0"/>
                  <w:vAlign w:val="center"/>
                </w:tcPr>
                <w:p w14:paraId="6F92898E">
                  <w:pPr>
                    <w:widowControl/>
                    <w:jc w:val="center"/>
                    <w:rPr>
                      <w:rFonts w:hint="eastAsia" w:ascii="宋体" w:hAnsi="宋体" w:eastAsia="宋体" w:cs="宋体"/>
                      <w:sz w:val="24"/>
                      <w:szCs w:val="24"/>
                    </w:rPr>
                  </w:pPr>
                  <w:r>
                    <w:rPr>
                      <w:rFonts w:hint="eastAsia" w:ascii="宋体" w:hAnsi="宋体" w:eastAsia="宋体" w:cs="宋体"/>
                      <w:sz w:val="24"/>
                      <w:szCs w:val="24"/>
                    </w:rPr>
                    <w:t>0.55%</w:t>
                  </w:r>
                </w:p>
              </w:tc>
            </w:tr>
            <w:tr w14:paraId="08794262">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73AF969A">
                  <w:pPr>
                    <w:widowControl/>
                    <w:jc w:val="center"/>
                    <w:rPr>
                      <w:rFonts w:hint="eastAsia" w:ascii="宋体" w:hAnsi="宋体" w:eastAsia="宋体" w:cs="宋体"/>
                      <w:sz w:val="24"/>
                      <w:szCs w:val="24"/>
                    </w:rPr>
                  </w:pPr>
                  <w:r>
                    <w:rPr>
                      <w:rFonts w:hint="eastAsia" w:ascii="宋体" w:hAnsi="宋体" w:eastAsia="宋体" w:cs="宋体"/>
                      <w:sz w:val="24"/>
                      <w:szCs w:val="24"/>
                    </w:rPr>
                    <w:t>1000-5000</w:t>
                  </w:r>
                </w:p>
              </w:tc>
              <w:tc>
                <w:tcPr>
                  <w:tcW w:w="1701" w:type="dxa"/>
                  <w:tcBorders>
                    <w:top w:val="nil"/>
                    <w:left w:val="nil"/>
                    <w:bottom w:val="single" w:color="auto" w:sz="4" w:space="0"/>
                    <w:right w:val="single" w:color="auto" w:sz="4" w:space="0"/>
                  </w:tcBorders>
                  <w:noWrap w:val="0"/>
                  <w:vAlign w:val="center"/>
                </w:tcPr>
                <w:p w14:paraId="04C80405">
                  <w:pPr>
                    <w:widowControl/>
                    <w:jc w:val="center"/>
                    <w:rPr>
                      <w:rFonts w:hint="eastAsia" w:ascii="宋体" w:hAnsi="宋体" w:eastAsia="宋体" w:cs="宋体"/>
                      <w:sz w:val="24"/>
                      <w:szCs w:val="24"/>
                    </w:rPr>
                  </w:pPr>
                  <w:r>
                    <w:rPr>
                      <w:rFonts w:hint="eastAsia" w:ascii="宋体" w:hAnsi="宋体" w:eastAsia="宋体" w:cs="宋体"/>
                      <w:sz w:val="24"/>
                      <w:szCs w:val="24"/>
                    </w:rPr>
                    <w:t>0.50%</w:t>
                  </w:r>
                </w:p>
              </w:tc>
              <w:tc>
                <w:tcPr>
                  <w:tcW w:w="1418" w:type="dxa"/>
                  <w:tcBorders>
                    <w:top w:val="nil"/>
                    <w:left w:val="nil"/>
                    <w:bottom w:val="single" w:color="auto" w:sz="4" w:space="0"/>
                    <w:right w:val="single" w:color="auto" w:sz="4" w:space="0"/>
                  </w:tcBorders>
                  <w:noWrap w:val="0"/>
                  <w:vAlign w:val="center"/>
                </w:tcPr>
                <w:p w14:paraId="3C4922A3">
                  <w:pPr>
                    <w:widowControl/>
                    <w:jc w:val="center"/>
                    <w:rPr>
                      <w:rFonts w:hint="eastAsia" w:ascii="宋体" w:hAnsi="宋体" w:eastAsia="宋体" w:cs="宋体"/>
                      <w:sz w:val="24"/>
                      <w:szCs w:val="24"/>
                    </w:rPr>
                  </w:pPr>
                  <w:r>
                    <w:rPr>
                      <w:rFonts w:hint="eastAsia" w:ascii="宋体" w:hAnsi="宋体" w:eastAsia="宋体" w:cs="宋体"/>
                      <w:sz w:val="24"/>
                      <w:szCs w:val="24"/>
                    </w:rPr>
                    <w:t>0.25%</w:t>
                  </w:r>
                </w:p>
              </w:tc>
              <w:tc>
                <w:tcPr>
                  <w:tcW w:w="1871" w:type="dxa"/>
                  <w:tcBorders>
                    <w:top w:val="nil"/>
                    <w:left w:val="nil"/>
                    <w:bottom w:val="single" w:color="auto" w:sz="4" w:space="0"/>
                    <w:right w:val="single" w:color="auto" w:sz="4" w:space="0"/>
                  </w:tcBorders>
                  <w:noWrap w:val="0"/>
                  <w:vAlign w:val="center"/>
                </w:tcPr>
                <w:p w14:paraId="59FDA8CE">
                  <w:pPr>
                    <w:widowControl/>
                    <w:jc w:val="center"/>
                    <w:rPr>
                      <w:rFonts w:hint="eastAsia" w:ascii="宋体" w:hAnsi="宋体" w:eastAsia="宋体" w:cs="宋体"/>
                      <w:sz w:val="24"/>
                      <w:szCs w:val="24"/>
                    </w:rPr>
                  </w:pPr>
                  <w:r>
                    <w:rPr>
                      <w:rFonts w:hint="eastAsia" w:ascii="宋体" w:hAnsi="宋体" w:eastAsia="宋体" w:cs="宋体"/>
                      <w:sz w:val="24"/>
                      <w:szCs w:val="24"/>
                    </w:rPr>
                    <w:t>0.35%</w:t>
                  </w:r>
                </w:p>
              </w:tc>
            </w:tr>
            <w:tr w14:paraId="2C6D123B">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484CB06F">
                  <w:pPr>
                    <w:widowControl/>
                    <w:jc w:val="center"/>
                    <w:rPr>
                      <w:rFonts w:hint="eastAsia" w:ascii="宋体" w:hAnsi="宋体" w:eastAsia="宋体" w:cs="宋体"/>
                      <w:sz w:val="24"/>
                      <w:szCs w:val="24"/>
                    </w:rPr>
                  </w:pPr>
                  <w:r>
                    <w:rPr>
                      <w:rFonts w:hint="eastAsia" w:ascii="宋体" w:hAnsi="宋体" w:eastAsia="宋体" w:cs="宋体"/>
                      <w:sz w:val="24"/>
                      <w:szCs w:val="24"/>
                    </w:rPr>
                    <w:t>5000-10000</w:t>
                  </w:r>
                </w:p>
              </w:tc>
              <w:tc>
                <w:tcPr>
                  <w:tcW w:w="1701" w:type="dxa"/>
                  <w:tcBorders>
                    <w:top w:val="nil"/>
                    <w:left w:val="nil"/>
                    <w:bottom w:val="single" w:color="auto" w:sz="4" w:space="0"/>
                    <w:right w:val="single" w:color="auto" w:sz="4" w:space="0"/>
                  </w:tcBorders>
                  <w:noWrap w:val="0"/>
                  <w:vAlign w:val="center"/>
                </w:tcPr>
                <w:p w14:paraId="74614156">
                  <w:pPr>
                    <w:widowControl/>
                    <w:jc w:val="center"/>
                    <w:rPr>
                      <w:rFonts w:hint="eastAsia" w:ascii="宋体" w:hAnsi="宋体" w:eastAsia="宋体" w:cs="宋体"/>
                      <w:sz w:val="24"/>
                      <w:szCs w:val="24"/>
                    </w:rPr>
                  </w:pPr>
                  <w:r>
                    <w:rPr>
                      <w:rFonts w:hint="eastAsia" w:ascii="宋体" w:hAnsi="宋体" w:eastAsia="宋体" w:cs="宋体"/>
                      <w:sz w:val="24"/>
                      <w:szCs w:val="24"/>
                    </w:rPr>
                    <w:t>0.25%</w:t>
                  </w:r>
                </w:p>
              </w:tc>
              <w:tc>
                <w:tcPr>
                  <w:tcW w:w="1418" w:type="dxa"/>
                  <w:tcBorders>
                    <w:top w:val="nil"/>
                    <w:left w:val="nil"/>
                    <w:bottom w:val="single" w:color="auto" w:sz="4" w:space="0"/>
                    <w:right w:val="single" w:color="auto" w:sz="4" w:space="0"/>
                  </w:tcBorders>
                  <w:noWrap w:val="0"/>
                  <w:vAlign w:val="center"/>
                </w:tcPr>
                <w:p w14:paraId="3E479199">
                  <w:pPr>
                    <w:widowControl/>
                    <w:jc w:val="center"/>
                    <w:rPr>
                      <w:rFonts w:hint="eastAsia" w:ascii="宋体" w:hAnsi="宋体" w:eastAsia="宋体" w:cs="宋体"/>
                      <w:sz w:val="24"/>
                      <w:szCs w:val="24"/>
                    </w:rPr>
                  </w:pPr>
                  <w:r>
                    <w:rPr>
                      <w:rFonts w:hint="eastAsia" w:ascii="宋体" w:hAnsi="宋体" w:eastAsia="宋体" w:cs="宋体"/>
                      <w:sz w:val="24"/>
                      <w:szCs w:val="24"/>
                    </w:rPr>
                    <w:t>0.10%</w:t>
                  </w:r>
                </w:p>
              </w:tc>
              <w:tc>
                <w:tcPr>
                  <w:tcW w:w="1871" w:type="dxa"/>
                  <w:tcBorders>
                    <w:top w:val="nil"/>
                    <w:left w:val="nil"/>
                    <w:bottom w:val="single" w:color="auto" w:sz="4" w:space="0"/>
                    <w:right w:val="single" w:color="auto" w:sz="4" w:space="0"/>
                  </w:tcBorders>
                  <w:noWrap w:val="0"/>
                  <w:vAlign w:val="center"/>
                </w:tcPr>
                <w:p w14:paraId="41700E86">
                  <w:pPr>
                    <w:widowControl/>
                    <w:jc w:val="center"/>
                    <w:rPr>
                      <w:rFonts w:hint="eastAsia" w:ascii="宋体" w:hAnsi="宋体" w:eastAsia="宋体" w:cs="宋体"/>
                      <w:sz w:val="24"/>
                      <w:szCs w:val="24"/>
                    </w:rPr>
                  </w:pPr>
                  <w:r>
                    <w:rPr>
                      <w:rFonts w:hint="eastAsia" w:ascii="宋体" w:hAnsi="宋体" w:eastAsia="宋体" w:cs="宋体"/>
                      <w:sz w:val="24"/>
                      <w:szCs w:val="24"/>
                    </w:rPr>
                    <w:t>0.20%</w:t>
                  </w:r>
                </w:p>
              </w:tc>
            </w:tr>
            <w:tr w14:paraId="01D94364">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288A67E1">
                  <w:pPr>
                    <w:widowControl/>
                    <w:jc w:val="center"/>
                    <w:rPr>
                      <w:rFonts w:hint="eastAsia" w:ascii="宋体" w:hAnsi="宋体" w:eastAsia="宋体" w:cs="宋体"/>
                      <w:sz w:val="24"/>
                      <w:szCs w:val="24"/>
                    </w:rPr>
                  </w:pPr>
                  <w:r>
                    <w:rPr>
                      <w:rFonts w:hint="eastAsia" w:ascii="宋体" w:hAnsi="宋体" w:eastAsia="宋体" w:cs="宋体"/>
                      <w:sz w:val="24"/>
                      <w:szCs w:val="24"/>
                    </w:rPr>
                    <w:t>10000-50000</w:t>
                  </w:r>
                </w:p>
              </w:tc>
              <w:tc>
                <w:tcPr>
                  <w:tcW w:w="1701" w:type="dxa"/>
                  <w:tcBorders>
                    <w:top w:val="nil"/>
                    <w:left w:val="nil"/>
                    <w:bottom w:val="single" w:color="auto" w:sz="4" w:space="0"/>
                    <w:right w:val="single" w:color="auto" w:sz="4" w:space="0"/>
                  </w:tcBorders>
                  <w:noWrap w:val="0"/>
                  <w:vAlign w:val="center"/>
                </w:tcPr>
                <w:p w14:paraId="7C823DB6">
                  <w:pPr>
                    <w:widowControl/>
                    <w:jc w:val="center"/>
                    <w:rPr>
                      <w:rFonts w:hint="eastAsia" w:ascii="宋体" w:hAnsi="宋体" w:eastAsia="宋体" w:cs="宋体"/>
                      <w:sz w:val="24"/>
                      <w:szCs w:val="24"/>
                    </w:rPr>
                  </w:pPr>
                  <w:r>
                    <w:rPr>
                      <w:rFonts w:hint="eastAsia" w:ascii="宋体" w:hAnsi="宋体" w:eastAsia="宋体" w:cs="宋体"/>
                      <w:sz w:val="24"/>
                      <w:szCs w:val="24"/>
                    </w:rPr>
                    <w:t>0.05%</w:t>
                  </w:r>
                </w:p>
              </w:tc>
              <w:tc>
                <w:tcPr>
                  <w:tcW w:w="1418" w:type="dxa"/>
                  <w:tcBorders>
                    <w:top w:val="nil"/>
                    <w:left w:val="nil"/>
                    <w:bottom w:val="single" w:color="auto" w:sz="4" w:space="0"/>
                    <w:right w:val="single" w:color="auto" w:sz="4" w:space="0"/>
                  </w:tcBorders>
                  <w:noWrap w:val="0"/>
                  <w:vAlign w:val="center"/>
                </w:tcPr>
                <w:p w14:paraId="6F48FD00">
                  <w:pPr>
                    <w:widowControl/>
                    <w:jc w:val="center"/>
                    <w:rPr>
                      <w:rFonts w:hint="eastAsia" w:ascii="宋体" w:hAnsi="宋体" w:eastAsia="宋体" w:cs="宋体"/>
                      <w:sz w:val="24"/>
                      <w:szCs w:val="24"/>
                    </w:rPr>
                  </w:pPr>
                  <w:r>
                    <w:rPr>
                      <w:rFonts w:hint="eastAsia" w:ascii="宋体" w:hAnsi="宋体" w:eastAsia="宋体" w:cs="宋体"/>
                      <w:sz w:val="24"/>
                      <w:szCs w:val="24"/>
                    </w:rPr>
                    <w:t>0.05%</w:t>
                  </w:r>
                </w:p>
              </w:tc>
              <w:tc>
                <w:tcPr>
                  <w:tcW w:w="1871" w:type="dxa"/>
                  <w:tcBorders>
                    <w:top w:val="nil"/>
                    <w:left w:val="nil"/>
                    <w:bottom w:val="single" w:color="auto" w:sz="4" w:space="0"/>
                    <w:right w:val="single" w:color="auto" w:sz="4" w:space="0"/>
                  </w:tcBorders>
                  <w:noWrap w:val="0"/>
                  <w:vAlign w:val="center"/>
                </w:tcPr>
                <w:p w14:paraId="7BAD4BB8">
                  <w:pPr>
                    <w:widowControl/>
                    <w:jc w:val="center"/>
                    <w:rPr>
                      <w:rFonts w:hint="eastAsia" w:ascii="宋体" w:hAnsi="宋体" w:eastAsia="宋体" w:cs="宋体"/>
                      <w:sz w:val="24"/>
                      <w:szCs w:val="24"/>
                    </w:rPr>
                  </w:pPr>
                  <w:r>
                    <w:rPr>
                      <w:rFonts w:hint="eastAsia" w:ascii="宋体" w:hAnsi="宋体" w:eastAsia="宋体" w:cs="宋体"/>
                      <w:sz w:val="24"/>
                      <w:szCs w:val="24"/>
                    </w:rPr>
                    <w:t>0.05%</w:t>
                  </w:r>
                </w:p>
              </w:tc>
            </w:tr>
            <w:tr w14:paraId="1A12EDBE">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05509F7A">
                  <w:pPr>
                    <w:widowControl/>
                    <w:jc w:val="center"/>
                    <w:rPr>
                      <w:rFonts w:hint="eastAsia" w:ascii="宋体" w:hAnsi="宋体" w:eastAsia="宋体" w:cs="宋体"/>
                      <w:sz w:val="24"/>
                      <w:szCs w:val="24"/>
                    </w:rPr>
                  </w:pPr>
                  <w:r>
                    <w:rPr>
                      <w:rFonts w:hint="eastAsia" w:ascii="宋体" w:hAnsi="宋体" w:eastAsia="宋体" w:cs="宋体"/>
                      <w:sz w:val="24"/>
                      <w:szCs w:val="24"/>
                    </w:rPr>
                    <w:t>50000-100000</w:t>
                  </w:r>
                </w:p>
              </w:tc>
              <w:tc>
                <w:tcPr>
                  <w:tcW w:w="1701" w:type="dxa"/>
                  <w:tcBorders>
                    <w:top w:val="nil"/>
                    <w:left w:val="nil"/>
                    <w:bottom w:val="single" w:color="auto" w:sz="4" w:space="0"/>
                    <w:right w:val="single" w:color="auto" w:sz="4" w:space="0"/>
                  </w:tcBorders>
                  <w:noWrap w:val="0"/>
                  <w:vAlign w:val="center"/>
                </w:tcPr>
                <w:p w14:paraId="338F6B24">
                  <w:pPr>
                    <w:widowControl/>
                    <w:jc w:val="center"/>
                    <w:rPr>
                      <w:rFonts w:hint="eastAsia" w:ascii="宋体" w:hAnsi="宋体" w:eastAsia="宋体" w:cs="宋体"/>
                      <w:sz w:val="24"/>
                      <w:szCs w:val="24"/>
                    </w:rPr>
                  </w:pPr>
                  <w:r>
                    <w:rPr>
                      <w:rFonts w:hint="eastAsia" w:ascii="宋体" w:hAnsi="宋体" w:eastAsia="宋体" w:cs="宋体"/>
                      <w:sz w:val="24"/>
                      <w:szCs w:val="24"/>
                    </w:rPr>
                    <w:t>0.04%</w:t>
                  </w:r>
                </w:p>
              </w:tc>
              <w:tc>
                <w:tcPr>
                  <w:tcW w:w="1418" w:type="dxa"/>
                  <w:tcBorders>
                    <w:top w:val="nil"/>
                    <w:left w:val="nil"/>
                    <w:bottom w:val="single" w:color="auto" w:sz="4" w:space="0"/>
                    <w:right w:val="single" w:color="auto" w:sz="4" w:space="0"/>
                  </w:tcBorders>
                  <w:noWrap w:val="0"/>
                  <w:vAlign w:val="center"/>
                </w:tcPr>
                <w:p w14:paraId="76462330">
                  <w:pPr>
                    <w:widowControl/>
                    <w:jc w:val="center"/>
                    <w:rPr>
                      <w:rFonts w:hint="eastAsia" w:ascii="宋体" w:hAnsi="宋体" w:eastAsia="宋体" w:cs="宋体"/>
                      <w:sz w:val="24"/>
                      <w:szCs w:val="24"/>
                    </w:rPr>
                  </w:pPr>
                  <w:r>
                    <w:rPr>
                      <w:rFonts w:hint="eastAsia" w:ascii="宋体" w:hAnsi="宋体" w:eastAsia="宋体" w:cs="宋体"/>
                      <w:sz w:val="24"/>
                      <w:szCs w:val="24"/>
                    </w:rPr>
                    <w:t>0.04%</w:t>
                  </w:r>
                </w:p>
              </w:tc>
              <w:tc>
                <w:tcPr>
                  <w:tcW w:w="1871" w:type="dxa"/>
                  <w:tcBorders>
                    <w:top w:val="nil"/>
                    <w:left w:val="nil"/>
                    <w:bottom w:val="single" w:color="auto" w:sz="4" w:space="0"/>
                    <w:right w:val="single" w:color="auto" w:sz="4" w:space="0"/>
                  </w:tcBorders>
                  <w:noWrap w:val="0"/>
                  <w:vAlign w:val="center"/>
                </w:tcPr>
                <w:p w14:paraId="17952747">
                  <w:pPr>
                    <w:widowControl/>
                    <w:jc w:val="center"/>
                    <w:rPr>
                      <w:rFonts w:hint="eastAsia" w:ascii="宋体" w:hAnsi="宋体" w:eastAsia="宋体" w:cs="宋体"/>
                      <w:sz w:val="24"/>
                      <w:szCs w:val="24"/>
                    </w:rPr>
                  </w:pPr>
                  <w:r>
                    <w:rPr>
                      <w:rFonts w:hint="eastAsia" w:ascii="宋体" w:hAnsi="宋体" w:eastAsia="宋体" w:cs="宋体"/>
                      <w:sz w:val="24"/>
                      <w:szCs w:val="24"/>
                    </w:rPr>
                    <w:t>0.04%</w:t>
                  </w:r>
                </w:p>
              </w:tc>
            </w:tr>
            <w:tr w14:paraId="78CAD6AD">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52C3842C">
                  <w:pPr>
                    <w:widowControl/>
                    <w:jc w:val="center"/>
                    <w:rPr>
                      <w:rFonts w:hint="eastAsia" w:ascii="宋体" w:hAnsi="宋体" w:eastAsia="宋体" w:cs="宋体"/>
                      <w:sz w:val="24"/>
                      <w:szCs w:val="24"/>
                    </w:rPr>
                  </w:pPr>
                  <w:r>
                    <w:rPr>
                      <w:rFonts w:hint="eastAsia" w:ascii="宋体" w:hAnsi="宋体" w:eastAsia="宋体" w:cs="宋体"/>
                      <w:sz w:val="24"/>
                      <w:szCs w:val="24"/>
                    </w:rPr>
                    <w:t>100000-500000</w:t>
                  </w:r>
                </w:p>
              </w:tc>
              <w:tc>
                <w:tcPr>
                  <w:tcW w:w="1701" w:type="dxa"/>
                  <w:tcBorders>
                    <w:top w:val="nil"/>
                    <w:left w:val="nil"/>
                    <w:bottom w:val="single" w:color="auto" w:sz="4" w:space="0"/>
                    <w:right w:val="single" w:color="auto" w:sz="4" w:space="0"/>
                  </w:tcBorders>
                  <w:noWrap w:val="0"/>
                  <w:vAlign w:val="center"/>
                </w:tcPr>
                <w:p w14:paraId="03C67BC9">
                  <w:pPr>
                    <w:widowControl/>
                    <w:jc w:val="center"/>
                    <w:rPr>
                      <w:rFonts w:hint="eastAsia" w:ascii="宋体" w:hAnsi="宋体" w:eastAsia="宋体" w:cs="宋体"/>
                      <w:sz w:val="24"/>
                      <w:szCs w:val="24"/>
                    </w:rPr>
                  </w:pPr>
                  <w:r>
                    <w:rPr>
                      <w:rFonts w:hint="eastAsia" w:ascii="宋体" w:hAnsi="宋体" w:eastAsia="宋体" w:cs="宋体"/>
                      <w:sz w:val="24"/>
                      <w:szCs w:val="24"/>
                    </w:rPr>
                    <w:t>0.01%</w:t>
                  </w:r>
                </w:p>
              </w:tc>
              <w:tc>
                <w:tcPr>
                  <w:tcW w:w="1418" w:type="dxa"/>
                  <w:tcBorders>
                    <w:top w:val="nil"/>
                    <w:left w:val="nil"/>
                    <w:bottom w:val="single" w:color="auto" w:sz="4" w:space="0"/>
                    <w:right w:val="single" w:color="auto" w:sz="4" w:space="0"/>
                  </w:tcBorders>
                  <w:noWrap w:val="0"/>
                  <w:vAlign w:val="center"/>
                </w:tcPr>
                <w:p w14:paraId="541ECFE9">
                  <w:pPr>
                    <w:widowControl/>
                    <w:jc w:val="center"/>
                    <w:rPr>
                      <w:rFonts w:hint="eastAsia" w:ascii="宋体" w:hAnsi="宋体" w:eastAsia="宋体" w:cs="宋体"/>
                      <w:sz w:val="24"/>
                      <w:szCs w:val="24"/>
                    </w:rPr>
                  </w:pPr>
                  <w:r>
                    <w:rPr>
                      <w:rFonts w:hint="eastAsia" w:ascii="宋体" w:hAnsi="宋体" w:eastAsia="宋体" w:cs="宋体"/>
                      <w:sz w:val="24"/>
                      <w:szCs w:val="24"/>
                    </w:rPr>
                    <w:t>0.01%</w:t>
                  </w:r>
                </w:p>
              </w:tc>
              <w:tc>
                <w:tcPr>
                  <w:tcW w:w="1871" w:type="dxa"/>
                  <w:tcBorders>
                    <w:top w:val="nil"/>
                    <w:left w:val="nil"/>
                    <w:bottom w:val="single" w:color="auto" w:sz="4" w:space="0"/>
                    <w:right w:val="single" w:color="auto" w:sz="4" w:space="0"/>
                  </w:tcBorders>
                  <w:noWrap w:val="0"/>
                  <w:vAlign w:val="center"/>
                </w:tcPr>
                <w:p w14:paraId="3C404CF2">
                  <w:pPr>
                    <w:widowControl/>
                    <w:jc w:val="center"/>
                    <w:rPr>
                      <w:rFonts w:hint="eastAsia" w:ascii="宋体" w:hAnsi="宋体" w:eastAsia="宋体" w:cs="宋体"/>
                      <w:sz w:val="24"/>
                      <w:szCs w:val="24"/>
                    </w:rPr>
                  </w:pPr>
                  <w:r>
                    <w:rPr>
                      <w:rFonts w:hint="eastAsia" w:ascii="宋体" w:hAnsi="宋体" w:eastAsia="宋体" w:cs="宋体"/>
                      <w:sz w:val="24"/>
                      <w:szCs w:val="24"/>
                    </w:rPr>
                    <w:t>0.01%</w:t>
                  </w:r>
                </w:p>
              </w:tc>
            </w:tr>
            <w:tr w14:paraId="78F01DA1">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2E4C7634">
                  <w:pPr>
                    <w:widowControl/>
                    <w:jc w:val="center"/>
                    <w:rPr>
                      <w:rFonts w:hint="eastAsia" w:ascii="宋体" w:hAnsi="宋体" w:eastAsia="宋体" w:cs="宋体"/>
                      <w:sz w:val="24"/>
                      <w:szCs w:val="24"/>
                    </w:rPr>
                  </w:pPr>
                  <w:r>
                    <w:rPr>
                      <w:rFonts w:hint="eastAsia" w:ascii="宋体" w:hAnsi="宋体" w:eastAsia="宋体" w:cs="宋体"/>
                      <w:sz w:val="24"/>
                      <w:szCs w:val="24"/>
                    </w:rPr>
                    <w:t>500000-1000000</w:t>
                  </w:r>
                </w:p>
              </w:tc>
              <w:tc>
                <w:tcPr>
                  <w:tcW w:w="1701" w:type="dxa"/>
                  <w:tcBorders>
                    <w:top w:val="nil"/>
                    <w:left w:val="nil"/>
                    <w:bottom w:val="single" w:color="auto" w:sz="4" w:space="0"/>
                    <w:right w:val="single" w:color="auto" w:sz="4" w:space="0"/>
                  </w:tcBorders>
                  <w:noWrap w:val="0"/>
                  <w:vAlign w:val="center"/>
                </w:tcPr>
                <w:p w14:paraId="51EC566F">
                  <w:pPr>
                    <w:widowControl/>
                    <w:jc w:val="center"/>
                    <w:rPr>
                      <w:rFonts w:hint="eastAsia" w:ascii="宋体" w:hAnsi="宋体" w:eastAsia="宋体" w:cs="宋体"/>
                      <w:sz w:val="24"/>
                      <w:szCs w:val="24"/>
                    </w:rPr>
                  </w:pPr>
                  <w:r>
                    <w:rPr>
                      <w:rFonts w:hint="eastAsia" w:ascii="宋体" w:hAnsi="宋体" w:eastAsia="宋体" w:cs="宋体"/>
                      <w:sz w:val="24"/>
                      <w:szCs w:val="24"/>
                    </w:rPr>
                    <w:t>0.01%</w:t>
                  </w:r>
                </w:p>
              </w:tc>
              <w:tc>
                <w:tcPr>
                  <w:tcW w:w="1418" w:type="dxa"/>
                  <w:tcBorders>
                    <w:top w:val="nil"/>
                    <w:left w:val="nil"/>
                    <w:bottom w:val="single" w:color="auto" w:sz="4" w:space="0"/>
                    <w:right w:val="single" w:color="auto" w:sz="4" w:space="0"/>
                  </w:tcBorders>
                  <w:noWrap w:val="0"/>
                  <w:vAlign w:val="center"/>
                </w:tcPr>
                <w:p w14:paraId="44A8DC86">
                  <w:pPr>
                    <w:widowControl/>
                    <w:jc w:val="center"/>
                    <w:rPr>
                      <w:rFonts w:hint="eastAsia" w:ascii="宋体" w:hAnsi="宋体" w:eastAsia="宋体" w:cs="宋体"/>
                      <w:sz w:val="24"/>
                      <w:szCs w:val="24"/>
                    </w:rPr>
                  </w:pPr>
                  <w:r>
                    <w:rPr>
                      <w:rFonts w:hint="eastAsia" w:ascii="宋体" w:hAnsi="宋体" w:eastAsia="宋体" w:cs="宋体"/>
                      <w:sz w:val="24"/>
                      <w:szCs w:val="24"/>
                    </w:rPr>
                    <w:t>0.01%</w:t>
                  </w:r>
                </w:p>
              </w:tc>
              <w:tc>
                <w:tcPr>
                  <w:tcW w:w="1871" w:type="dxa"/>
                  <w:tcBorders>
                    <w:top w:val="nil"/>
                    <w:left w:val="nil"/>
                    <w:bottom w:val="single" w:color="auto" w:sz="4" w:space="0"/>
                    <w:right w:val="single" w:color="auto" w:sz="4" w:space="0"/>
                  </w:tcBorders>
                  <w:noWrap w:val="0"/>
                  <w:vAlign w:val="center"/>
                </w:tcPr>
                <w:p w14:paraId="67141447">
                  <w:pPr>
                    <w:widowControl/>
                    <w:jc w:val="center"/>
                    <w:rPr>
                      <w:rFonts w:hint="eastAsia" w:ascii="宋体" w:hAnsi="宋体" w:eastAsia="宋体" w:cs="宋体"/>
                      <w:sz w:val="24"/>
                      <w:szCs w:val="24"/>
                    </w:rPr>
                  </w:pPr>
                  <w:r>
                    <w:rPr>
                      <w:rFonts w:hint="eastAsia" w:ascii="宋体" w:hAnsi="宋体" w:eastAsia="宋体" w:cs="宋体"/>
                      <w:sz w:val="24"/>
                      <w:szCs w:val="24"/>
                    </w:rPr>
                    <w:t>0.01%</w:t>
                  </w:r>
                </w:p>
              </w:tc>
            </w:tr>
            <w:tr w14:paraId="0BDF7676">
              <w:tblPrEx>
                <w:tblCellMar>
                  <w:top w:w="0" w:type="dxa"/>
                  <w:left w:w="108" w:type="dxa"/>
                  <w:bottom w:w="0" w:type="dxa"/>
                  <w:right w:w="108" w:type="dxa"/>
                </w:tblCellMar>
              </w:tblPrEx>
              <w:trPr>
                <w:trHeight w:val="270" w:hRule="atLeast"/>
              </w:trPr>
              <w:tc>
                <w:tcPr>
                  <w:tcW w:w="2289" w:type="dxa"/>
                  <w:tcBorders>
                    <w:top w:val="nil"/>
                    <w:left w:val="single" w:color="auto" w:sz="4" w:space="0"/>
                    <w:bottom w:val="single" w:color="auto" w:sz="4" w:space="0"/>
                    <w:right w:val="single" w:color="auto" w:sz="4" w:space="0"/>
                  </w:tcBorders>
                  <w:noWrap w:val="0"/>
                  <w:vAlign w:val="center"/>
                </w:tcPr>
                <w:p w14:paraId="6189B735">
                  <w:pPr>
                    <w:widowControl/>
                    <w:jc w:val="center"/>
                    <w:rPr>
                      <w:rFonts w:hint="eastAsia" w:ascii="宋体" w:hAnsi="宋体" w:eastAsia="宋体" w:cs="宋体"/>
                      <w:sz w:val="24"/>
                      <w:szCs w:val="24"/>
                    </w:rPr>
                  </w:pPr>
                  <w:r>
                    <w:rPr>
                      <w:rFonts w:hint="eastAsia" w:ascii="宋体" w:hAnsi="宋体" w:eastAsia="宋体" w:cs="宋体"/>
                      <w:sz w:val="24"/>
                      <w:szCs w:val="24"/>
                    </w:rPr>
                    <w:t>1000000以上</w:t>
                  </w:r>
                </w:p>
              </w:tc>
              <w:tc>
                <w:tcPr>
                  <w:tcW w:w="1701" w:type="dxa"/>
                  <w:tcBorders>
                    <w:top w:val="nil"/>
                    <w:left w:val="nil"/>
                    <w:bottom w:val="single" w:color="auto" w:sz="4" w:space="0"/>
                    <w:right w:val="single" w:color="auto" w:sz="4" w:space="0"/>
                  </w:tcBorders>
                  <w:noWrap w:val="0"/>
                  <w:vAlign w:val="center"/>
                </w:tcPr>
                <w:p w14:paraId="5EBADF74">
                  <w:pPr>
                    <w:widowControl/>
                    <w:jc w:val="center"/>
                    <w:rPr>
                      <w:rFonts w:hint="eastAsia" w:ascii="宋体" w:hAnsi="宋体" w:eastAsia="宋体" w:cs="宋体"/>
                      <w:sz w:val="24"/>
                      <w:szCs w:val="24"/>
                    </w:rPr>
                  </w:pPr>
                  <w:r>
                    <w:rPr>
                      <w:rFonts w:hint="eastAsia" w:ascii="宋体" w:hAnsi="宋体" w:eastAsia="宋体" w:cs="宋体"/>
                      <w:sz w:val="24"/>
                      <w:szCs w:val="24"/>
                    </w:rPr>
                    <w:t>0.00%</w:t>
                  </w:r>
                </w:p>
              </w:tc>
              <w:tc>
                <w:tcPr>
                  <w:tcW w:w="1418" w:type="dxa"/>
                  <w:tcBorders>
                    <w:top w:val="nil"/>
                    <w:left w:val="nil"/>
                    <w:bottom w:val="single" w:color="auto" w:sz="4" w:space="0"/>
                    <w:right w:val="single" w:color="auto" w:sz="4" w:space="0"/>
                  </w:tcBorders>
                  <w:noWrap w:val="0"/>
                  <w:vAlign w:val="center"/>
                </w:tcPr>
                <w:p w14:paraId="0A86EBEC">
                  <w:pPr>
                    <w:widowControl/>
                    <w:jc w:val="center"/>
                    <w:rPr>
                      <w:rFonts w:hint="eastAsia" w:ascii="宋体" w:hAnsi="宋体" w:eastAsia="宋体" w:cs="宋体"/>
                      <w:sz w:val="24"/>
                      <w:szCs w:val="24"/>
                    </w:rPr>
                  </w:pPr>
                  <w:r>
                    <w:rPr>
                      <w:rFonts w:hint="eastAsia" w:ascii="宋体" w:hAnsi="宋体" w:eastAsia="宋体" w:cs="宋体"/>
                      <w:sz w:val="24"/>
                      <w:szCs w:val="24"/>
                    </w:rPr>
                    <w:t>0.00%</w:t>
                  </w:r>
                </w:p>
              </w:tc>
              <w:tc>
                <w:tcPr>
                  <w:tcW w:w="1871" w:type="dxa"/>
                  <w:tcBorders>
                    <w:top w:val="nil"/>
                    <w:left w:val="nil"/>
                    <w:bottom w:val="single" w:color="auto" w:sz="4" w:space="0"/>
                    <w:right w:val="single" w:color="auto" w:sz="4" w:space="0"/>
                  </w:tcBorders>
                  <w:noWrap w:val="0"/>
                  <w:vAlign w:val="center"/>
                </w:tcPr>
                <w:p w14:paraId="346017B5">
                  <w:pPr>
                    <w:widowControl/>
                    <w:jc w:val="center"/>
                    <w:rPr>
                      <w:rFonts w:hint="eastAsia" w:ascii="宋体" w:hAnsi="宋体" w:eastAsia="宋体" w:cs="宋体"/>
                      <w:sz w:val="24"/>
                      <w:szCs w:val="24"/>
                    </w:rPr>
                  </w:pPr>
                  <w:r>
                    <w:rPr>
                      <w:rFonts w:hint="eastAsia" w:ascii="宋体" w:hAnsi="宋体" w:eastAsia="宋体" w:cs="宋体"/>
                      <w:sz w:val="24"/>
                      <w:szCs w:val="24"/>
                    </w:rPr>
                    <w:t>0.00%</w:t>
                  </w:r>
                </w:p>
              </w:tc>
            </w:tr>
            <w:tr w14:paraId="4014669B">
              <w:tblPrEx>
                <w:tblCellMar>
                  <w:top w:w="0" w:type="dxa"/>
                  <w:left w:w="108" w:type="dxa"/>
                  <w:bottom w:w="0" w:type="dxa"/>
                  <w:right w:w="108" w:type="dxa"/>
                </w:tblCellMar>
              </w:tblPrEx>
              <w:trPr>
                <w:trHeight w:val="555" w:hRule="atLeast"/>
              </w:trPr>
              <w:tc>
                <w:tcPr>
                  <w:tcW w:w="7279" w:type="dxa"/>
                  <w:gridSpan w:val="4"/>
                  <w:tcBorders>
                    <w:top w:val="single" w:color="auto" w:sz="4" w:space="0"/>
                    <w:left w:val="single" w:color="auto" w:sz="4" w:space="0"/>
                    <w:bottom w:val="single" w:color="auto" w:sz="4" w:space="0"/>
                    <w:right w:val="single" w:color="000000" w:sz="4" w:space="0"/>
                  </w:tcBorders>
                  <w:noWrap w:val="0"/>
                  <w:vAlign w:val="center"/>
                </w:tcPr>
                <w:p w14:paraId="029C99F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评标基准费率的计算： </w:t>
                  </w:r>
                </w:p>
                <w:p w14:paraId="3521F42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评标基准费率由评标委员会计算、复核并签字确认。除计算差错外，确认后的评标基准费率在本次招标期间保持不变。计算差错，仅限于以下两种情况：（1）纯算术性四则运算差错；（2）未按约定的计算方法，多计或少计的投标费率。由于评标差错，导致否决投标错误，重新评标纠正等其他情况，不属于计算差错。 </w:t>
                  </w:r>
                </w:p>
                <w:p w14:paraId="18752A48">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（1）投标费率的确定： </w:t>
                  </w:r>
                </w:p>
                <w:p w14:paraId="6B80BDA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投标费率＝投标函中填写的费率 </w:t>
                  </w:r>
                </w:p>
                <w:p w14:paraId="2D1D1C3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（2）投标费率平均值的计算：</w:t>
                  </w:r>
                </w:p>
                <w:p w14:paraId="5239653F">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开标时，招标人（或招标代理）在招标文件确定的投标费率范围内（即：</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0%）共11个数字中随机抽取其中三个数字作算术平均后，将该平均值作为投标费率平均值（保留两位小数，例：</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5.68%）。</w:t>
                  </w:r>
                </w:p>
                <w:p w14:paraId="301DC6AA">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（3）评标基准费率的确定：</w:t>
                  </w:r>
                </w:p>
                <w:p w14:paraId="1E8C7606">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将上述计算的投标费率平均值直接作为本项目评标基准费率。 </w:t>
                  </w:r>
                </w:p>
                <w:p w14:paraId="151A3AAD">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在评标过程中，评标委员会应对招标人计算的评标基准费率进行复核，存在计算错误的应予以修正并在评标报告中作出说明。除此之外，评标基准费率在整个评标期间保持不变，不随任何因素发生变化。</w:t>
                  </w:r>
                </w:p>
                <w:p w14:paraId="2ACE320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（4）投标报价（投标费率）得分计算：</w:t>
                  </w:r>
                </w:p>
                <w:p w14:paraId="79AFEF7B">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如果投标人的投标费率≧评标基准费率，则投标报</w:t>
                  </w:r>
                  <w:r>
                    <w:rPr>
                      <w:rFonts w:hint="eastAsia" w:ascii="宋体" w:hAnsi="宋体" w:eastAsia="宋体" w:cs="宋体"/>
                      <w:i w:val="0"/>
                      <w:iCs w:val="0"/>
                      <w:color w:val="000000"/>
                      <w:kern w:val="0"/>
                      <w:sz w:val="24"/>
                      <w:szCs w:val="24"/>
                      <w:highlight w:val="none"/>
                      <w:u w:val="none"/>
                      <w:lang w:val="en-US" w:eastAsia="zh-CN" w:bidi="ar"/>
                    </w:rPr>
                    <w:t>价（投标费率）得分= 30 -（投标人的投标费率-评标基准费率）×100×0.5</w:t>
                  </w:r>
                </w:p>
                <w:p w14:paraId="4E6E54E2">
                  <w:pPr>
                    <w:keepNext w:val="0"/>
                    <w:keepLines w:val="0"/>
                    <w:widowControl/>
                    <w:suppressLineNumbers w:val="0"/>
                    <w:suppressAutoHyphens w:val="0"/>
                    <w:autoSpaceDN/>
                    <w:bidi w:val="0"/>
                    <w:adjustRightIn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如果投标人的投标</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﹤评标基准</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，则投标报价（投标</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）得分= 30 -（评标基准</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-投标人的投标</w:t>
                  </w:r>
                  <w:r>
                    <w:rPr>
                      <w:rFonts w:hint="eastAsia" w:ascii="宋体" w:hAnsi="宋体" w:eastAsia="宋体" w:cs="宋体"/>
                      <w:i w:val="0"/>
                      <w:iCs w:val="0"/>
                      <w:color w:val="000000"/>
                      <w:kern w:val="0"/>
                      <w:sz w:val="24"/>
                      <w:szCs w:val="24"/>
                      <w:u w:val="none"/>
                      <w:lang w:val="en-US" w:eastAsia="zh-CN" w:bidi="ar"/>
                    </w:rPr>
                    <w:t>费率</w:t>
                  </w:r>
                  <w:r>
                    <w:rPr>
                      <w:rFonts w:hint="eastAsia" w:ascii="宋体" w:hAnsi="宋体" w:eastAsia="宋体" w:cs="宋体"/>
                      <w:i w:val="0"/>
                      <w:iCs w:val="0"/>
                      <w:color w:val="000000"/>
                      <w:kern w:val="0"/>
                      <w:sz w:val="24"/>
                      <w:szCs w:val="24"/>
                      <w:highlight w:val="none"/>
                      <w:u w:val="none"/>
                      <w:lang w:val="en-US" w:eastAsia="zh-CN" w:bidi="ar"/>
                    </w:rPr>
                    <w:t>）×100×1</w:t>
                  </w:r>
                </w:p>
                <w:p w14:paraId="7A978D52">
                  <w:pPr>
                    <w:keepNext w:val="0"/>
                    <w:keepLines w:val="0"/>
                    <w:widowControl/>
                    <w:suppressLineNumbers w:val="0"/>
                    <w:suppressAutoHyphens w:val="0"/>
                    <w:autoSpaceDN/>
                    <w:bidi w:val="0"/>
                    <w:adjustRightInd/>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投标报价（投标费率）得分计算保留两位小数。</w:t>
                  </w:r>
                </w:p>
              </w:tc>
            </w:tr>
          </w:tbl>
          <w:p w14:paraId="5C6F863A">
            <w:pPr>
              <w:rPr>
                <w:rFonts w:hint="eastAsia" w:ascii="宋体" w:hAnsi="宋体" w:eastAsia="宋体" w:cs="宋体"/>
                <w:sz w:val="24"/>
                <w:szCs w:val="24"/>
              </w:rPr>
            </w:pPr>
          </w:p>
        </w:tc>
      </w:tr>
    </w:tbl>
    <w:p w14:paraId="53E92CB0">
      <w:pPr>
        <w:rPr>
          <w:rFonts w:hint="eastAsia" w:ascii="宋体" w:hAnsi="宋体" w:eastAsia="宋体" w:cs="宋体"/>
          <w:b/>
          <w:bCs/>
          <w:sz w:val="24"/>
          <w:szCs w:val="24"/>
          <w:highlight w:val="none"/>
        </w:rPr>
      </w:pPr>
    </w:p>
    <w:p w14:paraId="6A789E31">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251E3D37">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5.2.2 最终报价高于最高限价的投标人不进入报价评分。</w:t>
      </w:r>
    </w:p>
    <w:p w14:paraId="77C283E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5.2.3最终报价有漏项的或报价数量少于招标文件要求数量的，其报价无效。</w:t>
      </w:r>
    </w:p>
    <w:p w14:paraId="6EEA29E1">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如最终报价有增项的或报价数量多于招标文件要求数量的，不对其价格进行修正。若该投标人成交的，将按其承诺的有利于采购人的增项和数量进行供货，风险由成交人自行承担。</w:t>
      </w:r>
    </w:p>
    <w:p w14:paraId="678D5A2D">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5.3 本项目最终得分=商务技术得分＋报价得分；</w:t>
      </w:r>
    </w:p>
    <w:p w14:paraId="25BE8A0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 评分时保留小数2位，计算评分值时保留小数2位，小数点采用四舍五入方法。</w:t>
      </w:r>
    </w:p>
    <w:p w14:paraId="284ABDBD">
      <w:pPr>
        <w:keepNext/>
        <w:autoSpaceDE w:val="0"/>
        <w:snapToGrid w:val="0"/>
        <w:spacing w:line="360" w:lineRule="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评审纪律和要求</w:t>
      </w:r>
    </w:p>
    <w:p w14:paraId="6CD38135">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评审专家必须公平、公正评审，遵纪守法，客观、廉洁地履行职责。</w:t>
      </w:r>
    </w:p>
    <w:p w14:paraId="7A7403F2">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 评审专家在评审开始前，应关闭并上交随身携带的各种通信工具。</w:t>
      </w:r>
    </w:p>
    <w:p w14:paraId="545E0577">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 评审专家在评审过程中，未经许可不得中途离开评审现场，不得迟到早退。</w:t>
      </w:r>
    </w:p>
    <w:p w14:paraId="6016CE0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 评审专家和工作人员不得透露评审过程中的讨论情况和评审结果。</w:t>
      </w:r>
    </w:p>
    <w:p w14:paraId="20E9F8EB">
      <w:pPr>
        <w:autoSpaceDE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308754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6.6 采购人、采购代理机构不得向评标委员会的评审专家作倾向性、误导性的解释或者说明。</w:t>
      </w:r>
    </w:p>
    <w:p w14:paraId="0F27A5F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2F85100F">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6.8 评审专家在评审过程中不得将自己的观点强加给其他评审专家，评审专家应自主发表见解，对评审意见承担个人责任。</w:t>
      </w:r>
    </w:p>
    <w:p w14:paraId="12830D9A">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2B6590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7D2B1BDD">
      <w:pPr>
        <w:autoSpaceDE w:val="0"/>
        <w:snapToGrid w:val="0"/>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6.11 评审专家应当遵守评审工作纪律，不得泄露评审文件、评审情况和评审中获悉的商业秘密</w:t>
      </w:r>
      <w:r>
        <w:rPr>
          <w:rFonts w:hint="eastAsia" w:ascii="宋体" w:hAnsi="宋体" w:eastAsia="宋体" w:cs="宋体"/>
          <w:sz w:val="24"/>
          <w:szCs w:val="24"/>
          <w:highlight w:val="none"/>
        </w:rPr>
        <w:t>。</w:t>
      </w:r>
    </w:p>
    <w:p w14:paraId="65D278E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评标委员会在评审过程中发现投标人有行贿、提供虚假材料或者串通等违法行为的，应当及时向财政部门报告。</w:t>
      </w:r>
    </w:p>
    <w:p w14:paraId="21F81C19">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 招标文件内容违反国家有关强制性规定的，评标委员会应当停止评审并向采购代理机构说明情况。</w:t>
      </w:r>
    </w:p>
    <w:p w14:paraId="5C091E7D">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 评审专家应当配合采购代理机构答复投标人提出的质疑。</w:t>
      </w:r>
    </w:p>
    <w:p w14:paraId="4ED647F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 评审专家应当配合财政部门的投诉处理工作。</w:t>
      </w:r>
    </w:p>
    <w:p w14:paraId="5BA38A45">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D70E1D1">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第五部分  合同格式</w:t>
      </w:r>
      <w:bookmarkEnd w:id="64"/>
    </w:p>
    <w:p w14:paraId="5C11E2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bookmarkStart w:id="67" w:name="_Toc43498236"/>
      <w:r>
        <w:rPr>
          <w:rFonts w:hint="eastAsia" w:ascii="宋体" w:hAnsi="宋体" w:eastAsia="宋体" w:cs="宋体"/>
          <w:b/>
          <w:color w:val="auto"/>
          <w:sz w:val="32"/>
          <w:szCs w:val="32"/>
          <w:highlight w:val="none"/>
        </w:rPr>
        <w:t>入围协议书</w:t>
      </w:r>
    </w:p>
    <w:p w14:paraId="597157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特别提示：</w:t>
      </w:r>
      <w:r>
        <w:rPr>
          <w:rFonts w:hint="eastAsia" w:ascii="宋体" w:hAnsi="宋体" w:eastAsia="宋体" w:cs="宋体"/>
          <w:sz w:val="24"/>
          <w:szCs w:val="24"/>
          <w:highlight w:val="none"/>
        </w:rPr>
        <w:t>以下为成交后签订本项目合同的通用条款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样稿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，双方可以完善修改。）</w:t>
      </w:r>
    </w:p>
    <w:p w14:paraId="0D0667B5">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lang w:eastAsia="zh-CN"/>
        </w:rPr>
        <w:t>招标</w:t>
      </w:r>
      <w:r>
        <w:rPr>
          <w:rFonts w:hint="eastAsia" w:ascii="宋体" w:hAnsi="宋体" w:eastAsia="宋体" w:cs="宋体"/>
          <w:color w:val="auto"/>
          <w:spacing w:val="10"/>
          <w:sz w:val="24"/>
          <w:szCs w:val="24"/>
          <w:highlight w:val="none"/>
        </w:rPr>
        <w:t>人（甲方）：</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7F33E846">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中标</w:t>
      </w:r>
      <w:r>
        <w:rPr>
          <w:rFonts w:hint="eastAsia" w:ascii="宋体" w:hAnsi="宋体" w:eastAsia="宋体" w:cs="宋体"/>
          <w:color w:val="auto"/>
          <w:spacing w:val="10"/>
          <w:sz w:val="24"/>
          <w:szCs w:val="24"/>
          <w:highlight w:val="none"/>
        </w:rPr>
        <w:t>人（乙方）：</w:t>
      </w:r>
      <w:r>
        <w:rPr>
          <w:rFonts w:hint="eastAsia" w:ascii="宋体" w:hAnsi="宋体" w:eastAsia="宋体" w:cs="宋体"/>
          <w:color w:val="auto"/>
          <w:spacing w:val="10"/>
          <w:sz w:val="24"/>
          <w:szCs w:val="24"/>
          <w:highlight w:val="none"/>
          <w:u w:val="single"/>
        </w:rPr>
        <w:t xml:space="preserve">                                 </w:t>
      </w:r>
    </w:p>
    <w:p w14:paraId="45AD2D24">
      <w:pPr>
        <w:keepNext w:val="0"/>
        <w:keepLines w:val="0"/>
        <w:pageBreakBefore w:val="0"/>
        <w:widowControl w:val="0"/>
        <w:kinsoku/>
        <w:wordWrap/>
        <w:overflowPunct/>
        <w:topLinePunct w:val="0"/>
        <w:autoSpaceDE/>
        <w:autoSpaceDN/>
        <w:bidi w:val="0"/>
        <w:adjustRightInd/>
        <w:snapToGrid/>
        <w:spacing w:line="440" w:lineRule="exact"/>
        <w:ind w:left="149" w:leftChars="71" w:firstLine="390" w:firstLineChars="15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招标</w:t>
      </w:r>
      <w:r>
        <w:rPr>
          <w:rFonts w:hint="eastAsia" w:ascii="宋体" w:hAnsi="宋体" w:eastAsia="宋体" w:cs="宋体"/>
          <w:color w:val="auto"/>
          <w:spacing w:val="10"/>
          <w:sz w:val="24"/>
          <w:szCs w:val="24"/>
          <w:highlight w:val="none"/>
        </w:rPr>
        <w:t>人委托</w:t>
      </w:r>
      <w:r>
        <w:rPr>
          <w:rFonts w:hint="eastAsia" w:ascii="宋体" w:hAnsi="宋体" w:eastAsia="宋体" w:cs="宋体"/>
          <w:color w:val="auto"/>
          <w:spacing w:val="10"/>
          <w:sz w:val="24"/>
          <w:szCs w:val="24"/>
          <w:highlight w:val="none"/>
          <w:lang w:eastAsia="zh-CN"/>
        </w:rPr>
        <w:t>中标</w:t>
      </w:r>
      <w:r>
        <w:rPr>
          <w:rFonts w:hint="eastAsia" w:ascii="宋体" w:hAnsi="宋体" w:eastAsia="宋体" w:cs="宋体"/>
          <w:color w:val="auto"/>
          <w:spacing w:val="10"/>
          <w:sz w:val="24"/>
          <w:szCs w:val="24"/>
          <w:highlight w:val="none"/>
        </w:rPr>
        <w:t>人承担</w:t>
      </w:r>
      <w:r>
        <w:rPr>
          <w:rFonts w:hint="eastAsia" w:ascii="宋体" w:hAnsi="宋体" w:cs="宋体"/>
          <w:sz w:val="24"/>
          <w:szCs w:val="24"/>
          <w:highlight w:val="none"/>
          <w:u w:val="single"/>
          <w:lang w:eastAsia="zh-CN"/>
        </w:rPr>
        <w:t>新昌县智慧城市建设有限公司招标代理单位入围采购项目</w:t>
      </w:r>
      <w:r>
        <w:rPr>
          <w:rFonts w:hint="eastAsia" w:ascii="宋体" w:hAnsi="宋体" w:eastAsia="宋体" w:cs="宋体"/>
          <w:color w:val="auto"/>
          <w:sz w:val="24"/>
          <w:szCs w:val="24"/>
          <w:highlight w:val="none"/>
          <w:u w:val="none"/>
          <w:lang w:val="en-US" w:eastAsia="zh-CN"/>
        </w:rPr>
        <w:t>的招标代理工作</w:t>
      </w:r>
      <w:r>
        <w:rPr>
          <w:rFonts w:hint="eastAsia" w:ascii="宋体" w:hAnsi="宋体" w:eastAsia="宋体" w:cs="宋体"/>
          <w:color w:val="auto"/>
          <w:spacing w:val="10"/>
          <w:sz w:val="24"/>
          <w:szCs w:val="24"/>
          <w:highlight w:val="none"/>
        </w:rPr>
        <w:t>，经双方协商一致，签订本合同，共同执行。</w:t>
      </w:r>
    </w:p>
    <w:p w14:paraId="486BCA2A">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196"/>
        <w:textAlignment w:val="auto"/>
        <w:rPr>
          <w:rFonts w:hint="eastAsia"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rPr>
        <w:t>第一条</w:t>
      </w:r>
      <w:r>
        <w:rPr>
          <w:rFonts w:hint="eastAsia" w:ascii="宋体" w:hAnsi="宋体" w:eastAsia="宋体" w:cs="宋体"/>
          <w:b/>
          <w:bCs/>
          <w:color w:val="auto"/>
          <w:spacing w:val="0"/>
          <w:sz w:val="24"/>
          <w:szCs w:val="24"/>
          <w:lang w:val="en-US" w:eastAsia="zh-CN"/>
        </w:rPr>
        <w:t xml:space="preserve"> 采购内容及服务期限</w:t>
      </w:r>
    </w:p>
    <w:p w14:paraId="1CC3D3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采购项目内容</w:t>
      </w:r>
      <w:r>
        <w:rPr>
          <w:rFonts w:hint="eastAsia" w:ascii="宋体" w:hAnsi="宋体" w:eastAsia="宋体" w:cs="宋体"/>
          <w:color w:val="000000"/>
          <w:sz w:val="24"/>
          <w:szCs w:val="24"/>
          <w:lang w:val="en-US" w:eastAsia="zh-CN"/>
        </w:rPr>
        <w:t>为新昌县智慧城市建设有限公司出资建设的货物与服务</w:t>
      </w:r>
      <w:r>
        <w:rPr>
          <w:rFonts w:hint="eastAsia" w:ascii="宋体" w:hAnsi="宋体" w:cs="宋体"/>
          <w:color w:val="000000"/>
          <w:sz w:val="24"/>
          <w:szCs w:val="24"/>
          <w:lang w:val="en-US" w:eastAsia="zh-CN"/>
        </w:rPr>
        <w:t>项目</w:t>
      </w:r>
      <w:r>
        <w:rPr>
          <w:rFonts w:hint="eastAsia" w:ascii="宋体" w:hAnsi="宋体" w:eastAsia="宋体" w:cs="宋体"/>
          <w:sz w:val="24"/>
          <w:szCs w:val="24"/>
          <w:highlight w:val="none"/>
          <w:lang w:val="en-US" w:eastAsia="zh-CN"/>
        </w:rPr>
        <w:t>的招标代理服务。</w:t>
      </w:r>
    </w:p>
    <w:p w14:paraId="65F305C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pacing w:val="10"/>
          <w:sz w:val="24"/>
          <w:szCs w:val="24"/>
        </w:rPr>
      </w:pPr>
      <w:r>
        <w:rPr>
          <w:rFonts w:hint="eastAsia" w:ascii="宋体" w:hAnsi="宋体" w:eastAsia="宋体" w:cs="宋体"/>
          <w:sz w:val="24"/>
          <w:szCs w:val="24"/>
          <w:shd w:val="clear" w:color="auto" w:fill="auto"/>
          <w:lang w:val="en-US" w:eastAsia="zh-CN"/>
        </w:rPr>
        <w:t>1.2.项目服务期为入围公告发布起1年。</w:t>
      </w:r>
    </w:p>
    <w:p w14:paraId="206E03A5">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二</w:t>
      </w:r>
      <w:r>
        <w:rPr>
          <w:rFonts w:hint="eastAsia" w:ascii="宋体" w:hAnsi="宋体" w:eastAsia="宋体" w:cs="宋体"/>
          <w:b/>
          <w:bCs/>
          <w:color w:val="auto"/>
          <w:spacing w:val="0"/>
          <w:sz w:val="24"/>
          <w:szCs w:val="24"/>
        </w:rPr>
        <w:t>条  合同签订依据</w:t>
      </w:r>
    </w:p>
    <w:p w14:paraId="119EF545">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1.1</w:t>
      </w:r>
      <w:r>
        <w:rPr>
          <w:rFonts w:hint="eastAsia"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rPr>
        <w:t>根据</w:t>
      </w:r>
      <w:r>
        <w:rPr>
          <w:rFonts w:hint="eastAsia" w:ascii="宋体" w:hAnsi="宋体" w:eastAsia="宋体" w:cs="宋体"/>
          <w:color w:val="auto"/>
          <w:spacing w:val="10"/>
          <w:sz w:val="24"/>
          <w:szCs w:val="24"/>
          <w:lang w:eastAsia="zh-CN"/>
        </w:rPr>
        <w:t>新昌县智慧城市建设有限公司招标代理单位入围采购项目</w:t>
      </w:r>
      <w:r>
        <w:rPr>
          <w:rFonts w:hint="eastAsia" w:ascii="宋体" w:hAnsi="宋体" w:eastAsia="宋体" w:cs="宋体"/>
          <w:color w:val="auto"/>
          <w:spacing w:val="10"/>
          <w:sz w:val="24"/>
          <w:szCs w:val="24"/>
          <w:lang w:val="en-US" w:eastAsia="zh-CN"/>
        </w:rPr>
        <w:t>招标</w:t>
      </w:r>
      <w:r>
        <w:rPr>
          <w:rFonts w:hint="eastAsia" w:ascii="宋体" w:hAnsi="宋体" w:eastAsia="宋体" w:cs="宋体"/>
          <w:color w:val="auto"/>
          <w:spacing w:val="10"/>
          <w:sz w:val="24"/>
          <w:szCs w:val="24"/>
        </w:rPr>
        <w:t>文件、《中华人民共和国</w:t>
      </w:r>
      <w:r>
        <w:rPr>
          <w:rFonts w:hint="eastAsia" w:ascii="宋体" w:hAnsi="宋体" w:eastAsia="宋体" w:cs="宋体"/>
          <w:color w:val="auto"/>
          <w:spacing w:val="10"/>
          <w:sz w:val="24"/>
          <w:szCs w:val="24"/>
          <w:lang w:val="en-US" w:eastAsia="zh-CN"/>
        </w:rPr>
        <w:t>民法典</w:t>
      </w:r>
      <w:r>
        <w:rPr>
          <w:rFonts w:hint="eastAsia" w:ascii="宋体" w:hAnsi="宋体" w:eastAsia="宋体" w:cs="宋体"/>
          <w:color w:val="auto"/>
          <w:spacing w:val="10"/>
          <w:sz w:val="24"/>
          <w:szCs w:val="24"/>
        </w:rPr>
        <w:t>》等有关规定，经双方协商，达成以下条款：</w:t>
      </w:r>
    </w:p>
    <w:p w14:paraId="0D2C5B2C">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1.2</w:t>
      </w:r>
      <w:r>
        <w:rPr>
          <w:rFonts w:hint="eastAsia"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rPr>
        <w:t>具体项目施工单位由</w:t>
      </w:r>
      <w:r>
        <w:rPr>
          <w:rFonts w:hint="eastAsia" w:ascii="宋体" w:hAnsi="宋体" w:eastAsia="宋体" w:cs="宋体"/>
          <w:color w:val="auto"/>
          <w:spacing w:val="10"/>
          <w:sz w:val="24"/>
          <w:szCs w:val="24"/>
          <w:lang w:eastAsia="zh-CN"/>
        </w:rPr>
        <w:t>招标</w:t>
      </w:r>
      <w:r>
        <w:rPr>
          <w:rFonts w:hint="eastAsia" w:ascii="宋体" w:hAnsi="宋体" w:eastAsia="宋体" w:cs="宋体"/>
          <w:color w:val="auto"/>
          <w:spacing w:val="10"/>
          <w:sz w:val="24"/>
          <w:szCs w:val="24"/>
        </w:rPr>
        <w:t>单位根据项目实际情况确定。</w:t>
      </w:r>
    </w:p>
    <w:p w14:paraId="69805697">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w:t>
      </w:r>
      <w:r>
        <w:rPr>
          <w:rFonts w:hint="eastAsia"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rPr>
        <w:t>乙方接到通知后与甲方订立单独项目合同，具体每个项目</w:t>
      </w:r>
      <w:r>
        <w:rPr>
          <w:rFonts w:hint="eastAsia" w:ascii="宋体" w:hAnsi="宋体" w:eastAsia="宋体" w:cs="宋体"/>
          <w:color w:val="auto"/>
          <w:spacing w:val="10"/>
          <w:sz w:val="24"/>
          <w:szCs w:val="24"/>
          <w:lang w:val="en-US" w:eastAsia="zh-CN"/>
        </w:rPr>
        <w:t>招标代理工作</w:t>
      </w:r>
      <w:r>
        <w:rPr>
          <w:rFonts w:hint="eastAsia" w:ascii="宋体" w:hAnsi="宋体" w:eastAsia="宋体" w:cs="宋体"/>
          <w:color w:val="auto"/>
          <w:spacing w:val="10"/>
          <w:sz w:val="24"/>
          <w:szCs w:val="24"/>
        </w:rPr>
        <w:t>前需再重新签订合同，具体合同条款以实际签订为准。</w:t>
      </w:r>
    </w:p>
    <w:p w14:paraId="0FF2AFAF">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三</w:t>
      </w:r>
      <w:r>
        <w:rPr>
          <w:rFonts w:hint="eastAsia" w:ascii="宋体" w:hAnsi="宋体" w:eastAsia="宋体" w:cs="宋体"/>
          <w:b/>
          <w:bCs/>
          <w:color w:val="auto"/>
          <w:spacing w:val="0"/>
          <w:sz w:val="24"/>
          <w:szCs w:val="24"/>
        </w:rPr>
        <w:t>条  合同文件的优先次序</w:t>
      </w:r>
    </w:p>
    <w:p w14:paraId="6AB07E25">
      <w:pPr>
        <w:pStyle w:val="8"/>
        <w:keepNext w:val="0"/>
        <w:keepLines w:val="0"/>
        <w:pageBreakBefore w:val="0"/>
        <w:widowControl w:val="0"/>
        <w:kinsoku/>
        <w:wordWrap/>
        <w:overflowPunct/>
        <w:topLinePunct w:val="0"/>
        <w:autoSpaceDE/>
        <w:autoSpaceDN/>
        <w:bidi w:val="0"/>
        <w:adjustRightInd/>
        <w:snapToGrid/>
        <w:spacing w:line="440" w:lineRule="exact"/>
        <w:ind w:firstLine="390" w:firstLineChars="150"/>
        <w:textAlignment w:val="auto"/>
        <w:rPr>
          <w:rFonts w:hint="eastAsia" w:ascii="宋体" w:hAnsi="宋体" w:eastAsia="宋体" w:cs="宋体"/>
          <w:color w:val="auto"/>
          <w:spacing w:val="10"/>
          <w:sz w:val="24"/>
          <w:szCs w:val="24"/>
          <w:lang w:val="en-US" w:eastAsia="zh-CN" w:bidi="ar-SA"/>
        </w:rPr>
      </w:pPr>
      <w:r>
        <w:rPr>
          <w:rFonts w:hint="eastAsia" w:ascii="宋体" w:hAnsi="宋体" w:eastAsia="宋体" w:cs="宋体"/>
          <w:color w:val="auto"/>
          <w:spacing w:val="10"/>
          <w:sz w:val="24"/>
          <w:szCs w:val="24"/>
          <w:lang w:val="en-US" w:eastAsia="zh-CN" w:bidi="ar-SA"/>
        </w:rPr>
        <w:t>构成本合同的文件可视为是能互相说明的，如果合同文件存在歧义或不一致，则根据如下优先次序来判断：</w:t>
      </w:r>
    </w:p>
    <w:p w14:paraId="607CB232">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val="en-US" w:eastAsia="zh-CN" w:bidi="ar-SA"/>
        </w:rPr>
      </w:pPr>
      <w:r>
        <w:rPr>
          <w:rFonts w:hint="eastAsia" w:ascii="宋体" w:hAnsi="宋体" w:eastAsia="宋体" w:cs="宋体"/>
          <w:color w:val="auto"/>
          <w:spacing w:val="10"/>
          <w:sz w:val="24"/>
          <w:szCs w:val="24"/>
          <w:lang w:val="en-US" w:eastAsia="zh-CN" w:bidi="ar-SA"/>
        </w:rPr>
        <w:t>2.1合同书</w:t>
      </w:r>
    </w:p>
    <w:p w14:paraId="65C8A60F">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val="en-US" w:eastAsia="zh-CN" w:bidi="ar-SA"/>
        </w:rPr>
      </w:pPr>
      <w:r>
        <w:rPr>
          <w:rFonts w:hint="eastAsia" w:ascii="宋体" w:hAnsi="宋体" w:eastAsia="宋体" w:cs="宋体"/>
          <w:color w:val="auto"/>
          <w:spacing w:val="10"/>
          <w:sz w:val="24"/>
          <w:szCs w:val="24"/>
          <w:lang w:val="en-US" w:eastAsia="zh-CN" w:bidi="ar-SA"/>
        </w:rPr>
        <w:t>2.2招标人要求及委托书</w:t>
      </w:r>
    </w:p>
    <w:p w14:paraId="63562C67">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val="en-US" w:eastAsia="zh-CN" w:bidi="ar-SA"/>
        </w:rPr>
      </w:pPr>
      <w:r>
        <w:rPr>
          <w:rFonts w:hint="eastAsia" w:ascii="宋体" w:hAnsi="宋体" w:eastAsia="宋体" w:cs="宋体"/>
          <w:color w:val="auto"/>
          <w:spacing w:val="10"/>
          <w:sz w:val="24"/>
          <w:szCs w:val="24"/>
          <w:lang w:val="en-US" w:eastAsia="zh-CN" w:bidi="ar-SA"/>
        </w:rPr>
        <w:t>2.3投标文件</w:t>
      </w:r>
    </w:p>
    <w:p w14:paraId="1D619F63">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四</w:t>
      </w:r>
      <w:r>
        <w:rPr>
          <w:rFonts w:hint="eastAsia" w:ascii="宋体" w:hAnsi="宋体" w:eastAsia="宋体" w:cs="宋体"/>
          <w:b/>
          <w:bCs/>
          <w:color w:val="auto"/>
          <w:spacing w:val="0"/>
          <w:sz w:val="24"/>
          <w:szCs w:val="24"/>
        </w:rPr>
        <w:t>条  费用</w:t>
      </w:r>
    </w:p>
    <w:p w14:paraId="1C50D080">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3.1</w:t>
      </w:r>
      <w:r>
        <w:rPr>
          <w:rFonts w:hint="eastAsia" w:ascii="宋体" w:hAnsi="宋体" w:eastAsia="宋体" w:cs="宋体"/>
          <w:color w:val="auto"/>
          <w:spacing w:val="10"/>
          <w:sz w:val="24"/>
          <w:szCs w:val="24"/>
          <w:lang w:val="en-US" w:eastAsia="zh-CN"/>
        </w:rPr>
        <w:t>甲方</w:t>
      </w:r>
      <w:r>
        <w:rPr>
          <w:rFonts w:hint="eastAsia" w:ascii="宋体" w:hAnsi="宋体" w:eastAsia="宋体" w:cs="宋体"/>
          <w:color w:val="auto"/>
          <w:spacing w:val="10"/>
          <w:sz w:val="24"/>
          <w:szCs w:val="24"/>
        </w:rPr>
        <w:t>内部5-30万元公开询价采购项目，</w:t>
      </w:r>
      <w:r>
        <w:rPr>
          <w:rFonts w:hint="eastAsia" w:ascii="宋体" w:hAnsi="宋体" w:eastAsia="宋体" w:cs="宋体"/>
          <w:color w:val="auto"/>
          <w:spacing w:val="10"/>
          <w:sz w:val="24"/>
          <w:szCs w:val="24"/>
          <w:lang w:val="en-US" w:eastAsia="zh-CN"/>
        </w:rPr>
        <w:t>单次</w:t>
      </w:r>
      <w:r>
        <w:rPr>
          <w:rFonts w:hint="eastAsia" w:ascii="宋体" w:hAnsi="宋体" w:eastAsia="宋体" w:cs="宋体"/>
          <w:color w:val="auto"/>
          <w:spacing w:val="10"/>
          <w:sz w:val="24"/>
          <w:szCs w:val="24"/>
        </w:rPr>
        <w:t>按固定费用3000元计算（</w:t>
      </w:r>
      <w:r>
        <w:rPr>
          <w:rFonts w:hint="eastAsia" w:ascii="宋体" w:hAnsi="宋体" w:eastAsia="宋体" w:cs="宋体"/>
          <w:color w:val="auto"/>
          <w:spacing w:val="10"/>
          <w:sz w:val="24"/>
          <w:szCs w:val="24"/>
          <w:lang w:val="en-US" w:eastAsia="zh-CN"/>
        </w:rPr>
        <w:t>含专家评审费</w:t>
      </w:r>
      <w:r>
        <w:rPr>
          <w:rFonts w:hint="eastAsia" w:ascii="宋体" w:hAnsi="宋体" w:eastAsia="宋体" w:cs="宋体"/>
          <w:color w:val="auto"/>
          <w:spacing w:val="10"/>
          <w:sz w:val="24"/>
          <w:szCs w:val="24"/>
        </w:rPr>
        <w:t>）；</w:t>
      </w:r>
    </w:p>
    <w:p w14:paraId="1412D791">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3.2</w:t>
      </w:r>
      <w:r>
        <w:rPr>
          <w:rFonts w:hint="eastAsia" w:ascii="宋体" w:hAnsi="宋体" w:eastAsia="宋体" w:cs="宋体"/>
          <w:color w:val="auto"/>
          <w:spacing w:val="10"/>
          <w:sz w:val="24"/>
          <w:szCs w:val="24"/>
        </w:rPr>
        <w:t>公开招投标采购项目，费用</w:t>
      </w:r>
      <w:r>
        <w:rPr>
          <w:rFonts w:hint="eastAsia" w:ascii="宋体" w:hAnsi="宋体" w:eastAsia="宋体" w:cs="宋体"/>
          <w:color w:val="auto"/>
          <w:spacing w:val="10"/>
          <w:sz w:val="24"/>
          <w:szCs w:val="24"/>
          <w:lang w:val="en-US" w:eastAsia="zh-CN"/>
        </w:rPr>
        <w:t>按招标</w:t>
      </w:r>
      <w:r>
        <w:rPr>
          <w:rFonts w:hint="eastAsia" w:ascii="宋体" w:hAnsi="宋体" w:eastAsia="宋体" w:cs="宋体"/>
          <w:color w:val="auto"/>
          <w:spacing w:val="10"/>
          <w:sz w:val="24"/>
          <w:szCs w:val="24"/>
        </w:rPr>
        <w:t>文件</w:t>
      </w:r>
      <w:r>
        <w:rPr>
          <w:rFonts w:hint="eastAsia" w:ascii="宋体" w:hAnsi="宋体" w:eastAsia="宋体" w:cs="宋体"/>
          <w:color w:val="auto"/>
          <w:spacing w:val="10"/>
          <w:sz w:val="24"/>
          <w:szCs w:val="24"/>
          <w:lang w:val="en-US" w:eastAsia="zh-CN"/>
        </w:rPr>
        <w:t>收费标准×中标费率</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%计算，若代理费不足5000元的按5000元计取，代理费用超过5万的按5万元计取（</w:t>
      </w:r>
      <w:r>
        <w:rPr>
          <w:rFonts w:hint="eastAsia" w:ascii="宋体" w:hAnsi="宋体" w:eastAsia="宋体" w:cs="宋体"/>
          <w:color w:val="auto"/>
          <w:spacing w:val="10"/>
          <w:sz w:val="24"/>
          <w:szCs w:val="24"/>
          <w:lang w:val="en-US" w:eastAsia="zh-CN"/>
        </w:rPr>
        <w:t>含专家评审费</w:t>
      </w:r>
      <w:r>
        <w:rPr>
          <w:rFonts w:hint="eastAsia" w:ascii="宋体" w:hAnsi="宋体" w:eastAsia="宋体" w:cs="宋体"/>
          <w:color w:val="auto"/>
          <w:spacing w:val="10"/>
          <w:sz w:val="24"/>
          <w:szCs w:val="24"/>
        </w:rPr>
        <w:t>）。</w:t>
      </w:r>
    </w:p>
    <w:p w14:paraId="7DCE9A75">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3.3上述费用由乙方自行与项目中标人结算，与甲方无关，乙方无权向甲方要求支付上述费用。</w:t>
      </w:r>
    </w:p>
    <w:p w14:paraId="3A5BBB34">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五</w:t>
      </w:r>
      <w:r>
        <w:rPr>
          <w:rFonts w:hint="eastAsia" w:ascii="宋体" w:hAnsi="宋体" w:eastAsia="宋体" w:cs="宋体"/>
          <w:b/>
          <w:bCs/>
          <w:color w:val="auto"/>
          <w:spacing w:val="0"/>
          <w:sz w:val="24"/>
          <w:szCs w:val="24"/>
        </w:rPr>
        <w:t>条  支付方式</w:t>
      </w:r>
    </w:p>
    <w:p w14:paraId="0FACDF4C">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4.1支付方式：具体按每个项目</w:t>
      </w:r>
      <w:r>
        <w:rPr>
          <w:rFonts w:hint="eastAsia" w:ascii="宋体" w:hAnsi="宋体" w:eastAsia="宋体" w:cs="宋体"/>
          <w:color w:val="auto"/>
          <w:spacing w:val="10"/>
          <w:sz w:val="24"/>
          <w:szCs w:val="24"/>
          <w:lang w:val="en-US" w:eastAsia="zh-CN"/>
        </w:rPr>
        <w:t>委托代理</w:t>
      </w:r>
      <w:r>
        <w:rPr>
          <w:rFonts w:hint="eastAsia" w:ascii="宋体" w:hAnsi="宋体" w:eastAsia="宋体" w:cs="宋体"/>
          <w:color w:val="auto"/>
          <w:spacing w:val="10"/>
          <w:sz w:val="24"/>
          <w:szCs w:val="24"/>
        </w:rPr>
        <w:t>合同中规定的付款方式支付。</w:t>
      </w:r>
    </w:p>
    <w:p w14:paraId="3769AEB0">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196"/>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第</w:t>
      </w:r>
      <w:r>
        <w:rPr>
          <w:rFonts w:hint="eastAsia" w:ascii="宋体" w:hAnsi="宋体" w:eastAsia="宋体" w:cs="宋体"/>
          <w:b/>
          <w:bCs/>
          <w:color w:val="auto"/>
          <w:spacing w:val="0"/>
          <w:sz w:val="24"/>
          <w:szCs w:val="24"/>
          <w:lang w:val="en-US" w:eastAsia="zh-CN"/>
        </w:rPr>
        <w:t>六</w:t>
      </w:r>
      <w:r>
        <w:rPr>
          <w:rFonts w:hint="eastAsia" w:ascii="宋体" w:hAnsi="宋体" w:eastAsia="宋体" w:cs="宋体"/>
          <w:b/>
          <w:bCs/>
          <w:color w:val="auto"/>
          <w:spacing w:val="0"/>
          <w:sz w:val="24"/>
          <w:szCs w:val="24"/>
        </w:rPr>
        <w:t>条  双方责任</w:t>
      </w:r>
    </w:p>
    <w:p w14:paraId="3D78730C">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5.1</w:t>
      </w:r>
      <w:r>
        <w:rPr>
          <w:rFonts w:hint="eastAsia" w:ascii="宋体" w:hAnsi="宋体" w:eastAsia="宋体" w:cs="宋体"/>
          <w:color w:val="auto"/>
          <w:spacing w:val="10"/>
          <w:sz w:val="24"/>
          <w:szCs w:val="24"/>
          <w:lang w:eastAsia="zh-CN"/>
        </w:rPr>
        <w:t>招标</w:t>
      </w:r>
      <w:r>
        <w:rPr>
          <w:rFonts w:hint="eastAsia" w:ascii="宋体" w:hAnsi="宋体" w:eastAsia="宋体" w:cs="宋体"/>
          <w:color w:val="auto"/>
          <w:spacing w:val="10"/>
          <w:sz w:val="24"/>
          <w:szCs w:val="24"/>
        </w:rPr>
        <w:t>人责任</w:t>
      </w:r>
    </w:p>
    <w:p w14:paraId="70F3B7C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5.1.1.确定目的和具体要求；</w:t>
      </w:r>
    </w:p>
    <w:p w14:paraId="4DADFFD0">
      <w:pPr>
        <w:keepNext w:val="0"/>
        <w:keepLines w:val="0"/>
        <w:pageBreakBefore w:val="0"/>
        <w:widowControl w:val="0"/>
        <w:kinsoku/>
        <w:wordWrap/>
        <w:overflowPunct/>
        <w:topLinePunct w:val="0"/>
        <w:autoSpaceDE/>
        <w:autoSpaceDN/>
        <w:bidi w:val="0"/>
        <w:adjustRightInd/>
        <w:snapToGrid/>
        <w:spacing w:line="440" w:lineRule="exact"/>
        <w:ind w:firstLine="588" w:firstLineChars="24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5.1.2.对乙方检查工作质量进行检查；</w:t>
      </w:r>
    </w:p>
    <w:p w14:paraId="4FD52212">
      <w:pPr>
        <w:keepNext w:val="0"/>
        <w:keepLines w:val="0"/>
        <w:pageBreakBefore w:val="0"/>
        <w:widowControl w:val="0"/>
        <w:kinsoku/>
        <w:wordWrap/>
        <w:overflowPunct/>
        <w:topLinePunct w:val="0"/>
        <w:autoSpaceDE/>
        <w:autoSpaceDN/>
        <w:bidi w:val="0"/>
        <w:adjustRightInd/>
        <w:snapToGrid/>
        <w:spacing w:line="440" w:lineRule="exact"/>
        <w:ind w:firstLine="588" w:firstLineChars="24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5.1.3.按协议规定支付费用。</w:t>
      </w:r>
    </w:p>
    <w:p w14:paraId="1BCC1FAD">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5.2</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人责任</w:t>
      </w:r>
    </w:p>
    <w:p w14:paraId="4A0C5973">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5.2.1资格入围的</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人，不得以任何理由把工程转让给第三方。</w:t>
      </w:r>
    </w:p>
    <w:p w14:paraId="3AE088DA">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5.2.2</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人在资格入围期间，不论因任何原因被吊销营业执照或因腐败或欺诈行为被查处的，自动解除入围资格。</w:t>
      </w:r>
    </w:p>
    <w:p w14:paraId="7C72C623">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5.2.3</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人应按国家规定和合同约定的技术规范、标准进行实施。</w:t>
      </w:r>
    </w:p>
    <w:p w14:paraId="185F0BE9">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 xml:space="preserve">条 </w:t>
      </w:r>
      <w:r>
        <w:rPr>
          <w:rFonts w:hint="eastAsia" w:ascii="宋体" w:hAnsi="宋体" w:eastAsia="宋体" w:cs="宋体"/>
          <w:b/>
          <w:color w:val="auto"/>
          <w:sz w:val="24"/>
          <w:szCs w:val="24"/>
        </w:rPr>
        <w:t>争议的解决</w:t>
      </w:r>
    </w:p>
    <w:p w14:paraId="16804AA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本协议如发生纠纷，甲、乙应当及时协商解决，如协商不成，</w:t>
      </w:r>
      <w:r>
        <w:rPr>
          <w:rFonts w:hint="eastAsia" w:ascii="宋体" w:hAnsi="宋体" w:eastAsia="宋体" w:cs="宋体"/>
          <w:color w:val="auto"/>
          <w:sz w:val="24"/>
          <w:szCs w:val="24"/>
          <w:lang w:val="en-US" w:eastAsia="zh-CN"/>
        </w:rPr>
        <w:t>均</w:t>
      </w:r>
      <w:r>
        <w:rPr>
          <w:rFonts w:hint="eastAsia" w:ascii="宋体" w:hAnsi="宋体" w:eastAsia="宋体" w:cs="宋体"/>
          <w:color w:val="auto"/>
          <w:spacing w:val="10"/>
          <w:sz w:val="24"/>
          <w:szCs w:val="24"/>
        </w:rPr>
        <w:t>可向</w:t>
      </w:r>
      <w:r>
        <w:rPr>
          <w:rFonts w:hint="eastAsia" w:ascii="宋体" w:hAnsi="宋体" w:eastAsia="宋体" w:cs="宋体"/>
          <w:color w:val="auto"/>
          <w:spacing w:val="10"/>
          <w:sz w:val="24"/>
          <w:szCs w:val="24"/>
          <w:lang w:val="en-US" w:eastAsia="zh-CN"/>
        </w:rPr>
        <w:t>甲方</w:t>
      </w:r>
      <w:r>
        <w:rPr>
          <w:rFonts w:hint="eastAsia" w:ascii="宋体" w:hAnsi="宋体" w:eastAsia="宋体" w:cs="宋体"/>
          <w:color w:val="auto"/>
          <w:spacing w:val="10"/>
          <w:sz w:val="24"/>
          <w:szCs w:val="24"/>
        </w:rPr>
        <w:t>人民法院起诉</w:t>
      </w:r>
      <w:r>
        <w:rPr>
          <w:rFonts w:hint="eastAsia" w:ascii="宋体" w:hAnsi="宋体" w:eastAsia="宋体" w:cs="宋体"/>
          <w:color w:val="auto"/>
          <w:sz w:val="24"/>
          <w:szCs w:val="24"/>
        </w:rPr>
        <w:t>。</w:t>
      </w:r>
    </w:p>
    <w:p w14:paraId="69DEEE90">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 xml:space="preserve">条 </w:t>
      </w:r>
      <w:r>
        <w:rPr>
          <w:rFonts w:hint="eastAsia" w:ascii="宋体" w:hAnsi="宋体" w:eastAsia="宋体" w:cs="宋体"/>
          <w:b/>
          <w:color w:val="auto"/>
          <w:sz w:val="24"/>
          <w:szCs w:val="24"/>
        </w:rPr>
        <w:t>协议的生效</w:t>
      </w:r>
    </w:p>
    <w:p w14:paraId="79644A73">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7.1、本协议经甲乙双方法定代表人（负责人）或其委托人签字盖章，并由乙方向甲方缴纳履约保证金后生效。</w:t>
      </w:r>
    </w:p>
    <w:p w14:paraId="62948E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7.2、协议履行期内甲乙双方均不得随意变更或解除协议。协议书若有未尽事宜，需经双方共同协商，作出补充规定，补充规定与本协议书有同等法律效力。</w:t>
      </w:r>
    </w:p>
    <w:p w14:paraId="084D03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7.3、所有</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文件、竞包文件及评包过程中形成的文字资料、询标纪要均作为本协议的组成部分，具有同等效力。</w:t>
      </w:r>
    </w:p>
    <w:p w14:paraId="3D1B22E0">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7.4、本合同双方签字盖章即生效，一式</w:t>
      </w:r>
      <w:r>
        <w:rPr>
          <w:rFonts w:hint="eastAsia" w:ascii="宋体" w:hAnsi="宋体" w:eastAsia="宋体" w:cs="宋体"/>
          <w:color w:val="auto"/>
          <w:spacing w:val="10"/>
          <w:sz w:val="24"/>
          <w:szCs w:val="24"/>
          <w:u w:val="single"/>
          <w:lang w:val="en-US" w:eastAsia="zh-CN"/>
        </w:rPr>
        <w:t>肆</w:t>
      </w:r>
      <w:r>
        <w:rPr>
          <w:rFonts w:hint="eastAsia" w:ascii="宋体" w:hAnsi="宋体" w:eastAsia="宋体" w:cs="宋体"/>
          <w:color w:val="auto"/>
          <w:spacing w:val="10"/>
          <w:sz w:val="24"/>
          <w:szCs w:val="24"/>
        </w:rPr>
        <w:t>份，</w:t>
      </w:r>
      <w:r>
        <w:rPr>
          <w:rFonts w:hint="eastAsia" w:ascii="宋体" w:hAnsi="宋体" w:eastAsia="宋体" w:cs="宋体"/>
          <w:color w:val="auto"/>
          <w:spacing w:val="10"/>
          <w:sz w:val="24"/>
          <w:szCs w:val="24"/>
          <w:lang w:eastAsia="zh-CN"/>
        </w:rPr>
        <w:t>招标</w:t>
      </w:r>
      <w:r>
        <w:rPr>
          <w:rFonts w:hint="eastAsia" w:ascii="宋体" w:hAnsi="宋体" w:eastAsia="宋体" w:cs="宋体"/>
          <w:color w:val="auto"/>
          <w:spacing w:val="10"/>
          <w:sz w:val="24"/>
          <w:szCs w:val="24"/>
        </w:rPr>
        <w:t>人</w:t>
      </w:r>
      <w:r>
        <w:rPr>
          <w:rFonts w:hint="eastAsia" w:ascii="宋体" w:hAnsi="宋体" w:eastAsia="宋体" w:cs="宋体"/>
          <w:color w:val="auto"/>
          <w:spacing w:val="10"/>
          <w:sz w:val="24"/>
          <w:szCs w:val="24"/>
          <w:u w:val="single"/>
          <w:lang w:val="en-US" w:eastAsia="zh-CN"/>
        </w:rPr>
        <w:t>贰</w:t>
      </w:r>
      <w:r>
        <w:rPr>
          <w:rFonts w:hint="eastAsia" w:ascii="宋体" w:hAnsi="宋体" w:eastAsia="宋体" w:cs="宋体"/>
          <w:color w:val="auto"/>
          <w:spacing w:val="10"/>
          <w:sz w:val="24"/>
          <w:szCs w:val="24"/>
        </w:rPr>
        <w:t>份，</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人</w:t>
      </w:r>
      <w:r>
        <w:rPr>
          <w:rFonts w:hint="eastAsia" w:ascii="宋体" w:hAnsi="宋体" w:eastAsia="宋体" w:cs="宋体"/>
          <w:color w:val="auto"/>
          <w:spacing w:val="10"/>
          <w:sz w:val="24"/>
          <w:szCs w:val="24"/>
          <w:u w:val="single"/>
          <w:lang w:val="en-US" w:eastAsia="zh-CN"/>
        </w:rPr>
        <w:t>贰</w:t>
      </w:r>
      <w:r>
        <w:rPr>
          <w:rFonts w:hint="eastAsia" w:ascii="宋体" w:hAnsi="宋体" w:eastAsia="宋体" w:cs="宋体"/>
          <w:color w:val="auto"/>
          <w:spacing w:val="10"/>
          <w:sz w:val="24"/>
          <w:szCs w:val="24"/>
        </w:rPr>
        <w:t>份。</w:t>
      </w:r>
    </w:p>
    <w:p w14:paraId="696148FB">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7.5</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双方认可的来往传真、电报、会议纪要等，均为合同的组成部分，与本合同具有同等法律效力。</w:t>
      </w:r>
    </w:p>
    <w:p w14:paraId="3CDDB0F3">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7.6</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未尽事宜，经双方协商一致，签订补充协议，补充协议与本合同具有同等效力。</w:t>
      </w:r>
    </w:p>
    <w:p w14:paraId="22296D02">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lang w:eastAsia="zh-CN"/>
        </w:rPr>
      </w:pPr>
    </w:p>
    <w:p w14:paraId="4E7B889B">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eastAsia="zh-CN"/>
        </w:rPr>
        <w:t>招标</w:t>
      </w:r>
      <w:r>
        <w:rPr>
          <w:rFonts w:hint="eastAsia" w:ascii="宋体" w:hAnsi="宋体" w:eastAsia="宋体" w:cs="宋体"/>
          <w:color w:val="auto"/>
          <w:spacing w:val="10"/>
          <w:sz w:val="24"/>
          <w:szCs w:val="24"/>
        </w:rPr>
        <w:t xml:space="preserve">人名称：（盖章）               </w:t>
      </w:r>
      <w:r>
        <w:rPr>
          <w:rFonts w:hint="eastAsia" w:ascii="宋体" w:hAnsi="宋体" w:eastAsia="宋体" w:cs="宋体"/>
          <w:color w:val="auto"/>
          <w:spacing w:val="10"/>
          <w:sz w:val="24"/>
          <w:szCs w:val="24"/>
          <w:lang w:eastAsia="zh-CN"/>
        </w:rPr>
        <w:t>中标</w:t>
      </w:r>
      <w:r>
        <w:rPr>
          <w:rFonts w:hint="eastAsia" w:ascii="宋体" w:hAnsi="宋体" w:eastAsia="宋体" w:cs="宋体"/>
          <w:color w:val="auto"/>
          <w:spacing w:val="10"/>
          <w:sz w:val="24"/>
          <w:szCs w:val="24"/>
        </w:rPr>
        <w:t xml:space="preserve">人名称：（盖章）                      </w:t>
      </w:r>
    </w:p>
    <w:p w14:paraId="7EB26F09">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p>
    <w:p w14:paraId="20BA8760">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法定代表人或委托代理人：（签章）    法定代表人或委托代理人：（签章） </w:t>
      </w:r>
    </w:p>
    <w:p w14:paraId="699EE272">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color w:val="auto"/>
          <w:spacing w:val="10"/>
          <w:sz w:val="24"/>
          <w:szCs w:val="24"/>
          <w:u w:val="single"/>
        </w:rPr>
      </w:pPr>
    </w:p>
    <w:p w14:paraId="33C29945">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szCs w:val="24"/>
          <w:highlight w:val="none"/>
        </w:rPr>
      </w:pP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年</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月</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日            </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年</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月</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日</w:t>
      </w:r>
      <w:r>
        <w:rPr>
          <w:rFonts w:hint="eastAsia"/>
          <w:szCs w:val="24"/>
          <w:highlight w:val="none"/>
        </w:rPr>
        <w:br w:type="page"/>
      </w:r>
    </w:p>
    <w:p w14:paraId="3ABDA371">
      <w:pPr>
        <w:pStyle w:val="3"/>
        <w:spacing w:line="560" w:lineRule="exact"/>
        <w:rPr>
          <w:rFonts w:ascii="宋体" w:hAnsi="宋体" w:eastAsia="宋体" w:cs="宋体"/>
          <w:sz w:val="21"/>
          <w:szCs w:val="21"/>
          <w:highlight w:val="none"/>
        </w:rPr>
      </w:pPr>
      <w:r>
        <w:rPr>
          <w:rFonts w:hint="eastAsia" w:ascii="宋体" w:hAnsi="宋体" w:eastAsia="宋体" w:cs="宋体"/>
          <w:sz w:val="32"/>
          <w:szCs w:val="32"/>
          <w:highlight w:val="none"/>
        </w:rPr>
        <w:t>第</w:t>
      </w:r>
      <w:r>
        <w:rPr>
          <w:rFonts w:hint="eastAsia" w:ascii="宋体" w:hAnsi="宋体" w:eastAsia="宋体" w:cs="宋体"/>
          <w:sz w:val="32"/>
          <w:szCs w:val="32"/>
          <w:highlight w:val="none"/>
          <w:lang w:val="en-US" w:eastAsia="zh-CN"/>
        </w:rPr>
        <w:t>六</w:t>
      </w:r>
      <w:r>
        <w:rPr>
          <w:rFonts w:hint="eastAsia" w:ascii="宋体" w:hAnsi="宋体" w:eastAsia="宋体" w:cs="宋体"/>
          <w:sz w:val="32"/>
          <w:szCs w:val="32"/>
          <w:highlight w:val="none"/>
        </w:rPr>
        <w:t>部分　投标相关文件格式</w:t>
      </w:r>
      <w:bookmarkEnd w:id="67"/>
      <w:bookmarkStart w:id="68" w:name="_Toc47756041"/>
      <w:bookmarkStart w:id="69" w:name="_Toc15813259"/>
      <w:bookmarkStart w:id="70" w:name="_Toc15805942"/>
      <w:bookmarkStart w:id="71" w:name="_Toc45506740"/>
    </w:p>
    <w:p w14:paraId="48F7ED22">
      <w:pPr>
        <w:pStyle w:val="4"/>
        <w:ind w:firstLine="0" w:firstLineChars="0"/>
        <w:jc w:val="center"/>
        <w:rPr>
          <w:rFonts w:ascii="宋体" w:hAnsi="宋体" w:eastAsia="宋体" w:cs="宋体"/>
          <w:sz w:val="24"/>
          <w:szCs w:val="24"/>
          <w:highlight w:val="none"/>
        </w:rPr>
      </w:pPr>
      <w:bookmarkStart w:id="72" w:name="_Toc43498237"/>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资格审查文件格式</w:t>
      </w:r>
      <w:bookmarkEnd w:id="72"/>
    </w:p>
    <w:p w14:paraId="1D3787E0">
      <w:pPr>
        <w:numPr>
          <w:ilvl w:val="0"/>
          <w:numId w:val="2"/>
        </w:numPr>
        <w:spacing w:line="360" w:lineRule="auto"/>
        <w:jc w:val="left"/>
        <w:rPr>
          <w:rFonts w:ascii="宋体" w:hAnsi="宋体" w:cs="宋体"/>
          <w:sz w:val="24"/>
          <w:szCs w:val="24"/>
          <w:highlight w:val="none"/>
        </w:rPr>
      </w:pPr>
      <w:bookmarkStart w:id="73" w:name="_Toc494555871"/>
      <w:bookmarkStart w:id="74" w:name="_Toc493956053"/>
      <w:bookmarkStart w:id="75" w:name="_Toc493956054"/>
      <w:bookmarkStart w:id="76" w:name="_Toc494555870"/>
      <w:bookmarkStart w:id="77" w:name="_Toc494555872"/>
      <w:bookmarkStart w:id="78" w:name="_Toc494555873"/>
      <w:bookmarkStart w:id="79" w:name="_Toc494555869"/>
      <w:bookmarkStart w:id="80" w:name="_Toc493956055"/>
      <w:r>
        <w:rPr>
          <w:rFonts w:hint="eastAsia" w:ascii="宋体" w:hAnsi="宋体" w:cs="宋体"/>
          <w:sz w:val="24"/>
          <w:szCs w:val="24"/>
          <w:highlight w:val="none"/>
        </w:rPr>
        <w:t>营业执照</w:t>
      </w:r>
    </w:p>
    <w:p w14:paraId="10B23DFD">
      <w:pPr>
        <w:numPr>
          <w:ilvl w:val="0"/>
          <w:numId w:val="2"/>
        </w:numPr>
        <w:spacing w:line="360" w:lineRule="auto"/>
        <w:ind w:left="0" w:leftChars="0" w:firstLine="0" w:firstLineChars="0"/>
        <w:jc w:val="left"/>
        <w:rPr>
          <w:rFonts w:hint="eastAsia" w:ascii="宋体" w:hAnsi="宋体" w:cs="宋体"/>
          <w:sz w:val="24"/>
          <w:szCs w:val="24"/>
          <w:highlight w:val="none"/>
        </w:rPr>
      </w:pPr>
      <w:r>
        <w:rPr>
          <w:rFonts w:hint="eastAsia" w:ascii="宋体" w:hAnsi="宋体" w:cs="宋体"/>
          <w:sz w:val="24"/>
          <w:szCs w:val="24"/>
          <w:highlight w:val="none"/>
        </w:rPr>
        <w:t>提供自招标公告发布之日起至响应截止日内任意时间的“信用中国”网站（www.creditchina.gov.cn）中国政府采购网（www.ccgp.gov.cn）信用查询网页截图。（以开标当日采购人或由采购人委托的评标委员会核实的查询结果为准）</w:t>
      </w:r>
    </w:p>
    <w:p w14:paraId="156FFE47">
      <w:pPr>
        <w:numPr>
          <w:ilvl w:val="0"/>
          <w:numId w:val="0"/>
        </w:numPr>
        <w:spacing w:line="360" w:lineRule="auto"/>
        <w:ind w:leftChars="0"/>
        <w:jc w:val="left"/>
        <w:rPr>
          <w:rFonts w:ascii="宋体" w:hAnsi="宋体" w:cs="宋体"/>
          <w:sz w:val="24"/>
          <w:szCs w:val="24"/>
          <w:highlight w:val="none"/>
        </w:rPr>
      </w:pPr>
      <w:r>
        <w:rPr>
          <w:rFonts w:hint="eastAsia" w:ascii="宋体" w:hAnsi="宋体" w:cs="宋体"/>
          <w:sz w:val="24"/>
          <w:szCs w:val="24"/>
          <w:highlight w:val="none"/>
        </w:rPr>
        <w:t>3、履约承诺函</w:t>
      </w:r>
    </w:p>
    <w:p w14:paraId="06BF4AC8">
      <w:pPr>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、无重大违法记录声明书</w:t>
      </w:r>
    </w:p>
    <w:p w14:paraId="433AC278">
      <w:pPr>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eastAsia="宋体" w:cs="宋体"/>
          <w:sz w:val="24"/>
          <w:szCs w:val="24"/>
          <w:highlight w:val="none"/>
          <w:lang w:val="en-US" w:eastAsia="zh-CN"/>
        </w:rPr>
        <w:t>法定代表人身份证明书</w:t>
      </w:r>
      <w:bookmarkEnd w:id="73"/>
      <w:bookmarkEnd w:id="74"/>
      <w:bookmarkEnd w:id="75"/>
      <w:bookmarkEnd w:id="76"/>
      <w:bookmarkEnd w:id="77"/>
      <w:bookmarkEnd w:id="78"/>
      <w:bookmarkEnd w:id="79"/>
      <w:bookmarkEnd w:id="80"/>
    </w:p>
    <w:p w14:paraId="470D3A08">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6、法定代表人授权委托书（若委托）</w:t>
      </w:r>
    </w:p>
    <w:p w14:paraId="46B50F09">
      <w:pPr>
        <w:spacing w:line="360" w:lineRule="auto"/>
        <w:rPr>
          <w:rFonts w:ascii="宋体" w:hAnsi="宋体" w:cs="宋体"/>
          <w:highlight w:val="none"/>
        </w:rPr>
      </w:pPr>
    </w:p>
    <w:p w14:paraId="47A8EFF3">
      <w:pPr>
        <w:spacing w:line="360" w:lineRule="auto"/>
        <w:rPr>
          <w:rFonts w:ascii="宋体" w:hAnsi="宋体" w:cs="宋体"/>
          <w:highlight w:val="none"/>
        </w:rPr>
        <w:sectPr>
          <w:pgSz w:w="11906" w:h="16838"/>
          <w:pgMar w:top="1361" w:right="1440" w:bottom="1361" w:left="1440" w:header="851" w:footer="992" w:gutter="0"/>
          <w:pgNumType w:fmt="decimal"/>
          <w:cols w:space="425" w:num="1"/>
          <w:titlePg/>
          <w:docGrid w:type="lines" w:linePitch="312" w:charSpace="0"/>
        </w:sectPr>
      </w:pPr>
    </w:p>
    <w:p w14:paraId="26F2FDE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1、营业执照</w:t>
      </w:r>
    </w:p>
    <w:p w14:paraId="187F086F">
      <w:pPr>
        <w:spacing w:line="360" w:lineRule="auto"/>
        <w:rPr>
          <w:rFonts w:hint="eastAsia" w:ascii="宋体" w:hAnsi="宋体" w:eastAsia="宋体" w:cs="宋体"/>
          <w:sz w:val="24"/>
          <w:szCs w:val="24"/>
          <w:highlight w:val="none"/>
        </w:rPr>
      </w:pPr>
    </w:p>
    <w:p w14:paraId="115EFAB6">
      <w:pPr>
        <w:spacing w:line="360" w:lineRule="auto"/>
        <w:rPr>
          <w:rFonts w:hint="eastAsia" w:ascii="宋体" w:hAnsi="宋体" w:eastAsia="宋体" w:cs="宋体"/>
          <w:sz w:val="24"/>
          <w:szCs w:val="24"/>
          <w:highlight w:val="none"/>
        </w:rPr>
      </w:pPr>
    </w:p>
    <w:p w14:paraId="56C508C9">
      <w:pPr>
        <w:spacing w:line="360" w:lineRule="auto"/>
        <w:rPr>
          <w:rFonts w:hint="eastAsia" w:ascii="宋体" w:hAnsi="宋体" w:eastAsia="宋体" w:cs="宋体"/>
          <w:sz w:val="24"/>
          <w:szCs w:val="24"/>
          <w:highlight w:val="none"/>
        </w:rPr>
      </w:pPr>
    </w:p>
    <w:p w14:paraId="095E564F">
      <w:pPr>
        <w:spacing w:line="360" w:lineRule="auto"/>
        <w:rPr>
          <w:rFonts w:hint="eastAsia" w:ascii="宋体" w:hAnsi="宋体" w:eastAsia="宋体" w:cs="宋体"/>
          <w:sz w:val="24"/>
          <w:szCs w:val="24"/>
          <w:highlight w:val="none"/>
        </w:rPr>
      </w:pPr>
    </w:p>
    <w:p w14:paraId="685F8B50">
      <w:pPr>
        <w:spacing w:line="360" w:lineRule="auto"/>
        <w:rPr>
          <w:rFonts w:hint="eastAsia" w:ascii="宋体" w:hAnsi="宋体" w:eastAsia="宋体" w:cs="宋体"/>
          <w:sz w:val="24"/>
          <w:szCs w:val="24"/>
          <w:highlight w:val="none"/>
        </w:rPr>
      </w:pPr>
    </w:p>
    <w:p w14:paraId="2D9A4E3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2、提供自招标公告发布之日起至响应截止日内任意时间的“信用中国”网站（www.creditchina.gov.cn）中国政府采购网（www.ccgp.gov.cn）信用查询网页截图。</w:t>
      </w:r>
    </w:p>
    <w:p w14:paraId="165536EA">
      <w:pPr>
        <w:spacing w:line="360" w:lineRule="auto"/>
        <w:jc w:val="center"/>
        <w:rPr>
          <w:rFonts w:hint="eastAsia" w:ascii="宋体" w:hAnsi="宋体" w:eastAsia="宋体" w:cs="宋体"/>
          <w:sz w:val="24"/>
          <w:szCs w:val="24"/>
          <w:highlight w:val="none"/>
        </w:rPr>
      </w:pPr>
    </w:p>
    <w:p w14:paraId="62409E3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3、履约承诺函</w:t>
      </w:r>
    </w:p>
    <w:p w14:paraId="7A338CE7">
      <w:pPr>
        <w:pStyle w:val="18"/>
        <w:numPr>
          <w:ilvl w:val="255"/>
          <w:numId w:val="0"/>
        </w:numPr>
        <w:spacing w:line="360" w:lineRule="auto"/>
        <w:jc w:val="center"/>
        <w:rPr>
          <w:rFonts w:hint="eastAsia" w:ascii="宋体" w:hAnsi="宋体" w:eastAsia="宋体" w:cs="宋体"/>
          <w:sz w:val="24"/>
          <w:szCs w:val="24"/>
          <w:highlight w:val="none"/>
        </w:rPr>
      </w:pPr>
    </w:p>
    <w:p w14:paraId="40440CA1">
      <w:pPr>
        <w:pStyle w:val="18"/>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（采购人名称）：</w:t>
      </w:r>
    </w:p>
    <w:p w14:paraId="0639792F">
      <w:pPr>
        <w:pStyle w:val="19"/>
        <w:spacing w:line="360" w:lineRule="auto"/>
        <w:ind w:firstLine="504"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贵公司组织的</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（采购项目名称）（采购编号：</w:t>
      </w:r>
      <w:r>
        <w:rPr>
          <w:rFonts w:hint="eastAsia" w:ascii="宋体" w:hAnsi="宋体" w:eastAsia="宋体" w:cs="宋体"/>
          <w:spacing w:val="6"/>
          <w:sz w:val="24"/>
          <w:szCs w:val="24"/>
          <w:highlight w:val="none"/>
          <w:u w:val="single"/>
        </w:rPr>
        <w:t>　　  　　</w:t>
      </w:r>
      <w:r>
        <w:rPr>
          <w:rFonts w:hint="eastAsia" w:ascii="宋体" w:hAnsi="宋体" w:eastAsia="宋体" w:cs="宋体"/>
          <w:spacing w:val="6"/>
          <w:sz w:val="24"/>
          <w:szCs w:val="24"/>
          <w:highlight w:val="none"/>
        </w:rPr>
        <w:t>）项目，</w:t>
      </w:r>
      <w:r>
        <w:rPr>
          <w:rFonts w:hint="eastAsia" w:ascii="宋体" w:hAnsi="宋体" w:eastAsia="宋体" w:cs="宋体"/>
          <w:sz w:val="24"/>
          <w:szCs w:val="24"/>
          <w:highlight w:val="none"/>
        </w:rPr>
        <w:t>我公司作为该项目的投标人，郑重承诺我公司按采购文件要求完成本项目</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rPr>
        <w:t>。</w:t>
      </w:r>
    </w:p>
    <w:p w14:paraId="5B278348">
      <w:pPr>
        <w:pStyle w:val="18"/>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本公司对上述承诺的真实性负责,并依法承担相应法律责任。</w:t>
      </w:r>
    </w:p>
    <w:p w14:paraId="22AEB635">
      <w:pPr>
        <w:pStyle w:val="19"/>
        <w:spacing w:after="120" w:line="360" w:lineRule="auto"/>
        <w:rPr>
          <w:rFonts w:hint="eastAsia" w:ascii="宋体" w:hAnsi="宋体" w:eastAsia="宋体" w:cs="宋体"/>
          <w:sz w:val="24"/>
          <w:szCs w:val="24"/>
          <w:highlight w:val="none"/>
        </w:rPr>
      </w:pPr>
    </w:p>
    <w:p w14:paraId="5139EBDE">
      <w:pPr>
        <w:pStyle w:val="10"/>
        <w:spacing w:line="360" w:lineRule="auto"/>
        <w:ind w:right="480" w:firstLine="2400" w:firstLineChars="1000"/>
        <w:rPr>
          <w:rFonts w:hint="eastAsia" w:ascii="宋体" w:hAnsi="宋体" w:eastAsia="宋体" w:cs="宋体"/>
          <w:sz w:val="24"/>
          <w:szCs w:val="24"/>
          <w:highlight w:val="none"/>
        </w:rPr>
      </w:pPr>
    </w:p>
    <w:p w14:paraId="4C48B7C6">
      <w:pPr>
        <w:pStyle w:val="10"/>
        <w:spacing w:line="360" w:lineRule="auto"/>
        <w:ind w:right="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投标人(公章)：</w:t>
      </w:r>
    </w:p>
    <w:p w14:paraId="547EC3FB">
      <w:pPr>
        <w:pStyle w:val="10"/>
        <w:wordWrap w:val="0"/>
        <w:spacing w:line="360" w:lineRule="auto"/>
        <w:ind w:right="480"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rPr>
        <w:t>日期：_____年____月____日</w:t>
      </w:r>
    </w:p>
    <w:p w14:paraId="0540B3FA">
      <w:pPr>
        <w:spacing w:line="360" w:lineRule="auto"/>
        <w:jc w:val="center"/>
        <w:rPr>
          <w:rFonts w:hint="eastAsia" w:ascii="宋体" w:hAnsi="宋体" w:eastAsia="宋体" w:cs="宋体"/>
          <w:sz w:val="24"/>
          <w:szCs w:val="24"/>
          <w:highlight w:val="none"/>
        </w:rPr>
      </w:pPr>
    </w:p>
    <w:p w14:paraId="3D9A764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429ED9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4、无重大违法记录声明书</w:t>
      </w:r>
    </w:p>
    <w:p w14:paraId="19D02042">
      <w:pPr>
        <w:pStyle w:val="20"/>
        <w:spacing w:line="440" w:lineRule="exact"/>
        <w:rPr>
          <w:rFonts w:hint="eastAsia" w:ascii="宋体" w:hAnsi="宋体" w:eastAsia="宋体" w:cs="宋体"/>
          <w:spacing w:val="6"/>
          <w:sz w:val="24"/>
          <w:szCs w:val="24"/>
          <w:highlight w:val="none"/>
          <w:u w:val="single"/>
        </w:rPr>
      </w:pPr>
      <w:r>
        <w:rPr>
          <w:rFonts w:hint="eastAsia" w:ascii="宋体" w:hAnsi="宋体" w:eastAsia="宋体" w:cs="宋体"/>
          <w:spacing w:val="6"/>
          <w:sz w:val="24"/>
          <w:szCs w:val="24"/>
          <w:highlight w:val="none"/>
          <w:u w:val="single"/>
        </w:rPr>
        <w:t>（采购人名称）：</w:t>
      </w:r>
    </w:p>
    <w:p w14:paraId="310F3D87">
      <w:pPr>
        <w:pStyle w:val="21"/>
        <w:spacing w:before="156" w:beforeLines="50" w:line="480" w:lineRule="auto"/>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我公司参与的</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rPr>
        <w:t>（采购项目名称）（采购编号：</w:t>
      </w:r>
      <w:r>
        <w:rPr>
          <w:rFonts w:hint="eastAsia" w:ascii="宋体" w:hAnsi="宋体" w:eastAsia="宋体" w:cs="宋体"/>
          <w:spacing w:val="6"/>
          <w:sz w:val="24"/>
          <w:szCs w:val="24"/>
          <w:highlight w:val="none"/>
          <w:u w:val="single"/>
        </w:rPr>
        <w:t>　　　　</w:t>
      </w:r>
      <w:r>
        <w:rPr>
          <w:rFonts w:hint="eastAsia" w:ascii="宋体" w:hAnsi="宋体" w:eastAsia="宋体" w:cs="宋体"/>
          <w:spacing w:val="6"/>
          <w:sz w:val="24"/>
          <w:szCs w:val="24"/>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3630423B">
      <w:pPr>
        <w:pStyle w:val="21"/>
        <w:spacing w:line="480" w:lineRule="auto"/>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ab/>
      </w:r>
      <w:r>
        <w:rPr>
          <w:rFonts w:hint="eastAsia" w:ascii="宋体" w:hAnsi="宋体" w:eastAsia="宋体" w:cs="宋体"/>
          <w:spacing w:val="6"/>
          <w:sz w:val="24"/>
          <w:szCs w:val="24"/>
          <w:highlight w:val="none"/>
        </w:rPr>
        <w:t>特此声明。</w:t>
      </w:r>
    </w:p>
    <w:p w14:paraId="0FD23CEB">
      <w:pPr>
        <w:pStyle w:val="22"/>
        <w:jc w:val="center"/>
        <w:rPr>
          <w:rFonts w:hint="eastAsia" w:ascii="宋体" w:hAnsi="宋体" w:eastAsia="宋体" w:cs="宋体"/>
          <w:sz w:val="24"/>
          <w:szCs w:val="24"/>
          <w:highlight w:val="none"/>
        </w:rPr>
      </w:pPr>
    </w:p>
    <w:p w14:paraId="4A907BBA">
      <w:pPr>
        <w:pStyle w:val="22"/>
        <w:jc w:val="center"/>
        <w:rPr>
          <w:rFonts w:hint="eastAsia" w:ascii="宋体" w:hAnsi="宋体" w:eastAsia="宋体" w:cs="宋体"/>
          <w:sz w:val="24"/>
          <w:szCs w:val="24"/>
          <w:highlight w:val="none"/>
        </w:rPr>
      </w:pPr>
    </w:p>
    <w:p w14:paraId="49576693">
      <w:pPr>
        <w:pStyle w:val="22"/>
        <w:jc w:val="center"/>
        <w:rPr>
          <w:rFonts w:hint="eastAsia" w:ascii="宋体" w:hAnsi="宋体" w:eastAsia="宋体" w:cs="宋体"/>
          <w:sz w:val="24"/>
          <w:szCs w:val="24"/>
          <w:highlight w:val="none"/>
        </w:rPr>
      </w:pPr>
    </w:p>
    <w:p w14:paraId="4F5BC5FA">
      <w:pPr>
        <w:pStyle w:val="10"/>
        <w:spacing w:line="360" w:lineRule="auto"/>
        <w:ind w:right="48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投标人(公章)：</w:t>
      </w:r>
      <w:r>
        <w:rPr>
          <w:rFonts w:hint="eastAsia" w:ascii="宋体" w:hAnsi="宋体" w:eastAsia="宋体" w:cs="宋体"/>
          <w:sz w:val="24"/>
          <w:szCs w:val="24"/>
          <w:highlight w:val="none"/>
          <w:u w:val="single"/>
        </w:rPr>
        <w:t xml:space="preserve">              </w:t>
      </w:r>
    </w:p>
    <w:p w14:paraId="250D5C62">
      <w:pPr>
        <w:pStyle w:val="10"/>
        <w:wordWrap w:val="0"/>
        <w:spacing w:line="360" w:lineRule="auto"/>
        <w:ind w:right="480"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rPr>
        <w:t>日期：_____年____月____日</w:t>
      </w:r>
    </w:p>
    <w:p w14:paraId="34B4580D">
      <w:pPr>
        <w:jc w:val="center"/>
        <w:rPr>
          <w:rFonts w:ascii="宋体" w:hAnsi="宋体" w:cs="宋体"/>
          <w:b/>
          <w:sz w:val="30"/>
          <w:szCs w:val="30"/>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lang w:val="en-US" w:eastAsia="zh-CN"/>
        </w:rPr>
        <w:t>5、法定代表人身份证明书</w:t>
      </w:r>
    </w:p>
    <w:p w14:paraId="564BCA3D">
      <w:pPr>
        <w:spacing w:line="440" w:lineRule="exact"/>
        <w:rPr>
          <w:rFonts w:ascii="宋体" w:hAnsi="宋体" w:cs="宋体"/>
          <w:sz w:val="24"/>
          <w:highlight w:val="none"/>
        </w:rPr>
      </w:pPr>
      <w:r>
        <w:rPr>
          <w:rFonts w:hint="eastAsia" w:ascii="宋体" w:hAnsi="宋体" w:cs="宋体"/>
          <w:sz w:val="24"/>
          <w:highlight w:val="none"/>
          <w:lang w:val="en-US" w:eastAsia="zh-CN"/>
        </w:rPr>
        <w:t>投 标 人</w:t>
      </w:r>
      <w:r>
        <w:rPr>
          <w:rFonts w:hint="eastAsia" w:ascii="宋体" w:hAnsi="宋体" w:cs="宋体"/>
          <w:sz w:val="24"/>
          <w:highlight w:val="none"/>
        </w:rPr>
        <w:t>：</w:t>
      </w:r>
    </w:p>
    <w:p w14:paraId="3DFDFBDF">
      <w:pPr>
        <w:spacing w:line="440" w:lineRule="exact"/>
        <w:rPr>
          <w:rFonts w:ascii="宋体" w:hAnsi="宋体" w:cs="宋体"/>
          <w:sz w:val="24"/>
          <w:highlight w:val="none"/>
        </w:rPr>
      </w:pPr>
      <w:r>
        <w:rPr>
          <w:rFonts w:hint="eastAsia" w:ascii="宋体" w:hAnsi="宋体" w:cs="宋体"/>
          <w:sz w:val="24"/>
          <w:highlight w:val="none"/>
        </w:rPr>
        <w:t>地    址：</w:t>
      </w:r>
    </w:p>
    <w:p w14:paraId="62DB662D">
      <w:pPr>
        <w:spacing w:line="440" w:lineRule="exact"/>
        <w:ind w:right="281" w:rightChars="134"/>
        <w:rPr>
          <w:rFonts w:ascii="宋体" w:hAnsi="宋体" w:cs="宋体"/>
          <w:sz w:val="24"/>
          <w:highlight w:val="none"/>
          <w:u w:val="single"/>
        </w:rPr>
      </w:pPr>
      <w:r>
        <w:rPr>
          <w:rFonts w:hint="eastAsia" w:ascii="宋体" w:hAnsi="宋体" w:cs="宋体"/>
          <w:sz w:val="24"/>
          <w:highlight w:val="none"/>
        </w:rPr>
        <w:t>姓    名：</w:t>
      </w:r>
    </w:p>
    <w:p w14:paraId="68D6D177">
      <w:pPr>
        <w:spacing w:line="440" w:lineRule="exact"/>
        <w:ind w:right="281" w:rightChars="134"/>
        <w:rPr>
          <w:rFonts w:ascii="宋体" w:hAnsi="宋体" w:cs="宋体"/>
          <w:sz w:val="24"/>
          <w:highlight w:val="none"/>
          <w:u w:val="single"/>
        </w:rPr>
      </w:pPr>
      <w:r>
        <w:rPr>
          <w:rFonts w:hint="eastAsia" w:ascii="宋体" w:hAnsi="宋体" w:cs="宋体"/>
          <w:sz w:val="24"/>
          <w:highlight w:val="none"/>
        </w:rPr>
        <w:t>身份证号码：</w:t>
      </w:r>
    </w:p>
    <w:p w14:paraId="16567D57">
      <w:pPr>
        <w:spacing w:line="440" w:lineRule="exact"/>
        <w:ind w:right="281" w:rightChars="134"/>
        <w:rPr>
          <w:rFonts w:ascii="宋体" w:hAnsi="宋体" w:cs="宋体"/>
          <w:sz w:val="24"/>
          <w:highlight w:val="none"/>
        </w:rPr>
      </w:pPr>
      <w:r>
        <w:rPr>
          <w:rFonts w:hint="eastAsia" w:ascii="宋体" w:hAnsi="宋体" w:cs="宋体"/>
          <w:sz w:val="24"/>
          <w:highlight w:val="none"/>
        </w:rPr>
        <w:t>职   务：</w:t>
      </w:r>
    </w:p>
    <w:p w14:paraId="56A061DC">
      <w:pPr>
        <w:spacing w:line="440" w:lineRule="exa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lang w:val="en-US" w:eastAsia="zh-CN"/>
        </w:rPr>
        <w:t>投标人</w:t>
      </w:r>
      <w:r>
        <w:rPr>
          <w:rFonts w:hint="eastAsia" w:ascii="宋体" w:hAnsi="宋体" w:cs="宋体"/>
          <w:sz w:val="24"/>
          <w:highlight w:val="none"/>
        </w:rPr>
        <w:t>）的法定代表人。</w:t>
      </w:r>
    </w:p>
    <w:p w14:paraId="6DC7A085">
      <w:pPr>
        <w:spacing w:line="440" w:lineRule="exact"/>
        <w:rPr>
          <w:rFonts w:ascii="宋体" w:hAnsi="宋体" w:cs="宋体"/>
          <w:sz w:val="24"/>
          <w:highlight w:val="none"/>
        </w:rPr>
      </w:pPr>
      <w:r>
        <w:rPr>
          <w:rFonts w:hint="eastAsia" w:ascii="宋体" w:hAnsi="宋体" w:cs="宋体"/>
          <w:sz w:val="24"/>
          <w:highlight w:val="none"/>
        </w:rPr>
        <w:t>特此证明。</w:t>
      </w:r>
    </w:p>
    <w:p w14:paraId="45947E78">
      <w:pPr>
        <w:pStyle w:val="13"/>
        <w:ind w:firstLine="560"/>
        <w:rPr>
          <w:rFonts w:ascii="宋体" w:hAnsi="宋体" w:cs="宋体"/>
          <w:highlight w:val="none"/>
        </w:rPr>
      </w:pPr>
    </w:p>
    <w:tbl>
      <w:tblPr>
        <w:tblStyle w:val="14"/>
        <w:tblW w:w="7847" w:type="dxa"/>
        <w:jc w:val="center"/>
        <w:tblLayout w:type="fixed"/>
        <w:tblCellMar>
          <w:top w:w="0" w:type="dxa"/>
          <w:left w:w="108" w:type="dxa"/>
          <w:bottom w:w="0" w:type="dxa"/>
          <w:right w:w="108" w:type="dxa"/>
        </w:tblCellMar>
      </w:tblPr>
      <w:tblGrid>
        <w:gridCol w:w="7847"/>
      </w:tblGrid>
      <w:tr w14:paraId="79741BFB">
        <w:tblPrEx>
          <w:tblCellMar>
            <w:top w:w="0" w:type="dxa"/>
            <w:left w:w="108" w:type="dxa"/>
            <w:bottom w:w="0" w:type="dxa"/>
            <w:right w:w="108" w:type="dxa"/>
          </w:tblCellMar>
        </w:tblPrEx>
        <w:trPr>
          <w:trHeight w:val="3361" w:hRule="atLeast"/>
          <w:jc w:val="center"/>
        </w:trPr>
        <w:tc>
          <w:tcPr>
            <w:tcW w:w="7847" w:type="dxa"/>
            <w:tcBorders>
              <w:top w:val="dashed" w:color="000000" w:sz="4" w:space="0"/>
              <w:left w:val="dashed" w:color="000000" w:sz="4" w:space="0"/>
              <w:bottom w:val="dashed" w:color="000000" w:sz="4" w:space="0"/>
              <w:right w:val="dashed" w:color="000000" w:sz="4" w:space="0"/>
            </w:tcBorders>
            <w:vAlign w:val="center"/>
          </w:tcPr>
          <w:p w14:paraId="6C59BBF9">
            <w:pPr>
              <w:widowControl/>
              <w:jc w:val="center"/>
              <w:rPr>
                <w:rFonts w:ascii="宋体" w:hAnsi="宋体" w:cs="宋体"/>
                <w:kern w:val="0"/>
                <w:sz w:val="24"/>
                <w:highlight w:val="none"/>
              </w:rPr>
            </w:pPr>
            <w:r>
              <w:rPr>
                <w:rFonts w:hint="eastAsia" w:ascii="宋体" w:hAnsi="宋体" w:cs="宋体"/>
                <w:kern w:val="0"/>
                <w:sz w:val="24"/>
                <w:highlight w:val="none"/>
              </w:rPr>
              <w:t>法定代表人身份证复印件（正反面）粘贴处</w:t>
            </w:r>
          </w:p>
        </w:tc>
      </w:tr>
    </w:tbl>
    <w:p w14:paraId="4BA9A277">
      <w:pPr>
        <w:pStyle w:val="13"/>
        <w:ind w:firstLine="560"/>
        <w:rPr>
          <w:rFonts w:ascii="宋体" w:hAnsi="宋体" w:cs="宋体"/>
          <w:highlight w:val="none"/>
        </w:rPr>
      </w:pPr>
    </w:p>
    <w:p w14:paraId="6F06A0F8">
      <w:pPr>
        <w:spacing w:line="440" w:lineRule="exact"/>
        <w:rPr>
          <w:rFonts w:ascii="宋体" w:hAnsi="宋体" w:cs="宋体"/>
          <w:sz w:val="24"/>
          <w:highlight w:val="none"/>
        </w:rPr>
      </w:pPr>
    </w:p>
    <w:p w14:paraId="5C65EFE2">
      <w:pPr>
        <w:spacing w:line="440" w:lineRule="exact"/>
        <w:rPr>
          <w:rFonts w:ascii="宋体" w:hAnsi="宋体" w:cs="宋体"/>
          <w:sz w:val="24"/>
          <w:highlight w:val="none"/>
        </w:rPr>
      </w:pPr>
      <w:r>
        <w:rPr>
          <w:rFonts w:hint="eastAsia" w:ascii="宋体" w:hAnsi="宋体" w:cs="宋体"/>
          <w:sz w:val="24"/>
          <w:highlight w:val="none"/>
          <w:lang w:val="en-US" w:eastAsia="zh-CN"/>
        </w:rPr>
        <w:t>投标人</w:t>
      </w:r>
      <w:r>
        <w:rPr>
          <w:rFonts w:hint="eastAsia" w:ascii="宋体" w:hAnsi="宋体" w:cs="宋体"/>
          <w:sz w:val="24"/>
          <w:highlight w:val="none"/>
        </w:rPr>
        <w:t>（</w:t>
      </w:r>
      <w:r>
        <w:rPr>
          <w:rFonts w:hint="eastAsia" w:ascii="宋体" w:hAnsi="宋体" w:cs="宋体"/>
          <w:sz w:val="24"/>
          <w:highlight w:val="none"/>
          <w:lang w:val="en-US" w:eastAsia="zh-CN"/>
        </w:rPr>
        <w:t>公章</w:t>
      </w:r>
      <w:r>
        <w:rPr>
          <w:rFonts w:hint="eastAsia" w:ascii="宋体" w:hAnsi="宋体" w:cs="宋体"/>
          <w:sz w:val="24"/>
          <w:highlight w:val="none"/>
        </w:rPr>
        <w:t xml:space="preserve">）： </w:t>
      </w:r>
    </w:p>
    <w:p w14:paraId="1A56813D">
      <w:pPr>
        <w:spacing w:line="440" w:lineRule="exact"/>
        <w:ind w:right="480"/>
        <w:rPr>
          <w:rFonts w:ascii="宋体" w:hAnsi="宋体" w:cs="宋体"/>
          <w:sz w:val="24"/>
          <w:highlight w:val="none"/>
        </w:rPr>
      </w:pPr>
    </w:p>
    <w:p w14:paraId="60CC3BA8">
      <w:pPr>
        <w:spacing w:line="440" w:lineRule="exact"/>
        <w:ind w:right="720"/>
        <w:jc w:val="both"/>
        <w:rPr>
          <w:rFonts w:ascii="宋体" w:hAnsi="宋体" w:cs="宋体"/>
          <w:sz w:val="24"/>
          <w:highlight w:val="none"/>
        </w:rPr>
      </w:pPr>
      <w:r>
        <w:rPr>
          <w:rFonts w:hint="eastAsia" w:ascii="宋体" w:hAnsi="宋体" w:cs="宋体"/>
          <w:sz w:val="24"/>
          <w:highlight w:val="none"/>
          <w:lang w:val="en-US" w:eastAsia="zh-CN"/>
        </w:rPr>
        <w:t>日期：</w:t>
      </w:r>
      <w:r>
        <w:rPr>
          <w:rFonts w:hint="eastAsia" w:ascii="宋体" w:hAnsi="宋体" w:cs="宋体"/>
          <w:sz w:val="24"/>
          <w:highlight w:val="none"/>
        </w:rPr>
        <w:t>年  月  日</w:t>
      </w:r>
    </w:p>
    <w:p w14:paraId="446ACB8E">
      <w:pPr>
        <w:pStyle w:val="13"/>
        <w:ind w:left="0" w:leftChars="0" w:firstLine="0" w:firstLineChars="0"/>
        <w:rPr>
          <w:rFonts w:ascii="宋体" w:hAnsi="宋体" w:cs="宋体"/>
          <w:highlight w:val="none"/>
        </w:rPr>
      </w:pPr>
    </w:p>
    <w:p w14:paraId="67ACCD06">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4F1A70D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6、法定代表人授权委托书（若委托） </w:t>
      </w:r>
    </w:p>
    <w:p w14:paraId="0E6A07B7">
      <w:pPr>
        <w:jc w:val="center"/>
        <w:rPr>
          <w:rFonts w:ascii="宋体" w:hAnsi="宋体" w:cs="宋体"/>
          <w:b/>
          <w:sz w:val="24"/>
          <w:highlight w:val="none"/>
        </w:rPr>
      </w:pPr>
    </w:p>
    <w:p w14:paraId="1E8539E4">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本授权委托书声明：我(姓名)系（</w:t>
      </w:r>
      <w:r>
        <w:rPr>
          <w:rFonts w:hint="eastAsia" w:ascii="宋体" w:hAnsi="宋体" w:cs="宋体"/>
          <w:sz w:val="24"/>
          <w:highlight w:val="none"/>
          <w:lang w:val="en-US" w:eastAsia="zh-CN"/>
        </w:rPr>
        <w:t>投标人</w:t>
      </w:r>
      <w:r>
        <w:rPr>
          <w:rFonts w:hint="eastAsia" w:ascii="宋体" w:hAnsi="宋体" w:cs="宋体"/>
          <w:sz w:val="24"/>
          <w:highlight w:val="none"/>
        </w:rPr>
        <w:t>）的法定代表人，现授权委托（单位名称）的（姓名）为我公司授权代表，</w:t>
      </w:r>
      <w:r>
        <w:rPr>
          <w:rFonts w:hint="eastAsia" w:ascii="宋体" w:hAnsi="宋体" w:cs="宋体"/>
          <w:sz w:val="24"/>
          <w:highlight w:val="none"/>
          <w:u w:val="single"/>
        </w:rPr>
        <w:t>身份证号码</w:t>
      </w:r>
      <w:r>
        <w:rPr>
          <w:rFonts w:hint="eastAsia" w:ascii="宋体" w:hAnsi="宋体" w:cs="宋体"/>
          <w:sz w:val="24"/>
          <w:highlight w:val="none"/>
        </w:rPr>
        <w:t>。以本公司的名义参加（采购人）组织的</w:t>
      </w:r>
      <w:r>
        <w:rPr>
          <w:rFonts w:hint="eastAsia" w:ascii="宋体" w:hAnsi="宋体" w:cs="宋体"/>
          <w:sz w:val="24"/>
          <w:highlight w:val="none"/>
          <w:u w:val="single"/>
        </w:rPr>
        <w:t xml:space="preserve">         项目</w:t>
      </w:r>
      <w:r>
        <w:rPr>
          <w:rFonts w:hint="eastAsia" w:ascii="宋体" w:hAnsi="宋体" w:cs="宋体"/>
          <w:sz w:val="24"/>
          <w:highlight w:val="none"/>
        </w:rPr>
        <w:t>采购活动。授权代表在磋商、评审、合同谈判过程中所签署的一切文件和处理与之有关的一切事务，我均予以承认。</w:t>
      </w:r>
    </w:p>
    <w:p w14:paraId="50E1E4FA">
      <w:pPr>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在撤销授权的书面通知以前，本授权书一直有效。全权代表在授权书有效期内签署的所有文件不因授权的撤销而失效。</w:t>
      </w:r>
    </w:p>
    <w:p w14:paraId="110C99E4">
      <w:pPr>
        <w:spacing w:line="560" w:lineRule="exact"/>
        <w:ind w:firstLine="480" w:firstLineChars="200"/>
        <w:rPr>
          <w:rFonts w:ascii="宋体" w:hAnsi="宋体" w:cs="宋体"/>
          <w:sz w:val="24"/>
          <w:highlight w:val="none"/>
        </w:rPr>
      </w:pPr>
      <w:r>
        <w:rPr>
          <w:rFonts w:hint="eastAsia" w:ascii="宋体" w:hAnsi="宋体" w:cs="宋体"/>
          <w:sz w:val="24"/>
          <w:highlight w:val="none"/>
        </w:rPr>
        <w:t>授权代表无转委托权。特此委托。</w:t>
      </w:r>
    </w:p>
    <w:p w14:paraId="2AD53BC6">
      <w:pPr>
        <w:spacing w:line="360" w:lineRule="exact"/>
        <w:rPr>
          <w:rFonts w:ascii="宋体" w:hAnsi="宋体" w:cs="宋体"/>
          <w:sz w:val="24"/>
          <w:highlight w:val="none"/>
        </w:rPr>
      </w:pPr>
      <w:r>
        <w:rPr>
          <w:rFonts w:hint="eastAsia" w:ascii="宋体" w:hAnsi="宋体" w:cs="宋体"/>
          <w:sz w:val="24"/>
          <w:highlight w:val="none"/>
        </w:rPr>
        <w:t>授权代表姓名：              性别：               年龄：</w:t>
      </w:r>
    </w:p>
    <w:p w14:paraId="30F9AF0D">
      <w:pPr>
        <w:spacing w:line="360" w:lineRule="exact"/>
        <w:rPr>
          <w:rFonts w:ascii="宋体" w:hAnsi="宋体" w:cs="宋体"/>
          <w:sz w:val="24"/>
          <w:highlight w:val="none"/>
        </w:rPr>
      </w:pPr>
    </w:p>
    <w:p w14:paraId="05C55675">
      <w:pPr>
        <w:spacing w:line="360" w:lineRule="exact"/>
        <w:rPr>
          <w:rFonts w:ascii="宋体" w:hAnsi="宋体" w:cs="宋体"/>
          <w:sz w:val="24"/>
          <w:highlight w:val="none"/>
        </w:rPr>
      </w:pPr>
      <w:r>
        <w:rPr>
          <w:rFonts w:hint="eastAsia" w:ascii="宋体" w:hAnsi="宋体" w:cs="宋体"/>
          <w:sz w:val="24"/>
          <w:highlight w:val="none"/>
        </w:rPr>
        <w:t>单位：                      部门：               职务：</w:t>
      </w:r>
    </w:p>
    <w:p w14:paraId="2DC6BB80">
      <w:pPr>
        <w:spacing w:line="360" w:lineRule="exact"/>
        <w:rPr>
          <w:rFonts w:ascii="宋体" w:hAnsi="宋体" w:cs="宋体"/>
          <w:sz w:val="24"/>
          <w:highlight w:val="none"/>
        </w:rPr>
      </w:pPr>
    </w:p>
    <w:p w14:paraId="18C47657">
      <w:pPr>
        <w:widowControl/>
        <w:snapToGrid w:val="0"/>
        <w:spacing w:line="440" w:lineRule="exact"/>
        <w:rPr>
          <w:rFonts w:ascii="宋体" w:hAnsi="宋体" w:cs="宋体"/>
          <w:kern w:val="0"/>
          <w:sz w:val="24"/>
          <w:highlight w:val="none"/>
        </w:rPr>
      </w:pPr>
      <w:r>
        <w:rPr>
          <w:rFonts w:hint="eastAsia" w:ascii="宋体" w:hAnsi="宋体" w:cs="宋体"/>
          <w:kern w:val="0"/>
          <w:sz w:val="24"/>
          <w:highlight w:val="none"/>
        </w:rPr>
        <w:t>办公地址：                  联系电话：           传真：</w:t>
      </w:r>
    </w:p>
    <w:p w14:paraId="7A4FD1F8">
      <w:pPr>
        <w:pStyle w:val="13"/>
        <w:ind w:firstLine="560"/>
        <w:rPr>
          <w:rFonts w:ascii="宋体" w:hAnsi="宋体" w:cs="宋体"/>
          <w:highlight w:val="none"/>
        </w:rPr>
      </w:pPr>
    </w:p>
    <w:tbl>
      <w:tblPr>
        <w:tblStyle w:val="14"/>
        <w:tblW w:w="7549" w:type="dxa"/>
        <w:jc w:val="center"/>
        <w:tblLayout w:type="fixed"/>
        <w:tblCellMar>
          <w:top w:w="0" w:type="dxa"/>
          <w:left w:w="108" w:type="dxa"/>
          <w:bottom w:w="0" w:type="dxa"/>
          <w:right w:w="108" w:type="dxa"/>
        </w:tblCellMar>
      </w:tblPr>
      <w:tblGrid>
        <w:gridCol w:w="7549"/>
      </w:tblGrid>
      <w:tr w14:paraId="2A2A4F0B">
        <w:tblPrEx>
          <w:tblCellMar>
            <w:top w:w="0" w:type="dxa"/>
            <w:left w:w="108" w:type="dxa"/>
            <w:bottom w:w="0" w:type="dxa"/>
            <w:right w:w="108" w:type="dxa"/>
          </w:tblCellMar>
        </w:tblPrEx>
        <w:trPr>
          <w:trHeight w:val="3361" w:hRule="atLeast"/>
          <w:jc w:val="center"/>
        </w:trPr>
        <w:tc>
          <w:tcPr>
            <w:tcW w:w="7549" w:type="dxa"/>
            <w:tcBorders>
              <w:top w:val="dashed" w:color="000000" w:sz="4" w:space="0"/>
              <w:left w:val="dashed" w:color="000000" w:sz="4" w:space="0"/>
              <w:bottom w:val="dashed" w:color="000000" w:sz="4" w:space="0"/>
              <w:right w:val="dashed" w:color="000000" w:sz="4" w:space="0"/>
            </w:tcBorders>
            <w:vAlign w:val="center"/>
          </w:tcPr>
          <w:p w14:paraId="14C59367">
            <w:pPr>
              <w:widowControl/>
              <w:jc w:val="center"/>
              <w:rPr>
                <w:rFonts w:ascii="宋体" w:hAnsi="宋体" w:cs="宋体"/>
                <w:kern w:val="0"/>
                <w:sz w:val="24"/>
                <w:highlight w:val="none"/>
              </w:rPr>
            </w:pPr>
            <w:r>
              <w:rPr>
                <w:rFonts w:hint="eastAsia" w:ascii="宋体" w:hAnsi="宋体" w:cs="宋体"/>
                <w:kern w:val="0"/>
                <w:sz w:val="24"/>
                <w:highlight w:val="none"/>
              </w:rPr>
              <w:t>授权代表身份证复印件（正反面）粘贴处</w:t>
            </w:r>
          </w:p>
        </w:tc>
      </w:tr>
    </w:tbl>
    <w:p w14:paraId="0B6D288B">
      <w:pPr>
        <w:spacing w:line="360" w:lineRule="exact"/>
        <w:rPr>
          <w:rFonts w:ascii="宋体" w:hAnsi="宋体" w:cs="宋体"/>
          <w:sz w:val="24"/>
          <w:highlight w:val="none"/>
        </w:rPr>
      </w:pPr>
    </w:p>
    <w:p w14:paraId="4BED7442">
      <w:pPr>
        <w:spacing w:line="360" w:lineRule="exact"/>
        <w:rPr>
          <w:rFonts w:ascii="宋体" w:hAnsi="宋体" w:cs="宋体"/>
          <w:sz w:val="24"/>
          <w:highlight w:val="none"/>
        </w:rPr>
      </w:pPr>
      <w:r>
        <w:rPr>
          <w:rFonts w:hint="eastAsia" w:ascii="宋体" w:hAnsi="宋体" w:cs="宋体"/>
          <w:sz w:val="24"/>
          <w:highlight w:val="none"/>
          <w:lang w:val="en-US" w:eastAsia="zh-CN"/>
        </w:rPr>
        <w:t>投标人</w:t>
      </w:r>
      <w:r>
        <w:rPr>
          <w:rFonts w:hint="eastAsia" w:ascii="宋体" w:hAnsi="宋体" w:cs="宋体"/>
          <w:sz w:val="24"/>
          <w:highlight w:val="none"/>
        </w:rPr>
        <w:t>（</w:t>
      </w:r>
      <w:r>
        <w:rPr>
          <w:rFonts w:hint="eastAsia" w:ascii="宋体" w:hAnsi="宋体" w:cs="宋体"/>
          <w:sz w:val="24"/>
          <w:highlight w:val="none"/>
          <w:lang w:val="en-US" w:eastAsia="zh-CN"/>
        </w:rPr>
        <w:t>公章</w:t>
      </w:r>
      <w:r>
        <w:rPr>
          <w:rFonts w:hint="eastAsia" w:ascii="宋体" w:hAnsi="宋体" w:cs="宋体"/>
          <w:sz w:val="24"/>
          <w:highlight w:val="none"/>
        </w:rPr>
        <w:t>）：</w:t>
      </w:r>
    </w:p>
    <w:p w14:paraId="56ADDC88">
      <w:pPr>
        <w:spacing w:line="360" w:lineRule="exact"/>
        <w:rPr>
          <w:rFonts w:ascii="宋体" w:hAnsi="宋体" w:cs="宋体"/>
          <w:sz w:val="24"/>
          <w:highlight w:val="none"/>
        </w:rPr>
      </w:pPr>
    </w:p>
    <w:p w14:paraId="673B77DF">
      <w:pPr>
        <w:spacing w:line="360" w:lineRule="exact"/>
        <w:rPr>
          <w:rFonts w:ascii="宋体" w:hAnsi="宋体" w:cs="宋体"/>
          <w:sz w:val="24"/>
          <w:highlight w:val="none"/>
        </w:rPr>
      </w:pPr>
      <w:r>
        <w:rPr>
          <w:rFonts w:hint="eastAsia" w:ascii="宋体" w:hAnsi="宋体" w:cs="宋体"/>
          <w:sz w:val="24"/>
          <w:highlight w:val="none"/>
        </w:rPr>
        <w:t>法定代表人（签字或盖章）：</w:t>
      </w:r>
    </w:p>
    <w:p w14:paraId="197CD542">
      <w:pPr>
        <w:spacing w:line="360" w:lineRule="exact"/>
        <w:rPr>
          <w:rFonts w:ascii="宋体" w:hAnsi="宋体" w:cs="宋体"/>
          <w:sz w:val="24"/>
          <w:highlight w:val="none"/>
        </w:rPr>
      </w:pPr>
    </w:p>
    <w:p w14:paraId="3EFAD52B">
      <w:pPr>
        <w:numPr>
          <w:ilvl w:val="0"/>
          <w:numId w:val="0"/>
        </w:numPr>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highlight w:val="none"/>
        </w:rPr>
        <w:t>日期：    年   月   日</w:t>
      </w:r>
    </w:p>
    <w:p w14:paraId="399871BF">
      <w:pPr>
        <w:pStyle w:val="10"/>
        <w:wordWrap w:val="0"/>
        <w:spacing w:line="360" w:lineRule="auto"/>
        <w:ind w:right="480" w:firstLine="482" w:firstLineChars="20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上述格式中的“法定代表人签字或盖章”，投标人通过</w:t>
      </w:r>
      <w:r>
        <w:rPr>
          <w:rFonts w:hint="eastAsia" w:ascii="宋体" w:hAnsi="宋体" w:eastAsia="宋体" w:cs="宋体"/>
          <w:b/>
          <w:sz w:val="24"/>
          <w:szCs w:val="24"/>
          <w:highlight w:val="none"/>
          <w:lang w:val="en-US" w:eastAsia="zh-CN"/>
        </w:rPr>
        <w:t>乐采云</w:t>
      </w:r>
      <w:r>
        <w:rPr>
          <w:rFonts w:hint="eastAsia" w:ascii="宋体" w:hAnsi="宋体" w:eastAsia="宋体" w:cs="宋体"/>
          <w:b/>
          <w:sz w:val="24"/>
          <w:szCs w:val="24"/>
          <w:highlight w:val="none"/>
        </w:rPr>
        <w:t>平台电子投标工具无法完成的，可以采用纸质签字完成后再扫描上传</w:t>
      </w:r>
      <w:r>
        <w:rPr>
          <w:rFonts w:hint="eastAsia" w:ascii="宋体" w:hAnsi="宋体" w:eastAsia="宋体" w:cs="宋体"/>
          <w:b/>
          <w:sz w:val="24"/>
          <w:szCs w:val="24"/>
          <w:highlight w:val="none"/>
          <w:lang w:val="en-US" w:eastAsia="zh-CN"/>
        </w:rPr>
        <w:t>乐采云</w:t>
      </w:r>
      <w:r>
        <w:rPr>
          <w:rFonts w:hint="eastAsia" w:ascii="宋体" w:hAnsi="宋体" w:eastAsia="宋体" w:cs="宋体"/>
          <w:b/>
          <w:sz w:val="24"/>
          <w:szCs w:val="24"/>
          <w:highlight w:val="none"/>
        </w:rPr>
        <w:t>平台电子投标工具。</w:t>
      </w:r>
      <w:r>
        <w:rPr>
          <w:rFonts w:hint="eastAsia" w:ascii="宋体" w:hAnsi="宋体" w:eastAsia="宋体" w:cs="宋体"/>
          <w:sz w:val="24"/>
          <w:szCs w:val="24"/>
          <w:highlight w:val="none"/>
        </w:rPr>
        <w:br w:type="page"/>
      </w:r>
    </w:p>
    <w:p w14:paraId="234F14DD">
      <w:pPr>
        <w:pStyle w:val="4"/>
        <w:ind w:firstLine="2184" w:firstLineChars="1040"/>
        <w:rPr>
          <w:rFonts w:hint="eastAsia" w:ascii="宋体" w:hAnsi="宋体" w:eastAsia="宋体" w:cs="宋体"/>
          <w:b w:val="0"/>
          <w:bCs w:val="0"/>
          <w:sz w:val="24"/>
          <w:szCs w:val="24"/>
          <w:highlight w:val="none"/>
        </w:rPr>
      </w:pPr>
      <w:bookmarkStart w:id="81" w:name="_Toc43498238"/>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4"/>
          <w:szCs w:val="24"/>
          <w:highlight w:val="none"/>
        </w:rPr>
        <w:t xml:space="preserve"> </w:t>
      </w:r>
      <w:r>
        <w:rPr>
          <w:rFonts w:hint="eastAsia" w:ascii="宋体" w:hAnsi="宋体" w:eastAsia="宋体" w:cs="宋体"/>
          <w:kern w:val="0"/>
          <w:sz w:val="24"/>
          <w:szCs w:val="24"/>
          <w:highlight w:val="none"/>
        </w:rPr>
        <w:t>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商务技术文件</w:t>
      </w:r>
      <w:bookmarkEnd w:id="81"/>
      <w:r>
        <w:rPr>
          <w:rFonts w:hint="eastAsia" w:ascii="宋体" w:hAnsi="宋体" w:eastAsia="宋体" w:cs="宋体"/>
          <w:kern w:val="0"/>
          <w:sz w:val="24"/>
          <w:szCs w:val="24"/>
          <w:highlight w:val="none"/>
        </w:rPr>
        <w:t>格式</w:t>
      </w:r>
    </w:p>
    <w:bookmarkEnd w:id="68"/>
    <w:bookmarkEnd w:id="69"/>
    <w:bookmarkEnd w:id="70"/>
    <w:bookmarkEnd w:id="71"/>
    <w:p w14:paraId="42131C92">
      <w:pPr>
        <w:spacing w:line="360" w:lineRule="auto"/>
        <w:jc w:val="left"/>
        <w:rPr>
          <w:rFonts w:hint="eastAsia" w:ascii="宋体" w:hAnsi="宋体" w:eastAsia="宋体" w:cs="宋体"/>
          <w:sz w:val="24"/>
          <w:szCs w:val="24"/>
          <w:highlight w:val="none"/>
        </w:rPr>
      </w:pPr>
      <w:bookmarkStart w:id="82" w:name="_Toc493956059"/>
      <w:bookmarkStart w:id="83" w:name="_Toc494555875"/>
      <w:bookmarkStart w:id="84" w:name="_Toc493956064"/>
      <w:bookmarkStart w:id="85" w:name="_Toc494555879"/>
      <w:bookmarkStart w:id="86" w:name="_Toc494555877"/>
      <w:bookmarkStart w:id="87" w:name="_Toc494555880"/>
      <w:bookmarkStart w:id="88" w:name="_Toc493956062"/>
      <w:bookmarkStart w:id="89" w:name="_Toc494555876"/>
      <w:bookmarkStart w:id="90" w:name="_Toc493956065"/>
      <w:bookmarkStart w:id="91" w:name="_Toc493956060"/>
      <w:bookmarkStart w:id="92" w:name="_Toc69635465"/>
      <w:r>
        <w:rPr>
          <w:rFonts w:hint="eastAsia" w:ascii="宋体" w:hAnsi="宋体" w:eastAsia="宋体" w:cs="宋体"/>
          <w:sz w:val="24"/>
          <w:szCs w:val="24"/>
          <w:highlight w:val="none"/>
        </w:rPr>
        <w:t>1、自评分表（格式自拟）</w:t>
      </w:r>
    </w:p>
    <w:p w14:paraId="35585F58">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2、投标声明书</w:t>
      </w:r>
      <w:bookmarkEnd w:id="82"/>
      <w:bookmarkEnd w:id="83"/>
    </w:p>
    <w:p w14:paraId="0E351949">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End w:id="84"/>
      <w:bookmarkEnd w:id="85"/>
      <w:bookmarkEnd w:id="86"/>
      <w:bookmarkEnd w:id="87"/>
      <w:bookmarkEnd w:id="88"/>
      <w:bookmarkEnd w:id="89"/>
      <w:bookmarkEnd w:id="90"/>
      <w:bookmarkEnd w:id="91"/>
      <w:r>
        <w:rPr>
          <w:rFonts w:hint="eastAsia" w:ascii="宋体" w:hAnsi="宋体" w:eastAsia="宋体" w:cs="宋体"/>
          <w:sz w:val="24"/>
          <w:szCs w:val="24"/>
          <w:highlight w:val="none"/>
        </w:rPr>
        <w:t>根据评分表及项目需求情况，自行添加相关表格及资料</w:t>
      </w:r>
    </w:p>
    <w:p w14:paraId="7EFBA87A">
      <w:pPr>
        <w:spacing w:line="360" w:lineRule="auto"/>
        <w:jc w:val="left"/>
        <w:rPr>
          <w:rFonts w:hint="eastAsia" w:ascii="宋体" w:hAnsi="宋体" w:eastAsia="宋体" w:cs="宋体"/>
          <w:sz w:val="24"/>
          <w:szCs w:val="24"/>
          <w:highlight w:val="none"/>
        </w:rPr>
      </w:pPr>
    </w:p>
    <w:p w14:paraId="6A52CE88">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32731894">
      <w:pPr>
        <w:widowControl/>
        <w:jc w:val="center"/>
        <w:rPr>
          <w:rFonts w:hint="eastAsia" w:ascii="宋体" w:hAnsi="宋体" w:eastAsia="宋体" w:cs="宋体"/>
          <w:sz w:val="24"/>
          <w:szCs w:val="24"/>
          <w:highlight w:val="none"/>
        </w:rPr>
      </w:pPr>
      <w:bookmarkStart w:id="93" w:name="_Toc43498239"/>
      <w:r>
        <w:rPr>
          <w:rFonts w:hint="eastAsia" w:ascii="宋体" w:hAnsi="宋体" w:eastAsia="宋体" w:cs="宋体"/>
          <w:b/>
          <w:bCs/>
          <w:sz w:val="24"/>
          <w:szCs w:val="24"/>
          <w:highlight w:val="none"/>
        </w:rPr>
        <w:t>1、投标声明书</w:t>
      </w:r>
    </w:p>
    <w:p w14:paraId="3475130C">
      <w:pPr>
        <w:pStyle w:val="20"/>
        <w:spacing w:before="62" w:after="62" w:line="44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（采购人名称）：</w:t>
      </w:r>
    </w:p>
    <w:p w14:paraId="4202F846">
      <w:pPr>
        <w:pStyle w:val="23"/>
        <w:spacing w:line="440" w:lineRule="exact"/>
        <w:ind w:firstLine="72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(投标人全称</w:t>
      </w:r>
      <w:r>
        <w:rPr>
          <w:rFonts w:hint="eastAsia" w:ascii="宋体" w:hAnsi="宋体" w:eastAsia="宋体" w:cs="宋体"/>
          <w:sz w:val="24"/>
          <w:szCs w:val="24"/>
          <w:highlight w:val="none"/>
        </w:rPr>
        <w:t>)系中华人民共和国合法企业，经营址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42589C95">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(法定代表人或负责人名字)</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(投标人名称)       </w:t>
      </w:r>
      <w:r>
        <w:rPr>
          <w:rFonts w:hint="eastAsia" w:ascii="宋体" w:hAnsi="宋体" w:eastAsia="宋体" w:cs="宋体"/>
          <w:sz w:val="24"/>
          <w:szCs w:val="24"/>
          <w:highlight w:val="none"/>
        </w:rPr>
        <w:t>为负责人，我方愿意参加贵方组织的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（项目名称）（采购编号：）</w:t>
      </w:r>
      <w:r>
        <w:rPr>
          <w:rFonts w:hint="eastAsia" w:ascii="宋体" w:hAnsi="宋体" w:eastAsia="宋体" w:cs="宋体"/>
          <w:sz w:val="24"/>
          <w:szCs w:val="24"/>
          <w:highlight w:val="none"/>
        </w:rPr>
        <w:t>的投标。为便于贵方公正、择优地确定中标人以及投标产品和服务，我方就本次投标有关事项郑重承诺如下：</w:t>
      </w:r>
    </w:p>
    <w:p w14:paraId="45EEAB6D">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1、我方向贵方提交的所有投标文件、资料都是准确的和真实的。</w:t>
      </w:r>
    </w:p>
    <w:p w14:paraId="3C033194">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2、我方承诺已经具备《中华人民共和国政府采购法》、《中华人民共和国政府采购法实施条例》中规定的参加政府采购活动的投标人应当具备的条件，并真实提供相关材料。</w:t>
      </w:r>
    </w:p>
    <w:p w14:paraId="114D29E2">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3、提供投标人须知规定的全部投标文件，包括：</w:t>
      </w:r>
    </w:p>
    <w:p w14:paraId="0D6805EC">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资格审查文件；</w:t>
      </w:r>
    </w:p>
    <w:p w14:paraId="48AEC04E">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商务技术文件；</w:t>
      </w:r>
    </w:p>
    <w:p w14:paraId="7E3F8B6A">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报价文件；</w:t>
      </w:r>
    </w:p>
    <w:p w14:paraId="546DD1CC">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投标人须知要求的投标人提交的全部文件；</w:t>
      </w:r>
    </w:p>
    <w:p w14:paraId="7D18C2A8">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按招标文件要求提供和交付的服务的投标报价详见报价表。</w:t>
      </w:r>
    </w:p>
    <w:p w14:paraId="350A6841">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4、如果我方中标，将派出</w:t>
      </w:r>
      <w:r>
        <w:rPr>
          <w:rFonts w:hint="eastAsia" w:ascii="宋体" w:hAnsi="宋体" w:eastAsia="宋体" w:cs="宋体"/>
          <w:sz w:val="24"/>
          <w:szCs w:val="24"/>
          <w:highlight w:val="none"/>
          <w:u w:val="single"/>
        </w:rPr>
        <w:t>（姓名及身份证号码），</w:t>
      </w:r>
      <w:r>
        <w:rPr>
          <w:rFonts w:hint="eastAsia" w:ascii="宋体" w:hAnsi="宋体" w:eastAsia="宋体" w:cs="宋体"/>
          <w:sz w:val="24"/>
          <w:szCs w:val="24"/>
          <w:highlight w:val="none"/>
        </w:rPr>
        <w:t>作为本项目与采购单位联系的项目实施负责人，联系手机号码：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。在项目实施过程中，并承诺项目实施负责人不更换，若确需要更换的，书面征得采购人同意后才准予更换。</w:t>
      </w:r>
    </w:p>
    <w:p w14:paraId="0983EEC1">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5、我方的投标有效期自</w:t>
      </w:r>
      <w:r>
        <w:rPr>
          <w:rFonts w:hint="eastAsia" w:ascii="宋体" w:hAnsi="宋体" w:eastAsia="宋体" w:cs="宋体"/>
          <w:snapToGrid w:val="0"/>
          <w:kern w:val="2"/>
          <w:sz w:val="24"/>
          <w:szCs w:val="24"/>
          <w:highlight w:val="none"/>
        </w:rPr>
        <w:t>提交投标文件的截止之日起</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天内有效。</w:t>
      </w:r>
    </w:p>
    <w:p w14:paraId="3AA216B0">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6、我方在投标之前已经与贵方进行了充分的沟通，完全理解并接受招标文件的各项规定和要求，对招标文件的合理性、合法性不再有异议。</w:t>
      </w:r>
    </w:p>
    <w:p w14:paraId="3AB10B84">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我方愿意向贵方提供真实完整的任何与该项投标有关的数据、情况和技术资料。若贵方需要，我方愿意提供我方作出的一切承诺的证明材料。</w:t>
      </w:r>
    </w:p>
    <w:p w14:paraId="04596ED6">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3B4E6F7C">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8、我方不是采购人的附属机构，并未为本项目提供整体设计、规范编制或者项目管理、监理、监测等服务。</w:t>
      </w:r>
    </w:p>
    <w:p w14:paraId="40C93A3F">
      <w:pPr>
        <w:pStyle w:val="23"/>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我方将严格遵守：投标人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502F6701">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（一）提供虚假材料谋取中标、中标的；</w:t>
      </w:r>
    </w:p>
    <w:p w14:paraId="395BB13A">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（二）采取不正当手段诋毁、排挤其他投标人的；</w:t>
      </w:r>
    </w:p>
    <w:p w14:paraId="02170757">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（三）与采购人、其它投标人或者采购代理机构恶意串通的；</w:t>
      </w:r>
    </w:p>
    <w:p w14:paraId="472DD49D">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（四）向采购人、采购代理机构行贿或者提供其他不正当利益的；</w:t>
      </w:r>
    </w:p>
    <w:p w14:paraId="79760C96">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（五）在招标采购过程中与采购人进行协商谈判的；</w:t>
      </w:r>
    </w:p>
    <w:p w14:paraId="6EF9C8E1">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（六）拒绝有关部门监督检查或提供虚假情况的。</w:t>
      </w:r>
    </w:p>
    <w:p w14:paraId="3BA4B935">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10、如中标，本投标文件至本项目合同履行完毕止均保持有效，我方将按招标文件及采购法律、法规的规定履行合同责任和义务。</w:t>
      </w:r>
    </w:p>
    <w:p w14:paraId="38299956">
      <w:pPr>
        <w:pStyle w:val="23"/>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11、以上事项如有虚假或隐瞒，我方愿意承担一切不利后果，并不再寻求任何旨在减轻或免除法律责任。</w:t>
      </w:r>
    </w:p>
    <w:p w14:paraId="1A1A1DE1">
      <w:pPr>
        <w:pStyle w:val="23"/>
        <w:spacing w:line="440" w:lineRule="exact"/>
        <w:rPr>
          <w:rFonts w:hint="eastAsia" w:ascii="宋体" w:hAnsi="宋体" w:eastAsia="宋体" w:cs="宋体"/>
          <w:sz w:val="24"/>
          <w:szCs w:val="24"/>
          <w:highlight w:val="none"/>
        </w:rPr>
      </w:pPr>
    </w:p>
    <w:p w14:paraId="0C422B65">
      <w:pPr>
        <w:pStyle w:val="10"/>
        <w:spacing w:line="360" w:lineRule="auto"/>
        <w:ind w:right="480" w:firstLine="2400" w:firstLineChars="10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法定代表人或委托代理人（签字或盖章）_____________</w:t>
      </w:r>
    </w:p>
    <w:p w14:paraId="13195B25">
      <w:pPr>
        <w:pStyle w:val="10"/>
        <w:spacing w:line="360" w:lineRule="auto"/>
        <w:ind w:right="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投标人（公章）_____________</w:t>
      </w:r>
    </w:p>
    <w:p w14:paraId="53A8FB75">
      <w:pPr>
        <w:pStyle w:val="10"/>
        <w:wordWrap w:val="0"/>
        <w:spacing w:line="360" w:lineRule="auto"/>
        <w:ind w:right="480" w:firstLine="4560" w:firstLineChars="19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日期：_____年____月____日</w:t>
      </w:r>
    </w:p>
    <w:p w14:paraId="573C6F41">
      <w:pPr>
        <w:pStyle w:val="10"/>
        <w:spacing w:line="360" w:lineRule="auto"/>
        <w:ind w:left="630" w:right="480" w:firstLine="2640" w:firstLineChars="11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E126CF5">
      <w:pPr>
        <w:pStyle w:val="10"/>
        <w:wordWrap/>
        <w:spacing w:line="360" w:lineRule="auto"/>
        <w:ind w:right="48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报价文件格式</w:t>
      </w:r>
      <w:bookmarkEnd w:id="92"/>
      <w:bookmarkEnd w:id="93"/>
    </w:p>
    <w:p w14:paraId="2D04E031">
      <w:pPr>
        <w:spacing w:line="360" w:lineRule="auto"/>
        <w:rPr>
          <w:rFonts w:hint="eastAsia" w:ascii="宋体" w:hAnsi="宋体" w:eastAsia="宋体" w:cs="宋体"/>
          <w:sz w:val="24"/>
          <w:szCs w:val="24"/>
          <w:highlight w:val="none"/>
        </w:rPr>
      </w:pPr>
    </w:p>
    <w:p w14:paraId="4A88FD3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w:t>
      </w:r>
    </w:p>
    <w:p w14:paraId="21CCA32C">
      <w:pPr>
        <w:spacing w:line="360" w:lineRule="auto"/>
        <w:rPr>
          <w:rFonts w:hint="eastAsia" w:ascii="宋体" w:hAnsi="宋体" w:eastAsia="宋体" w:cs="宋体"/>
          <w:sz w:val="24"/>
          <w:szCs w:val="24"/>
          <w:highlight w:val="none"/>
          <w:lang w:val="en-US" w:eastAsia="zh-CN"/>
        </w:rPr>
      </w:pPr>
    </w:p>
    <w:p w14:paraId="35540AFC">
      <w:pPr>
        <w:pStyle w:val="2"/>
        <w:rPr>
          <w:rFonts w:hint="eastAsia" w:ascii="宋体" w:hAnsi="宋体" w:eastAsia="宋体" w:cs="宋体"/>
          <w:sz w:val="24"/>
          <w:szCs w:val="24"/>
          <w:highlight w:val="none"/>
        </w:rPr>
      </w:pPr>
    </w:p>
    <w:p w14:paraId="7DE710EC">
      <w:pPr>
        <w:pStyle w:val="5"/>
        <w:rPr>
          <w:rFonts w:hint="eastAsia" w:ascii="宋体" w:hAnsi="宋体" w:eastAsia="宋体" w:cs="宋体"/>
          <w:sz w:val="24"/>
          <w:szCs w:val="24"/>
          <w:highlight w:val="none"/>
        </w:rPr>
      </w:pPr>
    </w:p>
    <w:p w14:paraId="5D17E82C">
      <w:pPr>
        <w:pStyle w:val="5"/>
        <w:rPr>
          <w:rFonts w:hint="eastAsia" w:ascii="宋体" w:hAnsi="宋体" w:eastAsia="宋体" w:cs="宋体"/>
          <w:sz w:val="24"/>
          <w:szCs w:val="24"/>
          <w:highlight w:val="none"/>
        </w:rPr>
      </w:pPr>
    </w:p>
    <w:p w14:paraId="09075B49">
      <w:pPr>
        <w:pStyle w:val="5"/>
        <w:rPr>
          <w:rFonts w:hint="eastAsia" w:ascii="宋体" w:hAnsi="宋体" w:eastAsia="宋体" w:cs="宋体"/>
          <w:sz w:val="24"/>
          <w:szCs w:val="24"/>
          <w:highlight w:val="none"/>
        </w:rPr>
      </w:pPr>
    </w:p>
    <w:p w14:paraId="46637356">
      <w:pPr>
        <w:pStyle w:val="5"/>
        <w:rPr>
          <w:rFonts w:hint="eastAsia" w:ascii="宋体" w:hAnsi="宋体" w:eastAsia="宋体" w:cs="宋体"/>
          <w:sz w:val="24"/>
          <w:szCs w:val="24"/>
          <w:highlight w:val="none"/>
        </w:rPr>
      </w:pPr>
    </w:p>
    <w:p w14:paraId="0D2A31E3">
      <w:pPr>
        <w:pStyle w:val="5"/>
        <w:rPr>
          <w:rFonts w:hint="eastAsia" w:ascii="宋体" w:hAnsi="宋体" w:eastAsia="宋体" w:cs="宋体"/>
          <w:sz w:val="24"/>
          <w:szCs w:val="24"/>
          <w:highlight w:val="none"/>
        </w:rPr>
      </w:pPr>
    </w:p>
    <w:p w14:paraId="3CD53FA9">
      <w:pPr>
        <w:pStyle w:val="5"/>
        <w:rPr>
          <w:rFonts w:hint="eastAsia" w:ascii="宋体" w:hAnsi="宋体" w:eastAsia="宋体" w:cs="宋体"/>
          <w:sz w:val="24"/>
          <w:szCs w:val="24"/>
          <w:highlight w:val="none"/>
        </w:rPr>
      </w:pPr>
    </w:p>
    <w:p w14:paraId="094771FC">
      <w:pPr>
        <w:pStyle w:val="5"/>
        <w:rPr>
          <w:rFonts w:hint="eastAsia" w:ascii="宋体" w:hAnsi="宋体" w:eastAsia="宋体" w:cs="宋体"/>
          <w:sz w:val="24"/>
          <w:szCs w:val="24"/>
          <w:highlight w:val="none"/>
        </w:rPr>
      </w:pPr>
    </w:p>
    <w:p w14:paraId="0A2FC8B1">
      <w:pPr>
        <w:pStyle w:val="5"/>
        <w:rPr>
          <w:rFonts w:hint="eastAsia" w:ascii="宋体" w:hAnsi="宋体" w:eastAsia="宋体" w:cs="宋体"/>
          <w:sz w:val="24"/>
          <w:szCs w:val="24"/>
          <w:highlight w:val="none"/>
        </w:rPr>
      </w:pPr>
    </w:p>
    <w:p w14:paraId="5593CB91">
      <w:pPr>
        <w:pStyle w:val="5"/>
        <w:rPr>
          <w:rFonts w:hint="eastAsia" w:ascii="宋体" w:hAnsi="宋体" w:eastAsia="宋体" w:cs="宋体"/>
          <w:sz w:val="24"/>
          <w:szCs w:val="24"/>
          <w:highlight w:val="none"/>
        </w:rPr>
      </w:pPr>
    </w:p>
    <w:p w14:paraId="0D5139B7">
      <w:pPr>
        <w:pStyle w:val="5"/>
        <w:rPr>
          <w:rFonts w:hint="eastAsia" w:ascii="宋体" w:hAnsi="宋体" w:eastAsia="宋体" w:cs="宋体"/>
          <w:sz w:val="24"/>
          <w:szCs w:val="24"/>
          <w:highlight w:val="none"/>
        </w:rPr>
      </w:pPr>
    </w:p>
    <w:p w14:paraId="65A80106">
      <w:pPr>
        <w:pStyle w:val="5"/>
        <w:rPr>
          <w:rFonts w:hint="eastAsia" w:ascii="宋体" w:hAnsi="宋体" w:eastAsia="宋体" w:cs="宋体"/>
          <w:sz w:val="24"/>
          <w:szCs w:val="24"/>
          <w:highlight w:val="none"/>
        </w:rPr>
      </w:pPr>
    </w:p>
    <w:p w14:paraId="03C70D5D">
      <w:pPr>
        <w:pStyle w:val="5"/>
        <w:rPr>
          <w:rFonts w:hint="eastAsia" w:ascii="宋体" w:hAnsi="宋体" w:eastAsia="宋体" w:cs="宋体"/>
          <w:sz w:val="24"/>
          <w:szCs w:val="24"/>
          <w:highlight w:val="none"/>
        </w:rPr>
      </w:pPr>
    </w:p>
    <w:p w14:paraId="6CC8BA6C">
      <w:pPr>
        <w:pStyle w:val="5"/>
        <w:rPr>
          <w:rFonts w:hint="eastAsia" w:ascii="宋体" w:hAnsi="宋体" w:eastAsia="宋体" w:cs="宋体"/>
          <w:sz w:val="24"/>
          <w:szCs w:val="24"/>
          <w:highlight w:val="none"/>
        </w:rPr>
      </w:pPr>
    </w:p>
    <w:p w14:paraId="6213F0B1">
      <w:pPr>
        <w:pStyle w:val="5"/>
        <w:rPr>
          <w:rFonts w:hint="eastAsia" w:ascii="宋体" w:hAnsi="宋体" w:eastAsia="宋体" w:cs="宋体"/>
          <w:sz w:val="24"/>
          <w:szCs w:val="24"/>
          <w:highlight w:val="none"/>
        </w:rPr>
      </w:pPr>
    </w:p>
    <w:p w14:paraId="171092AC">
      <w:pPr>
        <w:pStyle w:val="5"/>
        <w:rPr>
          <w:rFonts w:hint="eastAsia" w:ascii="宋体" w:hAnsi="宋体" w:eastAsia="宋体" w:cs="宋体"/>
          <w:sz w:val="24"/>
          <w:szCs w:val="24"/>
          <w:highlight w:val="none"/>
        </w:rPr>
      </w:pPr>
    </w:p>
    <w:p w14:paraId="43909F71">
      <w:pPr>
        <w:pStyle w:val="5"/>
        <w:rPr>
          <w:rFonts w:hint="eastAsia" w:ascii="宋体" w:hAnsi="宋体" w:eastAsia="宋体" w:cs="宋体"/>
          <w:sz w:val="24"/>
          <w:szCs w:val="24"/>
          <w:highlight w:val="none"/>
        </w:rPr>
      </w:pPr>
    </w:p>
    <w:p w14:paraId="7CDDCA39">
      <w:pPr>
        <w:pStyle w:val="5"/>
        <w:rPr>
          <w:rFonts w:hint="eastAsia" w:ascii="宋体" w:hAnsi="宋体" w:eastAsia="宋体" w:cs="宋体"/>
          <w:sz w:val="24"/>
          <w:szCs w:val="24"/>
          <w:highlight w:val="none"/>
        </w:rPr>
      </w:pPr>
    </w:p>
    <w:p w14:paraId="36F47715">
      <w:pPr>
        <w:pStyle w:val="5"/>
        <w:rPr>
          <w:rFonts w:hint="eastAsia" w:ascii="宋体" w:hAnsi="宋体" w:eastAsia="宋体" w:cs="宋体"/>
          <w:sz w:val="24"/>
          <w:szCs w:val="24"/>
          <w:highlight w:val="none"/>
        </w:rPr>
      </w:pPr>
    </w:p>
    <w:p w14:paraId="5545744A">
      <w:pPr>
        <w:pStyle w:val="5"/>
        <w:rPr>
          <w:rFonts w:hint="eastAsia" w:ascii="宋体" w:hAnsi="宋体" w:eastAsia="宋体" w:cs="宋体"/>
          <w:sz w:val="24"/>
          <w:szCs w:val="24"/>
          <w:highlight w:val="none"/>
        </w:rPr>
      </w:pPr>
    </w:p>
    <w:p w14:paraId="3EA82EC1">
      <w:pPr>
        <w:pStyle w:val="5"/>
        <w:rPr>
          <w:rFonts w:hint="eastAsia" w:ascii="宋体" w:hAnsi="宋体" w:eastAsia="宋体" w:cs="宋体"/>
          <w:sz w:val="24"/>
          <w:szCs w:val="24"/>
          <w:highlight w:val="none"/>
        </w:rPr>
      </w:pPr>
    </w:p>
    <w:p w14:paraId="60F29928">
      <w:pPr>
        <w:pStyle w:val="5"/>
        <w:rPr>
          <w:rFonts w:hint="eastAsia" w:ascii="宋体" w:hAnsi="宋体" w:eastAsia="宋体" w:cs="宋体"/>
          <w:sz w:val="24"/>
          <w:szCs w:val="24"/>
          <w:highlight w:val="none"/>
        </w:rPr>
      </w:pPr>
    </w:p>
    <w:p w14:paraId="65A66893">
      <w:pPr>
        <w:pStyle w:val="5"/>
        <w:rPr>
          <w:rFonts w:hint="eastAsia" w:ascii="宋体" w:hAnsi="宋体" w:eastAsia="宋体" w:cs="宋体"/>
          <w:sz w:val="24"/>
          <w:szCs w:val="24"/>
          <w:highlight w:val="none"/>
        </w:rPr>
      </w:pPr>
    </w:p>
    <w:p w14:paraId="1D51659E">
      <w:pPr>
        <w:pStyle w:val="5"/>
        <w:rPr>
          <w:rFonts w:hint="eastAsia" w:ascii="宋体" w:hAnsi="宋体" w:eastAsia="宋体" w:cs="宋体"/>
          <w:sz w:val="24"/>
          <w:szCs w:val="24"/>
          <w:highlight w:val="none"/>
        </w:rPr>
      </w:pPr>
    </w:p>
    <w:p w14:paraId="51F9A9EE">
      <w:pPr>
        <w:pStyle w:val="5"/>
        <w:rPr>
          <w:rFonts w:hint="eastAsia" w:ascii="宋体" w:hAnsi="宋体" w:eastAsia="宋体" w:cs="宋体"/>
          <w:sz w:val="24"/>
          <w:szCs w:val="24"/>
          <w:highlight w:val="none"/>
        </w:rPr>
      </w:pPr>
    </w:p>
    <w:p w14:paraId="75F3BDF8">
      <w:pPr>
        <w:pStyle w:val="5"/>
        <w:rPr>
          <w:rFonts w:hint="eastAsia" w:ascii="宋体" w:hAnsi="宋体" w:eastAsia="宋体" w:cs="宋体"/>
          <w:sz w:val="24"/>
          <w:szCs w:val="24"/>
          <w:highlight w:val="none"/>
        </w:rPr>
      </w:pPr>
    </w:p>
    <w:p w14:paraId="5FC6BBA7">
      <w:pPr>
        <w:pStyle w:val="5"/>
        <w:rPr>
          <w:rFonts w:hint="eastAsia" w:ascii="宋体" w:hAnsi="宋体" w:eastAsia="宋体" w:cs="宋体"/>
          <w:sz w:val="24"/>
          <w:szCs w:val="24"/>
          <w:highlight w:val="none"/>
        </w:rPr>
      </w:pPr>
    </w:p>
    <w:p w14:paraId="4C14F41B">
      <w:pPr>
        <w:pStyle w:val="5"/>
        <w:rPr>
          <w:rFonts w:hint="eastAsia" w:ascii="宋体" w:hAnsi="宋体" w:eastAsia="宋体" w:cs="宋体"/>
          <w:sz w:val="24"/>
          <w:szCs w:val="24"/>
          <w:highlight w:val="none"/>
        </w:rPr>
      </w:pPr>
    </w:p>
    <w:p w14:paraId="1126D408">
      <w:pPr>
        <w:pStyle w:val="5"/>
        <w:rPr>
          <w:rFonts w:hint="eastAsia" w:ascii="宋体" w:hAnsi="宋体" w:eastAsia="宋体" w:cs="宋体"/>
          <w:sz w:val="24"/>
          <w:szCs w:val="24"/>
          <w:highlight w:val="none"/>
        </w:rPr>
      </w:pPr>
    </w:p>
    <w:p w14:paraId="28C6398A">
      <w:pPr>
        <w:pStyle w:val="5"/>
        <w:rPr>
          <w:rFonts w:hint="eastAsia" w:ascii="宋体" w:hAnsi="宋体" w:eastAsia="宋体" w:cs="宋体"/>
          <w:sz w:val="24"/>
          <w:szCs w:val="24"/>
          <w:highlight w:val="none"/>
        </w:rPr>
      </w:pPr>
    </w:p>
    <w:p w14:paraId="31FFE13C">
      <w:pPr>
        <w:pStyle w:val="5"/>
        <w:rPr>
          <w:rFonts w:hint="eastAsia" w:ascii="宋体" w:hAnsi="宋体" w:eastAsia="宋体" w:cs="宋体"/>
          <w:sz w:val="24"/>
          <w:szCs w:val="24"/>
          <w:highlight w:val="none"/>
        </w:rPr>
      </w:pPr>
    </w:p>
    <w:p w14:paraId="710DEB6E">
      <w:pPr>
        <w:pStyle w:val="5"/>
        <w:rPr>
          <w:rFonts w:hint="eastAsia" w:ascii="宋体" w:hAnsi="宋体" w:eastAsia="宋体" w:cs="宋体"/>
          <w:sz w:val="24"/>
          <w:szCs w:val="24"/>
          <w:highlight w:val="none"/>
        </w:rPr>
      </w:pPr>
    </w:p>
    <w:p w14:paraId="3FED78C9">
      <w:pPr>
        <w:pStyle w:val="5"/>
        <w:rPr>
          <w:rFonts w:hint="eastAsia" w:ascii="宋体" w:hAnsi="宋体" w:eastAsia="宋体" w:cs="宋体"/>
          <w:sz w:val="24"/>
          <w:szCs w:val="24"/>
          <w:highlight w:val="none"/>
        </w:rPr>
      </w:pPr>
    </w:p>
    <w:p w14:paraId="7C2AE54B">
      <w:pPr>
        <w:pStyle w:val="8"/>
        <w:rPr>
          <w:rFonts w:hint="eastAsia" w:ascii="宋体" w:hAnsi="宋体" w:eastAsia="宋体" w:cs="宋体"/>
          <w:sz w:val="24"/>
          <w:szCs w:val="24"/>
          <w:highlight w:val="none"/>
        </w:rPr>
      </w:pPr>
    </w:p>
    <w:p w14:paraId="788415DE">
      <w:pPr>
        <w:pStyle w:val="5"/>
        <w:rPr>
          <w:rFonts w:hint="eastAsia" w:ascii="宋体" w:hAnsi="宋体" w:eastAsia="宋体" w:cs="宋体"/>
          <w:sz w:val="24"/>
          <w:szCs w:val="24"/>
          <w:highlight w:val="none"/>
        </w:rPr>
      </w:pPr>
    </w:p>
    <w:p w14:paraId="5DEC2449">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4C900BEB">
      <w:pPr>
        <w:jc w:val="center"/>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b/>
          <w:sz w:val="24"/>
          <w:szCs w:val="24"/>
          <w:highlight w:val="none"/>
        </w:rPr>
        <w:t>报价一览表（格式）</w:t>
      </w:r>
    </w:p>
    <w:p w14:paraId="0C7B7829">
      <w:pPr>
        <w:snapToGrid w:val="0"/>
        <w:spacing w:line="400" w:lineRule="exact"/>
        <w:rPr>
          <w:rFonts w:hint="eastAsia" w:ascii="宋体" w:hAnsi="宋体" w:cs="宋体"/>
          <w:sz w:val="24"/>
          <w:highlight w:val="none"/>
        </w:rPr>
      </w:pPr>
    </w:p>
    <w:p w14:paraId="496F715D">
      <w:pPr>
        <w:snapToGrid w:val="0"/>
        <w:spacing w:line="400" w:lineRule="exact"/>
        <w:rPr>
          <w:rFonts w:hint="eastAsia" w:ascii="宋体" w:hAnsi="宋体" w:cs="宋体"/>
          <w:sz w:val="24"/>
          <w:highlight w:val="none"/>
        </w:rPr>
      </w:pPr>
      <w:r>
        <w:rPr>
          <w:rFonts w:hint="eastAsia" w:ascii="宋体" w:hAnsi="宋体" w:cs="宋体"/>
          <w:sz w:val="24"/>
          <w:highlight w:val="none"/>
        </w:rPr>
        <w:t>项目编号：</w:t>
      </w:r>
    </w:p>
    <w:tbl>
      <w:tblPr>
        <w:tblStyle w:val="14"/>
        <w:tblW w:w="9450" w:type="dxa"/>
        <w:tblInd w:w="-5" w:type="dxa"/>
        <w:tblLayout w:type="fixed"/>
        <w:tblCellMar>
          <w:top w:w="0" w:type="dxa"/>
          <w:left w:w="108" w:type="dxa"/>
          <w:bottom w:w="0" w:type="dxa"/>
          <w:right w:w="108" w:type="dxa"/>
        </w:tblCellMar>
      </w:tblPr>
      <w:tblGrid>
        <w:gridCol w:w="2238"/>
        <w:gridCol w:w="7212"/>
      </w:tblGrid>
      <w:tr w14:paraId="4EDC0EDB">
        <w:tblPrEx>
          <w:tblCellMar>
            <w:top w:w="0" w:type="dxa"/>
            <w:left w:w="108" w:type="dxa"/>
            <w:bottom w:w="0" w:type="dxa"/>
            <w:right w:w="108" w:type="dxa"/>
          </w:tblCellMar>
        </w:tblPrEx>
        <w:trPr>
          <w:cantSplit/>
          <w:trHeight w:val="931" w:hRule="atLeast"/>
        </w:trPr>
        <w:tc>
          <w:tcPr>
            <w:tcW w:w="2238" w:type="dxa"/>
            <w:tcBorders>
              <w:top w:val="single" w:color="000000" w:sz="4" w:space="0"/>
              <w:left w:val="single" w:color="000000" w:sz="4" w:space="0"/>
              <w:bottom w:val="single" w:color="000000" w:sz="4" w:space="0"/>
              <w:right w:val="single" w:color="000000" w:sz="4" w:space="0"/>
            </w:tcBorders>
            <w:noWrap w:val="0"/>
            <w:vAlign w:val="center"/>
          </w:tcPr>
          <w:p w14:paraId="4EC1C1FE">
            <w:pPr>
              <w:jc w:val="center"/>
              <w:rPr>
                <w:rFonts w:hint="eastAsia" w:eastAsia="宋体"/>
                <w:highlight w:val="none"/>
                <w:lang w:eastAsia="zh-CN"/>
              </w:rPr>
            </w:pPr>
            <w:r>
              <w:rPr>
                <w:rFonts w:hint="eastAsia" w:ascii="宋体" w:hAnsi="宋体" w:cs="宋体"/>
                <w:sz w:val="24"/>
                <w:highlight w:val="none"/>
              </w:rPr>
              <w:t>项目</w:t>
            </w:r>
            <w:r>
              <w:rPr>
                <w:rFonts w:hint="eastAsia" w:ascii="宋体" w:hAnsi="宋体" w:cs="宋体"/>
                <w:sz w:val="24"/>
                <w:highlight w:val="none"/>
                <w:lang w:val="en-US" w:eastAsia="zh-CN"/>
              </w:rPr>
              <w:t>名称</w:t>
            </w:r>
          </w:p>
        </w:tc>
        <w:tc>
          <w:tcPr>
            <w:tcW w:w="7212" w:type="dxa"/>
            <w:tcBorders>
              <w:top w:val="single" w:color="000000" w:sz="4" w:space="0"/>
              <w:left w:val="single" w:color="000000" w:sz="4" w:space="0"/>
              <w:bottom w:val="single" w:color="000000" w:sz="4" w:space="0"/>
              <w:right w:val="single" w:color="000000" w:sz="4" w:space="0"/>
            </w:tcBorders>
            <w:noWrap w:val="0"/>
            <w:vAlign w:val="center"/>
          </w:tcPr>
          <w:p w14:paraId="5FB4DCB4">
            <w:pPr>
              <w:jc w:val="center"/>
              <w:rPr>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lang w:val="en-US" w:eastAsia="zh-CN"/>
              </w:rPr>
              <w:t>费率（%）</w:t>
            </w:r>
          </w:p>
        </w:tc>
      </w:tr>
      <w:tr w14:paraId="2901F2D4">
        <w:tblPrEx>
          <w:tblCellMar>
            <w:top w:w="0" w:type="dxa"/>
            <w:left w:w="108" w:type="dxa"/>
            <w:bottom w:w="0" w:type="dxa"/>
            <w:right w:w="108" w:type="dxa"/>
          </w:tblCellMar>
        </w:tblPrEx>
        <w:trPr>
          <w:cantSplit/>
          <w:trHeight w:val="1387" w:hRule="atLeast"/>
        </w:trPr>
        <w:tc>
          <w:tcPr>
            <w:tcW w:w="223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D7BA36">
            <w:pPr>
              <w:rPr>
                <w:highlight w:val="none"/>
              </w:rPr>
            </w:pPr>
          </w:p>
        </w:tc>
        <w:tc>
          <w:tcPr>
            <w:tcW w:w="7212" w:type="dxa"/>
            <w:tcBorders>
              <w:top w:val="single" w:color="000000" w:sz="4" w:space="0"/>
              <w:left w:val="single" w:color="000000" w:sz="4" w:space="0"/>
              <w:bottom w:val="single" w:color="000000" w:sz="4" w:space="0"/>
              <w:right w:val="single" w:color="000000" w:sz="4" w:space="0"/>
            </w:tcBorders>
            <w:noWrap w:val="0"/>
            <w:vAlign w:val="center"/>
          </w:tcPr>
          <w:p w14:paraId="49AA4622">
            <w:pPr>
              <w:rPr>
                <w:highlight w:val="none"/>
              </w:rPr>
            </w:pPr>
            <w:r>
              <w:rPr>
                <w:rFonts w:hint="eastAsia" w:ascii="宋体" w:hAnsi="宋体" w:cs="宋体"/>
                <w:sz w:val="24"/>
                <w:highlight w:val="none"/>
              </w:rPr>
              <w:t>小写：</w:t>
            </w:r>
          </w:p>
        </w:tc>
      </w:tr>
      <w:tr w14:paraId="41C263B0">
        <w:tblPrEx>
          <w:tblCellMar>
            <w:top w:w="0" w:type="dxa"/>
            <w:left w:w="108" w:type="dxa"/>
            <w:bottom w:w="0" w:type="dxa"/>
            <w:right w:w="108" w:type="dxa"/>
          </w:tblCellMar>
        </w:tblPrEx>
        <w:trPr>
          <w:cantSplit/>
          <w:trHeight w:val="1517" w:hRule="atLeast"/>
        </w:trPr>
        <w:tc>
          <w:tcPr>
            <w:tcW w:w="2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88629">
            <w:pPr>
              <w:snapToGrid w:val="0"/>
              <w:rPr>
                <w:rFonts w:ascii="宋体" w:hAnsi="宋体" w:cs="宋体"/>
                <w:sz w:val="24"/>
                <w:highlight w:val="none"/>
              </w:rPr>
            </w:pPr>
          </w:p>
        </w:tc>
        <w:tc>
          <w:tcPr>
            <w:tcW w:w="7212" w:type="dxa"/>
            <w:tcBorders>
              <w:top w:val="single" w:color="000000" w:sz="4" w:space="0"/>
              <w:left w:val="single" w:color="000000" w:sz="4" w:space="0"/>
              <w:bottom w:val="single" w:color="000000" w:sz="4" w:space="0"/>
              <w:right w:val="single" w:color="000000" w:sz="4" w:space="0"/>
            </w:tcBorders>
            <w:noWrap w:val="0"/>
            <w:vAlign w:val="center"/>
          </w:tcPr>
          <w:p w14:paraId="6CF994CB">
            <w:pPr>
              <w:rPr>
                <w:highlight w:val="none"/>
              </w:rPr>
            </w:pPr>
            <w:r>
              <w:rPr>
                <w:rFonts w:hint="eastAsia" w:ascii="宋体" w:hAnsi="宋体" w:cs="宋体"/>
                <w:sz w:val="24"/>
                <w:highlight w:val="none"/>
              </w:rPr>
              <w:t>大写：</w:t>
            </w:r>
          </w:p>
        </w:tc>
      </w:tr>
    </w:tbl>
    <w:p w14:paraId="76B64DAE">
      <w:pPr>
        <w:spacing w:line="440" w:lineRule="exact"/>
        <w:jc w:val="left"/>
        <w:rPr>
          <w:rFonts w:ascii="宋体" w:hAnsi="宋体" w:cs="宋体"/>
          <w:sz w:val="24"/>
          <w:highlight w:val="none"/>
        </w:rPr>
      </w:pPr>
    </w:p>
    <w:p w14:paraId="5CD24AB9">
      <w:pPr>
        <w:rPr>
          <w:highlight w:val="none"/>
        </w:rPr>
      </w:pPr>
    </w:p>
    <w:p w14:paraId="34D8734C">
      <w:pPr>
        <w:tabs>
          <w:tab w:val="left" w:pos="1145"/>
        </w:tabs>
        <w:rPr>
          <w:rFonts w:ascii="宋体" w:hAnsi="宋体" w:cs="宋体"/>
          <w:sz w:val="24"/>
          <w:highlight w:val="none"/>
        </w:rPr>
      </w:pPr>
    </w:p>
    <w:p w14:paraId="502D3CF6">
      <w:pPr>
        <w:widowControl/>
        <w:spacing w:line="440" w:lineRule="atLeast"/>
        <w:rPr>
          <w:rFonts w:ascii="宋体" w:hAnsi="宋体" w:cs="宋体"/>
          <w:kern w:val="0"/>
          <w:sz w:val="24"/>
          <w:highlight w:val="none"/>
        </w:rPr>
      </w:pPr>
      <w:r>
        <w:rPr>
          <w:rFonts w:hint="eastAsia" w:ascii="宋体" w:hAnsi="宋体" w:cs="宋体"/>
          <w:kern w:val="0"/>
          <w:sz w:val="24"/>
          <w:highlight w:val="none"/>
          <w:lang w:val="en-US" w:eastAsia="zh-CN"/>
        </w:rPr>
        <w:t>投标人</w:t>
      </w:r>
      <w:r>
        <w:rPr>
          <w:rFonts w:hint="eastAsia" w:ascii="宋体" w:hAnsi="宋体" w:cs="宋体"/>
          <w:kern w:val="0"/>
          <w:sz w:val="24"/>
          <w:highlight w:val="none"/>
        </w:rPr>
        <w:t>（盖章）：</w:t>
      </w:r>
    </w:p>
    <w:p w14:paraId="1C72466A">
      <w:pPr>
        <w:widowControl/>
        <w:spacing w:line="440" w:lineRule="atLeast"/>
        <w:ind w:firstLine="3420"/>
        <w:rPr>
          <w:rFonts w:ascii="宋体" w:hAnsi="宋体" w:cs="宋体"/>
          <w:kern w:val="0"/>
          <w:sz w:val="24"/>
          <w:highlight w:val="none"/>
        </w:rPr>
      </w:pPr>
    </w:p>
    <w:p w14:paraId="1AF0C34C">
      <w:pPr>
        <w:widowControl/>
        <w:spacing w:line="440" w:lineRule="atLeast"/>
        <w:rPr>
          <w:rFonts w:ascii="宋体" w:hAnsi="宋体" w:cs="宋体"/>
          <w:kern w:val="0"/>
          <w:sz w:val="24"/>
          <w:highlight w:val="none"/>
        </w:rPr>
      </w:pPr>
      <w:r>
        <w:rPr>
          <w:rFonts w:hint="eastAsia" w:ascii="宋体" w:hAnsi="宋体" w:cs="宋体"/>
          <w:kern w:val="0"/>
          <w:sz w:val="24"/>
          <w:highlight w:val="none"/>
        </w:rPr>
        <w:t>法定代表人或委托代理人（签字或盖章）：</w:t>
      </w:r>
    </w:p>
    <w:p w14:paraId="4B17EDB5">
      <w:pPr>
        <w:widowControl/>
        <w:spacing w:line="440" w:lineRule="atLeast"/>
        <w:ind w:firstLine="3420"/>
        <w:rPr>
          <w:rFonts w:ascii="宋体" w:hAnsi="宋体" w:cs="宋体"/>
          <w:kern w:val="0"/>
          <w:sz w:val="24"/>
          <w:highlight w:val="none"/>
        </w:rPr>
      </w:pPr>
    </w:p>
    <w:p w14:paraId="0E266F77">
      <w:r>
        <w:rPr>
          <w:rFonts w:hint="eastAsia" w:ascii="宋体" w:hAnsi="宋体" w:cs="宋体"/>
          <w:kern w:val="0"/>
          <w:sz w:val="24"/>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2B64">
    <w:pPr>
      <w:pStyle w:val="11"/>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73BD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B473BD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DC1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1AC3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451AC3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66DC0">
    <w:pPr>
      <w:pStyle w:val="11"/>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C39D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DAC39D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5CF6">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9241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AA9241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B5E9">
    <w:pPr>
      <w:pStyle w:val="11"/>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3A582">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83A582">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0F03">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6AD4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8C6AD4B">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3B11">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D149B249"/>
    <w:multiLevelType w:val="singleLevel"/>
    <w:tmpl w:val="D149B249"/>
    <w:lvl w:ilvl="0" w:tentative="0">
      <w:start w:val="19"/>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A7ECB"/>
    <w:rsid w:val="21FA7ECB"/>
    <w:rsid w:val="5B887521"/>
    <w:rsid w:val="5EF1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7"/>
    <w:qFormat/>
    <w:uiPriority w:val="0"/>
    <w:pPr>
      <w:tabs>
        <w:tab w:val="left" w:pos="208"/>
      </w:tabs>
      <w:spacing w:line="432" w:lineRule="auto"/>
    </w:pPr>
    <w:rPr>
      <w:rFonts w:ascii="仿宋_GB2312" w:eastAsia="仿宋_GB2312" w:cs="仿宋_GB2312"/>
      <w:sz w:val="28"/>
      <w:szCs w:val="28"/>
    </w:rPr>
  </w:style>
  <w:style w:type="paragraph" w:styleId="7">
    <w:name w:val="Body Text First Indent"/>
    <w:basedOn w:val="6"/>
    <w:next w:val="1"/>
    <w:qFormat/>
    <w:uiPriority w:val="0"/>
    <w:pPr>
      <w:spacing w:after="120" w:line="240" w:lineRule="auto"/>
      <w:ind w:firstLine="420"/>
    </w:pPr>
    <w:rPr>
      <w:lang w:val="zh-CN"/>
    </w:rPr>
  </w:style>
  <w:style w:type="paragraph" w:styleId="8">
    <w:name w:val="Body Text Indent"/>
    <w:basedOn w:val="1"/>
    <w:qFormat/>
    <w:uiPriority w:val="0"/>
    <w:pPr>
      <w:ind w:firstLine="540"/>
    </w:pPr>
    <w:rPr>
      <w:sz w:val="28"/>
      <w:szCs w:val="28"/>
    </w:rPr>
  </w:style>
  <w:style w:type="paragraph" w:styleId="9">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10">
    <w:name w:val="Plain Text"/>
    <w:basedOn w:val="1"/>
    <w:next w:val="1"/>
    <w:qFormat/>
    <w:uiPriority w:val="99"/>
    <w:rPr>
      <w:rFonts w:ascii="宋体" w:hAnsi="Courier New" w:cs="宋体"/>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envelope return"/>
    <w:basedOn w:val="1"/>
    <w:semiHidden/>
    <w:unhideWhenUsed/>
    <w:qFormat/>
    <w:uiPriority w:val="99"/>
    <w:pPr>
      <w:snapToGrid w:val="0"/>
    </w:pPr>
    <w:rPr>
      <w:rFonts w:asciiTheme="majorHAnsi" w:hAnsiTheme="majorHAnsi" w:eastAsiaTheme="majorEastAsia" w:cstheme="majorBidi"/>
    </w:rPr>
  </w:style>
  <w:style w:type="paragraph" w:styleId="13">
    <w:name w:val="Body Text First Indent 2"/>
    <w:basedOn w:val="8"/>
    <w:next w:val="1"/>
    <w:semiHidden/>
    <w:unhideWhenUsed/>
    <w:qFormat/>
    <w:uiPriority w:val="99"/>
    <w:pPr>
      <w:ind w:firstLine="420" w:firstLineChars="200"/>
    </w:p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paragraph" w:customStyle="1" w:styleId="18">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纯文本_3"/>
    <w:basedOn w:val="21"/>
    <w:autoRedefine/>
    <w:qFormat/>
    <w:uiPriority w:val="0"/>
    <w:rPr>
      <w:rFonts w:ascii="宋体" w:hAnsi="Courier New"/>
    </w:rPr>
  </w:style>
  <w:style w:type="paragraph" w:customStyle="1" w:styleId="23">
    <w:name w:val="纯文本_0"/>
    <w:basedOn w:val="1"/>
    <w:autoRedefine/>
    <w:qFormat/>
    <w:uiPriority w:val="99"/>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18781</Words>
  <Characters>20597</Characters>
  <Lines>0</Lines>
  <Paragraphs>0</Paragraphs>
  <TotalTime>0</TotalTime>
  <ScaleCrop>false</ScaleCrop>
  <LinksUpToDate>false</LinksUpToDate>
  <CharactersWithSpaces>21300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2025-07-07T01:54:00Z</dcterms:created>
  <dc:creator>A冰震</dc:creator>
  <cp:lastModifiedBy>A冰震</cp:lastModifiedBy>
  <dcterms:modified xsi:type="dcterms:W3CDTF">2025-07-07T01:59:00Z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CB45B4BF28A44E19AA8A8417D1E3D105_11</vt:lpwstr>
  </property>
  <property fmtid="{D5CDD505-2E9C-101B-9397-08002B2CF9AE}" pid="4" name="KSOTemplateDocerSaveRecord">
    <vt:lpwstr>eyJoZGlkIjoiZDNkNGUyZTBlMDc3MDljNjVmZDdhMDI5NjFjMThjOGEiLCJ1c2VySWQiOiIxNDE4NjA2MTY2In0=</vt:lpwstr>
  </property>
</Properties>
</file>