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44"/>
          <w:szCs w:val="44"/>
        </w:rPr>
      </w:pPr>
    </w:p>
    <w:p>
      <w:pPr>
        <w:jc w:val="center"/>
        <w:rPr>
          <w:rFonts w:hint="eastAsia" w:ascii="黑体" w:eastAsia="黑体"/>
          <w:b/>
          <w:sz w:val="52"/>
          <w:szCs w:val="52"/>
          <w:lang w:eastAsia="zh-CN"/>
        </w:rPr>
      </w:pPr>
      <w:bookmarkStart w:id="0" w:name="OLE_LINK1"/>
      <w:r>
        <w:rPr>
          <w:rFonts w:hint="eastAsia" w:ascii="黑体" w:eastAsia="黑体"/>
          <w:b/>
          <w:sz w:val="52"/>
          <w:szCs w:val="52"/>
          <w:lang w:eastAsia="zh-CN"/>
        </w:rPr>
        <w:t>未来科技城网络安全防护服务</w:t>
      </w:r>
      <w:bookmarkEnd w:id="0"/>
    </w:p>
    <w:p>
      <w:pPr>
        <w:jc w:val="center"/>
        <w:rPr>
          <w:rFonts w:hint="eastAsia" w:ascii="黑体" w:eastAsia="黑体"/>
          <w:b/>
          <w:sz w:val="36"/>
          <w:szCs w:val="36"/>
        </w:rPr>
      </w:pPr>
      <w:r>
        <w:rPr>
          <w:rFonts w:hint="eastAsia" w:ascii="黑体" w:eastAsia="黑体"/>
          <w:b/>
          <w:sz w:val="36"/>
          <w:szCs w:val="36"/>
        </w:rPr>
        <w:t>（编号：</w:t>
      </w:r>
      <w:r>
        <w:rPr>
          <w:rFonts w:hint="eastAsia" w:ascii="黑体" w:eastAsia="黑体"/>
          <w:b/>
          <w:sz w:val="36"/>
          <w:szCs w:val="36"/>
          <w:lang w:eastAsia="zh-CN"/>
        </w:rPr>
        <w:t>Y3301100000015475003001</w:t>
      </w:r>
      <w:r>
        <w:rPr>
          <w:rFonts w:hint="eastAsia" w:ascii="黑体" w:eastAsia="黑体"/>
          <w:b/>
          <w:sz w:val="36"/>
          <w:szCs w:val="36"/>
        </w:rPr>
        <w:t>）</w:t>
      </w:r>
    </w:p>
    <w:p>
      <w:pPr>
        <w:jc w:val="center"/>
        <w:rPr>
          <w:rFonts w:hint="eastAsia" w:ascii="黑体" w:eastAsia="黑体"/>
          <w:b/>
          <w:sz w:val="48"/>
          <w:szCs w:val="48"/>
        </w:rPr>
      </w:pPr>
    </w:p>
    <w:p>
      <w:pPr>
        <w:jc w:val="center"/>
        <w:rPr>
          <w:rFonts w:hint="eastAsia" w:ascii="黑体" w:eastAsia="黑体"/>
          <w:b/>
          <w:sz w:val="48"/>
          <w:szCs w:val="48"/>
        </w:rPr>
      </w:pPr>
    </w:p>
    <w:p>
      <w:pPr>
        <w:jc w:val="center"/>
        <w:rPr>
          <w:rFonts w:hint="eastAsia" w:ascii="黑体" w:eastAsia="黑体"/>
          <w:b/>
          <w:sz w:val="48"/>
          <w:szCs w:val="48"/>
        </w:rPr>
      </w:pPr>
      <w:r>
        <w:rPr>
          <w:rFonts w:hint="eastAsia" w:ascii="黑体" w:eastAsia="黑体"/>
          <w:b/>
          <w:sz w:val="48"/>
          <w:szCs w:val="48"/>
        </w:rPr>
        <w:t>招 标 文 件</w:t>
      </w:r>
    </w:p>
    <w:p>
      <w:pPr>
        <w:rPr>
          <w:rFonts w:hint="eastAsia" w:ascii="黑体" w:eastAsia="黑体"/>
          <w:b/>
          <w:sz w:val="28"/>
          <w:szCs w:val="28"/>
        </w:rPr>
      </w:pPr>
    </w:p>
    <w:p>
      <w:pPr>
        <w:jc w:val="center"/>
        <w:rPr>
          <w:rFonts w:hint="eastAsia" w:ascii="黑体" w:eastAsia="黑体"/>
          <w:b/>
          <w:sz w:val="28"/>
          <w:szCs w:val="28"/>
        </w:rPr>
      </w:pPr>
    </w:p>
    <w:p>
      <w:pPr>
        <w:jc w:val="center"/>
        <w:rPr>
          <w:rFonts w:hint="eastAsia" w:ascii="黑体" w:eastAsia="黑体"/>
          <w:b/>
          <w:sz w:val="28"/>
          <w:szCs w:val="28"/>
        </w:rPr>
      </w:pPr>
    </w:p>
    <w:p>
      <w:pPr>
        <w:jc w:val="center"/>
        <w:rPr>
          <w:rFonts w:hint="eastAsia" w:ascii="黑体" w:eastAsia="黑体"/>
          <w:b/>
          <w:sz w:val="28"/>
          <w:szCs w:val="28"/>
        </w:rPr>
      </w:pPr>
    </w:p>
    <w:p>
      <w:pPr>
        <w:rPr>
          <w:rFonts w:hint="eastAsia" w:ascii="黑体" w:eastAsia="黑体"/>
          <w:b/>
          <w:sz w:val="28"/>
          <w:szCs w:val="28"/>
        </w:rPr>
      </w:pPr>
    </w:p>
    <w:p>
      <w:pPr>
        <w:jc w:val="center"/>
        <w:rPr>
          <w:rFonts w:hint="eastAsia" w:ascii="黑体" w:eastAsia="黑体"/>
          <w:b/>
          <w:sz w:val="28"/>
          <w:szCs w:val="28"/>
        </w:rPr>
      </w:pPr>
    </w:p>
    <w:p>
      <w:pPr>
        <w:jc w:val="center"/>
        <w:rPr>
          <w:rFonts w:hint="eastAsia" w:ascii="黑体" w:eastAsia="黑体"/>
          <w:b/>
          <w:sz w:val="28"/>
          <w:szCs w:val="28"/>
        </w:rPr>
      </w:pPr>
    </w:p>
    <w:p>
      <w:pPr>
        <w:jc w:val="center"/>
        <w:rPr>
          <w:rFonts w:hint="eastAsia" w:ascii="黑体" w:eastAsia="黑体"/>
          <w:b/>
          <w:sz w:val="28"/>
          <w:szCs w:val="28"/>
        </w:rPr>
      </w:pPr>
    </w:p>
    <w:p>
      <w:pPr>
        <w:adjustRightInd w:val="0"/>
        <w:snapToGrid w:val="0"/>
        <w:spacing w:line="360" w:lineRule="auto"/>
        <w:jc w:val="center"/>
        <w:rPr>
          <w:rFonts w:hint="eastAsia" w:ascii="黑体" w:hAnsi="宋体" w:eastAsia="黑体"/>
          <w:b/>
          <w:sz w:val="30"/>
          <w:szCs w:val="30"/>
        </w:rPr>
      </w:pPr>
      <w:r>
        <w:rPr>
          <w:rFonts w:hint="eastAsia" w:ascii="黑体" w:hAnsi="宋体" w:eastAsia="黑体"/>
          <w:b/>
          <w:sz w:val="30"/>
          <w:szCs w:val="30"/>
          <w:lang w:eastAsia="zh-CN"/>
        </w:rPr>
        <w:t>招标人</w:t>
      </w:r>
      <w:r>
        <w:rPr>
          <w:rFonts w:hint="eastAsia" w:ascii="黑体" w:hAnsi="宋体" w:eastAsia="黑体"/>
          <w:b/>
          <w:sz w:val="30"/>
          <w:szCs w:val="30"/>
        </w:rPr>
        <w:t>：浙江杭州未来科技城（海创园）管理委员会</w:t>
      </w:r>
    </w:p>
    <w:p>
      <w:pPr>
        <w:adjustRightInd w:val="0"/>
        <w:snapToGrid w:val="0"/>
        <w:spacing w:line="360" w:lineRule="auto"/>
        <w:jc w:val="center"/>
        <w:rPr>
          <w:rFonts w:hint="eastAsia" w:ascii="黑体" w:hAnsi="宋体" w:eastAsia="黑体"/>
          <w:b/>
          <w:sz w:val="30"/>
          <w:szCs w:val="30"/>
          <w:lang w:eastAsia="zh-CN"/>
        </w:rPr>
      </w:pPr>
      <w:r>
        <w:rPr>
          <w:rFonts w:hint="eastAsia" w:ascii="黑体" w:hAnsi="宋体" w:eastAsia="黑体"/>
          <w:b/>
          <w:sz w:val="30"/>
          <w:szCs w:val="30"/>
          <w:lang w:eastAsia="zh-CN"/>
        </w:rPr>
        <w:t>招标</w:t>
      </w:r>
      <w:r>
        <w:rPr>
          <w:rFonts w:hint="eastAsia" w:ascii="黑体" w:hAnsi="宋体" w:eastAsia="黑体"/>
          <w:b/>
          <w:sz w:val="30"/>
          <w:szCs w:val="30"/>
        </w:rPr>
        <w:t>代理机构：</w:t>
      </w:r>
      <w:r>
        <w:rPr>
          <w:rFonts w:hint="eastAsia" w:ascii="黑体" w:hAnsi="宋体" w:eastAsia="黑体"/>
          <w:b/>
          <w:sz w:val="30"/>
          <w:szCs w:val="30"/>
          <w:lang w:eastAsia="zh-CN"/>
        </w:rPr>
        <w:t>浙江国信工程管理咨询有限公司</w:t>
      </w:r>
    </w:p>
    <w:p>
      <w:pPr>
        <w:spacing w:line="600" w:lineRule="exact"/>
        <w:rPr>
          <w:rFonts w:hint="eastAsia" w:ascii="黑体" w:eastAsia="黑体"/>
          <w:b/>
          <w:sz w:val="36"/>
          <w:szCs w:val="36"/>
        </w:rPr>
      </w:pPr>
    </w:p>
    <w:p>
      <w:pPr>
        <w:spacing w:line="600" w:lineRule="exact"/>
        <w:jc w:val="center"/>
        <w:rPr>
          <w:rFonts w:hint="eastAsia" w:ascii="黑体" w:eastAsia="黑体"/>
          <w:b/>
          <w:sz w:val="36"/>
          <w:szCs w:val="36"/>
        </w:rPr>
      </w:pPr>
    </w:p>
    <w:p>
      <w:pPr>
        <w:spacing w:line="600" w:lineRule="exact"/>
        <w:jc w:val="center"/>
        <w:rPr>
          <w:rFonts w:hint="eastAsia" w:ascii="黑体" w:eastAsia="黑体"/>
          <w:b/>
          <w:sz w:val="36"/>
          <w:szCs w:val="36"/>
        </w:rPr>
      </w:pPr>
      <w:r>
        <w:rPr>
          <w:rFonts w:hint="eastAsia" w:ascii="黑体" w:eastAsia="黑体"/>
          <w:b/>
          <w:sz w:val="36"/>
          <w:szCs w:val="36"/>
        </w:rPr>
        <w:t>202</w:t>
      </w:r>
      <w:r>
        <w:rPr>
          <w:rFonts w:hint="eastAsia" w:ascii="黑体" w:eastAsia="黑体"/>
          <w:b/>
          <w:sz w:val="36"/>
          <w:szCs w:val="36"/>
          <w:lang w:val="en-US" w:eastAsia="zh-CN"/>
        </w:rPr>
        <w:t>5</w:t>
      </w:r>
      <w:r>
        <w:rPr>
          <w:rFonts w:hint="eastAsia" w:ascii="黑体" w:eastAsia="黑体"/>
          <w:b/>
          <w:sz w:val="36"/>
          <w:szCs w:val="36"/>
        </w:rPr>
        <w:t>年</w:t>
      </w:r>
      <w:r>
        <w:rPr>
          <w:rFonts w:hint="eastAsia" w:ascii="黑体" w:eastAsia="黑体"/>
          <w:b/>
          <w:sz w:val="36"/>
          <w:szCs w:val="36"/>
          <w:lang w:val="en-US" w:eastAsia="zh-CN"/>
        </w:rPr>
        <w:t>6</w:t>
      </w:r>
      <w:r>
        <w:rPr>
          <w:rFonts w:hint="eastAsia" w:ascii="黑体" w:eastAsia="黑体"/>
          <w:b/>
          <w:sz w:val="36"/>
          <w:szCs w:val="36"/>
        </w:rPr>
        <w:t>月</w:t>
      </w:r>
    </w:p>
    <w:p>
      <w:pPr>
        <w:spacing w:line="600" w:lineRule="exact"/>
        <w:jc w:val="center"/>
        <w:rPr>
          <w:rFonts w:eastAsia="宋体-18030"/>
          <w:b/>
          <w:bCs/>
          <w:sz w:val="72"/>
        </w:rPr>
      </w:pPr>
      <w:r>
        <w:rPr>
          <w:rFonts w:eastAsia="宋体-18030"/>
          <w:b/>
          <w:bCs/>
          <w:sz w:val="72"/>
        </w:rPr>
        <w:br w:type="page"/>
      </w:r>
    </w:p>
    <w:p>
      <w:pPr>
        <w:spacing w:line="360" w:lineRule="auto"/>
        <w:jc w:val="center"/>
        <w:rPr>
          <w:rFonts w:hint="eastAsia" w:ascii="宋体" w:hAnsi="宋体"/>
          <w:b/>
          <w:bCs/>
          <w:color w:val="000000"/>
          <w:sz w:val="72"/>
        </w:rPr>
      </w:pPr>
      <w:r>
        <w:rPr>
          <w:rFonts w:hint="eastAsia" w:ascii="宋体" w:hAnsi="宋体"/>
          <w:b/>
          <w:bCs/>
          <w:color w:val="000000"/>
          <w:sz w:val="72"/>
        </w:rPr>
        <w:t>目     录</w:t>
      </w:r>
    </w:p>
    <w:p>
      <w:pPr>
        <w:pStyle w:val="13"/>
        <w:tabs>
          <w:tab w:val="right" w:leader="hyphen" w:pos="9241"/>
        </w:tabs>
        <w:rPr>
          <w:sz w:val="30"/>
          <w:szCs w:val="30"/>
        </w:rPr>
      </w:pPr>
      <w:r>
        <w:rPr>
          <w:rFonts w:hint="eastAsia" w:ascii="宋体" w:hAnsi="宋体" w:eastAsia="宋体" w:cs="Times New Roman"/>
          <w:color w:val="000000"/>
          <w:kern w:val="0"/>
          <w:sz w:val="30"/>
          <w:szCs w:val="30"/>
          <w:lang w:val="en-US" w:eastAsia="zh-CN" w:bidi="ar-SA"/>
        </w:rPr>
        <w:fldChar w:fldCharType="begin"/>
      </w:r>
      <w:r>
        <w:rPr>
          <w:rFonts w:hint="eastAsia" w:ascii="宋体" w:hAnsi="宋体" w:eastAsia="宋体" w:cs="Times New Roman"/>
          <w:color w:val="000000"/>
          <w:kern w:val="0"/>
          <w:sz w:val="30"/>
          <w:szCs w:val="30"/>
          <w:lang w:val="en-US" w:eastAsia="zh-CN" w:bidi="ar-SA"/>
        </w:rPr>
        <w:instrText xml:space="preserve"> TOC \o "1-1" \h \z \u </w:instrText>
      </w:r>
      <w:r>
        <w:rPr>
          <w:rFonts w:ascii="宋体" w:hAnsi="宋体" w:eastAsia="宋体" w:cs="Times New Roman"/>
          <w:color w:val="000000"/>
          <w:kern w:val="0"/>
          <w:sz w:val="30"/>
          <w:szCs w:val="30"/>
          <w:lang w:val="en-US" w:eastAsia="zh-CN" w:bidi="ar-SA"/>
        </w:rPr>
        <w:fldChar w:fldCharType="separate"/>
      </w:r>
      <w:r>
        <w:rPr>
          <w:rFonts w:ascii="宋体" w:hAnsi="宋体" w:eastAsia="宋体" w:cs="Times New Roman"/>
          <w:color w:val="000000"/>
          <w:kern w:val="0"/>
          <w:sz w:val="30"/>
          <w:szCs w:val="30"/>
          <w:lang w:val="en-US" w:eastAsia="zh-CN" w:bidi="ar-SA"/>
        </w:rPr>
        <w:fldChar w:fldCharType="begin"/>
      </w:r>
      <w:r>
        <w:rPr>
          <w:rFonts w:ascii="宋体" w:hAnsi="宋体" w:eastAsia="宋体" w:cs="Times New Roman"/>
          <w:kern w:val="0"/>
          <w:sz w:val="30"/>
          <w:szCs w:val="30"/>
          <w:lang w:val="en-US" w:eastAsia="zh-CN" w:bidi="ar-SA"/>
        </w:rPr>
        <w:instrText xml:space="preserve"> HYPERLINK \l _Toc12133 </w:instrText>
      </w:r>
      <w:r>
        <w:rPr>
          <w:rFonts w:ascii="宋体" w:hAnsi="宋体" w:eastAsia="宋体" w:cs="Times New Roman"/>
          <w:kern w:val="0"/>
          <w:sz w:val="30"/>
          <w:szCs w:val="30"/>
          <w:lang w:val="en-US" w:eastAsia="zh-CN" w:bidi="ar-SA"/>
        </w:rPr>
        <w:fldChar w:fldCharType="separate"/>
      </w:r>
      <w:r>
        <w:rPr>
          <w:rFonts w:hint="eastAsia" w:ascii="宋体" w:hAnsi="宋体" w:eastAsia="宋体" w:cs="Times New Roman"/>
          <w:bCs/>
          <w:kern w:val="44"/>
          <w:sz w:val="30"/>
          <w:szCs w:val="30"/>
          <w:lang w:val="en-US" w:eastAsia="zh-CN" w:bidi="ar-SA"/>
        </w:rPr>
        <w:t>第一部分</w:t>
      </w:r>
      <w:r>
        <w:rPr>
          <w:rFonts w:hint="eastAsia" w:ascii="宋体" w:hAnsi="宋体" w:cs="Times New Roman"/>
          <w:bCs/>
          <w:kern w:val="44"/>
          <w:sz w:val="30"/>
          <w:szCs w:val="30"/>
          <w:lang w:val="en-US" w:eastAsia="zh-CN" w:bidi="ar-SA"/>
        </w:rPr>
        <w:t xml:space="preserve"> </w:t>
      </w:r>
      <w:r>
        <w:rPr>
          <w:rFonts w:hint="eastAsia" w:ascii="宋体" w:hAnsi="宋体" w:eastAsia="宋体" w:cs="Times New Roman"/>
          <w:bCs/>
          <w:kern w:val="44"/>
          <w:sz w:val="30"/>
          <w:szCs w:val="30"/>
          <w:lang w:val="en-US" w:eastAsia="zh-CN" w:bidi="ar-SA"/>
        </w:rPr>
        <w:t xml:space="preserve"> 招标公告</w:t>
      </w:r>
      <w:r>
        <w:rPr>
          <w:sz w:val="30"/>
          <w:szCs w:val="30"/>
        </w:rPr>
        <w:tab/>
      </w:r>
      <w:r>
        <w:rPr>
          <w:sz w:val="30"/>
          <w:szCs w:val="30"/>
        </w:rPr>
        <w:fldChar w:fldCharType="begin"/>
      </w:r>
      <w:r>
        <w:rPr>
          <w:sz w:val="30"/>
          <w:szCs w:val="30"/>
        </w:rPr>
        <w:instrText xml:space="preserve"> PAGEREF _Toc12133 \h </w:instrText>
      </w:r>
      <w:r>
        <w:rPr>
          <w:sz w:val="30"/>
          <w:szCs w:val="30"/>
        </w:rPr>
        <w:fldChar w:fldCharType="separate"/>
      </w:r>
      <w:r>
        <w:rPr>
          <w:sz w:val="30"/>
          <w:szCs w:val="30"/>
        </w:rPr>
        <w:t>- 3 -</w:t>
      </w:r>
      <w:r>
        <w:rPr>
          <w:sz w:val="30"/>
          <w:szCs w:val="30"/>
        </w:rPr>
        <w:fldChar w:fldCharType="end"/>
      </w:r>
      <w:r>
        <w:rPr>
          <w:rFonts w:ascii="宋体" w:hAnsi="宋体" w:eastAsia="宋体" w:cs="Times New Roman"/>
          <w:color w:val="000000"/>
          <w:kern w:val="0"/>
          <w:sz w:val="30"/>
          <w:szCs w:val="30"/>
          <w:lang w:val="en-US" w:eastAsia="zh-CN" w:bidi="ar-SA"/>
        </w:rPr>
        <w:fldChar w:fldCharType="end"/>
      </w:r>
    </w:p>
    <w:p>
      <w:pPr>
        <w:pStyle w:val="13"/>
        <w:tabs>
          <w:tab w:val="right" w:leader="hyphen" w:pos="9241"/>
        </w:tabs>
        <w:rPr>
          <w:sz w:val="30"/>
          <w:szCs w:val="30"/>
        </w:rPr>
      </w:pPr>
      <w:r>
        <w:rPr>
          <w:rFonts w:hint="eastAsia" w:ascii="宋体" w:hAnsi="宋体"/>
          <w:color w:val="000000"/>
          <w:kern w:val="0"/>
          <w:sz w:val="30"/>
          <w:szCs w:val="30"/>
        </w:rPr>
        <w:fldChar w:fldCharType="begin"/>
      </w:r>
      <w:r>
        <w:rPr>
          <w:rFonts w:hint="eastAsia" w:ascii="宋体" w:hAnsi="宋体"/>
          <w:kern w:val="0"/>
          <w:sz w:val="30"/>
          <w:szCs w:val="30"/>
        </w:rPr>
        <w:instrText xml:space="preserve"> HYPERLINK \l _Toc7947 </w:instrText>
      </w:r>
      <w:r>
        <w:rPr>
          <w:rFonts w:hint="eastAsia" w:ascii="宋体" w:hAnsi="宋体"/>
          <w:kern w:val="0"/>
          <w:sz w:val="30"/>
          <w:szCs w:val="30"/>
        </w:rPr>
        <w:fldChar w:fldCharType="separate"/>
      </w:r>
      <w:r>
        <w:rPr>
          <w:rFonts w:hint="eastAsia" w:ascii="宋体" w:hAnsi="宋体" w:eastAsia="宋体" w:cs="Times New Roman"/>
          <w:bCs/>
          <w:kern w:val="44"/>
          <w:sz w:val="30"/>
          <w:szCs w:val="30"/>
          <w:lang w:val="en-US" w:eastAsia="zh-CN" w:bidi="ar-SA"/>
        </w:rPr>
        <w:t xml:space="preserve">第二部分 </w:t>
      </w:r>
      <w:r>
        <w:rPr>
          <w:rFonts w:hint="eastAsia" w:ascii="宋体" w:hAnsi="宋体" w:cs="Times New Roman"/>
          <w:bCs/>
          <w:kern w:val="44"/>
          <w:sz w:val="30"/>
          <w:szCs w:val="30"/>
          <w:lang w:val="en-US" w:eastAsia="zh-CN" w:bidi="ar-SA"/>
        </w:rPr>
        <w:t xml:space="preserve"> </w:t>
      </w:r>
      <w:r>
        <w:rPr>
          <w:rFonts w:hint="eastAsia" w:ascii="宋体" w:hAnsi="宋体" w:eastAsia="宋体" w:cs="Times New Roman"/>
          <w:bCs/>
          <w:kern w:val="44"/>
          <w:sz w:val="30"/>
          <w:szCs w:val="30"/>
          <w:lang w:val="en-US" w:eastAsia="zh-CN" w:bidi="ar-SA"/>
        </w:rPr>
        <w:t>投标人须知</w:t>
      </w:r>
      <w:r>
        <w:rPr>
          <w:sz w:val="30"/>
          <w:szCs w:val="30"/>
        </w:rPr>
        <w:tab/>
      </w:r>
      <w:r>
        <w:rPr>
          <w:sz w:val="30"/>
          <w:szCs w:val="30"/>
        </w:rPr>
        <w:fldChar w:fldCharType="begin"/>
      </w:r>
      <w:r>
        <w:rPr>
          <w:sz w:val="30"/>
          <w:szCs w:val="30"/>
        </w:rPr>
        <w:instrText xml:space="preserve"> PAGEREF _Toc7947 \h </w:instrText>
      </w:r>
      <w:r>
        <w:rPr>
          <w:sz w:val="30"/>
          <w:szCs w:val="30"/>
        </w:rPr>
        <w:fldChar w:fldCharType="separate"/>
      </w:r>
      <w:r>
        <w:rPr>
          <w:sz w:val="30"/>
          <w:szCs w:val="30"/>
        </w:rPr>
        <w:t>- 5 -</w:t>
      </w:r>
      <w:r>
        <w:rPr>
          <w:sz w:val="30"/>
          <w:szCs w:val="30"/>
        </w:rPr>
        <w:fldChar w:fldCharType="end"/>
      </w:r>
      <w:r>
        <w:rPr>
          <w:rFonts w:hint="eastAsia" w:ascii="宋体" w:hAnsi="宋体"/>
          <w:color w:val="000000"/>
          <w:kern w:val="0"/>
          <w:sz w:val="30"/>
          <w:szCs w:val="30"/>
        </w:rPr>
        <w:fldChar w:fldCharType="end"/>
      </w:r>
    </w:p>
    <w:p>
      <w:pPr>
        <w:pStyle w:val="13"/>
        <w:tabs>
          <w:tab w:val="right" w:leader="hyphen" w:pos="9241"/>
        </w:tabs>
        <w:rPr>
          <w:sz w:val="30"/>
          <w:szCs w:val="30"/>
        </w:rPr>
      </w:pPr>
      <w:r>
        <w:rPr>
          <w:rFonts w:hint="eastAsia" w:ascii="宋体" w:hAnsi="宋体"/>
          <w:color w:val="000000"/>
          <w:kern w:val="0"/>
          <w:sz w:val="30"/>
          <w:szCs w:val="30"/>
        </w:rPr>
        <w:fldChar w:fldCharType="begin"/>
      </w:r>
      <w:r>
        <w:rPr>
          <w:rFonts w:hint="eastAsia" w:ascii="宋体" w:hAnsi="宋体"/>
          <w:kern w:val="0"/>
          <w:sz w:val="30"/>
          <w:szCs w:val="30"/>
        </w:rPr>
        <w:instrText xml:space="preserve"> HYPERLINK \l _Toc5294 </w:instrText>
      </w:r>
      <w:r>
        <w:rPr>
          <w:rFonts w:hint="eastAsia" w:ascii="宋体" w:hAnsi="宋体"/>
          <w:kern w:val="0"/>
          <w:sz w:val="30"/>
          <w:szCs w:val="30"/>
        </w:rPr>
        <w:fldChar w:fldCharType="separate"/>
      </w:r>
      <w:r>
        <w:rPr>
          <w:rFonts w:hint="eastAsia" w:ascii="宋体" w:hAnsi="宋体" w:eastAsia="宋体" w:cs="Times New Roman"/>
          <w:bCs/>
          <w:kern w:val="44"/>
          <w:sz w:val="30"/>
          <w:szCs w:val="30"/>
          <w:lang w:val="en-US" w:eastAsia="zh-CN" w:bidi="ar-SA"/>
        </w:rPr>
        <w:t>第三</w:t>
      </w:r>
      <w:r>
        <w:rPr>
          <w:rFonts w:hint="eastAsia" w:ascii="宋体" w:hAnsi="宋体" w:cs="Times New Roman"/>
          <w:bCs/>
          <w:kern w:val="44"/>
          <w:sz w:val="30"/>
          <w:szCs w:val="30"/>
          <w:lang w:val="en-US" w:eastAsia="zh-CN" w:bidi="ar-SA"/>
        </w:rPr>
        <w:t>部分</w:t>
      </w:r>
      <w:r>
        <w:rPr>
          <w:rFonts w:hint="eastAsia" w:ascii="宋体" w:hAnsi="宋体" w:eastAsia="宋体" w:cs="Times New Roman"/>
          <w:bCs/>
          <w:kern w:val="44"/>
          <w:sz w:val="30"/>
          <w:szCs w:val="30"/>
          <w:lang w:val="en-US" w:eastAsia="zh-CN" w:bidi="ar-SA"/>
        </w:rPr>
        <w:t xml:space="preserve">  </w:t>
      </w:r>
      <w:r>
        <w:rPr>
          <w:rFonts w:hint="eastAsia" w:ascii="宋体" w:hAnsi="宋体" w:cs="Times New Roman"/>
          <w:bCs/>
          <w:kern w:val="44"/>
          <w:sz w:val="30"/>
          <w:szCs w:val="30"/>
          <w:lang w:val="en-US" w:eastAsia="zh-CN" w:bidi="ar-SA"/>
        </w:rPr>
        <w:t>招标</w:t>
      </w:r>
      <w:r>
        <w:rPr>
          <w:rFonts w:hint="eastAsia" w:ascii="宋体" w:hAnsi="宋体" w:eastAsia="宋体" w:cs="Times New Roman"/>
          <w:bCs/>
          <w:kern w:val="44"/>
          <w:sz w:val="30"/>
          <w:szCs w:val="30"/>
          <w:lang w:val="en-US" w:eastAsia="zh-CN" w:bidi="ar-SA"/>
        </w:rPr>
        <w:t>需求</w:t>
      </w:r>
      <w:r>
        <w:rPr>
          <w:sz w:val="30"/>
          <w:szCs w:val="30"/>
        </w:rPr>
        <w:tab/>
      </w:r>
      <w:r>
        <w:rPr>
          <w:sz w:val="30"/>
          <w:szCs w:val="30"/>
        </w:rPr>
        <w:fldChar w:fldCharType="begin"/>
      </w:r>
      <w:r>
        <w:rPr>
          <w:sz w:val="30"/>
          <w:szCs w:val="30"/>
        </w:rPr>
        <w:instrText xml:space="preserve"> PAGEREF _Toc5294 \h </w:instrText>
      </w:r>
      <w:r>
        <w:rPr>
          <w:sz w:val="30"/>
          <w:szCs w:val="30"/>
        </w:rPr>
        <w:fldChar w:fldCharType="separate"/>
      </w:r>
      <w:r>
        <w:rPr>
          <w:sz w:val="30"/>
          <w:szCs w:val="30"/>
        </w:rPr>
        <w:t>- 20 -</w:t>
      </w:r>
      <w:r>
        <w:rPr>
          <w:sz w:val="30"/>
          <w:szCs w:val="30"/>
        </w:rPr>
        <w:fldChar w:fldCharType="end"/>
      </w:r>
      <w:r>
        <w:rPr>
          <w:rFonts w:hint="eastAsia" w:ascii="宋体" w:hAnsi="宋体"/>
          <w:color w:val="000000"/>
          <w:kern w:val="0"/>
          <w:sz w:val="30"/>
          <w:szCs w:val="30"/>
        </w:rPr>
        <w:fldChar w:fldCharType="end"/>
      </w:r>
    </w:p>
    <w:p>
      <w:pPr>
        <w:pStyle w:val="13"/>
        <w:tabs>
          <w:tab w:val="right" w:leader="hyphen" w:pos="9241"/>
        </w:tabs>
        <w:rPr>
          <w:sz w:val="30"/>
          <w:szCs w:val="30"/>
        </w:rPr>
      </w:pPr>
      <w:r>
        <w:rPr>
          <w:rFonts w:hint="eastAsia" w:ascii="宋体" w:hAnsi="宋体"/>
          <w:color w:val="000000"/>
          <w:kern w:val="0"/>
          <w:sz w:val="30"/>
          <w:szCs w:val="30"/>
        </w:rPr>
        <w:fldChar w:fldCharType="begin"/>
      </w:r>
      <w:r>
        <w:rPr>
          <w:rFonts w:hint="eastAsia" w:ascii="宋体" w:hAnsi="宋体"/>
          <w:kern w:val="0"/>
          <w:sz w:val="30"/>
          <w:szCs w:val="30"/>
        </w:rPr>
        <w:instrText xml:space="preserve"> HYPERLINK \l _Toc9844 </w:instrText>
      </w:r>
      <w:r>
        <w:rPr>
          <w:rFonts w:hint="eastAsia" w:ascii="宋体" w:hAnsi="宋体"/>
          <w:kern w:val="0"/>
          <w:sz w:val="30"/>
          <w:szCs w:val="30"/>
        </w:rPr>
        <w:fldChar w:fldCharType="separate"/>
      </w:r>
      <w:r>
        <w:rPr>
          <w:rFonts w:hint="eastAsia" w:ascii="宋体" w:hAnsi="宋体" w:eastAsia="宋体" w:cs="Times New Roman"/>
          <w:bCs/>
          <w:kern w:val="44"/>
          <w:sz w:val="30"/>
          <w:szCs w:val="30"/>
          <w:lang w:val="en-US" w:eastAsia="zh-CN" w:bidi="ar-SA"/>
        </w:rPr>
        <w:t>第四部分  合同样本</w:t>
      </w:r>
      <w:r>
        <w:rPr>
          <w:sz w:val="30"/>
          <w:szCs w:val="30"/>
        </w:rPr>
        <w:tab/>
      </w:r>
      <w:r>
        <w:rPr>
          <w:sz w:val="30"/>
          <w:szCs w:val="30"/>
        </w:rPr>
        <w:fldChar w:fldCharType="begin"/>
      </w:r>
      <w:r>
        <w:rPr>
          <w:sz w:val="30"/>
          <w:szCs w:val="30"/>
        </w:rPr>
        <w:instrText xml:space="preserve"> PAGEREF _Toc9844 \h </w:instrText>
      </w:r>
      <w:r>
        <w:rPr>
          <w:sz w:val="30"/>
          <w:szCs w:val="30"/>
        </w:rPr>
        <w:fldChar w:fldCharType="separate"/>
      </w:r>
      <w:r>
        <w:rPr>
          <w:sz w:val="30"/>
          <w:szCs w:val="30"/>
        </w:rPr>
        <w:t>- 24 -</w:t>
      </w:r>
      <w:r>
        <w:rPr>
          <w:sz w:val="30"/>
          <w:szCs w:val="30"/>
        </w:rPr>
        <w:fldChar w:fldCharType="end"/>
      </w:r>
      <w:r>
        <w:rPr>
          <w:rFonts w:hint="eastAsia" w:ascii="宋体" w:hAnsi="宋体"/>
          <w:color w:val="000000"/>
          <w:kern w:val="0"/>
          <w:sz w:val="30"/>
          <w:szCs w:val="30"/>
        </w:rPr>
        <w:fldChar w:fldCharType="end"/>
      </w:r>
    </w:p>
    <w:p>
      <w:pPr>
        <w:pStyle w:val="13"/>
        <w:tabs>
          <w:tab w:val="right" w:leader="hyphen" w:pos="9241"/>
        </w:tabs>
        <w:rPr>
          <w:sz w:val="30"/>
          <w:szCs w:val="30"/>
        </w:rPr>
      </w:pPr>
      <w:r>
        <w:rPr>
          <w:rFonts w:hint="eastAsia" w:ascii="宋体" w:hAnsi="宋体"/>
          <w:color w:val="000000"/>
          <w:kern w:val="0"/>
          <w:sz w:val="30"/>
          <w:szCs w:val="30"/>
        </w:rPr>
        <w:fldChar w:fldCharType="begin"/>
      </w:r>
      <w:r>
        <w:rPr>
          <w:rFonts w:hint="eastAsia" w:ascii="宋体" w:hAnsi="宋体"/>
          <w:kern w:val="0"/>
          <w:sz w:val="30"/>
          <w:szCs w:val="30"/>
        </w:rPr>
        <w:instrText xml:space="preserve"> HYPERLINK \l _Toc6081 </w:instrText>
      </w:r>
      <w:r>
        <w:rPr>
          <w:rFonts w:hint="eastAsia" w:ascii="宋体" w:hAnsi="宋体"/>
          <w:kern w:val="0"/>
          <w:sz w:val="30"/>
          <w:szCs w:val="30"/>
        </w:rPr>
        <w:fldChar w:fldCharType="separate"/>
      </w:r>
      <w:r>
        <w:rPr>
          <w:rFonts w:hint="eastAsia" w:ascii="宋体" w:hAnsi="宋体"/>
          <w:bCs/>
          <w:kern w:val="44"/>
          <w:sz w:val="30"/>
          <w:szCs w:val="30"/>
        </w:rPr>
        <w:t>第五部分  投标文件格式</w:t>
      </w:r>
      <w:r>
        <w:rPr>
          <w:sz w:val="30"/>
          <w:szCs w:val="30"/>
        </w:rPr>
        <w:tab/>
      </w:r>
      <w:r>
        <w:rPr>
          <w:sz w:val="30"/>
          <w:szCs w:val="30"/>
        </w:rPr>
        <w:fldChar w:fldCharType="begin"/>
      </w:r>
      <w:r>
        <w:rPr>
          <w:sz w:val="30"/>
          <w:szCs w:val="30"/>
        </w:rPr>
        <w:instrText xml:space="preserve"> PAGEREF _Toc6081 \h </w:instrText>
      </w:r>
      <w:r>
        <w:rPr>
          <w:sz w:val="30"/>
          <w:szCs w:val="30"/>
        </w:rPr>
        <w:fldChar w:fldCharType="separate"/>
      </w:r>
      <w:r>
        <w:rPr>
          <w:sz w:val="30"/>
          <w:szCs w:val="30"/>
        </w:rPr>
        <w:t>- 26 -</w:t>
      </w:r>
      <w:r>
        <w:rPr>
          <w:sz w:val="30"/>
          <w:szCs w:val="30"/>
        </w:rPr>
        <w:fldChar w:fldCharType="end"/>
      </w:r>
      <w:r>
        <w:rPr>
          <w:rFonts w:hint="eastAsia" w:ascii="宋体" w:hAnsi="宋体"/>
          <w:color w:val="000000"/>
          <w:kern w:val="0"/>
          <w:sz w:val="30"/>
          <w:szCs w:val="30"/>
        </w:rPr>
        <w:fldChar w:fldCharType="end"/>
      </w:r>
    </w:p>
    <w:p>
      <w:pPr>
        <w:widowControl w:val="0"/>
        <w:wordWrap w:val="0"/>
        <w:topLinePunct/>
        <w:adjustRightInd w:val="0"/>
        <w:snapToGrid w:val="0"/>
        <w:spacing w:line="360" w:lineRule="auto"/>
        <w:jc w:val="both"/>
        <w:textAlignment w:val="auto"/>
        <w:rPr>
          <w:rFonts w:hint="eastAsia" w:ascii="宋体" w:hAnsi="宋体"/>
          <w:color w:val="000000"/>
          <w:kern w:val="0"/>
          <w:sz w:val="30"/>
          <w:szCs w:val="30"/>
        </w:rPr>
      </w:pPr>
      <w:r>
        <w:rPr>
          <w:rFonts w:hint="eastAsia" w:ascii="宋体" w:hAnsi="宋体"/>
          <w:color w:val="000000"/>
          <w:kern w:val="0"/>
          <w:sz w:val="30"/>
          <w:szCs w:val="30"/>
        </w:rPr>
        <w:fldChar w:fldCharType="end"/>
      </w:r>
    </w:p>
    <w:p>
      <w:pPr>
        <w:widowControl w:val="0"/>
        <w:wordWrap w:val="0"/>
        <w:topLinePunct/>
        <w:adjustRightInd w:val="0"/>
        <w:snapToGrid w:val="0"/>
        <w:spacing w:line="360" w:lineRule="auto"/>
        <w:jc w:val="both"/>
        <w:textAlignment w:val="auto"/>
        <w:rPr>
          <w:rFonts w:hint="eastAsia" w:ascii="宋体" w:hAnsi="宋体"/>
          <w:color w:val="000000"/>
          <w:kern w:val="0"/>
          <w:sz w:val="30"/>
          <w:szCs w:val="30"/>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r>
        <w:rPr>
          <w:rFonts w:hint="eastAsia"/>
          <w:b/>
          <w:bCs/>
          <w:sz w:val="32"/>
          <w:szCs w:val="32"/>
          <w:lang w:val="en-US" w:eastAsia="zh-CN"/>
        </w:rPr>
        <w:t>投标人注意事项</w:t>
      </w:r>
    </w:p>
    <w:p>
      <w:pPr>
        <w:spacing w:line="360" w:lineRule="auto"/>
        <w:ind w:firstLine="480" w:firstLineChars="200"/>
        <w:rPr>
          <w:rFonts w:hint="eastAsia" w:ascii="宋体" w:hAnsi="宋体"/>
          <w:sz w:val="24"/>
          <w:highlight w:val="none"/>
        </w:rPr>
      </w:pPr>
      <w:r>
        <w:rPr>
          <w:rFonts w:hint="eastAsia" w:ascii="宋体" w:hAnsi="宋体"/>
          <w:sz w:val="24"/>
        </w:rPr>
        <w:t>一、投标人如发现招标文件存在含糊不清、相互矛盾、多种含义条款或是歧视性、排他性等不公正条款或其它违法违规内容时，为保证招标文件的修改留出充足时间，请</w:t>
      </w:r>
      <w:r>
        <w:rPr>
          <w:rFonts w:hint="eastAsia" w:ascii="宋体" w:hAnsi="宋体"/>
          <w:sz w:val="24"/>
          <w:highlight w:val="none"/>
        </w:rPr>
        <w:t>在20</w:t>
      </w:r>
      <w:r>
        <w:rPr>
          <w:rFonts w:hint="eastAsia" w:ascii="宋体" w:hAnsi="宋体"/>
          <w:sz w:val="24"/>
          <w:highlight w:val="none"/>
          <w:lang w:val="en-US" w:eastAsia="zh-CN"/>
        </w:rPr>
        <w:t>25</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日1</w:t>
      </w:r>
      <w:r>
        <w:rPr>
          <w:rFonts w:hint="eastAsia" w:ascii="宋体" w:hAnsi="宋体"/>
          <w:sz w:val="24"/>
          <w:highlight w:val="none"/>
          <w:lang w:val="en-US" w:eastAsia="zh-CN"/>
        </w:rPr>
        <w:t>6</w:t>
      </w:r>
      <w:r>
        <w:rPr>
          <w:rFonts w:hint="eastAsia" w:ascii="宋体" w:hAnsi="宋体"/>
          <w:sz w:val="24"/>
          <w:highlight w:val="none"/>
          <w:lang w:eastAsia="zh-CN"/>
        </w:rPr>
        <w:t>：</w:t>
      </w:r>
      <w:r>
        <w:rPr>
          <w:rFonts w:hint="eastAsia" w:ascii="宋体" w:hAnsi="宋体"/>
          <w:sz w:val="24"/>
          <w:highlight w:val="none"/>
        </w:rPr>
        <w:t>00</w:t>
      </w:r>
      <w:r>
        <w:rPr>
          <w:rFonts w:hint="eastAsia" w:ascii="宋体" w:hAnsi="宋体"/>
          <w:sz w:val="24"/>
          <w:highlight w:val="none"/>
          <w:lang w:eastAsia="zh-CN"/>
        </w:rPr>
        <w:t>时</w:t>
      </w:r>
      <w:r>
        <w:rPr>
          <w:rFonts w:hint="eastAsia" w:ascii="宋体" w:hAnsi="宋体"/>
          <w:sz w:val="24"/>
          <w:highlight w:val="none"/>
        </w:rPr>
        <w:t>前向招标人或招标代理机构提交询问或递交质疑书。</w:t>
      </w:r>
    </w:p>
    <w:p>
      <w:pPr>
        <w:spacing w:line="360" w:lineRule="auto"/>
        <w:ind w:firstLine="480" w:firstLineChars="200"/>
        <w:rPr>
          <w:rFonts w:hint="eastAsia" w:ascii="宋体" w:hAnsi="宋体"/>
          <w:sz w:val="24"/>
        </w:rPr>
      </w:pPr>
      <w:r>
        <w:rPr>
          <w:rFonts w:hint="eastAsia" w:ascii="宋体" w:hAnsi="宋体"/>
          <w:sz w:val="24"/>
        </w:rPr>
        <w:t>二、投标人在制作投标前务必仔细阅读“第二部分 投标人须知”中的前附表、评标程序、被拒绝投标、无效投标、废标等条款及有关表格样张。</w:t>
      </w:r>
    </w:p>
    <w:p>
      <w:pPr>
        <w:spacing w:line="360" w:lineRule="auto"/>
        <w:ind w:firstLine="480" w:firstLineChars="200"/>
        <w:rPr>
          <w:rFonts w:hint="eastAsia" w:ascii="宋体" w:hAnsi="宋体"/>
          <w:sz w:val="24"/>
        </w:rPr>
      </w:pPr>
      <w:r>
        <w:rPr>
          <w:rFonts w:hint="eastAsia" w:ascii="宋体" w:hAnsi="宋体"/>
          <w:sz w:val="24"/>
        </w:rPr>
        <w:t>三、如遇投标截止时间推迟、招标需求变动等，招标代理机构将会发布更正公告（通知），并发放给各潜在投标人。</w:t>
      </w:r>
    </w:p>
    <w:p>
      <w:pPr>
        <w:rPr>
          <w:rFonts w:hint="eastAsia" w:ascii="宋体" w:hAnsi="宋体" w:eastAsia="宋体" w:cs="Times New Roman"/>
          <w:b/>
          <w:bCs/>
          <w:kern w:val="44"/>
          <w:sz w:val="44"/>
          <w:szCs w:val="44"/>
          <w:lang w:val="en-US" w:eastAsia="zh-CN" w:bidi="ar-SA"/>
        </w:rPr>
      </w:pPr>
      <w:r>
        <w:rPr>
          <w:rFonts w:hint="eastAsia" w:ascii="宋体" w:hAnsi="宋体" w:eastAsia="宋体" w:cs="Times New Roman"/>
          <w:b/>
          <w:bCs/>
          <w:kern w:val="44"/>
          <w:sz w:val="44"/>
          <w:szCs w:val="44"/>
          <w:lang w:val="en-US" w:eastAsia="zh-CN" w:bidi="ar-SA"/>
        </w:rPr>
        <w:br w:type="page"/>
      </w:r>
    </w:p>
    <w:p>
      <w:pPr>
        <w:keepNext/>
        <w:keepLines/>
        <w:widowControl w:val="0"/>
        <w:spacing w:before="340" w:after="330" w:line="360" w:lineRule="auto"/>
        <w:jc w:val="center"/>
        <w:outlineLvl w:val="0"/>
        <w:rPr>
          <w:rFonts w:hint="eastAsia" w:ascii="宋体" w:hAnsi="宋体" w:eastAsia="宋体" w:cs="Times New Roman"/>
          <w:b/>
          <w:bCs/>
          <w:kern w:val="44"/>
          <w:sz w:val="44"/>
          <w:szCs w:val="44"/>
          <w:lang w:val="en-US" w:eastAsia="zh-CN" w:bidi="ar-SA"/>
        </w:rPr>
      </w:pPr>
      <w:bookmarkStart w:id="1" w:name="_Toc12133"/>
      <w:r>
        <w:rPr>
          <w:rFonts w:hint="eastAsia" w:ascii="宋体" w:hAnsi="宋体" w:eastAsia="宋体" w:cs="Times New Roman"/>
          <w:b/>
          <w:bCs/>
          <w:kern w:val="44"/>
          <w:sz w:val="44"/>
          <w:szCs w:val="44"/>
          <w:lang w:val="en-US" w:eastAsia="zh-CN" w:bidi="ar-SA"/>
        </w:rPr>
        <w:t>第一部分</w:t>
      </w:r>
      <w:r>
        <w:rPr>
          <w:rFonts w:hint="eastAsia" w:ascii="宋体" w:hAnsi="宋体" w:cs="Times New Roman"/>
          <w:b/>
          <w:bCs/>
          <w:kern w:val="44"/>
          <w:sz w:val="44"/>
          <w:szCs w:val="44"/>
          <w:lang w:val="en-US" w:eastAsia="zh-CN" w:bidi="ar-SA"/>
        </w:rPr>
        <w:t xml:space="preserve"> </w:t>
      </w:r>
      <w:r>
        <w:rPr>
          <w:rFonts w:hint="eastAsia" w:ascii="宋体" w:hAnsi="宋体" w:eastAsia="宋体" w:cs="Times New Roman"/>
          <w:b/>
          <w:bCs/>
          <w:kern w:val="44"/>
          <w:sz w:val="44"/>
          <w:szCs w:val="44"/>
          <w:lang w:val="en-US" w:eastAsia="zh-CN" w:bidi="ar-SA"/>
        </w:rPr>
        <w:t xml:space="preserve"> 招标公告</w:t>
      </w:r>
      <w:bookmarkEnd w:id="1"/>
    </w:p>
    <w:p>
      <w:pPr>
        <w:widowControl/>
        <w:shd w:val="clear" w:color="auto" w:fill="FFFFFF"/>
        <w:spacing w:before="60" w:beforeAutospacing="0" w:after="60" w:afterAutospacing="0" w:line="480" w:lineRule="atLeast"/>
        <w:ind w:left="60" w:right="60" w:firstLine="480"/>
        <w:jc w:val="left"/>
        <w:rPr>
          <w:rFonts w:hint="eastAsia" w:ascii="微软雅黑" w:hAnsi="微软雅黑" w:eastAsia="宋体" w:cs="微软雅黑"/>
          <w:color w:val="333333"/>
          <w:kern w:val="0"/>
          <w:sz w:val="21"/>
          <w:szCs w:val="21"/>
          <w:lang w:val="en-US" w:eastAsia="zh-CN" w:bidi="ar-SA"/>
        </w:rPr>
      </w:pPr>
      <w:r>
        <w:rPr>
          <w:rFonts w:hint="eastAsia" w:ascii="宋体" w:hAnsi="宋体" w:eastAsia="宋体" w:cs="宋体"/>
          <w:color w:val="333333"/>
          <w:kern w:val="0"/>
          <w:sz w:val="24"/>
          <w:szCs w:val="24"/>
          <w:shd w:val="clear" w:color="auto" w:fill="FFFFFF"/>
          <w:lang w:val="en-US" w:eastAsia="zh-CN" w:bidi="ar-SA"/>
        </w:rPr>
        <w:t>根据相关规定，经上级批准，现就未来科技城网络安全防护服务进行公开招标采购。欢迎符合要求并有能力完成本项目的投标人前来投标。</w:t>
      </w:r>
    </w:p>
    <w:p>
      <w:pPr>
        <w:widowControl/>
        <w:shd w:val="clear" w:color="auto" w:fill="FFFFFF"/>
        <w:spacing w:before="60" w:beforeAutospacing="0" w:after="60" w:afterAutospacing="0" w:line="480" w:lineRule="atLeast"/>
        <w:ind w:left="60" w:right="60"/>
        <w:jc w:val="left"/>
        <w:rPr>
          <w:rFonts w:hint="eastAsia" w:ascii="微软雅黑" w:hAnsi="微软雅黑" w:eastAsia="微软雅黑" w:cs="微软雅黑"/>
          <w:color w:val="333333"/>
          <w:kern w:val="0"/>
          <w:sz w:val="21"/>
          <w:szCs w:val="21"/>
          <w:lang w:val="en-US" w:eastAsia="zh-CN" w:bidi="ar-SA"/>
        </w:rPr>
      </w:pPr>
      <w:r>
        <w:rPr>
          <w:rFonts w:hint="eastAsia" w:ascii="宋体" w:hAnsi="宋体" w:eastAsia="宋体" w:cs="宋体"/>
          <w:color w:val="333333"/>
          <w:kern w:val="0"/>
          <w:sz w:val="24"/>
          <w:szCs w:val="24"/>
          <w:shd w:val="clear" w:color="auto" w:fill="FFFFFF"/>
          <w:lang w:val="en-US" w:eastAsia="zh-CN" w:bidi="ar-SA"/>
        </w:rPr>
        <w:t>一、项目名称及编号：</w:t>
      </w:r>
      <w:bookmarkStart w:id="2" w:name="OLE_LINK2"/>
      <w:r>
        <w:rPr>
          <w:rFonts w:hint="eastAsia" w:ascii="宋体" w:hAnsi="宋体" w:eastAsia="宋体" w:cs="宋体"/>
          <w:color w:val="333333"/>
          <w:kern w:val="0"/>
          <w:sz w:val="24"/>
          <w:szCs w:val="24"/>
          <w:shd w:val="clear" w:color="auto" w:fill="FFFFFF"/>
          <w:lang w:val="en-US" w:eastAsia="zh-CN" w:bidi="ar-SA"/>
        </w:rPr>
        <w:t>未来科技城网络安全防护服务</w:t>
      </w:r>
      <w:bookmarkEnd w:id="2"/>
      <w:r>
        <w:rPr>
          <w:rFonts w:hint="eastAsia" w:ascii="宋体" w:hAnsi="宋体" w:eastAsia="宋体" w:cs="宋体"/>
          <w:color w:val="333333"/>
          <w:kern w:val="0"/>
          <w:sz w:val="24"/>
          <w:szCs w:val="24"/>
          <w:shd w:val="clear" w:color="auto" w:fill="FFFFFF"/>
          <w:lang w:val="en-US" w:eastAsia="zh-CN" w:bidi="ar-SA"/>
        </w:rPr>
        <w:t>（招标编号：Y3301100000015475003001）</w:t>
      </w:r>
    </w:p>
    <w:p>
      <w:pPr>
        <w:widowControl/>
        <w:shd w:val="clear" w:color="auto" w:fill="FFFFFF"/>
        <w:spacing w:before="60" w:beforeAutospacing="0" w:after="60" w:afterAutospacing="0" w:line="480" w:lineRule="atLeast"/>
        <w:ind w:left="60" w:right="60"/>
        <w:jc w:val="left"/>
        <w:rPr>
          <w:rFonts w:ascii="微软雅黑" w:hAnsi="微软雅黑" w:eastAsia="宋体" w:cs="微软雅黑"/>
          <w:kern w:val="0"/>
          <w:sz w:val="21"/>
          <w:szCs w:val="21"/>
          <w:lang w:val="en-US" w:eastAsia="zh-CN" w:bidi="ar-SA"/>
        </w:rPr>
      </w:pPr>
      <w:r>
        <w:rPr>
          <w:rFonts w:hint="eastAsia" w:ascii="宋体" w:hAnsi="宋体" w:eastAsia="宋体" w:cs="宋体"/>
          <w:color w:val="333333"/>
          <w:kern w:val="0"/>
          <w:sz w:val="24"/>
          <w:szCs w:val="24"/>
          <w:shd w:val="clear" w:color="auto" w:fill="FFFFFF"/>
          <w:lang w:val="en-US" w:eastAsia="zh-CN" w:bidi="ar-SA"/>
        </w:rPr>
        <w:t>二、</w:t>
      </w:r>
      <w:r>
        <w:rPr>
          <w:rFonts w:hint="eastAsia" w:ascii="宋体" w:hAnsi="宋体" w:cs="宋体"/>
          <w:color w:val="333333"/>
          <w:kern w:val="0"/>
          <w:sz w:val="24"/>
          <w:szCs w:val="24"/>
          <w:shd w:val="clear" w:color="auto" w:fill="FFFFFF"/>
          <w:lang w:val="en-US" w:eastAsia="zh-CN" w:bidi="ar-SA"/>
        </w:rPr>
        <w:t>招标</w:t>
      </w:r>
      <w:r>
        <w:rPr>
          <w:rFonts w:hint="eastAsia" w:ascii="宋体" w:hAnsi="宋体" w:eastAsia="宋体" w:cs="宋体"/>
          <w:color w:val="333333"/>
          <w:kern w:val="0"/>
          <w:sz w:val="24"/>
          <w:szCs w:val="24"/>
          <w:shd w:val="clear" w:color="auto" w:fill="FFFFFF"/>
          <w:lang w:val="en-US" w:eastAsia="zh-CN" w:bidi="ar-SA"/>
        </w:rPr>
        <w:t>方</w:t>
      </w:r>
      <w:r>
        <w:rPr>
          <w:rFonts w:hint="eastAsia" w:ascii="宋体" w:hAnsi="宋体" w:eastAsia="宋体" w:cs="宋体"/>
          <w:kern w:val="0"/>
          <w:sz w:val="24"/>
          <w:szCs w:val="24"/>
          <w:shd w:val="clear" w:color="auto" w:fill="FFFFFF"/>
          <w:lang w:val="en-US" w:eastAsia="zh-CN" w:bidi="ar-SA"/>
        </w:rPr>
        <w:t>式：公开招标</w:t>
      </w:r>
    </w:p>
    <w:p>
      <w:pPr>
        <w:widowControl/>
        <w:shd w:val="clear" w:color="auto" w:fill="FFFFFF"/>
        <w:spacing w:before="60" w:beforeAutospacing="0" w:after="60" w:afterAutospacing="0" w:line="480" w:lineRule="atLeast"/>
        <w:ind w:left="60" w:right="60"/>
        <w:jc w:val="left"/>
        <w:rPr>
          <w:rFonts w:hint="eastAsia" w:ascii="微软雅黑" w:hAnsi="微软雅黑" w:eastAsia="微软雅黑" w:cs="微软雅黑"/>
          <w:kern w:val="0"/>
          <w:sz w:val="21"/>
          <w:szCs w:val="21"/>
          <w:lang w:val="en-US" w:eastAsia="zh-CN" w:bidi="ar-SA"/>
        </w:rPr>
      </w:pPr>
      <w:r>
        <w:rPr>
          <w:rFonts w:hint="eastAsia" w:ascii="宋体" w:hAnsi="宋体" w:eastAsia="宋体" w:cs="宋体"/>
          <w:kern w:val="0"/>
          <w:sz w:val="24"/>
          <w:szCs w:val="24"/>
          <w:shd w:val="clear" w:color="auto" w:fill="FFFFFF"/>
          <w:lang w:val="en-US" w:eastAsia="zh-CN" w:bidi="ar-SA"/>
        </w:rPr>
        <w:t>三、</w:t>
      </w:r>
      <w:r>
        <w:rPr>
          <w:rFonts w:hint="eastAsia" w:ascii="宋体" w:hAnsi="宋体" w:cs="宋体"/>
          <w:kern w:val="0"/>
          <w:sz w:val="24"/>
          <w:szCs w:val="24"/>
          <w:shd w:val="clear" w:color="auto" w:fill="FFFFFF"/>
          <w:lang w:val="en-US" w:eastAsia="zh-CN" w:bidi="ar-SA"/>
        </w:rPr>
        <w:t>招标</w:t>
      </w:r>
      <w:r>
        <w:rPr>
          <w:rFonts w:hint="eastAsia" w:ascii="宋体" w:hAnsi="宋体" w:eastAsia="宋体" w:cs="宋体"/>
          <w:kern w:val="0"/>
          <w:sz w:val="24"/>
          <w:szCs w:val="24"/>
          <w:shd w:val="clear" w:color="auto" w:fill="FFFFFF"/>
          <w:lang w:val="en-US" w:eastAsia="zh-CN" w:bidi="ar-SA"/>
        </w:rPr>
        <w:t>内容：</w:t>
      </w:r>
    </w:p>
    <w:p>
      <w:pPr>
        <w:widowControl/>
        <w:shd w:val="clear" w:color="auto" w:fill="FFFFFF"/>
        <w:spacing w:before="60" w:beforeAutospacing="0" w:after="60" w:afterAutospacing="0" w:line="480" w:lineRule="atLeast"/>
        <w:ind w:left="60" w:right="60" w:firstLine="480"/>
        <w:jc w:val="left"/>
        <w:rPr>
          <w:rFonts w:hint="eastAsia" w:ascii="微软雅黑" w:hAnsi="微软雅黑" w:eastAsia="微软雅黑" w:cs="微软雅黑"/>
          <w:kern w:val="0"/>
          <w:sz w:val="21"/>
          <w:szCs w:val="21"/>
          <w:lang w:val="en-US" w:eastAsia="zh-CN" w:bidi="ar-SA"/>
        </w:rPr>
      </w:pPr>
      <w:r>
        <w:rPr>
          <w:rFonts w:hint="eastAsia" w:ascii="宋体" w:hAnsi="宋体" w:eastAsia="宋体" w:cs="宋体"/>
          <w:kern w:val="0"/>
          <w:sz w:val="24"/>
          <w:szCs w:val="24"/>
          <w:shd w:val="clear" w:color="auto" w:fill="FFFFFF"/>
          <w:lang w:val="en-US" w:eastAsia="zh-CN" w:bidi="ar-SA"/>
        </w:rPr>
        <w:t>本项目</w:t>
      </w:r>
      <w:r>
        <w:rPr>
          <w:rFonts w:hint="eastAsia" w:ascii="宋体" w:hAnsi="宋体" w:cs="宋体"/>
          <w:kern w:val="0"/>
          <w:sz w:val="24"/>
          <w:szCs w:val="24"/>
          <w:shd w:val="clear" w:color="auto" w:fill="FFFFFF"/>
          <w:lang w:val="en-US" w:eastAsia="zh-CN" w:bidi="ar-SA"/>
        </w:rPr>
        <w:t>招标</w:t>
      </w:r>
      <w:r>
        <w:rPr>
          <w:rFonts w:hint="eastAsia" w:ascii="宋体" w:hAnsi="宋体" w:eastAsia="宋体" w:cs="宋体"/>
          <w:kern w:val="0"/>
          <w:sz w:val="24"/>
          <w:szCs w:val="24"/>
          <w:shd w:val="clear" w:color="auto" w:fill="FFFFFF"/>
          <w:lang w:val="en-US" w:eastAsia="zh-CN" w:bidi="ar-SA"/>
        </w:rPr>
        <w:t>内容为未来科技城网络安全防护服务，具体要求详见本招标文件</w:t>
      </w:r>
      <w:r>
        <w:rPr>
          <w:rFonts w:ascii="Arial" w:hAnsi="Arial" w:eastAsia="微软雅黑" w:cs="Arial"/>
          <w:kern w:val="0"/>
          <w:sz w:val="24"/>
          <w:szCs w:val="24"/>
          <w:shd w:val="clear" w:color="auto" w:fill="FFFFFF"/>
          <w:lang w:val="en-US" w:eastAsia="zh-CN" w:bidi="ar-SA"/>
        </w:rPr>
        <w:t>“</w:t>
      </w:r>
      <w:r>
        <w:rPr>
          <w:rFonts w:hint="eastAsia" w:ascii="宋体" w:hAnsi="宋体" w:eastAsia="宋体" w:cs="宋体"/>
          <w:kern w:val="0"/>
          <w:sz w:val="24"/>
          <w:szCs w:val="24"/>
          <w:shd w:val="clear" w:color="auto" w:fill="FFFFFF"/>
          <w:lang w:val="en-US" w:eastAsia="zh-CN" w:bidi="ar-SA"/>
        </w:rPr>
        <w:t>第三部分</w:t>
      </w:r>
      <w:r>
        <w:rPr>
          <w:rFonts w:hint="eastAsia" w:ascii="宋体" w:hAnsi="宋体" w:cs="宋体"/>
          <w:kern w:val="0"/>
          <w:sz w:val="24"/>
          <w:szCs w:val="24"/>
          <w:shd w:val="clear" w:color="auto" w:fill="FFFFFF"/>
          <w:lang w:val="en-US" w:eastAsia="zh-CN" w:bidi="ar-SA"/>
        </w:rPr>
        <w:t>招标</w:t>
      </w:r>
      <w:r>
        <w:rPr>
          <w:rFonts w:hint="eastAsia" w:ascii="宋体" w:hAnsi="宋体" w:eastAsia="宋体" w:cs="宋体"/>
          <w:kern w:val="0"/>
          <w:sz w:val="24"/>
          <w:szCs w:val="24"/>
          <w:shd w:val="clear" w:color="auto" w:fill="FFFFFF"/>
          <w:lang w:val="en-US" w:eastAsia="zh-CN" w:bidi="ar-SA"/>
        </w:rPr>
        <w:t>需求</w:t>
      </w:r>
      <w:r>
        <w:rPr>
          <w:rFonts w:ascii="Arial" w:hAnsi="Arial" w:eastAsia="微软雅黑" w:cs="Arial"/>
          <w:kern w:val="0"/>
          <w:sz w:val="24"/>
          <w:szCs w:val="24"/>
          <w:highlight w:val="none"/>
          <w:shd w:val="clear" w:color="auto" w:fill="FFFFFF"/>
          <w:lang w:val="en-US" w:eastAsia="zh-CN" w:bidi="ar-SA"/>
        </w:rPr>
        <w:t>”</w:t>
      </w:r>
      <w:r>
        <w:rPr>
          <w:rFonts w:hint="eastAsia" w:ascii="宋体" w:hAnsi="宋体" w:eastAsia="宋体" w:cs="宋体"/>
          <w:kern w:val="0"/>
          <w:sz w:val="24"/>
          <w:szCs w:val="24"/>
          <w:highlight w:val="none"/>
          <w:shd w:val="clear" w:color="auto" w:fill="FFFFFF"/>
          <w:lang w:val="en-US" w:eastAsia="zh-CN" w:bidi="ar-SA"/>
        </w:rPr>
        <w:t>。预算金额</w:t>
      </w:r>
      <w:r>
        <w:rPr>
          <w:rFonts w:hint="eastAsia" w:ascii="宋体" w:hAnsi="宋体" w:cs="宋体"/>
          <w:kern w:val="0"/>
          <w:sz w:val="24"/>
          <w:szCs w:val="24"/>
          <w:highlight w:val="none"/>
          <w:shd w:val="clear" w:color="auto" w:fill="FFFFFF"/>
          <w:lang w:val="en-US" w:eastAsia="zh-CN" w:bidi="ar-SA"/>
        </w:rPr>
        <w:t>10</w:t>
      </w:r>
      <w:r>
        <w:rPr>
          <w:rFonts w:hint="eastAsia" w:ascii="宋体" w:hAnsi="宋体" w:eastAsia="宋体" w:cs="宋体"/>
          <w:kern w:val="0"/>
          <w:sz w:val="24"/>
          <w:szCs w:val="24"/>
          <w:highlight w:val="none"/>
          <w:shd w:val="clear" w:color="auto" w:fill="FFFFFF"/>
          <w:lang w:val="en-US" w:eastAsia="zh-CN" w:bidi="ar-SA"/>
        </w:rPr>
        <w:t>万元。</w:t>
      </w:r>
    </w:p>
    <w:p>
      <w:pPr>
        <w:widowControl/>
        <w:shd w:val="clear" w:color="auto" w:fill="FFFFFF"/>
        <w:spacing w:before="60" w:beforeAutospacing="0" w:after="60" w:afterAutospacing="0" w:line="480" w:lineRule="atLeast"/>
        <w:ind w:left="60" w:right="60"/>
        <w:jc w:val="left"/>
        <w:rPr>
          <w:rFonts w:hint="eastAsia" w:ascii="微软雅黑" w:hAnsi="微软雅黑" w:eastAsia="微软雅黑" w:cs="微软雅黑"/>
          <w:color w:val="auto"/>
          <w:kern w:val="0"/>
          <w:sz w:val="21"/>
          <w:szCs w:val="21"/>
          <w:lang w:val="en-US" w:eastAsia="zh-CN" w:bidi="ar-SA"/>
        </w:rPr>
      </w:pPr>
      <w:r>
        <w:rPr>
          <w:rFonts w:hint="eastAsia" w:ascii="宋体" w:hAnsi="宋体" w:eastAsia="宋体" w:cs="宋体"/>
          <w:color w:val="auto"/>
          <w:kern w:val="0"/>
          <w:sz w:val="24"/>
          <w:szCs w:val="24"/>
          <w:shd w:val="clear" w:color="auto" w:fill="FFFFFF"/>
          <w:lang w:val="en-US" w:eastAsia="zh-CN" w:bidi="ar-SA"/>
        </w:rPr>
        <w:t>四、合格投标人的资格要求：</w:t>
      </w:r>
    </w:p>
    <w:p>
      <w:pPr>
        <w:widowControl/>
        <w:shd w:val="clear" w:color="auto" w:fill="FFFFFF"/>
        <w:spacing w:before="60" w:beforeAutospacing="0" w:after="60" w:afterAutospacing="0" w:line="480" w:lineRule="atLeast"/>
        <w:ind w:left="60" w:right="60" w:firstLine="480"/>
        <w:jc w:val="left"/>
        <w:rPr>
          <w:rFonts w:hint="eastAsia" w:ascii="宋体" w:hAnsi="宋体" w:eastAsia="宋体" w:cs="宋体"/>
          <w:color w:val="auto"/>
          <w:kern w:val="0"/>
          <w:sz w:val="24"/>
          <w:szCs w:val="24"/>
          <w:shd w:val="clear" w:color="auto" w:fill="FFFFFF"/>
          <w:lang w:val="en-US" w:eastAsia="zh-CN" w:bidi="ar-SA"/>
        </w:rPr>
      </w:pPr>
      <w:bookmarkStart w:id="3" w:name="OLE_LINK3"/>
      <w:r>
        <w:rPr>
          <w:rFonts w:hint="eastAsia" w:ascii="宋体" w:hAnsi="宋体" w:eastAsia="宋体" w:cs="宋体"/>
          <w:color w:val="auto"/>
          <w:kern w:val="0"/>
          <w:sz w:val="24"/>
          <w:szCs w:val="24"/>
          <w:shd w:val="clear" w:color="auto" w:fill="FFFFFF"/>
          <w:lang w:val="en-US" w:eastAsia="zh-CN" w:bidi="ar-SA"/>
        </w:rPr>
        <w:t>1、具有独立承担民事责任的能力，独立法人资格；</w:t>
      </w:r>
    </w:p>
    <w:p>
      <w:pPr>
        <w:widowControl/>
        <w:shd w:val="clear" w:color="auto" w:fill="FFFFFF"/>
        <w:spacing w:before="60" w:beforeAutospacing="0" w:after="60" w:afterAutospacing="0" w:line="480" w:lineRule="atLeast"/>
        <w:ind w:left="60" w:right="60" w:firstLine="480"/>
        <w:jc w:val="left"/>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2、具有良好的商业信誉和健全的财务会计制度；</w:t>
      </w:r>
    </w:p>
    <w:p>
      <w:pPr>
        <w:widowControl/>
        <w:shd w:val="clear" w:color="auto" w:fill="FFFFFF"/>
        <w:spacing w:before="60" w:beforeAutospacing="0" w:after="60" w:afterAutospacing="0" w:line="480" w:lineRule="atLeast"/>
        <w:ind w:left="60" w:right="60" w:firstLine="480"/>
        <w:jc w:val="left"/>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3、具有履行合同所必需的设备和专业技术能力；</w:t>
      </w:r>
    </w:p>
    <w:p>
      <w:pPr>
        <w:widowControl/>
        <w:shd w:val="clear" w:color="auto" w:fill="FFFFFF"/>
        <w:spacing w:before="60" w:beforeAutospacing="0" w:after="60" w:afterAutospacing="0" w:line="480" w:lineRule="atLeast"/>
        <w:ind w:left="60" w:right="60" w:firstLine="480"/>
        <w:jc w:val="left"/>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4、有依法缴纳税收和社会保障资金的良好记录；</w:t>
      </w:r>
    </w:p>
    <w:p>
      <w:pPr>
        <w:widowControl/>
        <w:shd w:val="clear" w:color="auto" w:fill="FFFFFF"/>
        <w:spacing w:before="60" w:beforeAutospacing="0" w:after="60" w:afterAutospacing="0" w:line="480" w:lineRule="atLeast"/>
        <w:ind w:left="60" w:right="60" w:firstLine="480"/>
        <w:jc w:val="left"/>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5、本项目不接受联合体投标。</w:t>
      </w:r>
      <w:bookmarkEnd w:id="3"/>
    </w:p>
    <w:p>
      <w:pPr>
        <w:widowControl/>
        <w:shd w:val="clear" w:color="auto" w:fill="FFFFFF"/>
        <w:spacing w:before="60" w:beforeAutospacing="0" w:after="60" w:afterAutospacing="0" w:line="480" w:lineRule="atLeast"/>
        <w:ind w:right="60"/>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五、本项目无需报名。投标人的资格仍需接受评标委员会审查。投标人应在投标文件中按招标文件的规定和要求附上所有符合投标人资格要求的证明文件，要求提供的复印件必须加盖单位公章。</w:t>
      </w:r>
    </w:p>
    <w:p>
      <w:pPr>
        <w:widowControl/>
        <w:shd w:val="clear" w:color="auto" w:fill="FFFFFF"/>
        <w:spacing w:before="60" w:beforeAutospacing="0" w:after="60" w:afterAutospacing="0" w:line="480" w:lineRule="atLeast"/>
        <w:ind w:right="60"/>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六、招标文件：招标文件的获取：</w:t>
      </w:r>
    </w:p>
    <w:p>
      <w:pPr>
        <w:widowControl/>
        <w:shd w:val="clear" w:color="auto" w:fill="FFFFFF"/>
        <w:spacing w:before="60" w:beforeAutospacing="0" w:after="60" w:afterAutospacing="0" w:line="480" w:lineRule="atLeast"/>
        <w:ind w:right="60" w:firstLine="480" w:firstLineChars="200"/>
        <w:jc w:val="left"/>
        <w:rPr>
          <w:rFonts w:hint="eastAsia" w:ascii="宋体" w:hAnsi="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招标文件网上自行下载，本招标公告（招标文件下载）在以下网站公开发布：余杭小额交易</w:t>
      </w:r>
      <w:r>
        <w:rPr>
          <w:rFonts w:hint="eastAsia" w:ascii="宋体" w:hAnsi="宋体" w:eastAsia="宋体" w:cs="宋体"/>
          <w:color w:val="333333"/>
          <w:kern w:val="0"/>
          <w:sz w:val="24"/>
          <w:szCs w:val="24"/>
          <w:shd w:val="clear" w:color="auto" w:fill="FFFFFF"/>
          <w:lang w:val="en-US" w:eastAsia="zh-CN" w:bidi="ar-SA"/>
        </w:rPr>
        <w:fldChar w:fldCharType="begin"/>
      </w:r>
      <w:r>
        <w:rPr>
          <w:rFonts w:hint="eastAsia" w:ascii="宋体" w:hAnsi="宋体" w:eastAsia="宋体" w:cs="宋体"/>
          <w:color w:val="333333"/>
          <w:kern w:val="0"/>
          <w:sz w:val="24"/>
          <w:szCs w:val="24"/>
          <w:shd w:val="clear" w:color="auto" w:fill="FFFFFF"/>
          <w:lang w:val="en-US" w:eastAsia="zh-CN" w:bidi="ar-SA"/>
        </w:rPr>
        <w:instrText xml:space="preserve"> HYPERLINK "http://www.yuhang.gov.cn/col/col1229373441/index.html" </w:instrText>
      </w:r>
      <w:r>
        <w:rPr>
          <w:rFonts w:hint="eastAsia" w:ascii="宋体" w:hAnsi="宋体" w:eastAsia="宋体" w:cs="宋体"/>
          <w:color w:val="333333"/>
          <w:kern w:val="0"/>
          <w:sz w:val="24"/>
          <w:szCs w:val="24"/>
          <w:shd w:val="clear" w:color="auto" w:fill="FFFFFF"/>
          <w:lang w:val="en-US" w:eastAsia="zh-CN" w:bidi="ar-SA"/>
        </w:rPr>
        <w:fldChar w:fldCharType="separate"/>
      </w:r>
      <w:r>
        <w:rPr>
          <w:rStyle w:val="19"/>
          <w:rFonts w:hint="eastAsia" w:ascii="宋体" w:hAnsi="宋体" w:eastAsia="宋体" w:cs="宋体"/>
          <w:color w:val="333333"/>
          <w:kern w:val="0"/>
          <w:sz w:val="24"/>
          <w:szCs w:val="24"/>
          <w:shd w:val="clear" w:color="auto" w:fill="FFFFFF"/>
          <w:lang w:val="en-US" w:eastAsia="zh-CN" w:bidi="ar-SA"/>
        </w:rPr>
        <w:t>http://www.yuhang.gov.cn/col/col1229373441/index.html</w:t>
      </w:r>
      <w:r>
        <w:rPr>
          <w:rFonts w:hint="eastAsia" w:ascii="宋体" w:hAnsi="宋体" w:eastAsia="宋体" w:cs="宋体"/>
          <w:color w:val="333333"/>
          <w:kern w:val="0"/>
          <w:sz w:val="24"/>
          <w:szCs w:val="24"/>
          <w:shd w:val="clear" w:color="auto" w:fill="FFFFFF"/>
          <w:lang w:val="en-US" w:eastAsia="zh-CN" w:bidi="ar-SA"/>
        </w:rPr>
        <w:fldChar w:fldCharType="end"/>
      </w:r>
      <w:r>
        <w:rPr>
          <w:rFonts w:hint="eastAsia" w:ascii="宋体" w:hAnsi="宋体" w:cs="宋体"/>
          <w:color w:val="333333"/>
          <w:kern w:val="0"/>
          <w:sz w:val="24"/>
          <w:szCs w:val="24"/>
          <w:shd w:val="clear" w:color="auto" w:fill="FFFFFF"/>
          <w:lang w:val="en-US" w:eastAsia="zh-CN" w:bidi="ar-SA"/>
        </w:rPr>
        <w:t>。</w:t>
      </w:r>
    </w:p>
    <w:p>
      <w:pPr>
        <w:pStyle w:val="9"/>
        <w:ind w:left="0" w:leftChars="0" w:firstLine="0" w:firstLineChars="0"/>
        <w:rPr>
          <w:rFonts w:hint="eastAsia" w:ascii="宋体" w:hAnsi="宋体" w:eastAsia="宋体" w:cs="宋体"/>
          <w:color w:val="auto"/>
          <w:kern w:val="0"/>
          <w:sz w:val="24"/>
          <w:szCs w:val="24"/>
          <w:shd w:val="clear" w:color="auto" w:fill="FFFFFF"/>
          <w:lang w:val="en-US" w:eastAsia="zh-CN" w:bidi="ar-SA"/>
        </w:rPr>
      </w:pPr>
      <w:r>
        <w:rPr>
          <w:rFonts w:hint="eastAsia" w:ascii="宋体" w:hAnsi="宋体" w:cs="宋体"/>
          <w:color w:val="auto"/>
          <w:kern w:val="0"/>
          <w:sz w:val="24"/>
          <w:szCs w:val="24"/>
          <w:shd w:val="clear" w:color="auto" w:fill="FFFFFF"/>
          <w:lang w:val="en-US" w:eastAsia="zh-CN" w:bidi="ar-SA"/>
        </w:rPr>
        <w:t xml:space="preserve">    </w:t>
      </w:r>
      <w:r>
        <w:rPr>
          <w:rFonts w:hint="eastAsia" w:ascii="宋体" w:hAnsi="宋体" w:eastAsia="宋体" w:cs="宋体"/>
          <w:color w:val="auto"/>
          <w:kern w:val="0"/>
          <w:sz w:val="24"/>
          <w:szCs w:val="24"/>
          <w:shd w:val="clear" w:color="auto" w:fill="FFFFFF"/>
          <w:lang w:val="en-US" w:eastAsia="zh-CN" w:bidi="ar-SA"/>
        </w:rPr>
        <w:t>本项目同步在浙江政府采购网（非政府采购）-https://zfcg.czt.zj.gov.cn/ 同步推送。</w:t>
      </w:r>
    </w:p>
    <w:p>
      <w:pPr>
        <w:widowControl/>
        <w:shd w:val="clear" w:color="auto" w:fill="FFFFFF"/>
        <w:spacing w:before="60" w:beforeAutospacing="0" w:after="60" w:afterAutospacing="0" w:line="480" w:lineRule="atLeast"/>
        <w:ind w:right="60"/>
        <w:jc w:val="left"/>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七、投标截止时间与地点（逾期送达或未密封将予以拒收）：</w:t>
      </w:r>
    </w:p>
    <w:p>
      <w:pPr>
        <w:widowControl/>
        <w:shd w:val="clear" w:color="auto" w:fill="FFFFFF"/>
        <w:spacing w:before="60" w:beforeAutospacing="0" w:after="60" w:afterAutospacing="0" w:line="480" w:lineRule="atLeast"/>
        <w:ind w:left="60" w:right="60" w:firstLine="480"/>
        <w:jc w:val="left"/>
        <w:rPr>
          <w:rFonts w:hint="eastAsia" w:ascii="宋体" w:hAnsi="宋体" w:eastAsia="宋体" w:cs="宋体"/>
          <w:color w:val="333333"/>
          <w:kern w:val="0"/>
          <w:sz w:val="24"/>
          <w:szCs w:val="24"/>
          <w:highlight w:val="none"/>
          <w:shd w:val="clear" w:color="auto" w:fill="FFFFFF"/>
          <w:lang w:val="en-US" w:eastAsia="zh-CN" w:bidi="ar-SA"/>
        </w:rPr>
      </w:pPr>
      <w:r>
        <w:rPr>
          <w:rFonts w:hint="eastAsia" w:ascii="宋体" w:hAnsi="宋体" w:eastAsia="宋体" w:cs="宋体"/>
          <w:color w:val="333333"/>
          <w:kern w:val="0"/>
          <w:sz w:val="24"/>
          <w:szCs w:val="24"/>
          <w:highlight w:val="none"/>
          <w:shd w:val="clear" w:color="auto" w:fill="FFFFFF"/>
          <w:lang w:val="en-US" w:eastAsia="zh-CN" w:bidi="ar-SA"/>
        </w:rPr>
        <w:t>时间：202</w:t>
      </w:r>
      <w:r>
        <w:rPr>
          <w:rFonts w:hint="eastAsia" w:ascii="宋体" w:hAnsi="宋体" w:cs="宋体"/>
          <w:color w:val="333333"/>
          <w:kern w:val="0"/>
          <w:sz w:val="24"/>
          <w:szCs w:val="24"/>
          <w:highlight w:val="none"/>
          <w:shd w:val="clear" w:color="auto" w:fill="FFFFFF"/>
          <w:lang w:val="en-US" w:eastAsia="zh-CN" w:bidi="ar-SA"/>
        </w:rPr>
        <w:t>5</w:t>
      </w:r>
      <w:r>
        <w:rPr>
          <w:rFonts w:hint="eastAsia" w:ascii="宋体" w:hAnsi="宋体" w:eastAsia="宋体" w:cs="宋体"/>
          <w:color w:val="333333"/>
          <w:kern w:val="0"/>
          <w:sz w:val="24"/>
          <w:szCs w:val="24"/>
          <w:highlight w:val="none"/>
          <w:shd w:val="clear" w:color="auto" w:fill="FFFFFF"/>
          <w:lang w:val="en-US" w:eastAsia="zh-CN" w:bidi="ar-SA"/>
        </w:rPr>
        <w:t>年</w:t>
      </w:r>
      <w:r>
        <w:rPr>
          <w:rFonts w:hint="eastAsia" w:ascii="宋体" w:hAnsi="宋体" w:cs="宋体"/>
          <w:color w:val="333333"/>
          <w:kern w:val="0"/>
          <w:sz w:val="24"/>
          <w:szCs w:val="24"/>
          <w:highlight w:val="none"/>
          <w:shd w:val="clear" w:color="auto" w:fill="FFFFFF"/>
          <w:lang w:val="en-US" w:eastAsia="zh-CN" w:bidi="ar-SA"/>
        </w:rPr>
        <w:t>7</w:t>
      </w:r>
      <w:r>
        <w:rPr>
          <w:rFonts w:hint="eastAsia" w:ascii="宋体" w:hAnsi="宋体" w:eastAsia="宋体" w:cs="宋体"/>
          <w:color w:val="333333"/>
          <w:kern w:val="0"/>
          <w:sz w:val="24"/>
          <w:szCs w:val="24"/>
          <w:highlight w:val="none"/>
          <w:shd w:val="clear" w:color="auto" w:fill="FFFFFF"/>
          <w:lang w:val="en-US" w:eastAsia="zh-CN" w:bidi="ar-SA"/>
        </w:rPr>
        <w:t>月</w:t>
      </w:r>
      <w:r>
        <w:rPr>
          <w:rFonts w:hint="eastAsia" w:ascii="宋体" w:hAnsi="宋体" w:cs="宋体"/>
          <w:color w:val="333333"/>
          <w:kern w:val="0"/>
          <w:sz w:val="24"/>
          <w:szCs w:val="24"/>
          <w:highlight w:val="none"/>
          <w:shd w:val="clear" w:color="auto" w:fill="FFFFFF"/>
          <w:lang w:val="en-US" w:eastAsia="zh-CN" w:bidi="ar-SA"/>
        </w:rPr>
        <w:t>4</w:t>
      </w:r>
      <w:r>
        <w:rPr>
          <w:rFonts w:hint="eastAsia" w:ascii="宋体" w:hAnsi="宋体" w:eastAsia="宋体" w:cs="宋体"/>
          <w:color w:val="333333"/>
          <w:kern w:val="0"/>
          <w:sz w:val="24"/>
          <w:szCs w:val="24"/>
          <w:highlight w:val="none"/>
          <w:shd w:val="clear" w:color="auto" w:fill="FFFFFF"/>
          <w:lang w:val="en-US" w:eastAsia="zh-CN" w:bidi="ar-SA"/>
        </w:rPr>
        <w:t>日</w:t>
      </w:r>
      <w:r>
        <w:rPr>
          <w:rFonts w:hint="eastAsia" w:ascii="宋体" w:hAnsi="宋体" w:cs="宋体"/>
          <w:color w:val="333333"/>
          <w:kern w:val="0"/>
          <w:sz w:val="24"/>
          <w:szCs w:val="24"/>
          <w:highlight w:val="none"/>
          <w:shd w:val="clear" w:color="auto" w:fill="FFFFFF"/>
          <w:lang w:val="en-US" w:eastAsia="zh-CN" w:bidi="ar-SA"/>
        </w:rPr>
        <w:t>09</w:t>
      </w:r>
      <w:r>
        <w:rPr>
          <w:rFonts w:hint="eastAsia" w:ascii="宋体" w:hAnsi="宋体" w:eastAsia="宋体" w:cs="宋体"/>
          <w:color w:val="333333"/>
          <w:kern w:val="0"/>
          <w:sz w:val="24"/>
          <w:szCs w:val="24"/>
          <w:highlight w:val="none"/>
          <w:shd w:val="clear" w:color="auto" w:fill="FFFFFF"/>
          <w:lang w:val="en-US" w:eastAsia="zh-CN" w:bidi="ar-SA"/>
        </w:rPr>
        <w:t>时</w:t>
      </w:r>
      <w:r>
        <w:rPr>
          <w:rFonts w:hint="eastAsia" w:ascii="宋体" w:hAnsi="宋体" w:cs="宋体"/>
          <w:color w:val="333333"/>
          <w:kern w:val="0"/>
          <w:sz w:val="24"/>
          <w:szCs w:val="24"/>
          <w:highlight w:val="none"/>
          <w:shd w:val="clear" w:color="auto" w:fill="FFFFFF"/>
          <w:lang w:val="en-US" w:eastAsia="zh-CN" w:bidi="ar-SA"/>
        </w:rPr>
        <w:t>30</w:t>
      </w:r>
      <w:r>
        <w:rPr>
          <w:rFonts w:hint="eastAsia" w:ascii="宋体" w:hAnsi="宋体" w:eastAsia="宋体" w:cs="宋体"/>
          <w:color w:val="333333"/>
          <w:kern w:val="0"/>
          <w:sz w:val="24"/>
          <w:szCs w:val="24"/>
          <w:highlight w:val="none"/>
          <w:shd w:val="clear" w:color="auto" w:fill="FFFFFF"/>
          <w:lang w:val="en-US" w:eastAsia="zh-CN" w:bidi="ar-SA"/>
        </w:rPr>
        <w:t>分；</w:t>
      </w:r>
    </w:p>
    <w:p>
      <w:pPr>
        <w:widowControl/>
        <w:shd w:val="clear" w:color="auto" w:fill="FFFFFF"/>
        <w:spacing w:before="60" w:beforeAutospacing="0" w:after="60" w:afterAutospacing="0" w:line="480" w:lineRule="atLeast"/>
        <w:ind w:left="60" w:right="60" w:firstLine="480"/>
        <w:jc w:val="left"/>
        <w:rPr>
          <w:rFonts w:hint="eastAsia" w:ascii="宋体" w:hAnsi="宋体" w:eastAsia="宋体" w:cs="宋体"/>
          <w:color w:val="333333"/>
          <w:kern w:val="0"/>
          <w:sz w:val="24"/>
          <w:szCs w:val="24"/>
          <w:highlight w:val="none"/>
          <w:shd w:val="clear" w:color="auto" w:fill="FFFFFF"/>
          <w:lang w:val="en-US" w:eastAsia="zh-CN" w:bidi="ar-SA"/>
        </w:rPr>
      </w:pPr>
      <w:r>
        <w:rPr>
          <w:rFonts w:hint="eastAsia" w:ascii="宋体" w:hAnsi="宋体" w:eastAsia="宋体" w:cs="宋体"/>
          <w:color w:val="333333"/>
          <w:kern w:val="0"/>
          <w:sz w:val="24"/>
          <w:szCs w:val="24"/>
          <w:highlight w:val="none"/>
          <w:shd w:val="clear" w:color="auto" w:fill="FFFFFF"/>
          <w:lang w:val="en-US" w:eastAsia="zh-CN" w:bidi="ar-SA"/>
        </w:rPr>
        <w:t>地点：杭州市余杭区景兴路999号梦想小镇天使村10幢A座2楼开标室。</w:t>
      </w:r>
    </w:p>
    <w:p>
      <w:pPr>
        <w:widowControl/>
        <w:shd w:val="clear" w:color="auto" w:fill="FFFFFF"/>
        <w:spacing w:before="60" w:beforeAutospacing="0" w:after="60" w:afterAutospacing="0" w:line="480" w:lineRule="atLeast"/>
        <w:ind w:right="60"/>
        <w:jc w:val="left"/>
        <w:rPr>
          <w:rFonts w:hint="eastAsia" w:ascii="宋体" w:hAnsi="宋体" w:eastAsia="宋体" w:cs="宋体"/>
          <w:color w:val="333333"/>
          <w:kern w:val="0"/>
          <w:sz w:val="24"/>
          <w:szCs w:val="24"/>
          <w:highlight w:val="none"/>
          <w:shd w:val="clear" w:color="auto" w:fill="FFFFFF"/>
          <w:lang w:val="en-US" w:eastAsia="zh-CN" w:bidi="ar-SA"/>
        </w:rPr>
      </w:pPr>
      <w:r>
        <w:rPr>
          <w:rFonts w:hint="eastAsia" w:ascii="宋体" w:hAnsi="宋体" w:eastAsia="宋体" w:cs="宋体"/>
          <w:color w:val="333333"/>
          <w:kern w:val="0"/>
          <w:sz w:val="24"/>
          <w:szCs w:val="24"/>
          <w:highlight w:val="none"/>
          <w:shd w:val="clear" w:color="auto" w:fill="FFFFFF"/>
          <w:lang w:val="en-US" w:eastAsia="zh-CN" w:bidi="ar-SA"/>
        </w:rPr>
        <w:t>八、开标时间与地点：</w:t>
      </w:r>
    </w:p>
    <w:p>
      <w:pPr>
        <w:widowControl/>
        <w:shd w:val="clear" w:color="auto" w:fill="FFFFFF"/>
        <w:spacing w:before="60" w:beforeAutospacing="0" w:after="60" w:afterAutospacing="0" w:line="480" w:lineRule="atLeast"/>
        <w:ind w:left="60" w:right="60" w:firstLine="480"/>
        <w:jc w:val="left"/>
        <w:rPr>
          <w:rFonts w:hint="eastAsia" w:ascii="宋体" w:hAnsi="宋体" w:eastAsia="宋体" w:cs="宋体"/>
          <w:color w:val="333333"/>
          <w:kern w:val="0"/>
          <w:sz w:val="24"/>
          <w:szCs w:val="24"/>
          <w:highlight w:val="none"/>
          <w:shd w:val="clear" w:color="auto" w:fill="FFFFFF"/>
          <w:lang w:val="en-US" w:eastAsia="zh-CN" w:bidi="ar-SA"/>
        </w:rPr>
      </w:pPr>
      <w:r>
        <w:rPr>
          <w:rFonts w:hint="eastAsia" w:ascii="宋体" w:hAnsi="宋体" w:eastAsia="宋体" w:cs="宋体"/>
          <w:color w:val="333333"/>
          <w:kern w:val="0"/>
          <w:sz w:val="24"/>
          <w:szCs w:val="24"/>
          <w:highlight w:val="none"/>
          <w:shd w:val="clear" w:color="auto" w:fill="FFFFFF"/>
          <w:lang w:val="en-US" w:eastAsia="zh-CN" w:bidi="ar-SA"/>
        </w:rPr>
        <w:t>时间：202</w:t>
      </w:r>
      <w:r>
        <w:rPr>
          <w:rFonts w:hint="eastAsia" w:ascii="宋体" w:hAnsi="宋体" w:cs="宋体"/>
          <w:color w:val="333333"/>
          <w:kern w:val="0"/>
          <w:sz w:val="24"/>
          <w:szCs w:val="24"/>
          <w:highlight w:val="none"/>
          <w:shd w:val="clear" w:color="auto" w:fill="FFFFFF"/>
          <w:lang w:val="en-US" w:eastAsia="zh-CN" w:bidi="ar-SA"/>
        </w:rPr>
        <w:t>5</w:t>
      </w:r>
      <w:r>
        <w:rPr>
          <w:rFonts w:hint="eastAsia" w:ascii="宋体" w:hAnsi="宋体" w:eastAsia="宋体" w:cs="宋体"/>
          <w:color w:val="333333"/>
          <w:kern w:val="0"/>
          <w:sz w:val="24"/>
          <w:szCs w:val="24"/>
          <w:highlight w:val="none"/>
          <w:shd w:val="clear" w:color="auto" w:fill="FFFFFF"/>
          <w:lang w:val="en-US" w:eastAsia="zh-CN" w:bidi="ar-SA"/>
        </w:rPr>
        <w:t>年</w:t>
      </w:r>
      <w:r>
        <w:rPr>
          <w:rFonts w:hint="eastAsia" w:ascii="宋体" w:hAnsi="宋体" w:cs="宋体"/>
          <w:color w:val="333333"/>
          <w:kern w:val="0"/>
          <w:sz w:val="24"/>
          <w:szCs w:val="24"/>
          <w:highlight w:val="none"/>
          <w:shd w:val="clear" w:color="auto" w:fill="FFFFFF"/>
          <w:lang w:val="en-US" w:eastAsia="zh-CN" w:bidi="ar-SA"/>
        </w:rPr>
        <w:t>7</w:t>
      </w:r>
      <w:r>
        <w:rPr>
          <w:rFonts w:hint="eastAsia" w:ascii="宋体" w:hAnsi="宋体" w:eastAsia="宋体" w:cs="宋体"/>
          <w:color w:val="333333"/>
          <w:kern w:val="0"/>
          <w:sz w:val="24"/>
          <w:szCs w:val="24"/>
          <w:highlight w:val="none"/>
          <w:shd w:val="clear" w:color="auto" w:fill="FFFFFF"/>
          <w:lang w:val="en-US" w:eastAsia="zh-CN" w:bidi="ar-SA"/>
        </w:rPr>
        <w:t>月</w:t>
      </w:r>
      <w:r>
        <w:rPr>
          <w:rFonts w:hint="eastAsia" w:ascii="宋体" w:hAnsi="宋体" w:cs="宋体"/>
          <w:color w:val="333333"/>
          <w:kern w:val="0"/>
          <w:sz w:val="24"/>
          <w:szCs w:val="24"/>
          <w:highlight w:val="none"/>
          <w:shd w:val="clear" w:color="auto" w:fill="FFFFFF"/>
          <w:lang w:val="en-US" w:eastAsia="zh-CN" w:bidi="ar-SA"/>
        </w:rPr>
        <w:t>4</w:t>
      </w:r>
      <w:r>
        <w:rPr>
          <w:rFonts w:hint="eastAsia" w:ascii="宋体" w:hAnsi="宋体" w:eastAsia="宋体" w:cs="宋体"/>
          <w:color w:val="333333"/>
          <w:kern w:val="0"/>
          <w:sz w:val="24"/>
          <w:szCs w:val="24"/>
          <w:highlight w:val="none"/>
          <w:shd w:val="clear" w:color="auto" w:fill="FFFFFF"/>
          <w:lang w:val="en-US" w:eastAsia="zh-CN" w:bidi="ar-SA"/>
        </w:rPr>
        <w:t>日</w:t>
      </w:r>
      <w:r>
        <w:rPr>
          <w:rFonts w:hint="eastAsia" w:ascii="宋体" w:hAnsi="宋体" w:cs="宋体"/>
          <w:color w:val="333333"/>
          <w:kern w:val="0"/>
          <w:sz w:val="24"/>
          <w:szCs w:val="24"/>
          <w:highlight w:val="none"/>
          <w:shd w:val="clear" w:color="auto" w:fill="FFFFFF"/>
          <w:lang w:val="en-US" w:eastAsia="zh-CN" w:bidi="ar-SA"/>
        </w:rPr>
        <w:t>09</w:t>
      </w:r>
      <w:r>
        <w:rPr>
          <w:rFonts w:hint="eastAsia" w:ascii="宋体" w:hAnsi="宋体" w:eastAsia="宋体" w:cs="宋体"/>
          <w:color w:val="333333"/>
          <w:kern w:val="0"/>
          <w:sz w:val="24"/>
          <w:szCs w:val="24"/>
          <w:highlight w:val="none"/>
          <w:shd w:val="clear" w:color="auto" w:fill="FFFFFF"/>
          <w:lang w:val="en-US" w:eastAsia="zh-CN" w:bidi="ar-SA"/>
        </w:rPr>
        <w:t>时</w:t>
      </w:r>
      <w:r>
        <w:rPr>
          <w:rFonts w:hint="eastAsia" w:ascii="宋体" w:hAnsi="宋体" w:cs="宋体"/>
          <w:color w:val="333333"/>
          <w:kern w:val="0"/>
          <w:sz w:val="24"/>
          <w:szCs w:val="24"/>
          <w:highlight w:val="none"/>
          <w:shd w:val="clear" w:color="auto" w:fill="FFFFFF"/>
          <w:lang w:val="en-US" w:eastAsia="zh-CN" w:bidi="ar-SA"/>
        </w:rPr>
        <w:t>30</w:t>
      </w:r>
      <w:r>
        <w:rPr>
          <w:rFonts w:hint="eastAsia" w:ascii="宋体" w:hAnsi="宋体" w:eastAsia="宋体" w:cs="宋体"/>
          <w:color w:val="333333"/>
          <w:kern w:val="0"/>
          <w:sz w:val="24"/>
          <w:szCs w:val="24"/>
          <w:highlight w:val="none"/>
          <w:shd w:val="clear" w:color="auto" w:fill="FFFFFF"/>
          <w:lang w:val="en-US" w:eastAsia="zh-CN" w:bidi="ar-SA"/>
        </w:rPr>
        <w:t>分；</w:t>
      </w:r>
    </w:p>
    <w:p>
      <w:pPr>
        <w:widowControl/>
        <w:shd w:val="clear" w:color="auto" w:fill="FFFFFF"/>
        <w:spacing w:before="60" w:beforeAutospacing="0" w:after="60" w:afterAutospacing="0" w:line="480" w:lineRule="atLeast"/>
        <w:ind w:left="60" w:right="60" w:firstLine="480"/>
        <w:jc w:val="left"/>
        <w:rPr>
          <w:rFonts w:hint="eastAsia" w:ascii="宋体" w:hAnsi="宋体" w:eastAsia="宋体" w:cs="宋体"/>
          <w:color w:val="333333"/>
          <w:kern w:val="0"/>
          <w:sz w:val="24"/>
          <w:szCs w:val="24"/>
          <w:highlight w:val="none"/>
          <w:shd w:val="clear" w:color="auto" w:fill="FFFFFF"/>
          <w:lang w:val="en-US" w:eastAsia="zh-CN" w:bidi="ar-SA"/>
        </w:rPr>
      </w:pPr>
      <w:r>
        <w:rPr>
          <w:rFonts w:hint="eastAsia" w:ascii="宋体" w:hAnsi="宋体" w:eastAsia="宋体" w:cs="宋体"/>
          <w:color w:val="333333"/>
          <w:kern w:val="0"/>
          <w:sz w:val="24"/>
          <w:szCs w:val="24"/>
          <w:highlight w:val="none"/>
          <w:shd w:val="clear" w:color="auto" w:fill="FFFFFF"/>
          <w:lang w:val="en-US" w:eastAsia="zh-CN" w:bidi="ar-SA"/>
        </w:rPr>
        <w:t>地点：杭州市余杭区景兴路999号梦想小镇天使村10幢A座2楼开标室。</w:t>
      </w:r>
    </w:p>
    <w:p>
      <w:pPr>
        <w:widowControl/>
        <w:shd w:val="clear" w:color="auto" w:fill="FFFFFF"/>
        <w:spacing w:before="60" w:beforeAutospacing="0" w:after="60" w:afterAutospacing="0" w:line="480" w:lineRule="atLeast"/>
        <w:ind w:right="60"/>
        <w:jc w:val="left"/>
        <w:rPr>
          <w:rFonts w:hint="eastAsia" w:ascii="宋体" w:hAnsi="宋体" w:eastAsia="宋体" w:cs="宋体"/>
          <w:color w:val="333333"/>
          <w:kern w:val="0"/>
          <w:sz w:val="24"/>
          <w:szCs w:val="24"/>
          <w:highlight w:val="none"/>
          <w:shd w:val="clear" w:color="auto" w:fill="FFFFFF"/>
          <w:lang w:val="en-US" w:eastAsia="zh-CN" w:bidi="ar-SA"/>
        </w:rPr>
      </w:pPr>
      <w:r>
        <w:rPr>
          <w:rFonts w:hint="eastAsia" w:ascii="宋体" w:hAnsi="宋体" w:eastAsia="宋体" w:cs="宋体"/>
          <w:color w:val="333333"/>
          <w:kern w:val="0"/>
          <w:sz w:val="24"/>
          <w:szCs w:val="24"/>
          <w:highlight w:val="none"/>
          <w:shd w:val="clear" w:color="auto" w:fill="FFFFFF"/>
          <w:lang w:val="en-US" w:eastAsia="zh-CN" w:bidi="ar-SA"/>
        </w:rPr>
        <w:t>九、投标保证金（元）：不采用。</w:t>
      </w:r>
    </w:p>
    <w:p>
      <w:pPr>
        <w:widowControl/>
        <w:shd w:val="clear" w:color="auto" w:fill="FFFFFF"/>
        <w:spacing w:before="60" w:beforeAutospacing="0" w:after="60" w:afterAutospacing="0" w:line="480" w:lineRule="atLeast"/>
        <w:ind w:right="60"/>
        <w:jc w:val="left"/>
        <w:rPr>
          <w:rFonts w:hint="eastAsia" w:ascii="宋体" w:hAnsi="宋体" w:eastAsia="宋体" w:cs="宋体"/>
          <w:color w:val="333333"/>
          <w:kern w:val="0"/>
          <w:sz w:val="24"/>
          <w:szCs w:val="24"/>
          <w:highlight w:val="none"/>
          <w:shd w:val="clear" w:color="auto" w:fill="FFFFFF"/>
          <w:lang w:val="en-US" w:eastAsia="zh-CN" w:bidi="ar-SA"/>
        </w:rPr>
      </w:pPr>
      <w:r>
        <w:rPr>
          <w:rFonts w:hint="eastAsia" w:ascii="宋体" w:hAnsi="宋体" w:eastAsia="宋体" w:cs="宋体"/>
          <w:color w:val="333333"/>
          <w:kern w:val="0"/>
          <w:sz w:val="24"/>
          <w:szCs w:val="24"/>
          <w:highlight w:val="none"/>
          <w:shd w:val="clear" w:color="auto" w:fill="FFFFFF"/>
          <w:lang w:val="en-US" w:eastAsia="zh-CN" w:bidi="ar-SA"/>
        </w:rPr>
        <w:t>十、联系方式</w:t>
      </w:r>
    </w:p>
    <w:p>
      <w:pPr>
        <w:widowControl/>
        <w:shd w:val="clear" w:color="auto" w:fill="FFFFFF"/>
        <w:spacing w:before="60" w:beforeAutospacing="0" w:after="60" w:afterAutospacing="0" w:line="480" w:lineRule="atLeast"/>
        <w:ind w:left="60" w:right="60" w:firstLine="480"/>
        <w:jc w:val="left"/>
        <w:rPr>
          <w:rFonts w:hint="eastAsia" w:ascii="宋体" w:hAnsi="宋体" w:eastAsia="宋体" w:cs="宋体"/>
          <w:color w:val="333333"/>
          <w:kern w:val="0"/>
          <w:sz w:val="24"/>
          <w:szCs w:val="24"/>
          <w:highlight w:val="none"/>
          <w:shd w:val="clear" w:color="auto" w:fill="FFFFFF"/>
          <w:lang w:val="en-US" w:eastAsia="zh-CN" w:bidi="ar-SA"/>
        </w:rPr>
      </w:pPr>
      <w:r>
        <w:rPr>
          <w:rFonts w:hint="eastAsia" w:ascii="宋体" w:hAnsi="宋体" w:eastAsia="宋体" w:cs="宋体"/>
          <w:color w:val="333333"/>
          <w:kern w:val="0"/>
          <w:sz w:val="24"/>
          <w:szCs w:val="24"/>
          <w:highlight w:val="none"/>
          <w:shd w:val="clear" w:color="auto" w:fill="FFFFFF"/>
          <w:lang w:val="en-US" w:eastAsia="zh-CN" w:bidi="ar-SA"/>
        </w:rPr>
        <w:t>招标人名称：浙江杭州未来科技城（海创园）管理委员会</w:t>
      </w:r>
    </w:p>
    <w:p>
      <w:pPr>
        <w:widowControl/>
        <w:shd w:val="clear" w:color="auto" w:fill="FFFFFF"/>
        <w:spacing w:before="60" w:beforeAutospacing="0" w:after="60" w:afterAutospacing="0" w:line="480" w:lineRule="atLeast"/>
        <w:ind w:left="60" w:right="60" w:firstLine="480"/>
        <w:jc w:val="left"/>
        <w:rPr>
          <w:rFonts w:hint="default" w:ascii="宋体" w:hAnsi="宋体" w:eastAsia="宋体" w:cs="宋体"/>
          <w:color w:val="333333"/>
          <w:kern w:val="0"/>
          <w:sz w:val="24"/>
          <w:szCs w:val="24"/>
          <w:highlight w:val="none"/>
          <w:shd w:val="clear" w:color="auto" w:fill="FFFFFF"/>
          <w:lang w:val="en-US" w:eastAsia="zh-CN" w:bidi="ar-SA"/>
        </w:rPr>
      </w:pPr>
      <w:r>
        <w:rPr>
          <w:rFonts w:hint="eastAsia" w:ascii="宋体" w:hAnsi="宋体" w:eastAsia="宋体" w:cs="宋体"/>
          <w:color w:val="333333"/>
          <w:kern w:val="0"/>
          <w:sz w:val="24"/>
          <w:szCs w:val="24"/>
          <w:highlight w:val="none"/>
          <w:shd w:val="clear" w:color="auto" w:fill="FFFFFF"/>
          <w:lang w:val="en-US" w:eastAsia="zh-CN" w:bidi="ar-SA"/>
        </w:rPr>
        <w:t>联系人：</w:t>
      </w:r>
      <w:r>
        <w:rPr>
          <w:rFonts w:hint="eastAsia" w:ascii="宋体" w:hAnsi="宋体" w:cs="宋体"/>
          <w:color w:val="333333"/>
          <w:kern w:val="0"/>
          <w:sz w:val="24"/>
          <w:szCs w:val="24"/>
          <w:highlight w:val="none"/>
          <w:shd w:val="clear" w:color="auto" w:fill="FFFFFF"/>
          <w:lang w:val="en-US" w:eastAsia="zh-CN" w:bidi="ar-SA"/>
        </w:rPr>
        <w:t>赵倩倩</w:t>
      </w:r>
      <w:r>
        <w:rPr>
          <w:rFonts w:hint="eastAsia" w:ascii="宋体" w:hAnsi="宋体" w:eastAsia="宋体" w:cs="宋体"/>
          <w:color w:val="333333"/>
          <w:kern w:val="0"/>
          <w:sz w:val="24"/>
          <w:szCs w:val="24"/>
          <w:highlight w:val="none"/>
          <w:shd w:val="clear" w:color="auto" w:fill="FFFFFF"/>
          <w:lang w:val="en-US" w:eastAsia="zh-CN" w:bidi="ar-SA"/>
        </w:rPr>
        <w:t xml:space="preserve">  </w:t>
      </w:r>
      <w:r>
        <w:rPr>
          <w:rFonts w:hint="eastAsia" w:ascii="宋体" w:hAnsi="宋体" w:cs="宋体"/>
          <w:color w:val="333333"/>
          <w:kern w:val="0"/>
          <w:sz w:val="24"/>
          <w:szCs w:val="24"/>
          <w:highlight w:val="none"/>
          <w:shd w:val="clear" w:color="auto" w:fill="FFFFFF"/>
          <w:lang w:val="en-US" w:eastAsia="zh-CN" w:bidi="ar-SA"/>
        </w:rPr>
        <w:t xml:space="preserve">  </w:t>
      </w:r>
      <w:r>
        <w:rPr>
          <w:rFonts w:hint="eastAsia" w:ascii="宋体" w:hAnsi="宋体" w:eastAsia="宋体" w:cs="宋体"/>
          <w:color w:val="333333"/>
          <w:kern w:val="0"/>
          <w:sz w:val="24"/>
          <w:szCs w:val="24"/>
          <w:highlight w:val="none"/>
          <w:shd w:val="clear" w:color="auto" w:fill="FFFFFF"/>
          <w:lang w:val="en-US" w:eastAsia="zh-CN" w:bidi="ar-SA"/>
        </w:rPr>
        <w:t xml:space="preserve">  联系电话：</w:t>
      </w:r>
      <w:r>
        <w:rPr>
          <w:rFonts w:hint="eastAsia" w:ascii="宋体" w:hAnsi="宋体" w:cs="宋体"/>
          <w:color w:val="333333"/>
          <w:kern w:val="0"/>
          <w:sz w:val="24"/>
          <w:szCs w:val="24"/>
          <w:highlight w:val="none"/>
          <w:shd w:val="clear" w:color="auto" w:fill="FFFFFF"/>
          <w:lang w:val="en-US" w:eastAsia="zh-CN" w:bidi="ar-SA"/>
        </w:rPr>
        <w:t>0571-88607993</w:t>
      </w:r>
    </w:p>
    <w:p>
      <w:pPr>
        <w:widowControl/>
        <w:shd w:val="clear" w:color="auto" w:fill="FFFFFF"/>
        <w:spacing w:before="60" w:beforeAutospacing="0" w:after="60" w:afterAutospacing="0" w:line="480" w:lineRule="atLeast"/>
        <w:ind w:left="60" w:right="60" w:firstLine="480"/>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代理机构名称：浙江国信工程管理咨询有限公司</w:t>
      </w:r>
    </w:p>
    <w:p>
      <w:pPr>
        <w:widowControl/>
        <w:shd w:val="clear" w:color="auto" w:fill="FFFFFF"/>
        <w:spacing w:before="60" w:beforeAutospacing="0" w:after="60" w:afterAutospacing="0" w:line="480" w:lineRule="atLeast"/>
        <w:ind w:left="60" w:right="60" w:firstLine="480"/>
        <w:jc w:val="left"/>
        <w:rPr>
          <w:rFonts w:hint="default"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联系人：</w:t>
      </w:r>
      <w:r>
        <w:rPr>
          <w:rFonts w:hint="eastAsia" w:ascii="宋体" w:hAnsi="宋体" w:cs="宋体"/>
          <w:color w:val="333333"/>
          <w:kern w:val="0"/>
          <w:sz w:val="24"/>
          <w:szCs w:val="24"/>
          <w:shd w:val="clear" w:color="auto" w:fill="FFFFFF"/>
          <w:lang w:val="en-US" w:eastAsia="zh-CN" w:bidi="ar-SA"/>
        </w:rPr>
        <w:t>莫鹏强</w:t>
      </w:r>
      <w:r>
        <w:rPr>
          <w:rFonts w:hint="eastAsia" w:ascii="宋体" w:hAnsi="宋体" w:eastAsia="宋体" w:cs="宋体"/>
          <w:color w:val="333333"/>
          <w:kern w:val="0"/>
          <w:sz w:val="24"/>
          <w:szCs w:val="24"/>
          <w:shd w:val="clear" w:color="auto" w:fill="FFFFFF"/>
          <w:lang w:val="en-US" w:eastAsia="zh-CN" w:bidi="ar-SA"/>
        </w:rPr>
        <w:t xml:space="preserve">        联系电话：</w:t>
      </w:r>
      <w:r>
        <w:rPr>
          <w:rFonts w:hint="eastAsia" w:ascii="宋体" w:hAnsi="宋体" w:cs="宋体"/>
          <w:color w:val="333333"/>
          <w:kern w:val="0"/>
          <w:sz w:val="24"/>
          <w:szCs w:val="24"/>
          <w:shd w:val="clear" w:color="auto" w:fill="FFFFFF"/>
          <w:lang w:val="en-US" w:eastAsia="zh-CN" w:bidi="ar-SA"/>
        </w:rPr>
        <w:t>15267124647</w:t>
      </w:r>
    </w:p>
    <w:p>
      <w:pPr>
        <w:widowControl/>
        <w:shd w:val="clear" w:color="auto" w:fill="FFFFFF"/>
        <w:spacing w:before="60" w:beforeAutospacing="0" w:after="60" w:afterAutospacing="0" w:line="480" w:lineRule="atLeast"/>
        <w:ind w:left="60" w:right="60" w:firstLine="480"/>
        <w:jc w:val="left"/>
        <w:rPr>
          <w:rFonts w:hint="default"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地址：杭州市临平区</w:t>
      </w:r>
      <w:r>
        <w:rPr>
          <w:rFonts w:hint="eastAsia" w:ascii="宋体" w:hAnsi="宋体" w:cs="宋体"/>
          <w:color w:val="333333"/>
          <w:kern w:val="0"/>
          <w:sz w:val="24"/>
          <w:szCs w:val="24"/>
          <w:shd w:val="clear" w:color="auto" w:fill="FFFFFF"/>
          <w:lang w:val="en-US" w:eastAsia="zh-CN" w:bidi="ar-SA"/>
        </w:rPr>
        <w:t>北沙西路18号经纬中耀大厦A座6楼</w:t>
      </w:r>
    </w:p>
    <w:p>
      <w:pPr>
        <w:rPr>
          <w:rFonts w:hint="eastAsia" w:ascii="宋体" w:hAnsi="宋体" w:eastAsia="宋体" w:cs="Times New Roman"/>
          <w:b/>
          <w:bCs/>
          <w:kern w:val="44"/>
          <w:sz w:val="44"/>
          <w:szCs w:val="44"/>
          <w:lang w:val="en-US" w:eastAsia="zh-CN" w:bidi="ar-SA"/>
        </w:rPr>
      </w:pPr>
      <w:r>
        <w:rPr>
          <w:rFonts w:hint="eastAsia" w:ascii="宋体" w:hAnsi="宋体" w:eastAsia="宋体" w:cs="Times New Roman"/>
          <w:b/>
          <w:bCs/>
          <w:kern w:val="44"/>
          <w:sz w:val="44"/>
          <w:szCs w:val="44"/>
          <w:lang w:val="en-US" w:eastAsia="zh-CN" w:bidi="ar-SA"/>
        </w:rPr>
        <w:br w:type="page"/>
      </w:r>
    </w:p>
    <w:p>
      <w:pPr>
        <w:keepNext/>
        <w:keepLines/>
        <w:widowControl w:val="0"/>
        <w:spacing w:before="340" w:after="330" w:line="360" w:lineRule="auto"/>
        <w:jc w:val="center"/>
        <w:outlineLvl w:val="0"/>
        <w:rPr>
          <w:rFonts w:hint="eastAsia" w:ascii="宋体" w:hAnsi="宋体" w:eastAsia="宋体" w:cs="Times New Roman"/>
          <w:b/>
          <w:bCs/>
          <w:kern w:val="44"/>
          <w:sz w:val="44"/>
          <w:szCs w:val="44"/>
          <w:lang w:val="en-US" w:eastAsia="zh-CN" w:bidi="ar-SA"/>
        </w:rPr>
      </w:pPr>
      <w:bookmarkStart w:id="4" w:name="_Toc7947"/>
      <w:r>
        <w:rPr>
          <w:rFonts w:hint="eastAsia" w:ascii="宋体" w:hAnsi="宋体" w:eastAsia="宋体" w:cs="Times New Roman"/>
          <w:b/>
          <w:bCs/>
          <w:kern w:val="44"/>
          <w:sz w:val="44"/>
          <w:szCs w:val="44"/>
          <w:lang w:val="en-US" w:eastAsia="zh-CN" w:bidi="ar-SA"/>
        </w:rPr>
        <w:t xml:space="preserve">第二部分 </w:t>
      </w:r>
      <w:r>
        <w:rPr>
          <w:rFonts w:hint="eastAsia" w:ascii="宋体" w:hAnsi="宋体" w:cs="Times New Roman"/>
          <w:b/>
          <w:bCs/>
          <w:kern w:val="44"/>
          <w:sz w:val="44"/>
          <w:szCs w:val="44"/>
          <w:lang w:val="en-US" w:eastAsia="zh-CN" w:bidi="ar-SA"/>
        </w:rPr>
        <w:t xml:space="preserve"> </w:t>
      </w:r>
      <w:r>
        <w:rPr>
          <w:rFonts w:hint="eastAsia" w:ascii="宋体" w:hAnsi="宋体" w:eastAsia="宋体" w:cs="Times New Roman"/>
          <w:b/>
          <w:bCs/>
          <w:kern w:val="44"/>
          <w:sz w:val="44"/>
          <w:szCs w:val="44"/>
          <w:lang w:val="en-US" w:eastAsia="zh-CN" w:bidi="ar-SA"/>
        </w:rPr>
        <w:t>投标人须知</w:t>
      </w:r>
      <w:bookmarkEnd w:id="4"/>
    </w:p>
    <w:p>
      <w:pPr>
        <w:adjustRightInd w:val="0"/>
        <w:snapToGrid w:val="0"/>
        <w:spacing w:line="440" w:lineRule="exact"/>
        <w:jc w:val="center"/>
        <w:rPr>
          <w:rFonts w:hint="eastAsia" w:ascii="宋体" w:hAnsi="宋体"/>
          <w:b/>
          <w:bCs/>
          <w:color w:val="000000"/>
          <w:sz w:val="24"/>
        </w:rPr>
      </w:pPr>
      <w:r>
        <w:rPr>
          <w:rFonts w:hint="eastAsia" w:ascii="宋体" w:hAnsi="宋体"/>
          <w:b/>
          <w:bCs/>
          <w:color w:val="000000"/>
          <w:sz w:val="24"/>
        </w:rPr>
        <w:t>前附表</w:t>
      </w:r>
    </w:p>
    <w:tbl>
      <w:tblPr>
        <w:tblStyle w:val="1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997"/>
        <w:gridCol w:w="6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spacing w:line="440" w:lineRule="exact"/>
              <w:jc w:val="center"/>
              <w:rPr>
                <w:rFonts w:ascii="宋体" w:hAnsi="宋体"/>
                <w:b/>
                <w:kern w:val="0"/>
                <w:sz w:val="24"/>
              </w:rPr>
            </w:pPr>
            <w:r>
              <w:rPr>
                <w:rFonts w:hint="eastAsia" w:ascii="宋体" w:hAnsi="宋体"/>
                <w:b/>
                <w:kern w:val="0"/>
                <w:sz w:val="24"/>
              </w:rPr>
              <w:t>序号</w:t>
            </w:r>
          </w:p>
        </w:tc>
        <w:tc>
          <w:tcPr>
            <w:tcW w:w="19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kern w:val="0"/>
                <w:sz w:val="24"/>
              </w:rPr>
            </w:pPr>
            <w:r>
              <w:rPr>
                <w:rFonts w:hint="eastAsia" w:ascii="宋体" w:hAnsi="宋体"/>
                <w:b/>
                <w:kern w:val="0"/>
                <w:sz w:val="24"/>
              </w:rPr>
              <w:t>名   目</w:t>
            </w:r>
          </w:p>
        </w:tc>
        <w:tc>
          <w:tcPr>
            <w:tcW w:w="6717" w:type="dxa"/>
            <w:tcBorders>
              <w:top w:val="single" w:color="auto" w:sz="4" w:space="0"/>
              <w:left w:val="single" w:color="auto" w:sz="4" w:space="0"/>
              <w:bottom w:val="single" w:color="auto" w:sz="4" w:space="0"/>
              <w:right w:val="single" w:color="auto" w:sz="12" w:space="0"/>
            </w:tcBorders>
            <w:vAlign w:val="center"/>
          </w:tcPr>
          <w:p>
            <w:pPr>
              <w:spacing w:line="440" w:lineRule="exact"/>
              <w:jc w:val="center"/>
              <w:rPr>
                <w:rFonts w:ascii="宋体" w:hAnsi="宋体"/>
                <w:b/>
                <w:kern w:val="0"/>
                <w:sz w:val="24"/>
              </w:rPr>
            </w:pPr>
            <w:r>
              <w:rPr>
                <w:rFonts w:hint="eastAsia" w:ascii="宋体" w:hAnsi="宋体"/>
                <w:b/>
                <w:kern w:val="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ascii="宋体" w:hAnsi="宋体"/>
                <w:kern w:val="0"/>
                <w:sz w:val="24"/>
              </w:rPr>
            </w:pPr>
          </w:p>
        </w:tc>
        <w:tc>
          <w:tcPr>
            <w:tcW w:w="19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kern w:val="0"/>
                <w:sz w:val="24"/>
              </w:rPr>
            </w:pPr>
            <w:r>
              <w:rPr>
                <w:rFonts w:hint="eastAsia" w:ascii="宋体" w:hAnsi="宋体"/>
                <w:kern w:val="0"/>
                <w:sz w:val="24"/>
              </w:rPr>
              <w:t>项目名称</w:t>
            </w:r>
          </w:p>
        </w:tc>
        <w:tc>
          <w:tcPr>
            <w:tcW w:w="6717" w:type="dxa"/>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eastAsia="宋体"/>
                <w:kern w:val="0"/>
                <w:sz w:val="24"/>
                <w:lang w:eastAsia="zh-CN"/>
              </w:rPr>
            </w:pPr>
            <w:r>
              <w:rPr>
                <w:rFonts w:hint="eastAsia" w:ascii="宋体" w:hAnsi="宋体"/>
                <w:kern w:val="0"/>
                <w:sz w:val="24"/>
                <w:lang w:eastAsia="zh-CN"/>
              </w:rPr>
              <w:t>未来科技城网络安全防护服务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ascii="宋体" w:hAnsi="宋体"/>
                <w:kern w:val="0"/>
                <w:sz w:val="24"/>
              </w:rPr>
            </w:pPr>
          </w:p>
        </w:tc>
        <w:tc>
          <w:tcPr>
            <w:tcW w:w="19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kern w:val="0"/>
                <w:sz w:val="24"/>
              </w:rPr>
            </w:pPr>
            <w:r>
              <w:rPr>
                <w:rFonts w:hint="eastAsia" w:ascii="宋体" w:hAnsi="宋体"/>
                <w:kern w:val="0"/>
                <w:sz w:val="24"/>
              </w:rPr>
              <w:t>项目编号</w:t>
            </w:r>
          </w:p>
        </w:tc>
        <w:tc>
          <w:tcPr>
            <w:tcW w:w="6717" w:type="dxa"/>
            <w:tcBorders>
              <w:top w:val="single" w:color="auto" w:sz="4" w:space="0"/>
              <w:left w:val="single" w:color="auto" w:sz="4" w:space="0"/>
              <w:bottom w:val="single" w:color="auto" w:sz="4" w:space="0"/>
              <w:right w:val="single" w:color="auto" w:sz="12" w:space="0"/>
            </w:tcBorders>
            <w:vAlign w:val="center"/>
          </w:tcPr>
          <w:p>
            <w:pPr>
              <w:spacing w:line="440" w:lineRule="exact"/>
              <w:jc w:val="left"/>
              <w:rPr>
                <w:rFonts w:hint="eastAsia" w:ascii="宋体" w:hAnsi="宋体" w:eastAsia="宋体"/>
                <w:kern w:val="0"/>
                <w:sz w:val="24"/>
                <w:lang w:eastAsia="zh-CN"/>
              </w:rPr>
            </w:pPr>
            <w:r>
              <w:rPr>
                <w:rFonts w:hint="eastAsia" w:ascii="宋体" w:hAnsi="宋体"/>
                <w:kern w:val="0"/>
                <w:sz w:val="24"/>
                <w:lang w:eastAsia="zh-CN"/>
              </w:rPr>
              <w:t>Y3301100000015475003001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ascii="宋体" w:hAnsi="宋体"/>
                <w:sz w:val="24"/>
              </w:rPr>
            </w:pPr>
          </w:p>
        </w:tc>
        <w:tc>
          <w:tcPr>
            <w:tcW w:w="19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sz w:val="24"/>
              </w:rPr>
            </w:pPr>
            <w:r>
              <w:rPr>
                <w:rFonts w:hint="eastAsia" w:ascii="宋体" w:hAnsi="宋体"/>
                <w:sz w:val="24"/>
              </w:rPr>
              <w:t>投标有效期</w:t>
            </w:r>
          </w:p>
        </w:tc>
        <w:tc>
          <w:tcPr>
            <w:tcW w:w="6717" w:type="dxa"/>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sz w:val="24"/>
              </w:rPr>
            </w:pPr>
            <w:r>
              <w:rPr>
                <w:rFonts w:hint="eastAsia" w:ascii="宋体" w:hAnsi="宋体"/>
                <w:sz w:val="24"/>
              </w:rPr>
              <w:t>投标书递交后60天内有效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ascii="宋体" w:hAnsi="宋体"/>
                <w:sz w:val="24"/>
              </w:rPr>
            </w:pPr>
          </w:p>
        </w:tc>
        <w:tc>
          <w:tcPr>
            <w:tcW w:w="19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sz w:val="24"/>
              </w:rPr>
            </w:pPr>
            <w:r>
              <w:rPr>
                <w:rFonts w:hint="eastAsia" w:ascii="宋体" w:hAnsi="宋体"/>
                <w:sz w:val="24"/>
              </w:rPr>
              <w:t>投标文件份数</w:t>
            </w:r>
          </w:p>
        </w:tc>
        <w:tc>
          <w:tcPr>
            <w:tcW w:w="6717"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440" w:lineRule="exact"/>
              <w:rPr>
                <w:rFonts w:hint="eastAsia" w:ascii="宋体" w:hAnsi="宋体"/>
                <w:sz w:val="24"/>
              </w:rPr>
            </w:pPr>
            <w:r>
              <w:rPr>
                <w:rFonts w:hint="eastAsia" w:ascii="宋体" w:hAnsi="宋体"/>
                <w:sz w:val="24"/>
              </w:rPr>
              <w:t>报价文件：正本一份、副本四份</w:t>
            </w:r>
          </w:p>
          <w:p>
            <w:pPr>
              <w:adjustRightInd w:val="0"/>
              <w:snapToGrid w:val="0"/>
              <w:spacing w:line="440" w:lineRule="exact"/>
              <w:rPr>
                <w:rFonts w:hint="eastAsia" w:ascii="宋体" w:hAnsi="宋体"/>
                <w:sz w:val="24"/>
              </w:rPr>
            </w:pPr>
            <w:r>
              <w:rPr>
                <w:rFonts w:hint="eastAsia" w:ascii="宋体" w:hAnsi="宋体"/>
                <w:sz w:val="24"/>
                <w:lang w:eastAsia="zh-CN"/>
              </w:rPr>
              <w:t>资信</w:t>
            </w:r>
            <w:r>
              <w:rPr>
                <w:rFonts w:hint="eastAsia" w:ascii="宋体" w:hAnsi="宋体"/>
                <w:sz w:val="24"/>
              </w:rPr>
              <w:t>/技术文件：正本一份、副本四份</w:t>
            </w:r>
          </w:p>
          <w:p>
            <w:pPr>
              <w:adjustRightInd w:val="0"/>
              <w:snapToGrid w:val="0"/>
              <w:spacing w:line="440" w:lineRule="exact"/>
              <w:rPr>
                <w:rFonts w:hint="eastAsia" w:ascii="宋体" w:hAnsi="宋体"/>
                <w:sz w:val="28"/>
              </w:rPr>
            </w:pPr>
            <w:r>
              <w:rPr>
                <w:rFonts w:hint="eastAsia" w:ascii="宋体" w:hAnsi="宋体"/>
                <w:b/>
                <w:sz w:val="24"/>
              </w:rPr>
              <w:t>投标文件份数不符合要求的，视其投标无效。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ascii="宋体" w:hAnsi="宋体"/>
                <w:sz w:val="24"/>
              </w:rPr>
            </w:pPr>
          </w:p>
        </w:tc>
        <w:tc>
          <w:tcPr>
            <w:tcW w:w="19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sz w:val="24"/>
                <w:szCs w:val="20"/>
              </w:rPr>
            </w:pPr>
            <w:r>
              <w:rPr>
                <w:rFonts w:hint="eastAsia" w:ascii="宋体" w:hAnsi="宋体"/>
                <w:sz w:val="24"/>
                <w:szCs w:val="20"/>
              </w:rPr>
              <w:t>评标方法</w:t>
            </w:r>
          </w:p>
        </w:tc>
        <w:tc>
          <w:tcPr>
            <w:tcW w:w="6717" w:type="dxa"/>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b/>
                <w:sz w:val="24"/>
              </w:rPr>
            </w:pPr>
            <w:r>
              <w:rPr>
                <w:rFonts w:hint="eastAsia" w:ascii="宋体" w:hAnsi="宋体"/>
                <w:b/>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sz w:val="24"/>
              </w:rPr>
            </w:pPr>
          </w:p>
        </w:tc>
        <w:tc>
          <w:tcPr>
            <w:tcW w:w="19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Times New Roman"/>
                <w:sz w:val="24"/>
                <w:szCs w:val="20"/>
              </w:rPr>
            </w:pPr>
            <w:r>
              <w:rPr>
                <w:rFonts w:hint="eastAsia" w:ascii="宋体" w:hAnsi="宋体" w:cs="Times New Roman"/>
                <w:sz w:val="24"/>
                <w:szCs w:val="20"/>
              </w:rPr>
              <w:t>投标截止时间与地点</w:t>
            </w:r>
          </w:p>
        </w:tc>
        <w:tc>
          <w:tcPr>
            <w:tcW w:w="6717" w:type="dxa"/>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b/>
                <w:sz w:val="24"/>
                <w:lang w:val="en-US" w:eastAsia="zh-CN"/>
              </w:rPr>
            </w:pPr>
            <w:r>
              <w:rPr>
                <w:rFonts w:hint="eastAsia" w:ascii="宋体" w:hAnsi="宋体"/>
                <w:b/>
                <w:sz w:val="24"/>
                <w:lang w:val="en-US" w:eastAsia="zh-CN"/>
              </w:rPr>
              <w:t>时间：2025年7月4日09时30分；</w:t>
            </w:r>
          </w:p>
          <w:p>
            <w:pPr>
              <w:spacing w:line="440" w:lineRule="exact"/>
              <w:rPr>
                <w:rFonts w:hint="eastAsia" w:ascii="宋体" w:hAnsi="宋体"/>
                <w:b/>
                <w:sz w:val="24"/>
              </w:rPr>
            </w:pPr>
            <w:r>
              <w:rPr>
                <w:rFonts w:hint="eastAsia" w:ascii="宋体" w:hAnsi="宋体"/>
                <w:b/>
                <w:sz w:val="24"/>
                <w:lang w:val="en-US" w:eastAsia="zh-CN"/>
              </w:rPr>
              <w:t>地点：杭州市余杭区景兴路999号梦想小镇天使村10幢A座2楼开标室。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sz w:val="24"/>
              </w:rPr>
            </w:pPr>
          </w:p>
        </w:tc>
        <w:tc>
          <w:tcPr>
            <w:tcW w:w="19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Times New Roman"/>
                <w:sz w:val="24"/>
                <w:szCs w:val="20"/>
              </w:rPr>
            </w:pPr>
            <w:r>
              <w:rPr>
                <w:rFonts w:hint="eastAsia" w:ascii="宋体" w:hAnsi="宋体" w:cs="Times New Roman"/>
                <w:sz w:val="24"/>
                <w:szCs w:val="20"/>
              </w:rPr>
              <w:t>开标时间与地点</w:t>
            </w:r>
          </w:p>
        </w:tc>
        <w:tc>
          <w:tcPr>
            <w:tcW w:w="6717" w:type="dxa"/>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b/>
                <w:sz w:val="24"/>
                <w:lang w:val="en-US" w:eastAsia="zh-CN"/>
              </w:rPr>
            </w:pPr>
            <w:r>
              <w:rPr>
                <w:rFonts w:hint="eastAsia" w:ascii="宋体" w:hAnsi="宋体"/>
                <w:b/>
                <w:sz w:val="24"/>
                <w:lang w:val="en-US" w:eastAsia="zh-CN"/>
              </w:rPr>
              <w:t>时间：2025年7月4日09时30分；</w:t>
            </w:r>
          </w:p>
          <w:p>
            <w:pPr>
              <w:spacing w:line="440" w:lineRule="exact"/>
              <w:rPr>
                <w:rFonts w:hint="eastAsia" w:ascii="宋体" w:hAnsi="宋体"/>
                <w:b/>
                <w:sz w:val="24"/>
              </w:rPr>
            </w:pPr>
            <w:r>
              <w:rPr>
                <w:rFonts w:hint="eastAsia" w:ascii="宋体" w:hAnsi="宋体"/>
                <w:b/>
                <w:sz w:val="24"/>
                <w:lang w:val="en-US" w:eastAsia="zh-CN"/>
              </w:rPr>
              <w:t>地点：杭州市余杭区景兴路999号梦想小镇天使村10幢A座2楼开标室。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sz w:val="24"/>
              </w:rPr>
            </w:pPr>
          </w:p>
        </w:tc>
        <w:tc>
          <w:tcPr>
            <w:tcW w:w="8714" w:type="dxa"/>
            <w:gridSpan w:val="2"/>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sz w:val="24"/>
                <w:szCs w:val="20"/>
                <w:highlight w:val="none"/>
              </w:rPr>
            </w:pPr>
            <w:r>
              <w:rPr>
                <w:rFonts w:hint="eastAsia" w:ascii="宋体" w:hAnsi="宋体"/>
                <w:sz w:val="24"/>
                <w:szCs w:val="20"/>
              </w:rPr>
              <w:t>1）、本项目预算公开，总预</w:t>
            </w:r>
            <w:r>
              <w:rPr>
                <w:rFonts w:hint="eastAsia" w:ascii="宋体" w:hAnsi="宋体"/>
                <w:sz w:val="24"/>
                <w:szCs w:val="20"/>
                <w:highlight w:val="none"/>
              </w:rPr>
              <w:t>算价为</w:t>
            </w:r>
            <w:r>
              <w:rPr>
                <w:rFonts w:hint="eastAsia" w:ascii="宋体" w:hAnsi="宋体"/>
                <w:sz w:val="24"/>
                <w:szCs w:val="20"/>
                <w:highlight w:val="none"/>
                <w:lang w:val="en-US" w:eastAsia="zh-CN"/>
              </w:rPr>
              <w:t>10</w:t>
            </w:r>
            <w:r>
              <w:rPr>
                <w:rFonts w:hint="eastAsia" w:ascii="宋体" w:hAnsi="宋体"/>
                <w:sz w:val="24"/>
                <w:szCs w:val="20"/>
                <w:highlight w:val="none"/>
              </w:rPr>
              <w:t>万元。</w:t>
            </w:r>
          </w:p>
          <w:p>
            <w:pPr>
              <w:spacing w:line="440" w:lineRule="exact"/>
              <w:rPr>
                <w:rFonts w:hint="eastAsia" w:ascii="宋体" w:hAnsi="宋体"/>
                <w:sz w:val="24"/>
                <w:szCs w:val="20"/>
              </w:rPr>
            </w:pPr>
            <w:r>
              <w:rPr>
                <w:rFonts w:hint="eastAsia" w:ascii="宋体" w:hAnsi="宋体"/>
                <w:sz w:val="24"/>
                <w:szCs w:val="20"/>
                <w:highlight w:val="none"/>
              </w:rPr>
              <w:t>2）、本项目投标报价超过预算价的（即投标报价</w:t>
            </w:r>
            <w:r>
              <w:rPr>
                <w:rFonts w:hint="eastAsia" w:ascii="宋体" w:hAnsi="宋体"/>
                <w:sz w:val="24"/>
                <w:szCs w:val="20"/>
              </w:rPr>
              <w:t>&gt;预算价），其投标视为无效。</w:t>
            </w:r>
          </w:p>
          <w:p>
            <w:pPr>
              <w:spacing w:line="440" w:lineRule="exact"/>
              <w:rPr>
                <w:rFonts w:hint="eastAsia" w:ascii="宋体" w:hAnsi="宋体"/>
                <w:sz w:val="24"/>
                <w:szCs w:val="20"/>
              </w:rPr>
            </w:pPr>
            <w:r>
              <w:rPr>
                <w:rFonts w:hint="eastAsia" w:ascii="宋体" w:hAnsi="宋体"/>
                <w:sz w:val="24"/>
                <w:szCs w:val="20"/>
              </w:rPr>
              <w:t>3）、</w:t>
            </w:r>
            <w:r>
              <w:rPr>
                <w:rFonts w:hint="eastAsia" w:ascii="宋体" w:hAnsi="宋体"/>
                <w:b/>
                <w:sz w:val="24"/>
              </w:rPr>
              <w:t>报价是中标的一个重要因素，但不是中标的唯一依据。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hint="eastAsia" w:ascii="宋体" w:hAnsi="宋体"/>
                <w:sz w:val="24"/>
              </w:rPr>
            </w:pPr>
          </w:p>
        </w:tc>
        <w:tc>
          <w:tcPr>
            <w:tcW w:w="8714" w:type="dxa"/>
            <w:gridSpan w:val="2"/>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cs="宋体"/>
                <w:kern w:val="0"/>
                <w:szCs w:val="21"/>
              </w:rPr>
            </w:pPr>
            <w:r>
              <w:rPr>
                <w:rFonts w:hint="eastAsia" w:ascii="宋体" w:hAnsi="宋体"/>
                <w:sz w:val="24"/>
                <w:szCs w:val="20"/>
              </w:rPr>
              <w:t>本项目在开评标过程中现场不公布资信技术得分、</w:t>
            </w:r>
            <w:r>
              <w:rPr>
                <w:rFonts w:hint="eastAsia" w:ascii="宋体" w:hAnsi="宋体"/>
                <w:sz w:val="24"/>
                <w:szCs w:val="20"/>
                <w:lang w:val="en-US" w:eastAsia="zh-CN"/>
              </w:rPr>
              <w:t>报价得分、</w:t>
            </w:r>
            <w:r>
              <w:rPr>
                <w:rFonts w:hint="eastAsia" w:ascii="宋体" w:hAnsi="宋体"/>
                <w:sz w:val="24"/>
                <w:szCs w:val="20"/>
              </w:rPr>
              <w:t>综合得分及排名；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6" w:type="dxa"/>
            <w:tcBorders>
              <w:top w:val="single" w:color="auto" w:sz="4" w:space="0"/>
              <w:left w:val="single" w:color="auto" w:sz="12" w:space="0"/>
              <w:bottom w:val="single" w:color="auto" w:sz="4" w:space="0"/>
              <w:right w:val="single" w:color="auto" w:sz="4" w:space="0"/>
            </w:tcBorders>
            <w:vAlign w:val="center"/>
          </w:tcPr>
          <w:p>
            <w:pPr>
              <w:numPr>
                <w:ilvl w:val="0"/>
                <w:numId w:val="1"/>
              </w:numPr>
              <w:spacing w:line="440" w:lineRule="exact"/>
              <w:ind w:left="425" w:leftChars="0" w:hanging="425" w:firstLineChars="0"/>
              <w:jc w:val="center"/>
              <w:rPr>
                <w:rFonts w:ascii="宋体" w:hAnsi="宋体"/>
                <w:sz w:val="24"/>
              </w:rPr>
            </w:pPr>
          </w:p>
        </w:tc>
        <w:tc>
          <w:tcPr>
            <w:tcW w:w="8714" w:type="dxa"/>
            <w:gridSpan w:val="2"/>
            <w:tcBorders>
              <w:top w:val="single" w:color="auto" w:sz="4" w:space="0"/>
              <w:left w:val="single" w:color="auto" w:sz="4" w:space="0"/>
              <w:bottom w:val="single" w:color="auto" w:sz="4" w:space="0"/>
              <w:right w:val="single" w:color="auto" w:sz="12" w:space="0"/>
            </w:tcBorders>
            <w:vAlign w:val="center"/>
          </w:tcPr>
          <w:p>
            <w:pPr>
              <w:spacing w:line="440" w:lineRule="exact"/>
              <w:rPr>
                <w:rFonts w:hint="eastAsia" w:ascii="宋体" w:hAnsi="宋体" w:cs="宋体"/>
                <w:sz w:val="24"/>
              </w:rPr>
            </w:pPr>
            <w:r>
              <w:rPr>
                <w:rFonts w:hint="eastAsia" w:ascii="宋体" w:hAnsi="宋体" w:cs="宋体"/>
                <w:sz w:val="24"/>
              </w:rPr>
              <w:t>本次代理服务费由中标人支付，代理服务费按照杭州市余杭区财政局印发的《关于规范余杭区政府投资项目中介服务付费限额标准的通知》余财政〔2018〕24号规定的75%收费，不足5000的按</w:t>
            </w:r>
            <w:bookmarkStart w:id="152" w:name="_GoBack"/>
            <w:r>
              <w:rPr>
                <w:rFonts w:hint="eastAsia" w:ascii="宋体" w:hAnsi="宋体" w:cs="宋体"/>
                <w:color w:val="auto"/>
                <w:sz w:val="24"/>
              </w:rPr>
              <w:t>5000计取，</w:t>
            </w:r>
            <w:r>
              <w:rPr>
                <w:rFonts w:hint="eastAsia" w:ascii="宋体" w:hAnsi="宋体" w:cs="宋体"/>
                <w:color w:val="auto"/>
                <w:sz w:val="24"/>
                <w:lang w:eastAsia="zh-CN"/>
              </w:rPr>
              <w:t>（</w:t>
            </w:r>
            <w:r>
              <w:rPr>
                <w:rFonts w:hint="eastAsia" w:ascii="宋体" w:hAnsi="宋体" w:cs="宋体"/>
                <w:color w:val="auto"/>
                <w:sz w:val="24"/>
              </w:rPr>
              <w:t>专家费按实结算</w:t>
            </w:r>
            <w:r>
              <w:rPr>
                <w:rFonts w:hint="eastAsia" w:ascii="宋体" w:hAnsi="宋体" w:cs="宋体"/>
                <w:color w:val="auto"/>
                <w:sz w:val="24"/>
                <w:lang w:eastAsia="zh-CN"/>
              </w:rPr>
              <w:t>，</w:t>
            </w:r>
            <w:r>
              <w:rPr>
                <w:rFonts w:hint="eastAsia" w:ascii="宋体" w:hAnsi="宋体" w:cs="宋体"/>
                <w:color w:val="auto"/>
                <w:sz w:val="24"/>
                <w:lang w:val="en-US" w:eastAsia="zh-CN"/>
              </w:rPr>
              <w:t>由甲方支付</w:t>
            </w:r>
            <w:r>
              <w:rPr>
                <w:rFonts w:hint="eastAsia" w:ascii="宋体" w:hAnsi="宋体" w:cs="宋体"/>
                <w:color w:val="auto"/>
                <w:sz w:val="24"/>
                <w:lang w:eastAsia="zh-CN"/>
              </w:rPr>
              <w:t>）</w:t>
            </w:r>
            <w:r>
              <w:rPr>
                <w:rFonts w:hint="eastAsia" w:ascii="宋体" w:hAnsi="宋体" w:cs="宋体"/>
                <w:color w:val="auto"/>
                <w:sz w:val="24"/>
              </w:rPr>
              <w:t>。中标单位需在领取中标通知书时缴纳中标服务费，缴纳时注明</w:t>
            </w:r>
            <w:r>
              <w:rPr>
                <w:rFonts w:hint="eastAsia" w:ascii="宋体" w:hAnsi="宋体" w:cs="宋体"/>
                <w:color w:val="auto"/>
                <w:sz w:val="24"/>
                <w:lang w:val="en-US" w:eastAsia="zh-CN"/>
              </w:rPr>
              <w:t>项目名称或</w:t>
            </w:r>
            <w:r>
              <w:rPr>
                <w:rFonts w:hint="eastAsia" w:ascii="宋体" w:hAnsi="宋体" w:cs="宋体"/>
                <w:color w:val="auto"/>
                <w:sz w:val="24"/>
              </w:rPr>
              <w:t>招标编号。</w:t>
            </w:r>
            <w:bookmarkEnd w:id="152"/>
          </w:p>
        </w:tc>
      </w:tr>
    </w:tbl>
    <w:p>
      <w:pPr>
        <w:keepNext/>
        <w:keepLines/>
        <w:widowControl w:val="0"/>
        <w:spacing w:before="340" w:after="330" w:line="360" w:lineRule="auto"/>
        <w:jc w:val="center"/>
        <w:outlineLvl w:val="1"/>
        <w:rPr>
          <w:rStyle w:val="25"/>
          <w:lang w:val="en-US" w:eastAsia="zh-CN"/>
        </w:rPr>
      </w:pPr>
      <w:r>
        <w:rPr>
          <w:rFonts w:hint="eastAsia" w:ascii="宋体" w:hAnsi="宋体" w:eastAsia="黑体" w:cs="Times New Roman"/>
          <w:b w:val="0"/>
          <w:bCs w:val="0"/>
          <w:color w:val="000000"/>
          <w:kern w:val="0"/>
          <w:sz w:val="24"/>
          <w:szCs w:val="44"/>
          <w:lang w:val="en-US" w:eastAsia="zh-CN" w:bidi="ar-SA"/>
        </w:rPr>
        <w:br w:type="page"/>
      </w:r>
      <w:r>
        <w:rPr>
          <w:rStyle w:val="25"/>
          <w:rFonts w:hint="eastAsia"/>
          <w:lang w:val="en-US" w:eastAsia="zh-CN"/>
        </w:rPr>
        <w:t>第一节  投标人须知之通用条款</w:t>
      </w:r>
    </w:p>
    <w:p>
      <w:pPr>
        <w:widowControl w:val="0"/>
        <w:wordWrap w:val="0"/>
        <w:topLinePunct/>
        <w:adjustRightInd w:val="0"/>
        <w:snapToGrid w:val="0"/>
        <w:spacing w:line="360" w:lineRule="auto"/>
        <w:jc w:val="center"/>
        <w:rPr>
          <w:rFonts w:hint="eastAsia" w:ascii="宋体" w:hAnsi="宋体"/>
          <w:b/>
          <w:bCs/>
          <w:color w:val="000000"/>
          <w:sz w:val="24"/>
        </w:rPr>
      </w:pPr>
      <w:r>
        <w:rPr>
          <w:rFonts w:hint="eastAsia" w:ascii="宋体" w:hAnsi="宋体"/>
          <w:b/>
          <w:bCs/>
          <w:color w:val="000000"/>
          <w:sz w:val="24"/>
        </w:rPr>
        <w:t>一、总则</w:t>
      </w:r>
    </w:p>
    <w:p>
      <w:pPr>
        <w:widowControl w:val="0"/>
        <w:wordWrap w:val="0"/>
        <w:topLinePunct/>
        <w:adjustRightInd w:val="0"/>
        <w:snapToGrid w:val="0"/>
        <w:spacing w:line="360" w:lineRule="auto"/>
        <w:rPr>
          <w:rFonts w:hint="eastAsia" w:ascii="宋体" w:hAnsi="宋体"/>
          <w:b/>
          <w:color w:val="000000"/>
          <w:sz w:val="24"/>
        </w:rPr>
      </w:pPr>
      <w:r>
        <w:rPr>
          <w:rFonts w:hint="eastAsia" w:ascii="宋体" w:hAnsi="宋体"/>
          <w:b/>
          <w:color w:val="000000"/>
          <w:sz w:val="24"/>
        </w:rPr>
        <w:t>1、适用范围</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本招标文件适用于本项目的招标、投标、评标、定标、验收、合同履约、付款等行为。</w:t>
      </w:r>
    </w:p>
    <w:p>
      <w:pPr>
        <w:widowControl w:val="0"/>
        <w:wordWrap w:val="0"/>
        <w:topLinePunct/>
        <w:adjustRightInd w:val="0"/>
        <w:snapToGrid w:val="0"/>
        <w:spacing w:line="360" w:lineRule="auto"/>
        <w:rPr>
          <w:rFonts w:hint="eastAsia" w:ascii="宋体" w:hAnsi="宋体"/>
          <w:b/>
          <w:color w:val="000000"/>
          <w:sz w:val="24"/>
        </w:rPr>
      </w:pPr>
      <w:r>
        <w:rPr>
          <w:rFonts w:hint="eastAsia" w:ascii="宋体" w:hAnsi="宋体"/>
          <w:b/>
          <w:color w:val="000000"/>
          <w:sz w:val="24"/>
        </w:rPr>
        <w:t>2、定义</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2.1、“招标采购单位”系指组织本次招标的</w:t>
      </w:r>
      <w:r>
        <w:rPr>
          <w:rFonts w:hint="eastAsia" w:ascii="宋体" w:hAnsi="宋体"/>
          <w:color w:val="000000"/>
          <w:sz w:val="24"/>
          <w:lang w:eastAsia="zh-CN"/>
        </w:rPr>
        <w:t>招标</w:t>
      </w:r>
      <w:r>
        <w:rPr>
          <w:rFonts w:hint="eastAsia" w:ascii="宋体" w:hAnsi="宋体"/>
          <w:color w:val="000000"/>
          <w:sz w:val="24"/>
        </w:rPr>
        <w:t>代理机构（</w:t>
      </w:r>
      <w:r>
        <w:rPr>
          <w:rFonts w:hint="eastAsia" w:ascii="宋体" w:hAnsi="宋体"/>
          <w:color w:val="000000"/>
          <w:sz w:val="24"/>
          <w:lang w:eastAsia="zh-CN"/>
        </w:rPr>
        <w:t>浙江国信工程管理咨询有限公司</w:t>
      </w:r>
      <w:r>
        <w:rPr>
          <w:rFonts w:hint="eastAsia" w:ascii="宋体" w:hAnsi="宋体"/>
          <w:color w:val="000000"/>
          <w:sz w:val="24"/>
        </w:rPr>
        <w:t>）以及本项目</w:t>
      </w:r>
      <w:r>
        <w:rPr>
          <w:rFonts w:hint="eastAsia" w:ascii="宋体" w:hAnsi="宋体"/>
          <w:color w:val="000000"/>
          <w:sz w:val="24"/>
          <w:lang w:eastAsia="zh-CN"/>
        </w:rPr>
        <w:t>招标人</w:t>
      </w:r>
      <w:r>
        <w:rPr>
          <w:rFonts w:hint="eastAsia" w:ascii="宋体" w:hAnsi="宋体"/>
          <w:color w:val="000000"/>
          <w:sz w:val="24"/>
        </w:rPr>
        <w:t>。</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2.2、“投标人”系指向招标采购单位递交投标文件的单位。</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2.3、“书面形式”包括信函、传真、电报等。</w:t>
      </w:r>
    </w:p>
    <w:p>
      <w:pPr>
        <w:widowControl w:val="0"/>
        <w:wordWrap w:val="0"/>
        <w:topLinePunct/>
        <w:adjustRightInd w:val="0"/>
        <w:snapToGrid w:val="0"/>
        <w:spacing w:line="360" w:lineRule="auto"/>
        <w:rPr>
          <w:rFonts w:hint="eastAsia" w:ascii="宋体" w:hAnsi="宋体"/>
          <w:color w:val="000000"/>
          <w:sz w:val="24"/>
        </w:rPr>
      </w:pPr>
      <w:r>
        <w:rPr>
          <w:rFonts w:hint="eastAsia" w:ascii="宋体" w:hAnsi="宋体"/>
          <w:b/>
          <w:color w:val="000000"/>
          <w:sz w:val="24"/>
        </w:rPr>
        <w:t>3、</w:t>
      </w:r>
      <w:r>
        <w:rPr>
          <w:rFonts w:hint="eastAsia" w:ascii="宋体" w:hAnsi="宋体"/>
          <w:b/>
          <w:color w:val="000000"/>
          <w:sz w:val="24"/>
          <w:lang w:eastAsia="zh-CN"/>
        </w:rPr>
        <w:t>招标</w:t>
      </w:r>
      <w:r>
        <w:rPr>
          <w:rFonts w:hint="eastAsia" w:ascii="宋体" w:hAnsi="宋体"/>
          <w:b/>
          <w:color w:val="000000"/>
          <w:sz w:val="24"/>
        </w:rPr>
        <w:t>方式：</w:t>
      </w:r>
      <w:r>
        <w:rPr>
          <w:rFonts w:hint="eastAsia" w:ascii="宋体" w:hAnsi="宋体"/>
          <w:color w:val="000000"/>
          <w:sz w:val="24"/>
        </w:rPr>
        <w:t>公开招标。</w:t>
      </w:r>
    </w:p>
    <w:p>
      <w:pPr>
        <w:widowControl w:val="0"/>
        <w:wordWrap w:val="0"/>
        <w:topLinePunct/>
        <w:adjustRightInd w:val="0"/>
        <w:snapToGrid w:val="0"/>
        <w:spacing w:line="360" w:lineRule="auto"/>
        <w:rPr>
          <w:rFonts w:hint="eastAsia" w:ascii="宋体" w:hAnsi="宋体"/>
          <w:b/>
          <w:color w:val="000000"/>
          <w:sz w:val="24"/>
        </w:rPr>
      </w:pPr>
      <w:r>
        <w:rPr>
          <w:rFonts w:hint="eastAsia" w:ascii="宋体" w:hAnsi="宋体"/>
          <w:b/>
          <w:color w:val="000000"/>
          <w:sz w:val="24"/>
        </w:rPr>
        <w:t>4、投标委托：投标人代表须携带有效身份证件。如投标人代表不是法定代表人，须有法定代表人出具的授权委托书。</w:t>
      </w:r>
    </w:p>
    <w:p>
      <w:pPr>
        <w:widowControl w:val="0"/>
        <w:wordWrap w:val="0"/>
        <w:topLinePunct/>
        <w:adjustRightInd w:val="0"/>
        <w:snapToGrid w:val="0"/>
        <w:spacing w:line="360" w:lineRule="auto"/>
        <w:rPr>
          <w:rFonts w:hint="eastAsia" w:ascii="宋体" w:hAnsi="宋体"/>
          <w:color w:val="000000"/>
          <w:sz w:val="24"/>
        </w:rPr>
      </w:pPr>
      <w:r>
        <w:rPr>
          <w:rFonts w:hint="eastAsia" w:ascii="宋体" w:hAnsi="宋体"/>
          <w:b/>
          <w:color w:val="000000"/>
          <w:sz w:val="24"/>
        </w:rPr>
        <w:t>5、投标费用：</w:t>
      </w:r>
      <w:r>
        <w:rPr>
          <w:rFonts w:hint="eastAsia" w:ascii="宋体" w:hAnsi="宋体"/>
          <w:color w:val="000000"/>
          <w:sz w:val="24"/>
        </w:rPr>
        <w:t>投标人需自行承担涉及投标的一切费用。</w:t>
      </w:r>
    </w:p>
    <w:p>
      <w:pPr>
        <w:widowControl w:val="0"/>
        <w:wordWrap w:val="0"/>
        <w:topLinePunct/>
        <w:adjustRightInd w:val="0"/>
        <w:snapToGrid w:val="0"/>
        <w:spacing w:line="360" w:lineRule="auto"/>
        <w:rPr>
          <w:rFonts w:hint="eastAsia" w:ascii="宋体" w:hAnsi="宋体"/>
          <w:sz w:val="24"/>
        </w:rPr>
      </w:pPr>
      <w:r>
        <w:rPr>
          <w:rFonts w:hint="eastAsia" w:ascii="宋体" w:hAnsi="宋体"/>
          <w:b/>
          <w:bCs/>
          <w:sz w:val="24"/>
        </w:rPr>
        <w:t>6</w:t>
      </w:r>
      <w:r>
        <w:rPr>
          <w:rFonts w:hint="eastAsia" w:ascii="宋体" w:hAnsi="宋体"/>
          <w:sz w:val="24"/>
        </w:rPr>
        <w:t>、投标人应仔细阅读招标文件的所有内容，按照招标文件的要求提交投标文件，并对所提供的全部资料的真实性承担法律责任。</w:t>
      </w:r>
    </w:p>
    <w:p>
      <w:pPr>
        <w:widowControl w:val="0"/>
        <w:wordWrap w:val="0"/>
        <w:topLinePunct/>
        <w:adjustRightInd w:val="0"/>
        <w:snapToGrid w:val="0"/>
        <w:spacing w:line="360" w:lineRule="auto"/>
        <w:rPr>
          <w:rFonts w:hint="eastAsia" w:ascii="宋体" w:hAnsi="宋体"/>
          <w:sz w:val="24"/>
        </w:rPr>
      </w:pPr>
    </w:p>
    <w:p>
      <w:pPr>
        <w:widowControl w:val="0"/>
        <w:wordWrap w:val="0"/>
        <w:topLinePunct/>
        <w:adjustRightInd w:val="0"/>
        <w:snapToGrid w:val="0"/>
        <w:spacing w:line="360" w:lineRule="auto"/>
        <w:jc w:val="center"/>
        <w:rPr>
          <w:rFonts w:hint="eastAsia" w:ascii="宋体" w:hAnsi="宋体"/>
          <w:b/>
          <w:bCs/>
          <w:color w:val="000000"/>
          <w:sz w:val="24"/>
        </w:rPr>
      </w:pPr>
      <w:r>
        <w:rPr>
          <w:rFonts w:hint="eastAsia" w:ascii="宋体" w:hAnsi="宋体"/>
          <w:b/>
          <w:bCs/>
          <w:color w:val="000000"/>
          <w:sz w:val="24"/>
        </w:rPr>
        <w:t>二、招标文件</w:t>
      </w:r>
    </w:p>
    <w:p>
      <w:pPr>
        <w:widowControl w:val="0"/>
        <w:wordWrap w:val="0"/>
        <w:topLinePunct/>
        <w:adjustRightInd w:val="0"/>
        <w:snapToGrid w:val="0"/>
        <w:spacing w:line="360" w:lineRule="auto"/>
        <w:rPr>
          <w:rFonts w:hint="eastAsia" w:ascii="宋体" w:hAnsi="宋体"/>
          <w:b/>
          <w:color w:val="000000"/>
          <w:sz w:val="24"/>
        </w:rPr>
      </w:pPr>
      <w:r>
        <w:rPr>
          <w:rFonts w:hint="eastAsia" w:ascii="宋体" w:hAnsi="宋体"/>
          <w:b/>
          <w:color w:val="000000"/>
          <w:sz w:val="24"/>
        </w:rPr>
        <w:t>7、招标文件的澄清与修改</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7.1、</w:t>
      </w:r>
      <w:r>
        <w:rPr>
          <w:rFonts w:hint="eastAsia" w:ascii="宋体" w:hAnsi="宋体"/>
          <w:bCs/>
          <w:color w:val="000000"/>
          <w:sz w:val="24"/>
        </w:rPr>
        <w:t>投标人应认真阅读本招标文件，发现其中有误或有不合理要求的，投标人必须以书面形式要求招标代理单位澄清。招标代理单位对已发出的招标文件进行必要澄清、答复、修改或补充的，应当在招标信息发布媒体上发布更正公告。</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7.2、招标文件澄清、答复、修改、补充的内容为招标文件的组成部分。当招标文件与招标文件的答复、澄清、修改、补充通知就同一内容的表述不一致时，以最后发出的书面文件为准。</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7.3、招标文件的澄清、答复、修改或补充都应该通过招标代理机构以法定形式发布，招标人不得擅自澄清、答复、修改或补充招标文件。</w:t>
      </w:r>
    </w:p>
    <w:p>
      <w:pPr>
        <w:widowControl w:val="0"/>
        <w:wordWrap w:val="0"/>
        <w:topLinePunct/>
        <w:adjustRightInd w:val="0"/>
        <w:snapToGrid w:val="0"/>
        <w:spacing w:line="360" w:lineRule="auto"/>
        <w:ind w:firstLine="480" w:firstLineChars="200"/>
        <w:rPr>
          <w:rFonts w:hint="eastAsia" w:ascii="宋体" w:hAnsi="宋体"/>
          <w:color w:val="000000"/>
          <w:sz w:val="24"/>
        </w:rPr>
      </w:pPr>
    </w:p>
    <w:p>
      <w:pPr>
        <w:widowControl w:val="0"/>
        <w:wordWrap w:val="0"/>
        <w:topLinePunct/>
        <w:adjustRightInd w:val="0"/>
        <w:snapToGrid w:val="0"/>
        <w:spacing w:line="360" w:lineRule="auto"/>
        <w:jc w:val="center"/>
        <w:rPr>
          <w:rFonts w:hint="eastAsia" w:ascii="宋体" w:hAnsi="宋体"/>
          <w:b/>
          <w:bCs/>
          <w:color w:val="000000"/>
          <w:sz w:val="24"/>
        </w:rPr>
      </w:pPr>
      <w:r>
        <w:rPr>
          <w:rFonts w:hint="eastAsia" w:ascii="宋体" w:hAnsi="宋体"/>
          <w:b/>
          <w:bCs/>
          <w:color w:val="000000"/>
          <w:sz w:val="24"/>
        </w:rPr>
        <w:t>三、投标文件的编制</w:t>
      </w:r>
    </w:p>
    <w:p>
      <w:pPr>
        <w:widowControl w:val="0"/>
        <w:wordWrap w:val="0"/>
        <w:topLinePunct/>
        <w:adjustRightInd w:val="0"/>
        <w:snapToGrid w:val="0"/>
        <w:spacing w:line="360" w:lineRule="auto"/>
        <w:rPr>
          <w:rFonts w:hint="eastAsia" w:ascii="宋体" w:hAnsi="宋体"/>
          <w:b/>
          <w:color w:val="000000"/>
          <w:sz w:val="24"/>
        </w:rPr>
      </w:pPr>
      <w:r>
        <w:rPr>
          <w:rFonts w:hint="eastAsia" w:ascii="宋体" w:hAnsi="宋体"/>
          <w:b/>
          <w:color w:val="000000"/>
          <w:sz w:val="24"/>
        </w:rPr>
        <w:t>8、投标文件的语言及计量</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8.1、投标文件以及投标人与招标采购单位就有关投标事宜的所有来往函电，均应以中文汉语书写。除签名、盖章、专用名称等特殊情形外，以中文汉语以外的文字表述的投标文件视同未提供。</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8.2、投标文件中如附有外文资料，必须逐一对应翻译成中文并加盖投标人公章后附在相关外文资料后面，否则外文资料不予认可。翻译的中文资料与外文资料不符的，均不予认可。翻译严重错误的，将视同提供虚假资料，不予退还投标保证金。</w:t>
      </w:r>
    </w:p>
    <w:p>
      <w:pPr>
        <w:widowControl w:val="0"/>
        <w:wordWrap w:val="0"/>
        <w:topLinePunct/>
        <w:adjustRightInd w:val="0"/>
        <w:snapToGrid w:val="0"/>
        <w:spacing w:line="360" w:lineRule="auto"/>
        <w:ind w:firstLine="360" w:firstLineChars="150"/>
        <w:rPr>
          <w:rFonts w:hint="eastAsia" w:ascii="宋体" w:hAnsi="宋体"/>
          <w:color w:val="000000"/>
          <w:sz w:val="24"/>
        </w:rPr>
      </w:pPr>
      <w:r>
        <w:rPr>
          <w:rFonts w:hint="eastAsia" w:ascii="宋体" w:hAnsi="宋体"/>
          <w:color w:val="000000"/>
          <w:sz w:val="24"/>
        </w:rPr>
        <w:t>8.3、投标计量单位，招标文件已有明确规定的，使用招标文件规定的计量单位；招标文件没有规定的，应采用中华人民共和国法定计量单位（货币单位：人民币元），否则视同未响应。</w:t>
      </w:r>
    </w:p>
    <w:p>
      <w:pPr>
        <w:widowControl w:val="0"/>
        <w:wordWrap w:val="0"/>
        <w:topLinePunct/>
        <w:adjustRightInd w:val="0"/>
        <w:snapToGrid w:val="0"/>
        <w:spacing w:line="360" w:lineRule="auto"/>
        <w:ind w:firstLine="360" w:firstLineChars="150"/>
        <w:jc w:val="left"/>
        <w:textAlignment w:val="baseline"/>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0"/>
          <w:lang w:val="en-US" w:eastAsia="zh-CN" w:bidi="ar-SA"/>
        </w:rPr>
        <w:t>8.</w:t>
      </w:r>
      <w:r>
        <w:rPr>
          <w:rFonts w:hint="eastAsia" w:ascii="宋体" w:hAnsi="宋体" w:eastAsia="宋体" w:cs="Times New Roman"/>
          <w:color w:val="000000"/>
          <w:kern w:val="0"/>
          <w:sz w:val="24"/>
          <w:szCs w:val="24"/>
          <w:lang w:val="en-US" w:eastAsia="zh-CN" w:bidi="ar-SA"/>
        </w:rPr>
        <w:t>4、投标文件中优惠条件事项不能包括</w:t>
      </w:r>
      <w:r>
        <w:rPr>
          <w:rFonts w:hint="eastAsia" w:ascii="宋体" w:hAnsi="宋体" w:cs="Times New Roman"/>
          <w:color w:val="000000"/>
          <w:kern w:val="0"/>
          <w:sz w:val="24"/>
          <w:szCs w:val="24"/>
          <w:lang w:val="en-US" w:eastAsia="zh-CN" w:bidi="ar-SA"/>
        </w:rPr>
        <w:t>招标</w:t>
      </w:r>
      <w:r>
        <w:rPr>
          <w:rFonts w:hint="eastAsia" w:ascii="宋体" w:hAnsi="宋体" w:eastAsia="宋体" w:cs="Times New Roman"/>
          <w:color w:val="000000"/>
          <w:kern w:val="0"/>
          <w:sz w:val="24"/>
          <w:szCs w:val="24"/>
          <w:lang w:val="en-US" w:eastAsia="zh-CN" w:bidi="ar-SA"/>
        </w:rPr>
        <w:t>项目本身所包括涉及的</w:t>
      </w:r>
      <w:r>
        <w:rPr>
          <w:rFonts w:hint="eastAsia" w:ascii="宋体" w:hAnsi="宋体" w:cs="Times New Roman"/>
          <w:color w:val="000000"/>
          <w:kern w:val="0"/>
          <w:sz w:val="24"/>
          <w:szCs w:val="24"/>
          <w:lang w:val="en-US" w:eastAsia="zh-CN" w:bidi="ar-SA"/>
        </w:rPr>
        <w:t>招标</w:t>
      </w:r>
      <w:r>
        <w:rPr>
          <w:rFonts w:hint="eastAsia" w:ascii="宋体" w:hAnsi="宋体" w:eastAsia="宋体" w:cs="Times New Roman"/>
          <w:color w:val="000000"/>
          <w:kern w:val="0"/>
          <w:sz w:val="24"/>
          <w:szCs w:val="24"/>
          <w:lang w:val="en-US" w:eastAsia="zh-CN" w:bidi="ar-SA"/>
        </w:rPr>
        <w:t>事项。投标人不能以“赠送、赠予”等任何名义提供货物和服务以规避招标文件的约束。</w:t>
      </w:r>
    </w:p>
    <w:p>
      <w:pPr>
        <w:widowControl w:val="0"/>
        <w:wordWrap w:val="0"/>
        <w:topLinePunct/>
        <w:adjustRightInd w:val="0"/>
        <w:snapToGrid w:val="0"/>
        <w:spacing w:line="360" w:lineRule="auto"/>
        <w:rPr>
          <w:rFonts w:hint="eastAsia" w:ascii="宋体" w:hAnsi="宋体"/>
          <w:b/>
          <w:bCs/>
          <w:color w:val="000000"/>
          <w:sz w:val="24"/>
        </w:rPr>
      </w:pPr>
      <w:r>
        <w:rPr>
          <w:rFonts w:hint="eastAsia" w:ascii="宋体" w:hAnsi="宋体"/>
          <w:b/>
          <w:bCs/>
          <w:color w:val="000000"/>
          <w:sz w:val="24"/>
        </w:rPr>
        <w:t>9、投标文件组成详见“第二节   投标人须知之专用条款”中相关条款。</w:t>
      </w:r>
    </w:p>
    <w:p>
      <w:pPr>
        <w:widowControl w:val="0"/>
        <w:wordWrap w:val="0"/>
        <w:topLinePunct/>
        <w:adjustRightInd w:val="0"/>
        <w:snapToGrid w:val="0"/>
        <w:spacing w:before="0" w:line="360" w:lineRule="auto"/>
        <w:ind w:firstLine="0" w:firstLineChars="0"/>
        <w:jc w:val="both"/>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10、投标有效期</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0"/>
          <w:lang w:val="en-US" w:eastAsia="zh-CN" w:bidi="ar-SA"/>
        </w:rPr>
        <w:t>10.1、投标书递交后60天内有效。</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0"/>
          <w:lang w:val="en-US" w:eastAsia="zh-CN" w:bidi="ar-SA"/>
        </w:rPr>
        <w:t>10.2、在原定投标有效期之前，如果出现特殊情况，</w:t>
      </w:r>
      <w:r>
        <w:rPr>
          <w:rFonts w:hint="eastAsia" w:ascii="宋体" w:hAnsi="宋体" w:cs="Times New Roman"/>
          <w:color w:val="000000"/>
          <w:kern w:val="2"/>
          <w:sz w:val="24"/>
          <w:szCs w:val="20"/>
          <w:lang w:val="en-US" w:eastAsia="zh-CN" w:bidi="ar-SA"/>
        </w:rPr>
        <w:t>招标</w:t>
      </w:r>
      <w:r>
        <w:rPr>
          <w:rFonts w:hint="eastAsia" w:ascii="宋体" w:hAnsi="宋体" w:eastAsia="宋体" w:cs="Times New Roman"/>
          <w:color w:val="000000"/>
          <w:kern w:val="2"/>
          <w:sz w:val="24"/>
          <w:szCs w:val="20"/>
          <w:lang w:val="en-US" w:eastAsia="zh-CN" w:bidi="ar-SA"/>
        </w:rPr>
        <w:t>代理机构可以以书面形式通知投标人延长投标有效期。</w:t>
      </w:r>
    </w:p>
    <w:p>
      <w:pPr>
        <w:widowControl w:val="0"/>
        <w:wordWrap w:val="0"/>
        <w:topLinePunct/>
        <w:adjustRightInd w:val="0"/>
        <w:snapToGrid w:val="0"/>
        <w:spacing w:before="0" w:line="360" w:lineRule="auto"/>
        <w:ind w:firstLine="0" w:firstLineChars="0"/>
        <w:jc w:val="both"/>
        <w:rPr>
          <w:rFonts w:hint="eastAsia" w:ascii="宋体" w:hAnsi="宋体" w:eastAsia="宋体" w:cs="Times New Roman"/>
          <w:b/>
          <w:color w:val="000000"/>
          <w:kern w:val="2"/>
          <w:sz w:val="24"/>
          <w:szCs w:val="20"/>
          <w:lang w:val="en-US" w:eastAsia="zh-CN" w:bidi="ar-SA"/>
        </w:rPr>
      </w:pPr>
      <w:r>
        <w:rPr>
          <w:rFonts w:hint="eastAsia" w:ascii="宋体" w:hAnsi="宋体" w:eastAsia="宋体" w:cs="Times New Roman"/>
          <w:b/>
          <w:color w:val="000000"/>
          <w:kern w:val="2"/>
          <w:sz w:val="24"/>
          <w:szCs w:val="20"/>
          <w:lang w:val="en-US" w:eastAsia="zh-CN" w:bidi="ar-SA"/>
        </w:rPr>
        <w:t>11、投标文件的编制</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0"/>
          <w:lang w:val="en-US" w:eastAsia="zh-CN" w:bidi="ar-SA"/>
        </w:rPr>
        <w:t>11.1、投标文件标识不清、编写不完整、编排混乱导致投标文件被误拆、误读、漏读或者查找不到相关内容的，责任由投标人自行承担。</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0"/>
          <w:lang w:val="en-US" w:eastAsia="zh-CN" w:bidi="ar-SA"/>
        </w:rPr>
        <w:t>11.2、全套投标文件应无涂改和行间插字，除非这些删改是根据招标采购单位要求进行，或者是投标人造成的必须修改的错误。所修改处须加盖投标人公章或者法定代表人签字或授权代表签字，否则，修改处不予认可。投标文件因字迹潦草或表达不清所引起的后果由投标人负责。</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0"/>
          <w:lang w:val="en-US" w:eastAsia="zh-CN" w:bidi="ar-SA"/>
        </w:rPr>
        <w:t>11.3、投标文件提倡采用A4幅面双面打印，并按顺序统一编目编码装订成册。</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p>
    <w:p>
      <w:pPr>
        <w:widowControl w:val="0"/>
        <w:wordWrap w:val="0"/>
        <w:topLinePunct/>
        <w:adjustRightInd w:val="0"/>
        <w:snapToGrid w:val="0"/>
        <w:spacing w:line="360" w:lineRule="auto"/>
        <w:jc w:val="center"/>
        <w:rPr>
          <w:rFonts w:hint="eastAsia" w:ascii="宋体" w:hAnsi="宋体"/>
          <w:b/>
          <w:bCs/>
          <w:color w:val="000000"/>
          <w:sz w:val="24"/>
        </w:rPr>
      </w:pPr>
      <w:r>
        <w:rPr>
          <w:rFonts w:hint="eastAsia" w:ascii="宋体" w:hAnsi="宋体"/>
          <w:b/>
          <w:bCs/>
          <w:color w:val="000000"/>
          <w:sz w:val="24"/>
        </w:rPr>
        <w:t>四、投标文件的递交</w:t>
      </w:r>
    </w:p>
    <w:p>
      <w:pPr>
        <w:widowControl w:val="0"/>
        <w:wordWrap w:val="0"/>
        <w:topLinePunct/>
        <w:adjustRightInd w:val="0"/>
        <w:snapToGrid w:val="0"/>
        <w:spacing w:before="0" w:line="360" w:lineRule="auto"/>
        <w:ind w:firstLine="0" w:firstLineChars="0"/>
        <w:jc w:val="both"/>
        <w:rPr>
          <w:rFonts w:hint="eastAsia" w:ascii="宋体" w:hAnsi="宋体" w:eastAsia="宋体" w:cs="Times New Roman"/>
          <w:b/>
          <w:color w:val="000000"/>
          <w:kern w:val="2"/>
          <w:sz w:val="24"/>
          <w:szCs w:val="20"/>
          <w:lang w:val="en-US" w:eastAsia="zh-CN" w:bidi="ar-SA"/>
        </w:rPr>
      </w:pPr>
      <w:r>
        <w:rPr>
          <w:rFonts w:hint="eastAsia" w:ascii="宋体" w:hAnsi="宋体" w:eastAsia="宋体" w:cs="Times New Roman"/>
          <w:b/>
          <w:color w:val="000000"/>
          <w:kern w:val="2"/>
          <w:sz w:val="24"/>
          <w:szCs w:val="20"/>
          <w:lang w:val="en-US" w:eastAsia="zh-CN" w:bidi="ar-SA"/>
        </w:rPr>
        <w:t>12、投标文件的签署和份数</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0"/>
          <w:lang w:val="en-US" w:eastAsia="zh-CN" w:bidi="ar-SA"/>
        </w:rPr>
        <w:t>12.1、投标人应按</w:t>
      </w:r>
      <w:r>
        <w:rPr>
          <w:rFonts w:hint="eastAsia" w:ascii="宋体" w:hAnsi="宋体" w:cs="Times New Roman"/>
          <w:color w:val="000000"/>
          <w:kern w:val="2"/>
          <w:sz w:val="24"/>
          <w:szCs w:val="20"/>
          <w:lang w:val="en-US" w:eastAsia="zh-CN" w:bidi="ar-SA"/>
        </w:rPr>
        <w:t>资信</w:t>
      </w:r>
      <w:r>
        <w:rPr>
          <w:rFonts w:hint="eastAsia" w:ascii="宋体" w:hAnsi="宋体" w:eastAsia="宋体" w:cs="Times New Roman"/>
          <w:color w:val="000000"/>
          <w:kern w:val="2"/>
          <w:sz w:val="24"/>
          <w:szCs w:val="20"/>
          <w:lang w:val="en-US" w:eastAsia="zh-CN" w:bidi="ar-SA"/>
        </w:rPr>
        <w:t>、技术文件、报价文件正本各一份，副本各四份分别编制并单独装订成册，</w:t>
      </w:r>
      <w:r>
        <w:rPr>
          <w:rFonts w:hint="eastAsia" w:ascii="宋体" w:hAnsi="宋体" w:cs="Times New Roman"/>
          <w:color w:val="000000"/>
          <w:kern w:val="2"/>
          <w:sz w:val="24"/>
          <w:szCs w:val="20"/>
          <w:lang w:val="en-US" w:eastAsia="zh-CN" w:bidi="ar-SA"/>
        </w:rPr>
        <w:t>资信</w:t>
      </w:r>
      <w:r>
        <w:rPr>
          <w:rFonts w:hint="eastAsia" w:ascii="宋体" w:hAnsi="宋体" w:eastAsia="宋体" w:cs="Times New Roman"/>
          <w:color w:val="000000"/>
          <w:kern w:val="2"/>
          <w:sz w:val="24"/>
          <w:szCs w:val="20"/>
          <w:lang w:val="en-US" w:eastAsia="zh-CN" w:bidi="ar-SA"/>
        </w:rPr>
        <w:t>、技术文件可合并装订（但须明显区分）。投标文件封面上应注明“</w:t>
      </w:r>
      <w:r>
        <w:rPr>
          <w:rFonts w:hint="eastAsia" w:ascii="宋体" w:hAnsi="宋体" w:cs="Times New Roman"/>
          <w:color w:val="000000"/>
          <w:kern w:val="2"/>
          <w:sz w:val="24"/>
          <w:szCs w:val="20"/>
          <w:lang w:val="en-US" w:eastAsia="zh-CN" w:bidi="ar-SA"/>
        </w:rPr>
        <w:t>资信</w:t>
      </w:r>
      <w:r>
        <w:rPr>
          <w:rFonts w:hint="eastAsia" w:ascii="宋体" w:hAnsi="宋体" w:eastAsia="宋体" w:cs="Times New Roman"/>
          <w:color w:val="000000"/>
          <w:kern w:val="2"/>
          <w:sz w:val="24"/>
          <w:szCs w:val="20"/>
          <w:lang w:val="en-US" w:eastAsia="zh-CN" w:bidi="ar-SA"/>
        </w:rPr>
        <w:t>/技术文件/报价文件、正本/副本、项目名称、项目编号”等字样，同时必须加盖单位公章。一旦正本和副本有差异，以正本为准。</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0"/>
          <w:lang w:val="en-US" w:eastAsia="zh-CN" w:bidi="ar-SA"/>
        </w:rPr>
        <w:t>12.2、投标文件的正本需打印或用不褪色的墨水填写，投标文件正本除“第二部分 投标人须知”中规定的可提供复印件外均提供原件。副本为正本的复印件。</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0"/>
          <w:lang w:val="en-US" w:eastAsia="zh-CN" w:bidi="ar-SA"/>
        </w:rPr>
        <w:t>12.3、投标文件须由投标人在规定位置加盖单位公章、法定代表人或授权代表签署，投标人应写全称。</w:t>
      </w:r>
    </w:p>
    <w:p>
      <w:pPr>
        <w:widowControl w:val="0"/>
        <w:wordWrap w:val="0"/>
        <w:topLinePunct/>
        <w:adjustRightInd w:val="0"/>
        <w:snapToGrid w:val="0"/>
        <w:spacing w:before="0" w:line="360" w:lineRule="auto"/>
        <w:ind w:firstLine="0" w:firstLineChars="0"/>
        <w:jc w:val="both"/>
        <w:rPr>
          <w:rFonts w:hint="eastAsia" w:ascii="宋体" w:hAnsi="宋体" w:eastAsia="宋体" w:cs="Times New Roman"/>
          <w:b/>
          <w:color w:val="000000"/>
          <w:kern w:val="2"/>
          <w:sz w:val="24"/>
          <w:szCs w:val="20"/>
          <w:lang w:val="en-US" w:eastAsia="zh-CN" w:bidi="ar-SA"/>
        </w:rPr>
      </w:pPr>
      <w:r>
        <w:rPr>
          <w:rFonts w:hint="eastAsia" w:ascii="宋体" w:hAnsi="宋体" w:eastAsia="宋体" w:cs="Times New Roman"/>
          <w:b/>
          <w:color w:val="000000"/>
          <w:kern w:val="2"/>
          <w:sz w:val="24"/>
          <w:szCs w:val="20"/>
          <w:lang w:val="en-US" w:eastAsia="zh-CN" w:bidi="ar-SA"/>
        </w:rPr>
        <w:t>13、投标文件的包装和递交</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0"/>
          <w:lang w:val="en-US" w:eastAsia="zh-CN" w:bidi="ar-SA"/>
        </w:rPr>
        <w:t>13.1、投标文件须密封包装并加盖投标人公章，</w:t>
      </w:r>
      <w:r>
        <w:rPr>
          <w:rFonts w:hint="eastAsia" w:ascii="宋体" w:hAnsi="宋体" w:eastAsia="宋体" w:cs="Times New Roman"/>
          <w:b/>
          <w:color w:val="000000"/>
          <w:kern w:val="2"/>
          <w:sz w:val="24"/>
          <w:szCs w:val="20"/>
          <w:lang w:val="en-US" w:eastAsia="zh-CN" w:bidi="ar-SA"/>
        </w:rPr>
        <w:t>报价文件必须单独密封包装，除报价文件之外其他投标文件中不得出现投标报价。</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0"/>
          <w:lang w:val="en-US" w:eastAsia="zh-CN" w:bidi="ar-SA"/>
        </w:rPr>
        <w:t>13.2、投标文件外层包装封面上应注明“</w:t>
      </w:r>
      <w:r>
        <w:rPr>
          <w:rFonts w:hint="eastAsia" w:ascii="宋体" w:hAnsi="宋体" w:cs="Times New Roman"/>
          <w:color w:val="000000"/>
          <w:kern w:val="2"/>
          <w:sz w:val="24"/>
          <w:szCs w:val="20"/>
          <w:lang w:val="en-US" w:eastAsia="zh-CN" w:bidi="ar-SA"/>
        </w:rPr>
        <w:t>资信</w:t>
      </w:r>
      <w:r>
        <w:rPr>
          <w:rFonts w:hint="eastAsia" w:ascii="宋体" w:hAnsi="宋体" w:eastAsia="宋体" w:cs="Times New Roman"/>
          <w:color w:val="000000"/>
          <w:kern w:val="2"/>
          <w:sz w:val="24"/>
          <w:szCs w:val="20"/>
          <w:lang w:val="en-US" w:eastAsia="zh-CN" w:bidi="ar-SA"/>
        </w:rPr>
        <w:t>/技术文件/报价文件、项目名称、项目编号、投标人名称及开标时启封”字样，并加盖投标人公章。可参考“第五部分 投标文件格式”。</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0"/>
          <w:lang w:val="en-US" w:eastAsia="zh-CN" w:bidi="ar-SA"/>
        </w:rPr>
        <w:t>13.3、招标采购单位将拒绝未通过报名的投标人的投标文件。</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0"/>
          <w:lang w:val="en-US" w:eastAsia="zh-CN" w:bidi="ar-SA"/>
        </w:rPr>
        <w:t>13.4、未按规定密封或未按规定标记的投标文件，一经发现将被拒绝，由此造成投标文件被误投或提前拆封的风险由投标人承担。</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0"/>
          <w:lang w:val="en-US" w:eastAsia="zh-CN" w:bidi="ar-SA"/>
        </w:rPr>
        <w:t>13.5、投标文件在投标截止时间前由授权代表持本人有效身份证件将投标文件送至招标采购单位指定地点。在递交投标文件时，授权代表未在规定时间到达开标现场或未出具有效身份证件原件的，将被拒绝投标。</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0"/>
          <w:lang w:val="en-US" w:eastAsia="zh-CN" w:bidi="ar-SA"/>
        </w:rPr>
        <w:t>13.6、投标文件一经拆封均不退回。</w:t>
      </w:r>
    </w:p>
    <w:p>
      <w:pPr>
        <w:widowControl w:val="0"/>
        <w:wordWrap w:val="0"/>
        <w:topLinePunct/>
        <w:adjustRightInd w:val="0"/>
        <w:snapToGrid w:val="0"/>
        <w:spacing w:line="360" w:lineRule="auto"/>
        <w:rPr>
          <w:rFonts w:hint="eastAsia" w:ascii="宋体" w:hAnsi="宋体"/>
          <w:color w:val="000000"/>
          <w:sz w:val="24"/>
        </w:rPr>
      </w:pPr>
      <w:r>
        <w:rPr>
          <w:rFonts w:hint="eastAsia" w:ascii="宋体" w:hAnsi="宋体"/>
          <w:b/>
          <w:color w:val="000000"/>
          <w:sz w:val="24"/>
        </w:rPr>
        <w:t>14、递交投标文件的截止时间</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14.1、所有投标文件必须按招标文件规定的投标截止时间之前送至招标采购单位指定地点。</w:t>
      </w:r>
    </w:p>
    <w:p>
      <w:pPr>
        <w:widowControl w:val="0"/>
        <w:wordWrap w:val="0"/>
        <w:topLinePunct/>
        <w:adjustRightInd w:val="0"/>
        <w:snapToGrid w:val="0"/>
        <w:spacing w:line="360" w:lineRule="auto"/>
        <w:ind w:firstLine="482" w:firstLineChars="200"/>
        <w:rPr>
          <w:rFonts w:hint="eastAsia" w:ascii="宋体" w:hAnsi="宋体"/>
          <w:b/>
          <w:color w:val="000000"/>
          <w:sz w:val="24"/>
        </w:rPr>
      </w:pPr>
      <w:r>
        <w:rPr>
          <w:rFonts w:hint="eastAsia" w:ascii="宋体" w:hAnsi="宋体"/>
          <w:b/>
          <w:color w:val="000000"/>
          <w:sz w:val="24"/>
        </w:rPr>
        <w:t>14.2、招标采购单位将拒绝在投标截止时间后递交的投标文件。</w:t>
      </w:r>
    </w:p>
    <w:p>
      <w:pPr>
        <w:widowControl w:val="0"/>
        <w:wordWrap w:val="0"/>
        <w:topLinePunct/>
        <w:adjustRightInd w:val="0"/>
        <w:snapToGrid w:val="0"/>
        <w:spacing w:line="360" w:lineRule="auto"/>
        <w:rPr>
          <w:rFonts w:hint="eastAsia" w:ascii="宋体" w:hAnsi="宋体"/>
          <w:b/>
          <w:color w:val="000000"/>
          <w:sz w:val="24"/>
        </w:rPr>
      </w:pPr>
      <w:r>
        <w:rPr>
          <w:rFonts w:hint="eastAsia" w:ascii="宋体" w:hAnsi="宋体"/>
          <w:b/>
          <w:color w:val="000000"/>
          <w:sz w:val="24"/>
        </w:rPr>
        <w:t>15、投标文件的修改和撤回</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投标人在投标截止时间之前，经开标工作人员确认后，可以对已提交的投标文件进行修改或撤回。修改后重新递交的投标文件应当按本招标文件的要求签署、盖章和密封。投标截止时间后，投标人不得撤回、修改投标文件。</w:t>
      </w:r>
    </w:p>
    <w:p>
      <w:pPr>
        <w:widowControl w:val="0"/>
        <w:wordWrap w:val="0"/>
        <w:topLinePunct/>
        <w:adjustRightInd w:val="0"/>
        <w:snapToGrid w:val="0"/>
        <w:spacing w:line="360" w:lineRule="auto"/>
        <w:ind w:firstLine="480" w:firstLineChars="200"/>
        <w:rPr>
          <w:rFonts w:hint="eastAsia" w:ascii="宋体" w:hAnsi="宋体"/>
          <w:color w:val="000000"/>
          <w:sz w:val="24"/>
        </w:rPr>
      </w:pPr>
    </w:p>
    <w:p>
      <w:pPr>
        <w:widowControl w:val="0"/>
        <w:wordWrap w:val="0"/>
        <w:topLinePunct/>
        <w:adjustRightInd w:val="0"/>
        <w:snapToGrid w:val="0"/>
        <w:spacing w:line="360" w:lineRule="auto"/>
        <w:jc w:val="center"/>
        <w:rPr>
          <w:rFonts w:hint="eastAsia" w:ascii="宋体" w:hAnsi="宋体"/>
          <w:b/>
          <w:bCs/>
          <w:color w:val="000000"/>
          <w:sz w:val="24"/>
        </w:rPr>
      </w:pPr>
      <w:r>
        <w:rPr>
          <w:rFonts w:hint="eastAsia" w:ascii="宋体" w:hAnsi="宋体"/>
          <w:b/>
          <w:bCs/>
          <w:color w:val="000000"/>
          <w:sz w:val="24"/>
        </w:rPr>
        <w:t>五、开标</w:t>
      </w:r>
    </w:p>
    <w:p>
      <w:pPr>
        <w:widowControl w:val="0"/>
        <w:wordWrap w:val="0"/>
        <w:topLinePunct/>
        <w:adjustRightInd w:val="0"/>
        <w:snapToGrid w:val="0"/>
        <w:spacing w:line="360" w:lineRule="auto"/>
        <w:rPr>
          <w:rFonts w:hint="eastAsia" w:ascii="宋体" w:hAnsi="宋体"/>
          <w:b/>
          <w:color w:val="000000"/>
          <w:sz w:val="24"/>
        </w:rPr>
      </w:pPr>
      <w:r>
        <w:rPr>
          <w:rFonts w:hint="eastAsia" w:ascii="宋体" w:hAnsi="宋体"/>
          <w:b/>
          <w:color w:val="000000"/>
          <w:sz w:val="24"/>
        </w:rPr>
        <w:t>16、开标准备</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lang w:eastAsia="zh-CN"/>
        </w:rPr>
        <w:t>招标</w:t>
      </w:r>
      <w:r>
        <w:rPr>
          <w:rFonts w:hint="eastAsia" w:ascii="宋体" w:hAnsi="宋体"/>
          <w:color w:val="000000"/>
          <w:sz w:val="24"/>
        </w:rPr>
        <w:t>代理机构将在规定的时间和地点进行开标，投标人的法定代表人或其授权代表应准时参加开标会议并签到。</w:t>
      </w:r>
    </w:p>
    <w:p>
      <w:pPr>
        <w:widowControl w:val="0"/>
        <w:wordWrap w:val="0"/>
        <w:topLinePunct/>
        <w:adjustRightInd w:val="0"/>
        <w:snapToGrid w:val="0"/>
        <w:spacing w:line="360" w:lineRule="auto"/>
        <w:rPr>
          <w:rFonts w:hint="eastAsia" w:ascii="宋体" w:hAnsi="宋体"/>
          <w:b/>
          <w:color w:val="000000"/>
          <w:sz w:val="24"/>
        </w:rPr>
      </w:pPr>
      <w:r>
        <w:rPr>
          <w:rFonts w:hint="eastAsia" w:ascii="宋体" w:hAnsi="宋体"/>
          <w:b/>
          <w:color w:val="000000"/>
          <w:sz w:val="24"/>
        </w:rPr>
        <w:t>17、开标程序：</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17.1、开标时，由投标人代表检查各投标文件的密封情况，确认无误后，工作人员当众拆封</w:t>
      </w:r>
      <w:r>
        <w:rPr>
          <w:rFonts w:hint="eastAsia" w:ascii="宋体" w:hAnsi="宋体"/>
          <w:color w:val="000000"/>
          <w:sz w:val="24"/>
          <w:lang w:eastAsia="zh-CN"/>
        </w:rPr>
        <w:t>资信</w:t>
      </w:r>
      <w:r>
        <w:rPr>
          <w:rFonts w:hint="eastAsia" w:ascii="宋体" w:hAnsi="宋体"/>
          <w:color w:val="000000"/>
          <w:sz w:val="24"/>
        </w:rPr>
        <w:t>技术文件并清点投标文件正本、副本数量，符合招标文件要求的送评标室评审；不符合要求的，视其投标无效，并由投标人代表签字确认；</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17.2、</w:t>
      </w:r>
      <w:r>
        <w:rPr>
          <w:rFonts w:hint="eastAsia" w:ascii="宋体" w:hAnsi="宋体"/>
          <w:color w:val="000000"/>
          <w:sz w:val="24"/>
          <w:lang w:eastAsia="zh-CN"/>
        </w:rPr>
        <w:t>资信</w:t>
      </w:r>
      <w:r>
        <w:rPr>
          <w:rFonts w:hint="eastAsia" w:ascii="宋体" w:hAnsi="宋体"/>
          <w:color w:val="000000"/>
          <w:sz w:val="24"/>
        </w:rPr>
        <w:t>技术评分结束后，开报价文件，由投标人代表检查各报价文件的密封情况。确认无误后，工作人员当众拆封报价文件，并清点报价文件正、副本数量，若报价文件数量不符合要求的，视其投标无效，并由投标人代表签字确认。符合要求的报价文件，工作人员进行唱标，唱标内容为报价文件正本中“开标一览表”内容并作记录，由授权代表当场校核及勘误并签字确认，授权代表未到场确认或拒绝签字的，不影响评标过程。</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17.3、开标会结束。</w:t>
      </w:r>
    </w:p>
    <w:p>
      <w:pPr>
        <w:widowControl w:val="0"/>
        <w:wordWrap w:val="0"/>
        <w:topLinePunct/>
        <w:adjustRightInd w:val="0"/>
        <w:snapToGrid w:val="0"/>
        <w:spacing w:line="360" w:lineRule="auto"/>
        <w:ind w:firstLine="480" w:firstLineChars="200"/>
        <w:rPr>
          <w:rFonts w:hint="eastAsia" w:ascii="宋体" w:hAnsi="宋体"/>
          <w:color w:val="000000"/>
          <w:sz w:val="24"/>
        </w:rPr>
      </w:pPr>
    </w:p>
    <w:p>
      <w:pPr>
        <w:widowControl w:val="0"/>
        <w:wordWrap w:val="0"/>
        <w:topLinePunct/>
        <w:adjustRightInd w:val="0"/>
        <w:snapToGrid w:val="0"/>
        <w:spacing w:line="360" w:lineRule="auto"/>
        <w:jc w:val="center"/>
        <w:rPr>
          <w:rFonts w:hint="eastAsia" w:ascii="宋体" w:hAnsi="宋体"/>
          <w:b/>
          <w:bCs/>
          <w:color w:val="000000"/>
          <w:sz w:val="24"/>
        </w:rPr>
      </w:pPr>
      <w:r>
        <w:rPr>
          <w:rFonts w:hint="eastAsia" w:ascii="宋体" w:hAnsi="宋体"/>
          <w:b/>
          <w:bCs/>
          <w:color w:val="000000"/>
          <w:sz w:val="24"/>
        </w:rPr>
        <w:t>六、评标</w:t>
      </w:r>
    </w:p>
    <w:p>
      <w:pPr>
        <w:widowControl w:val="0"/>
        <w:wordWrap w:val="0"/>
        <w:topLinePunct/>
        <w:adjustRightInd w:val="0"/>
        <w:snapToGrid w:val="0"/>
        <w:spacing w:line="360" w:lineRule="auto"/>
        <w:rPr>
          <w:rFonts w:hint="eastAsia" w:ascii="宋体" w:hAnsi="宋体"/>
          <w:b/>
          <w:color w:val="000000"/>
          <w:sz w:val="24"/>
        </w:rPr>
      </w:pPr>
      <w:r>
        <w:rPr>
          <w:rFonts w:hint="eastAsia" w:ascii="宋体" w:hAnsi="宋体"/>
          <w:b/>
          <w:color w:val="000000"/>
          <w:sz w:val="24"/>
        </w:rPr>
        <w:t>18、组建评标委员会</w:t>
      </w:r>
    </w:p>
    <w:p>
      <w:pPr>
        <w:widowControl w:val="0"/>
        <w:wordWrap w:val="0"/>
        <w:topLinePunct/>
        <w:adjustRightInd w:val="0"/>
        <w:snapToGrid w:val="0"/>
        <w:spacing w:line="360" w:lineRule="auto"/>
        <w:ind w:firstLine="470" w:firstLineChars="196"/>
        <w:jc w:val="left"/>
        <w:textAlignment w:val="baseline"/>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项目评标委员会根据相关规定由</w:t>
      </w:r>
      <w:r>
        <w:rPr>
          <w:rFonts w:hint="eastAsia" w:ascii="宋体" w:hAnsi="宋体" w:cs="Times New Roman"/>
          <w:color w:val="000000"/>
          <w:kern w:val="0"/>
          <w:sz w:val="24"/>
          <w:szCs w:val="24"/>
          <w:lang w:val="en-US" w:eastAsia="zh-CN" w:bidi="ar-SA"/>
        </w:rPr>
        <w:t>招标人</w:t>
      </w:r>
      <w:r>
        <w:rPr>
          <w:rFonts w:hint="eastAsia" w:ascii="宋体" w:hAnsi="宋体" w:eastAsia="宋体" w:cs="Times New Roman"/>
          <w:color w:val="000000"/>
          <w:kern w:val="0"/>
          <w:sz w:val="24"/>
          <w:szCs w:val="24"/>
          <w:lang w:val="en-US" w:eastAsia="zh-CN" w:bidi="ar-SA"/>
        </w:rPr>
        <w:t>代表和有关技术、经济等方面的专家组成，成员人数应当为5人以上单数。</w:t>
      </w:r>
    </w:p>
    <w:p>
      <w:pPr>
        <w:widowControl w:val="0"/>
        <w:wordWrap w:val="0"/>
        <w:topLinePunct/>
        <w:adjustRightInd w:val="0"/>
        <w:snapToGrid w:val="0"/>
        <w:spacing w:line="360" w:lineRule="auto"/>
        <w:rPr>
          <w:rFonts w:hint="eastAsia" w:ascii="宋体" w:hAnsi="宋体"/>
          <w:b/>
          <w:color w:val="000000"/>
          <w:sz w:val="24"/>
        </w:rPr>
      </w:pPr>
      <w:r>
        <w:rPr>
          <w:rFonts w:hint="eastAsia" w:ascii="宋体" w:hAnsi="宋体"/>
          <w:b/>
          <w:color w:val="000000"/>
          <w:sz w:val="24"/>
        </w:rPr>
        <w:t>19、评标的方式</w:t>
      </w:r>
    </w:p>
    <w:p>
      <w:pPr>
        <w:widowControl w:val="0"/>
        <w:wordWrap w:val="0"/>
        <w:topLinePunct/>
        <w:adjustRightInd w:val="0"/>
        <w:snapToGrid w:val="0"/>
        <w:spacing w:line="360" w:lineRule="auto"/>
        <w:ind w:firstLine="470" w:firstLineChars="196"/>
        <w:jc w:val="left"/>
        <w:textAlignment w:val="baseline"/>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本项目采用不公开方式评标，评标的依据为招标文件和投标文件。</w:t>
      </w:r>
    </w:p>
    <w:p>
      <w:pPr>
        <w:widowControl w:val="0"/>
        <w:wordWrap w:val="0"/>
        <w:topLinePunct/>
        <w:adjustRightInd w:val="0"/>
        <w:snapToGrid w:val="0"/>
        <w:spacing w:line="360" w:lineRule="auto"/>
        <w:rPr>
          <w:rFonts w:hint="eastAsia" w:ascii="宋体" w:hAnsi="宋体"/>
          <w:b/>
          <w:color w:val="000000"/>
          <w:sz w:val="24"/>
        </w:rPr>
      </w:pPr>
      <w:r>
        <w:rPr>
          <w:rFonts w:hint="eastAsia" w:ascii="宋体" w:hAnsi="宋体"/>
          <w:b/>
          <w:color w:val="000000"/>
          <w:sz w:val="24"/>
        </w:rPr>
        <w:t>20、评标程序</w:t>
      </w:r>
    </w:p>
    <w:p>
      <w:pPr>
        <w:widowControl w:val="0"/>
        <w:wordWrap w:val="0"/>
        <w:topLinePunct/>
        <w:adjustRightInd w:val="0"/>
        <w:snapToGrid w:val="0"/>
        <w:spacing w:line="360" w:lineRule="auto"/>
        <w:ind w:firstLine="470" w:firstLineChars="196"/>
        <w:jc w:val="left"/>
        <w:textAlignment w:val="baseline"/>
        <w:rPr>
          <w:rFonts w:hint="eastAsia" w:ascii="宋体" w:hAnsi="宋体" w:eastAsia="宋体" w:cs="Times New Roman"/>
          <w:color w:val="000000"/>
          <w:kern w:val="0"/>
          <w:sz w:val="24"/>
          <w:szCs w:val="20"/>
          <w:lang w:val="en-US" w:eastAsia="zh-CN" w:bidi="ar-SA"/>
        </w:rPr>
      </w:pPr>
      <w:r>
        <w:rPr>
          <w:rFonts w:hint="eastAsia" w:ascii="宋体" w:hAnsi="宋体" w:eastAsia="宋体" w:cs="Times New Roman"/>
          <w:color w:val="000000"/>
          <w:kern w:val="0"/>
          <w:sz w:val="24"/>
          <w:szCs w:val="20"/>
          <w:lang w:val="en-US" w:eastAsia="zh-CN" w:bidi="ar-SA"/>
        </w:rPr>
        <w:t>20.1、本项目评标一般将按以下程序进行：投标文件初审、澄清有关问题、投标文件技术与</w:t>
      </w:r>
      <w:r>
        <w:rPr>
          <w:rFonts w:hint="eastAsia" w:ascii="宋体" w:hAnsi="宋体" w:cs="Times New Roman"/>
          <w:color w:val="000000"/>
          <w:kern w:val="0"/>
          <w:sz w:val="24"/>
          <w:szCs w:val="20"/>
          <w:lang w:val="en-US" w:eastAsia="zh-CN" w:bidi="ar-SA"/>
        </w:rPr>
        <w:t>资信</w:t>
      </w:r>
      <w:r>
        <w:rPr>
          <w:rFonts w:hint="eastAsia" w:ascii="宋体" w:hAnsi="宋体" w:eastAsia="宋体" w:cs="Times New Roman"/>
          <w:color w:val="000000"/>
          <w:kern w:val="0"/>
          <w:sz w:val="24"/>
          <w:szCs w:val="20"/>
          <w:lang w:val="en-US" w:eastAsia="zh-CN" w:bidi="ar-SA"/>
        </w:rPr>
        <w:t>部分的比较与评审、报价文件的比较与评审、推荐中标投标人和编写评标报告等。</w:t>
      </w:r>
    </w:p>
    <w:p>
      <w:pPr>
        <w:widowControl w:val="0"/>
        <w:wordWrap w:val="0"/>
        <w:topLinePunct/>
        <w:adjustRightInd w:val="0"/>
        <w:snapToGrid w:val="0"/>
        <w:spacing w:line="360" w:lineRule="auto"/>
        <w:ind w:firstLine="470" w:firstLineChars="196"/>
        <w:jc w:val="left"/>
        <w:textAlignment w:val="baseline"/>
        <w:rPr>
          <w:rFonts w:hint="eastAsia" w:ascii="宋体" w:hAnsi="宋体" w:eastAsia="宋体" w:cs="Times New Roman"/>
          <w:color w:val="000000"/>
          <w:kern w:val="0"/>
          <w:sz w:val="24"/>
          <w:szCs w:val="20"/>
          <w:lang w:val="en-US" w:eastAsia="zh-CN" w:bidi="ar-SA"/>
        </w:rPr>
      </w:pPr>
      <w:r>
        <w:rPr>
          <w:rFonts w:hint="eastAsia" w:ascii="宋体" w:hAnsi="宋体" w:eastAsia="宋体" w:cs="Times New Roman"/>
          <w:color w:val="000000"/>
          <w:kern w:val="0"/>
          <w:sz w:val="24"/>
          <w:szCs w:val="20"/>
          <w:lang w:val="en-US" w:eastAsia="zh-CN" w:bidi="ar-SA"/>
        </w:rPr>
        <w:t>20.2、投标文件初审包括资格性检查和符合性检查。</w:t>
      </w:r>
    </w:p>
    <w:p>
      <w:pPr>
        <w:widowControl w:val="0"/>
        <w:wordWrap w:val="0"/>
        <w:topLinePunct/>
        <w:adjustRightInd w:val="0"/>
        <w:snapToGrid w:val="0"/>
        <w:spacing w:line="360" w:lineRule="auto"/>
        <w:ind w:firstLine="470" w:firstLineChars="196"/>
        <w:jc w:val="left"/>
        <w:textAlignment w:val="baseline"/>
        <w:rPr>
          <w:rFonts w:hint="eastAsia" w:ascii="宋体" w:hAnsi="宋体" w:eastAsia="宋体" w:cs="Times New Roman"/>
          <w:color w:val="000000"/>
          <w:kern w:val="0"/>
          <w:sz w:val="24"/>
          <w:szCs w:val="20"/>
          <w:lang w:val="en-US" w:eastAsia="zh-CN" w:bidi="ar-SA"/>
        </w:rPr>
      </w:pPr>
      <w:r>
        <w:rPr>
          <w:rFonts w:hint="eastAsia" w:ascii="宋体" w:hAnsi="宋体" w:eastAsia="宋体" w:cs="Times New Roman"/>
          <w:color w:val="000000"/>
          <w:kern w:val="0"/>
          <w:sz w:val="24"/>
          <w:szCs w:val="20"/>
          <w:lang w:val="en-US" w:eastAsia="zh-CN" w:bidi="ar-SA"/>
        </w:rPr>
        <w:t>20.2.1、资格性检查：依据法律法规和招标文件的规定，对投标文件中的资格证明等进行审查，以确定投标投标人是否具备投标资格。资格性检查不合格的投标人则无须继续进行符合性检查，并且投标文件初审结论不合格。</w:t>
      </w:r>
    </w:p>
    <w:p>
      <w:pPr>
        <w:widowControl w:val="0"/>
        <w:wordWrap w:val="0"/>
        <w:topLinePunct/>
        <w:adjustRightInd w:val="0"/>
        <w:snapToGrid w:val="0"/>
        <w:spacing w:line="360" w:lineRule="auto"/>
        <w:ind w:firstLine="470" w:firstLineChars="196"/>
        <w:jc w:val="left"/>
        <w:textAlignment w:val="baseline"/>
        <w:rPr>
          <w:rFonts w:hint="eastAsia" w:ascii="宋体" w:hAnsi="宋体" w:eastAsia="宋体" w:cs="Times New Roman"/>
          <w:color w:val="000000"/>
          <w:kern w:val="0"/>
          <w:sz w:val="24"/>
          <w:szCs w:val="20"/>
          <w:lang w:val="en-US" w:eastAsia="zh-CN" w:bidi="ar-SA"/>
        </w:rPr>
      </w:pPr>
      <w:r>
        <w:rPr>
          <w:rFonts w:hint="eastAsia" w:ascii="宋体" w:hAnsi="宋体" w:eastAsia="宋体" w:cs="Times New Roman"/>
          <w:color w:val="000000"/>
          <w:kern w:val="0"/>
          <w:sz w:val="24"/>
          <w:szCs w:val="20"/>
          <w:lang w:val="en-US" w:eastAsia="zh-CN" w:bidi="ar-SA"/>
        </w:rPr>
        <w:t>20.2.2、符合性检查：依据招标文件的规定，从投标文件的资信、技术文件有效性、完整性和对招标文件的响应程度进行审查，以确定是否对招标文件的实质性要求作出响应。符合性检查不合格的投标人，投标文件初审结论不合格。</w:t>
      </w:r>
    </w:p>
    <w:p>
      <w:pPr>
        <w:widowControl w:val="0"/>
        <w:wordWrap w:val="0"/>
        <w:topLinePunct/>
        <w:adjustRightInd w:val="0"/>
        <w:snapToGrid w:val="0"/>
        <w:spacing w:line="360" w:lineRule="auto"/>
        <w:ind w:firstLine="470" w:firstLineChars="196"/>
        <w:jc w:val="left"/>
        <w:textAlignment w:val="baseline"/>
        <w:rPr>
          <w:rFonts w:hint="eastAsia" w:ascii="宋体" w:hAnsi="宋体" w:eastAsia="宋体" w:cs="Times New Roman"/>
          <w:color w:val="000000"/>
          <w:kern w:val="0"/>
          <w:sz w:val="24"/>
          <w:szCs w:val="20"/>
          <w:lang w:val="en-US" w:eastAsia="zh-CN" w:bidi="ar-SA"/>
        </w:rPr>
      </w:pPr>
      <w:r>
        <w:rPr>
          <w:rFonts w:hint="eastAsia" w:ascii="宋体" w:hAnsi="宋体" w:eastAsia="宋体" w:cs="Times New Roman"/>
          <w:color w:val="000000"/>
          <w:kern w:val="0"/>
          <w:sz w:val="24"/>
          <w:szCs w:val="20"/>
          <w:lang w:val="en-US" w:eastAsia="zh-CN" w:bidi="ar-SA"/>
        </w:rPr>
        <w:t>20.2.3、投标文件初审结论合格的投标人进入评标后续程序。</w:t>
      </w:r>
    </w:p>
    <w:p>
      <w:pPr>
        <w:widowControl w:val="0"/>
        <w:wordWrap w:val="0"/>
        <w:topLinePunct/>
        <w:adjustRightInd w:val="0"/>
        <w:snapToGrid w:val="0"/>
        <w:spacing w:line="360" w:lineRule="auto"/>
        <w:ind w:firstLine="470" w:firstLineChars="196"/>
        <w:jc w:val="left"/>
        <w:textAlignment w:val="baseline"/>
        <w:rPr>
          <w:rFonts w:hint="eastAsia" w:ascii="宋体" w:hAnsi="宋体" w:eastAsia="宋体" w:cs="Times New Roman"/>
          <w:color w:val="000000"/>
          <w:kern w:val="0"/>
          <w:sz w:val="24"/>
          <w:szCs w:val="20"/>
          <w:lang w:val="en-US" w:eastAsia="zh-CN" w:bidi="ar-SA"/>
        </w:rPr>
      </w:pPr>
      <w:r>
        <w:rPr>
          <w:rFonts w:hint="eastAsia" w:ascii="宋体" w:hAnsi="宋体" w:eastAsia="宋体" w:cs="Times New Roman"/>
          <w:color w:val="000000"/>
          <w:kern w:val="0"/>
          <w:sz w:val="24"/>
          <w:szCs w:val="20"/>
          <w:lang w:val="en-US" w:eastAsia="zh-CN" w:bidi="ar-SA"/>
        </w:rPr>
        <w:t>20.3、投标文件的澄清。对投标文件中含义不明确、同类问题表述不一致或者有明显文字和计算错误的内容，评标委员会可以要求投标人作出必要的澄清、说明或者纠正。投标人的澄清、说明或者补正应当采用书面形式，由投标人授权代表签字，并不得超出投标文件的范围或者改变投标文件的实质性内容。投标人代表未到场或者拒绝澄清或者澄清的内容改变了投标文件的实质性内容的，评标委员会有权对该投标文件作出不利于投标人的评判。</w:t>
      </w:r>
    </w:p>
    <w:p>
      <w:pPr>
        <w:widowControl w:val="0"/>
        <w:wordWrap w:val="0"/>
        <w:topLinePunct/>
        <w:adjustRightInd w:val="0"/>
        <w:snapToGrid w:val="0"/>
        <w:spacing w:line="360" w:lineRule="auto"/>
        <w:ind w:firstLine="470" w:firstLineChars="196"/>
        <w:jc w:val="left"/>
        <w:textAlignment w:val="baseline"/>
        <w:rPr>
          <w:rFonts w:hint="eastAsia" w:ascii="宋体" w:hAnsi="宋体" w:eastAsia="宋体" w:cs="Times New Roman"/>
          <w:color w:val="000000"/>
          <w:kern w:val="0"/>
          <w:sz w:val="24"/>
          <w:szCs w:val="20"/>
          <w:lang w:val="en-US" w:eastAsia="zh-CN" w:bidi="ar-SA"/>
        </w:rPr>
      </w:pPr>
      <w:r>
        <w:rPr>
          <w:rFonts w:hint="eastAsia" w:ascii="宋体" w:hAnsi="宋体" w:eastAsia="宋体" w:cs="Times New Roman"/>
          <w:color w:val="000000"/>
          <w:kern w:val="0"/>
          <w:sz w:val="24"/>
          <w:szCs w:val="20"/>
          <w:lang w:val="en-US" w:eastAsia="zh-CN" w:bidi="ar-SA"/>
        </w:rPr>
        <w:t>20.4、比较与评审。按招标文件中规定的评标方法和标准，对资格性检查和符合性检查合格的投标文件进行</w:t>
      </w:r>
      <w:r>
        <w:rPr>
          <w:rFonts w:hint="eastAsia" w:ascii="宋体" w:hAnsi="宋体" w:cs="Times New Roman"/>
          <w:color w:val="000000"/>
          <w:kern w:val="0"/>
          <w:sz w:val="24"/>
          <w:szCs w:val="20"/>
          <w:lang w:val="en-US" w:eastAsia="zh-CN" w:bidi="ar-SA"/>
        </w:rPr>
        <w:t>资信</w:t>
      </w:r>
      <w:r>
        <w:rPr>
          <w:rFonts w:hint="eastAsia" w:ascii="宋体" w:hAnsi="宋体" w:eastAsia="宋体" w:cs="Times New Roman"/>
          <w:color w:val="000000"/>
          <w:kern w:val="0"/>
          <w:sz w:val="24"/>
          <w:szCs w:val="20"/>
          <w:lang w:val="en-US" w:eastAsia="zh-CN" w:bidi="ar-SA"/>
        </w:rPr>
        <w:t>、技术、价格比较和评审。</w:t>
      </w:r>
    </w:p>
    <w:p>
      <w:pPr>
        <w:widowControl w:val="0"/>
        <w:wordWrap w:val="0"/>
        <w:topLinePunct/>
        <w:adjustRightInd w:val="0"/>
        <w:snapToGrid w:val="0"/>
        <w:spacing w:line="360" w:lineRule="auto"/>
        <w:ind w:firstLine="470" w:firstLineChars="196"/>
        <w:jc w:val="left"/>
        <w:textAlignment w:val="baseline"/>
        <w:rPr>
          <w:rFonts w:hint="eastAsia" w:ascii="宋体" w:hAnsi="宋体" w:eastAsia="宋体" w:cs="Times New Roman"/>
          <w:color w:val="000000"/>
          <w:kern w:val="0"/>
          <w:sz w:val="24"/>
          <w:szCs w:val="20"/>
          <w:lang w:val="en-US" w:eastAsia="zh-CN" w:bidi="ar-SA"/>
        </w:rPr>
      </w:pPr>
      <w:r>
        <w:rPr>
          <w:rFonts w:hint="eastAsia" w:ascii="宋体" w:hAnsi="宋体" w:eastAsia="宋体" w:cs="Times New Roman"/>
          <w:color w:val="000000"/>
          <w:kern w:val="0"/>
          <w:sz w:val="24"/>
          <w:szCs w:val="20"/>
          <w:lang w:val="en-US" w:eastAsia="zh-CN" w:bidi="ar-SA"/>
        </w:rPr>
        <w:t>20.5、推荐中标候选人。根据评标情况，推荐中标候选人。</w:t>
      </w:r>
    </w:p>
    <w:p>
      <w:pPr>
        <w:widowControl w:val="0"/>
        <w:wordWrap w:val="0"/>
        <w:topLinePunct/>
        <w:adjustRightInd w:val="0"/>
        <w:snapToGrid w:val="0"/>
        <w:spacing w:line="360" w:lineRule="auto"/>
        <w:rPr>
          <w:rFonts w:hint="eastAsia" w:ascii="宋体" w:hAnsi="宋体"/>
          <w:b/>
          <w:color w:val="000000"/>
          <w:sz w:val="24"/>
        </w:rPr>
      </w:pPr>
      <w:r>
        <w:rPr>
          <w:rFonts w:hint="eastAsia" w:ascii="宋体" w:hAnsi="宋体"/>
          <w:b/>
          <w:color w:val="000000"/>
          <w:sz w:val="24"/>
        </w:rPr>
        <w:t>21、错误修正</w:t>
      </w:r>
    </w:p>
    <w:p>
      <w:pPr>
        <w:widowControl w:val="0"/>
        <w:wordWrap w:val="0"/>
        <w:topLinePunct/>
        <w:adjustRightInd w:val="0"/>
        <w:snapToGrid w:val="0"/>
        <w:spacing w:line="360" w:lineRule="auto"/>
        <w:ind w:firstLine="470" w:firstLineChars="196"/>
        <w:jc w:val="left"/>
        <w:textAlignment w:val="baseline"/>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投标文件如果出现计算或表达上的错误，修正错误的原则如下：</w:t>
      </w:r>
    </w:p>
    <w:p>
      <w:pPr>
        <w:widowControl w:val="0"/>
        <w:wordWrap w:val="0"/>
        <w:topLinePunct/>
        <w:adjustRightInd w:val="0"/>
        <w:snapToGrid w:val="0"/>
        <w:spacing w:line="360" w:lineRule="auto"/>
        <w:ind w:firstLine="470" w:firstLineChars="196"/>
        <w:jc w:val="left"/>
        <w:textAlignment w:val="baseline"/>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0"/>
          <w:lang w:val="en-US" w:eastAsia="zh-CN" w:bidi="ar-SA"/>
        </w:rPr>
        <w:t>21.1、</w:t>
      </w:r>
      <w:r>
        <w:rPr>
          <w:rFonts w:hint="eastAsia" w:ascii="宋体" w:hAnsi="宋体" w:eastAsia="宋体" w:cs="Times New Roman"/>
          <w:color w:val="000000"/>
          <w:kern w:val="0"/>
          <w:sz w:val="24"/>
          <w:szCs w:val="24"/>
          <w:lang w:val="en-US" w:eastAsia="zh-CN" w:bidi="ar-SA"/>
        </w:rPr>
        <w:t>投标文件的大写金额和小写金额不一致的，以大写金额为准；</w:t>
      </w:r>
    </w:p>
    <w:p>
      <w:pPr>
        <w:widowControl w:val="0"/>
        <w:wordWrap w:val="0"/>
        <w:topLinePunct/>
        <w:adjustRightInd w:val="0"/>
        <w:snapToGrid w:val="0"/>
        <w:spacing w:line="360" w:lineRule="auto"/>
        <w:ind w:firstLine="470" w:firstLineChars="196"/>
        <w:jc w:val="left"/>
        <w:textAlignment w:val="baseline"/>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21.2、当单价金额小数点有明显错位的，应以总价为准，并修改单价；</w:t>
      </w:r>
    </w:p>
    <w:p>
      <w:pPr>
        <w:widowControl w:val="0"/>
        <w:wordWrap w:val="0"/>
        <w:topLinePunct/>
        <w:adjustRightInd w:val="0"/>
        <w:snapToGrid w:val="0"/>
        <w:spacing w:line="360" w:lineRule="auto"/>
        <w:ind w:firstLine="470" w:firstLineChars="196"/>
        <w:jc w:val="left"/>
        <w:textAlignment w:val="baseline"/>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0"/>
          <w:lang w:val="en-US" w:eastAsia="zh-CN" w:bidi="ar-SA"/>
        </w:rPr>
        <w:t>21.3、</w:t>
      </w:r>
      <w:r>
        <w:rPr>
          <w:rFonts w:hint="eastAsia" w:ascii="宋体" w:hAnsi="宋体" w:eastAsia="宋体" w:cs="Times New Roman"/>
          <w:color w:val="000000"/>
          <w:kern w:val="0"/>
          <w:sz w:val="24"/>
          <w:szCs w:val="24"/>
          <w:lang w:val="en-US" w:eastAsia="zh-CN" w:bidi="ar-SA"/>
        </w:rPr>
        <w:t>对不同文字文本投标文件的解释发生异议的，以中文文本为准。</w:t>
      </w:r>
    </w:p>
    <w:p>
      <w:pPr>
        <w:widowControl w:val="0"/>
        <w:wordWrap w:val="0"/>
        <w:topLinePunct/>
        <w:adjustRightInd w:val="0"/>
        <w:snapToGrid w:val="0"/>
        <w:spacing w:line="360" w:lineRule="auto"/>
        <w:ind w:firstLine="470" w:firstLineChars="196"/>
        <w:jc w:val="left"/>
        <w:textAlignment w:val="baseline"/>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按上述修正错误的原则及方法调整或修正投标文件的投标报价，投标人同意并签字确认后，调整后的投标报价对投标人具有约束作用。如果投标人不接受修正后的报价，则其投标将作为无效投标处理。</w:t>
      </w:r>
    </w:p>
    <w:p>
      <w:pPr>
        <w:widowControl w:val="0"/>
        <w:wordWrap w:val="0"/>
        <w:topLinePunct/>
        <w:adjustRightInd w:val="0"/>
        <w:snapToGrid w:val="0"/>
        <w:spacing w:line="360" w:lineRule="auto"/>
        <w:rPr>
          <w:rFonts w:hint="eastAsia" w:ascii="宋体" w:hAnsi="宋体"/>
          <w:color w:val="000000"/>
          <w:sz w:val="24"/>
        </w:rPr>
      </w:pPr>
      <w:r>
        <w:rPr>
          <w:rFonts w:hint="eastAsia" w:ascii="宋体" w:hAnsi="宋体"/>
          <w:b/>
          <w:color w:val="000000"/>
          <w:sz w:val="24"/>
        </w:rPr>
        <w:t>22、评标原则和评标办法</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22.1、评标原则：评标委员会必须公平、公正、客观，不带任何倾向性；不得向外界透露任何与评标有关的内容；任何单位和个人不得干扰、影响评标的正常进行；评标委员会及有关工作人员不得私下与投标人接触。</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22.2、评标办法：本项目评标办法是</w:t>
      </w:r>
      <w:r>
        <w:rPr>
          <w:rFonts w:hint="eastAsia" w:ascii="宋体" w:hAnsi="宋体"/>
          <w:color w:val="000000"/>
          <w:sz w:val="24"/>
          <w:u w:val="thick"/>
        </w:rPr>
        <w:t>综合评分法</w:t>
      </w:r>
      <w:r>
        <w:rPr>
          <w:rFonts w:hint="eastAsia" w:ascii="宋体" w:hAnsi="宋体"/>
          <w:color w:val="000000"/>
          <w:sz w:val="24"/>
        </w:rPr>
        <w:t>。</w:t>
      </w:r>
    </w:p>
    <w:p>
      <w:pPr>
        <w:widowControl w:val="0"/>
        <w:wordWrap w:val="0"/>
        <w:topLinePunct/>
        <w:adjustRightInd w:val="0"/>
        <w:snapToGrid w:val="0"/>
        <w:spacing w:line="360" w:lineRule="auto"/>
        <w:rPr>
          <w:rFonts w:hint="eastAsia" w:ascii="宋体" w:hAnsi="宋体"/>
          <w:b/>
          <w:color w:val="000000"/>
          <w:sz w:val="24"/>
        </w:rPr>
      </w:pPr>
      <w:r>
        <w:rPr>
          <w:rFonts w:hint="eastAsia" w:ascii="宋体" w:hAnsi="宋体"/>
          <w:b/>
          <w:color w:val="000000"/>
          <w:sz w:val="24"/>
        </w:rPr>
        <w:t>23、评标过程的监控</w:t>
      </w:r>
    </w:p>
    <w:p>
      <w:pPr>
        <w:widowControl w:val="0"/>
        <w:wordWrap w:val="0"/>
        <w:topLinePunct/>
        <w:adjustRightInd w:val="0"/>
        <w:snapToGrid w:val="0"/>
        <w:spacing w:line="360" w:lineRule="auto"/>
        <w:ind w:firstLine="470" w:firstLineChars="196"/>
        <w:jc w:val="left"/>
        <w:textAlignment w:val="baseline"/>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本项目评标过程实行全程录音、录像监控，投标人在评标过程中所进行的试图影响评标结果的不公正活动，可能导致其投标无效。</w:t>
      </w:r>
    </w:p>
    <w:p>
      <w:pPr>
        <w:widowControl w:val="0"/>
        <w:wordWrap w:val="0"/>
        <w:topLinePunct/>
        <w:adjustRightInd w:val="0"/>
        <w:snapToGrid w:val="0"/>
        <w:spacing w:line="360" w:lineRule="auto"/>
        <w:rPr>
          <w:rFonts w:hint="eastAsia" w:ascii="宋体" w:hAnsi="宋体"/>
          <w:b/>
          <w:color w:val="000000"/>
          <w:sz w:val="24"/>
        </w:rPr>
      </w:pPr>
      <w:r>
        <w:rPr>
          <w:rFonts w:hint="eastAsia" w:ascii="宋体" w:hAnsi="宋体"/>
          <w:b/>
          <w:color w:val="000000"/>
          <w:sz w:val="24"/>
        </w:rPr>
        <w:t>24、无效投标的情形</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24.1、被拒绝的投标文件；</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24.2、未按规定交纳投标保证金；</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s="Times New Roman"/>
          <w:color w:val="000000"/>
          <w:sz w:val="24"/>
        </w:rPr>
        <w:t>24.3</w:t>
      </w:r>
      <w:r>
        <w:rPr>
          <w:rFonts w:hint="eastAsia" w:ascii="宋体" w:hAnsi="宋体" w:cs="Times New Roman"/>
          <w:color w:val="000000"/>
          <w:sz w:val="24"/>
          <w:lang w:eastAsia="zh-CN"/>
        </w:rPr>
        <w:t>、</w:t>
      </w:r>
      <w:r>
        <w:rPr>
          <w:rFonts w:hint="eastAsia" w:ascii="宋体" w:hAnsi="宋体"/>
          <w:color w:val="000000"/>
          <w:sz w:val="24"/>
        </w:rPr>
        <w:t>资格证明文件不全，或者不符合招标文件标明的资格要求（参见招标公告之“五、合格投标人的资格要求”）；</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24.4、投标文件封面、开标一览表、投标响应函、授权委托书，任意一项未加盖单位公章；</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24.5、开标一览表或投标响应函无法定代表人（或授权代表）签字；</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 xml:space="preserve">24.6、授权代表与投标文件中授权委托书所载内容有异； </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24.7、提供虚假证明材料；</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24.8、投标文件不响应</w:t>
      </w:r>
      <w:r>
        <w:rPr>
          <w:rFonts w:hint="eastAsia" w:ascii="宋体" w:hAnsi="宋体"/>
          <w:color w:val="000000"/>
          <w:sz w:val="24"/>
          <w:lang w:eastAsia="zh-CN"/>
        </w:rPr>
        <w:t>招标</w:t>
      </w:r>
      <w:r>
        <w:rPr>
          <w:rFonts w:hint="eastAsia" w:ascii="宋体" w:hAnsi="宋体"/>
          <w:color w:val="000000"/>
          <w:sz w:val="24"/>
        </w:rPr>
        <w:t>需求的实质性内容，评标委员会不能确认为有效；</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24.9、投标文件中对于</w:t>
      </w:r>
      <w:r>
        <w:rPr>
          <w:rFonts w:hint="eastAsia" w:ascii="宋体" w:hAnsi="宋体"/>
          <w:color w:val="000000"/>
          <w:sz w:val="24"/>
          <w:lang w:eastAsia="zh-CN"/>
        </w:rPr>
        <w:t>招标</w:t>
      </w:r>
      <w:r>
        <w:rPr>
          <w:rFonts w:hint="eastAsia" w:ascii="宋体" w:hAnsi="宋体"/>
          <w:color w:val="000000"/>
          <w:sz w:val="24"/>
        </w:rPr>
        <w:t>需求中的实质性内容的响应表述不清，评标委员会不能确认为有效；</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24.10、投标文件组成中带“▲”资料提供不全的；</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24.11、投标文件份数不符合要求；</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24.12、投标技术方案不明确或存在备选（替代）投标方案；</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24.13、未按照招标文件标明的币种报价；</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24.14、报价超出最高限价或者超出</w:t>
      </w:r>
      <w:r>
        <w:rPr>
          <w:rFonts w:hint="eastAsia" w:ascii="宋体" w:hAnsi="宋体"/>
          <w:color w:val="000000"/>
          <w:sz w:val="24"/>
          <w:lang w:eastAsia="zh-CN"/>
        </w:rPr>
        <w:t>招标</w:t>
      </w:r>
      <w:r>
        <w:rPr>
          <w:rFonts w:hint="eastAsia" w:ascii="宋体" w:hAnsi="宋体"/>
          <w:color w:val="000000"/>
          <w:sz w:val="24"/>
        </w:rPr>
        <w:t>预算金额，</w:t>
      </w:r>
      <w:r>
        <w:rPr>
          <w:rFonts w:hint="eastAsia" w:ascii="宋体" w:hAnsi="宋体"/>
          <w:color w:val="000000"/>
          <w:sz w:val="24"/>
          <w:lang w:eastAsia="zh-CN"/>
        </w:rPr>
        <w:t>招标人</w:t>
      </w:r>
      <w:r>
        <w:rPr>
          <w:rFonts w:hint="eastAsia" w:ascii="宋体" w:hAnsi="宋体"/>
          <w:color w:val="000000"/>
          <w:sz w:val="24"/>
        </w:rPr>
        <w:t>不能支付；</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24.15、投标报价具有选择性；</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24.16、投标单价及投标总报价明显高于其市场报价或低于成本价，投标人又不能做出书面说明并提供相关证明材料；</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24.17、不符合法律、法规等相关规定或投标文件有招标采购单位不能接受的附加条件；</w:t>
      </w:r>
    </w:p>
    <w:p>
      <w:pPr>
        <w:widowControl w:val="0"/>
        <w:wordWrap w:val="0"/>
        <w:topLinePunct/>
        <w:adjustRightInd w:val="0"/>
        <w:snapToGrid w:val="0"/>
        <w:spacing w:line="360" w:lineRule="auto"/>
        <w:ind w:firstLine="482" w:firstLineChars="200"/>
        <w:rPr>
          <w:rFonts w:hint="eastAsia" w:ascii="宋体" w:hAnsi="宋体"/>
          <w:b/>
          <w:color w:val="000000"/>
          <w:sz w:val="24"/>
        </w:rPr>
      </w:pPr>
      <w:r>
        <w:rPr>
          <w:rFonts w:hint="eastAsia" w:ascii="宋体" w:hAnsi="宋体"/>
          <w:b/>
          <w:color w:val="000000"/>
          <w:sz w:val="24"/>
        </w:rPr>
        <w:t>24.18、根据招标文件要求，评标委员会认为应当作无效投标处理的其他情况。</w:t>
      </w:r>
    </w:p>
    <w:p>
      <w:pPr>
        <w:widowControl w:val="0"/>
        <w:wordWrap w:val="0"/>
        <w:topLinePunct/>
        <w:adjustRightInd w:val="0"/>
        <w:snapToGrid w:val="0"/>
        <w:spacing w:line="360" w:lineRule="auto"/>
        <w:ind w:firstLine="0"/>
        <w:jc w:val="both"/>
        <w:rPr>
          <w:rFonts w:hint="eastAsia" w:ascii="宋体" w:hAnsi="宋体" w:eastAsia="宋体" w:cs="Times New Roman"/>
          <w:b/>
          <w:color w:val="000000"/>
          <w:kern w:val="2"/>
          <w:sz w:val="24"/>
          <w:szCs w:val="22"/>
          <w:lang w:val="en-US" w:eastAsia="zh-CN" w:bidi="ar-SA"/>
        </w:rPr>
      </w:pPr>
      <w:r>
        <w:rPr>
          <w:rFonts w:hint="eastAsia" w:ascii="宋体" w:hAnsi="宋体" w:eastAsia="宋体" w:cs="Times New Roman"/>
          <w:b/>
          <w:color w:val="000000"/>
          <w:kern w:val="2"/>
          <w:sz w:val="24"/>
          <w:szCs w:val="22"/>
          <w:lang w:val="en-US" w:eastAsia="zh-CN" w:bidi="ar-SA"/>
        </w:rPr>
        <w:t>25、废标</w:t>
      </w:r>
    </w:p>
    <w:p>
      <w:pPr>
        <w:widowControl w:val="0"/>
        <w:wordWrap w:val="0"/>
        <w:topLinePunct/>
        <w:adjustRightInd w:val="0"/>
        <w:snapToGrid w:val="0"/>
        <w:spacing w:before="0" w:line="360" w:lineRule="auto"/>
        <w:ind w:firstLine="600" w:firstLineChars="250"/>
        <w:jc w:val="both"/>
        <w:rPr>
          <w:rFonts w:hint="eastAsia" w:ascii="宋体" w:hAnsi="宋体" w:eastAsia="宋体" w:cs="仿宋_GB2312"/>
          <w:color w:val="000000"/>
          <w:kern w:val="0"/>
          <w:sz w:val="24"/>
          <w:szCs w:val="24"/>
          <w:lang w:val="zh-CN" w:eastAsia="zh-CN" w:bidi="ar-SA"/>
        </w:rPr>
      </w:pPr>
      <w:r>
        <w:rPr>
          <w:rFonts w:hint="eastAsia" w:ascii="宋体" w:hAnsi="宋体" w:eastAsia="宋体" w:cs="仿宋_GB2312"/>
          <w:color w:val="000000"/>
          <w:kern w:val="0"/>
          <w:sz w:val="24"/>
          <w:szCs w:val="24"/>
          <w:lang w:val="zh-CN" w:eastAsia="zh-CN" w:bidi="ar-SA"/>
        </w:rPr>
        <w:t>根据《中华人民共和国政府采购法》第三十六条等条款之规定，在招标采购中，出现下列情形之一的，应予废标：</w:t>
      </w:r>
    </w:p>
    <w:p>
      <w:pPr>
        <w:widowControl w:val="0"/>
        <w:wordWrap w:val="0"/>
        <w:topLinePunct/>
        <w:adjustRightInd w:val="0"/>
        <w:snapToGrid w:val="0"/>
        <w:spacing w:before="0" w:line="360" w:lineRule="auto"/>
        <w:ind w:firstLine="508" w:firstLineChars="212"/>
        <w:jc w:val="both"/>
        <w:rPr>
          <w:rFonts w:hint="eastAsia" w:ascii="宋体" w:hAnsi="宋体" w:eastAsia="宋体" w:cs="仿宋_GB2312"/>
          <w:color w:val="000000"/>
          <w:kern w:val="0"/>
          <w:sz w:val="24"/>
          <w:szCs w:val="24"/>
          <w:lang w:val="zh-CN" w:eastAsia="zh-CN" w:bidi="ar-SA"/>
        </w:rPr>
      </w:pPr>
      <w:r>
        <w:rPr>
          <w:rFonts w:hint="eastAsia" w:ascii="宋体" w:hAnsi="宋体" w:eastAsia="宋体" w:cs="仿宋_GB2312"/>
          <w:color w:val="000000"/>
          <w:kern w:val="0"/>
          <w:sz w:val="24"/>
          <w:szCs w:val="24"/>
          <w:lang w:val="zh-CN" w:eastAsia="zh-CN" w:bidi="ar-SA"/>
        </w:rPr>
        <w:t>2</w:t>
      </w:r>
      <w:r>
        <w:rPr>
          <w:rFonts w:hint="eastAsia" w:ascii="宋体" w:hAnsi="宋体" w:eastAsia="宋体" w:cs="仿宋_GB2312"/>
          <w:color w:val="000000"/>
          <w:kern w:val="0"/>
          <w:sz w:val="24"/>
          <w:szCs w:val="24"/>
          <w:lang w:val="en-US" w:eastAsia="zh-CN" w:bidi="ar-SA"/>
        </w:rPr>
        <w:t>5</w:t>
      </w:r>
      <w:r>
        <w:rPr>
          <w:rFonts w:hint="eastAsia" w:ascii="宋体" w:hAnsi="宋体" w:eastAsia="宋体" w:cs="仿宋_GB2312"/>
          <w:color w:val="000000"/>
          <w:kern w:val="0"/>
          <w:sz w:val="24"/>
          <w:szCs w:val="24"/>
          <w:lang w:val="zh-CN" w:eastAsia="zh-CN" w:bidi="ar-SA"/>
        </w:rPr>
        <w:t>.1、符合专业条件的投标人或者对招标文件作实质响应的投标人不足三家的；</w:t>
      </w:r>
    </w:p>
    <w:p>
      <w:pPr>
        <w:widowControl w:val="0"/>
        <w:wordWrap w:val="0"/>
        <w:topLinePunct/>
        <w:adjustRightInd w:val="0"/>
        <w:snapToGrid w:val="0"/>
        <w:spacing w:before="0" w:line="360" w:lineRule="auto"/>
        <w:ind w:firstLine="480" w:firstLineChars="200"/>
        <w:jc w:val="both"/>
        <w:rPr>
          <w:rFonts w:hint="eastAsia" w:ascii="宋体" w:hAnsi="宋体" w:eastAsia="宋体" w:cs="仿宋_GB2312"/>
          <w:color w:val="000000"/>
          <w:kern w:val="0"/>
          <w:sz w:val="24"/>
          <w:szCs w:val="24"/>
          <w:lang w:val="zh-CN" w:eastAsia="zh-CN" w:bidi="ar-SA"/>
        </w:rPr>
      </w:pPr>
      <w:r>
        <w:rPr>
          <w:rFonts w:hint="eastAsia" w:ascii="宋体" w:hAnsi="宋体" w:eastAsia="宋体" w:cs="仿宋_GB2312"/>
          <w:color w:val="000000"/>
          <w:kern w:val="0"/>
          <w:sz w:val="24"/>
          <w:szCs w:val="24"/>
          <w:lang w:val="zh-CN" w:eastAsia="zh-CN" w:bidi="ar-SA"/>
        </w:rPr>
        <w:t>2</w:t>
      </w:r>
      <w:r>
        <w:rPr>
          <w:rFonts w:hint="eastAsia" w:ascii="宋体" w:hAnsi="宋体" w:eastAsia="宋体" w:cs="仿宋_GB2312"/>
          <w:color w:val="000000"/>
          <w:kern w:val="0"/>
          <w:sz w:val="24"/>
          <w:szCs w:val="24"/>
          <w:lang w:val="en-US" w:eastAsia="zh-CN" w:bidi="ar-SA"/>
        </w:rPr>
        <w:t>5</w:t>
      </w:r>
      <w:r>
        <w:rPr>
          <w:rFonts w:hint="eastAsia" w:ascii="宋体" w:hAnsi="宋体" w:eastAsia="宋体" w:cs="仿宋_GB2312"/>
          <w:color w:val="000000"/>
          <w:kern w:val="0"/>
          <w:sz w:val="24"/>
          <w:szCs w:val="24"/>
          <w:lang w:val="zh-CN" w:eastAsia="zh-CN" w:bidi="ar-SA"/>
        </w:rPr>
        <w:t>.2、出现影响</w:t>
      </w:r>
      <w:r>
        <w:rPr>
          <w:rFonts w:hint="eastAsia" w:ascii="宋体" w:hAnsi="宋体" w:cs="仿宋_GB2312"/>
          <w:color w:val="000000"/>
          <w:kern w:val="0"/>
          <w:sz w:val="24"/>
          <w:szCs w:val="24"/>
          <w:lang w:val="zh-CN" w:eastAsia="zh-CN" w:bidi="ar-SA"/>
        </w:rPr>
        <w:t>招标</w:t>
      </w:r>
      <w:r>
        <w:rPr>
          <w:rFonts w:hint="eastAsia" w:ascii="宋体" w:hAnsi="宋体" w:eastAsia="宋体" w:cs="仿宋_GB2312"/>
          <w:color w:val="000000"/>
          <w:kern w:val="0"/>
          <w:sz w:val="24"/>
          <w:szCs w:val="24"/>
          <w:lang w:val="zh-CN" w:eastAsia="zh-CN" w:bidi="ar-SA"/>
        </w:rPr>
        <w:t>公正的违法、违规行为的；</w:t>
      </w:r>
    </w:p>
    <w:p>
      <w:pPr>
        <w:widowControl w:val="0"/>
        <w:wordWrap w:val="0"/>
        <w:topLinePunct/>
        <w:adjustRightInd w:val="0"/>
        <w:snapToGrid w:val="0"/>
        <w:spacing w:before="0" w:line="360" w:lineRule="auto"/>
        <w:ind w:firstLine="480" w:firstLineChars="200"/>
        <w:jc w:val="both"/>
        <w:rPr>
          <w:rFonts w:hint="eastAsia" w:ascii="宋体" w:hAnsi="宋体" w:eastAsia="宋体" w:cs="仿宋_GB2312"/>
          <w:color w:val="000000"/>
          <w:kern w:val="0"/>
          <w:sz w:val="24"/>
          <w:szCs w:val="24"/>
          <w:lang w:val="zh-CN" w:eastAsia="zh-CN" w:bidi="ar-SA"/>
        </w:rPr>
      </w:pPr>
      <w:r>
        <w:rPr>
          <w:rFonts w:hint="eastAsia" w:ascii="宋体" w:hAnsi="宋体" w:eastAsia="宋体" w:cs="仿宋_GB2312"/>
          <w:color w:val="000000"/>
          <w:kern w:val="0"/>
          <w:sz w:val="24"/>
          <w:szCs w:val="24"/>
          <w:lang w:val="zh-CN" w:eastAsia="zh-CN" w:bidi="ar-SA"/>
        </w:rPr>
        <w:t>2</w:t>
      </w:r>
      <w:r>
        <w:rPr>
          <w:rFonts w:hint="eastAsia" w:ascii="宋体" w:hAnsi="宋体" w:eastAsia="宋体" w:cs="仿宋_GB2312"/>
          <w:color w:val="000000"/>
          <w:kern w:val="0"/>
          <w:sz w:val="24"/>
          <w:szCs w:val="24"/>
          <w:lang w:val="en-US" w:eastAsia="zh-CN" w:bidi="ar-SA"/>
        </w:rPr>
        <w:t>5</w:t>
      </w:r>
      <w:r>
        <w:rPr>
          <w:rFonts w:hint="eastAsia" w:ascii="宋体" w:hAnsi="宋体" w:eastAsia="宋体" w:cs="仿宋_GB2312"/>
          <w:color w:val="000000"/>
          <w:kern w:val="0"/>
          <w:sz w:val="24"/>
          <w:szCs w:val="24"/>
          <w:lang w:val="zh-CN" w:eastAsia="zh-CN" w:bidi="ar-SA"/>
        </w:rPr>
        <w:t>.3、投标人的报价均超过了</w:t>
      </w:r>
      <w:r>
        <w:rPr>
          <w:rFonts w:hint="eastAsia" w:ascii="宋体" w:hAnsi="宋体" w:cs="仿宋_GB2312"/>
          <w:color w:val="000000"/>
          <w:kern w:val="0"/>
          <w:sz w:val="24"/>
          <w:szCs w:val="24"/>
          <w:lang w:val="zh-CN" w:eastAsia="zh-CN" w:bidi="ar-SA"/>
        </w:rPr>
        <w:t>招标</w:t>
      </w:r>
      <w:r>
        <w:rPr>
          <w:rFonts w:hint="eastAsia" w:ascii="宋体" w:hAnsi="宋体" w:eastAsia="宋体" w:cs="仿宋_GB2312"/>
          <w:color w:val="000000"/>
          <w:kern w:val="0"/>
          <w:sz w:val="24"/>
          <w:szCs w:val="24"/>
          <w:lang w:val="zh-CN" w:eastAsia="zh-CN" w:bidi="ar-SA"/>
        </w:rPr>
        <w:t>预算，</w:t>
      </w:r>
      <w:r>
        <w:rPr>
          <w:rFonts w:hint="eastAsia" w:ascii="宋体" w:hAnsi="宋体" w:cs="仿宋_GB2312"/>
          <w:color w:val="000000"/>
          <w:kern w:val="0"/>
          <w:sz w:val="24"/>
          <w:szCs w:val="24"/>
          <w:lang w:val="zh-CN" w:eastAsia="zh-CN" w:bidi="ar-SA"/>
        </w:rPr>
        <w:t>招标人</w:t>
      </w:r>
      <w:r>
        <w:rPr>
          <w:rFonts w:hint="eastAsia" w:ascii="宋体" w:hAnsi="宋体" w:eastAsia="宋体" w:cs="仿宋_GB2312"/>
          <w:color w:val="000000"/>
          <w:kern w:val="0"/>
          <w:sz w:val="24"/>
          <w:szCs w:val="24"/>
          <w:lang w:val="zh-CN" w:eastAsia="zh-CN" w:bidi="ar-SA"/>
        </w:rPr>
        <w:t>不能支付的；</w:t>
      </w:r>
    </w:p>
    <w:p>
      <w:pPr>
        <w:widowControl w:val="0"/>
        <w:wordWrap w:val="0"/>
        <w:topLinePunct/>
        <w:adjustRightInd w:val="0"/>
        <w:snapToGrid w:val="0"/>
        <w:spacing w:before="0" w:line="360" w:lineRule="auto"/>
        <w:ind w:firstLine="480" w:firstLineChars="200"/>
        <w:jc w:val="both"/>
        <w:rPr>
          <w:rFonts w:hint="eastAsia" w:ascii="宋体" w:hAnsi="宋体" w:eastAsia="宋体" w:cs="仿宋_GB2312"/>
          <w:color w:val="000000"/>
          <w:kern w:val="0"/>
          <w:sz w:val="24"/>
          <w:szCs w:val="24"/>
          <w:lang w:val="zh-CN" w:eastAsia="zh-CN" w:bidi="ar-SA"/>
        </w:rPr>
      </w:pPr>
      <w:r>
        <w:rPr>
          <w:rFonts w:hint="eastAsia" w:ascii="宋体" w:hAnsi="宋体" w:eastAsia="宋体" w:cs="仿宋_GB2312"/>
          <w:color w:val="000000"/>
          <w:kern w:val="0"/>
          <w:sz w:val="24"/>
          <w:szCs w:val="24"/>
          <w:lang w:val="zh-CN" w:eastAsia="zh-CN" w:bidi="ar-SA"/>
        </w:rPr>
        <w:t>2</w:t>
      </w:r>
      <w:r>
        <w:rPr>
          <w:rFonts w:hint="eastAsia" w:ascii="宋体" w:hAnsi="宋体" w:eastAsia="宋体" w:cs="仿宋_GB2312"/>
          <w:color w:val="000000"/>
          <w:kern w:val="0"/>
          <w:sz w:val="24"/>
          <w:szCs w:val="24"/>
          <w:lang w:val="en-US" w:eastAsia="zh-CN" w:bidi="ar-SA"/>
        </w:rPr>
        <w:t>5</w:t>
      </w:r>
      <w:r>
        <w:rPr>
          <w:rFonts w:hint="eastAsia" w:ascii="宋体" w:hAnsi="宋体" w:eastAsia="宋体" w:cs="仿宋_GB2312"/>
          <w:color w:val="000000"/>
          <w:kern w:val="0"/>
          <w:sz w:val="24"/>
          <w:szCs w:val="24"/>
          <w:lang w:val="zh-CN" w:eastAsia="zh-CN" w:bidi="ar-SA"/>
        </w:rPr>
        <w:t>.4、因重大变故，</w:t>
      </w:r>
      <w:r>
        <w:rPr>
          <w:rFonts w:hint="eastAsia" w:ascii="宋体" w:hAnsi="宋体" w:cs="仿宋_GB2312"/>
          <w:color w:val="000000"/>
          <w:kern w:val="0"/>
          <w:sz w:val="24"/>
          <w:szCs w:val="24"/>
          <w:lang w:val="zh-CN" w:eastAsia="zh-CN" w:bidi="ar-SA"/>
        </w:rPr>
        <w:t>招标</w:t>
      </w:r>
      <w:r>
        <w:rPr>
          <w:rFonts w:hint="eastAsia" w:ascii="宋体" w:hAnsi="宋体" w:eastAsia="宋体" w:cs="仿宋_GB2312"/>
          <w:color w:val="000000"/>
          <w:kern w:val="0"/>
          <w:sz w:val="24"/>
          <w:szCs w:val="24"/>
          <w:lang w:val="zh-CN" w:eastAsia="zh-CN" w:bidi="ar-SA"/>
        </w:rPr>
        <w:t>任务取消的</w:t>
      </w:r>
      <w:r>
        <w:rPr>
          <w:rFonts w:hint="eastAsia" w:ascii="宋体" w:hAnsi="宋体" w:cs="仿宋_GB2312"/>
          <w:color w:val="000000"/>
          <w:kern w:val="0"/>
          <w:sz w:val="24"/>
          <w:szCs w:val="24"/>
          <w:lang w:val="zh-CN" w:eastAsia="zh-CN" w:bidi="ar-SA"/>
        </w:rPr>
        <w:t>。</w:t>
      </w:r>
    </w:p>
    <w:p>
      <w:pPr>
        <w:widowControl w:val="0"/>
        <w:wordWrap w:val="0"/>
        <w:topLinePunct/>
        <w:adjustRightInd w:val="0"/>
        <w:snapToGrid w:val="0"/>
        <w:spacing w:line="360" w:lineRule="auto"/>
        <w:ind w:firstLine="570"/>
        <w:rPr>
          <w:rFonts w:hint="eastAsia" w:ascii="宋体" w:hAnsi="宋体" w:cs="仿宋_GB2312"/>
          <w:color w:val="000000"/>
          <w:kern w:val="0"/>
          <w:sz w:val="24"/>
          <w:lang w:val="zh-CN"/>
        </w:rPr>
      </w:pPr>
      <w:r>
        <w:rPr>
          <w:rFonts w:hint="eastAsia" w:ascii="宋体" w:hAnsi="宋体" w:cs="仿宋_GB2312"/>
          <w:color w:val="000000"/>
          <w:kern w:val="0"/>
          <w:sz w:val="24"/>
          <w:lang w:val="zh-CN"/>
        </w:rPr>
        <w:t>第一条款按照有关法律法规，除作为废标外可经批准后继续按原招标方式进行或采取其它招标方式。废标后，招标采购单位将就废标理由通知所有投标人。</w:t>
      </w:r>
    </w:p>
    <w:p>
      <w:pPr>
        <w:widowControl w:val="0"/>
        <w:wordWrap w:val="0"/>
        <w:topLinePunct/>
        <w:adjustRightInd w:val="0"/>
        <w:snapToGrid w:val="0"/>
        <w:spacing w:line="360" w:lineRule="auto"/>
        <w:ind w:firstLine="0"/>
        <w:jc w:val="both"/>
        <w:rPr>
          <w:rFonts w:hint="eastAsia" w:ascii="宋体" w:hAnsi="宋体" w:eastAsia="宋体" w:cs="Times New Roman"/>
          <w:b/>
          <w:color w:val="000000"/>
          <w:kern w:val="2"/>
          <w:sz w:val="24"/>
          <w:szCs w:val="22"/>
          <w:lang w:val="en-US" w:eastAsia="zh-CN" w:bidi="ar-SA"/>
        </w:rPr>
      </w:pPr>
      <w:r>
        <w:rPr>
          <w:rFonts w:hint="eastAsia" w:ascii="宋体" w:hAnsi="宋体" w:eastAsia="宋体" w:cs="Times New Roman"/>
          <w:b/>
          <w:color w:val="000000"/>
          <w:kern w:val="2"/>
          <w:sz w:val="24"/>
          <w:szCs w:val="22"/>
          <w:lang w:val="en-US" w:eastAsia="zh-CN" w:bidi="ar-SA"/>
        </w:rPr>
        <w:t>26、评标内容的保密</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26.1、凡属于审查、澄清、评价和比较投标的所有资料，不应向投标人或与评标无关的其他人泄漏。</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26.2、在投标文件的审查、澄清、评价和比较以及确定中标单位过程中，投标人对</w:t>
      </w:r>
      <w:r>
        <w:rPr>
          <w:rFonts w:hint="eastAsia" w:ascii="宋体" w:hAnsi="宋体" w:cs="Times New Roman"/>
          <w:color w:val="000000"/>
          <w:kern w:val="2"/>
          <w:sz w:val="24"/>
          <w:szCs w:val="24"/>
          <w:lang w:val="en-US" w:eastAsia="zh-CN" w:bidi="ar-SA"/>
        </w:rPr>
        <w:t>招标</w:t>
      </w:r>
      <w:r>
        <w:rPr>
          <w:rFonts w:hint="eastAsia" w:ascii="宋体" w:hAnsi="宋体" w:eastAsia="宋体" w:cs="Times New Roman"/>
          <w:color w:val="000000"/>
          <w:kern w:val="2"/>
          <w:sz w:val="24"/>
          <w:szCs w:val="24"/>
          <w:lang w:val="en-US" w:eastAsia="zh-CN" w:bidi="ar-SA"/>
        </w:rPr>
        <w:t>代理机构和评标委员会施加影响的违规行为，都将导致其不被推荐为中标候选人。</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4"/>
          <w:lang w:val="en-US" w:eastAsia="zh-CN" w:bidi="ar-SA"/>
        </w:rPr>
      </w:pPr>
    </w:p>
    <w:p>
      <w:pPr>
        <w:widowControl w:val="0"/>
        <w:wordWrap w:val="0"/>
        <w:topLinePunct/>
        <w:adjustRightInd w:val="0"/>
        <w:snapToGrid w:val="0"/>
        <w:spacing w:before="0" w:line="360" w:lineRule="auto"/>
        <w:ind w:firstLine="482" w:firstLineChars="200"/>
        <w:jc w:val="center"/>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七、定标</w:t>
      </w:r>
    </w:p>
    <w:p>
      <w:pPr>
        <w:widowControl w:val="0"/>
        <w:wordWrap w:val="0"/>
        <w:topLinePunct/>
        <w:adjustRightInd w:val="0"/>
        <w:snapToGrid w:val="0"/>
        <w:spacing w:before="0" w:line="360" w:lineRule="auto"/>
        <w:ind w:firstLine="0" w:firstLineChars="0"/>
        <w:jc w:val="both"/>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27、</w:t>
      </w:r>
      <w:r>
        <w:rPr>
          <w:rFonts w:hint="eastAsia" w:ascii="宋体" w:hAnsi="宋体" w:eastAsia="宋体" w:cs="Times New Roman"/>
          <w:b/>
          <w:color w:val="000000"/>
          <w:kern w:val="2"/>
          <w:sz w:val="24"/>
          <w:szCs w:val="20"/>
          <w:lang w:val="en-US" w:eastAsia="zh-CN" w:bidi="ar-SA"/>
        </w:rPr>
        <w:t>推荐中标单位</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4"/>
          <w:lang w:val="en-US" w:eastAsia="zh-CN" w:bidi="ar-SA"/>
        </w:rPr>
        <w:t>27.1、评标委员会将根据招标文件和有关规定，履行评标工作职责，以评标原则和评标办法为标准，全面衡量各投标人对招标文件的响应情况后，对实质上响应招标要求的投标人，以招标文件规定的</w:t>
      </w:r>
      <w:r>
        <w:rPr>
          <w:rFonts w:hint="eastAsia" w:ascii="宋体" w:hAnsi="宋体" w:eastAsia="宋体" w:cs="仿宋_GB2312"/>
          <w:color w:val="000000"/>
          <w:kern w:val="0"/>
          <w:sz w:val="24"/>
          <w:szCs w:val="20"/>
          <w:lang w:val="zh-CN" w:eastAsia="zh-CN" w:bidi="ar-SA"/>
        </w:rPr>
        <w:t>打分方法</w:t>
      </w:r>
      <w:r>
        <w:rPr>
          <w:rFonts w:hint="eastAsia" w:ascii="宋体" w:hAnsi="宋体" w:eastAsia="宋体" w:cs="Times New Roman"/>
          <w:color w:val="000000"/>
          <w:kern w:val="2"/>
          <w:sz w:val="24"/>
          <w:szCs w:val="20"/>
          <w:lang w:val="en-US" w:eastAsia="zh-CN" w:bidi="ar-SA"/>
        </w:rPr>
        <w:t>对各投标人</w:t>
      </w:r>
      <w:r>
        <w:rPr>
          <w:rFonts w:hint="eastAsia" w:ascii="宋体" w:hAnsi="宋体" w:eastAsia="宋体" w:cs="仿宋_GB2312"/>
          <w:color w:val="000000"/>
          <w:kern w:val="0"/>
          <w:sz w:val="24"/>
          <w:szCs w:val="20"/>
          <w:lang w:val="zh-CN" w:eastAsia="zh-CN" w:bidi="ar-SA"/>
        </w:rPr>
        <w:t>进行综合评审，按评审后得分由高到低顺序排列。得分相同的，按投标报价由低到高顺序排列；得分且投标报价相同的，按技术指标优劣顺序排列</w:t>
      </w:r>
      <w:r>
        <w:rPr>
          <w:rFonts w:hint="eastAsia" w:ascii="宋体" w:hAnsi="宋体" w:eastAsia="宋体" w:cs="仿宋_GB2312"/>
          <w:color w:val="000000"/>
          <w:kern w:val="2"/>
          <w:sz w:val="24"/>
          <w:szCs w:val="20"/>
          <w:lang w:val="zh-CN" w:eastAsia="zh-CN" w:bidi="ar-SA"/>
        </w:rPr>
        <w:t>；技术得分、资信得分且投标报价均相同的，按投标人签到序号为投标人代表球号，由招标人代表抽取中标候选人。推荐一名中标候选人。</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4"/>
          <w:lang w:val="en-US" w:eastAsia="zh-CN" w:bidi="ar-SA"/>
        </w:rPr>
        <w:t>27.2、</w:t>
      </w:r>
      <w:r>
        <w:rPr>
          <w:rFonts w:hint="eastAsia" w:ascii="宋体" w:hAnsi="宋体" w:eastAsia="宋体" w:cs="Times New Roman"/>
          <w:color w:val="000000"/>
          <w:kern w:val="2"/>
          <w:sz w:val="24"/>
          <w:szCs w:val="20"/>
          <w:lang w:val="en-US" w:eastAsia="zh-CN" w:bidi="ar-SA"/>
        </w:rPr>
        <w:t>评标结果报经批准，最终确定中标单位。</w:t>
      </w:r>
    </w:p>
    <w:p>
      <w:pPr>
        <w:widowControl w:val="0"/>
        <w:wordWrap w:val="0"/>
        <w:topLinePunct/>
        <w:adjustRightInd w:val="0"/>
        <w:snapToGrid w:val="0"/>
        <w:spacing w:before="0" w:line="360" w:lineRule="auto"/>
        <w:ind w:firstLine="0" w:firstLineChars="0"/>
        <w:jc w:val="both"/>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28、定标</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28.1、招标代理机构在评标结束后5个工作日内将评标报告交招标人确认。在发布招标公告的网站上对评标结果进行公示，公示时间为3个工作日。</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对于未中标单位，将不再另行通知，招标采购单位无义务解释未中标原因。</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4"/>
          <w:lang w:val="en-US" w:eastAsia="zh-CN" w:bidi="ar-SA"/>
        </w:rPr>
        <w:t>28.2、</w:t>
      </w:r>
      <w:r>
        <w:rPr>
          <w:rFonts w:hint="eastAsia" w:ascii="宋体" w:hAnsi="宋体" w:eastAsia="宋体" w:cs="Times New Roman"/>
          <w:color w:val="000000"/>
          <w:kern w:val="2"/>
          <w:sz w:val="24"/>
          <w:szCs w:val="20"/>
          <w:lang w:val="en-US" w:eastAsia="zh-CN" w:bidi="ar-SA"/>
        </w:rPr>
        <w:t>中标公告发布七个工作日后，招标代理单位将以书面形式发出中标通知书，中标通知书一经发出即发生法律效力。中标通知书将作为签订合同的依据。</w:t>
      </w:r>
    </w:p>
    <w:p>
      <w:pPr>
        <w:widowControl w:val="0"/>
        <w:wordWrap w:val="0"/>
        <w:topLinePunct/>
        <w:adjustRightInd w:val="0"/>
        <w:snapToGrid w:val="0"/>
        <w:spacing w:before="0" w:line="360" w:lineRule="auto"/>
        <w:ind w:firstLine="480" w:firstLineChars="200"/>
        <w:jc w:val="both"/>
        <w:rPr>
          <w:rFonts w:hint="eastAsia" w:ascii="宋体" w:hAnsi="宋体" w:eastAsia="宋体" w:cs="Times New Roman"/>
          <w:color w:val="000000"/>
          <w:kern w:val="2"/>
          <w:sz w:val="24"/>
          <w:szCs w:val="20"/>
          <w:lang w:val="en-US" w:eastAsia="zh-CN" w:bidi="ar-SA"/>
        </w:rPr>
      </w:pPr>
    </w:p>
    <w:p>
      <w:pPr>
        <w:widowControl w:val="0"/>
        <w:wordWrap w:val="0"/>
        <w:topLinePunct/>
        <w:adjustRightInd w:val="0"/>
        <w:snapToGrid w:val="0"/>
        <w:spacing w:before="0" w:line="360" w:lineRule="auto"/>
        <w:ind w:firstLine="482" w:firstLineChars="200"/>
        <w:jc w:val="center"/>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八、合同签订及其他</w:t>
      </w:r>
    </w:p>
    <w:p>
      <w:pPr>
        <w:widowControl w:val="0"/>
        <w:wordWrap w:val="0"/>
        <w:topLinePunct/>
        <w:adjustRightInd w:val="0"/>
        <w:snapToGrid w:val="0"/>
        <w:spacing w:before="0" w:line="360" w:lineRule="auto"/>
        <w:ind w:firstLine="0" w:firstLineChars="0"/>
        <w:jc w:val="both"/>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29、签订合同</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29.1、</w:t>
      </w:r>
      <w:r>
        <w:rPr>
          <w:rFonts w:hint="eastAsia" w:ascii="宋体" w:hAnsi="宋体"/>
          <w:color w:val="000000"/>
          <w:sz w:val="24"/>
          <w:lang w:eastAsia="zh-CN"/>
        </w:rPr>
        <w:t>招标人</w:t>
      </w:r>
      <w:r>
        <w:rPr>
          <w:rFonts w:hint="eastAsia" w:ascii="宋体" w:hAnsi="宋体"/>
          <w:color w:val="000000"/>
          <w:sz w:val="24"/>
        </w:rPr>
        <w:t>与中标单位应当在中标通知书发出之日起</w:t>
      </w:r>
      <w:r>
        <w:rPr>
          <w:rFonts w:hint="eastAsia" w:ascii="宋体" w:hAnsi="宋体"/>
          <w:color w:val="000000"/>
          <w:sz w:val="24"/>
          <w:lang w:val="en-US" w:eastAsia="zh-CN"/>
        </w:rPr>
        <w:t>20</w:t>
      </w:r>
      <w:r>
        <w:rPr>
          <w:rFonts w:hint="eastAsia" w:ascii="宋体" w:hAnsi="宋体"/>
          <w:color w:val="000000"/>
          <w:sz w:val="24"/>
        </w:rPr>
        <w:t>日内签订政府采购合同。</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29.2、招标文件、中标单位的投标文件、澄清文件及中标通知书等，均为签订合同的依据。</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29.3、中标单位不遵守招标文件或投标文件的要约、承诺</w:t>
      </w:r>
      <w:r>
        <w:rPr>
          <w:rFonts w:hint="eastAsia" w:ascii="宋体" w:hAnsi="宋体"/>
          <w:sz w:val="24"/>
        </w:rPr>
        <w:t>，</w:t>
      </w:r>
      <w:r>
        <w:rPr>
          <w:rFonts w:hint="eastAsia" w:ascii="宋体" w:hAnsi="宋体"/>
          <w:color w:val="000000"/>
          <w:sz w:val="24"/>
        </w:rPr>
        <w:t>擅自修改报价或在接到中标通知书规定时间内借故拖延、拒签合同者，招标采购单位不予退还投标保证金。同时，招标采购单位有权取消该单位的中标资格，与下一中标候选人签订合同或重新组织招标。</w:t>
      </w:r>
    </w:p>
    <w:p>
      <w:pPr>
        <w:widowControl w:val="0"/>
        <w:wordWrap w:val="0"/>
        <w:topLinePunct/>
        <w:adjustRightInd w:val="0"/>
        <w:snapToGrid w:val="0"/>
        <w:spacing w:before="0" w:line="360" w:lineRule="auto"/>
        <w:ind w:firstLine="0" w:firstLineChars="0"/>
        <w:jc w:val="both"/>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30、质疑与投诉</w:t>
      </w:r>
    </w:p>
    <w:p>
      <w:pPr>
        <w:widowControl w:val="0"/>
        <w:wordWrap w:val="0"/>
        <w:topLinePunct/>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30.1、投标人如认为招标过程存在违法行为，使自身的合法权益受到损害的，可以在开标截止时间前</w:t>
      </w:r>
      <w:r>
        <w:rPr>
          <w:rFonts w:hint="eastAsia" w:ascii="宋体" w:hAnsi="宋体"/>
          <w:color w:val="000000"/>
          <w:sz w:val="24"/>
          <w:lang w:val="en-US" w:eastAsia="zh-CN"/>
        </w:rPr>
        <w:t>5</w:t>
      </w:r>
      <w:r>
        <w:rPr>
          <w:rFonts w:hint="eastAsia" w:ascii="宋体" w:hAnsi="宋体"/>
          <w:color w:val="000000"/>
          <w:sz w:val="24"/>
        </w:rPr>
        <w:t>天，以书面形式向招标代理单位提出质疑；投标人如认为招标结果的产生过程存在违法行为，使自身的合法权益受到损害的，可以拟中标单位公示期间，以书面形式向招标代理单位提出质疑。</w:t>
      </w:r>
    </w:p>
    <w:p>
      <w:pPr>
        <w:widowControl w:val="0"/>
        <w:wordWrap w:val="0"/>
        <w:topLinePunct/>
        <w:adjustRightInd w:val="0"/>
        <w:snapToGrid w:val="0"/>
        <w:spacing w:line="360" w:lineRule="auto"/>
        <w:ind w:firstLine="480" w:firstLineChars="200"/>
        <w:rPr>
          <w:rFonts w:hint="eastAsia" w:ascii="宋体" w:hAnsi="宋体"/>
          <w:color w:val="000000"/>
          <w:sz w:val="24"/>
        </w:rPr>
      </w:pPr>
    </w:p>
    <w:p>
      <w:pPr>
        <w:pStyle w:val="3"/>
        <w:rPr>
          <w:rFonts w:hint="eastAsia"/>
          <w:lang w:val="en-US" w:eastAsia="zh-CN"/>
        </w:rPr>
      </w:pPr>
      <w:r>
        <w:rPr>
          <w:rFonts w:hint="eastAsia"/>
          <w:lang w:val="en-US" w:eastAsia="zh-CN"/>
        </w:rPr>
        <w:t>第二节  投标人须知之专用条款</w:t>
      </w:r>
    </w:p>
    <w:p>
      <w:pPr>
        <w:widowControl w:val="0"/>
        <w:wordWrap w:val="0"/>
        <w:topLinePunct/>
        <w:adjustRightInd w:val="0"/>
        <w:snapToGrid w:val="0"/>
        <w:spacing w:before="0" w:line="360" w:lineRule="auto"/>
        <w:ind w:leftChars="0" w:firstLine="0" w:firstLineChars="0"/>
        <w:jc w:val="both"/>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32、投标文件组成（加“</w:t>
      </w:r>
      <w:r>
        <w:rPr>
          <w:rFonts w:hint="eastAsia" w:ascii="宋体" w:hAnsi="宋体" w:eastAsia="宋体" w:cs="宋体"/>
          <w:b/>
          <w:kern w:val="0"/>
          <w:sz w:val="24"/>
          <w:szCs w:val="24"/>
          <w:lang w:val="en-US" w:eastAsia="zh-CN" w:bidi="ar-SA"/>
        </w:rPr>
        <w:t>▲</w:t>
      </w:r>
      <w:r>
        <w:rPr>
          <w:rFonts w:hint="eastAsia" w:ascii="宋体" w:hAnsi="宋体" w:eastAsia="宋体" w:cs="Times New Roman"/>
          <w:b/>
          <w:kern w:val="2"/>
          <w:sz w:val="24"/>
          <w:szCs w:val="24"/>
          <w:lang w:val="en-US" w:eastAsia="zh-CN" w:bidi="ar-SA"/>
        </w:rPr>
        <w:t>”的资料为必须提供，否则将视为无效标处理）</w:t>
      </w:r>
    </w:p>
    <w:p>
      <w:pPr>
        <w:widowControl w:val="0"/>
        <w:wordWrap w:val="0"/>
        <w:topLinePunct/>
        <w:adjustRightInd w:val="0"/>
        <w:snapToGrid w:val="0"/>
        <w:spacing w:line="360" w:lineRule="auto"/>
        <w:ind w:leftChars="0" w:firstLine="482" w:firstLineChars="200"/>
        <w:jc w:val="both"/>
        <w:rPr>
          <w:rFonts w:hint="eastAsia" w:ascii="宋体" w:hAnsi="宋体"/>
          <w:sz w:val="24"/>
        </w:rPr>
      </w:pPr>
      <w:r>
        <w:rPr>
          <w:rFonts w:hint="eastAsia" w:ascii="宋体" w:hAnsi="宋体"/>
          <w:b/>
          <w:sz w:val="24"/>
        </w:rPr>
        <w:t>部分格式可参考“第五部分 投标文件格式”，未提供参考格式的由投标人根据相关要求自行编制。</w:t>
      </w:r>
      <w:r>
        <w:rPr>
          <w:rFonts w:hint="eastAsia" w:ascii="宋体" w:hAnsi="宋体"/>
          <w:sz w:val="24"/>
        </w:rPr>
        <w:t>投标文件一般应当包括以下主要内容：</w:t>
      </w:r>
      <w:r>
        <w:rPr>
          <w:rFonts w:hint="eastAsia" w:ascii="宋体" w:hAnsi="宋体"/>
          <w:b/>
          <w:sz w:val="24"/>
        </w:rPr>
        <w:t>报价文件和技术文件、</w:t>
      </w:r>
      <w:r>
        <w:rPr>
          <w:rFonts w:hint="eastAsia" w:ascii="宋体" w:hAnsi="宋体"/>
          <w:b/>
          <w:sz w:val="24"/>
          <w:lang w:eastAsia="zh-CN"/>
        </w:rPr>
        <w:t>资信</w:t>
      </w:r>
      <w:r>
        <w:rPr>
          <w:rFonts w:hint="eastAsia" w:ascii="宋体" w:hAnsi="宋体"/>
          <w:b/>
          <w:sz w:val="24"/>
        </w:rPr>
        <w:t>文件</w:t>
      </w:r>
      <w:r>
        <w:rPr>
          <w:rFonts w:hint="eastAsia" w:ascii="宋体" w:hAnsi="宋体"/>
          <w:sz w:val="24"/>
        </w:rPr>
        <w:t>。</w:t>
      </w:r>
    </w:p>
    <w:p>
      <w:pPr>
        <w:widowControl w:val="0"/>
        <w:wordWrap w:val="0"/>
        <w:topLinePunct/>
        <w:adjustRightInd w:val="0"/>
        <w:snapToGrid w:val="0"/>
        <w:spacing w:line="360" w:lineRule="auto"/>
        <w:ind w:leftChars="0" w:firstLine="482" w:firstLineChars="200"/>
        <w:jc w:val="both"/>
        <w:rPr>
          <w:rFonts w:hint="eastAsia" w:ascii="宋体" w:hAnsi="宋体"/>
          <w:b/>
          <w:sz w:val="24"/>
        </w:rPr>
      </w:pPr>
      <w:r>
        <w:rPr>
          <w:rFonts w:hint="eastAsia" w:ascii="宋体" w:hAnsi="宋体"/>
          <w:b/>
          <w:sz w:val="24"/>
        </w:rPr>
        <w:t>注意：投标文件封面、开标一览表、投标响应函、授权委托书须加盖单位公章，开标一览表、投标响应函须经法定代表人（或授权代表）签字，否则视为无效投标。</w:t>
      </w:r>
    </w:p>
    <w:p>
      <w:pPr>
        <w:widowControl w:val="0"/>
        <w:wordWrap w:val="0"/>
        <w:topLinePunct/>
        <w:adjustRightInd w:val="0"/>
        <w:snapToGrid w:val="0"/>
        <w:spacing w:before="0" w:line="360" w:lineRule="auto"/>
        <w:ind w:leftChars="0"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Times New Roman"/>
          <w:kern w:val="2"/>
          <w:sz w:val="24"/>
          <w:szCs w:val="24"/>
          <w:lang w:val="en-US" w:eastAsia="zh-CN" w:bidi="ar-SA"/>
        </w:rPr>
        <w:t>32</w:t>
      </w:r>
      <w:r>
        <w:rPr>
          <w:rFonts w:hint="eastAsia" w:ascii="宋体" w:hAnsi="宋体" w:eastAsia="宋体" w:cs="宋体"/>
          <w:kern w:val="0"/>
          <w:sz w:val="24"/>
          <w:szCs w:val="24"/>
          <w:lang w:val="en-US" w:eastAsia="zh-CN" w:bidi="ar-SA"/>
        </w:rPr>
        <w:t>.1、投标人的</w:t>
      </w:r>
      <w:r>
        <w:rPr>
          <w:rFonts w:hint="eastAsia" w:ascii="宋体" w:hAnsi="宋体" w:eastAsia="宋体" w:cs="宋体"/>
          <w:b/>
          <w:kern w:val="0"/>
          <w:sz w:val="24"/>
          <w:szCs w:val="24"/>
          <w:lang w:val="en-US" w:eastAsia="zh-CN" w:bidi="ar-SA"/>
        </w:rPr>
        <w:t>报价文件</w:t>
      </w:r>
      <w:r>
        <w:rPr>
          <w:rFonts w:hint="eastAsia" w:ascii="宋体" w:hAnsi="宋体" w:eastAsia="宋体" w:cs="宋体"/>
          <w:kern w:val="0"/>
          <w:sz w:val="24"/>
          <w:szCs w:val="24"/>
          <w:lang w:val="en-US" w:eastAsia="zh-CN" w:bidi="ar-SA"/>
        </w:rPr>
        <w:t>应单独密封，内容应当包含以下内容：</w:t>
      </w:r>
    </w:p>
    <w:p>
      <w:pPr>
        <w:widowControl w:val="0"/>
        <w:wordWrap w:val="0"/>
        <w:topLinePunct/>
        <w:adjustRightInd w:val="0"/>
        <w:snapToGrid w:val="0"/>
        <w:spacing w:line="360" w:lineRule="auto"/>
        <w:ind w:leftChars="0" w:firstLine="482" w:firstLineChars="200"/>
        <w:jc w:val="both"/>
        <w:textAlignment w:val="baseline"/>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▲32.1.1、开标一览表（必须按照第五部分 投标文件格式）；</w:t>
      </w:r>
    </w:p>
    <w:p>
      <w:pPr>
        <w:widowControl w:val="0"/>
        <w:wordWrap w:val="0"/>
        <w:topLinePunct/>
        <w:adjustRightInd w:val="0"/>
        <w:snapToGrid w:val="0"/>
        <w:spacing w:before="0" w:line="360" w:lineRule="auto"/>
        <w:ind w:leftChars="0" w:firstLine="482" w:firstLineChars="200"/>
        <w:jc w:val="both"/>
        <w:rPr>
          <w:rFonts w:hint="eastAsia" w:ascii="宋体" w:hAnsi="宋体" w:eastAsia="宋体" w:cs="Times New Roman"/>
          <w:b/>
          <w:kern w:val="2"/>
          <w:sz w:val="24"/>
          <w:szCs w:val="20"/>
          <w:lang w:val="en-US" w:eastAsia="zh-CN" w:bidi="ar-SA"/>
        </w:rPr>
      </w:pPr>
      <w:r>
        <w:rPr>
          <w:rFonts w:hint="eastAsia" w:ascii="宋体" w:hAnsi="宋体" w:eastAsia="宋体" w:cs="Times New Roman"/>
          <w:b/>
          <w:bCs/>
          <w:kern w:val="2"/>
          <w:sz w:val="24"/>
          <w:szCs w:val="24"/>
          <w:lang w:val="en-US" w:eastAsia="zh-CN" w:bidi="ar-SA"/>
        </w:rPr>
        <w:t>▲32.1.2</w:t>
      </w:r>
      <w:r>
        <w:rPr>
          <w:rFonts w:hint="eastAsia" w:ascii="宋体" w:hAnsi="宋体" w:eastAsia="宋体" w:cs="Times New Roman"/>
          <w:b/>
          <w:kern w:val="2"/>
          <w:sz w:val="24"/>
          <w:szCs w:val="20"/>
          <w:lang w:val="en-US" w:eastAsia="zh-CN" w:bidi="ar-SA"/>
        </w:rPr>
        <w:t>、分项报价表（必须按照第五部分 投标文件格式）；</w:t>
      </w:r>
    </w:p>
    <w:p>
      <w:pPr>
        <w:widowControl w:val="0"/>
        <w:wordWrap w:val="0"/>
        <w:topLinePunct/>
        <w:adjustRightInd w:val="0"/>
        <w:snapToGrid w:val="0"/>
        <w:spacing w:before="0" w:line="360" w:lineRule="auto"/>
        <w:ind w:leftChars="0" w:firstLine="480" w:firstLineChars="200"/>
        <w:jc w:val="both"/>
        <w:rPr>
          <w:rFonts w:hint="eastAsia" w:ascii="宋体" w:hAnsi="宋体" w:eastAsia="宋体" w:cs="Times New Roman"/>
          <w:kern w:val="2"/>
          <w:sz w:val="24"/>
          <w:szCs w:val="20"/>
          <w:lang w:val="en-US" w:eastAsia="zh-CN" w:bidi="ar-SA"/>
        </w:rPr>
      </w:pPr>
      <w:r>
        <w:rPr>
          <w:rFonts w:hint="eastAsia" w:ascii="宋体" w:hAnsi="宋体" w:eastAsia="宋体" w:cs="Times New Roman"/>
          <w:kern w:val="2"/>
          <w:sz w:val="24"/>
          <w:szCs w:val="24"/>
          <w:lang w:val="en-US" w:eastAsia="zh-CN" w:bidi="ar-SA"/>
        </w:rPr>
        <w:t>32</w:t>
      </w:r>
      <w:r>
        <w:rPr>
          <w:rFonts w:hint="eastAsia" w:ascii="宋体" w:hAnsi="宋体" w:eastAsia="宋体" w:cs="Times New Roman"/>
          <w:kern w:val="2"/>
          <w:sz w:val="24"/>
          <w:szCs w:val="20"/>
          <w:lang w:val="en-US" w:eastAsia="zh-CN" w:bidi="ar-SA"/>
        </w:rPr>
        <w:t>.1.3、投标人需要说明的其他文件和资料。</w:t>
      </w:r>
    </w:p>
    <w:p>
      <w:pPr>
        <w:widowControl w:val="0"/>
        <w:wordWrap w:val="0"/>
        <w:topLinePunct/>
        <w:adjustRightInd w:val="0"/>
        <w:snapToGrid w:val="0"/>
        <w:spacing w:line="360" w:lineRule="auto"/>
        <w:ind w:leftChars="0" w:firstLine="482" w:firstLineChars="200"/>
        <w:jc w:val="both"/>
        <w:rPr>
          <w:rFonts w:hint="eastAsia" w:ascii="宋体" w:hAnsi="宋体"/>
          <w:b/>
          <w:sz w:val="24"/>
        </w:rPr>
      </w:pPr>
      <w:r>
        <w:rPr>
          <w:rFonts w:hint="eastAsia" w:ascii="宋体" w:hAnsi="宋体"/>
          <w:b/>
          <w:sz w:val="24"/>
        </w:rPr>
        <w:t>投标报价注意事项：</w:t>
      </w:r>
    </w:p>
    <w:p>
      <w:pPr>
        <w:widowControl w:val="0"/>
        <w:wordWrap w:val="0"/>
        <w:topLinePunct/>
        <w:adjustRightInd w:val="0"/>
        <w:snapToGrid w:val="0"/>
        <w:spacing w:line="360" w:lineRule="auto"/>
        <w:ind w:leftChars="0" w:firstLine="480" w:firstLineChars="200"/>
        <w:jc w:val="both"/>
        <w:rPr>
          <w:rFonts w:hint="eastAsia" w:ascii="宋体" w:hAnsi="宋体"/>
          <w:sz w:val="24"/>
        </w:rPr>
      </w:pPr>
      <w:r>
        <w:rPr>
          <w:rFonts w:hint="eastAsia" w:ascii="宋体" w:hAnsi="宋体"/>
          <w:sz w:val="24"/>
        </w:rPr>
        <w:t>（1）、投标报价应包括招标范围内要求所涉及的全部费用，包括</w:t>
      </w:r>
      <w:r>
        <w:rPr>
          <w:rFonts w:hint="eastAsia" w:ascii="宋体" w:hAnsi="宋体"/>
          <w:sz w:val="24"/>
          <w:lang w:eastAsia="zh-CN"/>
        </w:rPr>
        <w:t>本项目</w:t>
      </w:r>
      <w:r>
        <w:rPr>
          <w:rFonts w:hint="eastAsia" w:ascii="宋体" w:hAnsi="宋体"/>
          <w:sz w:val="24"/>
        </w:rPr>
        <w:t>招标代理服务费</w:t>
      </w:r>
      <w:r>
        <w:rPr>
          <w:rFonts w:hint="eastAsia" w:ascii="宋体" w:hAnsi="宋体"/>
          <w:sz w:val="24"/>
          <w:lang w:eastAsia="zh-CN"/>
        </w:rPr>
        <w:t>、</w:t>
      </w:r>
      <w:r>
        <w:rPr>
          <w:rFonts w:hint="eastAsia" w:ascii="宋体" w:hAnsi="宋体"/>
          <w:sz w:val="24"/>
        </w:rPr>
        <w:t>人员工资、交通、住宿、税金、保险、验收及辅助工作及售后服务等完成本项目的所有费用。</w:t>
      </w:r>
    </w:p>
    <w:p>
      <w:pPr>
        <w:widowControl w:val="0"/>
        <w:wordWrap w:val="0"/>
        <w:topLinePunct/>
        <w:adjustRightInd w:val="0"/>
        <w:snapToGrid w:val="0"/>
        <w:spacing w:line="360" w:lineRule="auto"/>
        <w:ind w:leftChars="0" w:firstLine="480" w:firstLineChars="200"/>
        <w:jc w:val="both"/>
        <w:rPr>
          <w:rFonts w:hint="eastAsia" w:ascii="宋体" w:hAnsi="宋体"/>
          <w:sz w:val="24"/>
        </w:rPr>
      </w:pPr>
      <w:r>
        <w:rPr>
          <w:rFonts w:hint="eastAsia" w:ascii="宋体" w:hAnsi="宋体"/>
          <w:sz w:val="24"/>
        </w:rPr>
        <w:t>（2）、投标报价应是唯一的，招标方将拒绝有选择的报价。</w:t>
      </w:r>
    </w:p>
    <w:p>
      <w:pPr>
        <w:widowControl w:val="0"/>
        <w:wordWrap w:val="0"/>
        <w:topLinePunct/>
        <w:adjustRightInd w:val="0"/>
        <w:snapToGrid w:val="0"/>
        <w:spacing w:before="0" w:line="360" w:lineRule="auto"/>
        <w:ind w:leftChars="0" w:firstLine="482" w:firstLineChars="200"/>
        <w:jc w:val="both"/>
        <w:rPr>
          <w:rFonts w:hint="eastAsia" w:ascii="宋体" w:hAnsi="宋体" w:eastAsia="宋体" w:cs="宋体"/>
          <w:b/>
          <w:bCs/>
          <w:kern w:val="0"/>
          <w:sz w:val="24"/>
          <w:szCs w:val="24"/>
          <w:lang w:val="en-US" w:eastAsia="zh-CN" w:bidi="ar-SA"/>
        </w:rPr>
      </w:pPr>
      <w:r>
        <w:rPr>
          <w:rFonts w:hint="eastAsia" w:ascii="宋体" w:hAnsi="宋体" w:eastAsia="宋体" w:cs="Times New Roman"/>
          <w:b/>
          <w:bCs/>
          <w:kern w:val="2"/>
          <w:sz w:val="24"/>
          <w:szCs w:val="24"/>
          <w:lang w:val="en-US" w:eastAsia="zh-CN" w:bidi="ar-SA"/>
        </w:rPr>
        <w:t>32</w:t>
      </w:r>
      <w:r>
        <w:rPr>
          <w:rFonts w:hint="eastAsia" w:ascii="宋体" w:hAnsi="宋体" w:eastAsia="宋体" w:cs="宋体"/>
          <w:b/>
          <w:bCs/>
          <w:kern w:val="0"/>
          <w:sz w:val="24"/>
          <w:szCs w:val="24"/>
          <w:lang w:val="en-US" w:eastAsia="zh-CN" w:bidi="ar-SA"/>
        </w:rPr>
        <w:t>.2</w:t>
      </w:r>
      <w:r>
        <w:rPr>
          <w:rFonts w:hint="eastAsia" w:ascii="宋体" w:hAnsi="宋体" w:cs="宋体"/>
          <w:b/>
          <w:bCs/>
          <w:kern w:val="0"/>
          <w:sz w:val="24"/>
          <w:szCs w:val="24"/>
          <w:lang w:val="en-US" w:eastAsia="zh-CN" w:bidi="ar-SA"/>
        </w:rPr>
        <w:t>、</w:t>
      </w:r>
      <w:r>
        <w:rPr>
          <w:rFonts w:hint="eastAsia" w:ascii="宋体" w:hAnsi="宋体" w:eastAsia="宋体" w:cs="宋体"/>
          <w:b/>
          <w:bCs/>
          <w:kern w:val="0"/>
          <w:sz w:val="24"/>
          <w:szCs w:val="24"/>
          <w:lang w:val="en-US" w:eastAsia="zh-CN" w:bidi="ar-SA"/>
        </w:rPr>
        <w:t>投标人的技术文件内容应当包含：</w:t>
      </w:r>
    </w:p>
    <w:p>
      <w:pPr>
        <w:widowControl w:val="0"/>
        <w:wordWrap w:val="0"/>
        <w:topLinePunct/>
        <w:adjustRightInd w:val="0"/>
        <w:snapToGrid w:val="0"/>
        <w:spacing w:line="360" w:lineRule="auto"/>
        <w:ind w:leftChars="0" w:firstLine="480" w:firstLineChars="200"/>
        <w:jc w:val="both"/>
        <w:rPr>
          <w:rFonts w:hint="eastAsia" w:ascii="宋体" w:hAnsi="宋体"/>
          <w:sz w:val="24"/>
        </w:rPr>
      </w:pPr>
      <w:r>
        <w:rPr>
          <w:rFonts w:hint="eastAsia" w:ascii="宋体" w:hAnsi="宋体"/>
          <w:sz w:val="24"/>
        </w:rPr>
        <w:t>32.2.1、目录；</w:t>
      </w:r>
    </w:p>
    <w:p>
      <w:pPr>
        <w:widowControl w:val="0"/>
        <w:wordWrap w:val="0"/>
        <w:topLinePunct/>
        <w:adjustRightInd w:val="0"/>
        <w:snapToGrid w:val="0"/>
        <w:spacing w:line="360" w:lineRule="auto"/>
        <w:ind w:leftChars="0" w:firstLine="480" w:firstLineChars="200"/>
        <w:jc w:val="both"/>
        <w:rPr>
          <w:rFonts w:hint="eastAsia" w:ascii="宋体" w:hAnsi="宋体"/>
          <w:sz w:val="24"/>
        </w:rPr>
      </w:pPr>
      <w:r>
        <w:rPr>
          <w:rFonts w:hint="eastAsia" w:ascii="宋体" w:hAnsi="宋体"/>
          <w:sz w:val="24"/>
        </w:rPr>
        <w:t>32.2.2、评分对应表；</w:t>
      </w:r>
    </w:p>
    <w:p>
      <w:pPr>
        <w:widowControl w:val="0"/>
        <w:wordWrap w:val="0"/>
        <w:topLinePunct/>
        <w:adjustRightInd w:val="0"/>
        <w:snapToGrid w:val="0"/>
        <w:spacing w:line="360" w:lineRule="auto"/>
        <w:ind w:leftChars="0" w:firstLine="482" w:firstLineChars="200"/>
        <w:jc w:val="both"/>
        <w:rPr>
          <w:rFonts w:hint="eastAsia" w:ascii="宋体" w:hAnsi="宋体" w:eastAsia="宋体"/>
          <w:b/>
          <w:bCs/>
          <w:sz w:val="24"/>
          <w:lang w:eastAsia="zh-CN"/>
        </w:rPr>
      </w:pPr>
      <w:r>
        <w:rPr>
          <w:rFonts w:hint="eastAsia" w:ascii="宋体" w:hAnsi="宋体"/>
          <w:b/>
          <w:bCs/>
          <w:sz w:val="24"/>
        </w:rPr>
        <w:t>▲32.2.3、</w:t>
      </w:r>
      <w:r>
        <w:rPr>
          <w:rFonts w:hint="eastAsia" w:ascii="宋体" w:hAnsi="宋体"/>
          <w:b/>
          <w:bCs/>
          <w:sz w:val="24"/>
          <w:highlight w:val="none"/>
          <w:lang w:val="en-US" w:eastAsia="zh-CN"/>
        </w:rPr>
        <w:t>招标</w:t>
      </w:r>
      <w:r>
        <w:rPr>
          <w:rFonts w:hint="eastAsia" w:ascii="宋体" w:hAnsi="宋体"/>
          <w:b/>
          <w:bCs/>
          <w:sz w:val="24"/>
          <w:highlight w:val="none"/>
        </w:rPr>
        <w:t>需求实质性内容响应表（格式</w:t>
      </w:r>
      <w:r>
        <w:rPr>
          <w:rFonts w:hint="eastAsia" w:ascii="宋体" w:hAnsi="宋体"/>
          <w:b/>
          <w:bCs/>
          <w:sz w:val="24"/>
        </w:rPr>
        <w:t>见第五部分 投标文件格式）</w:t>
      </w:r>
      <w:r>
        <w:rPr>
          <w:rFonts w:hint="eastAsia" w:ascii="宋体" w:hAnsi="宋体"/>
          <w:b/>
          <w:bCs/>
          <w:sz w:val="24"/>
          <w:lang w:eastAsia="zh-CN"/>
        </w:rPr>
        <w:t>；</w:t>
      </w:r>
    </w:p>
    <w:p>
      <w:pPr>
        <w:widowControl w:val="0"/>
        <w:wordWrap w:val="0"/>
        <w:topLinePunct/>
        <w:adjustRightInd w:val="0"/>
        <w:snapToGrid w:val="0"/>
        <w:spacing w:line="360" w:lineRule="auto"/>
        <w:ind w:leftChars="0" w:firstLine="480" w:firstLineChars="200"/>
        <w:jc w:val="both"/>
        <w:rPr>
          <w:rFonts w:hint="eastAsia" w:ascii="宋体" w:hAnsi="宋体" w:eastAsia="宋体"/>
          <w:sz w:val="24"/>
          <w:lang w:eastAsia="zh-CN"/>
        </w:rPr>
      </w:pPr>
      <w:r>
        <w:rPr>
          <w:rFonts w:hint="eastAsia" w:ascii="宋体" w:hAnsi="宋体"/>
          <w:sz w:val="24"/>
        </w:rPr>
        <w:t>32.2.4、对应技术分评分细则提供相关证明资料，并根据要求盖章；</w:t>
      </w:r>
    </w:p>
    <w:p>
      <w:pPr>
        <w:widowControl w:val="0"/>
        <w:wordWrap w:val="0"/>
        <w:topLinePunct/>
        <w:adjustRightInd w:val="0"/>
        <w:snapToGrid w:val="0"/>
        <w:spacing w:line="360" w:lineRule="auto"/>
        <w:ind w:leftChars="0" w:firstLine="480" w:firstLineChars="200"/>
        <w:jc w:val="both"/>
        <w:rPr>
          <w:rFonts w:hint="eastAsia" w:ascii="宋体" w:hAnsi="宋体" w:eastAsia="宋体"/>
          <w:b w:val="0"/>
          <w:bCs w:val="0"/>
          <w:sz w:val="24"/>
          <w:lang w:eastAsia="zh-CN"/>
        </w:rPr>
      </w:pPr>
      <w:r>
        <w:rPr>
          <w:rFonts w:hint="eastAsia" w:ascii="宋体" w:hAnsi="宋体"/>
          <w:b w:val="0"/>
          <w:bCs w:val="0"/>
          <w:sz w:val="24"/>
        </w:rPr>
        <w:t>32.2.5、投标人认为需要提供的与本项目有关的其他文件和说明</w:t>
      </w:r>
      <w:r>
        <w:rPr>
          <w:rFonts w:hint="eastAsia" w:ascii="宋体" w:hAnsi="宋体"/>
          <w:b w:val="0"/>
          <w:bCs w:val="0"/>
          <w:sz w:val="24"/>
          <w:lang w:eastAsia="zh-CN"/>
        </w:rPr>
        <w:t>。</w:t>
      </w:r>
    </w:p>
    <w:p>
      <w:pPr>
        <w:widowControl w:val="0"/>
        <w:wordWrap w:val="0"/>
        <w:topLinePunct/>
        <w:adjustRightInd w:val="0"/>
        <w:snapToGrid w:val="0"/>
        <w:spacing w:before="0" w:line="360" w:lineRule="auto"/>
        <w:ind w:leftChars="0" w:firstLine="482" w:firstLineChars="200"/>
        <w:jc w:val="both"/>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32.3、投标人的</w:t>
      </w:r>
      <w:r>
        <w:rPr>
          <w:rFonts w:hint="eastAsia" w:ascii="宋体" w:hAnsi="宋体" w:cs="Times New Roman"/>
          <w:b/>
          <w:bCs/>
          <w:kern w:val="2"/>
          <w:sz w:val="24"/>
          <w:szCs w:val="24"/>
          <w:highlight w:val="none"/>
          <w:lang w:val="en-US" w:eastAsia="zh-CN" w:bidi="ar-SA"/>
        </w:rPr>
        <w:t>资信</w:t>
      </w:r>
      <w:r>
        <w:rPr>
          <w:rFonts w:hint="eastAsia" w:ascii="宋体" w:hAnsi="宋体" w:eastAsia="宋体" w:cs="Times New Roman"/>
          <w:b/>
          <w:bCs/>
          <w:kern w:val="2"/>
          <w:sz w:val="24"/>
          <w:szCs w:val="24"/>
          <w:highlight w:val="none"/>
          <w:lang w:val="en-US" w:eastAsia="zh-CN" w:bidi="ar-SA"/>
        </w:rPr>
        <w:t>文件内容应当包含：</w:t>
      </w:r>
    </w:p>
    <w:p>
      <w:pPr>
        <w:widowControl w:val="0"/>
        <w:wordWrap w:val="0"/>
        <w:topLinePunct/>
        <w:adjustRightInd w:val="0"/>
        <w:snapToGrid w:val="0"/>
        <w:spacing w:line="360" w:lineRule="auto"/>
        <w:ind w:leftChars="0" w:firstLine="480" w:firstLineChars="200"/>
        <w:jc w:val="both"/>
        <w:rPr>
          <w:rFonts w:hint="eastAsia" w:ascii="宋体" w:hAnsi="宋体"/>
          <w:sz w:val="24"/>
          <w:highlight w:val="none"/>
        </w:rPr>
      </w:pPr>
      <w:r>
        <w:rPr>
          <w:rFonts w:hint="eastAsia" w:ascii="宋体" w:hAnsi="宋体"/>
          <w:sz w:val="24"/>
          <w:highlight w:val="none"/>
        </w:rPr>
        <w:t>32.3.</w:t>
      </w:r>
      <w:r>
        <w:rPr>
          <w:rFonts w:hint="eastAsia" w:ascii="宋体" w:hAnsi="宋体"/>
          <w:sz w:val="24"/>
          <w:highlight w:val="none"/>
          <w:lang w:val="en-US" w:eastAsia="zh-CN"/>
        </w:rPr>
        <w:t>1</w:t>
      </w:r>
      <w:r>
        <w:rPr>
          <w:rFonts w:hint="eastAsia" w:ascii="宋体" w:hAnsi="宋体"/>
          <w:sz w:val="24"/>
          <w:highlight w:val="none"/>
        </w:rPr>
        <w:t>、目录；</w:t>
      </w:r>
    </w:p>
    <w:p>
      <w:pPr>
        <w:widowControl w:val="0"/>
        <w:wordWrap w:val="0"/>
        <w:topLinePunct/>
        <w:adjustRightInd w:val="0"/>
        <w:snapToGrid w:val="0"/>
        <w:spacing w:line="360" w:lineRule="auto"/>
        <w:ind w:leftChars="0" w:firstLine="480" w:firstLineChars="200"/>
        <w:jc w:val="both"/>
        <w:rPr>
          <w:rFonts w:hint="default" w:ascii="宋体" w:hAnsi="宋体" w:eastAsia="宋体"/>
          <w:sz w:val="24"/>
          <w:highlight w:val="none"/>
          <w:lang w:val="en-US" w:eastAsia="zh-CN"/>
        </w:rPr>
      </w:pPr>
      <w:r>
        <w:rPr>
          <w:rFonts w:hint="eastAsia" w:ascii="宋体" w:hAnsi="宋体"/>
          <w:sz w:val="24"/>
          <w:highlight w:val="none"/>
          <w:lang w:val="en-US" w:eastAsia="zh-CN"/>
        </w:rPr>
        <w:t>32.3.2、评分对应表；</w:t>
      </w:r>
    </w:p>
    <w:p>
      <w:pPr>
        <w:widowControl w:val="0"/>
        <w:wordWrap w:val="0"/>
        <w:topLinePunct/>
        <w:adjustRightInd w:val="0"/>
        <w:snapToGrid w:val="0"/>
        <w:spacing w:line="360" w:lineRule="auto"/>
        <w:ind w:leftChars="0" w:firstLine="482" w:firstLineChars="200"/>
        <w:jc w:val="both"/>
        <w:textAlignment w:val="baseline"/>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▲32.3.3、营业执照复印件</w:t>
      </w:r>
      <w:r>
        <w:rPr>
          <w:rFonts w:hint="eastAsia" w:ascii="宋体" w:hAnsi="宋体" w:cs="Times New Roman"/>
          <w:b/>
          <w:bCs/>
          <w:kern w:val="2"/>
          <w:sz w:val="24"/>
          <w:szCs w:val="24"/>
          <w:highlight w:val="none"/>
          <w:lang w:val="en-US" w:eastAsia="zh-CN" w:bidi="ar-SA"/>
        </w:rPr>
        <w:t>；</w:t>
      </w:r>
    </w:p>
    <w:p>
      <w:pPr>
        <w:widowControl w:val="0"/>
        <w:wordWrap w:val="0"/>
        <w:topLinePunct/>
        <w:adjustRightInd w:val="0"/>
        <w:snapToGrid w:val="0"/>
        <w:spacing w:line="360" w:lineRule="auto"/>
        <w:ind w:leftChars="0" w:firstLine="482" w:firstLineChars="200"/>
        <w:jc w:val="both"/>
        <w:textAlignment w:val="baseline"/>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▲32.3.4、授权委托书原件、法定代表人及授权代表的身份证复印件；</w:t>
      </w:r>
    </w:p>
    <w:p>
      <w:pPr>
        <w:widowControl w:val="0"/>
        <w:wordWrap w:val="0"/>
        <w:topLinePunct/>
        <w:adjustRightInd w:val="0"/>
        <w:snapToGrid w:val="0"/>
        <w:spacing w:line="360" w:lineRule="auto"/>
        <w:ind w:leftChars="0" w:firstLine="482" w:firstLineChars="200"/>
        <w:jc w:val="both"/>
        <w:textAlignment w:val="baseline"/>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▲32.3.5、投标响应函（必须按照第五部分 投标文件格式）；</w:t>
      </w:r>
    </w:p>
    <w:p>
      <w:pPr>
        <w:widowControl w:val="0"/>
        <w:wordWrap w:val="0"/>
        <w:topLinePunct/>
        <w:adjustRightInd w:val="0"/>
        <w:snapToGrid w:val="0"/>
        <w:spacing w:line="360" w:lineRule="auto"/>
        <w:ind w:leftChars="0" w:firstLine="482" w:firstLineChars="200"/>
        <w:jc w:val="both"/>
        <w:textAlignment w:val="baseline"/>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32.3.6、对应资信分评分细则提供相关证明资料，并根据要求盖章；</w:t>
      </w:r>
    </w:p>
    <w:p>
      <w:pPr>
        <w:widowControl w:val="0"/>
        <w:wordWrap w:val="0"/>
        <w:topLinePunct/>
        <w:adjustRightInd w:val="0"/>
        <w:snapToGrid w:val="0"/>
        <w:spacing w:line="360" w:lineRule="auto"/>
        <w:ind w:leftChars="0" w:firstLine="480" w:firstLineChars="200"/>
        <w:jc w:val="both"/>
        <w:rPr>
          <w:rFonts w:hint="eastAsia" w:ascii="宋体" w:hAnsi="宋体"/>
          <w:b w:val="0"/>
          <w:bCs w:val="0"/>
          <w:sz w:val="24"/>
          <w:highlight w:val="none"/>
        </w:rPr>
      </w:pPr>
      <w:r>
        <w:rPr>
          <w:rFonts w:hint="eastAsia" w:ascii="宋体" w:hAnsi="宋体"/>
          <w:b w:val="0"/>
          <w:bCs w:val="0"/>
          <w:sz w:val="24"/>
          <w:highlight w:val="none"/>
        </w:rPr>
        <w:t>32.3.7、关于对招标文件中有关条款的拒绝声明（如果有的话）；</w:t>
      </w:r>
    </w:p>
    <w:p>
      <w:pPr>
        <w:widowControl w:val="0"/>
        <w:wordWrap w:val="0"/>
        <w:topLinePunct/>
        <w:adjustRightInd w:val="0"/>
        <w:snapToGrid w:val="0"/>
        <w:spacing w:line="360" w:lineRule="auto"/>
        <w:ind w:leftChars="0" w:firstLine="480" w:firstLineChars="200"/>
        <w:jc w:val="both"/>
        <w:rPr>
          <w:rFonts w:hint="eastAsia" w:ascii="宋体" w:hAnsi="宋体" w:eastAsia="宋体"/>
          <w:sz w:val="24"/>
          <w:highlight w:val="none"/>
          <w:lang w:eastAsia="zh-CN"/>
        </w:rPr>
      </w:pPr>
      <w:r>
        <w:rPr>
          <w:rFonts w:hint="eastAsia" w:ascii="宋体" w:hAnsi="宋体"/>
          <w:sz w:val="24"/>
          <w:highlight w:val="none"/>
        </w:rPr>
        <w:t>32.3.8、投标人认为需要提供的与本项目有关的其他文件和说明</w:t>
      </w:r>
      <w:r>
        <w:rPr>
          <w:rFonts w:hint="eastAsia" w:ascii="宋体" w:hAnsi="宋体"/>
          <w:sz w:val="24"/>
          <w:highlight w:val="none"/>
          <w:lang w:eastAsia="zh-CN"/>
        </w:rPr>
        <w:t>。</w:t>
      </w:r>
    </w:p>
    <w:p>
      <w:pPr>
        <w:widowControl w:val="0"/>
        <w:wordWrap w:val="0"/>
        <w:topLinePunct/>
        <w:adjustRightInd w:val="0"/>
        <w:snapToGrid w:val="0"/>
        <w:spacing w:line="360" w:lineRule="auto"/>
        <w:ind w:leftChars="0"/>
        <w:jc w:val="both"/>
        <w:rPr>
          <w:rFonts w:ascii="宋体" w:hAnsi="宋体"/>
          <w:b/>
          <w:color w:val="000000"/>
          <w:sz w:val="24"/>
        </w:rPr>
      </w:pPr>
      <w:r>
        <w:rPr>
          <w:rFonts w:hint="eastAsia" w:ascii="宋体" w:hAnsi="宋体"/>
          <w:b/>
          <w:color w:val="000000"/>
          <w:sz w:val="24"/>
        </w:rPr>
        <w:t>33、评标办法及评分标准：</w:t>
      </w:r>
    </w:p>
    <w:p>
      <w:pPr>
        <w:widowControl w:val="0"/>
        <w:wordWrap w:val="0"/>
        <w:topLinePunct/>
        <w:adjustRightInd w:val="0"/>
        <w:snapToGrid w:val="0"/>
        <w:spacing w:before="0" w:line="360" w:lineRule="auto"/>
        <w:ind w:leftChars="0" w:firstLine="600" w:firstLineChars="250"/>
        <w:jc w:val="both"/>
        <w:textAlignment w:val="auto"/>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0"/>
          <w:lang w:val="en-US" w:eastAsia="zh-CN" w:bidi="ar-SA"/>
        </w:rPr>
        <w:t>33.1、总则</w:t>
      </w:r>
    </w:p>
    <w:p>
      <w:pPr>
        <w:widowControl w:val="0"/>
        <w:wordWrap w:val="0"/>
        <w:topLinePunct/>
        <w:adjustRightInd w:val="0"/>
        <w:snapToGrid w:val="0"/>
        <w:spacing w:before="0" w:line="360" w:lineRule="auto"/>
        <w:ind w:leftChars="0" w:firstLine="602" w:firstLineChars="250"/>
        <w:jc w:val="both"/>
        <w:textAlignment w:val="auto"/>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b/>
          <w:color w:val="000000"/>
          <w:kern w:val="2"/>
          <w:sz w:val="24"/>
          <w:szCs w:val="20"/>
          <w:lang w:val="en-US" w:eastAsia="zh-CN" w:bidi="ar-SA"/>
        </w:rPr>
        <w:t>本次评标采用综合评分法，总分为100分。</w:t>
      </w:r>
      <w:r>
        <w:rPr>
          <w:rFonts w:hint="eastAsia" w:ascii="宋体" w:hAnsi="宋体" w:eastAsia="宋体" w:cs="Times New Roman"/>
          <w:color w:val="000000"/>
          <w:kern w:val="2"/>
          <w:sz w:val="24"/>
          <w:szCs w:val="20"/>
          <w:lang w:val="en-US" w:eastAsia="zh-CN" w:bidi="ar-SA"/>
        </w:rPr>
        <w:t>合格投标人的评标得分为各项目汇总得分，中标候选资格按评标得分由高到低顺序排列，排名第一的投标人为第一中标候选人。得分相同的，按投标报价由低到高顺序排列；得分且投标报价相同的，按技术指标优劣顺序排列；技术得分、资信得分且投标报价均相同的，按投标人签到序号为投标人代表球号，由招标人代表抽取中标候选人。评分过程中采用四舍五入法，并保留小数2位。</w:t>
      </w:r>
    </w:p>
    <w:p>
      <w:pPr>
        <w:widowControl w:val="0"/>
        <w:wordWrap w:val="0"/>
        <w:topLinePunct/>
        <w:adjustRightInd w:val="0"/>
        <w:snapToGrid w:val="0"/>
        <w:spacing w:before="0" w:line="360" w:lineRule="auto"/>
        <w:ind w:leftChars="0" w:firstLine="600" w:firstLineChars="250"/>
        <w:jc w:val="both"/>
        <w:textAlignment w:val="auto"/>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0"/>
          <w:lang w:val="en-US" w:eastAsia="zh-CN" w:bidi="ar-SA"/>
        </w:rPr>
        <w:t>投标人评标综合得分=价格分+(技术、</w:t>
      </w:r>
      <w:r>
        <w:rPr>
          <w:rFonts w:hint="eastAsia" w:ascii="宋体" w:hAnsi="宋体" w:cs="Times New Roman"/>
          <w:color w:val="000000"/>
          <w:kern w:val="2"/>
          <w:sz w:val="24"/>
          <w:szCs w:val="20"/>
          <w:lang w:val="en-US" w:eastAsia="zh-CN" w:bidi="ar-SA"/>
        </w:rPr>
        <w:t>资信</w:t>
      </w:r>
      <w:r>
        <w:rPr>
          <w:rFonts w:hint="eastAsia" w:ascii="宋体" w:hAnsi="宋体" w:eastAsia="宋体" w:cs="Times New Roman"/>
          <w:color w:val="000000"/>
          <w:kern w:val="2"/>
          <w:sz w:val="24"/>
          <w:szCs w:val="20"/>
          <w:lang w:val="en-US" w:eastAsia="zh-CN" w:bidi="ar-SA"/>
        </w:rPr>
        <w:t>分)</w:t>
      </w:r>
    </w:p>
    <w:p>
      <w:pPr>
        <w:widowControl w:val="0"/>
        <w:wordWrap w:val="0"/>
        <w:topLinePunct/>
        <w:adjustRightInd w:val="0"/>
        <w:snapToGrid w:val="0"/>
        <w:spacing w:before="0" w:line="360" w:lineRule="auto"/>
        <w:ind w:leftChars="0" w:firstLine="600" w:firstLineChars="250"/>
        <w:jc w:val="both"/>
        <w:textAlignment w:val="auto"/>
        <w:rPr>
          <w:rFonts w:hint="eastAsia" w:ascii="宋体" w:hAnsi="宋体" w:eastAsia="宋体" w:cs="Times New Roman"/>
          <w:color w:val="000000"/>
          <w:kern w:val="2"/>
          <w:sz w:val="24"/>
          <w:szCs w:val="20"/>
          <w:lang w:val="en-US" w:eastAsia="zh-CN" w:bidi="ar-SA"/>
        </w:rPr>
      </w:pPr>
      <w:r>
        <w:rPr>
          <w:rFonts w:hint="eastAsia" w:ascii="宋体" w:hAnsi="宋体" w:eastAsia="宋体" w:cs="Times New Roman"/>
          <w:color w:val="000000"/>
          <w:kern w:val="2"/>
          <w:sz w:val="24"/>
          <w:szCs w:val="20"/>
          <w:lang w:val="en-US" w:eastAsia="zh-CN" w:bidi="ar-SA"/>
        </w:rPr>
        <w:t>33.2、评标内容及标准</w:t>
      </w:r>
    </w:p>
    <w:p>
      <w:pPr>
        <w:widowControl w:val="0"/>
        <w:wordWrap w:val="0"/>
        <w:topLinePunct/>
        <w:adjustRightInd w:val="0"/>
        <w:snapToGrid w:val="0"/>
        <w:spacing w:before="0" w:line="360" w:lineRule="auto"/>
        <w:ind w:leftChars="0" w:firstLine="602" w:firstLineChars="250"/>
        <w:jc w:val="both"/>
        <w:textAlignment w:val="auto"/>
        <w:rPr>
          <w:rFonts w:hint="eastAsia" w:ascii="宋体" w:hAnsi="宋体" w:eastAsia="宋体" w:cs="Times New Roman"/>
          <w:b/>
          <w:color w:val="000000"/>
          <w:kern w:val="2"/>
          <w:sz w:val="24"/>
          <w:szCs w:val="20"/>
          <w:lang w:val="en-US" w:eastAsia="zh-CN" w:bidi="ar-SA"/>
        </w:rPr>
      </w:pPr>
      <w:r>
        <w:rPr>
          <w:rFonts w:hint="eastAsia" w:ascii="宋体" w:hAnsi="宋体" w:eastAsia="宋体" w:cs="Times New Roman"/>
          <w:b/>
          <w:color w:val="000000"/>
          <w:kern w:val="2"/>
          <w:sz w:val="24"/>
          <w:szCs w:val="20"/>
          <w:lang w:val="en-US" w:eastAsia="zh-CN" w:bidi="ar-SA"/>
        </w:rPr>
        <w:t>33.2.1、价格分（</w:t>
      </w:r>
      <w:r>
        <w:rPr>
          <w:rFonts w:hint="eastAsia" w:ascii="宋体" w:hAnsi="宋体" w:cs="Times New Roman"/>
          <w:b/>
          <w:color w:val="000000"/>
          <w:kern w:val="2"/>
          <w:sz w:val="24"/>
          <w:szCs w:val="20"/>
          <w:lang w:val="en-US" w:eastAsia="zh-CN" w:bidi="ar-SA"/>
        </w:rPr>
        <w:t>2</w:t>
      </w:r>
      <w:r>
        <w:rPr>
          <w:rFonts w:hint="eastAsia" w:ascii="宋体" w:hAnsi="宋体" w:eastAsia="宋体" w:cs="Times New Roman"/>
          <w:b/>
          <w:color w:val="000000"/>
          <w:kern w:val="2"/>
          <w:sz w:val="24"/>
          <w:szCs w:val="20"/>
          <w:lang w:val="en-US" w:eastAsia="zh-CN" w:bidi="ar-SA"/>
        </w:rPr>
        <w:t>0分）</w:t>
      </w:r>
    </w:p>
    <w:p>
      <w:pPr>
        <w:widowControl w:val="0"/>
        <w:wordWrap w:val="0"/>
        <w:topLinePunct/>
        <w:adjustRightInd w:val="0"/>
        <w:snapToGrid w:val="0"/>
        <w:spacing w:line="360" w:lineRule="auto"/>
        <w:ind w:leftChars="0" w:firstLine="480" w:firstLineChars="200"/>
        <w:jc w:val="both"/>
        <w:textAlignment w:val="auto"/>
        <w:rPr>
          <w:rFonts w:hint="eastAsia" w:ascii="宋体" w:hAnsi="宋体"/>
          <w:color w:val="000000"/>
          <w:sz w:val="24"/>
          <w:szCs w:val="20"/>
          <w:lang w:val="zh-CN"/>
        </w:rPr>
      </w:pPr>
      <w:r>
        <w:rPr>
          <w:rFonts w:hint="eastAsia" w:ascii="宋体" w:hAnsi="宋体"/>
          <w:color w:val="000000"/>
          <w:sz w:val="24"/>
          <w:szCs w:val="20"/>
          <w:lang w:val="zh-CN"/>
        </w:rPr>
        <w:t>投标价格的合理性：分析投标价格是否合理，投标价格范围是否完整，有否重大错漏项。投标价格不能为零，否则按废标处理。评标委员会认为投标人的报价明显低于其他通过符合性审查投标人的报价，有可能服务质量或者不能诚信履约的，应当要求其在评标现场合理时间内提供书面说明。投标人不能证明其报价合理性的，评标委员会应当将其作为无效投标处理。最高限价以下的投标人不足</w:t>
      </w:r>
      <w:r>
        <w:rPr>
          <w:rFonts w:hint="eastAsia" w:ascii="宋体" w:hAnsi="宋体"/>
          <w:color w:val="000000"/>
          <w:sz w:val="24"/>
          <w:szCs w:val="20"/>
          <w:lang w:val="zh-CN" w:eastAsia="zh-CN"/>
        </w:rPr>
        <w:t>三</w:t>
      </w:r>
      <w:r>
        <w:rPr>
          <w:rFonts w:hint="eastAsia" w:ascii="宋体" w:hAnsi="宋体"/>
          <w:color w:val="000000"/>
          <w:sz w:val="24"/>
          <w:szCs w:val="20"/>
          <w:lang w:val="zh-CN"/>
        </w:rPr>
        <w:t>人时，评标委员会认为缺乏竞争应否决全部投标。</w:t>
      </w:r>
    </w:p>
    <w:p>
      <w:pPr>
        <w:widowControl w:val="0"/>
        <w:wordWrap w:val="0"/>
        <w:topLinePunct/>
        <w:adjustRightInd w:val="0"/>
        <w:snapToGrid w:val="0"/>
        <w:spacing w:line="360" w:lineRule="auto"/>
        <w:ind w:leftChars="0" w:firstLine="480" w:firstLineChars="200"/>
        <w:jc w:val="both"/>
        <w:textAlignment w:val="auto"/>
        <w:rPr>
          <w:rFonts w:hint="eastAsia" w:ascii="宋体" w:hAnsi="宋体"/>
          <w:color w:val="000000"/>
          <w:sz w:val="24"/>
          <w:szCs w:val="20"/>
          <w:lang w:val="zh-CN"/>
        </w:rPr>
      </w:pPr>
      <w:r>
        <w:rPr>
          <w:rFonts w:hint="eastAsia" w:ascii="宋体" w:hAnsi="宋体"/>
          <w:color w:val="000000"/>
          <w:sz w:val="24"/>
          <w:szCs w:val="20"/>
          <w:lang w:val="zh-CN"/>
        </w:rPr>
        <w:t>投标价格分计算方法：满足招标文件要求且投标价格最低的投标报价为评标基准价，其他投标人的价格分统一按照下列公式计算：投标报价得分=</w:t>
      </w:r>
      <w:r>
        <w:rPr>
          <w:rFonts w:hint="eastAsia" w:ascii="宋体" w:hAnsi="宋体"/>
          <w:color w:val="000000"/>
          <w:sz w:val="24"/>
          <w:szCs w:val="20"/>
          <w:lang w:val="zh-CN" w:eastAsia="zh-CN"/>
        </w:rPr>
        <w:t>（</w:t>
      </w:r>
      <w:r>
        <w:rPr>
          <w:rFonts w:hint="eastAsia" w:ascii="宋体" w:hAnsi="宋体"/>
          <w:color w:val="000000"/>
          <w:sz w:val="24"/>
          <w:szCs w:val="20"/>
          <w:lang w:val="zh-CN"/>
        </w:rPr>
        <w:t>评标基准价／投标报价</w:t>
      </w:r>
      <w:r>
        <w:rPr>
          <w:rFonts w:hint="eastAsia" w:ascii="宋体" w:hAnsi="宋体"/>
          <w:color w:val="000000"/>
          <w:sz w:val="24"/>
          <w:szCs w:val="20"/>
          <w:lang w:val="zh-CN" w:eastAsia="zh-CN"/>
        </w:rPr>
        <w:t>）</w:t>
      </w:r>
      <w:r>
        <w:rPr>
          <w:rFonts w:hint="eastAsia" w:ascii="宋体" w:hAnsi="宋体"/>
          <w:color w:val="000000"/>
          <w:sz w:val="24"/>
          <w:szCs w:val="20"/>
          <w:lang w:val="zh-CN"/>
        </w:rPr>
        <w:t>×价格权值×100（精确到小数点后二位）。</w:t>
      </w:r>
    </w:p>
    <w:p>
      <w:pPr>
        <w:widowControl w:val="0"/>
        <w:wordWrap w:val="0"/>
        <w:topLinePunct/>
        <w:adjustRightInd w:val="0"/>
        <w:snapToGrid w:val="0"/>
        <w:spacing w:before="0" w:line="360" w:lineRule="auto"/>
        <w:ind w:leftChars="0" w:firstLine="602" w:firstLineChars="250"/>
        <w:jc w:val="both"/>
        <w:textAlignment w:val="auto"/>
        <w:rPr>
          <w:rFonts w:hint="eastAsia" w:ascii="宋体" w:hAnsi="宋体" w:eastAsia="宋体" w:cs="Times New Roman"/>
          <w:b/>
          <w:color w:val="000000"/>
          <w:kern w:val="2"/>
          <w:sz w:val="24"/>
          <w:szCs w:val="20"/>
          <w:lang w:val="en-US" w:eastAsia="zh-CN" w:bidi="ar-SA"/>
        </w:rPr>
      </w:pPr>
      <w:r>
        <w:rPr>
          <w:rFonts w:hint="eastAsia" w:ascii="宋体" w:hAnsi="宋体" w:eastAsia="宋体" w:cs="Times New Roman"/>
          <w:b/>
          <w:color w:val="000000"/>
          <w:kern w:val="2"/>
          <w:sz w:val="24"/>
          <w:szCs w:val="20"/>
          <w:lang w:val="en-US" w:eastAsia="zh-CN" w:bidi="ar-SA"/>
        </w:rPr>
        <w:t>33.2.2、技术、资信分（</w:t>
      </w:r>
      <w:r>
        <w:rPr>
          <w:rFonts w:hint="eastAsia" w:ascii="宋体" w:hAnsi="宋体" w:cs="Times New Roman"/>
          <w:b/>
          <w:color w:val="000000"/>
          <w:kern w:val="2"/>
          <w:sz w:val="24"/>
          <w:szCs w:val="20"/>
          <w:lang w:val="en-US" w:eastAsia="zh-CN" w:bidi="ar-SA"/>
        </w:rPr>
        <w:t>8</w:t>
      </w:r>
      <w:r>
        <w:rPr>
          <w:rFonts w:hint="eastAsia" w:ascii="宋体" w:hAnsi="宋体" w:eastAsia="宋体" w:cs="Times New Roman"/>
          <w:b/>
          <w:color w:val="000000"/>
          <w:kern w:val="2"/>
          <w:sz w:val="24"/>
          <w:szCs w:val="20"/>
          <w:lang w:val="en-US" w:eastAsia="zh-CN" w:bidi="ar-SA"/>
        </w:rPr>
        <w:t>0分）</w:t>
      </w:r>
    </w:p>
    <w:p>
      <w:pPr>
        <w:widowControl w:val="0"/>
        <w:wordWrap w:val="0"/>
        <w:topLinePunct/>
        <w:adjustRightInd w:val="0"/>
        <w:snapToGrid w:val="0"/>
        <w:spacing w:before="0" w:line="360" w:lineRule="auto"/>
        <w:ind w:leftChars="0" w:firstLine="602" w:firstLineChars="250"/>
        <w:jc w:val="both"/>
        <w:textAlignment w:val="auto"/>
        <w:rPr>
          <w:rFonts w:hint="default" w:ascii="宋体" w:hAnsi="宋体" w:eastAsia="宋体" w:cs="Times New Roman"/>
          <w:b/>
          <w:color w:val="000000"/>
          <w:kern w:val="2"/>
          <w:sz w:val="24"/>
          <w:szCs w:val="20"/>
          <w:lang w:val="en-US" w:eastAsia="zh-CN" w:bidi="ar-SA"/>
        </w:rPr>
      </w:pPr>
      <w:r>
        <w:rPr>
          <w:rFonts w:hint="eastAsia" w:ascii="宋体" w:hAnsi="宋体" w:cs="Times New Roman"/>
          <w:b/>
          <w:color w:val="000000"/>
          <w:kern w:val="2"/>
          <w:sz w:val="24"/>
          <w:szCs w:val="20"/>
          <w:lang w:val="en-US" w:eastAsia="zh-CN" w:bidi="ar-SA"/>
        </w:rPr>
        <w:t>33.2.2.1、技术分（65分）</w:t>
      </w:r>
    </w:p>
    <w:tbl>
      <w:tblPr>
        <w:tblStyle w:val="15"/>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37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Align w:val="center"/>
          </w:tcPr>
          <w:p>
            <w:pPr>
              <w:widowControl w:val="0"/>
              <w:wordWrap w:val="0"/>
              <w:topLinePunct/>
              <w:adjustRightInd w:val="0"/>
              <w:snapToGrid w:val="0"/>
              <w:spacing w:line="360" w:lineRule="auto"/>
              <w:jc w:val="center"/>
              <w:textAlignment w:val="auto"/>
              <w:rPr>
                <w:rFonts w:ascii="宋体" w:hAnsi="宋体" w:cs="宋体"/>
                <w:color w:val="000000"/>
                <w:sz w:val="24"/>
              </w:rPr>
            </w:pPr>
            <w:r>
              <w:rPr>
                <w:rFonts w:hint="eastAsia" w:ascii="宋体" w:hAnsi="宋体" w:cs="宋体"/>
                <w:color w:val="000000"/>
                <w:sz w:val="24"/>
              </w:rPr>
              <w:t>序号</w:t>
            </w:r>
          </w:p>
        </w:tc>
        <w:tc>
          <w:tcPr>
            <w:tcW w:w="7370" w:type="dxa"/>
            <w:vAlign w:val="center"/>
          </w:tcPr>
          <w:p>
            <w:pPr>
              <w:widowControl w:val="0"/>
              <w:wordWrap w:val="0"/>
              <w:topLinePunct/>
              <w:adjustRightInd w:val="0"/>
              <w:snapToGrid w:val="0"/>
              <w:spacing w:line="360" w:lineRule="auto"/>
              <w:jc w:val="center"/>
              <w:textAlignment w:val="auto"/>
              <w:rPr>
                <w:rFonts w:ascii="宋体" w:hAnsi="宋体" w:cs="宋体"/>
                <w:color w:val="000000"/>
                <w:sz w:val="24"/>
              </w:rPr>
            </w:pPr>
            <w:r>
              <w:rPr>
                <w:rFonts w:hint="eastAsia" w:ascii="宋体" w:hAnsi="宋体" w:cs="宋体"/>
                <w:color w:val="000000"/>
                <w:sz w:val="24"/>
              </w:rPr>
              <w:t>评分标准</w:t>
            </w:r>
          </w:p>
        </w:tc>
        <w:tc>
          <w:tcPr>
            <w:tcW w:w="850" w:type="dxa"/>
            <w:vAlign w:val="center"/>
          </w:tcPr>
          <w:p>
            <w:pPr>
              <w:widowControl w:val="0"/>
              <w:wordWrap w:val="0"/>
              <w:topLinePunct/>
              <w:adjustRightInd w:val="0"/>
              <w:snapToGrid w:val="0"/>
              <w:spacing w:line="360" w:lineRule="auto"/>
              <w:jc w:val="center"/>
              <w:textAlignment w:val="auto"/>
              <w:rPr>
                <w:rFonts w:ascii="宋体" w:hAnsi="宋体" w:cs="宋体"/>
                <w:color w:val="000000"/>
                <w:sz w:val="24"/>
              </w:rPr>
            </w:pPr>
            <w:r>
              <w:rPr>
                <w:rFonts w:hint="eastAsia" w:ascii="宋体" w:hAnsi="宋体" w:cs="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Align w:val="center"/>
          </w:tcPr>
          <w:p>
            <w:pPr>
              <w:widowControl w:val="0"/>
              <w:wordWrap w:val="0"/>
              <w:topLinePunct/>
              <w:adjustRightInd w:val="0"/>
              <w:snapToGrid w:val="0"/>
              <w:spacing w:line="360" w:lineRule="auto"/>
              <w:jc w:val="center"/>
              <w:textAlignment w:val="auto"/>
              <w:rPr>
                <w:rFonts w:ascii="宋体" w:hAnsi="宋体" w:cs="宋体"/>
                <w:sz w:val="24"/>
              </w:rPr>
            </w:pPr>
            <w:r>
              <w:rPr>
                <w:rFonts w:hint="eastAsia" w:ascii="宋体" w:hAnsi="宋体" w:cs="宋体"/>
                <w:sz w:val="24"/>
              </w:rPr>
              <w:t>1</w:t>
            </w:r>
          </w:p>
        </w:tc>
        <w:tc>
          <w:tcPr>
            <w:tcW w:w="7370" w:type="dxa"/>
            <w:vAlign w:val="center"/>
          </w:tcPr>
          <w:p>
            <w:pPr>
              <w:widowControl w:val="0"/>
              <w:tabs>
                <w:tab w:val="left" w:pos="432"/>
              </w:tabs>
              <w:wordWrap w:val="0"/>
              <w:topLinePunct/>
              <w:adjustRightInd w:val="0"/>
              <w:snapToGrid w:val="0"/>
              <w:spacing w:line="360" w:lineRule="auto"/>
              <w:textAlignment w:val="auto"/>
              <w:rPr>
                <w:rFonts w:ascii="宋体" w:hAnsi="宋体" w:cs="宋体"/>
                <w:kern w:val="44"/>
                <w:sz w:val="24"/>
              </w:rPr>
            </w:pPr>
            <w:r>
              <w:rPr>
                <w:rFonts w:hint="eastAsia" w:ascii="宋体" w:hAnsi="宋体" w:cs="宋体"/>
                <w:sz w:val="24"/>
              </w:rPr>
              <w:t>项目理解：</w:t>
            </w:r>
            <w:r>
              <w:rPr>
                <w:rFonts w:hint="eastAsia" w:ascii="宋体" w:hAnsi="宋体" w:cs="宋体"/>
                <w:kern w:val="44"/>
                <w:sz w:val="24"/>
              </w:rPr>
              <w:t>根据</w:t>
            </w:r>
            <w:r>
              <w:rPr>
                <w:rFonts w:hint="eastAsia" w:ascii="宋体" w:hAnsi="宋体" w:cs="宋体"/>
                <w:color w:val="000000"/>
                <w:kern w:val="44"/>
                <w:sz w:val="24"/>
              </w:rPr>
              <w:t>投标人对本项目背景和现状分析、相关标准及规范运用、需求分析</w:t>
            </w:r>
            <w:r>
              <w:rPr>
                <w:rFonts w:hint="eastAsia" w:ascii="宋体" w:hAnsi="宋体" w:cs="宋体"/>
                <w:kern w:val="44"/>
                <w:sz w:val="24"/>
              </w:rPr>
              <w:t>以及</w:t>
            </w:r>
            <w:r>
              <w:rPr>
                <w:rFonts w:hint="eastAsia" w:ascii="宋体" w:hAnsi="宋体" w:cs="宋体"/>
                <w:color w:val="000000"/>
                <w:kern w:val="44"/>
                <w:sz w:val="24"/>
              </w:rPr>
              <w:t>对网络信息现状理解，服务内容分析完整等进行综合评分，内容分析完整合理的得5分，内容分析较完整合理的得3分，内容分析一般的得1分，不满足</w:t>
            </w:r>
            <w:r>
              <w:rPr>
                <w:rFonts w:hint="eastAsia" w:ascii="宋体" w:hAnsi="宋体" w:cs="宋体"/>
                <w:color w:val="000000"/>
                <w:kern w:val="44"/>
                <w:sz w:val="24"/>
                <w:lang w:eastAsia="zh-CN"/>
              </w:rPr>
              <w:t>招标</w:t>
            </w:r>
            <w:r>
              <w:rPr>
                <w:rFonts w:hint="eastAsia" w:ascii="宋体" w:hAnsi="宋体" w:cs="宋体"/>
                <w:color w:val="000000"/>
                <w:kern w:val="44"/>
                <w:sz w:val="24"/>
              </w:rPr>
              <w:t>需求或</w:t>
            </w:r>
            <w:r>
              <w:rPr>
                <w:rFonts w:hint="eastAsia" w:ascii="宋体" w:hAnsi="宋体" w:cs="宋体"/>
                <w:color w:val="000000"/>
                <w:kern w:val="44"/>
                <w:sz w:val="24"/>
                <w:lang w:val="en-US" w:eastAsia="zh-CN"/>
              </w:rPr>
              <w:t>没有提供的</w:t>
            </w:r>
            <w:r>
              <w:rPr>
                <w:rFonts w:hint="eastAsia" w:ascii="宋体" w:hAnsi="宋体" w:cs="宋体"/>
                <w:color w:val="000000"/>
                <w:kern w:val="44"/>
                <w:sz w:val="24"/>
              </w:rPr>
              <w:t>不得分。</w:t>
            </w:r>
          </w:p>
        </w:tc>
        <w:tc>
          <w:tcPr>
            <w:tcW w:w="850" w:type="dxa"/>
            <w:vAlign w:val="center"/>
          </w:tcPr>
          <w:p>
            <w:pPr>
              <w:widowControl w:val="0"/>
              <w:wordWrap w:val="0"/>
              <w:topLinePunct/>
              <w:adjustRightInd w:val="0"/>
              <w:snapToGrid w:val="0"/>
              <w:spacing w:line="360" w:lineRule="auto"/>
              <w:jc w:val="center"/>
              <w:textAlignment w:val="auto"/>
              <w:rPr>
                <w:rFonts w:hint="eastAsia" w:ascii="宋体" w:hAnsi="宋体" w:cs="宋体"/>
                <w:color w:val="000000"/>
                <w:sz w:val="24"/>
              </w:rPr>
            </w:pPr>
            <w:r>
              <w:rPr>
                <w:rFonts w:hint="eastAsia" w:ascii="宋体" w:hAnsi="宋体" w:cs="宋体"/>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Align w:val="center"/>
          </w:tcPr>
          <w:p>
            <w:pPr>
              <w:widowControl w:val="0"/>
              <w:wordWrap w:val="0"/>
              <w:topLinePunct/>
              <w:adjustRightInd w:val="0"/>
              <w:snapToGrid w:val="0"/>
              <w:spacing w:line="360" w:lineRule="auto"/>
              <w:jc w:val="center"/>
              <w:textAlignment w:val="auto"/>
              <w:rPr>
                <w:rFonts w:ascii="宋体" w:hAnsi="宋体" w:cs="宋体"/>
                <w:sz w:val="24"/>
              </w:rPr>
            </w:pPr>
            <w:r>
              <w:rPr>
                <w:rFonts w:hint="eastAsia" w:ascii="宋体" w:hAnsi="宋体" w:cs="宋体"/>
                <w:sz w:val="24"/>
              </w:rPr>
              <w:t>2</w:t>
            </w:r>
          </w:p>
        </w:tc>
        <w:tc>
          <w:tcPr>
            <w:tcW w:w="7370" w:type="dxa"/>
            <w:vAlign w:val="center"/>
          </w:tcPr>
          <w:p>
            <w:pPr>
              <w:widowControl w:val="0"/>
              <w:tabs>
                <w:tab w:val="left" w:pos="432"/>
              </w:tabs>
              <w:wordWrap w:val="0"/>
              <w:topLinePunct/>
              <w:adjustRightInd w:val="0"/>
              <w:snapToGrid w:val="0"/>
              <w:spacing w:line="360" w:lineRule="auto"/>
              <w:textAlignment w:val="auto"/>
              <w:rPr>
                <w:rFonts w:ascii="宋体" w:hAnsi="宋体" w:cs="宋体"/>
                <w:kern w:val="44"/>
                <w:sz w:val="24"/>
              </w:rPr>
            </w:pPr>
            <w:r>
              <w:rPr>
                <w:rFonts w:hint="eastAsia" w:ascii="宋体" w:hAnsi="宋体" w:cs="宋体"/>
                <w:sz w:val="24"/>
                <w:lang w:val="zh-TW"/>
              </w:rPr>
              <w:t>安全保障</w:t>
            </w:r>
            <w:r>
              <w:rPr>
                <w:rFonts w:hint="eastAsia" w:ascii="宋体" w:hAnsi="宋体" w:cs="宋体"/>
                <w:sz w:val="24"/>
              </w:rPr>
              <w:t>服务方案：</w:t>
            </w:r>
          </w:p>
          <w:p>
            <w:pPr>
              <w:widowControl w:val="0"/>
              <w:tabs>
                <w:tab w:val="left" w:pos="432"/>
              </w:tabs>
              <w:wordWrap w:val="0"/>
              <w:topLinePunct/>
              <w:adjustRightInd w:val="0"/>
              <w:snapToGrid w:val="0"/>
              <w:spacing w:line="360" w:lineRule="auto"/>
              <w:textAlignment w:val="auto"/>
              <w:rPr>
                <w:rFonts w:ascii="宋体" w:hAnsi="宋体" w:cs="宋体"/>
                <w:kern w:val="44"/>
                <w:sz w:val="24"/>
              </w:rPr>
            </w:pPr>
            <w:r>
              <w:rPr>
                <w:rFonts w:hint="eastAsia" w:ascii="宋体" w:hAnsi="宋体" w:cs="宋体"/>
                <w:kern w:val="44"/>
                <w:sz w:val="24"/>
              </w:rPr>
              <w:t>1）资产梳理服务：投标人能够发现内外网资产存活/更新状态、关联域名、操作系统、端口、服务、中间件、地理位置、漏洞信息、WAF、CDN、指纹、来源、扫描时间等信息。提供详细方案、思路等。方案满足</w:t>
            </w:r>
            <w:r>
              <w:rPr>
                <w:rFonts w:hint="eastAsia" w:ascii="宋体" w:hAnsi="宋体" w:cs="宋体"/>
                <w:kern w:val="44"/>
                <w:sz w:val="24"/>
                <w:lang w:eastAsia="zh-CN"/>
              </w:rPr>
              <w:t>招标</w:t>
            </w:r>
            <w:r>
              <w:rPr>
                <w:rFonts w:hint="eastAsia" w:ascii="宋体" w:hAnsi="宋体" w:cs="宋体"/>
                <w:kern w:val="44"/>
                <w:sz w:val="24"/>
              </w:rPr>
              <w:t>需求，详细合理可行性高的得5分，方案满足</w:t>
            </w:r>
            <w:r>
              <w:rPr>
                <w:rFonts w:hint="eastAsia" w:ascii="宋体" w:hAnsi="宋体" w:cs="宋体"/>
                <w:kern w:val="44"/>
                <w:sz w:val="24"/>
                <w:lang w:eastAsia="zh-CN"/>
              </w:rPr>
              <w:t>招标</w:t>
            </w:r>
            <w:r>
              <w:rPr>
                <w:rFonts w:hint="eastAsia" w:ascii="宋体" w:hAnsi="宋体" w:cs="宋体"/>
                <w:kern w:val="44"/>
                <w:sz w:val="24"/>
              </w:rPr>
              <w:t>需求，较详细较合理可行性高的得3分，方案满足</w:t>
            </w:r>
            <w:r>
              <w:rPr>
                <w:rFonts w:hint="eastAsia" w:ascii="宋体" w:hAnsi="宋体" w:cs="宋体"/>
                <w:kern w:val="44"/>
                <w:sz w:val="24"/>
                <w:lang w:eastAsia="zh-CN"/>
              </w:rPr>
              <w:t>招标</w:t>
            </w:r>
            <w:r>
              <w:rPr>
                <w:rFonts w:hint="eastAsia" w:ascii="宋体" w:hAnsi="宋体" w:cs="宋体"/>
                <w:kern w:val="44"/>
                <w:sz w:val="24"/>
              </w:rPr>
              <w:t>需求，不合理可行性差的得1分，不满足招标需求或没有提供的不得分。</w:t>
            </w:r>
          </w:p>
          <w:p>
            <w:pPr>
              <w:widowControl w:val="0"/>
              <w:tabs>
                <w:tab w:val="left" w:pos="432"/>
              </w:tabs>
              <w:wordWrap w:val="0"/>
              <w:topLinePunct/>
              <w:adjustRightInd w:val="0"/>
              <w:snapToGrid w:val="0"/>
              <w:spacing w:line="360" w:lineRule="auto"/>
              <w:textAlignment w:val="auto"/>
              <w:rPr>
                <w:rFonts w:hint="eastAsia" w:ascii="宋体" w:hAnsi="宋体" w:cs="宋体"/>
                <w:kern w:val="44"/>
                <w:sz w:val="24"/>
              </w:rPr>
            </w:pPr>
            <w:r>
              <w:rPr>
                <w:rFonts w:hint="eastAsia" w:ascii="宋体" w:hAnsi="宋体" w:cs="宋体"/>
                <w:kern w:val="44"/>
                <w:sz w:val="24"/>
              </w:rPr>
              <w:t>2）安全检测服务：投标人对本项目安全检测的检查内容、检查形式、检查报告模板等进行阐述，提供详细方案、思路。方案满足</w:t>
            </w:r>
            <w:r>
              <w:rPr>
                <w:rFonts w:hint="eastAsia" w:ascii="宋体" w:hAnsi="宋体" w:cs="宋体"/>
                <w:kern w:val="44"/>
                <w:sz w:val="24"/>
                <w:lang w:eastAsia="zh-CN"/>
              </w:rPr>
              <w:t>招标</w:t>
            </w:r>
            <w:r>
              <w:rPr>
                <w:rFonts w:hint="eastAsia" w:ascii="宋体" w:hAnsi="宋体" w:cs="宋体"/>
                <w:kern w:val="44"/>
                <w:sz w:val="24"/>
              </w:rPr>
              <w:t>需求，详细合理可行性高的得5分，方案满足</w:t>
            </w:r>
            <w:r>
              <w:rPr>
                <w:rFonts w:hint="eastAsia" w:ascii="宋体" w:hAnsi="宋体" w:cs="宋体"/>
                <w:kern w:val="44"/>
                <w:sz w:val="24"/>
                <w:lang w:eastAsia="zh-CN"/>
              </w:rPr>
              <w:t>招标</w:t>
            </w:r>
            <w:r>
              <w:rPr>
                <w:rFonts w:hint="eastAsia" w:ascii="宋体" w:hAnsi="宋体" w:cs="宋体"/>
                <w:kern w:val="44"/>
                <w:sz w:val="24"/>
              </w:rPr>
              <w:t>需求，较详细较合理可行性高的得3分，方案满足</w:t>
            </w:r>
            <w:r>
              <w:rPr>
                <w:rFonts w:hint="eastAsia" w:ascii="宋体" w:hAnsi="宋体" w:cs="宋体"/>
                <w:kern w:val="44"/>
                <w:sz w:val="24"/>
                <w:lang w:eastAsia="zh-CN"/>
              </w:rPr>
              <w:t>招标</w:t>
            </w:r>
            <w:r>
              <w:rPr>
                <w:rFonts w:hint="eastAsia" w:ascii="宋体" w:hAnsi="宋体" w:cs="宋体"/>
                <w:kern w:val="44"/>
                <w:sz w:val="24"/>
              </w:rPr>
              <w:t>需求，不合理可行性差的得1分，不满足招标需求或没有提供的不得分。</w:t>
            </w:r>
          </w:p>
          <w:p>
            <w:pPr>
              <w:widowControl w:val="0"/>
              <w:tabs>
                <w:tab w:val="left" w:pos="432"/>
              </w:tabs>
              <w:wordWrap w:val="0"/>
              <w:topLinePunct/>
              <w:adjustRightInd w:val="0"/>
              <w:snapToGrid w:val="0"/>
              <w:spacing w:line="360" w:lineRule="auto"/>
              <w:textAlignment w:val="auto"/>
              <w:rPr>
                <w:rFonts w:hint="eastAsia" w:ascii="宋体" w:hAnsi="宋体" w:cs="宋体"/>
                <w:sz w:val="24"/>
              </w:rPr>
            </w:pPr>
            <w:r>
              <w:rPr>
                <w:rFonts w:hint="eastAsia" w:ascii="宋体" w:hAnsi="宋体" w:cs="宋体"/>
                <w:kern w:val="44"/>
                <w:sz w:val="24"/>
                <w:lang w:val="en-US" w:eastAsia="zh-CN"/>
              </w:rPr>
              <w:t>3</w:t>
            </w:r>
            <w:r>
              <w:rPr>
                <w:rFonts w:hint="eastAsia" w:ascii="宋体" w:hAnsi="宋体" w:cs="宋体"/>
                <w:kern w:val="44"/>
                <w:sz w:val="24"/>
              </w:rPr>
              <w:t>）</w:t>
            </w:r>
            <w:r>
              <w:rPr>
                <w:rFonts w:hint="eastAsia" w:ascii="宋体" w:hAnsi="宋体" w:cs="宋体"/>
                <w:kern w:val="44"/>
                <w:sz w:val="24"/>
                <w:lang w:val="en-US" w:eastAsia="zh-CN"/>
              </w:rPr>
              <w:t>应急响应方案：</w:t>
            </w:r>
            <w:r>
              <w:rPr>
                <w:rFonts w:hint="eastAsia" w:ascii="宋体" w:hAnsi="宋体" w:cs="宋体"/>
                <w:kern w:val="44"/>
                <w:sz w:val="24"/>
              </w:rPr>
              <w:t>依据</w:t>
            </w:r>
            <w:r>
              <w:rPr>
                <w:rFonts w:hint="eastAsia" w:ascii="宋体" w:hAnsi="宋体" w:cs="宋体"/>
                <w:kern w:val="44"/>
                <w:sz w:val="24"/>
                <w:lang w:eastAsia="zh-CN"/>
              </w:rPr>
              <w:t>招标人</w:t>
            </w:r>
            <w:r>
              <w:rPr>
                <w:rFonts w:hint="eastAsia" w:ascii="宋体" w:hAnsi="宋体" w:cs="宋体"/>
                <w:kern w:val="44"/>
                <w:sz w:val="24"/>
              </w:rPr>
              <w:t>的应急响应预案，制定相关的应急演练方案模拟开展演练活动方案，方案合理、全面。提供详细方案、思路。方案满足</w:t>
            </w:r>
            <w:r>
              <w:rPr>
                <w:rFonts w:hint="eastAsia" w:ascii="宋体" w:hAnsi="宋体" w:cs="宋体"/>
                <w:kern w:val="44"/>
                <w:sz w:val="24"/>
                <w:lang w:eastAsia="zh-CN"/>
              </w:rPr>
              <w:t>招标</w:t>
            </w:r>
            <w:r>
              <w:rPr>
                <w:rFonts w:hint="eastAsia" w:ascii="宋体" w:hAnsi="宋体" w:cs="宋体"/>
                <w:kern w:val="44"/>
                <w:sz w:val="24"/>
              </w:rPr>
              <w:t>需求，详细合理可行性高的得5分，方案满足</w:t>
            </w:r>
            <w:r>
              <w:rPr>
                <w:rFonts w:hint="eastAsia" w:ascii="宋体" w:hAnsi="宋体" w:cs="宋体"/>
                <w:kern w:val="44"/>
                <w:sz w:val="24"/>
                <w:lang w:eastAsia="zh-CN"/>
              </w:rPr>
              <w:t>招标</w:t>
            </w:r>
            <w:r>
              <w:rPr>
                <w:rFonts w:hint="eastAsia" w:ascii="宋体" w:hAnsi="宋体" w:cs="宋体"/>
                <w:kern w:val="44"/>
                <w:sz w:val="24"/>
              </w:rPr>
              <w:t>需求，较详细较合理可行性高的得3分，方案满足</w:t>
            </w:r>
            <w:r>
              <w:rPr>
                <w:rFonts w:hint="eastAsia" w:ascii="宋体" w:hAnsi="宋体" w:cs="宋体"/>
                <w:kern w:val="44"/>
                <w:sz w:val="24"/>
                <w:lang w:eastAsia="zh-CN"/>
              </w:rPr>
              <w:t>招标</w:t>
            </w:r>
            <w:r>
              <w:rPr>
                <w:rFonts w:hint="eastAsia" w:ascii="宋体" w:hAnsi="宋体" w:cs="宋体"/>
                <w:kern w:val="44"/>
                <w:sz w:val="24"/>
              </w:rPr>
              <w:t>需求，不合理可行性差的得1分，不满足招标需求或没有提供的不得分。</w:t>
            </w:r>
          </w:p>
          <w:p>
            <w:pPr>
              <w:widowControl w:val="0"/>
              <w:tabs>
                <w:tab w:val="left" w:pos="432"/>
              </w:tabs>
              <w:wordWrap w:val="0"/>
              <w:topLinePunct/>
              <w:adjustRightInd w:val="0"/>
              <w:snapToGrid w:val="0"/>
              <w:spacing w:line="360" w:lineRule="auto"/>
              <w:textAlignment w:val="auto"/>
              <w:rPr>
                <w:rFonts w:hint="default" w:ascii="宋体" w:hAnsi="宋体" w:eastAsia="宋体" w:cs="宋体"/>
                <w:sz w:val="24"/>
                <w:lang w:val="en-US" w:eastAsia="zh-CN"/>
              </w:rPr>
            </w:pPr>
            <w:r>
              <w:rPr>
                <w:rFonts w:hint="eastAsia" w:ascii="宋体" w:hAnsi="宋体" w:cs="宋体"/>
                <w:kern w:val="44"/>
                <w:sz w:val="24"/>
              </w:rPr>
              <w:t>4）</w:t>
            </w:r>
            <w:r>
              <w:rPr>
                <w:rFonts w:hint="eastAsia" w:ascii="宋体" w:hAnsi="宋体" w:cs="宋体"/>
                <w:kern w:val="44"/>
                <w:sz w:val="24"/>
                <w:lang w:val="en-US" w:eastAsia="zh-CN"/>
              </w:rPr>
              <w:t>漏洞扫描服务：投标人能够发现CMS应用漏洞、运维安全漏洞、弱口令、Web漏洞、基线监控、合规漏洞，能够针对GitHub、Gitee、CSDN代码泄露监测。提供详细方案、思路。方案满足招标需求，详细合理可行性高的得5分，方案满足招标需求，较详细较合理可行性高的得3分，方案满足招标需求，不合理可行性差的得1分，不满足招标需求或没有提供的不得分。</w:t>
            </w:r>
          </w:p>
          <w:p>
            <w:pPr>
              <w:widowControl w:val="0"/>
              <w:tabs>
                <w:tab w:val="left" w:pos="432"/>
              </w:tabs>
              <w:wordWrap w:val="0"/>
              <w:topLinePunct/>
              <w:adjustRightInd w:val="0"/>
              <w:snapToGrid w:val="0"/>
              <w:spacing w:line="360" w:lineRule="auto"/>
              <w:textAlignment w:val="auto"/>
              <w:rPr>
                <w:rFonts w:ascii="宋体" w:hAnsi="宋体" w:cs="宋体"/>
                <w:sz w:val="24"/>
              </w:rPr>
            </w:pPr>
            <w:r>
              <w:rPr>
                <w:rFonts w:hint="eastAsia" w:ascii="宋体" w:hAnsi="宋体" w:cs="宋体"/>
                <w:kern w:val="44"/>
                <w:sz w:val="24"/>
              </w:rPr>
              <w:t>5）渗透测试服务：投标人对本项目渗透测试的形式、手段、安全保障措施、测试报告模板等进行阐述，提供详细方案、思路。方案满足</w:t>
            </w:r>
            <w:r>
              <w:rPr>
                <w:rFonts w:hint="eastAsia" w:ascii="宋体" w:hAnsi="宋体" w:cs="宋体"/>
                <w:kern w:val="44"/>
                <w:sz w:val="24"/>
                <w:lang w:eastAsia="zh-CN"/>
              </w:rPr>
              <w:t>招标</w:t>
            </w:r>
            <w:r>
              <w:rPr>
                <w:rFonts w:hint="eastAsia" w:ascii="宋体" w:hAnsi="宋体" w:cs="宋体"/>
                <w:kern w:val="44"/>
                <w:sz w:val="24"/>
              </w:rPr>
              <w:t>需求，详细合理可行性高的得5分，方案满足</w:t>
            </w:r>
            <w:r>
              <w:rPr>
                <w:rFonts w:hint="eastAsia" w:ascii="宋体" w:hAnsi="宋体" w:cs="宋体"/>
                <w:kern w:val="44"/>
                <w:sz w:val="24"/>
                <w:lang w:eastAsia="zh-CN"/>
              </w:rPr>
              <w:t>招标</w:t>
            </w:r>
            <w:r>
              <w:rPr>
                <w:rFonts w:hint="eastAsia" w:ascii="宋体" w:hAnsi="宋体" w:cs="宋体"/>
                <w:kern w:val="44"/>
                <w:sz w:val="24"/>
              </w:rPr>
              <w:t>需求，较详细较合理可行性高的得3分，方案满足</w:t>
            </w:r>
            <w:r>
              <w:rPr>
                <w:rFonts w:hint="eastAsia" w:ascii="宋体" w:hAnsi="宋体" w:cs="宋体"/>
                <w:kern w:val="44"/>
                <w:sz w:val="24"/>
                <w:lang w:eastAsia="zh-CN"/>
              </w:rPr>
              <w:t>招标</w:t>
            </w:r>
            <w:r>
              <w:rPr>
                <w:rFonts w:hint="eastAsia" w:ascii="宋体" w:hAnsi="宋体" w:cs="宋体"/>
                <w:kern w:val="44"/>
                <w:sz w:val="24"/>
              </w:rPr>
              <w:t>需求，不合理可行性差的得1分，不满足招标需求或没有提供的不得分。</w:t>
            </w:r>
          </w:p>
          <w:p>
            <w:pPr>
              <w:widowControl w:val="0"/>
              <w:tabs>
                <w:tab w:val="left" w:pos="432"/>
              </w:tabs>
              <w:wordWrap w:val="0"/>
              <w:topLinePunct/>
              <w:adjustRightInd w:val="0"/>
              <w:snapToGrid w:val="0"/>
              <w:spacing w:line="360" w:lineRule="auto"/>
              <w:textAlignment w:val="auto"/>
              <w:rPr>
                <w:rFonts w:hint="eastAsia" w:ascii="宋体" w:hAnsi="宋体" w:cs="宋体"/>
                <w:kern w:val="44"/>
                <w:sz w:val="24"/>
              </w:rPr>
            </w:pPr>
            <w:r>
              <w:rPr>
                <w:rFonts w:hint="eastAsia" w:ascii="宋体" w:hAnsi="宋体" w:cs="宋体"/>
                <w:kern w:val="44"/>
                <w:sz w:val="24"/>
              </w:rPr>
              <w:t>6）基线核查：投标人对本项目基线检查的检查内容、检查形式、检查报告模板等进行阐述，提供详细方案、思路。方案满足</w:t>
            </w:r>
            <w:r>
              <w:rPr>
                <w:rFonts w:hint="eastAsia" w:ascii="宋体" w:hAnsi="宋体" w:cs="宋体"/>
                <w:kern w:val="44"/>
                <w:sz w:val="24"/>
                <w:lang w:eastAsia="zh-CN"/>
              </w:rPr>
              <w:t>招标</w:t>
            </w:r>
            <w:r>
              <w:rPr>
                <w:rFonts w:hint="eastAsia" w:ascii="宋体" w:hAnsi="宋体" w:cs="宋体"/>
                <w:kern w:val="44"/>
                <w:sz w:val="24"/>
              </w:rPr>
              <w:t>需求，详细合理可行性高的得5分，方案满足</w:t>
            </w:r>
            <w:r>
              <w:rPr>
                <w:rFonts w:hint="eastAsia" w:ascii="宋体" w:hAnsi="宋体" w:cs="宋体"/>
                <w:kern w:val="44"/>
                <w:sz w:val="24"/>
                <w:lang w:eastAsia="zh-CN"/>
              </w:rPr>
              <w:t>招标</w:t>
            </w:r>
            <w:r>
              <w:rPr>
                <w:rFonts w:hint="eastAsia" w:ascii="宋体" w:hAnsi="宋体" w:cs="宋体"/>
                <w:kern w:val="44"/>
                <w:sz w:val="24"/>
              </w:rPr>
              <w:t>需求，较详细较合理可行性高的得3分，方案满足</w:t>
            </w:r>
            <w:r>
              <w:rPr>
                <w:rFonts w:hint="eastAsia" w:ascii="宋体" w:hAnsi="宋体" w:cs="宋体"/>
                <w:kern w:val="44"/>
                <w:sz w:val="24"/>
                <w:lang w:eastAsia="zh-CN"/>
              </w:rPr>
              <w:t>招标</w:t>
            </w:r>
            <w:r>
              <w:rPr>
                <w:rFonts w:hint="eastAsia" w:ascii="宋体" w:hAnsi="宋体" w:cs="宋体"/>
                <w:kern w:val="44"/>
                <w:sz w:val="24"/>
              </w:rPr>
              <w:t>需求，不合理可行性差的得1分，不满足招标需求或没有提供的不得分。</w:t>
            </w:r>
          </w:p>
          <w:p>
            <w:pPr>
              <w:widowControl w:val="0"/>
              <w:tabs>
                <w:tab w:val="left" w:pos="432"/>
              </w:tabs>
              <w:wordWrap w:val="0"/>
              <w:topLinePunct/>
              <w:adjustRightInd w:val="0"/>
              <w:snapToGrid w:val="0"/>
              <w:spacing w:line="360" w:lineRule="auto"/>
              <w:textAlignment w:val="auto"/>
              <w:rPr>
                <w:rFonts w:ascii="宋体" w:hAnsi="宋体" w:cs="宋体"/>
                <w:sz w:val="24"/>
              </w:rPr>
            </w:pPr>
            <w:r>
              <w:rPr>
                <w:rFonts w:hint="eastAsia" w:ascii="宋体" w:hAnsi="宋体" w:cs="宋体"/>
                <w:kern w:val="44"/>
                <w:sz w:val="24"/>
              </w:rPr>
              <w:t>7）驻场服务：投标人在重点保障期间，除人员24小时驻场以外，还需部署必要攻击面收敛设备到</w:t>
            </w:r>
            <w:r>
              <w:rPr>
                <w:rFonts w:hint="eastAsia" w:ascii="宋体" w:hAnsi="宋体" w:cs="宋体"/>
                <w:kern w:val="44"/>
                <w:sz w:val="24"/>
                <w:lang w:eastAsia="zh-CN"/>
              </w:rPr>
              <w:t>招标人</w:t>
            </w:r>
            <w:r>
              <w:rPr>
                <w:rFonts w:hint="eastAsia" w:ascii="宋体" w:hAnsi="宋体" w:cs="宋体"/>
                <w:kern w:val="44"/>
                <w:sz w:val="24"/>
              </w:rPr>
              <w:t>现场，加强</w:t>
            </w:r>
            <w:r>
              <w:rPr>
                <w:rFonts w:hint="eastAsia" w:ascii="宋体" w:hAnsi="宋体" w:cs="宋体"/>
                <w:kern w:val="44"/>
                <w:sz w:val="24"/>
                <w:lang w:eastAsia="zh-CN"/>
              </w:rPr>
              <w:t>招标人</w:t>
            </w:r>
            <w:r>
              <w:rPr>
                <w:rFonts w:hint="eastAsia" w:ascii="宋体" w:hAnsi="宋体" w:cs="宋体"/>
                <w:kern w:val="44"/>
                <w:sz w:val="24"/>
              </w:rPr>
              <w:t>应用访问控制能力。提供详细方案、思路。方案满足</w:t>
            </w:r>
            <w:r>
              <w:rPr>
                <w:rFonts w:hint="eastAsia" w:ascii="宋体" w:hAnsi="宋体" w:cs="宋体"/>
                <w:kern w:val="44"/>
                <w:sz w:val="24"/>
                <w:lang w:eastAsia="zh-CN"/>
              </w:rPr>
              <w:t>招标</w:t>
            </w:r>
            <w:r>
              <w:rPr>
                <w:rFonts w:hint="eastAsia" w:ascii="宋体" w:hAnsi="宋体" w:cs="宋体"/>
                <w:kern w:val="44"/>
                <w:sz w:val="24"/>
              </w:rPr>
              <w:t>需求，详细合理可行性高的得5分，方案满足</w:t>
            </w:r>
            <w:r>
              <w:rPr>
                <w:rFonts w:hint="eastAsia" w:ascii="宋体" w:hAnsi="宋体" w:cs="宋体"/>
                <w:kern w:val="44"/>
                <w:sz w:val="24"/>
                <w:lang w:eastAsia="zh-CN"/>
              </w:rPr>
              <w:t>招标</w:t>
            </w:r>
            <w:r>
              <w:rPr>
                <w:rFonts w:hint="eastAsia" w:ascii="宋体" w:hAnsi="宋体" w:cs="宋体"/>
                <w:kern w:val="44"/>
                <w:sz w:val="24"/>
              </w:rPr>
              <w:t>需求，较详细较合理可行性高的得3分，方案满足</w:t>
            </w:r>
            <w:r>
              <w:rPr>
                <w:rFonts w:hint="eastAsia" w:ascii="宋体" w:hAnsi="宋体" w:cs="宋体"/>
                <w:kern w:val="44"/>
                <w:sz w:val="24"/>
                <w:lang w:eastAsia="zh-CN"/>
              </w:rPr>
              <w:t>招标</w:t>
            </w:r>
            <w:r>
              <w:rPr>
                <w:rFonts w:hint="eastAsia" w:ascii="宋体" w:hAnsi="宋体" w:cs="宋体"/>
                <w:kern w:val="44"/>
                <w:sz w:val="24"/>
              </w:rPr>
              <w:t>需求，不合理可行性差的得1分，不满足招标需求或没有提供的不得分。</w:t>
            </w:r>
          </w:p>
          <w:p>
            <w:pPr>
              <w:widowControl w:val="0"/>
              <w:tabs>
                <w:tab w:val="left" w:pos="432"/>
              </w:tabs>
              <w:wordWrap w:val="0"/>
              <w:topLinePunct/>
              <w:adjustRightInd w:val="0"/>
              <w:snapToGrid w:val="0"/>
              <w:spacing w:line="360" w:lineRule="auto"/>
              <w:textAlignment w:val="auto"/>
              <w:rPr>
                <w:rFonts w:hint="eastAsia" w:ascii="宋体" w:hAnsi="宋体" w:cs="宋体"/>
                <w:sz w:val="24"/>
              </w:rPr>
            </w:pPr>
            <w:r>
              <w:rPr>
                <w:rFonts w:hint="eastAsia" w:ascii="宋体" w:hAnsi="宋体" w:cs="宋体"/>
                <w:kern w:val="44"/>
                <w:sz w:val="24"/>
              </w:rPr>
              <w:t>8）安全培训：培训计划详细完善、培训目标明确，培训保障措施等内容合理、全面。提供详细方案、思路。方案满足</w:t>
            </w:r>
            <w:r>
              <w:rPr>
                <w:rFonts w:hint="eastAsia" w:ascii="宋体" w:hAnsi="宋体" w:cs="宋体"/>
                <w:kern w:val="44"/>
                <w:sz w:val="24"/>
                <w:lang w:eastAsia="zh-CN"/>
              </w:rPr>
              <w:t>招标</w:t>
            </w:r>
            <w:r>
              <w:rPr>
                <w:rFonts w:hint="eastAsia" w:ascii="宋体" w:hAnsi="宋体" w:cs="宋体"/>
                <w:kern w:val="44"/>
                <w:sz w:val="24"/>
              </w:rPr>
              <w:t>需求，详细合理可行性高的得5分，方案满足</w:t>
            </w:r>
            <w:r>
              <w:rPr>
                <w:rFonts w:hint="eastAsia" w:ascii="宋体" w:hAnsi="宋体" w:cs="宋体"/>
                <w:kern w:val="44"/>
                <w:sz w:val="24"/>
                <w:lang w:eastAsia="zh-CN"/>
              </w:rPr>
              <w:t>招标</w:t>
            </w:r>
            <w:r>
              <w:rPr>
                <w:rFonts w:hint="eastAsia" w:ascii="宋体" w:hAnsi="宋体" w:cs="宋体"/>
                <w:kern w:val="44"/>
                <w:sz w:val="24"/>
              </w:rPr>
              <w:t>需求，较详细较合理可行性高的得3分，方案满足</w:t>
            </w:r>
            <w:r>
              <w:rPr>
                <w:rFonts w:hint="eastAsia" w:ascii="宋体" w:hAnsi="宋体" w:cs="宋体"/>
                <w:kern w:val="44"/>
                <w:sz w:val="24"/>
                <w:lang w:eastAsia="zh-CN"/>
              </w:rPr>
              <w:t>招标</w:t>
            </w:r>
            <w:r>
              <w:rPr>
                <w:rFonts w:hint="eastAsia" w:ascii="宋体" w:hAnsi="宋体" w:cs="宋体"/>
                <w:kern w:val="44"/>
                <w:sz w:val="24"/>
              </w:rPr>
              <w:t>需求，不合理可行性差的得1分，不满足招标需求或没有提供的不得分。</w:t>
            </w:r>
          </w:p>
          <w:p>
            <w:pPr>
              <w:widowControl w:val="0"/>
              <w:tabs>
                <w:tab w:val="left" w:pos="432"/>
              </w:tabs>
              <w:wordWrap w:val="0"/>
              <w:topLinePunct/>
              <w:adjustRightInd w:val="0"/>
              <w:snapToGrid w:val="0"/>
              <w:spacing w:line="360" w:lineRule="auto"/>
              <w:textAlignment w:val="auto"/>
              <w:rPr>
                <w:rFonts w:hint="eastAsia" w:ascii="宋体" w:hAnsi="宋体" w:cs="宋体"/>
                <w:kern w:val="44"/>
                <w:sz w:val="24"/>
              </w:rPr>
            </w:pPr>
            <w:r>
              <w:rPr>
                <w:rFonts w:hint="eastAsia" w:ascii="宋体" w:hAnsi="宋体" w:cs="宋体"/>
                <w:kern w:val="44"/>
                <w:sz w:val="24"/>
              </w:rPr>
              <w:t>9）攻击面收敛服务：投标人在服务期内，能够针对各类网站的后台管理程序做攻击面收敛。提供详细方案、思路。方案满足</w:t>
            </w:r>
            <w:r>
              <w:rPr>
                <w:rFonts w:hint="eastAsia" w:ascii="宋体" w:hAnsi="宋体" w:cs="宋体"/>
                <w:kern w:val="44"/>
                <w:sz w:val="24"/>
                <w:lang w:eastAsia="zh-CN"/>
              </w:rPr>
              <w:t>招标</w:t>
            </w:r>
            <w:r>
              <w:rPr>
                <w:rFonts w:hint="eastAsia" w:ascii="宋体" w:hAnsi="宋体" w:cs="宋体"/>
                <w:kern w:val="44"/>
                <w:sz w:val="24"/>
              </w:rPr>
              <w:t>需求，详细合理可行性高的得5分，方案满足</w:t>
            </w:r>
            <w:r>
              <w:rPr>
                <w:rFonts w:hint="eastAsia" w:ascii="宋体" w:hAnsi="宋体" w:cs="宋体"/>
                <w:kern w:val="44"/>
                <w:sz w:val="24"/>
                <w:lang w:eastAsia="zh-CN"/>
              </w:rPr>
              <w:t>招标</w:t>
            </w:r>
            <w:r>
              <w:rPr>
                <w:rFonts w:hint="eastAsia" w:ascii="宋体" w:hAnsi="宋体" w:cs="宋体"/>
                <w:kern w:val="44"/>
                <w:sz w:val="24"/>
              </w:rPr>
              <w:t>需求，较详细较合理可行性高的得3分，方案满足</w:t>
            </w:r>
            <w:r>
              <w:rPr>
                <w:rFonts w:hint="eastAsia" w:ascii="宋体" w:hAnsi="宋体" w:cs="宋体"/>
                <w:kern w:val="44"/>
                <w:sz w:val="24"/>
                <w:lang w:eastAsia="zh-CN"/>
              </w:rPr>
              <w:t>招标</w:t>
            </w:r>
            <w:r>
              <w:rPr>
                <w:rFonts w:hint="eastAsia" w:ascii="宋体" w:hAnsi="宋体" w:cs="宋体"/>
                <w:kern w:val="44"/>
                <w:sz w:val="24"/>
              </w:rPr>
              <w:t>需求，不合理可行性差的得1分，不满足招标需求或没有提供的不得分。</w:t>
            </w:r>
          </w:p>
        </w:tc>
        <w:tc>
          <w:tcPr>
            <w:tcW w:w="850" w:type="dxa"/>
            <w:vAlign w:val="center"/>
          </w:tcPr>
          <w:p>
            <w:pPr>
              <w:widowControl w:val="0"/>
              <w:wordWrap w:val="0"/>
              <w:topLinePunct/>
              <w:adjustRightInd w:val="0"/>
              <w:snapToGrid w:val="0"/>
              <w:spacing w:line="360" w:lineRule="auto"/>
              <w:jc w:val="center"/>
              <w:textAlignment w:val="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Align w:val="center"/>
          </w:tcPr>
          <w:p>
            <w:pPr>
              <w:widowControl w:val="0"/>
              <w:wordWrap w:val="0"/>
              <w:topLinePunct/>
              <w:adjustRightInd w:val="0"/>
              <w:snapToGrid w:val="0"/>
              <w:spacing w:line="360" w:lineRule="auto"/>
              <w:jc w:val="center"/>
              <w:textAlignment w:val="auto"/>
              <w:rPr>
                <w:rFonts w:ascii="宋体" w:hAnsi="宋体" w:cs="宋体"/>
                <w:sz w:val="24"/>
              </w:rPr>
            </w:pPr>
            <w:r>
              <w:rPr>
                <w:rFonts w:hint="eastAsia" w:ascii="宋体" w:hAnsi="宋体" w:cs="宋体"/>
                <w:sz w:val="24"/>
              </w:rPr>
              <w:t>3</w:t>
            </w:r>
          </w:p>
        </w:tc>
        <w:tc>
          <w:tcPr>
            <w:tcW w:w="7370" w:type="dxa"/>
            <w:vAlign w:val="center"/>
          </w:tcPr>
          <w:p>
            <w:pPr>
              <w:widowControl w:val="0"/>
              <w:tabs>
                <w:tab w:val="left" w:pos="432"/>
              </w:tabs>
              <w:wordWrap w:val="0"/>
              <w:topLinePunct/>
              <w:adjustRightInd w:val="0"/>
              <w:snapToGrid w:val="0"/>
              <w:spacing w:line="360" w:lineRule="auto"/>
              <w:textAlignment w:val="auto"/>
              <w:rPr>
                <w:rFonts w:ascii="宋体" w:hAnsi="宋体" w:cs="宋体"/>
                <w:kern w:val="44"/>
                <w:sz w:val="24"/>
              </w:rPr>
            </w:pPr>
            <w:r>
              <w:rPr>
                <w:rFonts w:hint="eastAsia" w:ascii="宋体" w:hAnsi="宋体" w:cs="宋体"/>
                <w:sz w:val="24"/>
              </w:rPr>
              <w:t>组织实施方案：</w:t>
            </w:r>
            <w:r>
              <w:rPr>
                <w:rFonts w:hint="eastAsia" w:ascii="宋体" w:hAnsi="宋体" w:cs="宋体"/>
                <w:kern w:val="44"/>
                <w:sz w:val="24"/>
              </w:rPr>
              <w:t>投标人需提供组织实施方案，包括但不限于组织机构、工作时间进度表、工作程序和步骤、管理和协调方法、关键步骤的思路和要点，提供详细方案、思路方案满足</w:t>
            </w:r>
            <w:r>
              <w:rPr>
                <w:rFonts w:hint="eastAsia" w:ascii="宋体" w:hAnsi="宋体" w:cs="宋体"/>
                <w:kern w:val="44"/>
                <w:sz w:val="24"/>
                <w:lang w:eastAsia="zh-CN"/>
              </w:rPr>
              <w:t>招标</w:t>
            </w:r>
            <w:r>
              <w:rPr>
                <w:rFonts w:hint="eastAsia" w:ascii="宋体" w:hAnsi="宋体" w:cs="宋体"/>
                <w:kern w:val="44"/>
                <w:sz w:val="24"/>
              </w:rPr>
              <w:t>需求，详细合理可行性高的得5分，方案满足</w:t>
            </w:r>
            <w:r>
              <w:rPr>
                <w:rFonts w:hint="eastAsia" w:ascii="宋体" w:hAnsi="宋体" w:cs="宋体"/>
                <w:kern w:val="44"/>
                <w:sz w:val="24"/>
                <w:lang w:eastAsia="zh-CN"/>
              </w:rPr>
              <w:t>招标</w:t>
            </w:r>
            <w:r>
              <w:rPr>
                <w:rFonts w:hint="eastAsia" w:ascii="宋体" w:hAnsi="宋体" w:cs="宋体"/>
                <w:kern w:val="44"/>
                <w:sz w:val="24"/>
              </w:rPr>
              <w:t>需求，较详细较合理可行性高的得3分，方案满足</w:t>
            </w:r>
            <w:r>
              <w:rPr>
                <w:rFonts w:hint="eastAsia" w:ascii="宋体" w:hAnsi="宋体" w:cs="宋体"/>
                <w:kern w:val="44"/>
                <w:sz w:val="24"/>
                <w:lang w:eastAsia="zh-CN"/>
              </w:rPr>
              <w:t>招标</w:t>
            </w:r>
            <w:r>
              <w:rPr>
                <w:rFonts w:hint="eastAsia" w:ascii="宋体" w:hAnsi="宋体" w:cs="宋体"/>
                <w:kern w:val="44"/>
                <w:sz w:val="24"/>
              </w:rPr>
              <w:t>需求，不合理可行性差的得1分，不满足招标需求或没有提供的不得分。</w:t>
            </w:r>
          </w:p>
        </w:tc>
        <w:tc>
          <w:tcPr>
            <w:tcW w:w="850" w:type="dxa"/>
            <w:vAlign w:val="center"/>
          </w:tcPr>
          <w:p>
            <w:pPr>
              <w:widowControl w:val="0"/>
              <w:wordWrap w:val="0"/>
              <w:topLinePunct/>
              <w:adjustRightInd w:val="0"/>
              <w:snapToGrid w:val="0"/>
              <w:spacing w:line="360" w:lineRule="auto"/>
              <w:jc w:val="center"/>
              <w:textAlignment w:val="auto"/>
              <w:rPr>
                <w:rFonts w:hint="eastAsia" w:ascii="宋体" w:hAnsi="宋体" w:cs="宋体"/>
                <w:color w:val="000000"/>
                <w:sz w:val="24"/>
              </w:rPr>
            </w:pPr>
            <w:r>
              <w:rPr>
                <w:rFonts w:hint="eastAsia" w:ascii="宋体" w:hAnsi="宋体" w:cs="宋体"/>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Align w:val="center"/>
          </w:tcPr>
          <w:p>
            <w:pPr>
              <w:widowControl w:val="0"/>
              <w:wordWrap w:val="0"/>
              <w:topLinePunct/>
              <w:adjustRightInd w:val="0"/>
              <w:snapToGrid w:val="0"/>
              <w:spacing w:line="360" w:lineRule="auto"/>
              <w:jc w:val="center"/>
              <w:textAlignment w:val="auto"/>
              <w:rPr>
                <w:rFonts w:ascii="宋体" w:hAnsi="宋体" w:cs="宋体"/>
                <w:color w:val="000000"/>
                <w:sz w:val="24"/>
              </w:rPr>
            </w:pPr>
            <w:r>
              <w:rPr>
                <w:rFonts w:hint="eastAsia" w:ascii="宋体" w:hAnsi="宋体" w:cs="宋体"/>
                <w:color w:val="000000"/>
                <w:sz w:val="24"/>
              </w:rPr>
              <w:t>4</w:t>
            </w:r>
          </w:p>
        </w:tc>
        <w:tc>
          <w:tcPr>
            <w:tcW w:w="7370" w:type="dxa"/>
            <w:vAlign w:val="center"/>
          </w:tcPr>
          <w:p>
            <w:pPr>
              <w:widowControl w:val="0"/>
              <w:wordWrap w:val="0"/>
              <w:topLinePunct/>
              <w:adjustRightInd w:val="0"/>
              <w:snapToGrid w:val="0"/>
              <w:spacing w:line="360" w:lineRule="auto"/>
              <w:textAlignment w:val="auto"/>
              <w:rPr>
                <w:rFonts w:ascii="宋体" w:hAnsi="宋体" w:cs="宋体"/>
                <w:sz w:val="24"/>
              </w:rPr>
            </w:pPr>
            <w:r>
              <w:rPr>
                <w:rFonts w:hint="eastAsia" w:ascii="宋体" w:hAnsi="宋体" w:cs="宋体"/>
                <w:sz w:val="24"/>
              </w:rPr>
              <w:t>售后服务要求：</w:t>
            </w:r>
          </w:p>
          <w:p>
            <w:pPr>
              <w:widowControl w:val="0"/>
              <w:wordWrap w:val="0"/>
              <w:topLinePunct/>
              <w:adjustRightInd w:val="0"/>
              <w:snapToGrid w:val="0"/>
              <w:spacing w:line="360" w:lineRule="auto"/>
              <w:textAlignment w:val="auto"/>
              <w:rPr>
                <w:rFonts w:ascii="宋体" w:hAnsi="宋体" w:cs="宋体"/>
                <w:sz w:val="24"/>
              </w:rPr>
            </w:pPr>
            <w:r>
              <w:rPr>
                <w:rFonts w:hint="eastAsia" w:ascii="宋体" w:hAnsi="宋体" w:cs="宋体"/>
                <w:sz w:val="24"/>
              </w:rPr>
              <w:t>1）售后服务方案、售后服务承诺的可行性以及服务承诺落实的保障措施。提供详细方案、思路。</w:t>
            </w:r>
            <w:r>
              <w:rPr>
                <w:rFonts w:hint="eastAsia" w:ascii="宋体" w:hAnsi="宋体" w:cs="宋体"/>
                <w:kern w:val="44"/>
                <w:sz w:val="24"/>
              </w:rPr>
              <w:t>方案满足</w:t>
            </w:r>
            <w:r>
              <w:rPr>
                <w:rFonts w:hint="eastAsia" w:ascii="宋体" w:hAnsi="宋体" w:cs="宋体"/>
                <w:kern w:val="44"/>
                <w:sz w:val="24"/>
                <w:lang w:eastAsia="zh-CN"/>
              </w:rPr>
              <w:t>招标</w:t>
            </w:r>
            <w:r>
              <w:rPr>
                <w:rFonts w:hint="eastAsia" w:ascii="宋体" w:hAnsi="宋体" w:cs="宋体"/>
                <w:kern w:val="44"/>
                <w:sz w:val="24"/>
              </w:rPr>
              <w:t>需求，详细合理可行性高的得5分，方案满足</w:t>
            </w:r>
            <w:r>
              <w:rPr>
                <w:rFonts w:hint="eastAsia" w:ascii="宋体" w:hAnsi="宋体" w:cs="宋体"/>
                <w:kern w:val="44"/>
                <w:sz w:val="24"/>
                <w:lang w:eastAsia="zh-CN"/>
              </w:rPr>
              <w:t>招标</w:t>
            </w:r>
            <w:r>
              <w:rPr>
                <w:rFonts w:hint="eastAsia" w:ascii="宋体" w:hAnsi="宋体" w:cs="宋体"/>
                <w:kern w:val="44"/>
                <w:sz w:val="24"/>
              </w:rPr>
              <w:t>需求，详细合理可行性较高的得3分，方案满足</w:t>
            </w:r>
            <w:r>
              <w:rPr>
                <w:rFonts w:hint="eastAsia" w:ascii="宋体" w:hAnsi="宋体" w:cs="宋体"/>
                <w:kern w:val="44"/>
                <w:sz w:val="24"/>
                <w:lang w:eastAsia="zh-CN"/>
              </w:rPr>
              <w:t>招标</w:t>
            </w:r>
            <w:r>
              <w:rPr>
                <w:rFonts w:hint="eastAsia" w:ascii="宋体" w:hAnsi="宋体" w:cs="宋体"/>
                <w:kern w:val="44"/>
                <w:sz w:val="24"/>
              </w:rPr>
              <w:t>需求，不合理可行性差的得1分，不满足招标需求或没有提供的不得分。</w:t>
            </w:r>
          </w:p>
          <w:p>
            <w:pPr>
              <w:widowControl w:val="0"/>
              <w:wordWrap w:val="0"/>
              <w:topLinePunct/>
              <w:adjustRightInd w:val="0"/>
              <w:snapToGrid w:val="0"/>
              <w:spacing w:line="360" w:lineRule="auto"/>
              <w:textAlignment w:val="auto"/>
              <w:rPr>
                <w:rFonts w:ascii="宋体" w:hAnsi="宋体" w:cs="宋体"/>
                <w:color w:val="000000"/>
                <w:sz w:val="24"/>
              </w:rPr>
            </w:pPr>
            <w:r>
              <w:rPr>
                <w:rFonts w:hint="eastAsia" w:ascii="宋体" w:hAnsi="宋体" w:cs="宋体"/>
                <w:sz w:val="24"/>
              </w:rPr>
              <w:t>2）服务能力：投标人提供的售后维护机构和人员等情况，具有较强的服务能力，拥有常驻服务和技术支持机构以及较强的专业技术队伍，能提供快速的服务响应。响应快，常驻服务和技术支持好的得5分，响应较快，常驻服务和技术支持较好的得3分，响应一般，常驻服务和技术支持一般的得1分，不满足招标需求或没有提供的不得分。</w:t>
            </w:r>
          </w:p>
        </w:tc>
        <w:tc>
          <w:tcPr>
            <w:tcW w:w="850" w:type="dxa"/>
            <w:vAlign w:val="center"/>
          </w:tcPr>
          <w:p>
            <w:pPr>
              <w:widowControl w:val="0"/>
              <w:wordWrap w:val="0"/>
              <w:topLinePunct/>
              <w:adjustRightInd w:val="0"/>
              <w:snapToGrid w:val="0"/>
              <w:spacing w:line="360" w:lineRule="auto"/>
              <w:jc w:val="center"/>
              <w:textAlignment w:val="auto"/>
              <w:rPr>
                <w:rFonts w:ascii="宋体" w:hAnsi="宋体" w:cs="宋体"/>
                <w:color w:val="000000"/>
                <w:sz w:val="24"/>
              </w:rPr>
            </w:pPr>
            <w:r>
              <w:rPr>
                <w:rFonts w:hint="eastAsia" w:ascii="宋体" w:hAnsi="宋体" w:cs="宋体"/>
                <w:color w:val="000000"/>
                <w:sz w:val="24"/>
              </w:rPr>
              <w:t>10</w:t>
            </w:r>
          </w:p>
        </w:tc>
      </w:tr>
    </w:tbl>
    <w:p>
      <w:pPr>
        <w:spacing w:line="360" w:lineRule="auto"/>
        <w:ind w:firstLine="482" w:firstLineChars="200"/>
        <w:rPr>
          <w:rFonts w:hint="eastAsia" w:ascii="宋体" w:hAnsi="宋体" w:cs="宋体"/>
          <w:b/>
          <w:bCs/>
          <w:color w:val="000000"/>
          <w:sz w:val="24"/>
          <w:highlight w:val="none"/>
          <w:lang w:val="en-US" w:eastAsia="zh-CN"/>
        </w:rPr>
      </w:pPr>
    </w:p>
    <w:p>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lang w:val="en-US" w:eastAsia="zh-CN"/>
        </w:rPr>
        <w:t>33.2.2.1、资信分（15分）</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37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Align w:val="center"/>
          </w:tcPr>
          <w:p>
            <w:pPr>
              <w:widowControl w:val="0"/>
              <w:wordWrap w:val="0"/>
              <w:topLinePunct/>
              <w:adjustRightInd w:val="0"/>
              <w:snapToGrid w:val="0"/>
              <w:spacing w:line="360" w:lineRule="auto"/>
              <w:ind w:left="0"/>
              <w:jc w:val="center"/>
              <w:textAlignment w:val="auto"/>
              <w:rPr>
                <w:rFonts w:ascii="宋体" w:hAnsi="宋体" w:cs="宋体"/>
                <w:color w:val="000000"/>
                <w:sz w:val="24"/>
              </w:rPr>
            </w:pPr>
            <w:r>
              <w:rPr>
                <w:rFonts w:hint="eastAsia" w:ascii="宋体" w:hAnsi="宋体" w:cs="宋体"/>
                <w:color w:val="000000"/>
                <w:sz w:val="24"/>
              </w:rPr>
              <w:t>序号</w:t>
            </w:r>
          </w:p>
        </w:tc>
        <w:tc>
          <w:tcPr>
            <w:tcW w:w="7372" w:type="dxa"/>
            <w:vAlign w:val="center"/>
          </w:tcPr>
          <w:p>
            <w:pPr>
              <w:widowControl w:val="0"/>
              <w:wordWrap w:val="0"/>
              <w:topLinePunct/>
              <w:adjustRightInd w:val="0"/>
              <w:snapToGrid w:val="0"/>
              <w:spacing w:line="360" w:lineRule="auto"/>
              <w:ind w:left="0"/>
              <w:jc w:val="center"/>
              <w:textAlignment w:val="auto"/>
              <w:rPr>
                <w:rFonts w:ascii="宋体" w:hAnsi="宋体" w:cs="宋体"/>
                <w:color w:val="000000"/>
                <w:sz w:val="24"/>
              </w:rPr>
            </w:pPr>
            <w:r>
              <w:rPr>
                <w:rFonts w:hint="eastAsia" w:ascii="宋体" w:hAnsi="宋体" w:cs="宋体"/>
                <w:color w:val="000000"/>
                <w:sz w:val="24"/>
              </w:rPr>
              <w:t>评分因素</w:t>
            </w:r>
          </w:p>
        </w:tc>
        <w:tc>
          <w:tcPr>
            <w:tcW w:w="850" w:type="dxa"/>
            <w:vAlign w:val="center"/>
          </w:tcPr>
          <w:p>
            <w:pPr>
              <w:widowControl w:val="0"/>
              <w:wordWrap w:val="0"/>
              <w:topLinePunct/>
              <w:adjustRightInd w:val="0"/>
              <w:snapToGrid w:val="0"/>
              <w:spacing w:line="360" w:lineRule="auto"/>
              <w:ind w:left="0"/>
              <w:jc w:val="center"/>
              <w:textAlignment w:val="auto"/>
              <w:rPr>
                <w:rFonts w:ascii="宋体" w:hAnsi="宋体" w:cs="宋体"/>
                <w:color w:val="000000"/>
                <w:sz w:val="24"/>
              </w:rPr>
            </w:pPr>
            <w:r>
              <w:rPr>
                <w:rFonts w:hint="eastAsia" w:ascii="宋体" w:hAnsi="宋体" w:cs="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Align w:val="center"/>
          </w:tcPr>
          <w:p>
            <w:pPr>
              <w:widowControl w:val="0"/>
              <w:wordWrap w:val="0"/>
              <w:topLinePunct/>
              <w:adjustRightInd w:val="0"/>
              <w:snapToGrid w:val="0"/>
              <w:spacing w:line="360" w:lineRule="auto"/>
              <w:ind w:left="0"/>
              <w:jc w:val="center"/>
              <w:textAlignment w:val="auto"/>
              <w:rPr>
                <w:rFonts w:ascii="宋体" w:hAnsi="宋体" w:cs="宋体"/>
                <w:color w:val="000000"/>
                <w:sz w:val="24"/>
              </w:rPr>
            </w:pPr>
            <w:r>
              <w:rPr>
                <w:rFonts w:hint="eastAsia" w:ascii="宋体" w:hAnsi="宋体" w:cs="宋体"/>
                <w:color w:val="000000"/>
                <w:sz w:val="24"/>
              </w:rPr>
              <w:t>1</w:t>
            </w:r>
          </w:p>
        </w:tc>
        <w:tc>
          <w:tcPr>
            <w:tcW w:w="7372" w:type="dxa"/>
            <w:vAlign w:val="center"/>
          </w:tcPr>
          <w:p>
            <w:pPr>
              <w:widowControl w:val="0"/>
              <w:wordWrap w:val="0"/>
              <w:topLinePunct/>
              <w:adjustRightInd w:val="0"/>
              <w:snapToGrid w:val="0"/>
              <w:spacing w:line="360" w:lineRule="auto"/>
              <w:ind w:left="0"/>
              <w:textAlignment w:val="auto"/>
              <w:rPr>
                <w:rFonts w:ascii="宋体" w:hAnsi="宋体" w:cs="宋体"/>
                <w:sz w:val="24"/>
              </w:rPr>
            </w:pPr>
            <w:r>
              <w:rPr>
                <w:rFonts w:hint="eastAsia" w:ascii="宋体" w:hAnsi="宋体" w:cs="宋体"/>
                <w:sz w:val="24"/>
              </w:rPr>
              <w:t>类似项目业绩：投标人</w:t>
            </w:r>
            <w:r>
              <w:rPr>
                <w:rFonts w:hint="eastAsia" w:ascii="宋体" w:hAnsi="宋体" w:cs="宋体"/>
                <w:sz w:val="24"/>
                <w:highlight w:val="none"/>
              </w:rPr>
              <w:t>自2020年1月1日以</w:t>
            </w:r>
            <w:r>
              <w:rPr>
                <w:rFonts w:hint="eastAsia" w:ascii="宋体" w:hAnsi="宋体" w:cs="宋体"/>
                <w:sz w:val="24"/>
              </w:rPr>
              <w:t>来(以合同签订时间为准)具有类似项目业绩(类似</w:t>
            </w:r>
            <w:r>
              <w:rPr>
                <w:rFonts w:hint="eastAsia" w:ascii="宋体" w:hAnsi="宋体" w:cs="宋体"/>
                <w:sz w:val="24"/>
                <w:highlight w:val="none"/>
              </w:rPr>
              <w:t>项目业绩指：</w:t>
            </w:r>
            <w:r>
              <w:rPr>
                <w:rFonts w:hint="eastAsia" w:ascii="宋体" w:hAnsi="宋体" w:cs="宋体"/>
                <w:sz w:val="24"/>
                <w:highlight w:val="none"/>
                <w:lang w:val="en-US" w:eastAsia="zh-CN"/>
              </w:rPr>
              <w:t>企事业单位的</w:t>
            </w:r>
            <w:r>
              <w:rPr>
                <w:rFonts w:hint="eastAsia" w:ascii="宋体" w:hAnsi="宋体" w:cs="宋体"/>
                <w:sz w:val="24"/>
                <w:highlight w:val="none"/>
              </w:rPr>
              <w:t>安</w:t>
            </w:r>
            <w:r>
              <w:rPr>
                <w:rFonts w:hint="eastAsia" w:ascii="宋体" w:hAnsi="宋体" w:cs="宋体"/>
                <w:sz w:val="24"/>
              </w:rPr>
              <w:t>全服务、安全重保服务、安全建设服务、安全培训、安全比赛等）的</w:t>
            </w:r>
            <w:r>
              <w:rPr>
                <w:rFonts w:hint="eastAsia" w:ascii="宋体" w:hAnsi="宋体" w:cs="宋体"/>
                <w:sz w:val="24"/>
                <w:lang w:eastAsia="zh-CN"/>
              </w:rPr>
              <w:t>，</w:t>
            </w:r>
            <w:r>
              <w:rPr>
                <w:rFonts w:hint="eastAsia" w:ascii="宋体" w:hAnsi="宋体" w:cs="宋体"/>
                <w:sz w:val="24"/>
                <w:lang w:val="en-US" w:eastAsia="zh-CN"/>
              </w:rPr>
              <w:t>每提供1个</w:t>
            </w:r>
            <w:r>
              <w:rPr>
                <w:rFonts w:hint="eastAsia" w:ascii="宋体" w:hAnsi="宋体" w:cs="宋体"/>
                <w:sz w:val="24"/>
              </w:rPr>
              <w:t>得</w:t>
            </w:r>
            <w:r>
              <w:rPr>
                <w:rFonts w:hint="eastAsia" w:ascii="宋体" w:hAnsi="宋体" w:cs="宋体"/>
                <w:sz w:val="24"/>
                <w:lang w:val="en-US" w:eastAsia="zh-CN"/>
              </w:rPr>
              <w:t>1</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lang w:val="en-US" w:eastAsia="zh-CN"/>
              </w:rPr>
              <w:t>最多得1分</w:t>
            </w:r>
            <w:r>
              <w:rPr>
                <w:rFonts w:hint="eastAsia" w:ascii="宋体" w:hAnsi="宋体" w:cs="宋体"/>
                <w:sz w:val="24"/>
              </w:rPr>
              <w:t>。</w:t>
            </w:r>
          </w:p>
          <w:p>
            <w:pPr>
              <w:widowControl w:val="0"/>
              <w:wordWrap w:val="0"/>
              <w:topLinePunct/>
              <w:adjustRightInd w:val="0"/>
              <w:snapToGrid w:val="0"/>
              <w:spacing w:line="360" w:lineRule="auto"/>
              <w:ind w:left="0"/>
              <w:textAlignment w:val="auto"/>
              <w:rPr>
                <w:rFonts w:ascii="宋体" w:hAnsi="宋体" w:cs="宋体"/>
                <w:sz w:val="24"/>
              </w:rPr>
            </w:pPr>
            <w:r>
              <w:rPr>
                <w:rFonts w:hint="eastAsia" w:ascii="宋体" w:hAnsi="宋体" w:cs="宋体"/>
                <w:b/>
                <w:bCs/>
                <w:sz w:val="24"/>
              </w:rPr>
              <w:t>投标文件中提供合同复印件并加盖公章（若合同中不能体现项目内容的则必须提供相应业绩招标人的书面证明材料复印件并加盖公章，否则不予认可）</w:t>
            </w:r>
            <w:r>
              <w:rPr>
                <w:rFonts w:hint="eastAsia" w:ascii="宋体" w:hAnsi="宋体" w:cs="宋体"/>
                <w:sz w:val="24"/>
              </w:rPr>
              <w:t>。</w:t>
            </w:r>
          </w:p>
        </w:tc>
        <w:tc>
          <w:tcPr>
            <w:tcW w:w="850" w:type="dxa"/>
            <w:vAlign w:val="center"/>
          </w:tcPr>
          <w:p>
            <w:pPr>
              <w:widowControl w:val="0"/>
              <w:wordWrap w:val="0"/>
              <w:topLinePunct/>
              <w:adjustRightInd w:val="0"/>
              <w:snapToGrid w:val="0"/>
              <w:spacing w:line="360" w:lineRule="auto"/>
              <w:ind w:left="0"/>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Align w:val="center"/>
          </w:tcPr>
          <w:p>
            <w:pPr>
              <w:widowControl w:val="0"/>
              <w:wordWrap w:val="0"/>
              <w:topLinePunct/>
              <w:adjustRightInd w:val="0"/>
              <w:snapToGrid w:val="0"/>
              <w:spacing w:line="360" w:lineRule="auto"/>
              <w:ind w:left="0"/>
              <w:jc w:val="center"/>
              <w:textAlignment w:val="auto"/>
              <w:rPr>
                <w:rFonts w:hint="eastAsia" w:ascii="宋体" w:hAnsi="宋体" w:cs="宋体"/>
                <w:color w:val="000000"/>
                <w:sz w:val="24"/>
              </w:rPr>
            </w:pPr>
            <w:r>
              <w:rPr>
                <w:rFonts w:hint="eastAsia" w:ascii="宋体" w:hAnsi="宋体" w:cs="宋体"/>
                <w:color w:val="000000"/>
                <w:sz w:val="24"/>
              </w:rPr>
              <w:t>2</w:t>
            </w:r>
          </w:p>
        </w:tc>
        <w:tc>
          <w:tcPr>
            <w:tcW w:w="7372" w:type="dxa"/>
            <w:vAlign w:val="center"/>
          </w:tcPr>
          <w:p>
            <w:pPr>
              <w:widowControl w:val="0"/>
              <w:wordWrap w:val="0"/>
              <w:topLinePunct/>
              <w:adjustRightInd w:val="0"/>
              <w:snapToGrid w:val="0"/>
              <w:spacing w:line="360" w:lineRule="auto"/>
              <w:ind w:left="0" w:leftChars="0"/>
              <w:textAlignment w:val="auto"/>
              <w:rPr>
                <w:rFonts w:hint="eastAsia" w:ascii="宋体" w:hAnsi="宋体" w:cs="宋体"/>
                <w:sz w:val="24"/>
                <w:highlight w:val="none"/>
                <w:lang w:val="zh-TW"/>
              </w:rPr>
            </w:pPr>
            <w:r>
              <w:rPr>
                <w:rFonts w:hint="eastAsia" w:ascii="宋体" w:hAnsi="宋体" w:cs="宋体"/>
                <w:sz w:val="24"/>
                <w:highlight w:val="none"/>
                <w:lang w:val="zh-TW"/>
              </w:rPr>
              <w:t>项目经理及项目团队人员情况：</w:t>
            </w:r>
          </w:p>
          <w:p>
            <w:pPr>
              <w:widowControl w:val="0"/>
              <w:wordWrap w:val="0"/>
              <w:topLinePunct/>
              <w:adjustRightInd w:val="0"/>
              <w:snapToGrid w:val="0"/>
              <w:spacing w:line="360" w:lineRule="auto"/>
              <w:ind w:left="0" w:leftChars="0"/>
              <w:textAlignment w:val="auto"/>
              <w:rPr>
                <w:rFonts w:hint="eastAsia" w:ascii="宋体" w:hAnsi="宋体" w:cs="宋体"/>
                <w:sz w:val="24"/>
                <w:highlight w:val="none"/>
                <w:lang w:val="zh-TW"/>
              </w:rPr>
            </w:pPr>
            <w:r>
              <w:rPr>
                <w:rFonts w:hint="eastAsia" w:ascii="宋体" w:hAnsi="宋体" w:cs="宋体"/>
                <w:sz w:val="24"/>
                <w:highlight w:val="none"/>
                <w:lang w:val="zh-TW"/>
              </w:rPr>
              <w:t>1）项目经理一名，具有硕士（含）以上学历或高级工程师</w:t>
            </w:r>
            <w:r>
              <w:rPr>
                <w:rFonts w:hint="eastAsia" w:ascii="宋体" w:hAnsi="宋体" w:cs="宋体"/>
                <w:sz w:val="24"/>
                <w:highlight w:val="none"/>
                <w:lang w:val="en-US" w:eastAsia="zh-CN"/>
              </w:rPr>
              <w:t>及</w:t>
            </w:r>
            <w:r>
              <w:rPr>
                <w:rFonts w:hint="eastAsia" w:ascii="宋体" w:hAnsi="宋体" w:cs="宋体"/>
                <w:sz w:val="24"/>
                <w:highlight w:val="none"/>
                <w:lang w:val="zh-TW"/>
              </w:rPr>
              <w:t>以上职称的，每提供1个得</w:t>
            </w:r>
            <w:r>
              <w:rPr>
                <w:rFonts w:hint="eastAsia" w:ascii="宋体" w:hAnsi="宋体" w:cs="宋体"/>
                <w:sz w:val="24"/>
                <w:highlight w:val="none"/>
                <w:lang w:val="en-US" w:eastAsia="zh-CN"/>
              </w:rPr>
              <w:t>2</w:t>
            </w:r>
            <w:r>
              <w:rPr>
                <w:rFonts w:hint="eastAsia" w:ascii="宋体" w:hAnsi="宋体" w:cs="宋体"/>
                <w:sz w:val="24"/>
                <w:highlight w:val="none"/>
                <w:lang w:val="zh-TW"/>
              </w:rPr>
              <w:t>分；具有注册信息安全专业人员（CISP）认证证书或项目管理专业人员（PMP）的，每提供1个得1分，最多得</w:t>
            </w:r>
            <w:r>
              <w:rPr>
                <w:rFonts w:hint="eastAsia" w:ascii="宋体" w:hAnsi="宋体" w:cs="宋体"/>
                <w:sz w:val="24"/>
                <w:highlight w:val="none"/>
                <w:lang w:val="en-US" w:eastAsia="zh-CN"/>
              </w:rPr>
              <w:t>1</w:t>
            </w:r>
            <w:r>
              <w:rPr>
                <w:rFonts w:hint="eastAsia" w:ascii="宋体" w:hAnsi="宋体" w:cs="宋体"/>
                <w:sz w:val="24"/>
                <w:highlight w:val="none"/>
                <w:lang w:val="zh-TW"/>
              </w:rPr>
              <w:t>分</w:t>
            </w:r>
            <w:r>
              <w:rPr>
                <w:rFonts w:hint="eastAsia" w:ascii="宋体" w:hAnsi="宋体" w:cs="宋体"/>
                <w:sz w:val="24"/>
                <w:highlight w:val="none"/>
                <w:lang w:val="zh-TW" w:eastAsia="zh-CN"/>
              </w:rPr>
              <w:t>。</w:t>
            </w:r>
            <w:r>
              <w:rPr>
                <w:rFonts w:hint="eastAsia" w:ascii="宋体" w:hAnsi="宋体" w:cs="宋体"/>
                <w:sz w:val="24"/>
                <w:highlight w:val="none"/>
                <w:lang w:val="en-US" w:eastAsia="zh-CN"/>
              </w:rPr>
              <w:t>本项</w:t>
            </w:r>
            <w:r>
              <w:rPr>
                <w:rFonts w:hint="eastAsia" w:ascii="宋体" w:hAnsi="宋体" w:cs="宋体"/>
                <w:sz w:val="24"/>
                <w:highlight w:val="none"/>
                <w:lang w:val="zh-TW"/>
              </w:rPr>
              <w:t>最多得</w:t>
            </w:r>
            <w:r>
              <w:rPr>
                <w:rFonts w:hint="eastAsia" w:ascii="宋体" w:hAnsi="宋体" w:cs="宋体"/>
                <w:sz w:val="24"/>
                <w:highlight w:val="none"/>
                <w:lang w:val="en-US" w:eastAsia="zh-CN"/>
              </w:rPr>
              <w:t>3</w:t>
            </w:r>
            <w:r>
              <w:rPr>
                <w:rFonts w:hint="eastAsia" w:ascii="宋体" w:hAnsi="宋体" w:cs="宋体"/>
                <w:sz w:val="24"/>
                <w:highlight w:val="none"/>
                <w:lang w:val="zh-TW"/>
              </w:rPr>
              <w:t>分。</w:t>
            </w:r>
          </w:p>
          <w:p>
            <w:pPr>
              <w:widowControl w:val="0"/>
              <w:wordWrap w:val="0"/>
              <w:topLinePunct/>
              <w:adjustRightInd w:val="0"/>
              <w:snapToGrid w:val="0"/>
              <w:spacing w:line="360" w:lineRule="auto"/>
              <w:ind w:left="0" w:leftChars="0"/>
              <w:textAlignment w:val="auto"/>
              <w:rPr>
                <w:rFonts w:hint="eastAsia" w:ascii="宋体" w:hAnsi="宋体" w:eastAsia="宋体" w:cs="宋体"/>
                <w:b/>
                <w:bCs/>
                <w:sz w:val="24"/>
                <w:highlight w:val="none"/>
                <w:lang w:val="zh-TW" w:eastAsia="zh-CN"/>
              </w:rPr>
            </w:pPr>
            <w:r>
              <w:rPr>
                <w:rFonts w:hint="eastAsia" w:ascii="宋体" w:hAnsi="宋体" w:cs="宋体"/>
                <w:b/>
                <w:bCs/>
                <w:sz w:val="24"/>
                <w:highlight w:val="none"/>
                <w:lang w:val="zh-TW"/>
              </w:rPr>
              <w:t>投标文件中提供相关证书复印件及缴纳在投标人单位的社保缴纳证明复印件并加盖公章</w:t>
            </w:r>
            <w:r>
              <w:rPr>
                <w:rFonts w:hint="eastAsia" w:ascii="宋体" w:hAnsi="宋体" w:cs="宋体"/>
                <w:b/>
                <w:bCs/>
                <w:sz w:val="24"/>
                <w:highlight w:val="none"/>
                <w:lang w:val="zh-TW" w:eastAsia="zh-CN"/>
              </w:rPr>
              <w:t>。</w:t>
            </w:r>
          </w:p>
          <w:p>
            <w:pPr>
              <w:widowControl w:val="0"/>
              <w:wordWrap w:val="0"/>
              <w:topLinePunct/>
              <w:adjustRightInd w:val="0"/>
              <w:snapToGrid w:val="0"/>
              <w:spacing w:line="360" w:lineRule="auto"/>
              <w:ind w:left="0" w:leftChars="0"/>
              <w:textAlignment w:val="auto"/>
              <w:rPr>
                <w:rFonts w:hint="eastAsia" w:ascii="宋体" w:hAnsi="宋体" w:eastAsia="宋体" w:cs="宋体"/>
                <w:sz w:val="24"/>
                <w:highlight w:val="none"/>
                <w:lang w:val="zh-TW" w:eastAsia="zh-CN"/>
              </w:rPr>
            </w:pPr>
            <w:r>
              <w:rPr>
                <w:rFonts w:hint="eastAsia" w:ascii="宋体" w:hAnsi="宋体" w:cs="宋体"/>
                <w:sz w:val="24"/>
                <w:highlight w:val="none"/>
                <w:lang w:val="zh-TW"/>
              </w:rPr>
              <w:t>2）项目组其他成员具有高级工程师职称的，每提供1个得2分</w:t>
            </w:r>
            <w:r>
              <w:rPr>
                <w:rFonts w:hint="eastAsia" w:ascii="宋体" w:hAnsi="宋体" w:cs="宋体"/>
                <w:sz w:val="24"/>
                <w:highlight w:val="none"/>
                <w:lang w:val="zh-TW" w:eastAsia="zh-CN"/>
              </w:rPr>
              <w:t>，</w:t>
            </w:r>
            <w:r>
              <w:rPr>
                <w:rFonts w:hint="eastAsia" w:ascii="宋体" w:hAnsi="宋体" w:cs="宋体"/>
                <w:sz w:val="24"/>
                <w:highlight w:val="none"/>
                <w:lang w:val="zh-TW"/>
              </w:rPr>
              <w:t>最高得2分</w:t>
            </w:r>
            <w:r>
              <w:rPr>
                <w:rFonts w:hint="eastAsia" w:ascii="宋体" w:hAnsi="宋体" w:cs="宋体"/>
                <w:sz w:val="24"/>
                <w:highlight w:val="none"/>
                <w:lang w:val="zh-TW" w:eastAsia="zh-CN"/>
              </w:rPr>
              <w:t>；</w:t>
            </w:r>
            <w:r>
              <w:rPr>
                <w:rFonts w:hint="eastAsia" w:ascii="宋体" w:hAnsi="宋体" w:cs="宋体"/>
                <w:sz w:val="24"/>
                <w:highlight w:val="none"/>
                <w:lang w:val="zh-TW"/>
              </w:rPr>
              <w:t>具有中级工程师职称的，每提供1个得</w:t>
            </w:r>
            <w:r>
              <w:rPr>
                <w:rFonts w:hint="eastAsia" w:ascii="宋体" w:hAnsi="宋体" w:cs="宋体"/>
                <w:sz w:val="24"/>
                <w:highlight w:val="none"/>
                <w:lang w:val="en-US" w:eastAsia="zh-CN"/>
              </w:rPr>
              <w:t>1</w:t>
            </w:r>
            <w:r>
              <w:rPr>
                <w:rFonts w:hint="eastAsia" w:ascii="宋体" w:hAnsi="宋体" w:cs="宋体"/>
                <w:sz w:val="24"/>
                <w:highlight w:val="none"/>
                <w:lang w:val="zh-TW"/>
              </w:rPr>
              <w:t>分</w:t>
            </w:r>
            <w:r>
              <w:rPr>
                <w:rFonts w:hint="eastAsia" w:ascii="宋体" w:hAnsi="宋体" w:cs="宋体"/>
                <w:sz w:val="24"/>
                <w:highlight w:val="none"/>
                <w:lang w:val="zh-TW" w:eastAsia="zh-CN"/>
              </w:rPr>
              <w:t>，</w:t>
            </w:r>
            <w:r>
              <w:rPr>
                <w:rFonts w:hint="eastAsia" w:ascii="宋体" w:hAnsi="宋体" w:cs="宋体"/>
                <w:sz w:val="24"/>
                <w:highlight w:val="none"/>
                <w:lang w:val="zh-TW"/>
              </w:rPr>
              <w:t>最高得</w:t>
            </w:r>
            <w:r>
              <w:rPr>
                <w:rFonts w:hint="eastAsia" w:ascii="宋体" w:hAnsi="宋体" w:cs="宋体"/>
                <w:sz w:val="24"/>
                <w:highlight w:val="none"/>
                <w:lang w:val="en-US" w:eastAsia="zh-CN"/>
              </w:rPr>
              <w:t>1</w:t>
            </w:r>
            <w:r>
              <w:rPr>
                <w:rFonts w:hint="eastAsia" w:ascii="宋体" w:hAnsi="宋体" w:cs="宋体"/>
                <w:sz w:val="24"/>
                <w:highlight w:val="none"/>
                <w:lang w:val="zh-TW"/>
              </w:rPr>
              <w:t>分</w:t>
            </w:r>
            <w:r>
              <w:rPr>
                <w:rFonts w:hint="eastAsia" w:ascii="宋体" w:hAnsi="宋体" w:cs="宋体"/>
                <w:sz w:val="24"/>
                <w:highlight w:val="none"/>
                <w:lang w:val="zh-TW" w:eastAsia="zh-CN"/>
              </w:rPr>
              <w:t>；</w:t>
            </w:r>
          </w:p>
          <w:p>
            <w:pPr>
              <w:widowControl w:val="0"/>
              <w:wordWrap w:val="0"/>
              <w:topLinePunct/>
              <w:adjustRightInd w:val="0"/>
              <w:snapToGrid w:val="0"/>
              <w:spacing w:line="360" w:lineRule="auto"/>
              <w:ind w:left="0" w:leftChars="0"/>
              <w:textAlignment w:val="auto"/>
              <w:rPr>
                <w:rFonts w:hint="eastAsia" w:ascii="宋体" w:hAnsi="宋体" w:cs="宋体"/>
                <w:sz w:val="24"/>
                <w:highlight w:val="none"/>
                <w:lang w:val="zh-TW"/>
              </w:rPr>
            </w:pPr>
            <w:r>
              <w:rPr>
                <w:rFonts w:hint="eastAsia" w:ascii="宋体" w:hAnsi="宋体" w:cs="宋体"/>
                <w:sz w:val="24"/>
                <w:highlight w:val="none"/>
                <w:lang w:val="zh-TW"/>
              </w:rPr>
              <w:t>具有注册信息安全专业人员（CISP）或项目管理专业人员（PMP）认证证书的，每提供1个得</w:t>
            </w:r>
            <w:r>
              <w:rPr>
                <w:rFonts w:hint="eastAsia" w:ascii="宋体" w:hAnsi="宋体" w:cs="宋体"/>
                <w:sz w:val="24"/>
                <w:highlight w:val="none"/>
                <w:lang w:val="en-US" w:eastAsia="zh-CN"/>
              </w:rPr>
              <w:t>1</w:t>
            </w:r>
            <w:r>
              <w:rPr>
                <w:rFonts w:hint="eastAsia" w:ascii="宋体" w:hAnsi="宋体" w:cs="宋体"/>
                <w:sz w:val="24"/>
                <w:highlight w:val="none"/>
                <w:lang w:val="zh-TW"/>
              </w:rPr>
              <w:t>分，最高得</w:t>
            </w:r>
            <w:r>
              <w:rPr>
                <w:rFonts w:hint="eastAsia" w:ascii="宋体" w:hAnsi="宋体" w:cs="宋体"/>
                <w:sz w:val="24"/>
                <w:highlight w:val="none"/>
                <w:lang w:val="en-US" w:eastAsia="zh-CN"/>
              </w:rPr>
              <w:t>1</w:t>
            </w:r>
            <w:r>
              <w:rPr>
                <w:rFonts w:hint="eastAsia" w:ascii="宋体" w:hAnsi="宋体" w:cs="宋体"/>
                <w:sz w:val="24"/>
                <w:highlight w:val="none"/>
                <w:lang w:val="zh-TW"/>
              </w:rPr>
              <w:t>分。</w:t>
            </w:r>
            <w:r>
              <w:rPr>
                <w:rFonts w:hint="eastAsia" w:ascii="宋体" w:hAnsi="宋体" w:cs="宋体"/>
                <w:sz w:val="24"/>
                <w:highlight w:val="none"/>
                <w:lang w:val="en-US" w:eastAsia="zh-CN"/>
              </w:rPr>
              <w:t>本项</w:t>
            </w:r>
            <w:r>
              <w:rPr>
                <w:rFonts w:hint="eastAsia" w:ascii="宋体" w:hAnsi="宋体" w:cs="宋体"/>
                <w:sz w:val="24"/>
                <w:highlight w:val="none"/>
                <w:lang w:val="zh-TW"/>
              </w:rPr>
              <w:t>最多得</w:t>
            </w:r>
            <w:r>
              <w:rPr>
                <w:rFonts w:hint="eastAsia" w:ascii="宋体" w:hAnsi="宋体" w:cs="宋体"/>
                <w:sz w:val="24"/>
                <w:highlight w:val="none"/>
                <w:lang w:val="en-US" w:eastAsia="zh-CN"/>
              </w:rPr>
              <w:t>4</w:t>
            </w:r>
            <w:r>
              <w:rPr>
                <w:rFonts w:hint="eastAsia" w:ascii="宋体" w:hAnsi="宋体" w:cs="宋体"/>
                <w:sz w:val="24"/>
                <w:highlight w:val="none"/>
                <w:lang w:val="zh-TW"/>
              </w:rPr>
              <w:t>分。</w:t>
            </w:r>
          </w:p>
          <w:p>
            <w:pPr>
              <w:widowControl w:val="0"/>
              <w:wordWrap w:val="0"/>
              <w:topLinePunct/>
              <w:adjustRightInd w:val="0"/>
              <w:snapToGrid w:val="0"/>
              <w:spacing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cs="宋体"/>
                <w:b/>
                <w:bCs/>
                <w:sz w:val="24"/>
                <w:highlight w:val="none"/>
                <w:lang w:val="zh-TW"/>
              </w:rPr>
              <w:t>投标文件中提供相关证书复印件及缴纳在投标人单位的社保缴纳证明复印件并加盖公章</w:t>
            </w:r>
            <w:r>
              <w:rPr>
                <w:rFonts w:hint="eastAsia" w:ascii="宋体" w:hAnsi="宋体" w:cs="宋体"/>
                <w:b/>
                <w:bCs/>
                <w:sz w:val="24"/>
                <w:highlight w:val="none"/>
                <w:lang w:val="zh-TW" w:eastAsia="zh-CN"/>
              </w:rPr>
              <w:t>。</w:t>
            </w:r>
          </w:p>
        </w:tc>
        <w:tc>
          <w:tcPr>
            <w:tcW w:w="850" w:type="dxa"/>
            <w:vAlign w:val="center"/>
          </w:tcPr>
          <w:p>
            <w:pPr>
              <w:widowControl w:val="0"/>
              <w:wordWrap w:val="0"/>
              <w:topLinePunct/>
              <w:adjustRightInd w:val="0"/>
              <w:snapToGrid w:val="0"/>
              <w:spacing w:line="360" w:lineRule="auto"/>
              <w:ind w:left="0" w:left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 w:type="dxa"/>
            <w:vAlign w:val="center"/>
          </w:tcPr>
          <w:p>
            <w:pPr>
              <w:widowControl w:val="0"/>
              <w:wordWrap w:val="0"/>
              <w:topLinePunct/>
              <w:adjustRightInd w:val="0"/>
              <w:snapToGrid w:val="0"/>
              <w:spacing w:line="360" w:lineRule="auto"/>
              <w:ind w:left="0"/>
              <w:jc w:val="center"/>
              <w:textAlignment w:val="auto"/>
              <w:rPr>
                <w:rFonts w:ascii="宋体" w:hAnsi="宋体" w:cs="宋体"/>
                <w:color w:val="000000"/>
                <w:sz w:val="24"/>
              </w:rPr>
            </w:pPr>
            <w:r>
              <w:rPr>
                <w:rFonts w:hint="eastAsia" w:ascii="宋体" w:hAnsi="宋体" w:cs="宋体"/>
                <w:color w:val="000000"/>
                <w:sz w:val="24"/>
              </w:rPr>
              <w:t>3</w:t>
            </w:r>
          </w:p>
        </w:tc>
        <w:tc>
          <w:tcPr>
            <w:tcW w:w="7372" w:type="dxa"/>
            <w:vAlign w:val="center"/>
          </w:tcPr>
          <w:p>
            <w:pPr>
              <w:widowControl w:val="0"/>
              <w:tabs>
                <w:tab w:val="left" w:pos="432"/>
              </w:tabs>
              <w:wordWrap w:val="0"/>
              <w:topLinePunct/>
              <w:adjustRightInd w:val="0"/>
              <w:snapToGrid w:val="0"/>
              <w:spacing w:line="360" w:lineRule="auto"/>
              <w:ind w:left="0"/>
              <w:textAlignment w:val="auto"/>
              <w:rPr>
                <w:rFonts w:hint="eastAsia" w:ascii="宋体" w:hAnsi="宋体" w:cs="宋体"/>
                <w:sz w:val="24"/>
                <w:highlight w:val="none"/>
              </w:rPr>
            </w:pPr>
            <w:r>
              <w:rPr>
                <w:rFonts w:hint="eastAsia" w:ascii="宋体" w:hAnsi="宋体" w:cs="宋体"/>
                <w:sz w:val="24"/>
                <w:highlight w:val="none"/>
              </w:rPr>
              <w:t>渗透测试服务、驻场服务人员要求：</w:t>
            </w:r>
          </w:p>
          <w:p>
            <w:pPr>
              <w:widowControl w:val="0"/>
              <w:tabs>
                <w:tab w:val="left" w:pos="432"/>
              </w:tabs>
              <w:wordWrap w:val="0"/>
              <w:topLinePunct/>
              <w:adjustRightInd w:val="0"/>
              <w:snapToGrid w:val="0"/>
              <w:spacing w:line="360" w:lineRule="auto"/>
              <w:ind w:left="0"/>
              <w:textAlignment w:val="auto"/>
              <w:rPr>
                <w:rFonts w:hint="eastAsia" w:ascii="宋体" w:hAnsi="宋体" w:cs="宋体"/>
                <w:sz w:val="24"/>
                <w:highlight w:val="none"/>
              </w:rPr>
            </w:pPr>
            <w:r>
              <w:rPr>
                <w:rFonts w:hint="eastAsia" w:ascii="宋体" w:hAnsi="宋体" w:cs="宋体"/>
                <w:sz w:val="24"/>
                <w:highlight w:val="none"/>
              </w:rPr>
              <w:t>1）渗透测试人员具有中级工程师职称，每有1名成员得1分；具有高级工程师职称，每有1名成员得</w:t>
            </w:r>
            <w:r>
              <w:rPr>
                <w:rFonts w:hint="eastAsia" w:ascii="宋体" w:hAnsi="宋体" w:cs="宋体"/>
                <w:sz w:val="24"/>
                <w:highlight w:val="none"/>
                <w:lang w:val="en-US" w:eastAsia="zh-CN"/>
              </w:rPr>
              <w:t>2</w:t>
            </w:r>
            <w:r>
              <w:rPr>
                <w:rFonts w:hint="eastAsia" w:ascii="宋体" w:hAnsi="宋体" w:cs="宋体"/>
                <w:sz w:val="24"/>
                <w:highlight w:val="none"/>
              </w:rPr>
              <w:t>分；以上总计最多得</w:t>
            </w:r>
            <w:r>
              <w:rPr>
                <w:rFonts w:hint="eastAsia" w:ascii="宋体" w:hAnsi="宋体" w:cs="宋体"/>
                <w:sz w:val="24"/>
                <w:highlight w:val="none"/>
                <w:lang w:val="en-US" w:eastAsia="zh-CN"/>
              </w:rPr>
              <w:t>4</w:t>
            </w:r>
            <w:r>
              <w:rPr>
                <w:rFonts w:hint="eastAsia" w:ascii="宋体" w:hAnsi="宋体" w:cs="宋体"/>
                <w:sz w:val="24"/>
                <w:highlight w:val="none"/>
              </w:rPr>
              <w:t>分。</w:t>
            </w:r>
          </w:p>
          <w:p>
            <w:pPr>
              <w:widowControl w:val="0"/>
              <w:tabs>
                <w:tab w:val="left" w:pos="432"/>
              </w:tabs>
              <w:wordWrap w:val="0"/>
              <w:topLinePunct/>
              <w:adjustRightInd w:val="0"/>
              <w:snapToGrid w:val="0"/>
              <w:spacing w:line="360" w:lineRule="auto"/>
              <w:ind w:left="0"/>
              <w:textAlignment w:val="auto"/>
              <w:rPr>
                <w:rFonts w:hint="eastAsia" w:ascii="宋体" w:hAnsi="宋体" w:cs="宋体"/>
                <w:sz w:val="24"/>
                <w:highlight w:val="none"/>
              </w:rPr>
            </w:pPr>
            <w:r>
              <w:rPr>
                <w:rFonts w:hint="eastAsia" w:ascii="宋体" w:hAnsi="宋体" w:cs="宋体"/>
                <w:sz w:val="24"/>
                <w:highlight w:val="none"/>
              </w:rPr>
              <w:t>投标文件中提供学历证明材料复印件及相关证书复印件。</w:t>
            </w:r>
          </w:p>
          <w:p>
            <w:pPr>
              <w:widowControl w:val="0"/>
              <w:tabs>
                <w:tab w:val="left" w:pos="432"/>
              </w:tabs>
              <w:wordWrap w:val="0"/>
              <w:topLinePunct/>
              <w:adjustRightInd w:val="0"/>
              <w:snapToGrid w:val="0"/>
              <w:spacing w:line="360" w:lineRule="auto"/>
              <w:ind w:left="0"/>
              <w:textAlignment w:val="auto"/>
              <w:rPr>
                <w:rFonts w:hint="eastAsia" w:ascii="宋体" w:hAnsi="宋体" w:cs="宋体"/>
                <w:sz w:val="24"/>
                <w:highlight w:val="none"/>
              </w:rPr>
            </w:pPr>
            <w:r>
              <w:rPr>
                <w:rFonts w:hint="eastAsia" w:ascii="宋体" w:hAnsi="宋体" w:cs="宋体"/>
                <w:sz w:val="24"/>
                <w:highlight w:val="none"/>
              </w:rPr>
              <w:t>2)渗透测试人员具有全日制本科及以上学历和CISP或CISAW或CISA专业证书的，每有1名成员得1分，最多得</w:t>
            </w:r>
            <w:r>
              <w:rPr>
                <w:rFonts w:hint="eastAsia" w:ascii="宋体" w:hAnsi="宋体" w:cs="宋体"/>
                <w:sz w:val="24"/>
                <w:highlight w:val="none"/>
                <w:lang w:val="en-US" w:eastAsia="zh-CN"/>
              </w:rPr>
              <w:t>2</w:t>
            </w:r>
            <w:r>
              <w:rPr>
                <w:rFonts w:hint="eastAsia" w:ascii="宋体" w:hAnsi="宋体" w:cs="宋体"/>
                <w:sz w:val="24"/>
                <w:highlight w:val="none"/>
              </w:rPr>
              <w:t>分；投标文件中提供学历证明材料复印件及相关证书复印件。</w:t>
            </w:r>
          </w:p>
          <w:p>
            <w:pPr>
              <w:widowControl w:val="0"/>
              <w:tabs>
                <w:tab w:val="left" w:pos="432"/>
              </w:tabs>
              <w:wordWrap w:val="0"/>
              <w:topLinePunct/>
              <w:adjustRightInd w:val="0"/>
              <w:snapToGrid w:val="0"/>
              <w:spacing w:line="360" w:lineRule="auto"/>
              <w:ind w:left="0"/>
              <w:textAlignment w:val="auto"/>
              <w:rPr>
                <w:rFonts w:hint="eastAsia" w:ascii="宋体" w:hAnsi="宋体" w:cs="宋体"/>
                <w:sz w:val="24"/>
                <w:highlight w:val="none"/>
              </w:rPr>
            </w:pPr>
            <w:r>
              <w:rPr>
                <w:rFonts w:hint="eastAsia" w:ascii="宋体" w:hAnsi="宋体" w:cs="宋体"/>
                <w:sz w:val="24"/>
                <w:highlight w:val="none"/>
              </w:rPr>
              <w:t>3）驻场技术人员具有全日制本科及以上学历和CISP或CISAW或CISA专业证书的，每有1名成员得1分；最多得1分；</w:t>
            </w:r>
          </w:p>
          <w:p>
            <w:pPr>
              <w:widowControl w:val="0"/>
              <w:tabs>
                <w:tab w:val="left" w:pos="432"/>
              </w:tabs>
              <w:wordWrap w:val="0"/>
              <w:topLinePunct/>
              <w:adjustRightInd w:val="0"/>
              <w:snapToGrid w:val="0"/>
              <w:spacing w:line="360" w:lineRule="auto"/>
              <w:ind w:left="0"/>
              <w:textAlignment w:val="auto"/>
              <w:rPr>
                <w:rFonts w:hint="eastAsia" w:ascii="宋体" w:hAnsi="宋体" w:eastAsia="宋体" w:cs="宋体"/>
                <w:b/>
                <w:bCs/>
                <w:sz w:val="24"/>
                <w:highlight w:val="none"/>
                <w:lang w:eastAsia="zh-CN"/>
              </w:rPr>
            </w:pPr>
            <w:r>
              <w:rPr>
                <w:rFonts w:hint="eastAsia" w:ascii="宋体" w:hAnsi="宋体" w:cs="宋体"/>
                <w:b/>
                <w:bCs/>
                <w:sz w:val="24"/>
                <w:highlight w:val="none"/>
              </w:rPr>
              <w:t>驻场人员不得与渗透测试人员复用</w:t>
            </w:r>
            <w:r>
              <w:rPr>
                <w:rFonts w:hint="eastAsia" w:ascii="宋体" w:hAnsi="宋体" w:cs="宋体"/>
                <w:b/>
                <w:bCs/>
                <w:sz w:val="24"/>
                <w:highlight w:val="none"/>
                <w:lang w:eastAsia="zh-CN"/>
              </w:rPr>
              <w:t>。</w:t>
            </w:r>
          </w:p>
          <w:p>
            <w:pPr>
              <w:widowControl w:val="0"/>
              <w:tabs>
                <w:tab w:val="left" w:pos="432"/>
              </w:tabs>
              <w:wordWrap w:val="0"/>
              <w:topLinePunct/>
              <w:adjustRightInd w:val="0"/>
              <w:snapToGrid w:val="0"/>
              <w:spacing w:line="360" w:lineRule="auto"/>
              <w:ind w:left="0"/>
              <w:textAlignment w:val="auto"/>
              <w:rPr>
                <w:rFonts w:hint="eastAsia" w:ascii="宋体" w:hAnsi="宋体" w:eastAsia="宋体" w:cs="宋体"/>
                <w:sz w:val="24"/>
                <w:highlight w:val="none"/>
                <w:lang w:eastAsia="zh-CN"/>
              </w:rPr>
            </w:pPr>
            <w:r>
              <w:rPr>
                <w:rFonts w:hint="eastAsia" w:ascii="宋体" w:hAnsi="宋体" w:cs="宋体"/>
                <w:b/>
                <w:bCs/>
                <w:sz w:val="24"/>
                <w:highlight w:val="none"/>
              </w:rPr>
              <w:t>投标文件中提供学历证明材料及相关证书复印件</w:t>
            </w:r>
            <w:r>
              <w:rPr>
                <w:rFonts w:hint="eastAsia" w:ascii="宋体" w:hAnsi="宋体" w:cs="宋体"/>
                <w:b/>
                <w:bCs/>
                <w:sz w:val="24"/>
                <w:highlight w:val="none"/>
                <w:lang w:val="zh-TW"/>
              </w:rPr>
              <w:t>及缴纳在投标人单位的社保缴纳证明复印件</w:t>
            </w:r>
            <w:r>
              <w:rPr>
                <w:rFonts w:hint="eastAsia" w:ascii="宋体" w:hAnsi="宋体" w:cs="宋体"/>
                <w:b/>
                <w:bCs/>
                <w:sz w:val="24"/>
                <w:highlight w:val="none"/>
                <w:lang w:val="en-US" w:eastAsia="zh-CN"/>
              </w:rPr>
              <w:t>并加盖公章</w:t>
            </w:r>
            <w:r>
              <w:rPr>
                <w:rFonts w:hint="eastAsia" w:ascii="宋体" w:hAnsi="宋体" w:cs="宋体"/>
                <w:b/>
                <w:bCs/>
                <w:sz w:val="24"/>
                <w:highlight w:val="none"/>
              </w:rPr>
              <w:t>。</w:t>
            </w:r>
          </w:p>
        </w:tc>
        <w:tc>
          <w:tcPr>
            <w:tcW w:w="850" w:type="dxa"/>
            <w:vAlign w:val="center"/>
          </w:tcPr>
          <w:p>
            <w:pPr>
              <w:widowControl w:val="0"/>
              <w:wordWrap w:val="0"/>
              <w:topLinePunct/>
              <w:adjustRightInd w:val="0"/>
              <w:snapToGrid w:val="0"/>
              <w:spacing w:line="360" w:lineRule="auto"/>
              <w:ind w:left="0"/>
              <w:jc w:val="center"/>
              <w:textAlignment w:val="auto"/>
              <w:rPr>
                <w:rFonts w:hint="eastAsia" w:ascii="宋体" w:hAnsi="宋体" w:eastAsia="宋体" w:cs="宋体"/>
                <w:color w:val="000000"/>
                <w:sz w:val="24"/>
                <w:lang w:eastAsia="zh-CN"/>
              </w:rPr>
            </w:pPr>
            <w:r>
              <w:rPr>
                <w:rFonts w:hint="eastAsia" w:ascii="宋体" w:hAnsi="宋体" w:cs="宋体"/>
                <w:color w:val="000000"/>
                <w:sz w:val="24"/>
                <w:lang w:val="en-US" w:eastAsia="zh-CN"/>
              </w:rPr>
              <w:t>7</w:t>
            </w:r>
          </w:p>
        </w:tc>
      </w:tr>
    </w:tbl>
    <w:p>
      <w:pPr>
        <w:widowControl w:val="0"/>
        <w:spacing w:before="0" w:line="440" w:lineRule="exact"/>
        <w:ind w:firstLine="0" w:firstLineChars="0"/>
        <w:jc w:val="both"/>
        <w:rPr>
          <w:rFonts w:hint="eastAsia" w:ascii="宋体" w:hAnsi="宋体" w:eastAsia="宋体" w:cs="宋体"/>
          <w:b/>
          <w:color w:val="000000"/>
          <w:kern w:val="0"/>
          <w:sz w:val="24"/>
          <w:szCs w:val="24"/>
          <w:lang w:val="en-US" w:eastAsia="zh-CN" w:bidi="ar-SA"/>
        </w:rPr>
      </w:pPr>
    </w:p>
    <w:p>
      <w:pPr>
        <w:widowControl w:val="0"/>
        <w:spacing w:before="0" w:line="440" w:lineRule="exact"/>
        <w:ind w:firstLine="0" w:firstLineChars="0"/>
        <w:jc w:val="both"/>
        <w:rPr>
          <w:rFonts w:hint="eastAsia"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37、解释权</w:t>
      </w:r>
    </w:p>
    <w:p>
      <w:pPr>
        <w:adjustRightInd w:val="0"/>
        <w:snapToGrid w:val="0"/>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专用条款与通用条款有矛盾之处，以专用条款为准。凡涉及本次招标文件的解释权属于</w:t>
      </w:r>
      <w:r>
        <w:rPr>
          <w:rFonts w:hint="eastAsia" w:ascii="宋体" w:hAnsi="宋体" w:cs="宋体"/>
          <w:color w:val="000000"/>
          <w:kern w:val="0"/>
          <w:sz w:val="24"/>
          <w:lang w:eastAsia="zh-CN"/>
        </w:rPr>
        <w:t>招标人</w:t>
      </w:r>
      <w:r>
        <w:rPr>
          <w:rFonts w:hint="eastAsia" w:ascii="宋体" w:hAnsi="宋体" w:cs="宋体"/>
          <w:color w:val="000000"/>
          <w:kern w:val="0"/>
          <w:sz w:val="24"/>
        </w:rPr>
        <w:t>与</w:t>
      </w:r>
      <w:r>
        <w:rPr>
          <w:rFonts w:hint="eastAsia" w:ascii="宋体" w:hAnsi="宋体" w:cs="宋体"/>
          <w:color w:val="000000"/>
          <w:kern w:val="0"/>
          <w:sz w:val="24"/>
          <w:lang w:eastAsia="zh-CN"/>
        </w:rPr>
        <w:t>浙江国信工程管理咨询有限公司</w:t>
      </w:r>
      <w:r>
        <w:rPr>
          <w:rFonts w:hint="eastAsia" w:ascii="宋体" w:hAnsi="宋体" w:cs="宋体"/>
          <w:color w:val="000000"/>
          <w:kern w:val="0"/>
          <w:sz w:val="24"/>
        </w:rPr>
        <w:t>。</w:t>
      </w:r>
    </w:p>
    <w:p>
      <w:pPr>
        <w:rPr>
          <w:rFonts w:hint="eastAsia" w:ascii="宋体" w:hAnsi="宋体" w:eastAsia="宋体" w:cs="Times New Roman"/>
          <w:b/>
          <w:bCs/>
          <w:kern w:val="44"/>
          <w:sz w:val="44"/>
          <w:szCs w:val="44"/>
          <w:lang w:val="en-US" w:eastAsia="zh-CN" w:bidi="ar-SA"/>
        </w:rPr>
      </w:pPr>
      <w:bookmarkStart w:id="5" w:name="_Toc303256693"/>
      <w:bookmarkStart w:id="6" w:name="_Toc367266103"/>
      <w:r>
        <w:rPr>
          <w:rFonts w:hint="eastAsia" w:ascii="宋体" w:hAnsi="宋体" w:eastAsia="宋体" w:cs="Times New Roman"/>
          <w:b/>
          <w:bCs/>
          <w:kern w:val="44"/>
          <w:sz w:val="44"/>
          <w:szCs w:val="44"/>
          <w:lang w:val="en-US" w:eastAsia="zh-CN" w:bidi="ar-SA"/>
        </w:rPr>
        <w:br w:type="page"/>
      </w:r>
    </w:p>
    <w:p>
      <w:pPr>
        <w:keepNext/>
        <w:keepLines/>
        <w:widowControl w:val="0"/>
        <w:spacing w:before="340" w:after="330" w:line="360" w:lineRule="auto"/>
        <w:jc w:val="center"/>
        <w:outlineLvl w:val="0"/>
        <w:rPr>
          <w:rFonts w:hint="eastAsia" w:ascii="宋体" w:hAnsi="宋体" w:eastAsia="宋体" w:cs="Times New Roman"/>
          <w:b/>
          <w:bCs/>
          <w:kern w:val="44"/>
          <w:sz w:val="44"/>
          <w:szCs w:val="44"/>
          <w:lang w:val="en-US" w:eastAsia="zh-CN" w:bidi="ar-SA"/>
        </w:rPr>
      </w:pPr>
      <w:bookmarkStart w:id="7" w:name="_Toc5294"/>
      <w:r>
        <w:rPr>
          <w:rFonts w:hint="eastAsia" w:ascii="宋体" w:hAnsi="宋体" w:eastAsia="宋体" w:cs="Times New Roman"/>
          <w:b/>
          <w:bCs/>
          <w:kern w:val="44"/>
          <w:sz w:val="44"/>
          <w:szCs w:val="44"/>
          <w:lang w:val="en-US" w:eastAsia="zh-CN" w:bidi="ar-SA"/>
        </w:rPr>
        <w:t>第三</w:t>
      </w:r>
      <w:r>
        <w:rPr>
          <w:rFonts w:hint="eastAsia" w:ascii="宋体" w:hAnsi="宋体" w:cs="Times New Roman"/>
          <w:b/>
          <w:bCs/>
          <w:kern w:val="44"/>
          <w:sz w:val="44"/>
          <w:szCs w:val="44"/>
          <w:lang w:val="en-US" w:eastAsia="zh-CN" w:bidi="ar-SA"/>
        </w:rPr>
        <w:t>部分</w:t>
      </w:r>
      <w:r>
        <w:rPr>
          <w:rFonts w:hint="eastAsia" w:ascii="宋体" w:hAnsi="宋体" w:eastAsia="宋体" w:cs="Times New Roman"/>
          <w:b/>
          <w:bCs/>
          <w:kern w:val="44"/>
          <w:sz w:val="44"/>
          <w:szCs w:val="44"/>
          <w:lang w:val="en-US" w:eastAsia="zh-CN" w:bidi="ar-SA"/>
        </w:rPr>
        <w:t xml:space="preserve">  </w:t>
      </w:r>
      <w:r>
        <w:rPr>
          <w:rFonts w:hint="eastAsia" w:ascii="宋体" w:hAnsi="宋体" w:cs="Times New Roman"/>
          <w:b/>
          <w:bCs/>
          <w:kern w:val="44"/>
          <w:sz w:val="44"/>
          <w:szCs w:val="44"/>
          <w:lang w:val="en-US" w:eastAsia="zh-CN" w:bidi="ar-SA"/>
        </w:rPr>
        <w:t>招标</w:t>
      </w:r>
      <w:r>
        <w:rPr>
          <w:rFonts w:hint="eastAsia" w:ascii="宋体" w:hAnsi="宋体" w:eastAsia="宋体" w:cs="Times New Roman"/>
          <w:b/>
          <w:bCs/>
          <w:kern w:val="44"/>
          <w:sz w:val="44"/>
          <w:szCs w:val="44"/>
          <w:lang w:val="en-US" w:eastAsia="zh-CN" w:bidi="ar-SA"/>
        </w:rPr>
        <w:t>需求</w:t>
      </w:r>
      <w:bookmarkEnd w:id="7"/>
    </w:p>
    <w:p>
      <w:pPr>
        <w:widowControl w:val="0"/>
        <w:wordWrap w:val="0"/>
        <w:topLinePunct/>
        <w:adjustRightInd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带“●”条款为实质性条款，投标人须提供《</w:t>
      </w:r>
      <w:r>
        <w:rPr>
          <w:rFonts w:hint="eastAsia" w:ascii="宋体" w:hAnsi="宋体" w:cs="宋体"/>
          <w:b/>
          <w:color w:val="000000"/>
          <w:sz w:val="24"/>
          <w:lang w:val="en-US" w:eastAsia="zh-CN"/>
        </w:rPr>
        <w:t>招标</w:t>
      </w:r>
      <w:r>
        <w:rPr>
          <w:rFonts w:hint="eastAsia" w:ascii="宋体" w:hAnsi="宋体" w:cs="宋体"/>
          <w:b/>
          <w:color w:val="000000"/>
          <w:sz w:val="24"/>
        </w:rPr>
        <w:t>需求实质性内容响应表》（格式见第五部分 投标文件格式），如有任意一条未响应或不满足，将被视为无效。</w:t>
      </w:r>
    </w:p>
    <w:p>
      <w:pPr>
        <w:widowControl w:val="0"/>
        <w:wordWrap w:val="0"/>
        <w:topLinePunct/>
        <w:adjustRightInd w:val="0"/>
        <w:snapToGrid w:val="0"/>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一、项目概况：</w:t>
      </w:r>
    </w:p>
    <w:p>
      <w:pPr>
        <w:widowControl w:val="0"/>
        <w:wordWrap w:val="0"/>
        <w:topLinePunct/>
        <w:adjustRightInd w:val="0"/>
        <w:snapToGrid w:val="0"/>
        <w:spacing w:line="360" w:lineRule="auto"/>
        <w:ind w:firstLine="480" w:firstLineChars="200"/>
        <w:textAlignment w:val="auto"/>
        <w:rPr>
          <w:rFonts w:hint="eastAsia" w:ascii="宋体" w:hAnsi="宋体" w:eastAsia="宋体"/>
          <w:bCs/>
          <w:color w:val="000000"/>
          <w:sz w:val="24"/>
          <w:highlight w:val="none"/>
          <w:lang w:eastAsia="zh-CN"/>
        </w:rPr>
      </w:pPr>
      <w:r>
        <w:rPr>
          <w:rFonts w:hint="eastAsia" w:ascii="宋体" w:hAnsi="宋体"/>
          <w:bCs/>
          <w:color w:val="000000"/>
          <w:sz w:val="24"/>
        </w:rPr>
        <w:t>进一步提升未来科技城管委会（以下简称：招标人）网络及信息系统安全保障，拟通过采购网络安全保障服务，加强招标人网络和信息安全风险管控水平，提升网络安全主动防御</w:t>
      </w:r>
      <w:r>
        <w:rPr>
          <w:rFonts w:hint="eastAsia" w:ascii="宋体" w:hAnsi="宋体"/>
          <w:bCs/>
          <w:color w:val="000000"/>
          <w:sz w:val="24"/>
          <w:highlight w:val="none"/>
        </w:rPr>
        <w:t>能力，确保招标人网络与信息系统安全稳定运行。</w:t>
      </w:r>
    </w:p>
    <w:p>
      <w:pPr>
        <w:widowControl w:val="0"/>
        <w:wordWrap w:val="0"/>
        <w:topLinePunct/>
        <w:adjustRightInd w:val="0"/>
        <w:snapToGrid w:val="0"/>
        <w:spacing w:line="360" w:lineRule="auto"/>
        <w:ind w:firstLine="480" w:firstLineChars="200"/>
        <w:textAlignment w:val="auto"/>
        <w:rPr>
          <w:rFonts w:ascii="宋体" w:hAnsi="宋体"/>
          <w:b/>
          <w:sz w:val="24"/>
          <w:highlight w:val="none"/>
        </w:rPr>
      </w:pPr>
      <w:r>
        <w:rPr>
          <w:rFonts w:hint="eastAsia" w:ascii="宋体" w:hAnsi="宋体" w:cs="宋体"/>
          <w:bCs/>
          <w:sz w:val="24"/>
          <w:highlight w:val="none"/>
        </w:rPr>
        <w:t>二、</w:t>
      </w:r>
      <w:r>
        <w:rPr>
          <w:rFonts w:hint="eastAsia" w:ascii="宋体" w:hAnsi="宋体"/>
          <w:b/>
          <w:sz w:val="24"/>
          <w:highlight w:val="none"/>
        </w:rPr>
        <w:t>服务需求：</w:t>
      </w:r>
    </w:p>
    <w:tbl>
      <w:tblPr>
        <w:tblStyle w:val="16"/>
        <w:tblW w:w="9289"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647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57" w:type="dxa"/>
            <w:shd w:val="clear" w:color="auto" w:fill="F2BA02"/>
            <w:vAlign w:val="center"/>
          </w:tcPr>
          <w:p>
            <w:pPr>
              <w:ind w:firstLine="395"/>
              <w:jc w:val="both"/>
              <w:rPr>
                <w:rFonts w:ascii="宋体" w:hAnsi="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服务</w:t>
            </w:r>
          </w:p>
        </w:tc>
        <w:tc>
          <w:tcPr>
            <w:tcW w:w="6470" w:type="dxa"/>
            <w:shd w:val="clear" w:color="auto" w:fill="F2BA02"/>
            <w:vAlign w:val="center"/>
          </w:tcPr>
          <w:p>
            <w:pPr>
              <w:jc w:val="center"/>
              <w:rPr>
                <w:rFonts w:ascii="宋体" w:hAnsi="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服务内容</w:t>
            </w:r>
          </w:p>
        </w:tc>
        <w:tc>
          <w:tcPr>
            <w:tcW w:w="1362" w:type="dxa"/>
            <w:shd w:val="clear" w:color="auto" w:fill="F2BA02"/>
            <w:vAlign w:val="center"/>
          </w:tcPr>
          <w:p>
            <w:pPr>
              <w:jc w:val="center"/>
              <w:rPr>
                <w:rFonts w:ascii="宋体" w:hAnsi="宋体" w:cs="宋体"/>
                <w:b/>
                <w:color w:val="auto"/>
                <w:szCs w:val="21"/>
                <w:highlight w:val="none"/>
                <w:shd w:val="clear" w:color="auto" w:fill="auto"/>
              </w:rPr>
            </w:pPr>
            <w:r>
              <w:rPr>
                <w:rFonts w:hint="eastAsia" w:ascii="宋体" w:hAnsi="宋体" w:eastAsia="宋体" w:cs="宋体"/>
                <w:b/>
                <w:color w:val="auto"/>
                <w:szCs w:val="21"/>
                <w:highlight w:val="none"/>
                <w:shd w:val="clear" w:color="auto" w:fill="auto"/>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vAlign w:val="center"/>
          </w:tcPr>
          <w:p>
            <w:pPr>
              <w:widowControl/>
              <w:textAlignment w:val="center"/>
              <w:rPr>
                <w:rFonts w:ascii="宋体" w:hAnsi="宋体" w:cs="宋体"/>
                <w:b/>
                <w:color w:val="auto"/>
                <w:sz w:val="18"/>
                <w:szCs w:val="18"/>
                <w:highlight w:val="none"/>
              </w:rPr>
            </w:pPr>
            <w:r>
              <w:rPr>
                <w:rFonts w:hint="eastAsia" w:ascii="宋体" w:hAnsi="宋体" w:cs="宋体"/>
                <w:color w:val="auto"/>
                <w:kern w:val="0"/>
                <w:sz w:val="18"/>
                <w:szCs w:val="18"/>
                <w:highlight w:val="none"/>
              </w:rPr>
              <w:t>资产梳理服务</w:t>
            </w:r>
          </w:p>
        </w:tc>
        <w:tc>
          <w:tcPr>
            <w:tcW w:w="6470" w:type="dxa"/>
            <w:vAlign w:val="top"/>
          </w:tcPr>
          <w:p>
            <w:pPr>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通过资产风险管理平台梳理管委会当前资产的IP（IP详情、数量）、端口信息（开放的端口及数量）、网络状态、主机应用、各类指纹信息（操作系统、开发语言、Web应用平台/框架及第三方软件等）等资产详情，协助管委会进行网络资产确认及分类。</w:t>
            </w:r>
          </w:p>
          <w:p>
            <w:pP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交付物：《资产梳理报告》一份</w:t>
            </w:r>
            <w:r>
              <w:rPr>
                <w:rFonts w:hint="eastAsia" w:ascii="宋体" w:hAnsi="宋体" w:eastAsia="宋体" w:cs="宋体"/>
                <w:bCs/>
                <w:color w:val="auto"/>
                <w:sz w:val="18"/>
                <w:szCs w:val="18"/>
                <w:highlight w:val="none"/>
                <w:lang w:val="en-US" w:eastAsia="zh-CN"/>
              </w:rPr>
              <w:t>+管委会在用电脑清单完善和对照交付资料。（甲方提供电脑资产清单基础材料）</w:t>
            </w:r>
          </w:p>
        </w:tc>
        <w:tc>
          <w:tcPr>
            <w:tcW w:w="1362" w:type="dxa"/>
            <w:vAlign w:val="center"/>
          </w:tcPr>
          <w:p>
            <w:pPr>
              <w:spacing w:line="360" w:lineRule="auto"/>
              <w:jc w:val="left"/>
              <w:rPr>
                <w:rFonts w:ascii="宋体" w:hAnsi="宋体" w:cs="宋体"/>
                <w:b/>
                <w:color w:val="auto"/>
                <w:sz w:val="24"/>
                <w:highlight w:val="none"/>
              </w:rPr>
            </w:pPr>
            <w:r>
              <w:rPr>
                <w:rFonts w:hint="eastAsia" w:ascii="宋体" w:hAnsi="宋体" w:eastAsia="宋体" w:cs="宋体"/>
                <w:bCs/>
                <w:color w:val="auto"/>
                <w:sz w:val="18"/>
                <w:szCs w:val="18"/>
                <w:highlight w:val="none"/>
              </w:rPr>
              <w:t>1次/年，一年服务有效期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1457" w:type="dxa"/>
            <w:vAlign w:val="center"/>
          </w:tcPr>
          <w:p>
            <w:pPr>
              <w:widowControl/>
              <w:textAlignment w:val="center"/>
              <w:rPr>
                <w:rFonts w:ascii="宋体" w:hAnsi="宋体" w:cs="宋体"/>
                <w:b/>
                <w:color w:val="auto"/>
                <w:sz w:val="18"/>
                <w:szCs w:val="18"/>
                <w:highlight w:val="none"/>
              </w:rPr>
            </w:pPr>
            <w:r>
              <w:rPr>
                <w:rFonts w:hint="eastAsia" w:ascii="宋体" w:hAnsi="宋体" w:cs="宋体"/>
                <w:color w:val="auto"/>
                <w:kern w:val="0"/>
                <w:sz w:val="18"/>
                <w:szCs w:val="18"/>
                <w:highlight w:val="none"/>
              </w:rPr>
              <w:t>漏洞扫描服务</w:t>
            </w:r>
          </w:p>
        </w:tc>
        <w:tc>
          <w:tcPr>
            <w:tcW w:w="6470" w:type="dxa"/>
            <w:vAlign w:val="center"/>
          </w:tcPr>
          <w:p>
            <w:pPr>
              <w:widowControl/>
              <w:numPr>
                <w:ilvl w:val="0"/>
                <w:numId w:val="2"/>
              </w:numP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包含对企业内部网络、主机、系统、中间件、应用等进行专业漏洞扫描；</w:t>
            </w:r>
          </w:p>
          <w:p>
            <w:pPr>
              <w:widowControl/>
              <w:numPr>
                <w:ilvl w:val="0"/>
                <w:numId w:val="2"/>
              </w:numP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针对扫描的的结果形成专业的漏洞扫描报告；</w:t>
            </w:r>
          </w:p>
          <w:p>
            <w:pPr>
              <w:widowControl/>
              <w:numPr>
                <w:ilvl w:val="0"/>
                <w:numId w:val="2"/>
              </w:numP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对扫出来的安全漏洞进行归类，并提出简单修复建议。</w:t>
            </w:r>
          </w:p>
          <w:p>
            <w:pPr>
              <w:widowControl/>
              <w:textAlignment w:val="center"/>
              <w:rPr>
                <w:rFonts w:ascii="宋体" w:hAnsi="宋体" w:cs="宋体"/>
                <w:color w:val="auto"/>
                <w:kern w:val="0"/>
                <w:sz w:val="20"/>
                <w:szCs w:val="20"/>
                <w:highlight w:val="none"/>
              </w:rPr>
            </w:pPr>
            <w:r>
              <w:rPr>
                <w:rFonts w:hint="eastAsia" w:ascii="宋体" w:hAnsi="宋体" w:eastAsia="宋体" w:cs="宋体"/>
                <w:bCs/>
                <w:color w:val="auto"/>
                <w:sz w:val="18"/>
                <w:szCs w:val="18"/>
                <w:highlight w:val="none"/>
              </w:rPr>
              <w:t>交付物：《漏洞扫描报告》若干</w:t>
            </w:r>
          </w:p>
        </w:tc>
        <w:tc>
          <w:tcPr>
            <w:tcW w:w="1362" w:type="dxa"/>
            <w:vAlign w:val="center"/>
          </w:tcPr>
          <w:p>
            <w:pPr>
              <w:jc w:val="left"/>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一年2次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vAlign w:val="center"/>
          </w:tcPr>
          <w:p>
            <w:pPr>
              <w:widowControl/>
              <w:textAlignment w:val="center"/>
              <w:rPr>
                <w:rFonts w:ascii="宋体" w:hAnsi="宋体" w:cs="宋体"/>
                <w:b/>
                <w:color w:val="auto"/>
                <w:sz w:val="18"/>
                <w:szCs w:val="18"/>
                <w:highlight w:val="none"/>
              </w:rPr>
            </w:pPr>
            <w:r>
              <w:rPr>
                <w:rFonts w:hint="eastAsia" w:ascii="宋体" w:hAnsi="宋体" w:cs="宋体"/>
                <w:color w:val="auto"/>
                <w:kern w:val="0"/>
                <w:sz w:val="18"/>
                <w:szCs w:val="18"/>
                <w:highlight w:val="none"/>
              </w:rPr>
              <w:t>渗透测试服务</w:t>
            </w:r>
          </w:p>
        </w:tc>
        <w:tc>
          <w:tcPr>
            <w:tcW w:w="6470" w:type="dxa"/>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网络渗透检测主要采用黑客常规技术对用户核心业务系统的安全性进行模拟测试,发现目标系统存在的安全弱点、技术缺陷或安全漏洞等脆弱性，对其并进行深入的验证分析。渗透性测试过程是一种循序渐进的、可控的检验客户网络系统安全的评估方法。渗透测试的目标在于指出客户的安全缺口，并通过实际的渗透把潜在网络攻击的潜在威胁变成实际的后果，可让客户直观的获得当前网络系统的安全状况，为客户优先增强网络安全提供参考依据。</w:t>
            </w:r>
          </w:p>
          <w:p>
            <w:pPr>
              <w:widowControl/>
              <w:textAlignment w:val="center"/>
              <w:rPr>
                <w:rFonts w:ascii="宋体" w:hAnsi="宋体" w:cs="宋体"/>
                <w:color w:val="auto"/>
                <w:kern w:val="0"/>
                <w:sz w:val="20"/>
                <w:szCs w:val="20"/>
                <w:highlight w:val="none"/>
              </w:rPr>
            </w:pPr>
            <w:r>
              <w:rPr>
                <w:rFonts w:hint="eastAsia" w:ascii="宋体" w:hAnsi="宋体" w:eastAsia="宋体" w:cs="宋体"/>
                <w:bCs/>
                <w:color w:val="auto"/>
                <w:sz w:val="18"/>
                <w:szCs w:val="18"/>
                <w:highlight w:val="none"/>
              </w:rPr>
              <w:t>交付物：《渗透测试报告》两份</w:t>
            </w:r>
          </w:p>
        </w:tc>
        <w:tc>
          <w:tcPr>
            <w:tcW w:w="1362" w:type="dxa"/>
            <w:vAlign w:val="center"/>
          </w:tcPr>
          <w:p>
            <w:pPr>
              <w:jc w:val="left"/>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2次/年，未来科技城管委会内网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vAlign w:val="center"/>
          </w:tcPr>
          <w:p>
            <w:pPr>
              <w:widowControl/>
              <w:textAlignment w:val="center"/>
              <w:rPr>
                <w:rFonts w:ascii="宋体" w:hAnsi="宋体" w:cs="宋体"/>
                <w:b/>
                <w:color w:val="auto"/>
                <w:sz w:val="18"/>
                <w:szCs w:val="18"/>
                <w:highlight w:val="none"/>
              </w:rPr>
            </w:pPr>
            <w:r>
              <w:rPr>
                <w:rFonts w:hint="eastAsia" w:ascii="宋体" w:hAnsi="宋体" w:cs="宋体"/>
                <w:color w:val="auto"/>
                <w:kern w:val="0"/>
                <w:sz w:val="18"/>
                <w:szCs w:val="18"/>
                <w:highlight w:val="none"/>
              </w:rPr>
              <w:t>安全监测服务</w:t>
            </w:r>
          </w:p>
        </w:tc>
        <w:tc>
          <w:tcPr>
            <w:tcW w:w="6470" w:type="dxa"/>
            <w:vAlign w:val="center"/>
          </w:tcPr>
          <w:p>
            <w:pPr>
              <w:widowControl/>
              <w:textAlignment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基础信息探测、★漏洞全时监测、可用性监测、篡改监测、外链及暗链监测、敏感词监测、★专项检查、专业风险监测报告、专业修复建议、风险通报预警、账号分权管理、威胁情报自动推送、平台升级管理。</w:t>
            </w:r>
          </w:p>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分析平台监测数据，定期出具管委会资产安全分析报告并发送到对应负责人邮箱。</w:t>
            </w:r>
          </w:p>
          <w:p>
            <w:pPr>
              <w:widowControl/>
              <w:textAlignment w:val="center"/>
              <w:rPr>
                <w:rFonts w:ascii="宋体" w:hAnsi="宋体" w:cs="宋体"/>
                <w:color w:val="auto"/>
                <w:kern w:val="0"/>
                <w:sz w:val="20"/>
                <w:szCs w:val="20"/>
                <w:highlight w:val="none"/>
              </w:rPr>
            </w:pPr>
            <w:r>
              <w:rPr>
                <w:rFonts w:hint="eastAsia" w:ascii="宋体" w:hAnsi="宋体" w:eastAsia="宋体" w:cs="宋体"/>
                <w:bCs/>
                <w:color w:val="auto"/>
                <w:sz w:val="18"/>
                <w:szCs w:val="18"/>
                <w:highlight w:val="none"/>
              </w:rPr>
              <w:t>交付物：《安全监测报告》若干</w:t>
            </w:r>
          </w:p>
        </w:tc>
        <w:tc>
          <w:tcPr>
            <w:tcW w:w="1362" w:type="dxa"/>
            <w:vAlign w:val="center"/>
          </w:tcPr>
          <w:p>
            <w:pPr>
              <w:jc w:val="left"/>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一年服务有效期，</w:t>
            </w:r>
            <w:r>
              <w:rPr>
                <w:rFonts w:hint="eastAsia" w:ascii="宋体" w:hAnsi="宋体" w:eastAsia="宋体" w:cs="宋体"/>
                <w:bCs/>
                <w:color w:val="auto"/>
                <w:sz w:val="18"/>
                <w:szCs w:val="18"/>
                <w:highlight w:val="none"/>
                <w:lang w:val="en-US" w:eastAsia="zh-CN"/>
              </w:rPr>
              <w:t>6</w:t>
            </w:r>
            <w:r>
              <w:rPr>
                <w:rFonts w:hint="eastAsia" w:ascii="宋体" w:hAnsi="宋体" w:eastAsia="宋体" w:cs="宋体"/>
                <w:bCs/>
                <w:color w:val="auto"/>
                <w:sz w:val="18"/>
                <w:szCs w:val="18"/>
                <w:highlight w:val="none"/>
              </w:rPr>
              <w:t>次（</w:t>
            </w:r>
            <w:r>
              <w:rPr>
                <w:rFonts w:hint="eastAsia" w:ascii="宋体" w:hAnsi="宋体" w:eastAsia="宋体" w:cs="宋体"/>
                <w:bCs/>
                <w:color w:val="auto"/>
                <w:sz w:val="18"/>
                <w:szCs w:val="18"/>
                <w:highlight w:val="none"/>
                <w:lang w:val="en-US" w:eastAsia="zh-CN"/>
              </w:rPr>
              <w:t>每两个月一次</w:t>
            </w:r>
            <w:r>
              <w:rPr>
                <w:rFonts w:hint="eastAsia" w:ascii="宋体" w:hAnsi="宋体" w:eastAsia="宋体" w:cs="宋体"/>
                <w:bCs/>
                <w:color w:val="auto"/>
                <w:sz w:val="18"/>
                <w:szCs w:val="18"/>
                <w:highlight w:val="none"/>
              </w:rPr>
              <w:t>或重要节点前出具）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vAlign w:val="center"/>
          </w:tcPr>
          <w:p>
            <w:pPr>
              <w:widowControl/>
              <w:textAlignment w:val="center"/>
              <w:rPr>
                <w:rFonts w:ascii="宋体" w:hAnsi="宋体" w:cs="宋体"/>
                <w:b/>
                <w:color w:val="auto"/>
                <w:sz w:val="18"/>
                <w:szCs w:val="18"/>
                <w:highlight w:val="none"/>
              </w:rPr>
            </w:pPr>
            <w:r>
              <w:rPr>
                <w:rFonts w:hint="eastAsia" w:ascii="宋体" w:hAnsi="宋体" w:cs="宋体"/>
                <w:color w:val="auto"/>
                <w:kern w:val="0"/>
                <w:sz w:val="18"/>
                <w:szCs w:val="18"/>
                <w:highlight w:val="none"/>
              </w:rPr>
              <w:t>安全加固及督促整改服务</w:t>
            </w:r>
          </w:p>
        </w:tc>
        <w:tc>
          <w:tcPr>
            <w:tcW w:w="6470" w:type="dxa"/>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针对平台发现的安全问题和风险，提供相应的安全加固和整改建议，根据安全优先级协助管委会进行漏洞修复，积极督促各单位的整改工作；</w:t>
            </w:r>
          </w:p>
          <w:p>
            <w:pPr>
              <w:widowControl/>
              <w:textAlignment w:val="center"/>
              <w:rPr>
                <w:rFonts w:ascii="宋体" w:hAnsi="宋体" w:cs="宋体"/>
                <w:color w:val="auto"/>
                <w:kern w:val="0"/>
                <w:sz w:val="20"/>
                <w:szCs w:val="20"/>
                <w:highlight w:val="none"/>
              </w:rPr>
            </w:pPr>
            <w:r>
              <w:rPr>
                <w:rFonts w:hint="eastAsia" w:ascii="宋体" w:hAnsi="宋体" w:eastAsia="宋体" w:cs="宋体"/>
                <w:bCs/>
                <w:color w:val="auto"/>
                <w:sz w:val="18"/>
                <w:szCs w:val="18"/>
                <w:highlight w:val="none"/>
              </w:rPr>
              <w:t>交付物：及时通过线下和线上钉钉、邮件、微信等方式敦促各单位修复</w:t>
            </w:r>
          </w:p>
        </w:tc>
        <w:tc>
          <w:tcPr>
            <w:tcW w:w="1362" w:type="dxa"/>
            <w:vAlign w:val="center"/>
          </w:tcPr>
          <w:p>
            <w:pPr>
              <w:jc w:val="left"/>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一年服务有效期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vAlign w:val="center"/>
          </w:tcPr>
          <w:p>
            <w:pPr>
              <w:widowControl/>
              <w:textAlignment w:val="center"/>
              <w:rPr>
                <w:rFonts w:ascii="宋体" w:hAnsi="宋体" w:cs="宋体"/>
                <w:b/>
                <w:color w:val="auto"/>
                <w:sz w:val="18"/>
                <w:szCs w:val="18"/>
                <w:highlight w:val="none"/>
              </w:rPr>
            </w:pPr>
            <w:r>
              <w:rPr>
                <w:rFonts w:hint="eastAsia" w:ascii="宋体" w:hAnsi="宋体" w:cs="宋体"/>
                <w:color w:val="auto"/>
                <w:kern w:val="0"/>
                <w:sz w:val="18"/>
                <w:szCs w:val="18"/>
                <w:highlight w:val="none"/>
              </w:rPr>
              <w:t>基线核查</w:t>
            </w:r>
          </w:p>
        </w:tc>
        <w:tc>
          <w:tcPr>
            <w:tcW w:w="6470" w:type="dxa"/>
            <w:vAlign w:val="center"/>
          </w:tcPr>
          <w:p>
            <w:pPr>
              <w:widowControl/>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基准安全标准将形成针对不同系统的详细检查列表和操作指南，为标准化的技术安全操作提供框架和标准。对相关设备、系统运行性能进行安全巡检，协助运维人员对相关安全设备进行更新，确保各个安全设备使用最新的病毒库、特征库。</w:t>
            </w:r>
          </w:p>
          <w:p>
            <w:pPr>
              <w:widowControl/>
              <w:textAlignment w:val="center"/>
              <w:rPr>
                <w:rFonts w:ascii="宋体" w:hAnsi="宋体" w:cs="宋体"/>
                <w:color w:val="auto"/>
                <w:kern w:val="0"/>
                <w:sz w:val="20"/>
                <w:szCs w:val="20"/>
                <w:highlight w:val="none"/>
              </w:rPr>
            </w:pPr>
            <w:r>
              <w:rPr>
                <w:rFonts w:hint="eastAsia" w:ascii="宋体" w:hAnsi="宋体" w:eastAsia="宋体" w:cs="宋体"/>
                <w:bCs/>
                <w:color w:val="auto"/>
                <w:sz w:val="18"/>
                <w:szCs w:val="18"/>
                <w:highlight w:val="none"/>
              </w:rPr>
              <w:t>交付物：《安全巡检报告》4份</w:t>
            </w:r>
          </w:p>
        </w:tc>
        <w:tc>
          <w:tcPr>
            <w:tcW w:w="1362" w:type="dxa"/>
            <w:vAlign w:val="center"/>
          </w:tcPr>
          <w:p>
            <w:pPr>
              <w:jc w:val="left"/>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每</w:t>
            </w:r>
            <w:r>
              <w:rPr>
                <w:rFonts w:hint="eastAsia" w:ascii="宋体" w:hAnsi="宋体" w:eastAsia="宋体" w:cs="宋体"/>
                <w:bCs/>
                <w:color w:val="auto"/>
                <w:sz w:val="18"/>
                <w:szCs w:val="18"/>
                <w:highlight w:val="none"/>
                <w:lang w:val="en-US" w:eastAsia="zh-CN"/>
              </w:rPr>
              <w:t>年2次</w:t>
            </w:r>
            <w:r>
              <w:rPr>
                <w:rFonts w:hint="eastAsia" w:ascii="宋体" w:hAnsi="宋体" w:eastAsia="宋体" w:cs="宋体"/>
                <w:bCs/>
                <w:color w:val="auto"/>
                <w:sz w:val="18"/>
                <w:szCs w:val="18"/>
                <w:highlight w:val="none"/>
              </w:rPr>
              <w:t>，一年服务有效期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7" w:type="dxa"/>
            <w:vAlign w:val="center"/>
          </w:tcPr>
          <w:p>
            <w:pPr>
              <w:widowControl/>
              <w:textAlignment w:val="center"/>
              <w:rPr>
                <w:rFonts w:ascii="宋体" w:hAnsi="宋体" w:cs="宋体"/>
                <w:b/>
                <w:color w:val="auto"/>
                <w:sz w:val="18"/>
                <w:szCs w:val="18"/>
                <w:highlight w:val="none"/>
              </w:rPr>
            </w:pPr>
            <w:r>
              <w:rPr>
                <w:rFonts w:hint="eastAsia" w:ascii="宋体" w:hAnsi="宋体" w:cs="宋体"/>
                <w:color w:val="auto"/>
                <w:kern w:val="0"/>
                <w:sz w:val="18"/>
                <w:szCs w:val="18"/>
                <w:highlight w:val="none"/>
              </w:rPr>
              <w:t>应急响应</w:t>
            </w:r>
          </w:p>
        </w:tc>
        <w:tc>
          <w:tcPr>
            <w:tcW w:w="6470" w:type="dxa"/>
            <w:vAlign w:val="center"/>
          </w:tcPr>
          <w:p>
            <w:pPr>
              <w:widowControl/>
              <w:numPr>
                <w:ilvl w:val="0"/>
                <w:numId w:val="3"/>
              </w:numP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对出问题的业务进行分析，发现攻击者的攻击手法；</w:t>
            </w:r>
          </w:p>
          <w:p>
            <w:pPr>
              <w:widowControl/>
              <w:numPr>
                <w:ilvl w:val="0"/>
                <w:numId w:val="3"/>
              </w:numP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对系统基础配置进行检查，发现攻击者改动的数据或应用；</w:t>
            </w:r>
          </w:p>
          <w:p>
            <w:pPr>
              <w:widowControl/>
              <w:numPr>
                <w:ilvl w:val="0"/>
                <w:numId w:val="3"/>
              </w:numP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针对漏洞进行修复，防止攻击者再次发起攻击；</w:t>
            </w:r>
          </w:p>
          <w:p>
            <w:pPr>
              <w:widowControl/>
              <w:numPr>
                <w:ilvl w:val="0"/>
                <w:numId w:val="3"/>
              </w:numP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最后对业务进行恢复，保证系统正常运行；</w:t>
            </w:r>
          </w:p>
          <w:p>
            <w:pPr>
              <w:widowControl/>
              <w:numPr>
                <w:ilvl w:val="0"/>
                <w:numId w:val="3"/>
              </w:numP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提供7X24小时电话热线、远程技术支持。</w:t>
            </w:r>
          </w:p>
          <w:p>
            <w:pPr>
              <w:widowControl/>
              <w:textAlignment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bCs/>
                <w:color w:val="auto"/>
                <w:sz w:val="18"/>
                <w:szCs w:val="18"/>
                <w:highlight w:val="none"/>
              </w:rPr>
              <w:t>交付物：《应急响应报告》若干</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应急响应机制文件+方案1份</w:t>
            </w:r>
          </w:p>
        </w:tc>
        <w:tc>
          <w:tcPr>
            <w:tcW w:w="1362" w:type="dxa"/>
            <w:vAlign w:val="center"/>
          </w:tcPr>
          <w:p>
            <w:pPr>
              <w:jc w:val="left"/>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按需，一年服务有效期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vAlign w:val="center"/>
          </w:tcPr>
          <w:p>
            <w:pPr>
              <w:widowControl/>
              <w:textAlignment w:val="center"/>
              <w:rPr>
                <w:rFonts w:ascii="宋体" w:hAnsi="宋体" w:cs="宋体"/>
                <w:b/>
                <w:color w:val="auto"/>
                <w:sz w:val="18"/>
                <w:szCs w:val="18"/>
                <w:highlight w:val="none"/>
              </w:rPr>
            </w:pPr>
            <w:r>
              <w:rPr>
                <w:rFonts w:hint="eastAsia" w:ascii="宋体" w:hAnsi="宋体" w:cs="宋体"/>
                <w:color w:val="auto"/>
                <w:kern w:val="0"/>
                <w:sz w:val="18"/>
                <w:szCs w:val="18"/>
                <w:highlight w:val="none"/>
              </w:rPr>
              <w:t>安全培训</w:t>
            </w:r>
          </w:p>
        </w:tc>
        <w:tc>
          <w:tcPr>
            <w:tcW w:w="6470"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安全培训内容包括法律法规、安全意识培训、网络安全隐患，通过安全培训，能够提升单位人员的安全意识、安全技能等，提高单位网络安全建设、运维水平。</w:t>
            </w:r>
          </w:p>
          <w:p>
            <w:pPr>
              <w:widowControl/>
              <w:jc w:val="left"/>
              <w:textAlignment w:val="center"/>
              <w:rPr>
                <w:rFonts w:ascii="宋体" w:hAnsi="宋体" w:cs="宋体"/>
                <w:color w:val="auto"/>
                <w:kern w:val="0"/>
                <w:sz w:val="20"/>
                <w:szCs w:val="20"/>
                <w:highlight w:val="none"/>
              </w:rPr>
            </w:pPr>
            <w:r>
              <w:rPr>
                <w:rFonts w:hint="eastAsia" w:ascii="宋体" w:hAnsi="宋体" w:eastAsia="宋体" w:cs="宋体"/>
                <w:bCs/>
                <w:color w:val="auto"/>
                <w:sz w:val="18"/>
                <w:szCs w:val="18"/>
                <w:highlight w:val="none"/>
              </w:rPr>
              <w:t>交付物：《安全培训课件》若干、培训2次</w:t>
            </w:r>
          </w:p>
        </w:tc>
        <w:tc>
          <w:tcPr>
            <w:tcW w:w="1362" w:type="dxa"/>
            <w:vAlign w:val="center"/>
          </w:tcPr>
          <w:p>
            <w:pPr>
              <w:jc w:val="left"/>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1</w:t>
            </w:r>
            <w:r>
              <w:rPr>
                <w:rFonts w:hint="eastAsia" w:ascii="宋体" w:hAnsi="宋体" w:eastAsia="宋体" w:cs="宋体"/>
                <w:bCs/>
                <w:color w:val="auto"/>
                <w:sz w:val="18"/>
                <w:szCs w:val="18"/>
                <w:highlight w:val="none"/>
              </w:rPr>
              <w:t>次/年，一次2个课时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vAlign w:val="center"/>
          </w:tcPr>
          <w:p>
            <w:pPr>
              <w:widowControl/>
              <w:jc w:val="left"/>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rPr>
              <w:t>攻击面收敛服务</w:t>
            </w:r>
          </w:p>
        </w:tc>
        <w:tc>
          <w:tcPr>
            <w:tcW w:w="6470" w:type="dxa"/>
            <w:vAlign w:val="center"/>
          </w:tcPr>
          <w:p>
            <w:pPr>
              <w:widowControl/>
              <w:jc w:val="left"/>
              <w:textAlignment w:val="center"/>
              <w:rPr>
                <w:rFonts w:hint="eastAsia" w:ascii="宋体" w:hAnsi="宋体" w:eastAsia="宋体" w:cs="宋体"/>
                <w:color w:val="auto"/>
                <w:kern w:val="0"/>
                <w:sz w:val="20"/>
                <w:szCs w:val="20"/>
                <w:highlight w:val="none"/>
                <w:lang w:val="en-US"/>
              </w:rPr>
            </w:pPr>
            <w:r>
              <w:rPr>
                <w:rFonts w:hint="eastAsia" w:ascii="宋体" w:hAnsi="宋体" w:eastAsia="宋体" w:cs="宋体"/>
                <w:color w:val="auto"/>
                <w:kern w:val="0"/>
                <w:sz w:val="20"/>
                <w:szCs w:val="20"/>
                <w:highlight w:val="none"/>
              </w:rPr>
              <w:t>支持提供web攻击面收敛产品服务，支持管理后台攻击面收敛</w:t>
            </w:r>
          </w:p>
        </w:tc>
        <w:tc>
          <w:tcPr>
            <w:tcW w:w="1362" w:type="dxa"/>
            <w:vAlign w:val="center"/>
          </w:tcPr>
          <w:p>
            <w:pPr>
              <w:pStyle w:val="9"/>
              <w:ind w:left="0" w:left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vAlign w:val="center"/>
          </w:tcPr>
          <w:p>
            <w:pPr>
              <w:widowControl/>
              <w:textAlignment w:val="center"/>
              <w:rPr>
                <w:rFonts w:ascii="宋体" w:hAnsi="宋体" w:cs="宋体"/>
                <w:b/>
                <w:color w:val="auto"/>
                <w:sz w:val="18"/>
                <w:szCs w:val="18"/>
                <w:highlight w:val="none"/>
              </w:rPr>
            </w:pPr>
            <w:r>
              <w:rPr>
                <w:rFonts w:hint="eastAsia" w:ascii="宋体" w:hAnsi="宋体" w:cs="宋体"/>
                <w:color w:val="auto"/>
                <w:kern w:val="0"/>
                <w:sz w:val="18"/>
                <w:szCs w:val="18"/>
                <w:highlight w:val="none"/>
              </w:rPr>
              <w:t>重保服务</w:t>
            </w:r>
          </w:p>
        </w:tc>
        <w:tc>
          <w:tcPr>
            <w:tcW w:w="6470" w:type="dxa"/>
            <w:vAlign w:val="center"/>
          </w:tcPr>
          <w:p>
            <w:pPr>
              <w:widowControl/>
              <w:jc w:val="left"/>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服务</w:t>
            </w:r>
            <w:r>
              <w:rPr>
                <w:rFonts w:hint="eastAsia" w:ascii="宋体" w:hAnsi="宋体" w:cs="宋体"/>
                <w:color w:val="auto"/>
                <w:kern w:val="0"/>
                <w:sz w:val="20"/>
                <w:szCs w:val="20"/>
                <w:highlight w:val="none"/>
              </w:rPr>
              <w:t>期间</w:t>
            </w:r>
            <w:r>
              <w:rPr>
                <w:rFonts w:hint="eastAsia" w:ascii="宋体" w:hAnsi="宋体" w:cs="宋体"/>
                <w:color w:val="auto"/>
                <w:kern w:val="0"/>
                <w:sz w:val="20"/>
                <w:szCs w:val="20"/>
                <w:highlight w:val="none"/>
                <w:lang w:val="en-US" w:eastAsia="zh-CN"/>
              </w:rPr>
              <w:t>内</w:t>
            </w:r>
            <w:r>
              <w:rPr>
                <w:rFonts w:hint="eastAsia" w:ascii="宋体" w:hAnsi="宋体" w:cs="宋体"/>
                <w:color w:val="auto"/>
                <w:kern w:val="0"/>
                <w:sz w:val="20"/>
                <w:szCs w:val="20"/>
                <w:highlight w:val="none"/>
              </w:rPr>
              <w:t>提供 5*8小时现场值守服务以及7*24小时远程值守服务，通过开展安全事件监控及异常访问行为的识别与发现，对安全事件进行准确定位、研判控制、分析及处置，快速控制影响、减少损失，确保重大活动期间系统安全稳定的运行。</w:t>
            </w:r>
          </w:p>
          <w:p>
            <w:pPr>
              <w:widowControl/>
              <w:jc w:val="left"/>
              <w:textAlignment w:val="center"/>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交付物：《重保期安全值守日报》若干</w:t>
            </w:r>
          </w:p>
          <w:p>
            <w:pPr>
              <w:widowControl/>
              <w:jc w:val="left"/>
              <w:textAlignment w:val="center"/>
              <w:rPr>
                <w:rFonts w:ascii="宋体" w:hAnsi="宋体" w:cs="宋体"/>
                <w:color w:val="auto"/>
                <w:kern w:val="0"/>
                <w:sz w:val="20"/>
                <w:szCs w:val="20"/>
                <w:highlight w:val="none"/>
              </w:rPr>
            </w:pPr>
            <w:r>
              <w:rPr>
                <w:rFonts w:hint="eastAsia" w:ascii="宋体" w:hAnsi="宋体" w:eastAsia="宋体" w:cs="宋体"/>
                <w:bCs/>
                <w:color w:val="auto"/>
                <w:sz w:val="18"/>
                <w:szCs w:val="18"/>
                <w:highlight w:val="none"/>
              </w:rPr>
              <w:t>《重保期值守总结报告》若干</w:t>
            </w:r>
          </w:p>
        </w:tc>
        <w:tc>
          <w:tcPr>
            <w:tcW w:w="1362" w:type="dxa"/>
            <w:vAlign w:val="center"/>
          </w:tcPr>
          <w:p>
            <w:pPr>
              <w:jc w:val="left"/>
              <w:rPr>
                <w:rFonts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安全专家现场值守</w:t>
            </w:r>
          </w:p>
          <w:p>
            <w:pPr>
              <w:jc w:val="left"/>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可根据需要在此期间提供互联网攻击面收敛防护重保设备使用</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10天 可按照甲方需要分多次执行</w:t>
            </w:r>
            <w:r>
              <w:rPr>
                <w:rFonts w:hint="eastAsia" w:ascii="宋体" w:hAnsi="宋体" w:eastAsia="宋体" w:cs="宋体"/>
                <w:bCs/>
                <w:color w:val="auto"/>
                <w:sz w:val="18"/>
                <w:szCs w:val="18"/>
                <w:highlight w:val="none"/>
                <w:lang w:eastAsia="zh-CN"/>
              </w:rPr>
              <w:t>）</w:t>
            </w:r>
          </w:p>
        </w:tc>
      </w:tr>
    </w:tbl>
    <w:p>
      <w:pPr>
        <w:widowControl w:val="0"/>
        <w:wordWrap w:val="0"/>
        <w:topLinePunct/>
        <w:adjustRightInd w:val="0"/>
        <w:snapToGrid w:val="0"/>
        <w:spacing w:line="360" w:lineRule="auto"/>
        <w:ind w:right="0" w:firstLine="480" w:firstLineChars="200"/>
        <w:jc w:val="both"/>
        <w:textAlignment w:val="auto"/>
        <w:rPr>
          <w:rFonts w:hint="eastAsia" w:ascii="宋体" w:hAnsi="宋体" w:cs="宋体"/>
          <w:bCs/>
          <w:sz w:val="24"/>
        </w:rPr>
      </w:pPr>
      <w:r>
        <w:rPr>
          <w:rFonts w:hint="eastAsia" w:ascii="宋体" w:hAnsi="宋体" w:cs="宋体"/>
          <w:bCs/>
          <w:sz w:val="24"/>
        </w:rPr>
        <w:t>注：在服务期内根据</w:t>
      </w:r>
      <w:r>
        <w:rPr>
          <w:rFonts w:hint="eastAsia" w:ascii="宋体" w:hAnsi="宋体" w:cs="宋体"/>
          <w:bCs/>
          <w:sz w:val="24"/>
          <w:lang w:eastAsia="zh-CN"/>
        </w:rPr>
        <w:t>招标人</w:t>
      </w:r>
      <w:r>
        <w:rPr>
          <w:rFonts w:hint="eastAsia" w:ascii="宋体" w:hAnsi="宋体" w:cs="宋体"/>
          <w:bCs/>
          <w:sz w:val="24"/>
        </w:rPr>
        <w:t>要求时间提供相应服务及成果。</w:t>
      </w:r>
    </w:p>
    <w:p>
      <w:pPr>
        <w:widowControl w:val="0"/>
        <w:wordWrap w:val="0"/>
        <w:topLinePunct/>
        <w:adjustRightInd w:val="0"/>
        <w:snapToGrid w:val="0"/>
        <w:spacing w:line="360" w:lineRule="auto"/>
        <w:ind w:right="0" w:firstLine="480" w:firstLineChars="200"/>
        <w:jc w:val="both"/>
        <w:textAlignment w:val="auto"/>
        <w:rPr>
          <w:rFonts w:hint="eastAsia" w:ascii="宋体" w:hAnsi="宋体" w:cs="宋体"/>
          <w:bCs/>
          <w:sz w:val="24"/>
          <w:lang w:val="zh-CN"/>
        </w:rPr>
      </w:pPr>
    </w:p>
    <w:p>
      <w:pPr>
        <w:widowControl w:val="0"/>
        <w:numPr>
          <w:ilvl w:val="0"/>
          <w:numId w:val="4"/>
        </w:numPr>
        <w:wordWrap w:val="0"/>
        <w:topLinePunct/>
        <w:adjustRightInd w:val="0"/>
        <w:snapToGrid w:val="0"/>
        <w:spacing w:line="360" w:lineRule="auto"/>
        <w:ind w:right="0" w:firstLine="482" w:firstLineChars="200"/>
        <w:jc w:val="both"/>
        <w:textAlignment w:val="auto"/>
        <w:rPr>
          <w:rFonts w:hint="eastAsia" w:ascii="宋体" w:hAnsi="宋体" w:cs="宋体"/>
          <w:b/>
          <w:bCs w:val="0"/>
          <w:sz w:val="24"/>
        </w:rPr>
      </w:pPr>
      <w:r>
        <w:rPr>
          <w:rFonts w:hint="eastAsia" w:ascii="宋体" w:hAnsi="宋体" w:cs="宋体"/>
          <w:b/>
          <w:bCs w:val="0"/>
          <w:sz w:val="24"/>
        </w:rPr>
        <w:t>人员要求：</w:t>
      </w:r>
    </w:p>
    <w:p>
      <w:pPr>
        <w:widowControl w:val="0"/>
        <w:wordWrap w:val="0"/>
        <w:topLinePunct/>
        <w:adjustRightInd w:val="0"/>
        <w:snapToGrid w:val="0"/>
        <w:spacing w:line="360" w:lineRule="auto"/>
        <w:ind w:right="0" w:firstLine="480" w:firstLineChars="200"/>
        <w:jc w:val="both"/>
        <w:textAlignment w:val="auto"/>
        <w:rPr>
          <w:rFonts w:hint="eastAsia" w:ascii="宋体" w:hAnsi="宋体" w:eastAsia="宋体" w:cs="宋体"/>
          <w:kern w:val="0"/>
          <w:sz w:val="24"/>
          <w:lang w:eastAsia="zh-CN"/>
        </w:rPr>
      </w:pPr>
      <w:r>
        <w:rPr>
          <w:rFonts w:hint="eastAsia" w:ascii="宋体" w:hAnsi="宋体" w:cs="宋体"/>
          <w:kern w:val="0"/>
          <w:sz w:val="24"/>
        </w:rPr>
        <w:t>（1）对</w:t>
      </w:r>
      <w:r>
        <w:rPr>
          <w:rFonts w:hint="eastAsia" w:ascii="宋体" w:hAnsi="宋体" w:cs="宋体"/>
          <w:kern w:val="0"/>
          <w:sz w:val="24"/>
          <w:lang w:eastAsia="zh-CN"/>
        </w:rPr>
        <w:t>未来科技城网络安全防护服务</w:t>
      </w:r>
      <w:r>
        <w:rPr>
          <w:rFonts w:hint="eastAsia" w:ascii="宋体" w:hAnsi="宋体" w:cs="宋体"/>
          <w:kern w:val="0"/>
          <w:sz w:val="24"/>
        </w:rPr>
        <w:t>的网络安全防护服务，人员投入不少于3人，重保服务人天投入不少于</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0</w:t>
      </w:r>
      <w:r>
        <w:rPr>
          <w:rFonts w:hint="eastAsia" w:ascii="宋体" w:hAnsi="宋体" w:cs="宋体"/>
          <w:kern w:val="0"/>
          <w:sz w:val="24"/>
        </w:rPr>
        <w:t>人天。</w:t>
      </w:r>
    </w:p>
    <w:p>
      <w:pPr>
        <w:widowControl w:val="0"/>
        <w:wordWrap w:val="0"/>
        <w:topLinePunct/>
        <w:adjustRightInd w:val="0"/>
        <w:snapToGrid w:val="0"/>
        <w:spacing w:line="360" w:lineRule="auto"/>
        <w:ind w:right="0" w:firstLine="480" w:firstLineChars="200"/>
        <w:jc w:val="both"/>
        <w:textAlignment w:val="auto"/>
        <w:rPr>
          <w:rFonts w:hint="eastAsia" w:ascii="宋体" w:hAnsi="宋体" w:cs="宋体"/>
          <w:kern w:val="0"/>
          <w:sz w:val="24"/>
        </w:rPr>
      </w:pPr>
      <w:r>
        <w:rPr>
          <w:rFonts w:hint="eastAsia" w:ascii="宋体" w:hAnsi="宋体" w:cs="宋体"/>
          <w:kern w:val="0"/>
          <w:sz w:val="24"/>
        </w:rPr>
        <w:t>（2）服务人员素质要求</w:t>
      </w:r>
      <w:r>
        <w:rPr>
          <w:rFonts w:hint="eastAsia" w:ascii="宋体" w:hAnsi="宋体" w:cs="宋体"/>
          <w:kern w:val="0"/>
          <w:sz w:val="24"/>
          <w:lang w:eastAsia="zh-CN"/>
        </w:rPr>
        <w:t>：</w:t>
      </w:r>
      <w:r>
        <w:rPr>
          <w:rFonts w:hint="eastAsia" w:ascii="宋体" w:hAnsi="宋体" w:cs="宋体"/>
          <w:kern w:val="0"/>
          <w:sz w:val="24"/>
        </w:rPr>
        <w:t>队伍管理的各级管理人员，应具有较高的管理能力、应变能力、组织能力、年轻化、专业化，并具有大专及以上文化程度，政治上合格，素质上过硬，无任何违法、违纪等不良记录。</w:t>
      </w:r>
    </w:p>
    <w:p>
      <w:pPr>
        <w:widowControl w:val="0"/>
        <w:wordWrap w:val="0"/>
        <w:topLinePunct/>
        <w:adjustRightInd w:val="0"/>
        <w:snapToGrid w:val="0"/>
        <w:spacing w:line="360" w:lineRule="auto"/>
        <w:ind w:right="0" w:firstLine="480" w:firstLineChars="200"/>
        <w:jc w:val="both"/>
        <w:textAlignment w:val="auto"/>
        <w:rPr>
          <w:rFonts w:hint="eastAsia" w:ascii="宋体" w:hAnsi="宋体" w:cs="宋体"/>
          <w:kern w:val="0"/>
          <w:sz w:val="24"/>
        </w:rPr>
      </w:pPr>
      <w:r>
        <w:rPr>
          <w:rFonts w:hint="eastAsia" w:ascii="宋体" w:hAnsi="宋体" w:cs="宋体"/>
          <w:kern w:val="0"/>
          <w:sz w:val="24"/>
        </w:rPr>
        <w:t>（3）渗透测试服务人员：必须具有2年以上渗透测试项目实施经验，具备挖掘WEB漏洞能力（例如XSS、SQL注入、文件上传等漏洞）。</w:t>
      </w:r>
    </w:p>
    <w:p>
      <w:pPr>
        <w:widowControl w:val="0"/>
        <w:wordWrap w:val="0"/>
        <w:topLinePunct/>
        <w:adjustRightInd w:val="0"/>
        <w:snapToGrid w:val="0"/>
        <w:spacing w:line="360" w:lineRule="auto"/>
        <w:ind w:right="0" w:firstLine="480" w:firstLineChars="200"/>
        <w:jc w:val="both"/>
        <w:textAlignment w:val="auto"/>
        <w:rPr>
          <w:rFonts w:hint="eastAsia" w:ascii="宋体" w:hAnsi="宋体" w:eastAsia="宋体" w:cs="宋体"/>
          <w:kern w:val="0"/>
          <w:sz w:val="24"/>
          <w:lang w:eastAsia="zh-CN"/>
        </w:rPr>
      </w:pPr>
      <w:r>
        <w:rPr>
          <w:rFonts w:hint="eastAsia" w:ascii="宋体" w:hAnsi="宋体" w:cs="宋体"/>
          <w:kern w:val="0"/>
          <w:sz w:val="24"/>
        </w:rPr>
        <w:t>（4）驻场服务人员：现场值守，现场值守专家</w:t>
      </w:r>
      <w:r>
        <w:rPr>
          <w:rFonts w:hint="eastAsia" w:ascii="宋体" w:hAnsi="宋体" w:cs="宋体"/>
          <w:kern w:val="0"/>
          <w:sz w:val="24"/>
          <w:lang w:val="en-US" w:eastAsia="zh-CN"/>
        </w:rPr>
        <w:t>须</w:t>
      </w:r>
      <w:r>
        <w:rPr>
          <w:rFonts w:hint="eastAsia" w:ascii="宋体" w:hAnsi="宋体" w:cs="宋体"/>
          <w:kern w:val="0"/>
          <w:sz w:val="24"/>
        </w:rPr>
        <w:t>是乙方所在网络安全公司专职技术人员，有丰富的红蓝对抗的护网实战经验</w:t>
      </w:r>
      <w:r>
        <w:rPr>
          <w:rFonts w:hint="eastAsia" w:ascii="宋体" w:hAnsi="宋体" w:cs="宋体"/>
          <w:kern w:val="0"/>
          <w:sz w:val="24"/>
          <w:lang w:eastAsia="zh-CN"/>
        </w:rPr>
        <w:t>。</w:t>
      </w:r>
    </w:p>
    <w:p>
      <w:pPr>
        <w:widowControl w:val="0"/>
        <w:wordWrap w:val="0"/>
        <w:topLinePunct/>
        <w:adjustRightInd w:val="0"/>
        <w:snapToGrid w:val="0"/>
        <w:spacing w:line="360" w:lineRule="auto"/>
        <w:ind w:right="0" w:firstLine="560" w:firstLineChars="200"/>
        <w:jc w:val="both"/>
        <w:textAlignment w:val="auto"/>
        <w:rPr>
          <w:rFonts w:ascii="Calibri" w:hAnsi="Calibri" w:eastAsia="宋体" w:cs="Times New Roman"/>
          <w:kern w:val="2"/>
          <w:sz w:val="28"/>
          <w:szCs w:val="22"/>
          <w:lang w:val="en-US" w:eastAsia="zh-CN" w:bidi="ar-SA"/>
        </w:rPr>
      </w:pPr>
    </w:p>
    <w:p>
      <w:pPr>
        <w:widowControl w:val="0"/>
        <w:wordWrap w:val="0"/>
        <w:topLinePunct/>
        <w:adjustRightInd w:val="0"/>
        <w:snapToGrid w:val="0"/>
        <w:spacing w:line="360" w:lineRule="auto"/>
        <w:ind w:right="0" w:firstLine="480" w:firstLineChars="200"/>
        <w:jc w:val="both"/>
        <w:textAlignment w:val="auto"/>
        <w:rPr>
          <w:rFonts w:hint="eastAsia" w:ascii="宋体" w:hAnsi="宋体" w:cs="宋体"/>
          <w:bCs/>
          <w:color w:val="auto"/>
          <w:sz w:val="24"/>
          <w:lang w:eastAsia="zh-CN"/>
        </w:rPr>
      </w:pPr>
      <w:r>
        <w:rPr>
          <w:rFonts w:hint="eastAsia" w:ascii="宋体" w:hAnsi="宋体" w:cs="宋体"/>
          <w:bCs/>
          <w:sz w:val="24"/>
          <w:lang w:val="zh-CN"/>
        </w:rPr>
        <w:t>●</w:t>
      </w:r>
      <w:r>
        <w:rPr>
          <w:rFonts w:hint="eastAsia" w:ascii="宋体" w:hAnsi="宋体" w:cs="宋体"/>
          <w:bCs/>
          <w:sz w:val="24"/>
          <w:lang w:val="en-US" w:eastAsia="zh-CN"/>
        </w:rPr>
        <w:t>四</w:t>
      </w:r>
      <w:r>
        <w:rPr>
          <w:rFonts w:hint="eastAsia" w:ascii="宋体" w:hAnsi="宋体" w:cs="宋体"/>
          <w:b/>
          <w:sz w:val="24"/>
        </w:rPr>
        <w:t>、服务期限：</w:t>
      </w:r>
      <w:r>
        <w:rPr>
          <w:rFonts w:hint="eastAsia" w:ascii="宋体" w:hAnsi="宋体" w:cs="宋体"/>
          <w:bCs/>
          <w:color w:val="auto"/>
          <w:sz w:val="24"/>
        </w:rPr>
        <w:t>合同签订之日起一年</w:t>
      </w:r>
      <w:r>
        <w:rPr>
          <w:rFonts w:hint="eastAsia" w:ascii="宋体" w:hAnsi="宋体" w:cs="宋体"/>
          <w:bCs/>
          <w:color w:val="auto"/>
          <w:sz w:val="24"/>
          <w:lang w:eastAsia="zh-CN"/>
        </w:rPr>
        <w:t>。</w:t>
      </w:r>
    </w:p>
    <w:p>
      <w:pPr>
        <w:widowControl w:val="0"/>
        <w:wordWrap w:val="0"/>
        <w:topLinePunct/>
        <w:adjustRightInd w:val="0"/>
        <w:snapToGrid w:val="0"/>
        <w:spacing w:line="360" w:lineRule="auto"/>
        <w:ind w:right="0" w:firstLine="480" w:firstLineChars="200"/>
        <w:jc w:val="both"/>
        <w:textAlignment w:val="auto"/>
        <w:rPr>
          <w:rFonts w:hint="eastAsia" w:ascii="宋体" w:hAnsi="宋体" w:cs="宋体"/>
          <w:bCs/>
          <w:color w:val="FF0000"/>
          <w:sz w:val="24"/>
          <w:lang w:eastAsia="zh-CN"/>
        </w:rPr>
      </w:pPr>
    </w:p>
    <w:p>
      <w:pPr>
        <w:widowControl w:val="0"/>
        <w:wordWrap w:val="0"/>
        <w:topLinePunct/>
        <w:adjustRightInd w:val="0"/>
        <w:snapToGrid w:val="0"/>
        <w:spacing w:line="360" w:lineRule="auto"/>
        <w:ind w:right="0" w:firstLine="480" w:firstLineChars="200"/>
        <w:jc w:val="both"/>
        <w:textAlignment w:val="auto"/>
        <w:rPr>
          <w:rFonts w:ascii="宋体" w:hAnsi="宋体" w:cs="宋体"/>
          <w:bCs/>
          <w:sz w:val="24"/>
        </w:rPr>
      </w:pPr>
      <w:r>
        <w:rPr>
          <w:rFonts w:hint="eastAsia" w:ascii="宋体" w:hAnsi="宋体" w:cs="宋体"/>
          <w:bCs/>
          <w:sz w:val="24"/>
          <w:lang w:val="zh-CN"/>
        </w:rPr>
        <w:t>●</w:t>
      </w:r>
      <w:r>
        <w:rPr>
          <w:rFonts w:hint="eastAsia" w:ascii="宋体" w:hAnsi="宋体" w:cs="宋体"/>
          <w:bCs/>
          <w:sz w:val="24"/>
          <w:lang w:val="en-US" w:eastAsia="zh-CN"/>
        </w:rPr>
        <w:t>五</w:t>
      </w:r>
      <w:r>
        <w:rPr>
          <w:rFonts w:hint="eastAsia" w:ascii="宋体" w:hAnsi="宋体"/>
          <w:b/>
          <w:sz w:val="24"/>
        </w:rPr>
        <w:t>、货款支付：</w:t>
      </w:r>
    </w:p>
    <w:p>
      <w:pPr>
        <w:widowControl w:val="0"/>
        <w:wordWrap w:val="0"/>
        <w:topLinePunct/>
        <w:adjustRightInd w:val="0"/>
        <w:snapToGrid w:val="0"/>
        <w:spacing w:line="360" w:lineRule="auto"/>
        <w:ind w:right="0" w:firstLine="480" w:firstLineChars="200"/>
        <w:jc w:val="both"/>
        <w:textAlignment w:val="auto"/>
        <w:rPr>
          <w:rFonts w:ascii="宋体" w:hAnsi="宋体" w:cs="宋体"/>
          <w:bCs/>
          <w:sz w:val="24"/>
        </w:rPr>
      </w:pPr>
      <w:r>
        <w:rPr>
          <w:rFonts w:hint="eastAsia" w:ascii="宋体" w:hAnsi="宋体" w:cs="宋体"/>
          <w:bCs/>
          <w:sz w:val="24"/>
        </w:rPr>
        <w:t>1、合同签订后7个工作日内，</w:t>
      </w:r>
      <w:r>
        <w:rPr>
          <w:rFonts w:hint="eastAsia" w:ascii="宋体" w:hAnsi="宋体" w:cs="宋体"/>
          <w:bCs/>
          <w:sz w:val="24"/>
          <w:lang w:eastAsia="zh-CN"/>
        </w:rPr>
        <w:t>招标人</w:t>
      </w:r>
      <w:r>
        <w:rPr>
          <w:rFonts w:hint="eastAsia" w:ascii="宋体" w:hAnsi="宋体" w:cs="宋体"/>
          <w:bCs/>
          <w:sz w:val="24"/>
        </w:rPr>
        <w:t>凭中标人提供的增值税专用发票支付合同价的50%。</w:t>
      </w:r>
    </w:p>
    <w:p>
      <w:pPr>
        <w:widowControl w:val="0"/>
        <w:wordWrap w:val="0"/>
        <w:topLinePunct/>
        <w:adjustRightInd w:val="0"/>
        <w:snapToGrid w:val="0"/>
        <w:spacing w:line="360" w:lineRule="auto"/>
        <w:ind w:right="0" w:firstLine="480" w:firstLineChars="200"/>
        <w:jc w:val="both"/>
        <w:textAlignment w:val="auto"/>
        <w:rPr>
          <w:rFonts w:ascii="宋体" w:hAnsi="宋体" w:cs="宋体"/>
          <w:bCs/>
          <w:sz w:val="24"/>
        </w:rPr>
      </w:pPr>
      <w:r>
        <w:rPr>
          <w:rFonts w:hint="eastAsia" w:ascii="宋体" w:hAnsi="宋体" w:cs="宋体"/>
          <w:bCs/>
          <w:sz w:val="24"/>
        </w:rPr>
        <w:t>2、服务期限满并经验收合格后，</w:t>
      </w:r>
      <w:r>
        <w:rPr>
          <w:rFonts w:hint="eastAsia" w:ascii="宋体" w:hAnsi="宋体" w:cs="宋体"/>
          <w:bCs/>
          <w:sz w:val="24"/>
          <w:lang w:eastAsia="zh-CN"/>
        </w:rPr>
        <w:t>招标人</w:t>
      </w:r>
      <w:r>
        <w:rPr>
          <w:rFonts w:hint="eastAsia" w:ascii="宋体" w:hAnsi="宋体" w:cs="宋体"/>
          <w:bCs/>
          <w:sz w:val="24"/>
        </w:rPr>
        <w:t>凭中标人提供的增值税专用发票支付合同价的50%。</w:t>
      </w:r>
    </w:p>
    <w:p>
      <w:pPr>
        <w:widowControl w:val="0"/>
        <w:wordWrap w:val="0"/>
        <w:topLinePunct/>
        <w:adjustRightInd w:val="0"/>
        <w:snapToGrid w:val="0"/>
        <w:spacing w:line="360" w:lineRule="auto"/>
        <w:ind w:right="0" w:firstLine="480" w:firstLineChars="200"/>
        <w:jc w:val="both"/>
        <w:textAlignment w:val="auto"/>
        <w:rPr>
          <w:rFonts w:ascii="宋体" w:hAnsi="宋体" w:cs="宋体"/>
          <w:bCs/>
          <w:sz w:val="24"/>
        </w:rPr>
      </w:pPr>
      <w:r>
        <w:rPr>
          <w:rFonts w:hint="eastAsia" w:ascii="宋体" w:hAnsi="宋体" w:cs="宋体"/>
          <w:bCs/>
          <w:sz w:val="24"/>
        </w:rPr>
        <w:t>3、在合同期内</w:t>
      </w:r>
      <w:r>
        <w:rPr>
          <w:rFonts w:hint="eastAsia" w:ascii="宋体" w:hAnsi="宋体" w:cs="宋体"/>
          <w:bCs/>
          <w:sz w:val="24"/>
          <w:lang w:eastAsia="zh-CN"/>
        </w:rPr>
        <w:t>招标人</w:t>
      </w:r>
      <w:r>
        <w:rPr>
          <w:rFonts w:hint="eastAsia" w:ascii="宋体" w:hAnsi="宋体" w:cs="宋体"/>
          <w:bCs/>
          <w:sz w:val="24"/>
        </w:rPr>
        <w:t>根据中标人提供的服务，若</w:t>
      </w:r>
      <w:r>
        <w:rPr>
          <w:rFonts w:hint="eastAsia" w:ascii="宋体" w:hAnsi="宋体" w:cs="宋体"/>
          <w:bCs/>
          <w:sz w:val="24"/>
          <w:lang w:eastAsia="zh-CN"/>
        </w:rPr>
        <w:t>招标人</w:t>
      </w:r>
      <w:r>
        <w:rPr>
          <w:rFonts w:hint="eastAsia" w:ascii="宋体" w:hAnsi="宋体" w:cs="宋体"/>
          <w:bCs/>
          <w:sz w:val="24"/>
        </w:rPr>
        <w:t>因与中标人合作内容而被余杭区及上级部门检查扣分、通报情况的；现场值守网络安全值守期间，未及时阻止网络攻击的，给</w:t>
      </w:r>
      <w:r>
        <w:rPr>
          <w:rFonts w:hint="eastAsia" w:ascii="宋体" w:hAnsi="宋体" w:cs="宋体"/>
          <w:bCs/>
          <w:sz w:val="24"/>
          <w:lang w:eastAsia="zh-CN"/>
        </w:rPr>
        <w:t>招标人</w:t>
      </w:r>
      <w:r>
        <w:rPr>
          <w:rFonts w:hint="eastAsia" w:ascii="宋体" w:hAnsi="宋体" w:cs="宋体"/>
          <w:bCs/>
          <w:sz w:val="24"/>
        </w:rPr>
        <w:t>造成影响、损失或被有关单位通报情况的；具体如下：</w:t>
      </w:r>
    </w:p>
    <w:p>
      <w:pPr>
        <w:widowControl w:val="0"/>
        <w:wordWrap w:val="0"/>
        <w:topLinePunct/>
        <w:adjustRightInd w:val="0"/>
        <w:snapToGrid w:val="0"/>
        <w:spacing w:line="360" w:lineRule="auto"/>
        <w:ind w:right="0" w:firstLine="480" w:firstLineChars="200"/>
        <w:jc w:val="both"/>
        <w:textAlignment w:val="auto"/>
        <w:rPr>
          <w:rFonts w:ascii="宋体" w:hAnsi="宋体" w:cs="宋体"/>
          <w:bCs/>
          <w:sz w:val="24"/>
        </w:rPr>
      </w:pPr>
      <w:r>
        <w:rPr>
          <w:rFonts w:hint="eastAsia" w:ascii="宋体" w:hAnsi="宋体" w:cs="宋体"/>
          <w:bCs/>
          <w:sz w:val="24"/>
        </w:rPr>
        <w:t>1）受到国家级问题通报的，出现1次，每次扣除合同总价的</w:t>
      </w:r>
      <w:r>
        <w:rPr>
          <w:rFonts w:ascii="宋体" w:hAnsi="宋体" w:cs="宋体"/>
          <w:bCs/>
          <w:sz w:val="24"/>
        </w:rPr>
        <w:t>10</w:t>
      </w:r>
      <w:r>
        <w:rPr>
          <w:rFonts w:hint="eastAsia" w:ascii="宋体" w:hAnsi="宋体" w:cs="宋体"/>
          <w:bCs/>
          <w:sz w:val="24"/>
        </w:rPr>
        <w:t>%。</w:t>
      </w:r>
    </w:p>
    <w:p>
      <w:pPr>
        <w:widowControl w:val="0"/>
        <w:wordWrap w:val="0"/>
        <w:topLinePunct/>
        <w:adjustRightInd w:val="0"/>
        <w:snapToGrid w:val="0"/>
        <w:spacing w:line="360" w:lineRule="auto"/>
        <w:ind w:right="0" w:firstLine="480" w:firstLineChars="200"/>
        <w:jc w:val="both"/>
        <w:textAlignment w:val="auto"/>
        <w:rPr>
          <w:rFonts w:ascii="宋体" w:hAnsi="宋体" w:cs="宋体"/>
          <w:bCs/>
          <w:sz w:val="24"/>
        </w:rPr>
      </w:pPr>
      <w:r>
        <w:rPr>
          <w:rFonts w:hint="eastAsia" w:ascii="宋体" w:hAnsi="宋体" w:cs="宋体"/>
          <w:bCs/>
          <w:sz w:val="24"/>
        </w:rPr>
        <w:t>2）受到省级问题通报的，出现1次，每次扣除合同总价的</w:t>
      </w:r>
      <w:r>
        <w:rPr>
          <w:rFonts w:ascii="宋体" w:hAnsi="宋体" w:cs="宋体"/>
          <w:bCs/>
          <w:sz w:val="24"/>
        </w:rPr>
        <w:t>5</w:t>
      </w:r>
      <w:r>
        <w:rPr>
          <w:rFonts w:hint="eastAsia" w:ascii="宋体" w:hAnsi="宋体" w:cs="宋体"/>
          <w:bCs/>
          <w:sz w:val="24"/>
        </w:rPr>
        <w:t>%。</w:t>
      </w:r>
    </w:p>
    <w:p>
      <w:pPr>
        <w:widowControl w:val="0"/>
        <w:wordWrap w:val="0"/>
        <w:topLinePunct/>
        <w:adjustRightInd w:val="0"/>
        <w:snapToGrid w:val="0"/>
        <w:spacing w:line="360" w:lineRule="auto"/>
        <w:ind w:right="0" w:firstLine="480" w:firstLineChars="200"/>
        <w:jc w:val="both"/>
        <w:textAlignment w:val="auto"/>
        <w:rPr>
          <w:rFonts w:ascii="宋体" w:hAnsi="宋体" w:cs="宋体"/>
          <w:bCs/>
          <w:sz w:val="24"/>
        </w:rPr>
      </w:pPr>
      <w:r>
        <w:rPr>
          <w:rFonts w:hint="eastAsia" w:ascii="宋体" w:hAnsi="宋体" w:cs="宋体"/>
          <w:bCs/>
          <w:sz w:val="24"/>
        </w:rPr>
        <w:t>3）受到市级问题通报的，出现1次，每次扣除合同总价的</w:t>
      </w:r>
      <w:r>
        <w:rPr>
          <w:rFonts w:ascii="宋体" w:hAnsi="宋体" w:cs="宋体"/>
          <w:bCs/>
          <w:sz w:val="24"/>
        </w:rPr>
        <w:t>3</w:t>
      </w:r>
      <w:r>
        <w:rPr>
          <w:rFonts w:hint="eastAsia" w:ascii="宋体" w:hAnsi="宋体" w:cs="宋体"/>
          <w:bCs/>
          <w:sz w:val="24"/>
        </w:rPr>
        <w:t>%。</w:t>
      </w:r>
    </w:p>
    <w:p>
      <w:pPr>
        <w:widowControl w:val="0"/>
        <w:wordWrap w:val="0"/>
        <w:topLinePunct/>
        <w:adjustRightInd w:val="0"/>
        <w:snapToGrid w:val="0"/>
        <w:spacing w:line="360" w:lineRule="auto"/>
        <w:ind w:right="0" w:firstLine="480" w:firstLineChars="200"/>
        <w:jc w:val="both"/>
        <w:textAlignment w:val="auto"/>
        <w:rPr>
          <w:rFonts w:ascii="宋体" w:hAnsi="宋体" w:cs="宋体"/>
          <w:bCs/>
          <w:sz w:val="24"/>
        </w:rPr>
      </w:pPr>
      <w:r>
        <w:rPr>
          <w:rFonts w:hint="eastAsia" w:ascii="宋体" w:hAnsi="宋体" w:cs="宋体"/>
          <w:bCs/>
          <w:sz w:val="24"/>
        </w:rPr>
        <w:t>4）受到区级问题通报的，出现1次，每次扣除合同总价的1%。</w:t>
      </w:r>
    </w:p>
    <w:p>
      <w:pPr>
        <w:widowControl w:val="0"/>
        <w:wordWrap w:val="0"/>
        <w:topLinePunct/>
        <w:adjustRightInd w:val="0"/>
        <w:snapToGrid w:val="0"/>
        <w:spacing w:line="360" w:lineRule="auto"/>
        <w:ind w:right="0" w:firstLine="480" w:firstLineChars="200"/>
        <w:jc w:val="both"/>
        <w:textAlignment w:val="auto"/>
        <w:rPr>
          <w:rFonts w:hint="eastAsia" w:ascii="宋体" w:hAnsi="宋体" w:cs="宋体"/>
          <w:bCs/>
          <w:sz w:val="24"/>
        </w:rPr>
      </w:pPr>
      <w:r>
        <w:rPr>
          <w:rFonts w:hint="eastAsia" w:ascii="宋体" w:hAnsi="宋体" w:cs="宋体"/>
          <w:bCs/>
          <w:sz w:val="24"/>
        </w:rPr>
        <w:t>每次通报后，中标人需及时解决并递交书面整改报告，总计扣除不超过合同总价的20%。</w:t>
      </w:r>
      <w:bookmarkEnd w:id="5"/>
      <w:bookmarkEnd w:id="6"/>
    </w:p>
    <w:p>
      <w:pPr>
        <w:rPr>
          <w:rFonts w:hint="eastAsia" w:ascii="宋体" w:hAnsi="宋体" w:cs="宋体"/>
          <w:bCs/>
          <w:sz w:val="24"/>
        </w:rPr>
      </w:pPr>
      <w:r>
        <w:rPr>
          <w:rFonts w:hint="eastAsia" w:ascii="宋体" w:hAnsi="宋体" w:cs="宋体"/>
          <w:bCs/>
          <w:sz w:val="24"/>
        </w:rPr>
        <w:br w:type="page"/>
      </w:r>
    </w:p>
    <w:p>
      <w:pPr>
        <w:keepNext/>
        <w:keepLines/>
        <w:widowControl w:val="0"/>
        <w:spacing w:before="340" w:after="330" w:line="360" w:lineRule="auto"/>
        <w:jc w:val="center"/>
        <w:outlineLvl w:val="0"/>
        <w:rPr>
          <w:rFonts w:ascii="宋体" w:hAnsi="宋体" w:eastAsia="宋体" w:cs="Times New Roman"/>
          <w:b/>
          <w:bCs/>
          <w:kern w:val="44"/>
          <w:sz w:val="44"/>
          <w:szCs w:val="44"/>
          <w:lang w:val="en-US" w:eastAsia="zh-CN" w:bidi="ar-SA"/>
        </w:rPr>
      </w:pPr>
      <w:bookmarkStart w:id="8" w:name="_Toc9844"/>
      <w:r>
        <w:rPr>
          <w:rFonts w:hint="eastAsia" w:ascii="宋体" w:hAnsi="宋体" w:eastAsia="宋体" w:cs="Times New Roman"/>
          <w:b/>
          <w:bCs/>
          <w:kern w:val="44"/>
          <w:sz w:val="44"/>
          <w:szCs w:val="44"/>
          <w:lang w:val="en-US" w:eastAsia="zh-CN" w:bidi="ar-SA"/>
        </w:rPr>
        <w:t>第四部分  合同样本</w:t>
      </w:r>
      <w:bookmarkEnd w:id="8"/>
    </w:p>
    <w:p>
      <w:pPr>
        <w:rPr>
          <w:rFonts w:ascii="宋体" w:hAnsi="宋体" w:cs="宋体"/>
          <w:color w:val="auto"/>
          <w:sz w:val="24"/>
          <w:highlight w:val="none"/>
          <w:u w:val="single"/>
        </w:rPr>
      </w:pPr>
      <w:bookmarkStart w:id="9" w:name="_Toc303256682"/>
      <w:bookmarkStart w:id="10" w:name="_Toc367266105"/>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2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3"/>
        <w:tabs>
          <w:tab w:val="left" w:pos="432"/>
        </w:tabs>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30"/>
        <w:spacing w:before="120" w:line="22" w:lineRule="atLeast"/>
        <w:rPr>
          <w:rFonts w:ascii="宋体" w:hAnsi="宋体" w:eastAsia="宋体" w:cs="宋体"/>
          <w:color w:val="auto"/>
          <w:szCs w:val="24"/>
          <w:highlight w:val="none"/>
        </w:rPr>
      </w:pPr>
    </w:p>
    <w:p>
      <w:pPr>
        <w:pStyle w:val="30"/>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kern w:val="0"/>
          <w:sz w:val="24"/>
          <w:highlight w:val="none"/>
        </w:rPr>
        <w:sectPr>
          <w:pgSz w:w="11907" w:h="16840"/>
          <w:pgMar w:top="1474" w:right="1814" w:bottom="1474" w:left="1814" w:header="851" w:footer="851" w:gutter="0"/>
          <w:cols w:space="720" w:num="1"/>
        </w:sect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11" w:name="_Toc20421"/>
      <w:bookmarkStart w:id="12" w:name="_Toc19273"/>
      <w:bookmarkStart w:id="13" w:name="_Toc15367"/>
      <w:bookmarkStart w:id="14" w:name="_Toc28855"/>
      <w:bookmarkStart w:id="15"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11"/>
      <w:bookmarkEnd w:id="12"/>
      <w:bookmarkEnd w:id="13"/>
      <w:bookmarkEnd w:id="14"/>
      <w:bookmarkEnd w:id="1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16" w:name="_Toc2918"/>
      <w:bookmarkStart w:id="17" w:name="_Toc6311"/>
      <w:bookmarkStart w:id="18" w:name="_Toc6773"/>
      <w:bookmarkStart w:id="19" w:name="_Toc22185"/>
      <w:bookmarkStart w:id="20"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16"/>
      <w:bookmarkEnd w:id="17"/>
      <w:bookmarkEnd w:id="18"/>
      <w:bookmarkEnd w:id="19"/>
      <w:bookmarkEnd w:id="20"/>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3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pPr>
        <w:spacing w:line="560" w:lineRule="exact"/>
        <w:ind w:firstLine="480" w:firstLineChars="200"/>
        <w:rPr>
          <w:rFonts w:ascii="宋体" w:hAnsi="宋体" w:cs="宋体"/>
          <w:color w:val="auto"/>
          <w:sz w:val="24"/>
          <w:highlight w:val="none"/>
          <w:u w:val="single"/>
        </w:rPr>
      </w:pPr>
      <w:bookmarkStart w:id="21" w:name="_Toc4929"/>
      <w:bookmarkStart w:id="22" w:name="_Toc21124"/>
      <w:bookmarkStart w:id="23" w:name="_Toc5635"/>
      <w:bookmarkStart w:id="24" w:name="_Toc1386"/>
      <w:bookmarkStart w:id="25"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21"/>
      <w:bookmarkEnd w:id="22"/>
      <w:bookmarkEnd w:id="23"/>
      <w:bookmarkEnd w:id="24"/>
      <w:bookmarkEnd w:id="25"/>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2"/>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2"/>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
              <w:spacing w:line="560" w:lineRule="exact"/>
              <w:ind w:firstLine="200"/>
              <w:jc w:val="center"/>
              <w:rPr>
                <w:rFonts w:hAnsi="宋体"/>
                <w:color w:val="auto"/>
                <w:sz w:val="24"/>
                <w:szCs w:val="24"/>
                <w:highlight w:val="none"/>
              </w:rPr>
            </w:pPr>
          </w:p>
        </w:tc>
        <w:tc>
          <w:tcPr>
            <w:tcW w:w="3402" w:type="dxa"/>
            <w:vAlign w:val="center"/>
          </w:tcPr>
          <w:p>
            <w:pPr>
              <w:pStyle w:val="32"/>
              <w:spacing w:line="560" w:lineRule="exact"/>
              <w:ind w:firstLine="200"/>
              <w:jc w:val="center"/>
              <w:rPr>
                <w:rFonts w:hAnsi="宋体"/>
                <w:color w:val="auto"/>
                <w:sz w:val="24"/>
                <w:szCs w:val="24"/>
                <w:highlight w:val="none"/>
              </w:rPr>
            </w:pPr>
          </w:p>
        </w:tc>
        <w:tc>
          <w:tcPr>
            <w:tcW w:w="2552" w:type="dxa"/>
            <w:vAlign w:val="center"/>
          </w:tcPr>
          <w:p>
            <w:pPr>
              <w:pStyle w:val="3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
              <w:spacing w:line="560" w:lineRule="exact"/>
              <w:ind w:firstLine="200"/>
              <w:jc w:val="center"/>
              <w:rPr>
                <w:rFonts w:hAnsi="宋体"/>
                <w:color w:val="auto"/>
                <w:sz w:val="24"/>
                <w:szCs w:val="24"/>
                <w:highlight w:val="none"/>
              </w:rPr>
            </w:pPr>
          </w:p>
        </w:tc>
        <w:tc>
          <w:tcPr>
            <w:tcW w:w="3402" w:type="dxa"/>
            <w:vAlign w:val="center"/>
          </w:tcPr>
          <w:p>
            <w:pPr>
              <w:pStyle w:val="32"/>
              <w:spacing w:line="560" w:lineRule="exact"/>
              <w:ind w:firstLine="200"/>
              <w:jc w:val="center"/>
              <w:rPr>
                <w:rFonts w:hAnsi="宋体"/>
                <w:color w:val="auto"/>
                <w:sz w:val="24"/>
                <w:szCs w:val="24"/>
                <w:highlight w:val="none"/>
              </w:rPr>
            </w:pPr>
          </w:p>
        </w:tc>
        <w:tc>
          <w:tcPr>
            <w:tcW w:w="2552" w:type="dxa"/>
            <w:vAlign w:val="center"/>
          </w:tcPr>
          <w:p>
            <w:pPr>
              <w:pStyle w:val="3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
              <w:spacing w:line="560" w:lineRule="exact"/>
              <w:ind w:firstLine="200"/>
              <w:jc w:val="center"/>
              <w:rPr>
                <w:rFonts w:hAnsi="宋体"/>
                <w:color w:val="auto"/>
                <w:sz w:val="24"/>
                <w:szCs w:val="24"/>
                <w:highlight w:val="none"/>
              </w:rPr>
            </w:pPr>
          </w:p>
        </w:tc>
        <w:tc>
          <w:tcPr>
            <w:tcW w:w="3402" w:type="dxa"/>
            <w:vAlign w:val="center"/>
          </w:tcPr>
          <w:p>
            <w:pPr>
              <w:pStyle w:val="32"/>
              <w:spacing w:line="560" w:lineRule="exact"/>
              <w:ind w:firstLine="200"/>
              <w:jc w:val="center"/>
              <w:rPr>
                <w:rFonts w:hAnsi="宋体"/>
                <w:color w:val="auto"/>
                <w:sz w:val="24"/>
                <w:szCs w:val="24"/>
                <w:highlight w:val="none"/>
              </w:rPr>
            </w:pPr>
          </w:p>
        </w:tc>
        <w:tc>
          <w:tcPr>
            <w:tcW w:w="2552" w:type="dxa"/>
            <w:vAlign w:val="center"/>
          </w:tcPr>
          <w:p>
            <w:pPr>
              <w:pStyle w:val="3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
              <w:spacing w:line="560" w:lineRule="exact"/>
              <w:ind w:firstLine="200"/>
              <w:jc w:val="center"/>
              <w:rPr>
                <w:rFonts w:hAnsi="宋体"/>
                <w:color w:val="auto"/>
                <w:sz w:val="24"/>
                <w:szCs w:val="24"/>
                <w:highlight w:val="none"/>
              </w:rPr>
            </w:pPr>
          </w:p>
        </w:tc>
        <w:tc>
          <w:tcPr>
            <w:tcW w:w="3402" w:type="dxa"/>
            <w:vAlign w:val="center"/>
          </w:tcPr>
          <w:p>
            <w:pPr>
              <w:pStyle w:val="32"/>
              <w:spacing w:line="560" w:lineRule="exact"/>
              <w:ind w:firstLine="200"/>
              <w:jc w:val="center"/>
              <w:rPr>
                <w:rFonts w:hAnsi="宋体"/>
                <w:color w:val="auto"/>
                <w:sz w:val="24"/>
                <w:szCs w:val="24"/>
                <w:highlight w:val="none"/>
              </w:rPr>
            </w:pPr>
          </w:p>
        </w:tc>
        <w:tc>
          <w:tcPr>
            <w:tcW w:w="2552" w:type="dxa"/>
            <w:vAlign w:val="center"/>
          </w:tcPr>
          <w:p>
            <w:pPr>
              <w:pStyle w:val="32"/>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2"/>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26" w:name="_Toc3654"/>
      <w:bookmarkStart w:id="27" w:name="_Toc30506"/>
      <w:bookmarkStart w:id="28" w:name="_Toc14993"/>
      <w:bookmarkStart w:id="29" w:name="_Toc30158"/>
      <w:bookmarkStart w:id="30"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3"/>
        <w:tabs>
          <w:tab w:val="left" w:pos="432"/>
        </w:tabs>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26"/>
    <w:bookmarkEnd w:id="27"/>
    <w:bookmarkEnd w:id="28"/>
    <w:bookmarkEnd w:id="29"/>
    <w:bookmarkEnd w:id="30"/>
    <w:p>
      <w:pPr>
        <w:pStyle w:val="31"/>
        <w:spacing w:before="0" w:beforeAutospacing="0" w:after="0" w:afterAutospacing="0" w:line="360" w:lineRule="auto"/>
        <w:ind w:firstLine="480"/>
        <w:rPr>
          <w:b/>
          <w:color w:val="auto"/>
          <w:highlight w:val="none"/>
        </w:rPr>
      </w:pPr>
      <w:bookmarkStart w:id="31" w:name="_Toc1814"/>
      <w:bookmarkStart w:id="32" w:name="_Toc22618"/>
      <w:bookmarkStart w:id="33" w:name="_Toc10340"/>
      <w:bookmarkStart w:id="34" w:name="_Toc3625"/>
      <w:bookmarkStart w:id="35" w:name="_Toc8772"/>
      <w:bookmarkStart w:id="36" w:name="_Toc4760"/>
      <w:bookmarkStart w:id="37" w:name="_Toc31421"/>
      <w:bookmarkStart w:id="38" w:name="_Toc11108"/>
      <w:r>
        <w:rPr>
          <w:rFonts w:hint="eastAsia"/>
          <w:b/>
          <w:color w:val="auto"/>
          <w:highlight w:val="none"/>
        </w:rPr>
        <w:t>1.4履约保证金</w:t>
      </w:r>
    </w:p>
    <w:p>
      <w:pPr>
        <w:pStyle w:val="3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bidi w:val="0"/>
        <w:ind w:firstLine="480" w:firstLineChars="200"/>
        <w:rPr>
          <w:lang w:val="en-US"/>
        </w:rPr>
      </w:pPr>
      <w:r>
        <w:rPr>
          <w:rFonts w:hint="eastAsia" w:ascii="宋体" w:hAnsi="宋体" w:eastAsia="宋体" w:cs="宋体"/>
          <w:color w:val="auto"/>
          <w:kern w:val="0"/>
          <w:sz w:val="24"/>
          <w:highlight w:val="none"/>
          <w:lang w:val="en-US"/>
        </w:rPr>
        <w:t>1.4.3</w:t>
      </w:r>
      <w:r>
        <w:rPr>
          <w:rFonts w:hint="eastAsia"/>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1"/>
      <w:bookmarkEnd w:id="32"/>
      <w:bookmarkEnd w:id="33"/>
      <w:r>
        <w:rPr>
          <w:rFonts w:hint="eastAsia" w:ascii="宋体" w:hAnsi="宋体" w:cs="宋体"/>
          <w:b/>
          <w:color w:val="auto"/>
          <w:sz w:val="24"/>
          <w:highlight w:val="none"/>
        </w:rPr>
        <w:t>预付款</w:t>
      </w:r>
    </w:p>
    <w:p>
      <w:pPr>
        <w:pStyle w:val="3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3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3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31"/>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3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34"/>
      <w:bookmarkEnd w:id="35"/>
      <w:bookmarkEnd w:id="36"/>
      <w:bookmarkEnd w:id="37"/>
      <w:bookmarkEnd w:id="38"/>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39" w:name="_Toc5698"/>
      <w:bookmarkStart w:id="40" w:name="_Toc8586"/>
      <w:bookmarkStart w:id="41" w:name="_Toc2375"/>
      <w:bookmarkStart w:id="42" w:name="_Toc24662"/>
      <w:bookmarkStart w:id="43" w:name="_Toc3079"/>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39"/>
      <w:bookmarkEnd w:id="40"/>
      <w:bookmarkEnd w:id="41"/>
      <w:bookmarkEnd w:id="42"/>
      <w:bookmarkEnd w:id="43"/>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bidi w:val="0"/>
        <w:ind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4" w:name="_Toc32454"/>
      <w:bookmarkStart w:id="45" w:name="_Toc30329"/>
      <w:bookmarkStart w:id="46" w:name="_Toc9497"/>
      <w:bookmarkStart w:id="47" w:name="_Toc18683"/>
      <w:bookmarkStart w:id="48"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8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4"/>
    <w:bookmarkEnd w:id="45"/>
    <w:bookmarkEnd w:id="46"/>
    <w:bookmarkEnd w:id="47"/>
    <w:bookmarkEnd w:id="48"/>
    <w:p>
      <w:pPr>
        <w:spacing w:line="560" w:lineRule="exact"/>
        <w:ind w:firstLine="482" w:firstLineChars="200"/>
        <w:outlineLvl w:val="0"/>
        <w:rPr>
          <w:rFonts w:ascii="宋体" w:hAnsi="宋体" w:cs="宋体"/>
          <w:b/>
          <w:color w:val="auto"/>
          <w:sz w:val="24"/>
          <w:highlight w:val="none"/>
        </w:rPr>
      </w:pPr>
      <w:bookmarkStart w:id="49" w:name="_Toc16021"/>
      <w:bookmarkStart w:id="50" w:name="_Toc15583"/>
      <w:bookmarkStart w:id="51" w:name="_Toc28375"/>
      <w:r>
        <w:rPr>
          <w:rFonts w:hint="eastAsia" w:ascii="宋体" w:hAnsi="宋体" w:cs="宋体"/>
          <w:b/>
          <w:color w:val="auto"/>
          <w:sz w:val="24"/>
          <w:highlight w:val="none"/>
        </w:rPr>
        <w:t>1.9合同争议的解决</w:t>
      </w:r>
      <w:bookmarkEnd w:id="49"/>
      <w:bookmarkEnd w:id="50"/>
      <w:bookmarkEnd w:id="51"/>
    </w:p>
    <w:p>
      <w:pPr>
        <w:spacing w:line="560" w:lineRule="exact"/>
        <w:ind w:left="-70" w:leftChars="-29" w:right="-48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80" w:leftChars="-200" w:right="-48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80" w:leftChars="-200" w:right="-48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52" w:name="_Toc11173"/>
      <w:bookmarkStart w:id="53" w:name="_Toc15322"/>
      <w:bookmarkStart w:id="54" w:name="_Toc7245"/>
      <w:r>
        <w:rPr>
          <w:rFonts w:hint="eastAsia" w:ascii="宋体" w:hAnsi="宋体" w:cs="宋体"/>
          <w:b/>
          <w:color w:val="auto"/>
          <w:sz w:val="24"/>
          <w:highlight w:val="none"/>
        </w:rPr>
        <w:t>2.0 合同生效</w:t>
      </w:r>
      <w:bookmarkEnd w:id="52"/>
      <w:bookmarkEnd w:id="53"/>
      <w:bookmarkEnd w:id="54"/>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b/>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2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55" w:name="_Toc14021"/>
      <w:bookmarkStart w:id="56" w:name="_Toc25079"/>
      <w:bookmarkStart w:id="57" w:name="_Toc19680"/>
      <w:bookmarkStart w:id="58" w:name="_Toc31297"/>
      <w:bookmarkStart w:id="59" w:name="_Toc5228"/>
      <w:r>
        <w:rPr>
          <w:rFonts w:ascii="宋体" w:hAnsi="宋体"/>
          <w:b/>
          <w:color w:val="auto"/>
          <w:sz w:val="24"/>
          <w:highlight w:val="none"/>
        </w:rPr>
        <w:t>2.1 定义</w:t>
      </w:r>
      <w:bookmarkEnd w:id="55"/>
      <w:bookmarkEnd w:id="56"/>
      <w:bookmarkEnd w:id="57"/>
      <w:bookmarkEnd w:id="58"/>
      <w:bookmarkEnd w:id="59"/>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60" w:name="_Toc16752"/>
      <w:bookmarkStart w:id="61" w:name="_Toc23289"/>
      <w:bookmarkStart w:id="62" w:name="_Toc31402"/>
      <w:bookmarkStart w:id="63" w:name="_Toc19539"/>
      <w:bookmarkStart w:id="64" w:name="_Toc3769"/>
      <w:r>
        <w:rPr>
          <w:rFonts w:ascii="宋体" w:hAnsi="宋体"/>
          <w:b/>
          <w:color w:val="auto"/>
          <w:sz w:val="24"/>
          <w:highlight w:val="none"/>
        </w:rPr>
        <w:t>2.2 技术规范</w:t>
      </w:r>
      <w:bookmarkEnd w:id="60"/>
      <w:bookmarkEnd w:id="61"/>
      <w:bookmarkEnd w:id="62"/>
      <w:bookmarkEnd w:id="63"/>
      <w:bookmarkEnd w:id="64"/>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65" w:name="_Toc27945"/>
      <w:bookmarkStart w:id="66" w:name="_Toc9161"/>
      <w:bookmarkStart w:id="67" w:name="_Toc12412"/>
      <w:bookmarkStart w:id="68" w:name="_Toc4133"/>
      <w:bookmarkStart w:id="69" w:name="_Toc13673"/>
      <w:r>
        <w:rPr>
          <w:rFonts w:ascii="宋体" w:hAnsi="宋体"/>
          <w:b/>
          <w:color w:val="auto"/>
          <w:sz w:val="24"/>
          <w:highlight w:val="none"/>
        </w:rPr>
        <w:t>2.3 知识产权</w:t>
      </w:r>
      <w:bookmarkEnd w:id="65"/>
      <w:bookmarkEnd w:id="66"/>
      <w:bookmarkEnd w:id="67"/>
      <w:bookmarkEnd w:id="68"/>
      <w:bookmarkEnd w:id="69"/>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70" w:name="_Toc22011"/>
      <w:bookmarkStart w:id="71" w:name="_Toc26555"/>
      <w:bookmarkStart w:id="72" w:name="_Toc15447"/>
      <w:bookmarkStart w:id="73" w:name="_Toc31233"/>
      <w:bookmarkStart w:id="74" w:name="_Toc32670"/>
      <w:r>
        <w:rPr>
          <w:rFonts w:ascii="宋体" w:hAnsi="宋体"/>
          <w:b/>
          <w:color w:val="auto"/>
          <w:sz w:val="24"/>
          <w:highlight w:val="none"/>
        </w:rPr>
        <w:t>2.5 结算方式和付款条件</w:t>
      </w:r>
      <w:bookmarkEnd w:id="70"/>
      <w:bookmarkEnd w:id="71"/>
      <w:bookmarkEnd w:id="72"/>
      <w:bookmarkEnd w:id="73"/>
      <w:bookmarkEnd w:id="74"/>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75" w:name="_Toc30507"/>
      <w:bookmarkStart w:id="76" w:name="_Toc18990"/>
      <w:bookmarkStart w:id="77" w:name="_Toc13467"/>
      <w:bookmarkStart w:id="78" w:name="_Toc16163"/>
      <w:bookmarkStart w:id="79" w:name="_Toc13154"/>
      <w:r>
        <w:rPr>
          <w:rFonts w:ascii="宋体" w:hAnsi="宋体"/>
          <w:b/>
          <w:color w:val="auto"/>
          <w:sz w:val="24"/>
          <w:highlight w:val="none"/>
        </w:rPr>
        <w:t>2.6 技术资料和保密义务</w:t>
      </w:r>
      <w:bookmarkEnd w:id="75"/>
      <w:bookmarkEnd w:id="76"/>
      <w:bookmarkEnd w:id="77"/>
      <w:bookmarkEnd w:id="78"/>
      <w:bookmarkEnd w:id="79"/>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80"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80"/>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81"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81"/>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82"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82"/>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83" w:name="_Toc10663"/>
      <w:bookmarkStart w:id="84" w:name="_Toc42"/>
      <w:bookmarkStart w:id="85" w:name="_Toc26689"/>
      <w:bookmarkStart w:id="86" w:name="_Toc23368"/>
      <w:bookmarkStart w:id="87" w:name="_Toc21830"/>
      <w:r>
        <w:rPr>
          <w:rFonts w:ascii="宋体" w:hAnsi="宋体"/>
          <w:b/>
          <w:color w:val="auto"/>
          <w:sz w:val="24"/>
          <w:highlight w:val="none"/>
        </w:rPr>
        <w:t>2.10 合同转让和分包</w:t>
      </w:r>
      <w:bookmarkEnd w:id="83"/>
      <w:bookmarkEnd w:id="84"/>
      <w:bookmarkEnd w:id="85"/>
      <w:bookmarkEnd w:id="86"/>
      <w:bookmarkEnd w:id="87"/>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88" w:name="_Toc4720"/>
      <w:bookmarkStart w:id="89" w:name="_Toc25571"/>
      <w:bookmarkStart w:id="90" w:name="_Toc32494"/>
      <w:bookmarkStart w:id="91" w:name="_Toc26633"/>
      <w:bookmarkStart w:id="92" w:name="_Toc14371"/>
      <w:r>
        <w:rPr>
          <w:rFonts w:ascii="宋体" w:hAnsi="宋体"/>
          <w:b/>
          <w:color w:val="auto"/>
          <w:sz w:val="24"/>
          <w:highlight w:val="none"/>
        </w:rPr>
        <w:t>2.11 不可抗力</w:t>
      </w:r>
      <w:bookmarkEnd w:id="88"/>
      <w:bookmarkEnd w:id="89"/>
      <w:bookmarkEnd w:id="90"/>
      <w:bookmarkEnd w:id="91"/>
      <w:bookmarkEnd w:id="92"/>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93" w:name="_Toc3638"/>
      <w:bookmarkStart w:id="94" w:name="_Toc23854"/>
      <w:bookmarkStart w:id="95" w:name="_Toc14115"/>
      <w:bookmarkStart w:id="96" w:name="_Toc25783"/>
      <w:bookmarkStart w:id="97" w:name="_Toc24465"/>
      <w:r>
        <w:rPr>
          <w:rFonts w:ascii="宋体" w:hAnsi="宋体"/>
          <w:b/>
          <w:color w:val="auto"/>
          <w:sz w:val="24"/>
          <w:highlight w:val="none"/>
        </w:rPr>
        <w:t>2.12 税费</w:t>
      </w:r>
      <w:bookmarkEnd w:id="93"/>
      <w:bookmarkEnd w:id="94"/>
      <w:bookmarkEnd w:id="95"/>
      <w:bookmarkEnd w:id="96"/>
      <w:bookmarkEnd w:id="97"/>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98" w:name="_Toc25525"/>
      <w:bookmarkStart w:id="99" w:name="_Toc7315"/>
      <w:bookmarkStart w:id="100" w:name="_Toc14814"/>
      <w:bookmarkStart w:id="101" w:name="_Toc26883"/>
      <w:bookmarkStart w:id="102" w:name="_Toc30105"/>
      <w:r>
        <w:rPr>
          <w:rFonts w:ascii="宋体" w:hAnsi="宋体"/>
          <w:b/>
          <w:color w:val="auto"/>
          <w:sz w:val="24"/>
          <w:highlight w:val="none"/>
        </w:rPr>
        <w:t>2.13 乙方破产</w:t>
      </w:r>
      <w:bookmarkEnd w:id="98"/>
      <w:bookmarkEnd w:id="99"/>
      <w:bookmarkEnd w:id="100"/>
      <w:bookmarkEnd w:id="101"/>
      <w:bookmarkEnd w:id="102"/>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103" w:name="_Toc2016"/>
      <w:bookmarkStart w:id="104" w:name="_Toc1123"/>
      <w:bookmarkStart w:id="105" w:name="_Toc23323"/>
      <w:r>
        <w:rPr>
          <w:rFonts w:ascii="宋体" w:hAnsi="宋体"/>
          <w:b/>
          <w:color w:val="auto"/>
          <w:sz w:val="24"/>
          <w:highlight w:val="none"/>
        </w:rPr>
        <w:t>2.14 合同中止、终止</w:t>
      </w:r>
      <w:bookmarkEnd w:id="103"/>
      <w:bookmarkEnd w:id="104"/>
      <w:bookmarkEnd w:id="105"/>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106" w:name="_Toc17363"/>
      <w:bookmarkStart w:id="107" w:name="_Toc1969"/>
      <w:bookmarkStart w:id="108" w:name="_Toc14525"/>
      <w:r>
        <w:rPr>
          <w:rFonts w:ascii="宋体" w:hAnsi="宋体"/>
          <w:b/>
          <w:color w:val="auto"/>
          <w:sz w:val="24"/>
          <w:highlight w:val="none"/>
        </w:rPr>
        <w:t>2.15 检验和验收</w:t>
      </w:r>
      <w:bookmarkEnd w:id="106"/>
      <w:bookmarkEnd w:id="107"/>
      <w:bookmarkEnd w:id="108"/>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109" w:name="_Toc9808"/>
      <w:bookmarkStart w:id="110" w:name="_Toc12666"/>
      <w:bookmarkStart w:id="111" w:name="_Toc31892"/>
      <w:bookmarkStart w:id="112" w:name="_Toc2308"/>
      <w:bookmarkStart w:id="113" w:name="_Toc25198"/>
      <w:r>
        <w:rPr>
          <w:rFonts w:ascii="宋体" w:hAnsi="宋体"/>
          <w:b/>
          <w:color w:val="auto"/>
          <w:sz w:val="24"/>
          <w:highlight w:val="none"/>
        </w:rPr>
        <w:t>2.16 通知和送达</w:t>
      </w:r>
      <w:bookmarkEnd w:id="109"/>
      <w:bookmarkEnd w:id="110"/>
      <w:bookmarkEnd w:id="111"/>
      <w:bookmarkEnd w:id="112"/>
      <w:bookmarkEnd w:id="113"/>
    </w:p>
    <w:p>
      <w:pPr>
        <w:spacing w:line="560" w:lineRule="exact"/>
        <w:ind w:firstLine="480" w:firstLineChars="200"/>
        <w:rPr>
          <w:rFonts w:ascii="宋体" w:hAnsi="宋体"/>
          <w:color w:val="auto"/>
          <w:sz w:val="24"/>
          <w:highlight w:val="none"/>
        </w:rPr>
      </w:pPr>
      <w:bookmarkStart w:id="114" w:name="_Toc18401"/>
      <w:bookmarkStart w:id="115"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14"/>
      <w:bookmarkEnd w:id="115"/>
    </w:p>
    <w:p>
      <w:pPr>
        <w:spacing w:line="560" w:lineRule="exact"/>
        <w:ind w:firstLine="482" w:firstLineChars="200"/>
        <w:outlineLvl w:val="0"/>
        <w:rPr>
          <w:rFonts w:ascii="宋体" w:hAnsi="宋体"/>
          <w:b/>
          <w:color w:val="auto"/>
          <w:sz w:val="24"/>
          <w:highlight w:val="none"/>
        </w:rPr>
      </w:pPr>
      <w:bookmarkStart w:id="116" w:name="_Toc20808"/>
      <w:bookmarkStart w:id="117" w:name="_Toc27644"/>
      <w:bookmarkStart w:id="118" w:name="_Toc12254"/>
      <w:bookmarkStart w:id="119" w:name="_Toc28906"/>
      <w:bookmarkStart w:id="120"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16"/>
      <w:bookmarkEnd w:id="117"/>
      <w:bookmarkEnd w:id="118"/>
      <w:bookmarkEnd w:id="119"/>
      <w:bookmarkEnd w:id="120"/>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121" w:name="_Toc30599"/>
      <w:bookmarkStart w:id="122" w:name="_Toc4355"/>
      <w:bookmarkStart w:id="123" w:name="_Toc18540"/>
      <w:r>
        <w:rPr>
          <w:rFonts w:hint="eastAsia" w:ascii="宋体" w:hAnsi="宋体" w:cs="宋体"/>
          <w:b/>
          <w:color w:val="auto"/>
          <w:sz w:val="24"/>
          <w:highlight w:val="none"/>
        </w:rPr>
        <w:t>2.18 计量单位</w:t>
      </w:r>
      <w:bookmarkEnd w:id="121"/>
      <w:bookmarkEnd w:id="122"/>
      <w:bookmarkEnd w:id="12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124" w:name="_Toc331685784"/>
      <w:r>
        <w:rPr>
          <w:rFonts w:hint="eastAsia" w:ascii="宋体" w:hAnsi="宋体" w:cs="宋体"/>
          <w:b/>
          <w:color w:val="auto"/>
          <w:sz w:val="24"/>
          <w:highlight w:val="none"/>
        </w:rPr>
        <w:t xml:space="preserve"> </w:t>
      </w:r>
      <w:bookmarkEnd w:id="124"/>
      <w:r>
        <w:rPr>
          <w:rFonts w:hint="eastAsia" w:ascii="宋体" w:hAnsi="宋体" w:cs="宋体"/>
          <w:b/>
          <w:color w:val="auto"/>
          <w:sz w:val="24"/>
          <w:highlight w:val="none"/>
        </w:rPr>
        <w:t>第三部分  合同专用条款</w:t>
      </w:r>
    </w:p>
    <w:p>
      <w:pPr>
        <w:spacing w:line="560" w:lineRule="exact"/>
        <w:ind w:left="-480" w:leftChars="-200" w:right="-48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95"/>
        <w:gridCol w:w="83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80" w:leftChars="-200" w:right="-48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80" w:leftChars="-200" w:right="-48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rPr>
          <w:rFonts w:hint="eastAsia" w:ascii="宋体" w:hAnsi="宋体"/>
          <w:b/>
          <w:bCs/>
          <w:kern w:val="44"/>
          <w:sz w:val="44"/>
          <w:szCs w:val="44"/>
        </w:rPr>
      </w:pPr>
      <w:r>
        <w:rPr>
          <w:rFonts w:hint="eastAsia" w:ascii="宋体" w:hAnsi="宋体" w:cs="宋体"/>
          <w:b/>
          <w:color w:val="auto"/>
          <w:sz w:val="36"/>
          <w:szCs w:val="20"/>
          <w:highlight w:val="none"/>
        </w:rPr>
        <w:br w:type="page"/>
      </w:r>
    </w:p>
    <w:p>
      <w:pPr>
        <w:keepNext/>
        <w:keepLines/>
        <w:spacing w:before="340" w:after="330" w:line="360" w:lineRule="auto"/>
        <w:jc w:val="center"/>
        <w:outlineLvl w:val="0"/>
        <w:rPr>
          <w:rFonts w:ascii="宋体" w:hAnsi="宋体"/>
          <w:b/>
          <w:bCs/>
          <w:kern w:val="44"/>
          <w:sz w:val="44"/>
          <w:szCs w:val="44"/>
        </w:rPr>
      </w:pPr>
      <w:bookmarkStart w:id="125" w:name="_Toc6081"/>
      <w:r>
        <w:rPr>
          <w:rFonts w:hint="eastAsia" w:ascii="宋体" w:hAnsi="宋体"/>
          <w:b/>
          <w:bCs/>
          <w:kern w:val="44"/>
          <w:sz w:val="44"/>
          <w:szCs w:val="44"/>
        </w:rPr>
        <w:t>第五部分  投标文件格式</w:t>
      </w:r>
      <w:bookmarkEnd w:id="9"/>
      <w:bookmarkEnd w:id="10"/>
      <w:bookmarkEnd w:id="125"/>
    </w:p>
    <w:p>
      <w:pPr>
        <w:jc w:val="center"/>
        <w:outlineLvl w:val="1"/>
        <w:rPr>
          <w:rFonts w:hint="eastAsia"/>
          <w:b/>
          <w:bCs/>
          <w:sz w:val="28"/>
          <w:szCs w:val="28"/>
          <w:lang w:val="en-US" w:eastAsia="zh-CN"/>
        </w:rPr>
      </w:pPr>
      <w:bookmarkStart w:id="126" w:name="_Toc349721557"/>
      <w:bookmarkStart w:id="127" w:name="_Toc328381297"/>
      <w:bookmarkStart w:id="128" w:name="_Toc350327368"/>
      <w:bookmarkStart w:id="129" w:name="_Toc303256686"/>
      <w:bookmarkStart w:id="130" w:name="_Toc339872473"/>
      <w:r>
        <w:rPr>
          <w:rFonts w:hint="eastAsia"/>
          <w:b/>
          <w:bCs/>
          <w:sz w:val="28"/>
          <w:szCs w:val="28"/>
          <w:lang w:val="en-US" w:eastAsia="zh-CN"/>
        </w:rPr>
        <w:t>一、开标一览表</w:t>
      </w:r>
      <w:bookmarkEnd w:id="126"/>
      <w:bookmarkEnd w:id="127"/>
      <w:bookmarkEnd w:id="128"/>
      <w:bookmarkEnd w:id="129"/>
      <w:bookmarkEnd w:id="130"/>
    </w:p>
    <w:p>
      <w:pPr>
        <w:autoSpaceDE w:val="0"/>
        <w:autoSpaceDN w:val="0"/>
        <w:adjustRightInd w:val="0"/>
        <w:spacing w:line="440" w:lineRule="exact"/>
        <w:rPr>
          <w:rFonts w:hint="default" w:ascii="宋体" w:hAnsi="宋体" w:eastAsia="宋体"/>
          <w:b/>
          <w:color w:val="000000"/>
          <w:kern w:val="0"/>
          <w:sz w:val="24"/>
          <w:lang w:val="en-US" w:eastAsia="zh-CN"/>
        </w:rPr>
      </w:pPr>
      <w:r>
        <w:rPr>
          <w:rFonts w:hint="eastAsia" w:ascii="宋体" w:hAnsi="宋体"/>
          <w:b/>
          <w:color w:val="000000"/>
          <w:kern w:val="0"/>
          <w:sz w:val="24"/>
        </w:rPr>
        <w:t xml:space="preserve">项目编号： </w:t>
      </w:r>
      <w:r>
        <w:rPr>
          <w:rFonts w:hint="eastAsia" w:ascii="宋体" w:hAnsi="宋体"/>
          <w:b/>
          <w:color w:val="000000"/>
          <w:kern w:val="0"/>
          <w:sz w:val="24"/>
          <w:lang w:val="en-US" w:eastAsia="zh-CN"/>
        </w:rPr>
        <w:t xml:space="preserve">         </w:t>
      </w:r>
    </w:p>
    <w:tbl>
      <w:tblPr>
        <w:tblStyle w:val="1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2628" w:type="dxa"/>
            <w:vAlign w:val="center"/>
          </w:tcPr>
          <w:p>
            <w:pPr>
              <w:autoSpaceDE w:val="0"/>
              <w:autoSpaceDN w:val="0"/>
              <w:adjustRightInd w:val="0"/>
              <w:spacing w:line="440" w:lineRule="exact"/>
              <w:jc w:val="center"/>
              <w:rPr>
                <w:rFonts w:ascii="宋体" w:hAnsi="宋体"/>
                <w:b/>
                <w:color w:val="000000"/>
                <w:kern w:val="0"/>
                <w:sz w:val="24"/>
              </w:rPr>
            </w:pPr>
            <w:r>
              <w:rPr>
                <w:rFonts w:hint="eastAsia" w:ascii="宋体" w:hAnsi="宋体"/>
                <w:b/>
                <w:color w:val="000000"/>
                <w:kern w:val="0"/>
                <w:sz w:val="24"/>
              </w:rPr>
              <w:t>本项目投标总报价</w:t>
            </w:r>
          </w:p>
        </w:tc>
        <w:tc>
          <w:tcPr>
            <w:tcW w:w="6825" w:type="dxa"/>
            <w:vAlign w:val="center"/>
          </w:tcPr>
          <w:p>
            <w:pPr>
              <w:wordWrap/>
              <w:autoSpaceDE w:val="0"/>
              <w:autoSpaceDN w:val="0"/>
              <w:adjustRightInd w:val="0"/>
              <w:snapToGrid/>
              <w:spacing w:line="440" w:lineRule="exact"/>
              <w:jc w:val="left"/>
              <w:rPr>
                <w:rFonts w:hint="eastAsia" w:ascii="宋体" w:hAnsi="宋体" w:cs="宋体"/>
                <w:b/>
                <w:sz w:val="24"/>
                <w:szCs w:val="22"/>
                <w:highlight w:val="none"/>
              </w:rPr>
            </w:pPr>
          </w:p>
          <w:p>
            <w:pPr>
              <w:wordWrap/>
              <w:autoSpaceDE w:val="0"/>
              <w:autoSpaceDN w:val="0"/>
              <w:adjustRightInd w:val="0"/>
              <w:snapToGrid/>
              <w:spacing w:line="440" w:lineRule="exact"/>
              <w:jc w:val="left"/>
              <w:rPr>
                <w:rFonts w:ascii="宋体" w:hAnsi="宋体" w:cs="宋体"/>
                <w:b/>
                <w:sz w:val="24"/>
                <w:szCs w:val="22"/>
                <w:highlight w:val="none"/>
              </w:rPr>
            </w:pPr>
            <w:r>
              <w:rPr>
                <w:rFonts w:hint="eastAsia" w:ascii="宋体" w:hAnsi="宋体" w:cs="宋体"/>
                <w:b/>
                <w:sz w:val="24"/>
                <w:szCs w:val="22"/>
                <w:highlight w:val="none"/>
              </w:rPr>
              <w:t>总报价大写：</w:t>
            </w:r>
            <w:r>
              <w:rPr>
                <w:rFonts w:hint="eastAsia" w:ascii="宋体" w:hAnsi="宋体" w:cs="宋体"/>
                <w:b/>
                <w:sz w:val="24"/>
                <w:szCs w:val="22"/>
                <w:highlight w:val="none"/>
                <w:u w:val="single"/>
              </w:rPr>
              <w:t xml:space="preserve">       </w:t>
            </w:r>
            <w:r>
              <w:rPr>
                <w:rFonts w:hint="eastAsia" w:ascii="宋体" w:hAnsi="宋体" w:cs="宋体"/>
                <w:b/>
                <w:sz w:val="24"/>
                <w:szCs w:val="22"/>
                <w:highlight w:val="none"/>
                <w:u w:val="single"/>
                <w:lang w:val="en-US" w:eastAsia="zh-CN"/>
              </w:rPr>
              <w:t xml:space="preserve">   </w:t>
            </w:r>
            <w:r>
              <w:rPr>
                <w:rFonts w:hint="eastAsia" w:ascii="宋体" w:hAnsi="宋体" w:cs="宋体"/>
                <w:b/>
                <w:sz w:val="24"/>
                <w:szCs w:val="22"/>
                <w:highlight w:val="none"/>
                <w:u w:val="single"/>
              </w:rPr>
              <w:t xml:space="preserve">    </w:t>
            </w:r>
            <w:r>
              <w:rPr>
                <w:rFonts w:hint="eastAsia" w:ascii="宋体" w:hAnsi="宋体" w:cs="宋体"/>
                <w:b/>
                <w:sz w:val="24"/>
                <w:szCs w:val="22"/>
                <w:highlight w:val="none"/>
              </w:rPr>
              <w:t>元</w:t>
            </w:r>
          </w:p>
          <w:p>
            <w:pPr>
              <w:wordWrap/>
              <w:autoSpaceDE w:val="0"/>
              <w:autoSpaceDN w:val="0"/>
              <w:adjustRightInd w:val="0"/>
              <w:snapToGrid/>
              <w:spacing w:line="440" w:lineRule="exact"/>
              <w:jc w:val="left"/>
              <w:rPr>
                <w:rFonts w:hint="eastAsia" w:ascii="宋体" w:hAnsi="宋体" w:cs="宋体"/>
                <w:b/>
                <w:sz w:val="24"/>
                <w:szCs w:val="22"/>
                <w:highlight w:val="none"/>
              </w:rPr>
            </w:pPr>
          </w:p>
          <w:p>
            <w:pPr>
              <w:autoSpaceDE w:val="0"/>
              <w:autoSpaceDN w:val="0"/>
              <w:adjustRightInd w:val="0"/>
              <w:spacing w:line="440" w:lineRule="exact"/>
              <w:jc w:val="left"/>
              <w:rPr>
                <w:rFonts w:hint="eastAsia" w:ascii="宋体" w:hAnsi="宋体" w:cs="宋体"/>
                <w:b/>
                <w:sz w:val="24"/>
                <w:szCs w:val="22"/>
                <w:highlight w:val="none"/>
              </w:rPr>
            </w:pPr>
            <w:r>
              <w:rPr>
                <w:rFonts w:hint="eastAsia" w:ascii="宋体" w:hAnsi="宋体" w:cs="宋体"/>
                <w:b/>
                <w:sz w:val="24"/>
                <w:szCs w:val="22"/>
                <w:highlight w:val="none"/>
              </w:rPr>
              <w:t>总报价小写：￥</w:t>
            </w:r>
            <w:r>
              <w:rPr>
                <w:rFonts w:hint="eastAsia" w:ascii="宋体" w:hAnsi="宋体" w:cs="宋体"/>
                <w:b/>
                <w:sz w:val="24"/>
                <w:szCs w:val="22"/>
                <w:highlight w:val="none"/>
                <w:u w:val="single"/>
              </w:rPr>
              <w:t xml:space="preserve">      </w:t>
            </w:r>
            <w:r>
              <w:rPr>
                <w:rFonts w:hint="eastAsia" w:ascii="宋体" w:hAnsi="宋体" w:cs="宋体"/>
                <w:b/>
                <w:sz w:val="24"/>
                <w:szCs w:val="22"/>
                <w:highlight w:val="none"/>
                <w:u w:val="single"/>
                <w:lang w:val="en-US" w:eastAsia="zh-CN"/>
              </w:rPr>
              <w:t xml:space="preserve">   </w:t>
            </w:r>
            <w:r>
              <w:rPr>
                <w:rFonts w:hint="eastAsia" w:ascii="宋体" w:hAnsi="宋体" w:cs="宋体"/>
                <w:b/>
                <w:sz w:val="24"/>
                <w:szCs w:val="22"/>
                <w:highlight w:val="none"/>
                <w:u w:val="single"/>
              </w:rPr>
              <w:t xml:space="preserve">   </w:t>
            </w:r>
            <w:r>
              <w:rPr>
                <w:rFonts w:hint="eastAsia" w:ascii="宋体" w:hAnsi="宋体" w:cs="宋体"/>
                <w:b/>
                <w:sz w:val="24"/>
                <w:szCs w:val="22"/>
                <w:highlight w:val="none"/>
              </w:rPr>
              <w:t>元</w:t>
            </w:r>
          </w:p>
          <w:p>
            <w:pPr>
              <w:autoSpaceDE w:val="0"/>
              <w:autoSpaceDN w:val="0"/>
              <w:adjustRightInd w:val="0"/>
              <w:spacing w:line="440" w:lineRule="exact"/>
              <w:jc w:val="left"/>
              <w:rPr>
                <w:rFonts w:hint="eastAsia" w:ascii="宋体" w:hAnsi="宋体" w:cs="宋体"/>
                <w:b/>
                <w:sz w:val="24"/>
                <w:szCs w:val="22"/>
                <w:highlight w:val="none"/>
              </w:rPr>
            </w:pPr>
          </w:p>
        </w:tc>
      </w:tr>
    </w:tbl>
    <w:p>
      <w:pPr>
        <w:autoSpaceDE w:val="0"/>
        <w:autoSpaceDN w:val="0"/>
        <w:adjustRightInd w:val="0"/>
        <w:spacing w:line="360" w:lineRule="auto"/>
        <w:rPr>
          <w:rFonts w:hint="eastAsia" w:ascii="宋体" w:hAnsi="宋体"/>
          <w:color w:val="000000"/>
          <w:kern w:val="0"/>
          <w:sz w:val="24"/>
        </w:rPr>
      </w:pPr>
    </w:p>
    <w:p>
      <w:pPr>
        <w:autoSpaceDE w:val="0"/>
        <w:autoSpaceDN w:val="0"/>
        <w:adjustRightInd w:val="0"/>
        <w:spacing w:line="360" w:lineRule="auto"/>
        <w:rPr>
          <w:rFonts w:ascii="宋体" w:hAnsi="宋体"/>
          <w:color w:val="000000"/>
          <w:kern w:val="0"/>
          <w:sz w:val="24"/>
        </w:rPr>
      </w:pPr>
      <w:r>
        <w:rPr>
          <w:rFonts w:hint="eastAsia" w:ascii="宋体" w:hAnsi="宋体"/>
          <w:color w:val="000000"/>
          <w:kern w:val="0"/>
          <w:sz w:val="24"/>
        </w:rPr>
        <w:t>备注：大写总价与小写总价不一致，以大写总价为准</w:t>
      </w:r>
      <w:r>
        <w:rPr>
          <w:rFonts w:hint="eastAsia" w:ascii="宋体" w:hAnsi="宋体"/>
          <w:b/>
          <w:color w:val="000000"/>
          <w:kern w:val="0"/>
          <w:sz w:val="24"/>
        </w:rPr>
        <w:t>。</w:t>
      </w:r>
    </w:p>
    <w:p>
      <w:pPr>
        <w:autoSpaceDE w:val="0"/>
        <w:autoSpaceDN w:val="0"/>
        <w:adjustRightInd w:val="0"/>
        <w:spacing w:line="360" w:lineRule="auto"/>
        <w:rPr>
          <w:rFonts w:ascii="宋体" w:hAnsi="宋体"/>
          <w:b/>
          <w:color w:val="000000"/>
          <w:kern w:val="0"/>
          <w:sz w:val="24"/>
        </w:rPr>
      </w:pPr>
    </w:p>
    <w:p>
      <w:pPr>
        <w:autoSpaceDE w:val="0"/>
        <w:autoSpaceDN w:val="0"/>
        <w:adjustRightInd w:val="0"/>
        <w:spacing w:line="360" w:lineRule="auto"/>
        <w:rPr>
          <w:rFonts w:ascii="宋体" w:hAnsi="宋体"/>
          <w:b/>
          <w:color w:val="000000"/>
          <w:kern w:val="0"/>
          <w:sz w:val="24"/>
        </w:rPr>
      </w:pPr>
    </w:p>
    <w:p>
      <w:pPr>
        <w:wordWrap/>
        <w:autoSpaceDE w:val="0"/>
        <w:autoSpaceDN w:val="0"/>
        <w:adjustRightInd w:val="0"/>
        <w:spacing w:line="360" w:lineRule="auto"/>
        <w:ind w:left="0" w:leftChars="0" w:firstLine="4320" w:firstLineChars="1800"/>
        <w:jc w:val="both"/>
        <w:rPr>
          <w:rFonts w:ascii="宋体" w:hAnsi="宋体" w:cs="仿宋_GB2312"/>
          <w:color w:val="000000"/>
          <w:kern w:val="0"/>
          <w:sz w:val="24"/>
          <w:lang w:val="zh-CN"/>
        </w:rPr>
      </w:pPr>
      <w:r>
        <w:rPr>
          <w:rFonts w:hint="eastAsia" w:ascii="宋体" w:hAnsi="宋体" w:cs="仿宋_GB2312"/>
          <w:color w:val="000000"/>
          <w:kern w:val="0"/>
          <w:sz w:val="24"/>
          <w:lang w:val="zh-CN"/>
        </w:rPr>
        <w:t xml:space="preserve">投标人（公章）： </w:t>
      </w:r>
      <w:r>
        <w:rPr>
          <w:rFonts w:hint="eastAsia" w:ascii="宋体" w:hAnsi="宋体" w:cs="仿宋_GB2312"/>
          <w:color w:val="000000"/>
          <w:kern w:val="0"/>
          <w:sz w:val="24"/>
          <w:lang w:val="en-US" w:eastAsia="zh-CN"/>
        </w:rPr>
        <w:t xml:space="preserve">              </w:t>
      </w:r>
      <w:r>
        <w:rPr>
          <w:rFonts w:hint="eastAsia" w:ascii="宋体" w:hAnsi="宋体" w:cs="仿宋_GB2312"/>
          <w:color w:val="000000"/>
          <w:kern w:val="0"/>
          <w:sz w:val="24"/>
          <w:lang w:val="zh-CN"/>
        </w:rPr>
        <w:t xml:space="preserve">    </w:t>
      </w:r>
    </w:p>
    <w:p>
      <w:pPr>
        <w:wordWrap/>
        <w:autoSpaceDE w:val="0"/>
        <w:autoSpaceDN w:val="0"/>
        <w:adjustRightInd w:val="0"/>
        <w:spacing w:line="360" w:lineRule="auto"/>
        <w:ind w:left="0" w:leftChars="0" w:firstLine="4320" w:firstLineChars="1800"/>
        <w:jc w:val="both"/>
        <w:rPr>
          <w:rFonts w:ascii="宋体" w:hAnsi="宋体" w:cs="仿宋_GB2312"/>
          <w:color w:val="000000"/>
          <w:kern w:val="0"/>
          <w:sz w:val="24"/>
          <w:lang w:val="zh-CN"/>
        </w:rPr>
      </w:pPr>
      <w:r>
        <w:rPr>
          <w:rFonts w:hint="eastAsia" w:ascii="宋体" w:hAnsi="宋体" w:cs="仿宋_GB2312"/>
          <w:color w:val="000000"/>
          <w:kern w:val="0"/>
          <w:sz w:val="24"/>
          <w:lang w:val="zh-CN"/>
        </w:rPr>
        <w:t xml:space="preserve">法定代表人或授权代表（签字）：     </w:t>
      </w:r>
    </w:p>
    <w:p>
      <w:pPr>
        <w:wordWrap w:val="0"/>
        <w:autoSpaceDE w:val="0"/>
        <w:autoSpaceDN w:val="0"/>
        <w:adjustRightInd w:val="0"/>
        <w:spacing w:line="360" w:lineRule="auto"/>
        <w:ind w:left="0" w:leftChars="0" w:firstLine="4320" w:firstLineChars="1800"/>
        <w:jc w:val="both"/>
        <w:rPr>
          <w:rFonts w:ascii="宋体" w:hAnsi="宋体" w:cs="仿宋_GB2312"/>
          <w:color w:val="000000"/>
          <w:kern w:val="0"/>
          <w:sz w:val="24"/>
          <w:lang w:val="zh-CN"/>
        </w:rPr>
      </w:pPr>
      <w:r>
        <w:rPr>
          <w:rFonts w:hint="eastAsia" w:ascii="宋体" w:hAnsi="宋体" w:cs="仿宋_GB2312"/>
          <w:color w:val="000000"/>
          <w:kern w:val="0"/>
          <w:sz w:val="24"/>
          <w:lang w:val="zh-CN"/>
        </w:rPr>
        <w:t xml:space="preserve">日期：20  年  月   日      </w:t>
      </w:r>
    </w:p>
    <w:p>
      <w:pPr>
        <w:jc w:val="center"/>
        <w:outlineLvl w:val="1"/>
        <w:rPr>
          <w:rFonts w:ascii="宋体" w:hAnsi="宋体"/>
          <w:b/>
          <w:color w:val="000000"/>
          <w:kern w:val="0"/>
          <w:sz w:val="24"/>
        </w:rPr>
      </w:pPr>
      <w:r>
        <w:rPr>
          <w:rFonts w:hint="eastAsia" w:ascii="宋体" w:hAnsi="宋体" w:eastAsia="宋体" w:cs="仿宋_GB2312"/>
          <w:b/>
          <w:bCs/>
          <w:color w:val="000000"/>
          <w:kern w:val="0"/>
          <w:sz w:val="24"/>
          <w:szCs w:val="44"/>
          <w:lang w:val="zh-CN" w:eastAsia="zh-CN" w:bidi="ar-SA"/>
        </w:rPr>
        <w:br w:type="page"/>
      </w:r>
      <w:r>
        <w:rPr>
          <w:rFonts w:hint="eastAsia"/>
          <w:b/>
          <w:bCs/>
          <w:sz w:val="28"/>
          <w:szCs w:val="28"/>
          <w:lang w:val="en-US" w:eastAsia="zh-CN"/>
        </w:rPr>
        <w:t>二、分项报价表</w:t>
      </w:r>
    </w:p>
    <w:p>
      <w:pPr>
        <w:autoSpaceDE w:val="0"/>
        <w:autoSpaceDN w:val="0"/>
        <w:adjustRightInd w:val="0"/>
        <w:spacing w:line="440" w:lineRule="exact"/>
        <w:rPr>
          <w:rFonts w:hint="default" w:ascii="宋体" w:hAnsi="宋体" w:eastAsia="宋体"/>
          <w:b/>
          <w:color w:val="000000"/>
          <w:kern w:val="0"/>
          <w:sz w:val="24"/>
          <w:lang w:val="en-US" w:eastAsia="zh-CN"/>
        </w:rPr>
      </w:pPr>
      <w:r>
        <w:rPr>
          <w:rFonts w:hint="eastAsia" w:ascii="宋体" w:hAnsi="宋体"/>
          <w:b/>
          <w:color w:val="000000"/>
          <w:kern w:val="0"/>
          <w:sz w:val="24"/>
        </w:rPr>
        <w:t xml:space="preserve">项目编号： </w:t>
      </w:r>
      <w:r>
        <w:rPr>
          <w:rFonts w:hint="eastAsia" w:ascii="宋体" w:hAnsi="宋体"/>
          <w:b/>
          <w:color w:val="000000"/>
          <w:kern w:val="0"/>
          <w:sz w:val="24"/>
          <w:lang w:val="en-US" w:eastAsia="zh-CN"/>
        </w:rPr>
        <w:t xml:space="preserve">          </w:t>
      </w:r>
    </w:p>
    <w:tbl>
      <w:tblPr>
        <w:tblStyle w:val="15"/>
        <w:tblW w:w="9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2233"/>
        <w:gridCol w:w="2170"/>
        <w:gridCol w:w="1417"/>
        <w:gridCol w:w="1276"/>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92" w:type="dxa"/>
            <w:tcBorders>
              <w:right w:val="single" w:color="auto" w:sz="4" w:space="0"/>
            </w:tcBorders>
            <w:shd w:val="clear" w:color="auto" w:fill="E5DFEC"/>
            <w:vAlign w:val="center"/>
          </w:tcPr>
          <w:p>
            <w:pPr>
              <w:autoSpaceDE w:val="0"/>
              <w:autoSpaceDN w:val="0"/>
              <w:adjustRightInd w:val="0"/>
              <w:spacing w:line="240" w:lineRule="auto"/>
              <w:jc w:val="center"/>
              <w:rPr>
                <w:rFonts w:ascii="宋体" w:hAnsi="宋体"/>
                <w:b/>
                <w:color w:val="000000"/>
                <w:kern w:val="0"/>
                <w:sz w:val="24"/>
              </w:rPr>
            </w:pPr>
            <w:r>
              <w:rPr>
                <w:rFonts w:hint="eastAsia" w:ascii="宋体" w:hAnsi="宋体"/>
                <w:b/>
                <w:color w:val="000000"/>
                <w:kern w:val="0"/>
                <w:sz w:val="24"/>
              </w:rPr>
              <w:t>序号</w:t>
            </w:r>
          </w:p>
        </w:tc>
        <w:tc>
          <w:tcPr>
            <w:tcW w:w="2233" w:type="dxa"/>
            <w:tcBorders>
              <w:left w:val="single" w:color="auto" w:sz="4" w:space="0"/>
            </w:tcBorders>
            <w:shd w:val="clear" w:color="auto" w:fill="E5DFEC"/>
            <w:vAlign w:val="center"/>
          </w:tcPr>
          <w:p>
            <w:pPr>
              <w:autoSpaceDE w:val="0"/>
              <w:autoSpaceDN w:val="0"/>
              <w:adjustRightInd w:val="0"/>
              <w:spacing w:line="240" w:lineRule="auto"/>
              <w:jc w:val="center"/>
              <w:rPr>
                <w:rFonts w:ascii="宋体" w:hAnsi="宋体"/>
                <w:b/>
                <w:color w:val="000000"/>
                <w:kern w:val="0"/>
                <w:sz w:val="24"/>
              </w:rPr>
            </w:pPr>
          </w:p>
        </w:tc>
        <w:tc>
          <w:tcPr>
            <w:tcW w:w="2170" w:type="dxa"/>
            <w:shd w:val="clear" w:color="auto" w:fill="E5DFEC"/>
            <w:vAlign w:val="center"/>
          </w:tcPr>
          <w:p>
            <w:pPr>
              <w:autoSpaceDE w:val="0"/>
              <w:autoSpaceDN w:val="0"/>
              <w:adjustRightInd w:val="0"/>
              <w:spacing w:line="240" w:lineRule="auto"/>
              <w:jc w:val="center"/>
              <w:rPr>
                <w:rFonts w:ascii="宋体" w:hAnsi="宋体"/>
                <w:b/>
                <w:color w:val="000000"/>
                <w:kern w:val="0"/>
                <w:sz w:val="24"/>
              </w:rPr>
            </w:pPr>
          </w:p>
        </w:tc>
        <w:tc>
          <w:tcPr>
            <w:tcW w:w="1417" w:type="dxa"/>
            <w:shd w:val="clear" w:color="auto" w:fill="E5DFEC"/>
            <w:vAlign w:val="center"/>
          </w:tcPr>
          <w:p>
            <w:pPr>
              <w:autoSpaceDE w:val="0"/>
              <w:autoSpaceDN w:val="0"/>
              <w:adjustRightInd w:val="0"/>
              <w:spacing w:line="240" w:lineRule="auto"/>
              <w:jc w:val="center"/>
              <w:rPr>
                <w:rFonts w:ascii="宋体" w:hAnsi="宋体"/>
                <w:b/>
                <w:color w:val="000000"/>
                <w:kern w:val="0"/>
                <w:sz w:val="24"/>
              </w:rPr>
            </w:pPr>
          </w:p>
        </w:tc>
        <w:tc>
          <w:tcPr>
            <w:tcW w:w="1276" w:type="dxa"/>
            <w:shd w:val="clear" w:color="auto" w:fill="E5DFEC"/>
            <w:vAlign w:val="center"/>
          </w:tcPr>
          <w:p>
            <w:pPr>
              <w:autoSpaceDE w:val="0"/>
              <w:autoSpaceDN w:val="0"/>
              <w:adjustRightInd w:val="0"/>
              <w:spacing w:line="240" w:lineRule="auto"/>
              <w:jc w:val="center"/>
              <w:rPr>
                <w:rFonts w:ascii="宋体" w:hAnsi="宋体"/>
                <w:b/>
                <w:color w:val="000000"/>
                <w:kern w:val="0"/>
                <w:sz w:val="24"/>
              </w:rPr>
            </w:pPr>
          </w:p>
        </w:tc>
        <w:tc>
          <w:tcPr>
            <w:tcW w:w="1269" w:type="dxa"/>
            <w:shd w:val="clear" w:color="auto" w:fill="E5DFEC"/>
            <w:vAlign w:val="center"/>
          </w:tcPr>
          <w:p>
            <w:pPr>
              <w:autoSpaceDE w:val="0"/>
              <w:autoSpaceDN w:val="0"/>
              <w:adjustRightInd w:val="0"/>
              <w:spacing w:line="240" w:lineRule="auto"/>
              <w:jc w:val="center"/>
              <w:rPr>
                <w:rFonts w:ascii="宋体" w:hAnsi="宋体"/>
                <w:b/>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92" w:type="dxa"/>
            <w:tcBorders>
              <w:right w:val="single" w:color="auto" w:sz="4" w:space="0"/>
            </w:tcBorders>
            <w:vAlign w:val="center"/>
          </w:tcPr>
          <w:p>
            <w:pPr>
              <w:autoSpaceDE w:val="0"/>
              <w:autoSpaceDN w:val="0"/>
              <w:adjustRightInd w:val="0"/>
              <w:spacing w:line="240" w:lineRule="auto"/>
              <w:jc w:val="center"/>
              <w:rPr>
                <w:rFonts w:ascii="宋体" w:hAnsi="宋体"/>
                <w:color w:val="000000"/>
                <w:kern w:val="0"/>
                <w:sz w:val="24"/>
              </w:rPr>
            </w:pPr>
          </w:p>
        </w:tc>
        <w:tc>
          <w:tcPr>
            <w:tcW w:w="2233" w:type="dxa"/>
            <w:tcBorders>
              <w:left w:val="single" w:color="auto" w:sz="4" w:space="0"/>
            </w:tcBorders>
            <w:vAlign w:val="center"/>
          </w:tcPr>
          <w:p>
            <w:pPr>
              <w:autoSpaceDE w:val="0"/>
              <w:autoSpaceDN w:val="0"/>
              <w:adjustRightInd w:val="0"/>
              <w:spacing w:line="240" w:lineRule="auto"/>
              <w:jc w:val="center"/>
              <w:rPr>
                <w:rFonts w:ascii="宋体" w:hAnsi="宋体"/>
                <w:color w:val="000000"/>
                <w:kern w:val="0"/>
                <w:sz w:val="24"/>
              </w:rPr>
            </w:pPr>
          </w:p>
        </w:tc>
        <w:tc>
          <w:tcPr>
            <w:tcW w:w="2170" w:type="dxa"/>
            <w:vAlign w:val="center"/>
          </w:tcPr>
          <w:p>
            <w:pPr>
              <w:autoSpaceDE w:val="0"/>
              <w:autoSpaceDN w:val="0"/>
              <w:adjustRightInd w:val="0"/>
              <w:spacing w:line="240" w:lineRule="auto"/>
              <w:jc w:val="center"/>
              <w:rPr>
                <w:rFonts w:ascii="宋体" w:hAnsi="宋体"/>
                <w:color w:val="000000"/>
                <w:kern w:val="0"/>
                <w:sz w:val="24"/>
              </w:rPr>
            </w:pPr>
          </w:p>
        </w:tc>
        <w:tc>
          <w:tcPr>
            <w:tcW w:w="1417" w:type="dxa"/>
            <w:vAlign w:val="center"/>
          </w:tcPr>
          <w:p>
            <w:pPr>
              <w:autoSpaceDE w:val="0"/>
              <w:autoSpaceDN w:val="0"/>
              <w:adjustRightInd w:val="0"/>
              <w:spacing w:line="240" w:lineRule="auto"/>
              <w:jc w:val="center"/>
              <w:rPr>
                <w:rFonts w:ascii="宋体" w:hAnsi="宋体"/>
                <w:color w:val="000000"/>
                <w:kern w:val="0"/>
                <w:sz w:val="24"/>
              </w:rPr>
            </w:pPr>
          </w:p>
        </w:tc>
        <w:tc>
          <w:tcPr>
            <w:tcW w:w="1276" w:type="dxa"/>
            <w:vAlign w:val="center"/>
          </w:tcPr>
          <w:p>
            <w:pPr>
              <w:autoSpaceDE w:val="0"/>
              <w:autoSpaceDN w:val="0"/>
              <w:adjustRightInd w:val="0"/>
              <w:spacing w:line="240" w:lineRule="auto"/>
              <w:jc w:val="center"/>
              <w:rPr>
                <w:rFonts w:ascii="宋体" w:hAnsi="宋体"/>
                <w:color w:val="000000"/>
                <w:kern w:val="0"/>
                <w:sz w:val="24"/>
              </w:rPr>
            </w:pPr>
          </w:p>
        </w:tc>
        <w:tc>
          <w:tcPr>
            <w:tcW w:w="1269" w:type="dxa"/>
            <w:vAlign w:val="center"/>
          </w:tcPr>
          <w:p>
            <w:pPr>
              <w:autoSpaceDE w:val="0"/>
              <w:autoSpaceDN w:val="0"/>
              <w:adjustRightInd w:val="0"/>
              <w:spacing w:line="240" w:lineRule="auto"/>
              <w:jc w:val="cente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92" w:type="dxa"/>
            <w:tcBorders>
              <w:right w:val="single" w:color="auto" w:sz="4" w:space="0"/>
            </w:tcBorders>
            <w:vAlign w:val="center"/>
          </w:tcPr>
          <w:p>
            <w:pPr>
              <w:autoSpaceDE w:val="0"/>
              <w:autoSpaceDN w:val="0"/>
              <w:adjustRightInd w:val="0"/>
              <w:spacing w:line="240" w:lineRule="auto"/>
              <w:jc w:val="center"/>
              <w:rPr>
                <w:rFonts w:ascii="宋体" w:hAnsi="宋体"/>
                <w:color w:val="000000"/>
                <w:kern w:val="0"/>
                <w:sz w:val="24"/>
              </w:rPr>
            </w:pPr>
          </w:p>
        </w:tc>
        <w:tc>
          <w:tcPr>
            <w:tcW w:w="2233" w:type="dxa"/>
            <w:tcBorders>
              <w:left w:val="single" w:color="auto" w:sz="4" w:space="0"/>
            </w:tcBorders>
            <w:vAlign w:val="center"/>
          </w:tcPr>
          <w:p>
            <w:pPr>
              <w:autoSpaceDE w:val="0"/>
              <w:autoSpaceDN w:val="0"/>
              <w:adjustRightInd w:val="0"/>
              <w:spacing w:line="240" w:lineRule="auto"/>
              <w:jc w:val="center"/>
              <w:rPr>
                <w:rFonts w:ascii="宋体" w:hAnsi="宋体"/>
                <w:color w:val="000000"/>
                <w:kern w:val="0"/>
                <w:sz w:val="24"/>
              </w:rPr>
            </w:pPr>
          </w:p>
        </w:tc>
        <w:tc>
          <w:tcPr>
            <w:tcW w:w="2170" w:type="dxa"/>
            <w:vAlign w:val="center"/>
          </w:tcPr>
          <w:p>
            <w:pPr>
              <w:autoSpaceDE w:val="0"/>
              <w:autoSpaceDN w:val="0"/>
              <w:adjustRightInd w:val="0"/>
              <w:spacing w:line="240" w:lineRule="auto"/>
              <w:jc w:val="center"/>
              <w:rPr>
                <w:rFonts w:ascii="宋体" w:hAnsi="宋体"/>
                <w:color w:val="000000"/>
                <w:kern w:val="0"/>
                <w:sz w:val="24"/>
              </w:rPr>
            </w:pPr>
          </w:p>
        </w:tc>
        <w:tc>
          <w:tcPr>
            <w:tcW w:w="1417" w:type="dxa"/>
            <w:vAlign w:val="center"/>
          </w:tcPr>
          <w:p>
            <w:pPr>
              <w:autoSpaceDE w:val="0"/>
              <w:autoSpaceDN w:val="0"/>
              <w:adjustRightInd w:val="0"/>
              <w:spacing w:line="240" w:lineRule="auto"/>
              <w:jc w:val="center"/>
              <w:rPr>
                <w:rFonts w:ascii="宋体" w:hAnsi="宋体"/>
                <w:color w:val="000000"/>
                <w:kern w:val="0"/>
                <w:sz w:val="24"/>
              </w:rPr>
            </w:pPr>
          </w:p>
        </w:tc>
        <w:tc>
          <w:tcPr>
            <w:tcW w:w="1276" w:type="dxa"/>
            <w:vAlign w:val="center"/>
          </w:tcPr>
          <w:p>
            <w:pPr>
              <w:autoSpaceDE w:val="0"/>
              <w:autoSpaceDN w:val="0"/>
              <w:adjustRightInd w:val="0"/>
              <w:spacing w:line="240" w:lineRule="auto"/>
              <w:jc w:val="center"/>
              <w:rPr>
                <w:rFonts w:ascii="宋体" w:hAnsi="宋体"/>
                <w:color w:val="000000"/>
                <w:kern w:val="0"/>
                <w:sz w:val="24"/>
              </w:rPr>
            </w:pPr>
          </w:p>
        </w:tc>
        <w:tc>
          <w:tcPr>
            <w:tcW w:w="1269" w:type="dxa"/>
            <w:vAlign w:val="center"/>
          </w:tcPr>
          <w:p>
            <w:pPr>
              <w:autoSpaceDE w:val="0"/>
              <w:autoSpaceDN w:val="0"/>
              <w:adjustRightInd w:val="0"/>
              <w:spacing w:line="240" w:lineRule="auto"/>
              <w:jc w:val="cente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92" w:type="dxa"/>
            <w:tcBorders>
              <w:right w:val="single" w:color="auto" w:sz="4" w:space="0"/>
            </w:tcBorders>
            <w:vAlign w:val="center"/>
          </w:tcPr>
          <w:p>
            <w:pPr>
              <w:autoSpaceDE w:val="0"/>
              <w:autoSpaceDN w:val="0"/>
              <w:adjustRightInd w:val="0"/>
              <w:spacing w:line="240" w:lineRule="auto"/>
              <w:jc w:val="center"/>
              <w:rPr>
                <w:rFonts w:ascii="宋体" w:hAnsi="宋体"/>
                <w:color w:val="000000"/>
                <w:kern w:val="0"/>
                <w:sz w:val="24"/>
              </w:rPr>
            </w:pPr>
          </w:p>
        </w:tc>
        <w:tc>
          <w:tcPr>
            <w:tcW w:w="2233" w:type="dxa"/>
            <w:tcBorders>
              <w:left w:val="single" w:color="auto" w:sz="4" w:space="0"/>
            </w:tcBorders>
            <w:vAlign w:val="center"/>
          </w:tcPr>
          <w:p>
            <w:pPr>
              <w:autoSpaceDE w:val="0"/>
              <w:autoSpaceDN w:val="0"/>
              <w:adjustRightInd w:val="0"/>
              <w:spacing w:line="240" w:lineRule="auto"/>
              <w:jc w:val="center"/>
              <w:rPr>
                <w:rFonts w:ascii="宋体" w:hAnsi="宋体"/>
                <w:color w:val="000000"/>
                <w:kern w:val="0"/>
                <w:sz w:val="24"/>
              </w:rPr>
            </w:pPr>
          </w:p>
        </w:tc>
        <w:tc>
          <w:tcPr>
            <w:tcW w:w="2170" w:type="dxa"/>
            <w:vAlign w:val="center"/>
          </w:tcPr>
          <w:p>
            <w:pPr>
              <w:autoSpaceDE w:val="0"/>
              <w:autoSpaceDN w:val="0"/>
              <w:adjustRightInd w:val="0"/>
              <w:spacing w:line="240" w:lineRule="auto"/>
              <w:jc w:val="center"/>
              <w:rPr>
                <w:rFonts w:ascii="宋体" w:hAnsi="宋体"/>
                <w:color w:val="000000"/>
                <w:kern w:val="0"/>
                <w:sz w:val="24"/>
              </w:rPr>
            </w:pPr>
          </w:p>
        </w:tc>
        <w:tc>
          <w:tcPr>
            <w:tcW w:w="1417" w:type="dxa"/>
            <w:vAlign w:val="center"/>
          </w:tcPr>
          <w:p>
            <w:pPr>
              <w:autoSpaceDE w:val="0"/>
              <w:autoSpaceDN w:val="0"/>
              <w:adjustRightInd w:val="0"/>
              <w:spacing w:line="240" w:lineRule="auto"/>
              <w:jc w:val="center"/>
              <w:rPr>
                <w:rFonts w:ascii="宋体" w:hAnsi="宋体"/>
                <w:color w:val="000000"/>
                <w:kern w:val="0"/>
                <w:sz w:val="24"/>
              </w:rPr>
            </w:pPr>
          </w:p>
        </w:tc>
        <w:tc>
          <w:tcPr>
            <w:tcW w:w="1276" w:type="dxa"/>
            <w:vAlign w:val="center"/>
          </w:tcPr>
          <w:p>
            <w:pPr>
              <w:autoSpaceDE w:val="0"/>
              <w:autoSpaceDN w:val="0"/>
              <w:adjustRightInd w:val="0"/>
              <w:spacing w:line="240" w:lineRule="auto"/>
              <w:jc w:val="center"/>
              <w:rPr>
                <w:rFonts w:ascii="宋体" w:hAnsi="宋体"/>
                <w:color w:val="000000"/>
                <w:kern w:val="0"/>
                <w:sz w:val="24"/>
              </w:rPr>
            </w:pPr>
          </w:p>
        </w:tc>
        <w:tc>
          <w:tcPr>
            <w:tcW w:w="1269" w:type="dxa"/>
            <w:vAlign w:val="center"/>
          </w:tcPr>
          <w:p>
            <w:pPr>
              <w:autoSpaceDE w:val="0"/>
              <w:autoSpaceDN w:val="0"/>
              <w:adjustRightInd w:val="0"/>
              <w:spacing w:line="240" w:lineRule="auto"/>
              <w:jc w:val="cente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92" w:type="dxa"/>
            <w:tcBorders>
              <w:right w:val="single" w:color="auto" w:sz="4" w:space="0"/>
            </w:tcBorders>
            <w:vAlign w:val="center"/>
          </w:tcPr>
          <w:p>
            <w:pPr>
              <w:autoSpaceDE w:val="0"/>
              <w:autoSpaceDN w:val="0"/>
              <w:adjustRightInd w:val="0"/>
              <w:spacing w:line="240" w:lineRule="auto"/>
              <w:jc w:val="center"/>
              <w:rPr>
                <w:rFonts w:ascii="宋体" w:hAnsi="宋体"/>
                <w:color w:val="000000"/>
                <w:kern w:val="0"/>
                <w:sz w:val="24"/>
              </w:rPr>
            </w:pPr>
          </w:p>
        </w:tc>
        <w:tc>
          <w:tcPr>
            <w:tcW w:w="2233" w:type="dxa"/>
            <w:tcBorders>
              <w:left w:val="single" w:color="auto" w:sz="4" w:space="0"/>
            </w:tcBorders>
            <w:vAlign w:val="center"/>
          </w:tcPr>
          <w:p>
            <w:pPr>
              <w:autoSpaceDE w:val="0"/>
              <w:autoSpaceDN w:val="0"/>
              <w:adjustRightInd w:val="0"/>
              <w:spacing w:line="240" w:lineRule="auto"/>
              <w:jc w:val="center"/>
              <w:rPr>
                <w:rFonts w:ascii="宋体" w:hAnsi="宋体"/>
                <w:color w:val="000000"/>
                <w:kern w:val="0"/>
                <w:sz w:val="24"/>
              </w:rPr>
            </w:pPr>
          </w:p>
        </w:tc>
        <w:tc>
          <w:tcPr>
            <w:tcW w:w="2170" w:type="dxa"/>
            <w:vAlign w:val="center"/>
          </w:tcPr>
          <w:p>
            <w:pPr>
              <w:autoSpaceDE w:val="0"/>
              <w:autoSpaceDN w:val="0"/>
              <w:adjustRightInd w:val="0"/>
              <w:spacing w:line="240" w:lineRule="auto"/>
              <w:jc w:val="center"/>
              <w:rPr>
                <w:rFonts w:ascii="宋体" w:hAnsi="宋体"/>
                <w:color w:val="000000"/>
                <w:kern w:val="0"/>
                <w:sz w:val="24"/>
              </w:rPr>
            </w:pPr>
          </w:p>
        </w:tc>
        <w:tc>
          <w:tcPr>
            <w:tcW w:w="1417" w:type="dxa"/>
            <w:vAlign w:val="center"/>
          </w:tcPr>
          <w:p>
            <w:pPr>
              <w:autoSpaceDE w:val="0"/>
              <w:autoSpaceDN w:val="0"/>
              <w:adjustRightInd w:val="0"/>
              <w:spacing w:line="240" w:lineRule="auto"/>
              <w:jc w:val="center"/>
              <w:rPr>
                <w:rFonts w:ascii="宋体" w:hAnsi="宋体"/>
                <w:color w:val="000000"/>
                <w:kern w:val="0"/>
                <w:sz w:val="24"/>
              </w:rPr>
            </w:pPr>
          </w:p>
        </w:tc>
        <w:tc>
          <w:tcPr>
            <w:tcW w:w="1276" w:type="dxa"/>
            <w:vAlign w:val="center"/>
          </w:tcPr>
          <w:p>
            <w:pPr>
              <w:autoSpaceDE w:val="0"/>
              <w:autoSpaceDN w:val="0"/>
              <w:adjustRightInd w:val="0"/>
              <w:spacing w:line="240" w:lineRule="auto"/>
              <w:jc w:val="center"/>
              <w:rPr>
                <w:rFonts w:ascii="宋体" w:hAnsi="宋体"/>
                <w:color w:val="000000"/>
                <w:kern w:val="0"/>
                <w:sz w:val="24"/>
              </w:rPr>
            </w:pPr>
          </w:p>
        </w:tc>
        <w:tc>
          <w:tcPr>
            <w:tcW w:w="1269" w:type="dxa"/>
            <w:vAlign w:val="center"/>
          </w:tcPr>
          <w:p>
            <w:pPr>
              <w:autoSpaceDE w:val="0"/>
              <w:autoSpaceDN w:val="0"/>
              <w:adjustRightInd w:val="0"/>
              <w:spacing w:line="240" w:lineRule="auto"/>
              <w:jc w:val="cente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92" w:type="dxa"/>
            <w:tcBorders>
              <w:right w:val="single" w:color="auto" w:sz="4" w:space="0"/>
            </w:tcBorders>
            <w:vAlign w:val="center"/>
          </w:tcPr>
          <w:p>
            <w:pPr>
              <w:autoSpaceDE w:val="0"/>
              <w:autoSpaceDN w:val="0"/>
              <w:adjustRightInd w:val="0"/>
              <w:spacing w:line="240" w:lineRule="auto"/>
              <w:jc w:val="center"/>
              <w:rPr>
                <w:rFonts w:ascii="宋体" w:hAnsi="宋体"/>
                <w:color w:val="000000"/>
                <w:kern w:val="0"/>
                <w:sz w:val="24"/>
              </w:rPr>
            </w:pPr>
          </w:p>
        </w:tc>
        <w:tc>
          <w:tcPr>
            <w:tcW w:w="2233" w:type="dxa"/>
            <w:tcBorders>
              <w:left w:val="single" w:color="auto" w:sz="4" w:space="0"/>
            </w:tcBorders>
            <w:vAlign w:val="center"/>
          </w:tcPr>
          <w:p>
            <w:pPr>
              <w:autoSpaceDE w:val="0"/>
              <w:autoSpaceDN w:val="0"/>
              <w:adjustRightInd w:val="0"/>
              <w:spacing w:line="240" w:lineRule="auto"/>
              <w:jc w:val="center"/>
              <w:rPr>
                <w:rFonts w:ascii="宋体" w:hAnsi="宋体"/>
                <w:color w:val="000000"/>
                <w:kern w:val="0"/>
                <w:sz w:val="24"/>
              </w:rPr>
            </w:pPr>
          </w:p>
        </w:tc>
        <w:tc>
          <w:tcPr>
            <w:tcW w:w="2170" w:type="dxa"/>
            <w:vAlign w:val="center"/>
          </w:tcPr>
          <w:p>
            <w:pPr>
              <w:autoSpaceDE w:val="0"/>
              <w:autoSpaceDN w:val="0"/>
              <w:adjustRightInd w:val="0"/>
              <w:spacing w:line="240" w:lineRule="auto"/>
              <w:jc w:val="center"/>
              <w:rPr>
                <w:rFonts w:ascii="宋体" w:hAnsi="宋体"/>
                <w:color w:val="000000"/>
                <w:kern w:val="0"/>
                <w:sz w:val="24"/>
              </w:rPr>
            </w:pPr>
          </w:p>
        </w:tc>
        <w:tc>
          <w:tcPr>
            <w:tcW w:w="1417" w:type="dxa"/>
            <w:vAlign w:val="center"/>
          </w:tcPr>
          <w:p>
            <w:pPr>
              <w:autoSpaceDE w:val="0"/>
              <w:autoSpaceDN w:val="0"/>
              <w:adjustRightInd w:val="0"/>
              <w:spacing w:line="240" w:lineRule="auto"/>
              <w:jc w:val="center"/>
              <w:rPr>
                <w:rFonts w:ascii="宋体" w:hAnsi="宋体"/>
                <w:color w:val="000000"/>
                <w:kern w:val="0"/>
                <w:sz w:val="24"/>
              </w:rPr>
            </w:pPr>
          </w:p>
        </w:tc>
        <w:tc>
          <w:tcPr>
            <w:tcW w:w="1276" w:type="dxa"/>
            <w:vAlign w:val="center"/>
          </w:tcPr>
          <w:p>
            <w:pPr>
              <w:autoSpaceDE w:val="0"/>
              <w:autoSpaceDN w:val="0"/>
              <w:adjustRightInd w:val="0"/>
              <w:spacing w:line="240" w:lineRule="auto"/>
              <w:jc w:val="center"/>
              <w:rPr>
                <w:rFonts w:ascii="宋体" w:hAnsi="宋体"/>
                <w:color w:val="000000"/>
                <w:kern w:val="0"/>
                <w:sz w:val="24"/>
              </w:rPr>
            </w:pPr>
          </w:p>
        </w:tc>
        <w:tc>
          <w:tcPr>
            <w:tcW w:w="1269" w:type="dxa"/>
            <w:vAlign w:val="center"/>
          </w:tcPr>
          <w:p>
            <w:pPr>
              <w:autoSpaceDE w:val="0"/>
              <w:autoSpaceDN w:val="0"/>
              <w:adjustRightInd w:val="0"/>
              <w:spacing w:line="240" w:lineRule="auto"/>
              <w:jc w:val="cente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92" w:type="dxa"/>
            <w:tcBorders>
              <w:right w:val="single" w:color="auto" w:sz="4" w:space="0"/>
            </w:tcBorders>
            <w:vAlign w:val="center"/>
          </w:tcPr>
          <w:p>
            <w:pPr>
              <w:autoSpaceDE w:val="0"/>
              <w:autoSpaceDN w:val="0"/>
              <w:adjustRightInd w:val="0"/>
              <w:spacing w:line="240" w:lineRule="auto"/>
              <w:jc w:val="center"/>
              <w:rPr>
                <w:rFonts w:ascii="宋体" w:hAnsi="宋体"/>
                <w:color w:val="000000"/>
                <w:kern w:val="0"/>
                <w:sz w:val="24"/>
              </w:rPr>
            </w:pPr>
          </w:p>
        </w:tc>
        <w:tc>
          <w:tcPr>
            <w:tcW w:w="2233" w:type="dxa"/>
            <w:tcBorders>
              <w:left w:val="single" w:color="auto" w:sz="4" w:space="0"/>
            </w:tcBorders>
            <w:vAlign w:val="center"/>
          </w:tcPr>
          <w:p>
            <w:pPr>
              <w:autoSpaceDE w:val="0"/>
              <w:autoSpaceDN w:val="0"/>
              <w:adjustRightInd w:val="0"/>
              <w:spacing w:line="240" w:lineRule="auto"/>
              <w:jc w:val="center"/>
              <w:rPr>
                <w:rFonts w:ascii="宋体" w:hAnsi="宋体"/>
                <w:color w:val="000000"/>
                <w:kern w:val="0"/>
                <w:sz w:val="24"/>
              </w:rPr>
            </w:pPr>
          </w:p>
        </w:tc>
        <w:tc>
          <w:tcPr>
            <w:tcW w:w="2170" w:type="dxa"/>
            <w:vAlign w:val="center"/>
          </w:tcPr>
          <w:p>
            <w:pPr>
              <w:autoSpaceDE w:val="0"/>
              <w:autoSpaceDN w:val="0"/>
              <w:adjustRightInd w:val="0"/>
              <w:spacing w:line="240" w:lineRule="auto"/>
              <w:jc w:val="center"/>
              <w:rPr>
                <w:rFonts w:ascii="宋体" w:hAnsi="宋体"/>
                <w:color w:val="000000"/>
                <w:kern w:val="0"/>
                <w:sz w:val="24"/>
              </w:rPr>
            </w:pPr>
          </w:p>
        </w:tc>
        <w:tc>
          <w:tcPr>
            <w:tcW w:w="1417" w:type="dxa"/>
            <w:vAlign w:val="center"/>
          </w:tcPr>
          <w:p>
            <w:pPr>
              <w:autoSpaceDE w:val="0"/>
              <w:autoSpaceDN w:val="0"/>
              <w:adjustRightInd w:val="0"/>
              <w:spacing w:line="240" w:lineRule="auto"/>
              <w:jc w:val="center"/>
              <w:rPr>
                <w:rFonts w:ascii="宋体" w:hAnsi="宋体"/>
                <w:color w:val="000000"/>
                <w:kern w:val="0"/>
                <w:sz w:val="24"/>
              </w:rPr>
            </w:pPr>
          </w:p>
        </w:tc>
        <w:tc>
          <w:tcPr>
            <w:tcW w:w="1276" w:type="dxa"/>
            <w:vAlign w:val="center"/>
          </w:tcPr>
          <w:p>
            <w:pPr>
              <w:autoSpaceDE w:val="0"/>
              <w:autoSpaceDN w:val="0"/>
              <w:adjustRightInd w:val="0"/>
              <w:spacing w:line="240" w:lineRule="auto"/>
              <w:jc w:val="center"/>
              <w:rPr>
                <w:rFonts w:ascii="宋体" w:hAnsi="宋体"/>
                <w:color w:val="000000"/>
                <w:kern w:val="0"/>
                <w:sz w:val="24"/>
              </w:rPr>
            </w:pPr>
          </w:p>
        </w:tc>
        <w:tc>
          <w:tcPr>
            <w:tcW w:w="1269" w:type="dxa"/>
            <w:vAlign w:val="center"/>
          </w:tcPr>
          <w:p>
            <w:pPr>
              <w:autoSpaceDE w:val="0"/>
              <w:autoSpaceDN w:val="0"/>
              <w:adjustRightInd w:val="0"/>
              <w:spacing w:line="240" w:lineRule="auto"/>
              <w:jc w:val="cente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92" w:type="dxa"/>
            <w:tcBorders>
              <w:right w:val="single" w:color="auto" w:sz="4" w:space="0"/>
            </w:tcBorders>
            <w:vAlign w:val="center"/>
          </w:tcPr>
          <w:p>
            <w:pPr>
              <w:autoSpaceDE w:val="0"/>
              <w:autoSpaceDN w:val="0"/>
              <w:adjustRightInd w:val="0"/>
              <w:spacing w:line="240" w:lineRule="auto"/>
              <w:jc w:val="center"/>
              <w:rPr>
                <w:rFonts w:ascii="宋体" w:hAnsi="宋体"/>
                <w:color w:val="000000"/>
                <w:kern w:val="0"/>
                <w:sz w:val="24"/>
              </w:rPr>
            </w:pPr>
          </w:p>
        </w:tc>
        <w:tc>
          <w:tcPr>
            <w:tcW w:w="7096" w:type="dxa"/>
            <w:gridSpan w:val="4"/>
            <w:tcBorders>
              <w:left w:val="single" w:color="auto" w:sz="4" w:space="0"/>
            </w:tcBorders>
            <w:vAlign w:val="center"/>
          </w:tcPr>
          <w:p>
            <w:pPr>
              <w:autoSpaceDE w:val="0"/>
              <w:autoSpaceDN w:val="0"/>
              <w:adjustRightInd w:val="0"/>
              <w:spacing w:line="240" w:lineRule="auto"/>
              <w:jc w:val="center"/>
              <w:rPr>
                <w:rFonts w:ascii="宋体" w:hAnsi="宋体"/>
                <w:color w:val="000000"/>
                <w:kern w:val="0"/>
                <w:sz w:val="24"/>
              </w:rPr>
            </w:pPr>
            <w:r>
              <w:rPr>
                <w:rFonts w:hint="eastAsia" w:ascii="宋体" w:hAnsi="宋体"/>
                <w:b/>
                <w:color w:val="000000"/>
                <w:kern w:val="0"/>
                <w:sz w:val="24"/>
              </w:rPr>
              <w:t>税收及其他费用</w:t>
            </w:r>
          </w:p>
        </w:tc>
        <w:tc>
          <w:tcPr>
            <w:tcW w:w="1269" w:type="dxa"/>
            <w:vAlign w:val="center"/>
          </w:tcPr>
          <w:p>
            <w:pPr>
              <w:autoSpaceDE w:val="0"/>
              <w:autoSpaceDN w:val="0"/>
              <w:adjustRightInd w:val="0"/>
              <w:spacing w:line="240" w:lineRule="auto"/>
              <w:jc w:val="cente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92" w:type="dxa"/>
            <w:vMerge w:val="restart"/>
            <w:tcBorders>
              <w:right w:val="single" w:color="auto" w:sz="4" w:space="0"/>
            </w:tcBorders>
            <w:vAlign w:val="center"/>
          </w:tcPr>
          <w:p>
            <w:pPr>
              <w:autoSpaceDE w:val="0"/>
              <w:autoSpaceDN w:val="0"/>
              <w:adjustRightInd w:val="0"/>
              <w:spacing w:line="240" w:lineRule="auto"/>
              <w:jc w:val="center"/>
              <w:rPr>
                <w:rFonts w:ascii="宋体" w:hAnsi="宋体"/>
                <w:b/>
                <w:color w:val="000000"/>
                <w:kern w:val="0"/>
                <w:sz w:val="24"/>
              </w:rPr>
            </w:pPr>
            <w:r>
              <w:rPr>
                <w:rFonts w:hint="eastAsia" w:ascii="宋体" w:hAnsi="宋体"/>
                <w:b/>
                <w:color w:val="000000"/>
                <w:kern w:val="0"/>
                <w:sz w:val="24"/>
              </w:rPr>
              <w:t>合计：</w:t>
            </w:r>
          </w:p>
        </w:tc>
        <w:tc>
          <w:tcPr>
            <w:tcW w:w="8365" w:type="dxa"/>
            <w:gridSpan w:val="5"/>
            <w:tcBorders>
              <w:left w:val="single" w:color="auto" w:sz="4" w:space="0"/>
              <w:bottom w:val="single" w:color="auto" w:sz="4" w:space="0"/>
            </w:tcBorders>
            <w:vAlign w:val="center"/>
          </w:tcPr>
          <w:p>
            <w:pPr>
              <w:autoSpaceDE w:val="0"/>
              <w:autoSpaceDN w:val="0"/>
              <w:adjustRightInd w:val="0"/>
              <w:spacing w:line="240" w:lineRule="auto"/>
              <w:jc w:val="both"/>
              <w:rPr>
                <w:rFonts w:ascii="宋体" w:hAnsi="宋体"/>
                <w:b/>
                <w:color w:val="000000"/>
                <w:kern w:val="0"/>
                <w:sz w:val="24"/>
              </w:rPr>
            </w:pPr>
            <w:r>
              <w:rPr>
                <w:rFonts w:hint="eastAsia" w:ascii="宋体" w:hAnsi="宋体"/>
                <w:b/>
                <w:color w:val="000000"/>
                <w:kern w:val="0"/>
                <w:sz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92" w:type="dxa"/>
            <w:vMerge w:val="continue"/>
            <w:tcBorders>
              <w:right w:val="single" w:color="auto" w:sz="4" w:space="0"/>
            </w:tcBorders>
            <w:vAlign w:val="center"/>
          </w:tcPr>
          <w:p>
            <w:pPr>
              <w:autoSpaceDE w:val="0"/>
              <w:autoSpaceDN w:val="0"/>
              <w:adjustRightInd w:val="0"/>
              <w:spacing w:line="240" w:lineRule="auto"/>
              <w:jc w:val="center"/>
              <w:rPr>
                <w:rFonts w:ascii="宋体" w:hAnsi="宋体"/>
                <w:b/>
                <w:color w:val="000000"/>
                <w:kern w:val="0"/>
                <w:sz w:val="24"/>
              </w:rPr>
            </w:pPr>
          </w:p>
        </w:tc>
        <w:tc>
          <w:tcPr>
            <w:tcW w:w="8365" w:type="dxa"/>
            <w:gridSpan w:val="5"/>
            <w:tcBorders>
              <w:top w:val="single" w:color="auto" w:sz="4" w:space="0"/>
              <w:left w:val="single" w:color="auto" w:sz="4" w:space="0"/>
            </w:tcBorders>
            <w:vAlign w:val="center"/>
          </w:tcPr>
          <w:p>
            <w:pPr>
              <w:autoSpaceDE w:val="0"/>
              <w:autoSpaceDN w:val="0"/>
              <w:adjustRightInd w:val="0"/>
              <w:spacing w:line="240" w:lineRule="auto"/>
              <w:jc w:val="both"/>
              <w:rPr>
                <w:rFonts w:ascii="宋体" w:hAnsi="宋体"/>
                <w:b/>
                <w:color w:val="000000"/>
                <w:kern w:val="0"/>
                <w:sz w:val="24"/>
              </w:rPr>
            </w:pPr>
            <w:r>
              <w:rPr>
                <w:rFonts w:hint="eastAsia" w:ascii="宋体" w:hAnsi="宋体"/>
                <w:b/>
                <w:color w:val="000000"/>
                <w:kern w:val="0"/>
                <w:sz w:val="24"/>
              </w:rPr>
              <w:t>小写：</w:t>
            </w:r>
          </w:p>
        </w:tc>
      </w:tr>
    </w:tbl>
    <w:p>
      <w:pPr>
        <w:autoSpaceDE w:val="0"/>
        <w:autoSpaceDN w:val="0"/>
        <w:adjustRightInd w:val="0"/>
        <w:spacing w:line="360" w:lineRule="auto"/>
        <w:rPr>
          <w:rFonts w:ascii="宋体" w:hAnsi="宋体"/>
          <w:color w:val="000000"/>
          <w:kern w:val="0"/>
          <w:sz w:val="24"/>
        </w:rPr>
      </w:pPr>
      <w:r>
        <w:rPr>
          <w:rFonts w:hint="eastAsia" w:ascii="宋体" w:hAnsi="宋体"/>
          <w:color w:val="000000"/>
          <w:kern w:val="0"/>
          <w:sz w:val="24"/>
        </w:rPr>
        <w:t>备注：</w:t>
      </w:r>
    </w:p>
    <w:p>
      <w:pPr>
        <w:autoSpaceDE w:val="0"/>
        <w:autoSpaceDN w:val="0"/>
        <w:adjustRightInd w:val="0"/>
        <w:spacing w:line="360" w:lineRule="auto"/>
        <w:rPr>
          <w:rFonts w:ascii="宋体" w:hAnsi="宋体"/>
          <w:color w:val="000000"/>
          <w:kern w:val="0"/>
          <w:sz w:val="24"/>
        </w:rPr>
      </w:pPr>
      <w:r>
        <w:rPr>
          <w:rFonts w:hint="eastAsia" w:ascii="宋体" w:hAnsi="宋体"/>
          <w:color w:val="000000"/>
          <w:kern w:val="0"/>
          <w:sz w:val="24"/>
        </w:rPr>
        <w:t>1、</w:t>
      </w:r>
      <w:r>
        <w:rPr>
          <w:rFonts w:hint="eastAsia" w:ascii="宋体" w:hAnsi="宋体"/>
          <w:sz w:val="24"/>
          <w:szCs w:val="20"/>
        </w:rPr>
        <w:t>投标报价应包括有关本项目建设所需的技术方案编写、软件开发、数据建库、安装调试和验收费、系统集成费、质保期运行维护、技术支持、测试费、培训费、售后服务和税金等须由投标单位支付的所有费用。</w:t>
      </w:r>
    </w:p>
    <w:p>
      <w:pPr>
        <w:autoSpaceDE w:val="0"/>
        <w:autoSpaceDN w:val="0"/>
        <w:adjustRightInd w:val="0"/>
        <w:spacing w:line="360" w:lineRule="auto"/>
        <w:rPr>
          <w:rFonts w:ascii="宋体" w:hAnsi="宋体"/>
          <w:color w:val="000000"/>
          <w:kern w:val="0"/>
          <w:sz w:val="24"/>
        </w:rPr>
      </w:pPr>
      <w:r>
        <w:rPr>
          <w:rFonts w:hint="eastAsia" w:ascii="宋体" w:hAnsi="宋体"/>
          <w:color w:val="000000"/>
          <w:kern w:val="0"/>
          <w:sz w:val="24"/>
        </w:rPr>
        <w:t>2、针对本项目的需求清单一一对应填写一份“分项报价表”。此表在不改变格式内容时，可自行制作。</w:t>
      </w:r>
    </w:p>
    <w:p>
      <w:pPr>
        <w:autoSpaceDE w:val="0"/>
        <w:autoSpaceDN w:val="0"/>
        <w:adjustRightInd w:val="0"/>
        <w:spacing w:line="360" w:lineRule="auto"/>
        <w:rPr>
          <w:rFonts w:ascii="宋体" w:hAnsi="宋体"/>
          <w:color w:val="000000"/>
          <w:kern w:val="0"/>
          <w:sz w:val="24"/>
        </w:rPr>
      </w:pPr>
      <w:r>
        <w:rPr>
          <w:rFonts w:hint="eastAsia" w:ascii="宋体" w:hAnsi="宋体"/>
          <w:color w:val="000000"/>
          <w:kern w:val="0"/>
          <w:sz w:val="24"/>
        </w:rPr>
        <w:t>3、分项报价表中合计总价应与开标一览表中的相应报价相一致，不一致时，以开标一览表报价为准。</w:t>
      </w:r>
    </w:p>
    <w:p>
      <w:pPr>
        <w:autoSpaceDE w:val="0"/>
        <w:autoSpaceDN w:val="0"/>
        <w:adjustRightInd w:val="0"/>
        <w:spacing w:line="360" w:lineRule="auto"/>
        <w:rPr>
          <w:rFonts w:ascii="宋体" w:hAnsi="宋体"/>
          <w:color w:val="000000"/>
          <w:kern w:val="0"/>
          <w:sz w:val="24"/>
        </w:rPr>
      </w:pPr>
      <w:r>
        <w:rPr>
          <w:rFonts w:hint="eastAsia" w:ascii="宋体" w:hAnsi="宋体"/>
          <w:color w:val="000000"/>
          <w:kern w:val="0"/>
          <w:sz w:val="24"/>
        </w:rPr>
        <w:t>4、“分项报价表”为多页的，每页均需由法定代表人或授权代表签字并加盖投标人公章。</w:t>
      </w:r>
    </w:p>
    <w:p>
      <w:pPr>
        <w:autoSpaceDE w:val="0"/>
        <w:autoSpaceDN w:val="0"/>
        <w:adjustRightInd w:val="0"/>
        <w:spacing w:line="360" w:lineRule="auto"/>
        <w:rPr>
          <w:rFonts w:ascii="宋体" w:hAnsi="宋体"/>
          <w:color w:val="000000"/>
          <w:kern w:val="0"/>
          <w:sz w:val="24"/>
        </w:rPr>
      </w:pPr>
      <w:r>
        <w:rPr>
          <w:rFonts w:hint="eastAsia" w:ascii="宋体" w:hAnsi="宋体"/>
          <w:color w:val="000000"/>
          <w:kern w:val="0"/>
          <w:sz w:val="24"/>
        </w:rPr>
        <w:t>5、漏报的视同已包含在投标总价内。有重大缺项的将作无效标处理。</w:t>
      </w:r>
    </w:p>
    <w:p>
      <w:pPr>
        <w:wordWrap/>
        <w:autoSpaceDE w:val="0"/>
        <w:autoSpaceDN w:val="0"/>
        <w:adjustRightInd w:val="0"/>
        <w:spacing w:line="360" w:lineRule="auto"/>
        <w:ind w:left="0" w:leftChars="0" w:firstLine="4320" w:firstLineChars="1800"/>
        <w:jc w:val="both"/>
        <w:rPr>
          <w:rFonts w:hint="eastAsia" w:ascii="宋体" w:hAnsi="宋体" w:cs="仿宋_GB2312"/>
          <w:color w:val="000000"/>
          <w:kern w:val="0"/>
          <w:sz w:val="24"/>
          <w:lang w:val="zh-CN"/>
        </w:rPr>
      </w:pPr>
    </w:p>
    <w:p>
      <w:pPr>
        <w:wordWrap/>
        <w:autoSpaceDE w:val="0"/>
        <w:autoSpaceDN w:val="0"/>
        <w:adjustRightInd w:val="0"/>
        <w:spacing w:line="360" w:lineRule="auto"/>
        <w:ind w:left="0" w:leftChars="0" w:firstLine="4320" w:firstLineChars="1800"/>
        <w:jc w:val="both"/>
        <w:rPr>
          <w:rFonts w:ascii="宋体" w:hAnsi="宋体" w:cs="仿宋_GB2312"/>
          <w:color w:val="000000"/>
          <w:kern w:val="0"/>
          <w:sz w:val="24"/>
          <w:lang w:val="zh-CN"/>
        </w:rPr>
      </w:pPr>
      <w:r>
        <w:rPr>
          <w:rFonts w:hint="eastAsia" w:ascii="宋体" w:hAnsi="宋体" w:cs="仿宋_GB2312"/>
          <w:color w:val="000000"/>
          <w:kern w:val="0"/>
          <w:sz w:val="24"/>
          <w:lang w:val="zh-CN"/>
        </w:rPr>
        <w:t xml:space="preserve">投标人（公章）： </w:t>
      </w:r>
      <w:r>
        <w:rPr>
          <w:rFonts w:hint="eastAsia" w:ascii="宋体" w:hAnsi="宋体" w:cs="仿宋_GB2312"/>
          <w:color w:val="000000"/>
          <w:kern w:val="0"/>
          <w:sz w:val="24"/>
          <w:lang w:val="en-US" w:eastAsia="zh-CN"/>
        </w:rPr>
        <w:t xml:space="preserve">              </w:t>
      </w:r>
      <w:r>
        <w:rPr>
          <w:rFonts w:hint="eastAsia" w:ascii="宋体" w:hAnsi="宋体" w:cs="仿宋_GB2312"/>
          <w:color w:val="000000"/>
          <w:kern w:val="0"/>
          <w:sz w:val="24"/>
          <w:lang w:val="zh-CN"/>
        </w:rPr>
        <w:t xml:space="preserve">    </w:t>
      </w:r>
    </w:p>
    <w:p>
      <w:pPr>
        <w:wordWrap/>
        <w:autoSpaceDE w:val="0"/>
        <w:autoSpaceDN w:val="0"/>
        <w:adjustRightInd w:val="0"/>
        <w:spacing w:line="360" w:lineRule="auto"/>
        <w:ind w:left="0" w:leftChars="0" w:firstLine="4320" w:firstLineChars="1800"/>
        <w:jc w:val="both"/>
        <w:rPr>
          <w:rFonts w:ascii="宋体" w:hAnsi="宋体" w:cs="仿宋_GB2312"/>
          <w:color w:val="000000"/>
          <w:kern w:val="0"/>
          <w:sz w:val="24"/>
          <w:lang w:val="zh-CN"/>
        </w:rPr>
      </w:pPr>
      <w:r>
        <w:rPr>
          <w:rFonts w:hint="eastAsia" w:ascii="宋体" w:hAnsi="宋体" w:cs="仿宋_GB2312"/>
          <w:color w:val="000000"/>
          <w:kern w:val="0"/>
          <w:sz w:val="24"/>
          <w:lang w:val="zh-CN"/>
        </w:rPr>
        <w:t xml:space="preserve">法定代表人或授权代表（签字）：     </w:t>
      </w:r>
    </w:p>
    <w:p>
      <w:pPr>
        <w:wordWrap w:val="0"/>
        <w:autoSpaceDE w:val="0"/>
        <w:autoSpaceDN w:val="0"/>
        <w:adjustRightInd w:val="0"/>
        <w:spacing w:line="360" w:lineRule="auto"/>
        <w:ind w:left="0" w:leftChars="0" w:firstLine="4320" w:firstLineChars="1800"/>
        <w:jc w:val="both"/>
        <w:rPr>
          <w:rFonts w:ascii="宋体" w:hAnsi="宋体" w:cs="仿宋_GB2312"/>
          <w:color w:val="000000"/>
          <w:kern w:val="0"/>
          <w:sz w:val="24"/>
          <w:lang w:val="zh-CN"/>
        </w:rPr>
      </w:pPr>
      <w:r>
        <w:rPr>
          <w:rFonts w:hint="eastAsia" w:ascii="宋体" w:hAnsi="宋体" w:cs="仿宋_GB2312"/>
          <w:color w:val="000000"/>
          <w:kern w:val="0"/>
          <w:sz w:val="24"/>
          <w:lang w:val="zh-CN"/>
        </w:rPr>
        <w:t xml:space="preserve">日期：20  年  月   日      </w:t>
      </w:r>
    </w:p>
    <w:p>
      <w:pPr>
        <w:jc w:val="center"/>
        <w:outlineLvl w:val="1"/>
        <w:rPr>
          <w:rFonts w:hint="eastAsia"/>
          <w:b/>
          <w:bCs/>
          <w:sz w:val="28"/>
          <w:szCs w:val="28"/>
          <w:lang w:val="en-US" w:eastAsia="zh-CN"/>
        </w:rPr>
      </w:pPr>
      <w:r>
        <w:rPr>
          <w:rFonts w:hint="eastAsia" w:ascii="宋体" w:hAnsi="宋体" w:eastAsia="宋体" w:cs="Times New Roman"/>
          <w:b w:val="0"/>
          <w:bCs/>
          <w:color w:val="000000"/>
          <w:kern w:val="0"/>
          <w:sz w:val="32"/>
          <w:szCs w:val="32"/>
          <w:lang w:val="en-US" w:eastAsia="zh-CN" w:bidi="ar-SA"/>
        </w:rPr>
        <w:br w:type="page"/>
      </w:r>
      <w:r>
        <w:rPr>
          <w:rFonts w:hint="eastAsia"/>
          <w:b/>
          <w:bCs/>
          <w:sz w:val="28"/>
          <w:szCs w:val="28"/>
          <w:lang w:val="en-US" w:eastAsia="zh-CN"/>
        </w:rPr>
        <w:t>三、评分响应表</w:t>
      </w:r>
    </w:p>
    <w:p>
      <w:pPr>
        <w:autoSpaceDE w:val="0"/>
        <w:autoSpaceDN w:val="0"/>
        <w:adjustRightInd w:val="0"/>
        <w:spacing w:line="440" w:lineRule="exact"/>
        <w:ind w:firstLine="479" w:firstLineChars="199"/>
        <w:rPr>
          <w:rFonts w:hint="default" w:ascii="宋体" w:hAnsi="宋体" w:eastAsia="宋体"/>
          <w:b/>
          <w:color w:val="000000"/>
          <w:kern w:val="0"/>
          <w:sz w:val="24"/>
          <w:lang w:val="en-US" w:eastAsia="zh-CN"/>
        </w:rPr>
      </w:pPr>
      <w:r>
        <w:rPr>
          <w:rFonts w:hint="eastAsia" w:ascii="宋体" w:hAnsi="宋体"/>
          <w:b/>
          <w:color w:val="000000"/>
          <w:kern w:val="0"/>
          <w:sz w:val="24"/>
        </w:rPr>
        <w:t xml:space="preserve">项目编号： </w:t>
      </w:r>
      <w:r>
        <w:rPr>
          <w:rFonts w:hint="eastAsia" w:ascii="宋体" w:hAnsi="宋体"/>
          <w:b/>
          <w:color w:val="000000"/>
          <w:kern w:val="0"/>
          <w:sz w:val="24"/>
          <w:lang w:val="en-US" w:eastAsia="zh-CN"/>
        </w:rPr>
        <w:t xml:space="preserve">      </w:t>
      </w:r>
    </w:p>
    <w:tbl>
      <w:tblPr>
        <w:tblStyle w:val="15"/>
        <w:tblW w:w="91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7"/>
        <w:gridCol w:w="1871"/>
        <w:gridCol w:w="3458"/>
        <w:gridCol w:w="2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4"/>
              </w:rPr>
            </w:pPr>
            <w:r>
              <w:rPr>
                <w:rFonts w:hint="eastAsia" w:ascii="宋体" w:hAnsi="宋体"/>
                <w:b/>
                <w:bCs/>
                <w:color w:val="000000"/>
                <w:sz w:val="24"/>
              </w:rPr>
              <w:t>序号</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4"/>
              </w:rPr>
            </w:pPr>
            <w:r>
              <w:rPr>
                <w:rFonts w:hint="eastAsia" w:ascii="宋体" w:hAnsi="宋体"/>
                <w:b/>
                <w:bCs/>
                <w:color w:val="000000"/>
                <w:sz w:val="24"/>
              </w:rPr>
              <w:t>评审内容</w:t>
            </w:r>
          </w:p>
        </w:tc>
        <w:tc>
          <w:tcPr>
            <w:tcW w:w="3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4"/>
              </w:rPr>
            </w:pPr>
            <w:r>
              <w:rPr>
                <w:rFonts w:hint="eastAsia" w:ascii="宋体" w:hAnsi="宋体"/>
                <w:b/>
                <w:bCs/>
                <w:color w:val="000000"/>
                <w:sz w:val="24"/>
              </w:rPr>
              <w:t>评分标准</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4"/>
              </w:rPr>
            </w:pPr>
            <w:r>
              <w:rPr>
                <w:rFonts w:hint="eastAsia" w:ascii="宋体" w:hAnsi="宋体"/>
                <w:b/>
                <w:bCs/>
                <w:color w:val="000000"/>
                <w:sz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4"/>
              </w:rPr>
            </w:pPr>
            <w:r>
              <w:rPr>
                <w:rFonts w:hint="eastAsia" w:ascii="宋体" w:hAnsi="宋体"/>
                <w:b/>
                <w:bCs/>
                <w:color w:val="000000"/>
                <w:sz w:val="24"/>
              </w:rPr>
              <w:t>一</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4"/>
              </w:rPr>
            </w:pPr>
            <w:r>
              <w:rPr>
                <w:rFonts w:hint="eastAsia" w:ascii="宋体" w:hAnsi="宋体"/>
                <w:b/>
                <w:bCs/>
                <w:color w:val="000000"/>
                <w:sz w:val="24"/>
              </w:rPr>
              <w:t>技术分</w:t>
            </w:r>
          </w:p>
        </w:tc>
        <w:tc>
          <w:tcPr>
            <w:tcW w:w="3458" w:type="dxa"/>
            <w:tcBorders>
              <w:top w:val="single" w:color="auto" w:sz="4" w:space="0"/>
              <w:left w:val="single" w:color="auto" w:sz="4" w:space="0"/>
              <w:bottom w:val="single" w:color="auto" w:sz="4" w:space="0"/>
              <w:right w:val="single" w:color="auto" w:sz="4" w:space="0"/>
            </w:tcBorders>
            <w:vAlign w:val="center"/>
          </w:tcPr>
          <w:p>
            <w:pPr>
              <w:ind w:left="420" w:firstLine="482"/>
              <w:jc w:val="center"/>
              <w:rPr>
                <w:rFonts w:ascii="宋体" w:hAnsi="宋体"/>
                <w:b/>
                <w:bCs/>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ind w:left="420"/>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4"/>
              </w:rPr>
            </w:pPr>
            <w:r>
              <w:rPr>
                <w:rFonts w:hint="eastAsia" w:ascii="宋体" w:hAnsi="宋体"/>
                <w:color w:val="000000"/>
                <w:sz w:val="24"/>
              </w:rPr>
              <w:t>1</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3458" w:type="dxa"/>
            <w:tcBorders>
              <w:top w:val="single" w:color="auto" w:sz="4" w:space="0"/>
              <w:left w:val="single" w:color="auto" w:sz="4" w:space="0"/>
              <w:right w:val="single" w:color="auto" w:sz="4" w:space="0"/>
            </w:tcBorders>
            <w:vAlign w:val="center"/>
          </w:tcPr>
          <w:p>
            <w:pPr>
              <w:jc w:val="center"/>
              <w:rPr>
                <w:rFonts w:ascii="宋体" w:hAnsi="宋体"/>
                <w:color w:val="000000"/>
                <w:sz w:val="24"/>
              </w:rPr>
            </w:pPr>
          </w:p>
        </w:tc>
        <w:tc>
          <w:tcPr>
            <w:tcW w:w="2700" w:type="dxa"/>
            <w:tcBorders>
              <w:top w:val="single" w:color="auto" w:sz="4" w:space="0"/>
              <w:left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详见技术文件第几页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4"/>
              </w:rPr>
            </w:pPr>
            <w:r>
              <w:rPr>
                <w:rFonts w:hint="eastAsia" w:ascii="宋体" w:hAnsi="宋体"/>
                <w:color w:val="000000"/>
                <w:sz w:val="24"/>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sz w:val="24"/>
              </w:rPr>
            </w:pPr>
          </w:p>
        </w:tc>
        <w:tc>
          <w:tcPr>
            <w:tcW w:w="3458" w:type="dxa"/>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4"/>
              </w:rPr>
            </w:pPr>
          </w:p>
        </w:tc>
        <w:tc>
          <w:tcPr>
            <w:tcW w:w="2700" w:type="dxa"/>
            <w:tcBorders>
              <w:top w:val="single" w:color="auto" w:sz="4" w:space="0"/>
              <w:left w:val="single" w:color="auto" w:sz="4" w:space="0"/>
              <w:right w:val="single" w:color="auto" w:sz="4" w:space="0"/>
            </w:tcBorders>
            <w:vAlign w:val="center"/>
          </w:tcPr>
          <w:p>
            <w:pPr>
              <w:jc w:val="center"/>
              <w:rPr>
                <w:rFonts w:ascii="宋体" w:hAnsi="宋体"/>
                <w:bCs/>
                <w:color w:val="000000"/>
                <w:sz w:val="24"/>
              </w:rPr>
            </w:pPr>
            <w:r>
              <w:rPr>
                <w:rFonts w:hint="eastAsia" w:ascii="宋体" w:hAnsi="宋体"/>
                <w:bCs/>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127" w:type="dxa"/>
            <w:tcBorders>
              <w:left w:val="single" w:color="auto" w:sz="4" w:space="0"/>
              <w:bottom w:val="single" w:color="auto" w:sz="4" w:space="0"/>
              <w:right w:val="single" w:color="auto" w:sz="4" w:space="0"/>
            </w:tcBorders>
            <w:vAlign w:val="center"/>
          </w:tcPr>
          <w:p>
            <w:pPr>
              <w:widowControl/>
              <w:jc w:val="center"/>
              <w:rPr>
                <w:rFonts w:ascii="宋体" w:hAnsi="宋体"/>
                <w:color w:val="000000"/>
                <w:sz w:val="24"/>
              </w:rPr>
            </w:pPr>
            <w:r>
              <w:rPr>
                <w:rFonts w:hint="eastAsia" w:ascii="宋体" w:hAnsi="宋体"/>
                <w:color w:val="000000"/>
                <w:sz w:val="24"/>
              </w:rPr>
              <w:t>……</w:t>
            </w:r>
          </w:p>
        </w:tc>
        <w:tc>
          <w:tcPr>
            <w:tcW w:w="1871" w:type="dxa"/>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3458" w:type="dxa"/>
            <w:tcBorders>
              <w:top w:val="single" w:color="auto" w:sz="4" w:space="0"/>
              <w:left w:val="single" w:color="auto" w:sz="4" w:space="0"/>
              <w:bottom w:val="single" w:color="auto" w:sz="4" w:space="0"/>
              <w:right w:val="single" w:color="auto" w:sz="4" w:space="0"/>
            </w:tcBorders>
            <w:vAlign w:val="center"/>
          </w:tcPr>
          <w:p>
            <w:pPr>
              <w:ind w:left="62" w:leftChars="26"/>
              <w:jc w:val="center"/>
              <w:rPr>
                <w:rFonts w:ascii="宋体" w:hAnsi="宋体" w:cs="宋体"/>
                <w:color w:val="000000"/>
                <w:kern w:val="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sz w:val="24"/>
              </w:rPr>
            </w:pPr>
            <w:r>
              <w:rPr>
                <w:rFonts w:hint="eastAsia" w:ascii="宋体" w:hAnsi="宋体"/>
                <w:b/>
                <w:color w:val="000000"/>
                <w:sz w:val="24"/>
              </w:rPr>
              <w:t>二</w:t>
            </w:r>
          </w:p>
        </w:tc>
        <w:tc>
          <w:tcPr>
            <w:tcW w:w="18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sz w:val="24"/>
              </w:rPr>
            </w:pPr>
            <w:r>
              <w:rPr>
                <w:rFonts w:hint="eastAsia" w:ascii="宋体" w:hAnsi="宋体"/>
                <w:b/>
                <w:color w:val="000000"/>
                <w:sz w:val="24"/>
                <w:lang w:eastAsia="zh-CN"/>
              </w:rPr>
              <w:t>资信</w:t>
            </w:r>
            <w:r>
              <w:rPr>
                <w:rFonts w:hint="eastAsia" w:ascii="宋体" w:hAnsi="宋体"/>
                <w:b/>
                <w:color w:val="000000"/>
                <w:sz w:val="24"/>
              </w:rPr>
              <w:t>分</w:t>
            </w:r>
          </w:p>
        </w:tc>
        <w:tc>
          <w:tcPr>
            <w:tcW w:w="3458" w:type="dxa"/>
            <w:tcBorders>
              <w:top w:val="single" w:color="auto" w:sz="4" w:space="0"/>
              <w:left w:val="single" w:color="auto" w:sz="4" w:space="0"/>
              <w:bottom w:val="single" w:color="auto" w:sz="4" w:space="0"/>
              <w:right w:val="single" w:color="auto" w:sz="4" w:space="0"/>
            </w:tcBorders>
            <w:vAlign w:val="center"/>
          </w:tcPr>
          <w:p>
            <w:pPr>
              <w:ind w:left="420"/>
              <w:jc w:val="center"/>
              <w:rPr>
                <w:rFonts w:ascii="宋体" w:hAnsi="宋体"/>
                <w:b/>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ind w:left="420"/>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4"/>
              </w:rPr>
            </w:pPr>
          </w:p>
        </w:tc>
        <w:tc>
          <w:tcPr>
            <w:tcW w:w="18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kern w:val="0"/>
                <w:sz w:val="24"/>
              </w:rPr>
            </w:pPr>
          </w:p>
        </w:tc>
        <w:tc>
          <w:tcPr>
            <w:tcW w:w="34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kern w:val="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 w:val="24"/>
              </w:rPr>
            </w:pPr>
            <w:r>
              <w:rPr>
                <w:rFonts w:hint="eastAsia" w:ascii="宋体" w:hAnsi="宋体"/>
                <w:bCs/>
                <w:color w:val="000000"/>
                <w:sz w:val="24"/>
              </w:rPr>
              <w:t>详见</w:t>
            </w:r>
            <w:r>
              <w:rPr>
                <w:rFonts w:hint="eastAsia" w:ascii="宋体" w:hAnsi="宋体"/>
                <w:bCs/>
                <w:color w:val="000000"/>
                <w:sz w:val="24"/>
                <w:lang w:eastAsia="zh-CN"/>
              </w:rPr>
              <w:t>资信</w:t>
            </w:r>
            <w:r>
              <w:rPr>
                <w:rFonts w:hint="eastAsia" w:ascii="宋体" w:hAnsi="宋体"/>
                <w:bCs/>
                <w:color w:val="000000"/>
                <w:sz w:val="24"/>
              </w:rPr>
              <w:t>文件第几页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4"/>
              </w:rPr>
            </w:pP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3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ind w:left="420"/>
              <w:jc w:val="center"/>
              <w:rPr>
                <w:rFonts w:ascii="宋体" w:hAnsi="宋体"/>
                <w:color w:val="000000"/>
                <w:sz w:val="24"/>
              </w:rPr>
            </w:pP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4"/>
              </w:rPr>
            </w:pP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3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ind w:left="42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127" w:type="dxa"/>
            <w:tcBorders>
              <w:left w:val="single" w:color="auto" w:sz="4" w:space="0"/>
              <w:bottom w:val="single" w:color="auto" w:sz="4" w:space="0"/>
              <w:right w:val="single" w:color="auto" w:sz="4" w:space="0"/>
            </w:tcBorders>
            <w:vAlign w:val="center"/>
          </w:tcPr>
          <w:p>
            <w:pPr>
              <w:widowControl/>
              <w:jc w:val="center"/>
              <w:rPr>
                <w:rFonts w:ascii="宋体" w:hAnsi="宋体"/>
                <w:color w:val="000000"/>
                <w:sz w:val="24"/>
              </w:rPr>
            </w:pPr>
          </w:p>
        </w:tc>
        <w:tc>
          <w:tcPr>
            <w:tcW w:w="1871" w:type="dxa"/>
            <w:tcBorders>
              <w:left w:val="single" w:color="auto" w:sz="4" w:space="0"/>
              <w:bottom w:val="single" w:color="auto" w:sz="4" w:space="0"/>
              <w:right w:val="single" w:color="auto" w:sz="4" w:space="0"/>
            </w:tcBorders>
            <w:vAlign w:val="center"/>
          </w:tcPr>
          <w:p>
            <w:pPr>
              <w:widowControl/>
              <w:jc w:val="center"/>
              <w:rPr>
                <w:rFonts w:ascii="宋体" w:hAnsi="宋体"/>
                <w:b/>
                <w:color w:val="000000"/>
                <w:sz w:val="24"/>
              </w:rPr>
            </w:pPr>
          </w:p>
        </w:tc>
        <w:tc>
          <w:tcPr>
            <w:tcW w:w="3458" w:type="dxa"/>
            <w:tcBorders>
              <w:top w:val="single" w:color="auto" w:sz="4" w:space="0"/>
              <w:left w:val="single" w:color="auto" w:sz="4" w:space="0"/>
              <w:bottom w:val="single" w:color="auto" w:sz="4" w:space="0"/>
              <w:right w:val="single" w:color="auto" w:sz="4" w:space="0"/>
            </w:tcBorders>
            <w:vAlign w:val="center"/>
          </w:tcPr>
          <w:p>
            <w:pPr>
              <w:ind w:left="420"/>
              <w:jc w:val="center"/>
              <w:rPr>
                <w:rFonts w:ascii="宋体" w:hAnsi="宋体"/>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127" w:type="dxa"/>
            <w:tcBorders>
              <w:left w:val="single" w:color="auto" w:sz="4" w:space="0"/>
              <w:bottom w:val="single" w:color="auto" w:sz="4" w:space="0"/>
              <w:right w:val="single" w:color="auto" w:sz="4" w:space="0"/>
            </w:tcBorders>
            <w:vAlign w:val="center"/>
          </w:tcPr>
          <w:p>
            <w:pPr>
              <w:widowControl/>
              <w:jc w:val="center"/>
              <w:rPr>
                <w:rFonts w:ascii="宋体" w:hAnsi="宋体"/>
                <w:color w:val="000000"/>
                <w:sz w:val="24"/>
              </w:rPr>
            </w:pPr>
          </w:p>
        </w:tc>
        <w:tc>
          <w:tcPr>
            <w:tcW w:w="1871" w:type="dxa"/>
            <w:tcBorders>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sz w:val="24"/>
              </w:rPr>
            </w:pPr>
          </w:p>
        </w:tc>
        <w:tc>
          <w:tcPr>
            <w:tcW w:w="3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4"/>
              </w:rPr>
            </w:pPr>
          </w:p>
        </w:tc>
        <w:tc>
          <w:tcPr>
            <w:tcW w:w="18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sz w:val="24"/>
              </w:rPr>
            </w:pPr>
          </w:p>
        </w:tc>
        <w:tc>
          <w:tcPr>
            <w:tcW w:w="3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4"/>
              </w:rPr>
            </w:pPr>
          </w:p>
        </w:tc>
        <w:tc>
          <w:tcPr>
            <w:tcW w:w="18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color w:val="000000"/>
                <w:sz w:val="24"/>
              </w:rPr>
            </w:pPr>
          </w:p>
        </w:tc>
        <w:tc>
          <w:tcPr>
            <w:tcW w:w="3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p>
        </w:tc>
        <w:tc>
          <w:tcPr>
            <w:tcW w:w="2700" w:type="dxa"/>
            <w:tcBorders>
              <w:top w:val="single" w:color="auto" w:sz="4" w:space="0"/>
              <w:left w:val="single" w:color="auto" w:sz="4" w:space="0"/>
              <w:right w:val="single" w:color="auto" w:sz="4" w:space="0"/>
            </w:tcBorders>
            <w:vAlign w:val="center"/>
          </w:tcPr>
          <w:p>
            <w:pPr>
              <w:jc w:val="center"/>
              <w:rPr>
                <w:rFonts w:ascii="宋体" w:hAnsi="宋体"/>
                <w:bCs/>
                <w:color w:val="000000"/>
                <w:sz w:val="24"/>
              </w:rPr>
            </w:pPr>
          </w:p>
        </w:tc>
      </w:tr>
    </w:tbl>
    <w:p>
      <w:pPr>
        <w:snapToGrid w:val="0"/>
        <w:spacing w:before="50" w:after="50"/>
        <w:ind w:firstLine="600" w:firstLineChars="250"/>
        <w:rPr>
          <w:rFonts w:ascii="宋体" w:hAnsi="宋体"/>
          <w:color w:val="000000"/>
          <w:sz w:val="24"/>
        </w:rPr>
      </w:pPr>
      <w:r>
        <w:rPr>
          <w:rFonts w:hint="eastAsia" w:ascii="宋体" w:hAnsi="宋体"/>
          <w:color w:val="000000"/>
          <w:sz w:val="24"/>
        </w:rPr>
        <w:t>注：评分响应表主要用于作为专家评分的一个参考及查阅依据。</w:t>
      </w:r>
    </w:p>
    <w:p>
      <w:pPr>
        <w:snapToGrid w:val="0"/>
        <w:spacing w:before="50" w:after="50"/>
        <w:rPr>
          <w:rFonts w:ascii="宋体" w:hAnsi="宋体"/>
          <w:color w:val="000000"/>
          <w:sz w:val="24"/>
        </w:rPr>
      </w:pPr>
    </w:p>
    <w:p>
      <w:pPr>
        <w:autoSpaceDE w:val="0"/>
        <w:autoSpaceDN w:val="0"/>
        <w:adjustRightInd w:val="0"/>
        <w:spacing w:line="440" w:lineRule="exact"/>
        <w:jc w:val="center"/>
        <w:rPr>
          <w:rFonts w:ascii="宋体" w:hAnsi="宋体"/>
          <w:b/>
          <w:color w:val="000000"/>
          <w:kern w:val="0"/>
          <w:sz w:val="32"/>
          <w:szCs w:val="32"/>
        </w:rPr>
        <w:sectPr>
          <w:headerReference r:id="rId5" w:type="default"/>
          <w:footerReference r:id="rId6" w:type="default"/>
          <w:pgSz w:w="11906" w:h="16838"/>
          <w:pgMar w:top="1531" w:right="1361" w:bottom="1531" w:left="1304" w:header="851" w:footer="601" w:gutter="0"/>
          <w:pgNumType w:fmt="numberInDash"/>
          <w:cols w:space="720" w:num="1"/>
          <w:docGrid w:type="lines" w:linePitch="312" w:charSpace="0"/>
        </w:sectPr>
      </w:pPr>
      <w:bookmarkStart w:id="131" w:name="_Toc297472063"/>
      <w:bookmarkStart w:id="132" w:name="_Toc297472830"/>
    </w:p>
    <w:p>
      <w:pPr>
        <w:jc w:val="center"/>
        <w:outlineLvl w:val="1"/>
        <w:rPr>
          <w:rFonts w:hint="eastAsia"/>
          <w:b/>
          <w:bCs/>
          <w:sz w:val="28"/>
          <w:szCs w:val="28"/>
          <w:highlight w:val="green"/>
          <w:lang w:val="en-US" w:eastAsia="zh-CN"/>
        </w:rPr>
      </w:pPr>
      <w:r>
        <w:rPr>
          <w:rFonts w:hint="eastAsia"/>
          <w:b/>
          <w:bCs/>
          <w:sz w:val="28"/>
          <w:szCs w:val="28"/>
          <w:highlight w:val="green"/>
          <w:lang w:val="en-US" w:eastAsia="zh-CN"/>
        </w:rPr>
        <w:t>四、招标需求实质性内容响应表</w:t>
      </w:r>
    </w:p>
    <w:p>
      <w:pPr>
        <w:wordWrap/>
        <w:autoSpaceDE w:val="0"/>
        <w:autoSpaceDN w:val="0"/>
        <w:adjustRightInd w:val="0"/>
        <w:snapToGrid/>
        <w:spacing w:line="360" w:lineRule="auto"/>
        <w:ind w:firstLine="361" w:firstLineChars="150"/>
        <w:rPr>
          <w:rFonts w:hint="eastAsia" w:ascii="宋体" w:hAnsi="宋体" w:cs="宋体"/>
          <w:b/>
          <w:kern w:val="0"/>
          <w:sz w:val="24"/>
          <w:szCs w:val="22"/>
          <w:highlight w:val="none"/>
        </w:rPr>
      </w:pPr>
      <w:r>
        <w:rPr>
          <w:rFonts w:hint="eastAsia" w:ascii="宋体" w:hAnsi="宋体" w:cs="宋体"/>
          <w:b/>
          <w:kern w:val="0"/>
          <w:sz w:val="24"/>
          <w:szCs w:val="22"/>
          <w:highlight w:val="none"/>
        </w:rPr>
        <w:t>项目编号：</w:t>
      </w:r>
      <w:r>
        <w:rPr>
          <w:rFonts w:hint="eastAsia" w:ascii="宋体" w:hAnsi="宋体" w:cs="宋体"/>
          <w:color w:val="000000"/>
          <w:sz w:val="24"/>
          <w:szCs w:val="22"/>
          <w:highlight w:val="none"/>
          <w:lang w:eastAsia="zh-CN"/>
        </w:rPr>
        <w:t xml:space="preserve">    </w:t>
      </w:r>
    </w:p>
    <w:tbl>
      <w:tblPr>
        <w:tblStyle w:val="15"/>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2414"/>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b/>
                <w:sz w:val="24"/>
                <w:szCs w:val="22"/>
                <w:highlight w:val="none"/>
              </w:rPr>
            </w:pPr>
            <w:r>
              <w:rPr>
                <w:rFonts w:hint="eastAsia" w:ascii="宋体" w:hAnsi="宋体" w:cs="宋体"/>
                <w:b/>
                <w:sz w:val="24"/>
                <w:szCs w:val="22"/>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b/>
                <w:sz w:val="24"/>
                <w:szCs w:val="22"/>
                <w:highlight w:val="none"/>
              </w:rPr>
            </w:pPr>
            <w:r>
              <w:rPr>
                <w:rFonts w:hint="eastAsia" w:ascii="宋体" w:hAnsi="宋体" w:cs="宋体"/>
                <w:b/>
                <w:sz w:val="24"/>
                <w:szCs w:val="22"/>
                <w:highlight w:val="none"/>
              </w:rPr>
              <w:t>实质性条款</w:t>
            </w:r>
          </w:p>
        </w:tc>
        <w:tc>
          <w:tcPr>
            <w:tcW w:w="195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b/>
                <w:sz w:val="24"/>
                <w:szCs w:val="22"/>
                <w:highlight w:val="none"/>
              </w:rPr>
            </w:pPr>
            <w:r>
              <w:rPr>
                <w:rFonts w:hint="eastAsia" w:ascii="宋体" w:hAnsi="宋体" w:cs="宋体"/>
                <w:b/>
                <w:sz w:val="24"/>
                <w:szCs w:val="22"/>
                <w:highlight w:val="none"/>
              </w:rPr>
              <w:t>招标文件要求</w:t>
            </w:r>
          </w:p>
        </w:tc>
        <w:tc>
          <w:tcPr>
            <w:tcW w:w="241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b/>
                <w:sz w:val="24"/>
                <w:szCs w:val="22"/>
                <w:highlight w:val="none"/>
              </w:rPr>
            </w:pPr>
            <w:r>
              <w:rPr>
                <w:rFonts w:hint="eastAsia" w:ascii="宋体" w:hAnsi="宋体" w:cs="宋体"/>
                <w:b/>
                <w:sz w:val="24"/>
                <w:szCs w:val="22"/>
                <w:highlight w:val="none"/>
              </w:rPr>
              <w:t>投标承诺或说明</w:t>
            </w:r>
          </w:p>
        </w:tc>
        <w:tc>
          <w:tcPr>
            <w:tcW w:w="173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b/>
                <w:sz w:val="24"/>
                <w:szCs w:val="22"/>
                <w:highlight w:val="none"/>
              </w:rPr>
            </w:pPr>
            <w:r>
              <w:rPr>
                <w:rFonts w:hint="eastAsia" w:ascii="宋体" w:hAnsi="宋体" w:cs="宋体"/>
                <w:b/>
                <w:sz w:val="24"/>
                <w:szCs w:val="22"/>
                <w:highlight w:val="none"/>
              </w:rPr>
              <w:t>满足情况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r>
              <w:rPr>
                <w:rFonts w:hint="eastAsia" w:ascii="宋体" w:hAnsi="宋体" w:cs="宋体"/>
                <w:sz w:val="24"/>
                <w:szCs w:val="22"/>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r>
              <w:rPr>
                <w:rFonts w:hint="eastAsia" w:ascii="宋体" w:hAnsi="宋体" w:cs="宋体"/>
                <w:sz w:val="24"/>
                <w:szCs w:val="22"/>
                <w:highlight w:val="none"/>
              </w:rPr>
              <w:t>2</w:t>
            </w:r>
          </w:p>
        </w:tc>
        <w:tc>
          <w:tcPr>
            <w:tcW w:w="185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r>
              <w:rPr>
                <w:rFonts w:hint="eastAsia" w:ascii="宋体" w:hAnsi="宋体" w:cs="宋体"/>
                <w:sz w:val="24"/>
                <w:szCs w:val="22"/>
                <w:highlight w:val="none"/>
              </w:rPr>
              <w:t>3</w:t>
            </w:r>
          </w:p>
        </w:tc>
        <w:tc>
          <w:tcPr>
            <w:tcW w:w="185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r>
              <w:rPr>
                <w:rFonts w:hint="eastAsia" w:ascii="宋体" w:hAnsi="宋体" w:cs="宋体"/>
                <w:sz w:val="24"/>
                <w:szCs w:val="22"/>
                <w:highlight w:val="none"/>
              </w:rPr>
              <w:t>4</w:t>
            </w:r>
          </w:p>
        </w:tc>
        <w:tc>
          <w:tcPr>
            <w:tcW w:w="185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r>
              <w:rPr>
                <w:rFonts w:hint="eastAsia" w:ascii="宋体" w:hAnsi="宋体" w:cs="宋体"/>
                <w:sz w:val="24"/>
                <w:szCs w:val="22"/>
                <w:highlight w:val="none"/>
              </w:rPr>
              <w:t>5</w:t>
            </w:r>
          </w:p>
        </w:tc>
        <w:tc>
          <w:tcPr>
            <w:tcW w:w="185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default" w:ascii="宋体" w:hAnsi="宋体" w:eastAsia="宋体" w:cs="宋体"/>
                <w:sz w:val="24"/>
                <w:szCs w:val="22"/>
                <w:highlight w:val="none"/>
                <w:lang w:val="en-US" w:eastAsia="zh-CN"/>
              </w:rPr>
            </w:pPr>
            <w:r>
              <w:rPr>
                <w:rFonts w:hint="eastAsia" w:ascii="宋体" w:hAnsi="宋体" w:cs="宋体"/>
                <w:sz w:val="24"/>
                <w:szCs w:val="22"/>
                <w:highlight w:val="none"/>
                <w:lang w:val="en-US" w:eastAsia="zh-CN"/>
              </w:rPr>
              <w:t>...</w:t>
            </w:r>
          </w:p>
        </w:tc>
        <w:tc>
          <w:tcPr>
            <w:tcW w:w="1855"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c>
          <w:tcPr>
            <w:tcW w:w="1957"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c>
          <w:tcPr>
            <w:tcW w:w="241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c>
          <w:tcPr>
            <w:tcW w:w="173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rPr>
                <w:rFonts w:hint="eastAsia" w:ascii="宋体" w:hAnsi="宋体" w:cs="宋体"/>
                <w:sz w:val="24"/>
                <w:szCs w:val="22"/>
                <w:highlight w:val="none"/>
              </w:rPr>
            </w:pPr>
          </w:p>
        </w:tc>
      </w:tr>
    </w:tbl>
    <w:p>
      <w:pPr>
        <w:wordWrap/>
        <w:adjustRightInd w:val="0"/>
        <w:snapToGrid w:val="0"/>
        <w:spacing w:line="500" w:lineRule="exact"/>
        <w:rPr>
          <w:rFonts w:hint="eastAsia" w:ascii="宋体" w:hAnsi="宋体" w:cs="宋体"/>
          <w:color w:val="000000"/>
          <w:kern w:val="0"/>
          <w:sz w:val="24"/>
          <w:szCs w:val="22"/>
          <w:highlight w:val="none"/>
        </w:rPr>
      </w:pPr>
      <w:r>
        <w:rPr>
          <w:rFonts w:hint="eastAsia" w:ascii="宋体" w:hAnsi="宋体" w:cs="宋体"/>
          <w:color w:val="000000"/>
          <w:kern w:val="0"/>
          <w:sz w:val="24"/>
          <w:szCs w:val="22"/>
          <w:highlight w:val="none"/>
        </w:rPr>
        <w:t>填表说明：</w:t>
      </w:r>
    </w:p>
    <w:p>
      <w:pPr>
        <w:wordWrap/>
        <w:adjustRightInd w:val="0"/>
        <w:snapToGrid w:val="0"/>
        <w:spacing w:line="500" w:lineRule="exact"/>
        <w:ind w:firstLine="480" w:firstLineChars="200"/>
        <w:rPr>
          <w:rFonts w:hint="eastAsia" w:ascii="宋体" w:hAnsi="宋体" w:cs="宋体"/>
          <w:kern w:val="0"/>
          <w:sz w:val="24"/>
          <w:szCs w:val="22"/>
          <w:highlight w:val="none"/>
          <w:lang w:val="zh-CN"/>
        </w:rPr>
      </w:pPr>
      <w:r>
        <w:rPr>
          <w:rFonts w:hint="eastAsia" w:ascii="宋体" w:hAnsi="宋体" w:cs="宋体"/>
          <w:color w:val="000000"/>
          <w:kern w:val="0"/>
          <w:sz w:val="24"/>
          <w:szCs w:val="22"/>
          <w:highlight w:val="none"/>
        </w:rPr>
        <w:t>1、</w:t>
      </w:r>
      <w:r>
        <w:rPr>
          <w:rFonts w:hint="eastAsia" w:ascii="宋体" w:hAnsi="宋体" w:cs="宋体"/>
          <w:kern w:val="0"/>
          <w:sz w:val="24"/>
          <w:szCs w:val="22"/>
          <w:highlight w:val="none"/>
          <w:lang w:val="zh-CN"/>
        </w:rPr>
        <w:t xml:space="preserve">“实质性条款”详见“第三部分 </w:t>
      </w:r>
      <w:r>
        <w:rPr>
          <w:rFonts w:hint="eastAsia" w:ascii="宋体" w:hAnsi="宋体" w:cs="宋体"/>
          <w:kern w:val="0"/>
          <w:sz w:val="24"/>
          <w:szCs w:val="22"/>
          <w:highlight w:val="none"/>
          <w:lang w:val="en-US" w:eastAsia="zh-CN"/>
        </w:rPr>
        <w:t>招标</w:t>
      </w:r>
      <w:r>
        <w:rPr>
          <w:rFonts w:hint="eastAsia" w:ascii="宋体" w:hAnsi="宋体" w:cs="宋体"/>
          <w:kern w:val="0"/>
          <w:sz w:val="24"/>
          <w:szCs w:val="22"/>
          <w:highlight w:val="none"/>
          <w:lang w:val="zh-CN"/>
        </w:rPr>
        <w:t>需求”中带“●”条款，本表中所列条款仅供参考；</w:t>
      </w:r>
    </w:p>
    <w:p>
      <w:pPr>
        <w:wordWrap/>
        <w:adjustRightInd w:val="0"/>
        <w:snapToGrid w:val="0"/>
        <w:spacing w:line="500" w:lineRule="exact"/>
        <w:ind w:firstLine="480" w:firstLineChars="200"/>
        <w:rPr>
          <w:rFonts w:hint="eastAsia" w:ascii="宋体" w:hAnsi="宋体" w:cs="宋体"/>
          <w:color w:val="000000"/>
          <w:kern w:val="0"/>
          <w:sz w:val="24"/>
          <w:szCs w:val="22"/>
          <w:highlight w:val="none"/>
        </w:rPr>
      </w:pPr>
      <w:r>
        <w:rPr>
          <w:rFonts w:hint="eastAsia" w:ascii="宋体" w:hAnsi="宋体" w:cs="宋体"/>
          <w:kern w:val="0"/>
          <w:sz w:val="24"/>
          <w:szCs w:val="22"/>
          <w:highlight w:val="none"/>
          <w:lang w:val="zh-CN"/>
        </w:rPr>
        <w:t>2、</w:t>
      </w:r>
      <w:r>
        <w:rPr>
          <w:rFonts w:hint="eastAsia" w:ascii="宋体" w:hAnsi="宋体" w:cs="宋体"/>
          <w:color w:val="000000"/>
          <w:kern w:val="0"/>
          <w:sz w:val="24"/>
          <w:szCs w:val="22"/>
          <w:highlight w:val="none"/>
        </w:rPr>
        <w:t>投标人应根据投标承诺或说明、对照招标文件要求在“满足情况”栏注明“满足”或“不满足”；</w:t>
      </w:r>
    </w:p>
    <w:p>
      <w:pPr>
        <w:wordWrap/>
        <w:adjustRightInd w:val="0"/>
        <w:snapToGrid w:val="0"/>
        <w:spacing w:line="500" w:lineRule="exact"/>
        <w:ind w:firstLine="480" w:firstLineChars="200"/>
        <w:rPr>
          <w:rFonts w:hint="eastAsia" w:ascii="宋体" w:hAnsi="宋体" w:cs="宋体"/>
          <w:kern w:val="0"/>
          <w:sz w:val="24"/>
          <w:szCs w:val="22"/>
          <w:highlight w:val="none"/>
          <w:lang w:val="zh-CN"/>
        </w:rPr>
      </w:pPr>
      <w:r>
        <w:rPr>
          <w:rFonts w:hint="eastAsia" w:ascii="宋体" w:hAnsi="宋体" w:cs="宋体"/>
          <w:color w:val="000000"/>
          <w:kern w:val="0"/>
          <w:sz w:val="24"/>
          <w:szCs w:val="22"/>
          <w:highlight w:val="none"/>
        </w:rPr>
        <w:t>3、</w:t>
      </w:r>
      <w:r>
        <w:rPr>
          <w:rFonts w:hint="eastAsia" w:ascii="宋体" w:hAnsi="宋体" w:cs="宋体"/>
          <w:kern w:val="0"/>
          <w:sz w:val="24"/>
          <w:szCs w:val="22"/>
          <w:highlight w:val="none"/>
          <w:lang w:val="zh-CN"/>
        </w:rPr>
        <w:t xml:space="preserve">本项目“第三部分 </w:t>
      </w:r>
      <w:r>
        <w:rPr>
          <w:rFonts w:hint="eastAsia" w:ascii="宋体" w:hAnsi="宋体" w:cs="宋体"/>
          <w:kern w:val="0"/>
          <w:sz w:val="24"/>
          <w:szCs w:val="22"/>
          <w:highlight w:val="none"/>
          <w:lang w:val="en-US" w:eastAsia="zh-CN"/>
        </w:rPr>
        <w:t>招标</w:t>
      </w:r>
      <w:r>
        <w:rPr>
          <w:rFonts w:hint="eastAsia" w:ascii="宋体" w:hAnsi="宋体" w:cs="宋体"/>
          <w:kern w:val="0"/>
          <w:sz w:val="24"/>
          <w:szCs w:val="22"/>
          <w:highlight w:val="none"/>
          <w:lang w:val="zh-CN"/>
        </w:rPr>
        <w:t>需求”中所有带“●”条款，投标人必须作出实质性响应，如有任意一条未响应或不满足，将被视为无效。</w:t>
      </w:r>
    </w:p>
    <w:p>
      <w:pPr>
        <w:wordWrap/>
        <w:autoSpaceDE w:val="0"/>
        <w:autoSpaceDN w:val="0"/>
        <w:adjustRightInd w:val="0"/>
        <w:snapToGrid/>
        <w:spacing w:line="360" w:lineRule="auto"/>
        <w:rPr>
          <w:rFonts w:hint="eastAsia" w:ascii="宋体" w:hAnsi="宋体" w:cs="宋体"/>
          <w:kern w:val="0"/>
          <w:sz w:val="24"/>
          <w:szCs w:val="22"/>
          <w:highlight w:val="none"/>
          <w:lang w:val="zh-CN"/>
        </w:rPr>
      </w:pPr>
    </w:p>
    <w:p>
      <w:pPr>
        <w:wordWrap/>
        <w:autoSpaceDE w:val="0"/>
        <w:autoSpaceDN w:val="0"/>
        <w:adjustRightInd w:val="0"/>
        <w:snapToGrid/>
        <w:spacing w:line="360" w:lineRule="auto"/>
        <w:rPr>
          <w:rFonts w:hint="eastAsia" w:ascii="宋体" w:hAnsi="宋体" w:cs="宋体"/>
          <w:kern w:val="0"/>
          <w:sz w:val="24"/>
          <w:szCs w:val="22"/>
          <w:highlight w:val="none"/>
          <w:lang w:val="zh-CN"/>
        </w:rPr>
      </w:pPr>
    </w:p>
    <w:bookmarkEnd w:id="131"/>
    <w:bookmarkEnd w:id="132"/>
    <w:p>
      <w:pPr>
        <w:wordWrap/>
        <w:autoSpaceDE w:val="0"/>
        <w:autoSpaceDN w:val="0"/>
        <w:adjustRightInd w:val="0"/>
        <w:spacing w:line="360" w:lineRule="auto"/>
        <w:ind w:left="0" w:leftChars="0" w:firstLine="4320" w:firstLineChars="1800"/>
        <w:jc w:val="both"/>
        <w:rPr>
          <w:rFonts w:ascii="宋体" w:hAnsi="宋体" w:cs="仿宋_GB2312"/>
          <w:color w:val="000000"/>
          <w:kern w:val="0"/>
          <w:sz w:val="24"/>
          <w:lang w:val="zh-CN"/>
        </w:rPr>
      </w:pPr>
      <w:r>
        <w:rPr>
          <w:rFonts w:hint="eastAsia" w:ascii="宋体" w:hAnsi="宋体" w:cs="仿宋_GB2312"/>
          <w:color w:val="000000"/>
          <w:kern w:val="0"/>
          <w:sz w:val="24"/>
          <w:lang w:val="zh-CN"/>
        </w:rPr>
        <w:t xml:space="preserve">投标人（公章）： </w:t>
      </w:r>
      <w:r>
        <w:rPr>
          <w:rFonts w:hint="eastAsia" w:ascii="宋体" w:hAnsi="宋体" w:cs="仿宋_GB2312"/>
          <w:color w:val="000000"/>
          <w:kern w:val="0"/>
          <w:sz w:val="24"/>
          <w:lang w:val="en-US" w:eastAsia="zh-CN"/>
        </w:rPr>
        <w:t xml:space="preserve">              </w:t>
      </w:r>
      <w:r>
        <w:rPr>
          <w:rFonts w:hint="eastAsia" w:ascii="宋体" w:hAnsi="宋体" w:cs="仿宋_GB2312"/>
          <w:color w:val="000000"/>
          <w:kern w:val="0"/>
          <w:sz w:val="24"/>
          <w:lang w:val="zh-CN"/>
        </w:rPr>
        <w:t xml:space="preserve">    </w:t>
      </w:r>
    </w:p>
    <w:p>
      <w:pPr>
        <w:wordWrap/>
        <w:autoSpaceDE w:val="0"/>
        <w:autoSpaceDN w:val="0"/>
        <w:adjustRightInd w:val="0"/>
        <w:spacing w:line="360" w:lineRule="auto"/>
        <w:ind w:left="0" w:leftChars="0" w:firstLine="4320" w:firstLineChars="1800"/>
        <w:jc w:val="both"/>
        <w:rPr>
          <w:rFonts w:ascii="宋体" w:hAnsi="宋体" w:cs="仿宋_GB2312"/>
          <w:color w:val="000000"/>
          <w:kern w:val="0"/>
          <w:sz w:val="24"/>
          <w:lang w:val="zh-CN"/>
        </w:rPr>
      </w:pPr>
      <w:r>
        <w:rPr>
          <w:rFonts w:hint="eastAsia" w:ascii="宋体" w:hAnsi="宋体" w:cs="仿宋_GB2312"/>
          <w:color w:val="000000"/>
          <w:kern w:val="0"/>
          <w:sz w:val="24"/>
          <w:lang w:val="zh-CN"/>
        </w:rPr>
        <w:t>法定代表人或授权代表（签字</w:t>
      </w:r>
      <w:r>
        <w:rPr>
          <w:rFonts w:hint="eastAsia" w:ascii="宋体" w:hAnsi="宋体" w:cs="仿宋_GB2312"/>
          <w:color w:val="000000"/>
          <w:kern w:val="0"/>
          <w:sz w:val="24"/>
          <w:lang w:val="en-US" w:eastAsia="zh-CN"/>
        </w:rPr>
        <w:t>或盖章</w:t>
      </w:r>
      <w:r>
        <w:rPr>
          <w:rFonts w:hint="eastAsia" w:ascii="宋体" w:hAnsi="宋体" w:cs="仿宋_GB2312"/>
          <w:color w:val="000000"/>
          <w:kern w:val="0"/>
          <w:sz w:val="24"/>
          <w:lang w:val="zh-CN"/>
        </w:rPr>
        <w:t xml:space="preserve">）：     </w:t>
      </w:r>
    </w:p>
    <w:p>
      <w:pPr>
        <w:wordWrap w:val="0"/>
        <w:autoSpaceDE w:val="0"/>
        <w:autoSpaceDN w:val="0"/>
        <w:adjustRightInd w:val="0"/>
        <w:spacing w:line="360" w:lineRule="auto"/>
        <w:ind w:left="0" w:leftChars="0" w:firstLine="4320" w:firstLineChars="1800"/>
        <w:jc w:val="both"/>
        <w:rPr>
          <w:rFonts w:ascii="宋体" w:hAnsi="宋体" w:cs="仿宋_GB2312"/>
          <w:color w:val="000000"/>
          <w:kern w:val="0"/>
          <w:sz w:val="24"/>
          <w:lang w:val="zh-CN"/>
        </w:rPr>
      </w:pPr>
      <w:r>
        <w:rPr>
          <w:rFonts w:hint="eastAsia" w:ascii="宋体" w:hAnsi="宋体" w:cs="仿宋_GB2312"/>
          <w:color w:val="000000"/>
          <w:kern w:val="0"/>
          <w:sz w:val="24"/>
          <w:lang w:val="zh-CN"/>
        </w:rPr>
        <w:t xml:space="preserve">日期：20  年  月   日      </w:t>
      </w:r>
    </w:p>
    <w:p>
      <w:pPr>
        <w:jc w:val="center"/>
        <w:outlineLvl w:val="1"/>
        <w:rPr>
          <w:rFonts w:hint="eastAsia"/>
          <w:b/>
          <w:bCs/>
          <w:sz w:val="28"/>
          <w:szCs w:val="28"/>
          <w:lang w:val="en-US" w:eastAsia="zh-CN"/>
        </w:rPr>
      </w:pPr>
      <w:r>
        <w:rPr>
          <w:rFonts w:hint="eastAsia" w:ascii="宋体" w:hAnsi="宋体" w:eastAsia="宋体" w:cs="Times New Roman"/>
          <w:b w:val="0"/>
          <w:bCs/>
          <w:color w:val="000000"/>
          <w:kern w:val="0"/>
          <w:sz w:val="32"/>
          <w:szCs w:val="32"/>
          <w:lang w:val="en-US" w:eastAsia="zh-CN" w:bidi="ar-SA"/>
        </w:rPr>
        <w:br w:type="page"/>
      </w:r>
      <w:bookmarkStart w:id="133" w:name="_Toc349721556"/>
      <w:bookmarkStart w:id="134" w:name="_Toc297472825"/>
      <w:bookmarkStart w:id="135" w:name="_Toc303256683"/>
      <w:bookmarkStart w:id="136" w:name="_Toc350327367"/>
      <w:bookmarkStart w:id="137" w:name="_Toc339872470"/>
      <w:bookmarkStart w:id="138" w:name="_Toc328381294"/>
      <w:bookmarkStart w:id="139" w:name="_Toc297472057"/>
      <w:r>
        <w:rPr>
          <w:rFonts w:hint="eastAsia"/>
          <w:b/>
          <w:bCs/>
          <w:sz w:val="28"/>
          <w:szCs w:val="28"/>
          <w:lang w:val="en-US" w:eastAsia="zh-CN"/>
        </w:rPr>
        <w:t>五、投标响应函</w:t>
      </w:r>
      <w:bookmarkEnd w:id="133"/>
      <w:bookmarkEnd w:id="134"/>
      <w:bookmarkEnd w:id="135"/>
      <w:bookmarkEnd w:id="136"/>
      <w:bookmarkEnd w:id="137"/>
      <w:bookmarkEnd w:id="138"/>
      <w:bookmarkEnd w:id="139"/>
    </w:p>
    <w:p>
      <w:pPr>
        <w:spacing w:line="440" w:lineRule="exact"/>
        <w:rPr>
          <w:rFonts w:ascii="宋体" w:hAnsi="宋体"/>
          <w:b/>
          <w:color w:val="000000"/>
          <w:sz w:val="24"/>
        </w:rPr>
      </w:pPr>
      <w:r>
        <w:rPr>
          <w:rFonts w:hint="eastAsia" w:ascii="宋体" w:hAnsi="宋体"/>
          <w:b/>
          <w:color w:val="000000"/>
          <w:sz w:val="24"/>
          <w:u w:val="single"/>
        </w:rPr>
        <w:t xml:space="preserve">                     </w:t>
      </w:r>
      <w:r>
        <w:rPr>
          <w:rFonts w:hint="eastAsia" w:ascii="宋体" w:hAnsi="宋体"/>
          <w:b/>
          <w:color w:val="000000"/>
          <w:sz w:val="24"/>
        </w:rPr>
        <w:t>：</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(投标人全称)授权</w:t>
      </w:r>
      <w:r>
        <w:rPr>
          <w:rFonts w:hint="eastAsia" w:ascii="宋体" w:hAnsi="宋体"/>
          <w:color w:val="000000"/>
          <w:sz w:val="24"/>
          <w:u w:val="single"/>
        </w:rPr>
        <w:t xml:space="preserve">                </w:t>
      </w:r>
      <w:r>
        <w:rPr>
          <w:rFonts w:hint="eastAsia" w:ascii="宋体" w:hAnsi="宋体"/>
          <w:color w:val="000000"/>
          <w:sz w:val="24"/>
        </w:rPr>
        <w:t>(全权代表姓名)</w:t>
      </w:r>
      <w:r>
        <w:rPr>
          <w:rFonts w:hint="eastAsia" w:ascii="宋体" w:hAnsi="宋体"/>
          <w:color w:val="000000"/>
          <w:sz w:val="24"/>
          <w:u w:val="single"/>
        </w:rPr>
        <w:t xml:space="preserve">          </w:t>
      </w:r>
      <w:r>
        <w:rPr>
          <w:rFonts w:hint="eastAsia" w:ascii="宋体" w:hAnsi="宋体"/>
          <w:color w:val="000000"/>
          <w:sz w:val="24"/>
        </w:rPr>
        <w:t>(职务、职称)为全权代表，参加贵方组织</w:t>
      </w:r>
      <w:r>
        <w:rPr>
          <w:rFonts w:hint="eastAsia" w:ascii="宋体" w:hAnsi="宋体"/>
          <w:color w:val="000000"/>
          <w:sz w:val="24"/>
          <w:u w:val="single"/>
        </w:rPr>
        <w:t xml:space="preserve">            </w:t>
      </w:r>
      <w:r>
        <w:rPr>
          <w:rFonts w:hint="eastAsia" w:ascii="宋体" w:hAnsi="宋体"/>
          <w:color w:val="000000"/>
          <w:sz w:val="24"/>
        </w:rPr>
        <w:t>项目采购的有关活动，并对此项目进行投标。全部投标文件，包括报价文件正本一份、副本四份，</w:t>
      </w:r>
      <w:r>
        <w:rPr>
          <w:rFonts w:hint="eastAsia" w:ascii="宋体" w:hAnsi="宋体"/>
          <w:color w:val="000000"/>
          <w:sz w:val="24"/>
          <w:lang w:eastAsia="zh-CN"/>
        </w:rPr>
        <w:t>资信</w:t>
      </w:r>
      <w:r>
        <w:rPr>
          <w:rFonts w:hint="eastAsia" w:ascii="宋体" w:hAnsi="宋体"/>
          <w:color w:val="000000"/>
          <w:sz w:val="24"/>
        </w:rPr>
        <w:t>/技术文件正本一份、副本四份，以及其他要求投标人提交的全部文件。</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据此函，签字代表宣布同意如下：</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1、我方承诺已经具备《中华人民共和国政府采购法》第二十二条中规定的参加政府采购活动的投标人应当具备的条件：</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（一）具有独立承担民事责任的能力；</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（二）具有良好的商业信誉和健全的财务会计制度；</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（三）具有履行合同所必需的设备和专业技术能力；</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（四）有依法缴纳税收和社会保障资金的良好记录；</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（五）参加政府采购活动前三年内，在经营活动中没有重大违法记录；</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（六）法律、行政法规规定的其他条件。</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2、本投标有效期自投标文件合格递交之日起</w:t>
      </w:r>
      <w:r>
        <w:rPr>
          <w:rFonts w:hint="eastAsia" w:ascii="宋体" w:hAnsi="宋体"/>
          <w:b/>
          <w:color w:val="000000"/>
          <w:sz w:val="24"/>
          <w:u w:val="thick"/>
        </w:rPr>
        <w:t xml:space="preserve"> 60</w:t>
      </w:r>
      <w:r>
        <w:rPr>
          <w:rFonts w:hint="eastAsia" w:ascii="宋体" w:hAnsi="宋体"/>
          <w:b/>
          <w:color w:val="000000"/>
          <w:sz w:val="24"/>
          <w:u w:val="thick"/>
          <w:lang w:val="en-US" w:eastAsia="zh-CN"/>
        </w:rPr>
        <w:t xml:space="preserve"> </w:t>
      </w:r>
      <w:r>
        <w:rPr>
          <w:rFonts w:hint="eastAsia" w:ascii="宋体" w:hAnsi="宋体"/>
          <w:b/>
          <w:color w:val="000000"/>
          <w:sz w:val="24"/>
          <w:u w:val="thick"/>
        </w:rPr>
        <w:t>日</w:t>
      </w:r>
      <w:r>
        <w:rPr>
          <w:rFonts w:hint="eastAsia" w:ascii="宋体" w:hAnsi="宋体"/>
          <w:color w:val="000000"/>
          <w:sz w:val="24"/>
        </w:rPr>
        <w:t>。</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3、如我方中标，本投标文件至本项目合同履行完毕止均保持有效，我方将按“招标文件”及政府采购法律、法规的规定履行合同责任和义务。</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4、如果在开标后规定的投标有效期内撤回投标，我方的投标保证金将不被退还。</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5、我方完全理解贵方不一定要接受最低价的投标。</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6、我方同意按照贵方要求提供与投标有关的一切数据或资料，配合招标人进行评标、验收等与本次采购相关工作。</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7、我方在投标之前已经与贵方进行了充分的沟通，完全理解并接受招标文件的各项规定和要求，对招标文件的合理性、合法性不再有异议。并保证遵守采购文件中的有关规定。</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8、我方已详细审查全部“招标文件”，包括更正通知（如有的话）以及全部参考资料和有关附件，已经了解我方对于招标文件、采购过程、采购结果有依法进行询问、质疑、投诉的权利及相关渠道和要求。</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9、我方向贵方提交的所有投标文件、资料都是准确的和真实的。</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10、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（一）提供虚假材料谋取中标、成交的；</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（二）采取不正当手段诋毁、排挤其他供应商的；</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（三）与</w:t>
      </w:r>
      <w:r>
        <w:rPr>
          <w:rFonts w:hint="eastAsia" w:ascii="宋体" w:hAnsi="宋体"/>
          <w:color w:val="000000"/>
          <w:sz w:val="24"/>
          <w:lang w:eastAsia="zh-CN"/>
        </w:rPr>
        <w:t>招标人</w:t>
      </w:r>
      <w:r>
        <w:rPr>
          <w:rFonts w:hint="eastAsia" w:ascii="宋体" w:hAnsi="宋体"/>
          <w:color w:val="000000"/>
          <w:sz w:val="24"/>
        </w:rPr>
        <w:t>、其他供应商或者</w:t>
      </w:r>
      <w:r>
        <w:rPr>
          <w:rFonts w:hint="eastAsia" w:ascii="宋体" w:hAnsi="宋体"/>
          <w:color w:val="000000"/>
          <w:sz w:val="24"/>
          <w:lang w:eastAsia="zh-CN"/>
        </w:rPr>
        <w:t>招标</w:t>
      </w:r>
      <w:r>
        <w:rPr>
          <w:rFonts w:hint="eastAsia" w:ascii="宋体" w:hAnsi="宋体"/>
          <w:color w:val="000000"/>
          <w:sz w:val="24"/>
        </w:rPr>
        <w:t>代理机构恶意串通的；</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（四）向</w:t>
      </w:r>
      <w:r>
        <w:rPr>
          <w:rFonts w:hint="eastAsia" w:ascii="宋体" w:hAnsi="宋体"/>
          <w:color w:val="000000"/>
          <w:sz w:val="24"/>
          <w:lang w:eastAsia="zh-CN"/>
        </w:rPr>
        <w:t>招标人</w:t>
      </w:r>
      <w:r>
        <w:rPr>
          <w:rFonts w:hint="eastAsia" w:ascii="宋体" w:hAnsi="宋体"/>
          <w:color w:val="000000"/>
          <w:sz w:val="24"/>
        </w:rPr>
        <w:t>、</w:t>
      </w:r>
      <w:r>
        <w:rPr>
          <w:rFonts w:hint="eastAsia" w:ascii="宋体" w:hAnsi="宋体"/>
          <w:color w:val="000000"/>
          <w:sz w:val="24"/>
          <w:lang w:eastAsia="zh-CN"/>
        </w:rPr>
        <w:t>招标</w:t>
      </w:r>
      <w:r>
        <w:rPr>
          <w:rFonts w:hint="eastAsia" w:ascii="宋体" w:hAnsi="宋体"/>
          <w:color w:val="000000"/>
          <w:sz w:val="24"/>
        </w:rPr>
        <w:t>代理机构行贿或者提供其他不正当利益的；</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（五）在招标采购过程中与</w:t>
      </w:r>
      <w:r>
        <w:rPr>
          <w:rFonts w:hint="eastAsia" w:ascii="宋体" w:hAnsi="宋体"/>
          <w:color w:val="000000"/>
          <w:sz w:val="24"/>
          <w:lang w:eastAsia="zh-CN"/>
        </w:rPr>
        <w:t>招标人</w:t>
      </w:r>
      <w:r>
        <w:rPr>
          <w:rFonts w:hint="eastAsia" w:ascii="宋体" w:hAnsi="宋体"/>
          <w:color w:val="000000"/>
          <w:sz w:val="24"/>
        </w:rPr>
        <w:t>进行协商谈判的；</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（六）拒绝有关部门监督检查或者提供虚假情况的。</w:t>
      </w:r>
    </w:p>
    <w:p>
      <w:pPr>
        <w:adjustRightInd w:val="0"/>
        <w:snapToGrid w:val="0"/>
        <w:spacing w:line="440" w:lineRule="exact"/>
        <w:ind w:firstLine="480" w:firstLineChars="200"/>
        <w:rPr>
          <w:rFonts w:ascii="宋体" w:hAnsi="宋体"/>
          <w:color w:val="000000"/>
          <w:sz w:val="24"/>
        </w:rPr>
      </w:pPr>
      <w:r>
        <w:rPr>
          <w:rFonts w:hint="eastAsia" w:ascii="宋体" w:hAnsi="宋体"/>
          <w:color w:val="000000"/>
          <w:sz w:val="24"/>
        </w:rPr>
        <w:t>供应商有前款第（一）至（五）项情形之一的，中标、成交无效。</w:t>
      </w:r>
    </w:p>
    <w:p>
      <w:pPr>
        <w:adjustRightInd w:val="0"/>
        <w:snapToGrid w:val="0"/>
        <w:spacing w:line="440" w:lineRule="exact"/>
        <w:ind w:firstLine="480" w:firstLineChars="200"/>
        <w:rPr>
          <w:rFonts w:ascii="宋体" w:hAnsi="宋体"/>
          <w:color w:val="000000"/>
          <w:sz w:val="24"/>
        </w:rPr>
      </w:pPr>
    </w:p>
    <w:p>
      <w:pPr>
        <w:wordWrap/>
        <w:autoSpaceDE w:val="0"/>
        <w:autoSpaceDN w:val="0"/>
        <w:adjustRightInd w:val="0"/>
        <w:snapToGrid/>
        <w:spacing w:line="440" w:lineRule="exact"/>
        <w:rPr>
          <w:rFonts w:hint="default" w:ascii="宋体" w:hAnsi="宋体" w:eastAsia="宋体" w:cs="宋体"/>
          <w:kern w:val="0"/>
          <w:sz w:val="24"/>
          <w:szCs w:val="22"/>
          <w:highlight w:val="none"/>
          <w:u w:val="single"/>
          <w:lang w:val="en-US" w:eastAsia="zh-CN"/>
        </w:rPr>
      </w:pPr>
      <w:r>
        <w:rPr>
          <w:rFonts w:hint="eastAsia" w:ascii="宋体" w:hAnsi="宋体" w:cs="宋体"/>
          <w:kern w:val="0"/>
          <w:sz w:val="24"/>
          <w:szCs w:val="22"/>
          <w:highlight w:val="none"/>
          <w:lang w:val="zh-CN"/>
        </w:rPr>
        <w:t xml:space="preserve">法定代表人或授权代表（签字）： </w:t>
      </w:r>
      <w:r>
        <w:rPr>
          <w:rFonts w:hint="eastAsia" w:ascii="宋体" w:hAnsi="宋体" w:cs="宋体"/>
          <w:kern w:val="0"/>
          <w:sz w:val="24"/>
          <w:szCs w:val="22"/>
          <w:highlight w:val="none"/>
          <w:u w:val="single"/>
          <w:lang w:val="zh-CN"/>
        </w:rPr>
        <w:t xml:space="preserve">                     </w:t>
      </w:r>
      <w:r>
        <w:rPr>
          <w:rFonts w:hint="eastAsia" w:ascii="宋体" w:hAnsi="宋体" w:cs="宋体"/>
          <w:kern w:val="0"/>
          <w:sz w:val="24"/>
          <w:szCs w:val="22"/>
          <w:highlight w:val="none"/>
          <w:u w:val="single"/>
          <w:lang w:val="en-US" w:eastAsia="zh-CN"/>
        </w:rPr>
        <w:t xml:space="preserve">                   </w:t>
      </w:r>
    </w:p>
    <w:p>
      <w:pPr>
        <w:wordWrap/>
        <w:autoSpaceDE w:val="0"/>
        <w:autoSpaceDN w:val="0"/>
        <w:adjustRightInd w:val="0"/>
        <w:snapToGrid/>
        <w:spacing w:line="440" w:lineRule="exact"/>
        <w:rPr>
          <w:rFonts w:hint="eastAsia" w:ascii="宋体" w:hAnsi="宋体" w:cs="宋体"/>
          <w:kern w:val="0"/>
          <w:sz w:val="24"/>
          <w:szCs w:val="22"/>
          <w:highlight w:val="none"/>
          <w:u w:val="single"/>
          <w:lang w:val="zh-CN"/>
        </w:rPr>
      </w:pPr>
      <w:r>
        <w:rPr>
          <w:rFonts w:hint="eastAsia" w:ascii="宋体" w:hAnsi="宋体" w:cs="宋体"/>
          <w:kern w:val="0"/>
          <w:sz w:val="24"/>
          <w:szCs w:val="22"/>
          <w:highlight w:val="none"/>
          <w:lang w:val="zh-CN"/>
        </w:rPr>
        <w:t xml:space="preserve">投标人（公章）：  </w:t>
      </w:r>
      <w:r>
        <w:rPr>
          <w:rFonts w:hint="eastAsia" w:ascii="宋体" w:hAnsi="宋体" w:cs="宋体"/>
          <w:kern w:val="0"/>
          <w:sz w:val="24"/>
          <w:szCs w:val="22"/>
          <w:highlight w:val="none"/>
          <w:u w:val="single"/>
          <w:lang w:val="zh-CN"/>
        </w:rPr>
        <w:t xml:space="preserve">                             </w:t>
      </w:r>
      <w:r>
        <w:rPr>
          <w:rFonts w:hint="eastAsia" w:ascii="宋体" w:hAnsi="宋体" w:cs="宋体"/>
          <w:kern w:val="0"/>
          <w:sz w:val="24"/>
          <w:szCs w:val="22"/>
          <w:highlight w:val="none"/>
          <w:u w:val="single"/>
          <w:lang w:val="zh-CN" w:eastAsia="zh-CN"/>
        </w:rPr>
        <w:t xml:space="preserve">                   </w:t>
      </w:r>
      <w:r>
        <w:rPr>
          <w:rFonts w:hint="eastAsia" w:ascii="宋体" w:hAnsi="宋体" w:cs="宋体"/>
          <w:kern w:val="0"/>
          <w:sz w:val="24"/>
          <w:szCs w:val="22"/>
          <w:highlight w:val="none"/>
          <w:u w:val="single"/>
          <w:lang w:val="zh-CN"/>
        </w:rPr>
        <w:t xml:space="preserve">     </w:t>
      </w:r>
    </w:p>
    <w:p>
      <w:pPr>
        <w:wordWrap/>
        <w:autoSpaceDE w:val="0"/>
        <w:autoSpaceDN w:val="0"/>
        <w:adjustRightInd w:val="0"/>
        <w:snapToGrid/>
        <w:spacing w:line="440" w:lineRule="exact"/>
        <w:rPr>
          <w:rFonts w:hint="eastAsia" w:ascii="宋体" w:hAnsi="宋体" w:cs="宋体"/>
          <w:kern w:val="0"/>
          <w:sz w:val="24"/>
          <w:szCs w:val="22"/>
          <w:highlight w:val="none"/>
        </w:rPr>
      </w:pPr>
      <w:r>
        <w:rPr>
          <w:rFonts w:hint="eastAsia" w:ascii="宋体" w:hAnsi="宋体" w:cs="宋体"/>
          <w:kern w:val="0"/>
          <w:sz w:val="24"/>
          <w:szCs w:val="22"/>
          <w:highlight w:val="none"/>
          <w:lang w:val="zh-CN"/>
        </w:rPr>
        <w:t>联系人：</w:t>
      </w:r>
      <w:r>
        <w:rPr>
          <w:rFonts w:hint="eastAsia" w:ascii="宋体" w:hAnsi="宋体" w:cs="宋体"/>
          <w:kern w:val="0"/>
          <w:sz w:val="24"/>
          <w:szCs w:val="22"/>
          <w:highlight w:val="none"/>
          <w:u w:val="single"/>
          <w:lang w:val="zh-CN"/>
        </w:rPr>
        <w:t xml:space="preserve">                              </w:t>
      </w:r>
      <w:r>
        <w:rPr>
          <w:rFonts w:hint="eastAsia" w:ascii="宋体" w:hAnsi="宋体" w:cs="宋体"/>
          <w:kern w:val="0"/>
          <w:sz w:val="24"/>
          <w:szCs w:val="22"/>
          <w:highlight w:val="none"/>
          <w:lang w:val="zh-CN"/>
        </w:rPr>
        <w:t xml:space="preserve">  邮政编码：</w:t>
      </w:r>
      <w:r>
        <w:rPr>
          <w:rFonts w:hint="eastAsia" w:ascii="宋体" w:hAnsi="宋体" w:cs="宋体"/>
          <w:kern w:val="0"/>
          <w:sz w:val="24"/>
          <w:szCs w:val="22"/>
          <w:highlight w:val="none"/>
          <w:u w:val="single"/>
          <w:lang w:val="zh-CN"/>
        </w:rPr>
        <w:t xml:space="preserve">                     </w:t>
      </w:r>
    </w:p>
    <w:p>
      <w:pPr>
        <w:wordWrap/>
        <w:autoSpaceDE w:val="0"/>
        <w:autoSpaceDN w:val="0"/>
        <w:adjustRightInd w:val="0"/>
        <w:snapToGrid/>
        <w:spacing w:line="440" w:lineRule="exact"/>
        <w:rPr>
          <w:rFonts w:hint="eastAsia" w:ascii="宋体" w:hAnsi="宋体" w:cs="宋体"/>
          <w:kern w:val="0"/>
          <w:sz w:val="24"/>
          <w:szCs w:val="22"/>
          <w:highlight w:val="none"/>
        </w:rPr>
      </w:pPr>
      <w:r>
        <w:rPr>
          <w:rFonts w:hint="eastAsia" w:ascii="宋体" w:hAnsi="宋体" w:cs="宋体"/>
          <w:kern w:val="0"/>
          <w:sz w:val="24"/>
          <w:szCs w:val="22"/>
          <w:highlight w:val="none"/>
          <w:lang w:val="zh-CN"/>
        </w:rPr>
        <w:t>联系地址：</w:t>
      </w:r>
      <w:r>
        <w:rPr>
          <w:rFonts w:hint="eastAsia" w:ascii="宋体" w:hAnsi="宋体" w:cs="宋体"/>
          <w:kern w:val="0"/>
          <w:sz w:val="24"/>
          <w:szCs w:val="22"/>
          <w:highlight w:val="none"/>
          <w:u w:val="single"/>
          <w:lang w:val="zh-CN"/>
        </w:rPr>
        <w:t xml:space="preserve">                                                             </w:t>
      </w:r>
    </w:p>
    <w:p>
      <w:pPr>
        <w:wordWrap/>
        <w:autoSpaceDE w:val="0"/>
        <w:autoSpaceDN w:val="0"/>
        <w:adjustRightInd w:val="0"/>
        <w:snapToGrid/>
        <w:spacing w:line="440" w:lineRule="exact"/>
        <w:rPr>
          <w:rFonts w:hint="eastAsia" w:ascii="宋体" w:hAnsi="宋体" w:cs="宋体"/>
          <w:kern w:val="0"/>
          <w:sz w:val="24"/>
          <w:szCs w:val="22"/>
          <w:highlight w:val="none"/>
        </w:rPr>
      </w:pPr>
      <w:r>
        <w:rPr>
          <w:rFonts w:hint="eastAsia" w:ascii="宋体" w:hAnsi="宋体" w:cs="宋体"/>
          <w:kern w:val="0"/>
          <w:sz w:val="24"/>
          <w:szCs w:val="22"/>
          <w:highlight w:val="none"/>
          <w:lang w:val="zh-CN"/>
        </w:rPr>
        <w:t xml:space="preserve">联系电话: </w:t>
      </w:r>
      <w:r>
        <w:rPr>
          <w:rFonts w:hint="eastAsia" w:ascii="宋体" w:hAnsi="宋体" w:cs="宋体"/>
          <w:kern w:val="0"/>
          <w:sz w:val="24"/>
          <w:szCs w:val="22"/>
          <w:highlight w:val="none"/>
          <w:u w:val="single"/>
          <w:lang w:val="zh-CN"/>
        </w:rPr>
        <w:t xml:space="preserve">    </w:t>
      </w:r>
      <w:r>
        <w:rPr>
          <w:rFonts w:hint="eastAsia" w:ascii="宋体" w:hAnsi="宋体" w:cs="宋体"/>
          <w:kern w:val="0"/>
          <w:sz w:val="24"/>
          <w:szCs w:val="22"/>
          <w:highlight w:val="none"/>
          <w:u w:val="single"/>
          <w:lang w:val="en-US" w:eastAsia="zh-CN"/>
        </w:rPr>
        <w:t xml:space="preserve">              </w:t>
      </w:r>
      <w:r>
        <w:rPr>
          <w:rFonts w:hint="eastAsia" w:ascii="宋体" w:hAnsi="宋体" w:cs="宋体"/>
          <w:kern w:val="0"/>
          <w:sz w:val="24"/>
          <w:szCs w:val="22"/>
          <w:highlight w:val="none"/>
          <w:u w:val="single"/>
          <w:lang w:val="zh-CN"/>
        </w:rPr>
        <w:t xml:space="preserve">            </w:t>
      </w:r>
      <w:r>
        <w:rPr>
          <w:rFonts w:hint="eastAsia" w:ascii="宋体" w:hAnsi="宋体" w:cs="宋体"/>
          <w:kern w:val="0"/>
          <w:sz w:val="24"/>
          <w:szCs w:val="22"/>
          <w:highlight w:val="none"/>
          <w:lang w:val="zh-CN"/>
        </w:rPr>
        <w:t>传真号码：</w:t>
      </w:r>
      <w:r>
        <w:rPr>
          <w:rFonts w:hint="eastAsia" w:ascii="宋体" w:hAnsi="宋体" w:cs="宋体"/>
          <w:kern w:val="0"/>
          <w:sz w:val="24"/>
          <w:szCs w:val="22"/>
          <w:highlight w:val="none"/>
          <w:u w:val="single"/>
          <w:lang w:val="zh-CN"/>
        </w:rPr>
        <w:t xml:space="preserve">        </w:t>
      </w:r>
      <w:r>
        <w:rPr>
          <w:rFonts w:hint="eastAsia" w:ascii="宋体" w:hAnsi="宋体" w:cs="宋体"/>
          <w:kern w:val="0"/>
          <w:sz w:val="24"/>
          <w:szCs w:val="22"/>
          <w:highlight w:val="none"/>
          <w:u w:val="single"/>
          <w:lang w:val="en-US" w:eastAsia="zh-CN"/>
        </w:rPr>
        <w:t xml:space="preserve">      </w:t>
      </w:r>
      <w:r>
        <w:rPr>
          <w:rFonts w:hint="eastAsia" w:ascii="宋体" w:hAnsi="宋体" w:cs="宋体"/>
          <w:kern w:val="0"/>
          <w:sz w:val="24"/>
          <w:szCs w:val="22"/>
          <w:highlight w:val="none"/>
          <w:u w:val="single"/>
          <w:lang w:val="zh-CN"/>
        </w:rPr>
        <w:t xml:space="preserve">       </w:t>
      </w:r>
    </w:p>
    <w:p>
      <w:pPr>
        <w:wordWrap/>
        <w:adjustRightInd/>
        <w:snapToGrid/>
        <w:spacing w:line="440" w:lineRule="exact"/>
        <w:rPr>
          <w:rFonts w:hint="eastAsia" w:ascii="宋体" w:hAnsi="宋体" w:cs="宋体"/>
          <w:sz w:val="24"/>
          <w:szCs w:val="22"/>
          <w:highlight w:val="none"/>
        </w:rPr>
      </w:pPr>
      <w:r>
        <w:rPr>
          <w:rFonts w:hint="eastAsia" w:ascii="宋体" w:hAnsi="宋体" w:cs="宋体"/>
          <w:kern w:val="0"/>
          <w:sz w:val="24"/>
          <w:szCs w:val="22"/>
          <w:highlight w:val="none"/>
          <w:lang w:val="zh-CN"/>
        </w:rPr>
        <w:t>日</w:t>
      </w:r>
      <w:r>
        <w:rPr>
          <w:rFonts w:hint="eastAsia" w:ascii="宋体" w:hAnsi="宋体" w:cs="宋体"/>
          <w:kern w:val="0"/>
          <w:sz w:val="24"/>
          <w:szCs w:val="22"/>
          <w:highlight w:val="none"/>
        </w:rPr>
        <w:t xml:space="preserve">    </w:t>
      </w:r>
      <w:r>
        <w:rPr>
          <w:rFonts w:hint="eastAsia" w:ascii="宋体" w:hAnsi="宋体" w:cs="宋体"/>
          <w:kern w:val="0"/>
          <w:sz w:val="24"/>
          <w:szCs w:val="22"/>
          <w:highlight w:val="none"/>
          <w:lang w:val="zh-CN"/>
        </w:rPr>
        <w:t>期</w:t>
      </w:r>
      <w:r>
        <w:rPr>
          <w:rFonts w:hint="eastAsia" w:ascii="宋体" w:hAnsi="宋体" w:cs="宋体"/>
          <w:kern w:val="0"/>
          <w:sz w:val="24"/>
          <w:szCs w:val="22"/>
          <w:highlight w:val="none"/>
        </w:rPr>
        <w:t>：</w:t>
      </w:r>
      <w:r>
        <w:rPr>
          <w:rFonts w:hint="eastAsia" w:ascii="宋体" w:hAnsi="宋体" w:cs="宋体"/>
          <w:kern w:val="0"/>
          <w:sz w:val="24"/>
          <w:szCs w:val="22"/>
          <w:highlight w:val="none"/>
          <w:u w:val="single"/>
        </w:rPr>
        <w:t xml:space="preserve">       </w:t>
      </w:r>
      <w:r>
        <w:rPr>
          <w:rFonts w:hint="eastAsia" w:ascii="宋体" w:hAnsi="宋体" w:cs="宋体"/>
          <w:kern w:val="0"/>
          <w:sz w:val="24"/>
          <w:szCs w:val="22"/>
          <w:highlight w:val="none"/>
          <w:lang w:val="zh-CN"/>
        </w:rPr>
        <w:t>年</w:t>
      </w:r>
      <w:r>
        <w:rPr>
          <w:rFonts w:hint="eastAsia" w:ascii="宋体" w:hAnsi="宋体" w:cs="宋体"/>
          <w:kern w:val="0"/>
          <w:sz w:val="24"/>
          <w:szCs w:val="22"/>
          <w:highlight w:val="none"/>
          <w:u w:val="single"/>
        </w:rPr>
        <w:t xml:space="preserve">       </w:t>
      </w:r>
      <w:r>
        <w:rPr>
          <w:rFonts w:hint="eastAsia" w:ascii="宋体" w:hAnsi="宋体" w:cs="宋体"/>
          <w:kern w:val="0"/>
          <w:sz w:val="24"/>
          <w:szCs w:val="22"/>
          <w:highlight w:val="none"/>
          <w:lang w:val="zh-CN"/>
        </w:rPr>
        <w:t>月</w:t>
      </w:r>
      <w:r>
        <w:rPr>
          <w:rFonts w:hint="eastAsia" w:ascii="宋体" w:hAnsi="宋体" w:cs="宋体"/>
          <w:kern w:val="0"/>
          <w:sz w:val="24"/>
          <w:szCs w:val="22"/>
          <w:highlight w:val="none"/>
          <w:u w:val="single"/>
        </w:rPr>
        <w:t xml:space="preserve">       </w:t>
      </w:r>
      <w:r>
        <w:rPr>
          <w:rFonts w:hint="eastAsia" w:ascii="宋体" w:hAnsi="宋体" w:cs="宋体"/>
          <w:kern w:val="0"/>
          <w:sz w:val="24"/>
          <w:szCs w:val="22"/>
          <w:highlight w:val="none"/>
          <w:lang w:val="zh-CN"/>
        </w:rPr>
        <w:t>日</w:t>
      </w:r>
    </w:p>
    <w:p>
      <w:pPr>
        <w:jc w:val="center"/>
        <w:outlineLvl w:val="1"/>
        <w:rPr>
          <w:rFonts w:hint="eastAsia"/>
          <w:b/>
          <w:bCs/>
          <w:sz w:val="28"/>
          <w:szCs w:val="28"/>
          <w:lang w:val="en-US" w:eastAsia="zh-CN"/>
        </w:rPr>
      </w:pPr>
      <w:r>
        <w:rPr>
          <w:rFonts w:hint="eastAsia" w:ascii="宋体" w:hAnsi="宋体" w:eastAsia="宋体" w:cs="Times New Roman"/>
          <w:b w:val="0"/>
          <w:bCs/>
          <w:color w:val="000000"/>
          <w:kern w:val="0"/>
          <w:sz w:val="32"/>
          <w:szCs w:val="32"/>
          <w:lang w:val="en-US" w:eastAsia="zh-CN" w:bidi="ar-SA"/>
        </w:rPr>
        <w:br w:type="page"/>
      </w:r>
      <w:r>
        <w:rPr>
          <w:rFonts w:hint="eastAsia"/>
          <w:b/>
          <w:bCs/>
          <w:sz w:val="28"/>
          <w:szCs w:val="28"/>
          <w:lang w:val="en-US" w:eastAsia="zh-CN"/>
        </w:rPr>
        <w:t>六、法定代表人授权委托书</w:t>
      </w:r>
    </w:p>
    <w:p>
      <w:pPr>
        <w:spacing w:line="440" w:lineRule="exact"/>
        <w:rPr>
          <w:rFonts w:ascii="宋体" w:hAnsi="宋体"/>
          <w:b/>
          <w:color w:val="000000"/>
          <w:sz w:val="24"/>
        </w:rPr>
      </w:pPr>
      <w:r>
        <w:rPr>
          <w:rFonts w:hint="eastAsia" w:ascii="宋体" w:hAnsi="宋体"/>
          <w:b/>
          <w:color w:val="000000"/>
          <w:sz w:val="24"/>
          <w:u w:val="single"/>
        </w:rPr>
        <w:t xml:space="preserve">                     </w:t>
      </w:r>
      <w:r>
        <w:rPr>
          <w:rFonts w:hint="eastAsia" w:ascii="宋体" w:hAnsi="宋体"/>
          <w:b/>
          <w:color w:val="000000"/>
          <w:sz w:val="24"/>
        </w:rPr>
        <w:t>：</w:t>
      </w:r>
    </w:p>
    <w:p>
      <w:pPr>
        <w:spacing w:line="440" w:lineRule="exact"/>
        <w:rPr>
          <w:rFonts w:ascii="宋体" w:hAnsi="宋体"/>
          <w:b/>
          <w:color w:val="000000"/>
          <w:sz w:val="24"/>
        </w:rPr>
      </w:pPr>
    </w:p>
    <w:p>
      <w:pPr>
        <w:spacing w:line="440" w:lineRule="exact"/>
        <w:ind w:firstLine="480" w:firstLineChars="200"/>
        <w:rPr>
          <w:rFonts w:ascii="宋体" w:hAnsi="宋体"/>
          <w:color w:val="000000"/>
          <w:sz w:val="24"/>
        </w:rPr>
      </w:pPr>
      <w:r>
        <w:rPr>
          <w:rFonts w:hint="eastAsia" w:ascii="宋体" w:hAnsi="宋体"/>
          <w:color w:val="000000"/>
          <w:sz w:val="24"/>
        </w:rPr>
        <w:t>兹委派我公司</w:t>
      </w:r>
      <w:r>
        <w:rPr>
          <w:rFonts w:hint="eastAsia" w:ascii="宋体" w:hAnsi="宋体"/>
          <w:color w:val="000000"/>
          <w:sz w:val="24"/>
          <w:u w:val="single"/>
        </w:rPr>
        <w:t xml:space="preserve">                </w:t>
      </w:r>
      <w:r>
        <w:rPr>
          <w:rFonts w:hint="eastAsia" w:ascii="宋体" w:hAnsi="宋体"/>
          <w:color w:val="000000"/>
          <w:sz w:val="24"/>
        </w:rPr>
        <w:t>先生/女士（其在本公司的职务是：</w:t>
      </w:r>
      <w:r>
        <w:rPr>
          <w:rFonts w:hint="eastAsia" w:ascii="宋体" w:hAnsi="宋体"/>
          <w:color w:val="000000"/>
          <w:sz w:val="24"/>
          <w:u w:val="single"/>
        </w:rPr>
        <w:t xml:space="preserve">        </w:t>
      </w:r>
      <w:r>
        <w:rPr>
          <w:rFonts w:hint="eastAsia" w:ascii="宋体" w:hAnsi="宋体"/>
          <w:color w:val="000000"/>
          <w:sz w:val="24"/>
        </w:rPr>
        <w:t>，联系电话：</w:t>
      </w:r>
      <w:r>
        <w:rPr>
          <w:rFonts w:hint="eastAsia" w:ascii="宋体" w:hAnsi="宋体"/>
          <w:color w:val="000000"/>
          <w:sz w:val="24"/>
          <w:u w:val="single"/>
        </w:rPr>
        <w:t xml:space="preserve">         </w:t>
      </w:r>
      <w:r>
        <w:rPr>
          <w:rFonts w:hint="eastAsia" w:ascii="宋体" w:hAnsi="宋体"/>
          <w:color w:val="000000"/>
          <w:sz w:val="24"/>
        </w:rPr>
        <w:t>，手机：</w:t>
      </w:r>
      <w:r>
        <w:rPr>
          <w:rFonts w:hint="eastAsia" w:ascii="宋体" w:hAnsi="宋体"/>
          <w:color w:val="000000"/>
          <w:sz w:val="24"/>
          <w:u w:val="single"/>
        </w:rPr>
        <w:t xml:space="preserve">           </w:t>
      </w:r>
      <w:r>
        <w:rPr>
          <w:rFonts w:hint="eastAsia" w:ascii="宋体" w:hAnsi="宋体"/>
          <w:color w:val="000000"/>
          <w:sz w:val="24"/>
        </w:rPr>
        <w:t>，传真：</w:t>
      </w:r>
      <w:r>
        <w:rPr>
          <w:rFonts w:hint="eastAsia" w:ascii="宋体" w:hAnsi="宋体"/>
          <w:color w:val="000000"/>
          <w:sz w:val="24"/>
          <w:u w:val="single"/>
        </w:rPr>
        <w:t xml:space="preserve">           </w:t>
      </w:r>
      <w:r>
        <w:rPr>
          <w:rFonts w:hint="eastAsia" w:ascii="宋体" w:hAnsi="宋体"/>
          <w:color w:val="000000"/>
          <w:sz w:val="24"/>
        </w:rPr>
        <w:t>，身份证号：</w:t>
      </w:r>
      <w:r>
        <w:rPr>
          <w:rFonts w:hint="eastAsia" w:ascii="宋体" w:hAnsi="宋体"/>
          <w:color w:val="000000"/>
          <w:sz w:val="24"/>
          <w:u w:val="single"/>
        </w:rPr>
        <w:t xml:space="preserve">                </w:t>
      </w:r>
      <w:r>
        <w:rPr>
          <w:rFonts w:hint="eastAsia" w:ascii="宋体" w:hAnsi="宋体"/>
          <w:color w:val="000000"/>
          <w:sz w:val="24"/>
        </w:rPr>
        <w:t>）代表我公司全权处理</w:t>
      </w:r>
      <w:r>
        <w:rPr>
          <w:rFonts w:hint="eastAsia" w:ascii="宋体" w:hAnsi="宋体"/>
          <w:color w:val="000000"/>
          <w:sz w:val="24"/>
          <w:u w:val="single"/>
        </w:rPr>
        <w:t xml:space="preserve">                   </w:t>
      </w:r>
      <w:r>
        <w:rPr>
          <w:rFonts w:hint="eastAsia" w:ascii="宋体" w:hAnsi="宋体"/>
          <w:color w:val="000000"/>
          <w:sz w:val="24"/>
        </w:rPr>
        <w:t>项目的一切事项，若中标则全权代表本公司签订合同，并负责处理合同履行等事宜。</w:t>
      </w:r>
    </w:p>
    <w:p>
      <w:pPr>
        <w:spacing w:line="360" w:lineRule="auto"/>
        <w:ind w:firstLine="480" w:firstLineChars="200"/>
        <w:rPr>
          <w:rFonts w:ascii="宋体" w:hAnsi="宋体"/>
          <w:color w:val="000000"/>
          <w:sz w:val="24"/>
        </w:rPr>
      </w:pPr>
      <w:r>
        <w:rPr>
          <w:rFonts w:hint="eastAsia" w:ascii="宋体" w:hAnsi="宋体"/>
          <w:color w:val="000000"/>
          <w:sz w:val="24"/>
        </w:rPr>
        <w:t>在撤销授权的书面通知以前，本授权书一直有效。授权代表在授权书有效期内签署的所有文件不因授权的撤销而失效。</w:t>
      </w:r>
    </w:p>
    <w:p>
      <w:pPr>
        <w:spacing w:line="360" w:lineRule="auto"/>
        <w:ind w:firstLine="480" w:firstLineChars="200"/>
        <w:rPr>
          <w:rFonts w:ascii="宋体" w:hAnsi="宋体"/>
          <w:color w:val="000000"/>
          <w:sz w:val="24"/>
        </w:rPr>
      </w:pPr>
      <w:r>
        <w:rPr>
          <w:rFonts w:hint="eastAsia" w:ascii="宋体" w:hAnsi="宋体"/>
          <w:color w:val="000000"/>
          <w:sz w:val="24"/>
        </w:rPr>
        <w:t>授权代表无转委托权，特此委托。</w:t>
      </w:r>
    </w:p>
    <w:p>
      <w:pPr>
        <w:spacing w:line="440" w:lineRule="exact"/>
        <w:ind w:firstLine="480" w:firstLineChars="200"/>
        <w:rPr>
          <w:rFonts w:ascii="宋体" w:hAnsi="宋体"/>
          <w:color w:val="000000"/>
          <w:sz w:val="24"/>
        </w:rPr>
      </w:pPr>
      <w:r>
        <w:rPr>
          <w:rFonts w:hint="eastAsia" w:ascii="宋体" w:hAnsi="宋体"/>
          <w:color w:val="000000"/>
          <w:sz w:val="24"/>
        </w:rPr>
        <w:t>特此告知。</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 xml:space="preserve">法定代表人（签字）：                     授权代表（签字）：           </w:t>
      </w:r>
    </w:p>
    <w:p>
      <w:pPr>
        <w:spacing w:line="440" w:lineRule="exact"/>
        <w:rPr>
          <w:rFonts w:ascii="宋体" w:hAnsi="宋体"/>
          <w:color w:val="000000"/>
          <w:sz w:val="24"/>
        </w:rPr>
      </w:pPr>
      <w:r>
        <w:rPr>
          <w:rFonts w:hint="eastAsia" w:ascii="宋体" w:hAnsi="宋体"/>
          <w:color w:val="000000"/>
          <w:sz w:val="24"/>
        </w:rPr>
        <w:t>职务：                                  职务：</w:t>
      </w:r>
    </w:p>
    <w:p>
      <w:pPr>
        <w:spacing w:line="440" w:lineRule="exact"/>
        <w:rPr>
          <w:rFonts w:ascii="宋体" w:hAnsi="宋体"/>
          <w:color w:val="000000"/>
          <w:sz w:val="24"/>
        </w:rPr>
      </w:pPr>
      <w:r>
        <w:rPr>
          <w:rFonts w:hint="eastAsia" w:ascii="宋体" w:hAnsi="宋体"/>
          <w:color w:val="000000"/>
          <w:sz w:val="24"/>
        </w:rPr>
        <w:t>身份证号码：                            身份证号码：</w:t>
      </w:r>
    </w:p>
    <w:p>
      <w:pPr>
        <w:spacing w:line="440" w:lineRule="exact"/>
        <w:rPr>
          <w:rFonts w:ascii="宋体" w:hAnsi="宋体"/>
          <w:color w:val="000000"/>
          <w:sz w:val="24"/>
        </w:rPr>
      </w:pPr>
      <w:r>
        <w:rPr>
          <w:rFonts w:hint="eastAsia" w:ascii="宋体" w:hAnsi="宋体"/>
          <w:color w:val="000000"/>
          <w:sz w:val="24"/>
        </w:rPr>
        <w:t xml:space="preserve">                               </w:t>
      </w:r>
    </w:p>
    <w:p>
      <w:pPr>
        <w:spacing w:line="440" w:lineRule="exact"/>
        <w:ind w:firstLine="480" w:firstLineChars="200"/>
        <w:rPr>
          <w:rFonts w:ascii="宋体" w:hAnsi="宋体"/>
          <w:color w:val="000000"/>
          <w:sz w:val="24"/>
        </w:rPr>
      </w:pPr>
      <w:r>
        <w:rPr>
          <w:rFonts w:hint="eastAsia" w:ascii="宋体" w:hAnsi="宋体"/>
          <w:color w:val="000000"/>
          <w:sz w:val="24"/>
        </w:rPr>
        <w:t xml:space="preserve">                                      </w:t>
      </w:r>
    </w:p>
    <w:p>
      <w:pPr>
        <w:spacing w:line="440" w:lineRule="exact"/>
        <w:ind w:firstLine="480" w:firstLineChars="200"/>
        <w:rPr>
          <w:rFonts w:ascii="宋体" w:hAnsi="宋体"/>
          <w:color w:val="000000"/>
          <w:sz w:val="24"/>
        </w:rPr>
      </w:pPr>
    </w:p>
    <w:p>
      <w:pPr>
        <w:wordWrap w:val="0"/>
        <w:autoSpaceDE w:val="0"/>
        <w:autoSpaceDN w:val="0"/>
        <w:adjustRightInd w:val="0"/>
        <w:spacing w:line="440" w:lineRule="exact"/>
        <w:ind w:left="0" w:leftChars="0" w:right="480" w:firstLine="4320" w:firstLineChars="1800"/>
        <w:jc w:val="both"/>
        <w:rPr>
          <w:rFonts w:ascii="宋体" w:hAnsi="宋体" w:cs="仿宋_GB2312"/>
          <w:color w:val="000000"/>
          <w:kern w:val="0"/>
          <w:sz w:val="24"/>
          <w:lang w:val="zh-CN"/>
        </w:rPr>
      </w:pPr>
      <w:bookmarkStart w:id="140" w:name="_Toc91899922"/>
      <w:r>
        <w:rPr>
          <w:rFonts w:hint="eastAsia" w:ascii="宋体" w:hAnsi="宋体" w:cs="仿宋_GB2312"/>
          <w:color w:val="000000"/>
          <w:kern w:val="0"/>
          <w:sz w:val="24"/>
          <w:lang w:val="zh-CN"/>
        </w:rPr>
        <w:t xml:space="preserve">投标人（公章）：     </w:t>
      </w:r>
    </w:p>
    <w:p>
      <w:pPr>
        <w:wordWrap/>
        <w:autoSpaceDE w:val="0"/>
        <w:autoSpaceDN w:val="0"/>
        <w:adjustRightInd w:val="0"/>
        <w:spacing w:line="440" w:lineRule="exact"/>
        <w:ind w:left="0" w:leftChars="0" w:firstLine="4320" w:firstLineChars="1800"/>
        <w:jc w:val="both"/>
        <w:rPr>
          <w:rFonts w:ascii="宋体" w:hAnsi="宋体" w:cs="仿宋_GB2312"/>
          <w:color w:val="000000"/>
          <w:kern w:val="0"/>
          <w:sz w:val="24"/>
          <w:lang w:val="zh-CN"/>
        </w:rPr>
      </w:pPr>
      <w:r>
        <w:rPr>
          <w:rFonts w:hint="eastAsia" w:ascii="宋体" w:hAnsi="宋体"/>
          <w:color w:val="000000"/>
          <w:sz w:val="24"/>
        </w:rPr>
        <w:t>授权委托日期</w:t>
      </w:r>
      <w:r>
        <w:rPr>
          <w:rFonts w:hint="eastAsia" w:ascii="宋体" w:hAnsi="宋体" w:cs="仿宋_GB2312"/>
          <w:color w:val="000000"/>
          <w:kern w:val="0"/>
          <w:sz w:val="24"/>
          <w:lang w:val="zh-CN"/>
        </w:rPr>
        <w:t xml:space="preserve">：20  年  月   日      </w:t>
      </w:r>
    </w:p>
    <w:p>
      <w:pPr>
        <w:spacing w:line="440" w:lineRule="exact"/>
        <w:jc w:val="center"/>
        <w:rPr>
          <w:rFonts w:ascii="宋体" w:hAnsi="宋体"/>
          <w:b/>
          <w:color w:val="000000"/>
          <w:kern w:val="0"/>
          <w:sz w:val="24"/>
        </w:rPr>
      </w:pPr>
      <w:r>
        <w:rPr>
          <w:rFonts w:hint="eastAsia" w:ascii="宋体" w:hAnsi="宋体"/>
          <w:b/>
          <w:color w:val="000000"/>
          <w:sz w:val="32"/>
          <w:szCs w:val="32"/>
        </w:rPr>
        <w:br w:type="page"/>
      </w:r>
      <w:bookmarkEnd w:id="140"/>
    </w:p>
    <w:p>
      <w:pPr>
        <w:jc w:val="center"/>
        <w:outlineLvl w:val="1"/>
        <w:rPr>
          <w:rFonts w:hint="eastAsia"/>
          <w:b/>
          <w:bCs/>
          <w:sz w:val="28"/>
          <w:szCs w:val="28"/>
          <w:lang w:val="en-US" w:eastAsia="zh-CN"/>
        </w:rPr>
      </w:pPr>
      <w:r>
        <w:rPr>
          <w:rFonts w:hint="eastAsia"/>
          <w:b/>
          <w:bCs/>
          <w:sz w:val="28"/>
          <w:szCs w:val="28"/>
          <w:lang w:val="en-US" w:eastAsia="zh-CN"/>
        </w:rPr>
        <w:t>七、投标文件外层包装封面（格式供参考）</w:t>
      </w:r>
    </w:p>
    <w:p>
      <w:pPr>
        <w:jc w:val="center"/>
        <w:rPr>
          <w:rFonts w:ascii="宋体" w:hAnsi="宋体"/>
          <w:b/>
          <w:color w:val="000000"/>
          <w:sz w:val="30"/>
          <w:szCs w:val="30"/>
        </w:rPr>
      </w:pPr>
    </w:p>
    <w:p>
      <w:pPr>
        <w:rPr>
          <w:rFonts w:ascii="宋体" w:hAnsi="宋体"/>
          <w:b/>
          <w:color w:val="000000"/>
          <w:sz w:val="30"/>
          <w:szCs w:val="30"/>
        </w:rPr>
      </w:pPr>
      <w:bookmarkStart w:id="141" w:name="_Toc297472064"/>
      <w:r>
        <w:rPr>
          <w:rFonts w:hint="eastAsia" w:ascii="宋体" w:hAnsi="宋体"/>
          <w:b/>
          <w:color w:val="000000"/>
          <w:sz w:val="30"/>
          <w:szCs w:val="30"/>
        </w:rPr>
        <w:t>1、</w:t>
      </w:r>
      <w:r>
        <w:rPr>
          <w:rFonts w:hint="eastAsia" w:ascii="宋体" w:hAnsi="宋体"/>
          <w:b/>
          <w:color w:val="000000"/>
          <w:sz w:val="30"/>
          <w:szCs w:val="30"/>
          <w:lang w:eastAsia="zh-CN"/>
        </w:rPr>
        <w:t>资信</w:t>
      </w:r>
      <w:r>
        <w:rPr>
          <w:rFonts w:hint="eastAsia" w:ascii="宋体" w:hAnsi="宋体"/>
          <w:b/>
          <w:color w:val="000000"/>
          <w:sz w:val="30"/>
          <w:szCs w:val="30"/>
        </w:rPr>
        <w:t>文件/技术文件包装封面</w:t>
      </w:r>
      <w:bookmarkEnd w:id="141"/>
    </w:p>
    <w:p>
      <w:pPr>
        <w:jc w:val="center"/>
        <w:rPr>
          <w:rFonts w:ascii="宋体" w:hAnsi="宋体"/>
          <w:b/>
          <w:color w:val="000000"/>
          <w:sz w:val="30"/>
          <w:szCs w:val="30"/>
        </w:rPr>
      </w:pPr>
      <w:bookmarkStart w:id="142" w:name="_Toc297472065"/>
      <w:r>
        <w:rPr>
          <w:rFonts w:hint="eastAsia" w:ascii="宋体" w:hAnsi="宋体"/>
          <w:b/>
          <w:color w:val="000000"/>
          <w:sz w:val="30"/>
          <w:szCs w:val="30"/>
        </w:rPr>
        <w:t>投标文件（</w:t>
      </w:r>
      <w:r>
        <w:rPr>
          <w:rFonts w:hint="eastAsia" w:ascii="宋体" w:hAnsi="宋体"/>
          <w:b/>
          <w:color w:val="000000"/>
          <w:sz w:val="30"/>
          <w:szCs w:val="30"/>
          <w:lang w:eastAsia="zh-CN"/>
        </w:rPr>
        <w:t>资信</w:t>
      </w:r>
      <w:r>
        <w:rPr>
          <w:rFonts w:hint="eastAsia" w:ascii="宋体" w:hAnsi="宋体"/>
          <w:b/>
          <w:color w:val="000000"/>
          <w:sz w:val="30"/>
          <w:szCs w:val="30"/>
        </w:rPr>
        <w:t>文件/技术文件）</w:t>
      </w:r>
      <w:bookmarkEnd w:id="142"/>
    </w:p>
    <w:p>
      <w:pPr>
        <w:jc w:val="center"/>
        <w:rPr>
          <w:rFonts w:ascii="宋体" w:hAnsi="宋体"/>
          <w:b/>
          <w:color w:val="000000"/>
          <w:sz w:val="30"/>
          <w:szCs w:val="30"/>
        </w:rPr>
      </w:pPr>
      <w:bookmarkStart w:id="143" w:name="_Toc297472066"/>
      <w:r>
        <w:rPr>
          <w:rFonts w:hint="eastAsia" w:ascii="宋体" w:hAnsi="宋体"/>
          <w:b/>
          <w:color w:val="000000"/>
          <w:sz w:val="30"/>
          <w:szCs w:val="30"/>
        </w:rPr>
        <w:t>(开标时启封)</w:t>
      </w:r>
      <w:bookmarkEnd w:id="143"/>
    </w:p>
    <w:p>
      <w:pPr>
        <w:rPr>
          <w:rFonts w:ascii="宋体" w:hAnsi="宋体"/>
          <w:b/>
          <w:color w:val="000000"/>
          <w:sz w:val="30"/>
          <w:szCs w:val="30"/>
        </w:rPr>
      </w:pPr>
      <w:r>
        <w:rPr>
          <w:rFonts w:hint="eastAsia" w:ascii="宋体" w:hAnsi="宋体"/>
          <w:b/>
          <w:color w:val="000000"/>
          <w:sz w:val="30"/>
          <w:szCs w:val="30"/>
        </w:rPr>
        <w:t>项目名称：</w:t>
      </w:r>
      <w:r>
        <w:rPr>
          <w:rFonts w:hint="eastAsia" w:ascii="宋体" w:hAnsi="宋体"/>
          <w:b/>
          <w:color w:val="000000"/>
          <w:sz w:val="30"/>
          <w:szCs w:val="30"/>
          <w:u w:val="single"/>
        </w:rPr>
        <w:t xml:space="preserve">                                    </w:t>
      </w:r>
    </w:p>
    <w:p>
      <w:pPr>
        <w:rPr>
          <w:rFonts w:ascii="宋体" w:hAnsi="宋体"/>
          <w:b/>
          <w:color w:val="000000"/>
          <w:sz w:val="30"/>
          <w:szCs w:val="30"/>
        </w:rPr>
      </w:pPr>
      <w:r>
        <w:rPr>
          <w:rFonts w:hint="eastAsia" w:ascii="宋体" w:hAnsi="宋体"/>
          <w:b/>
          <w:color w:val="000000"/>
          <w:sz w:val="30"/>
          <w:szCs w:val="30"/>
        </w:rPr>
        <w:t>项目编号：</w:t>
      </w:r>
      <w:r>
        <w:rPr>
          <w:rFonts w:hint="eastAsia" w:ascii="宋体" w:hAnsi="宋体"/>
          <w:b/>
          <w:color w:val="000000"/>
          <w:sz w:val="30"/>
          <w:szCs w:val="30"/>
          <w:u w:val="single"/>
        </w:rPr>
        <w:t xml:space="preserve">                                    </w:t>
      </w:r>
    </w:p>
    <w:p>
      <w:pPr>
        <w:rPr>
          <w:rFonts w:ascii="宋体" w:hAnsi="宋体"/>
          <w:b/>
          <w:color w:val="000000"/>
          <w:sz w:val="30"/>
          <w:szCs w:val="30"/>
        </w:rPr>
      </w:pPr>
      <w:r>
        <w:rPr>
          <w:rFonts w:hint="eastAsia" w:ascii="宋体" w:hAnsi="宋体"/>
          <w:b/>
          <w:color w:val="000000"/>
          <w:sz w:val="30"/>
          <w:szCs w:val="30"/>
        </w:rPr>
        <w:t>投标人名称（盖章）：</w:t>
      </w:r>
      <w:r>
        <w:rPr>
          <w:rFonts w:hint="eastAsia" w:ascii="宋体" w:hAnsi="宋体"/>
          <w:b/>
          <w:color w:val="000000"/>
          <w:sz w:val="30"/>
          <w:szCs w:val="30"/>
          <w:u w:val="single"/>
        </w:rPr>
        <w:t xml:space="preserve">                           </w:t>
      </w:r>
      <w:r>
        <w:rPr>
          <w:rFonts w:hint="eastAsia" w:ascii="宋体" w:hAnsi="宋体"/>
          <w:b/>
          <w:color w:val="000000"/>
          <w:sz w:val="30"/>
          <w:szCs w:val="30"/>
        </w:rPr>
        <w:t xml:space="preserve">  </w:t>
      </w:r>
    </w:p>
    <w:p>
      <w:pPr>
        <w:rPr>
          <w:rFonts w:ascii="宋体" w:hAnsi="宋体"/>
          <w:b/>
          <w:color w:val="000000"/>
          <w:sz w:val="30"/>
          <w:szCs w:val="30"/>
        </w:rPr>
      </w:pPr>
      <w:r>
        <w:rPr>
          <w:rFonts w:hint="eastAsia" w:ascii="宋体" w:hAnsi="宋体"/>
          <w:b/>
          <w:color w:val="000000"/>
          <w:sz w:val="30"/>
          <w:szCs w:val="30"/>
        </w:rPr>
        <w:t xml:space="preserve">     </w:t>
      </w:r>
    </w:p>
    <w:p>
      <w:pPr>
        <w:rPr>
          <w:rFonts w:ascii="宋体" w:hAnsi="宋体"/>
          <w:b/>
          <w:color w:val="000000"/>
          <w:sz w:val="30"/>
          <w:szCs w:val="30"/>
        </w:rPr>
      </w:pPr>
      <w:r>
        <w:rPr>
          <w:rFonts w:hint="eastAsia" w:ascii="宋体" w:hAnsi="宋体"/>
          <w:b/>
          <w:color w:val="000000"/>
          <w:sz w:val="30"/>
          <w:szCs w:val="30"/>
        </w:rPr>
        <w:t>在    年    月     日     时     分之前不得启封</w:t>
      </w:r>
    </w:p>
    <w:p>
      <w:pPr>
        <w:rPr>
          <w:rFonts w:ascii="宋体" w:hAnsi="宋体"/>
          <w:color w:val="000000"/>
          <w:sz w:val="30"/>
          <w:szCs w:val="30"/>
        </w:rPr>
      </w:pPr>
      <w:bookmarkStart w:id="144" w:name="_Toc297472067"/>
    </w:p>
    <w:p>
      <w:pPr>
        <w:rPr>
          <w:rFonts w:ascii="宋体" w:hAnsi="宋体"/>
          <w:b/>
          <w:color w:val="000000"/>
          <w:sz w:val="30"/>
          <w:szCs w:val="30"/>
        </w:rPr>
      </w:pPr>
    </w:p>
    <w:p>
      <w:pPr>
        <w:rPr>
          <w:rFonts w:ascii="宋体" w:hAnsi="宋体"/>
          <w:b/>
          <w:color w:val="000000"/>
          <w:sz w:val="30"/>
          <w:szCs w:val="30"/>
        </w:rPr>
      </w:pPr>
      <w:r>
        <w:rPr>
          <w:rFonts w:hint="eastAsia" w:ascii="宋体" w:hAnsi="宋体"/>
          <w:b/>
          <w:color w:val="000000"/>
          <w:sz w:val="30"/>
          <w:szCs w:val="30"/>
        </w:rPr>
        <w:t>2、报价文件外层包装封面</w:t>
      </w:r>
      <w:bookmarkEnd w:id="144"/>
    </w:p>
    <w:p>
      <w:pPr>
        <w:jc w:val="center"/>
        <w:rPr>
          <w:rFonts w:ascii="宋体" w:hAnsi="宋体"/>
          <w:b/>
          <w:color w:val="000000"/>
          <w:sz w:val="30"/>
          <w:szCs w:val="30"/>
        </w:rPr>
      </w:pPr>
      <w:bookmarkStart w:id="145" w:name="_Toc297472068"/>
      <w:r>
        <w:rPr>
          <w:rFonts w:hint="eastAsia" w:ascii="宋体" w:hAnsi="宋体"/>
          <w:b/>
          <w:color w:val="000000"/>
          <w:sz w:val="30"/>
          <w:szCs w:val="30"/>
        </w:rPr>
        <w:t>报价文件</w:t>
      </w:r>
      <w:bookmarkEnd w:id="145"/>
    </w:p>
    <w:p>
      <w:pPr>
        <w:jc w:val="center"/>
        <w:rPr>
          <w:rFonts w:ascii="宋体" w:hAnsi="宋体"/>
          <w:b/>
          <w:color w:val="000000"/>
          <w:sz w:val="30"/>
          <w:szCs w:val="30"/>
        </w:rPr>
      </w:pPr>
      <w:bookmarkStart w:id="146" w:name="_Toc297472069"/>
      <w:r>
        <w:rPr>
          <w:rFonts w:hint="eastAsia" w:ascii="宋体" w:hAnsi="宋体"/>
          <w:b/>
          <w:color w:val="000000"/>
          <w:sz w:val="30"/>
          <w:szCs w:val="30"/>
        </w:rPr>
        <w:t>(唱标时启封)</w:t>
      </w:r>
      <w:bookmarkEnd w:id="146"/>
    </w:p>
    <w:p>
      <w:pPr>
        <w:rPr>
          <w:rFonts w:ascii="宋体" w:hAnsi="宋体"/>
          <w:b/>
          <w:color w:val="000000"/>
          <w:sz w:val="30"/>
          <w:szCs w:val="30"/>
        </w:rPr>
      </w:pPr>
      <w:r>
        <w:rPr>
          <w:rFonts w:hint="eastAsia" w:ascii="宋体" w:hAnsi="宋体"/>
          <w:b/>
          <w:color w:val="000000"/>
          <w:sz w:val="30"/>
          <w:szCs w:val="30"/>
        </w:rPr>
        <w:t>项目名称：</w:t>
      </w:r>
      <w:r>
        <w:rPr>
          <w:rFonts w:hint="eastAsia" w:ascii="宋体" w:hAnsi="宋体"/>
          <w:b/>
          <w:color w:val="000000"/>
          <w:sz w:val="30"/>
          <w:szCs w:val="30"/>
          <w:u w:val="single"/>
        </w:rPr>
        <w:t xml:space="preserve">                                    </w:t>
      </w:r>
    </w:p>
    <w:p>
      <w:pPr>
        <w:rPr>
          <w:rFonts w:ascii="宋体" w:hAnsi="宋体"/>
          <w:b/>
          <w:color w:val="000000"/>
          <w:sz w:val="30"/>
          <w:szCs w:val="30"/>
        </w:rPr>
      </w:pPr>
      <w:r>
        <w:rPr>
          <w:rFonts w:hint="eastAsia" w:ascii="宋体" w:hAnsi="宋体"/>
          <w:b/>
          <w:color w:val="000000"/>
          <w:sz w:val="30"/>
          <w:szCs w:val="30"/>
        </w:rPr>
        <w:t>项目编号：</w:t>
      </w:r>
      <w:r>
        <w:rPr>
          <w:rFonts w:hint="eastAsia" w:ascii="宋体" w:hAnsi="宋体"/>
          <w:b/>
          <w:color w:val="000000"/>
          <w:sz w:val="30"/>
          <w:szCs w:val="30"/>
          <w:u w:val="single"/>
        </w:rPr>
        <w:t xml:space="preserve">                                    </w:t>
      </w:r>
    </w:p>
    <w:p>
      <w:pPr>
        <w:rPr>
          <w:rFonts w:ascii="宋体" w:hAnsi="宋体"/>
          <w:b/>
          <w:color w:val="000000"/>
          <w:sz w:val="30"/>
          <w:szCs w:val="30"/>
        </w:rPr>
      </w:pPr>
      <w:r>
        <w:rPr>
          <w:rFonts w:hint="eastAsia" w:ascii="宋体" w:hAnsi="宋体"/>
          <w:b/>
          <w:color w:val="000000"/>
          <w:sz w:val="30"/>
          <w:szCs w:val="30"/>
        </w:rPr>
        <w:t>投标人名称（盖章）：</w:t>
      </w:r>
      <w:r>
        <w:rPr>
          <w:rFonts w:hint="eastAsia" w:ascii="宋体" w:hAnsi="宋体"/>
          <w:b/>
          <w:color w:val="000000"/>
          <w:sz w:val="30"/>
          <w:szCs w:val="30"/>
          <w:u w:val="single"/>
        </w:rPr>
        <w:t xml:space="preserve">                           </w:t>
      </w:r>
      <w:r>
        <w:rPr>
          <w:rFonts w:hint="eastAsia" w:ascii="宋体" w:hAnsi="宋体"/>
          <w:b/>
          <w:color w:val="000000"/>
          <w:sz w:val="30"/>
          <w:szCs w:val="30"/>
        </w:rPr>
        <w:t xml:space="preserve">  </w:t>
      </w:r>
    </w:p>
    <w:p>
      <w:pPr>
        <w:rPr>
          <w:rFonts w:ascii="宋体" w:hAnsi="宋体"/>
          <w:b/>
          <w:color w:val="000000"/>
          <w:sz w:val="30"/>
          <w:szCs w:val="30"/>
        </w:rPr>
      </w:pPr>
    </w:p>
    <w:p>
      <w:pPr>
        <w:rPr>
          <w:rFonts w:ascii="宋体" w:hAnsi="宋体"/>
          <w:b/>
          <w:color w:val="000000"/>
          <w:sz w:val="30"/>
          <w:szCs w:val="30"/>
        </w:rPr>
      </w:pPr>
      <w:r>
        <w:rPr>
          <w:rFonts w:hint="eastAsia" w:ascii="宋体" w:hAnsi="宋体"/>
          <w:b/>
          <w:color w:val="000000"/>
          <w:sz w:val="30"/>
          <w:szCs w:val="30"/>
        </w:rPr>
        <w:t>在    年    月     日     时     分之前不得启封</w:t>
      </w:r>
    </w:p>
    <w:p>
      <w:pPr>
        <w:jc w:val="center"/>
        <w:rPr>
          <w:rFonts w:hint="eastAsia" w:ascii="宋体" w:hAnsi="宋体"/>
          <w:b/>
          <w:color w:val="000000"/>
          <w:sz w:val="30"/>
          <w:szCs w:val="30"/>
        </w:rPr>
      </w:pPr>
      <w:r>
        <w:rPr>
          <w:rFonts w:hint="eastAsia" w:ascii="宋体" w:hAnsi="宋体"/>
          <w:b/>
          <w:color w:val="000000"/>
          <w:sz w:val="30"/>
          <w:szCs w:val="30"/>
        </w:rPr>
        <w:br w:type="page"/>
      </w:r>
    </w:p>
    <w:p>
      <w:pPr>
        <w:jc w:val="center"/>
        <w:outlineLvl w:val="1"/>
        <w:rPr>
          <w:rFonts w:hint="eastAsia"/>
          <w:b/>
          <w:bCs/>
          <w:sz w:val="28"/>
          <w:szCs w:val="28"/>
          <w:lang w:val="en-US" w:eastAsia="zh-CN"/>
        </w:rPr>
      </w:pPr>
      <w:r>
        <w:rPr>
          <w:rFonts w:hint="eastAsia"/>
          <w:b/>
          <w:bCs/>
          <w:sz w:val="28"/>
          <w:szCs w:val="28"/>
          <w:lang w:val="en-US" w:eastAsia="zh-CN"/>
        </w:rPr>
        <w:t>八、投标文件封面（格式供参考）</w:t>
      </w:r>
    </w:p>
    <w:p>
      <w:pPr>
        <w:jc w:val="center"/>
        <w:rPr>
          <w:rFonts w:hint="eastAsia"/>
          <w:b/>
          <w:bCs/>
          <w:sz w:val="28"/>
          <w:szCs w:val="28"/>
          <w:lang w:val="en-US" w:eastAsia="zh-CN"/>
        </w:rPr>
      </w:pPr>
    </w:p>
    <w:p>
      <w:pPr>
        <w:autoSpaceDE w:val="0"/>
        <w:autoSpaceDN w:val="0"/>
        <w:adjustRightInd w:val="0"/>
        <w:spacing w:line="360" w:lineRule="auto"/>
        <w:rPr>
          <w:rFonts w:ascii="宋体" w:hAnsi="宋体"/>
          <w:b/>
          <w:color w:val="000000"/>
          <w:sz w:val="32"/>
          <w:szCs w:val="32"/>
        </w:rPr>
      </w:pPr>
      <w:r>
        <w:rPr>
          <w:rFonts w:hint="eastAsia" w:ascii="宋体" w:hAnsi="宋体"/>
          <w:b/>
          <w:color w:val="000000"/>
          <w:sz w:val="32"/>
          <w:szCs w:val="32"/>
        </w:rPr>
        <w:t>1、</w:t>
      </w:r>
      <w:r>
        <w:rPr>
          <w:rFonts w:hint="eastAsia" w:ascii="宋体" w:hAnsi="宋体"/>
          <w:b/>
          <w:color w:val="000000"/>
          <w:sz w:val="32"/>
          <w:szCs w:val="32"/>
          <w:lang w:eastAsia="zh-CN"/>
        </w:rPr>
        <w:t>资信</w:t>
      </w:r>
      <w:r>
        <w:rPr>
          <w:rFonts w:hint="eastAsia" w:ascii="宋体" w:hAnsi="宋体"/>
          <w:b/>
          <w:color w:val="000000"/>
          <w:sz w:val="32"/>
          <w:szCs w:val="32"/>
        </w:rPr>
        <w:t>/技术文件封面</w:t>
      </w:r>
    </w:p>
    <w:p>
      <w:pPr>
        <w:autoSpaceDE w:val="0"/>
        <w:autoSpaceDN w:val="0"/>
        <w:adjustRightInd w:val="0"/>
        <w:spacing w:line="360" w:lineRule="auto"/>
        <w:jc w:val="right"/>
        <w:rPr>
          <w:rFonts w:ascii="宋体" w:hAnsi="宋体"/>
          <w:b/>
          <w:color w:val="000000"/>
          <w:sz w:val="28"/>
          <w:szCs w:val="28"/>
        </w:rPr>
      </w:pPr>
      <w:r>
        <w:rPr>
          <w:rFonts w:hint="eastAsia" w:ascii="宋体" w:hAnsi="宋体"/>
          <w:b/>
          <w:color w:val="000000"/>
          <w:sz w:val="32"/>
          <w:szCs w:val="32"/>
        </w:rPr>
        <w:t xml:space="preserve">                </w:t>
      </w:r>
      <w:r>
        <w:rPr>
          <w:rFonts w:hint="eastAsia" w:ascii="宋体" w:hAnsi="宋体"/>
          <w:b/>
          <w:color w:val="000000"/>
          <w:sz w:val="28"/>
          <w:szCs w:val="28"/>
        </w:rPr>
        <w:t>正本/副本</w:t>
      </w:r>
    </w:p>
    <w:p>
      <w:pPr>
        <w:autoSpaceDE w:val="0"/>
        <w:autoSpaceDN w:val="0"/>
        <w:adjustRightInd w:val="0"/>
        <w:spacing w:line="360" w:lineRule="auto"/>
        <w:ind w:firstLine="4160" w:firstLineChars="1295"/>
        <w:rPr>
          <w:rFonts w:ascii="宋体" w:hAnsi="宋体"/>
          <w:b/>
          <w:color w:val="000000"/>
          <w:sz w:val="32"/>
          <w:szCs w:val="32"/>
        </w:rPr>
      </w:pPr>
      <w:r>
        <w:rPr>
          <w:rFonts w:hint="eastAsia" w:ascii="宋体" w:hAnsi="宋体"/>
          <w:b/>
          <w:color w:val="000000"/>
          <w:sz w:val="32"/>
          <w:szCs w:val="32"/>
          <w:lang w:eastAsia="zh-CN"/>
        </w:rPr>
        <w:t>资信</w:t>
      </w:r>
      <w:r>
        <w:rPr>
          <w:rFonts w:hint="eastAsia" w:ascii="宋体" w:hAnsi="宋体"/>
          <w:b/>
          <w:color w:val="000000"/>
          <w:sz w:val="32"/>
          <w:szCs w:val="32"/>
        </w:rPr>
        <w:t>/技术文件</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color w:val="000000"/>
          <w:sz w:val="32"/>
          <w:szCs w:val="32"/>
          <w:u w:val="single"/>
        </w:rPr>
        <w:t xml:space="preserve">                                    </w:t>
      </w:r>
    </w:p>
    <w:p>
      <w:pPr>
        <w:autoSpaceDE w:val="0"/>
        <w:autoSpaceDN w:val="0"/>
        <w:adjustRightInd w:val="0"/>
        <w:spacing w:line="360" w:lineRule="auto"/>
        <w:rPr>
          <w:rFonts w:ascii="宋体" w:hAnsi="宋体"/>
          <w:b/>
          <w:color w:val="000000"/>
          <w:sz w:val="32"/>
          <w:szCs w:val="32"/>
        </w:rPr>
      </w:pPr>
      <w:r>
        <w:rPr>
          <w:rFonts w:hint="eastAsia" w:ascii="宋体" w:hAnsi="宋体"/>
          <w:b/>
          <w:color w:val="000000"/>
          <w:sz w:val="32"/>
          <w:szCs w:val="32"/>
        </w:rPr>
        <w:t>项目编号：</w:t>
      </w:r>
      <w:r>
        <w:rPr>
          <w:rFonts w:hint="eastAsia" w:ascii="宋体" w:hAnsi="宋体"/>
          <w:b/>
          <w:color w:val="000000"/>
          <w:sz w:val="32"/>
          <w:szCs w:val="32"/>
          <w:u w:val="single"/>
        </w:rPr>
        <w:t xml:space="preserve">                                    </w:t>
      </w:r>
    </w:p>
    <w:p>
      <w:pPr>
        <w:autoSpaceDE w:val="0"/>
        <w:autoSpaceDN w:val="0"/>
        <w:adjustRightInd w:val="0"/>
        <w:spacing w:line="360" w:lineRule="auto"/>
        <w:rPr>
          <w:rFonts w:ascii="宋体" w:hAnsi="宋体"/>
          <w:b/>
          <w:color w:val="000000"/>
          <w:sz w:val="32"/>
          <w:szCs w:val="32"/>
        </w:rPr>
      </w:pPr>
      <w:r>
        <w:rPr>
          <w:rFonts w:hint="eastAsia" w:ascii="宋体" w:hAnsi="宋体"/>
          <w:b/>
          <w:color w:val="000000"/>
          <w:sz w:val="32"/>
          <w:szCs w:val="32"/>
        </w:rPr>
        <w:t>投标人名称（盖章）：</w:t>
      </w:r>
      <w:r>
        <w:rPr>
          <w:rFonts w:hint="eastAsia" w:ascii="宋体" w:hAnsi="宋体"/>
          <w:b/>
          <w:color w:val="000000"/>
          <w:sz w:val="32"/>
          <w:szCs w:val="32"/>
          <w:u w:val="single"/>
        </w:rPr>
        <w:t xml:space="preserve">                           </w:t>
      </w:r>
      <w:r>
        <w:rPr>
          <w:rFonts w:hint="eastAsia" w:ascii="宋体" w:hAnsi="宋体"/>
          <w:b/>
          <w:color w:val="000000"/>
          <w:sz w:val="32"/>
          <w:szCs w:val="32"/>
        </w:rPr>
        <w:t xml:space="preserve">  </w:t>
      </w:r>
    </w:p>
    <w:p>
      <w:pPr>
        <w:autoSpaceDE w:val="0"/>
        <w:autoSpaceDN w:val="0"/>
        <w:adjustRightInd w:val="0"/>
        <w:spacing w:line="360" w:lineRule="auto"/>
        <w:rPr>
          <w:rFonts w:ascii="宋体" w:hAnsi="宋体"/>
          <w:b/>
          <w:color w:val="000000"/>
          <w:sz w:val="32"/>
          <w:szCs w:val="32"/>
        </w:rPr>
      </w:pPr>
      <w:r>
        <w:rPr>
          <w:rFonts w:hint="eastAsia" w:ascii="宋体" w:hAnsi="宋体"/>
          <w:b/>
          <w:color w:val="000000"/>
          <w:sz w:val="32"/>
          <w:szCs w:val="32"/>
        </w:rPr>
        <w:t xml:space="preserve">法定代表人或授权代表签字： </w:t>
      </w:r>
      <w:r>
        <w:rPr>
          <w:rFonts w:hint="eastAsia" w:ascii="宋体" w:hAnsi="宋体"/>
          <w:b/>
          <w:color w:val="000000"/>
          <w:sz w:val="32"/>
          <w:szCs w:val="32"/>
          <w:u w:val="single"/>
        </w:rPr>
        <w:t xml:space="preserve">                             </w:t>
      </w:r>
      <w:r>
        <w:rPr>
          <w:rFonts w:hint="eastAsia" w:ascii="宋体" w:hAnsi="宋体"/>
          <w:b/>
          <w:color w:val="000000"/>
          <w:sz w:val="32"/>
          <w:szCs w:val="32"/>
        </w:rPr>
        <w:t xml:space="preserve">       </w:t>
      </w:r>
    </w:p>
    <w:p>
      <w:pPr>
        <w:autoSpaceDE w:val="0"/>
        <w:autoSpaceDN w:val="0"/>
        <w:adjustRightInd w:val="0"/>
        <w:spacing w:line="360" w:lineRule="auto"/>
        <w:rPr>
          <w:rFonts w:ascii="宋体" w:hAnsi="宋体"/>
          <w:b/>
          <w:color w:val="000000"/>
          <w:sz w:val="28"/>
          <w:szCs w:val="28"/>
        </w:rPr>
      </w:pPr>
    </w:p>
    <w:p>
      <w:pPr>
        <w:autoSpaceDE w:val="0"/>
        <w:autoSpaceDN w:val="0"/>
        <w:adjustRightInd w:val="0"/>
        <w:spacing w:line="360" w:lineRule="auto"/>
        <w:rPr>
          <w:rFonts w:ascii="宋体" w:hAnsi="宋体"/>
          <w:b/>
          <w:color w:val="000000"/>
          <w:sz w:val="32"/>
          <w:szCs w:val="32"/>
        </w:rPr>
      </w:pPr>
      <w:r>
        <w:rPr>
          <w:rFonts w:hint="eastAsia" w:ascii="宋体" w:hAnsi="宋体"/>
          <w:b/>
          <w:color w:val="000000"/>
          <w:sz w:val="32"/>
          <w:szCs w:val="32"/>
        </w:rPr>
        <w:t>2、报价文件封面</w:t>
      </w:r>
    </w:p>
    <w:p>
      <w:pPr>
        <w:autoSpaceDE w:val="0"/>
        <w:autoSpaceDN w:val="0"/>
        <w:adjustRightInd w:val="0"/>
        <w:spacing w:line="360" w:lineRule="auto"/>
        <w:jc w:val="right"/>
        <w:rPr>
          <w:rFonts w:ascii="宋体" w:hAnsi="宋体"/>
          <w:b/>
          <w:color w:val="000000"/>
          <w:sz w:val="28"/>
          <w:szCs w:val="28"/>
        </w:rPr>
      </w:pPr>
      <w:r>
        <w:rPr>
          <w:rFonts w:hint="eastAsia" w:ascii="宋体" w:hAnsi="宋体"/>
          <w:b/>
          <w:color w:val="000000"/>
          <w:sz w:val="32"/>
          <w:szCs w:val="32"/>
        </w:rPr>
        <w:t xml:space="preserve">                   </w:t>
      </w:r>
      <w:r>
        <w:rPr>
          <w:rFonts w:hint="eastAsia" w:ascii="宋体" w:hAnsi="宋体"/>
          <w:b/>
          <w:color w:val="000000"/>
          <w:sz w:val="24"/>
        </w:rPr>
        <w:t xml:space="preserve"> </w:t>
      </w:r>
      <w:r>
        <w:rPr>
          <w:rFonts w:hint="eastAsia" w:ascii="宋体" w:hAnsi="宋体"/>
          <w:b/>
          <w:color w:val="000000"/>
          <w:sz w:val="28"/>
          <w:szCs w:val="28"/>
        </w:rPr>
        <w:t>正本/副本</w:t>
      </w:r>
    </w:p>
    <w:p>
      <w:pPr>
        <w:autoSpaceDE w:val="0"/>
        <w:autoSpaceDN w:val="0"/>
        <w:adjustRightInd w:val="0"/>
        <w:spacing w:line="360" w:lineRule="auto"/>
        <w:jc w:val="center"/>
        <w:rPr>
          <w:rFonts w:ascii="宋体" w:hAnsi="宋体"/>
          <w:b/>
          <w:color w:val="000000"/>
          <w:sz w:val="32"/>
          <w:szCs w:val="32"/>
        </w:rPr>
      </w:pPr>
      <w:r>
        <w:rPr>
          <w:rFonts w:hint="eastAsia" w:ascii="宋体" w:hAnsi="宋体"/>
          <w:b/>
          <w:color w:val="000000"/>
          <w:sz w:val="32"/>
          <w:szCs w:val="32"/>
        </w:rPr>
        <w:t>报价文件</w:t>
      </w:r>
    </w:p>
    <w:p>
      <w:pPr>
        <w:autoSpaceDE w:val="0"/>
        <w:autoSpaceDN w:val="0"/>
        <w:adjustRightIn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color w:val="000000"/>
          <w:sz w:val="32"/>
          <w:szCs w:val="32"/>
          <w:u w:val="single"/>
        </w:rPr>
        <w:t xml:space="preserve">                                    </w:t>
      </w:r>
    </w:p>
    <w:p>
      <w:pPr>
        <w:autoSpaceDE w:val="0"/>
        <w:autoSpaceDN w:val="0"/>
        <w:adjustRightInd w:val="0"/>
        <w:spacing w:line="360" w:lineRule="auto"/>
        <w:rPr>
          <w:rFonts w:ascii="宋体" w:hAnsi="宋体"/>
          <w:b/>
          <w:color w:val="000000"/>
          <w:sz w:val="32"/>
          <w:szCs w:val="32"/>
        </w:rPr>
      </w:pPr>
      <w:r>
        <w:rPr>
          <w:rFonts w:hint="eastAsia" w:ascii="宋体" w:hAnsi="宋体"/>
          <w:b/>
          <w:color w:val="000000"/>
          <w:sz w:val="32"/>
          <w:szCs w:val="32"/>
        </w:rPr>
        <w:t>项目编号：</w:t>
      </w:r>
      <w:r>
        <w:rPr>
          <w:rFonts w:hint="eastAsia" w:ascii="宋体" w:hAnsi="宋体"/>
          <w:b/>
          <w:color w:val="000000"/>
          <w:sz w:val="32"/>
          <w:szCs w:val="32"/>
          <w:u w:val="single"/>
        </w:rPr>
        <w:t xml:space="preserve">                                    </w:t>
      </w:r>
    </w:p>
    <w:p>
      <w:pPr>
        <w:autoSpaceDE w:val="0"/>
        <w:autoSpaceDN w:val="0"/>
        <w:adjustRightInd w:val="0"/>
        <w:spacing w:line="360" w:lineRule="auto"/>
        <w:rPr>
          <w:rFonts w:ascii="宋体" w:hAnsi="宋体"/>
          <w:b/>
          <w:color w:val="000000"/>
          <w:sz w:val="32"/>
          <w:szCs w:val="32"/>
        </w:rPr>
      </w:pPr>
      <w:r>
        <w:rPr>
          <w:rFonts w:hint="eastAsia" w:ascii="宋体" w:hAnsi="宋体"/>
          <w:b/>
          <w:color w:val="000000"/>
          <w:sz w:val="32"/>
          <w:szCs w:val="32"/>
        </w:rPr>
        <w:t>投标人名称（盖章）：</w:t>
      </w:r>
      <w:r>
        <w:rPr>
          <w:rFonts w:hint="eastAsia" w:ascii="宋体" w:hAnsi="宋体"/>
          <w:b/>
          <w:color w:val="000000"/>
          <w:sz w:val="32"/>
          <w:szCs w:val="32"/>
          <w:u w:val="single"/>
        </w:rPr>
        <w:t xml:space="preserve">                           </w:t>
      </w:r>
      <w:r>
        <w:rPr>
          <w:rFonts w:hint="eastAsia" w:ascii="宋体" w:hAnsi="宋体"/>
          <w:b/>
          <w:color w:val="000000"/>
          <w:sz w:val="32"/>
          <w:szCs w:val="32"/>
        </w:rPr>
        <w:t xml:space="preserve">  </w:t>
      </w:r>
      <w:bookmarkStart w:id="147" w:name="_Toc339872474"/>
      <w:bookmarkStart w:id="148" w:name="_Toc328381298"/>
      <w:bookmarkStart w:id="149" w:name="_Toc297472070"/>
      <w:bookmarkStart w:id="150" w:name="_Toc303256692"/>
      <w:bookmarkStart w:id="151" w:name="_Toc297472831"/>
    </w:p>
    <w:p>
      <w:pPr>
        <w:autoSpaceDE w:val="0"/>
        <w:autoSpaceDN w:val="0"/>
        <w:adjustRightInd w:val="0"/>
        <w:spacing w:line="360" w:lineRule="auto"/>
        <w:rPr>
          <w:rFonts w:ascii="宋体" w:hAnsi="宋体"/>
          <w:b/>
          <w:color w:val="000000"/>
          <w:sz w:val="32"/>
          <w:szCs w:val="32"/>
        </w:rPr>
      </w:pPr>
      <w:r>
        <w:rPr>
          <w:rFonts w:hint="eastAsia" w:ascii="宋体" w:hAnsi="宋体"/>
          <w:b/>
          <w:color w:val="000000"/>
          <w:sz w:val="32"/>
          <w:szCs w:val="32"/>
        </w:rPr>
        <w:t>法定代表人或授权代表签字：</w:t>
      </w:r>
      <w:bookmarkEnd w:id="147"/>
      <w:r>
        <w:rPr>
          <w:rFonts w:hint="eastAsia" w:ascii="宋体" w:hAnsi="宋体"/>
          <w:b/>
          <w:color w:val="000000"/>
          <w:sz w:val="32"/>
          <w:szCs w:val="32"/>
          <w:u w:val="single"/>
        </w:rPr>
        <w:t xml:space="preserve">                              </w:t>
      </w:r>
      <w:r>
        <w:rPr>
          <w:rFonts w:hint="eastAsia" w:ascii="宋体" w:hAnsi="宋体"/>
          <w:b/>
          <w:color w:val="000000"/>
          <w:sz w:val="32"/>
          <w:szCs w:val="32"/>
        </w:rPr>
        <w:t xml:space="preserve"> </w:t>
      </w:r>
      <w:bookmarkEnd w:id="148"/>
      <w:bookmarkEnd w:id="149"/>
      <w:bookmarkEnd w:id="150"/>
      <w:bookmarkEnd w:id="151"/>
    </w:p>
    <w:p>
      <w:pPr>
        <w:rPr>
          <w:rFonts w:ascii="宋体" w:hAnsi="宋体"/>
          <w:color w:val="000000"/>
          <w:szCs w:val="21"/>
        </w:rPr>
      </w:pPr>
    </w:p>
    <w:p>
      <w:pPr>
        <w:rPr>
          <w:rFonts w:hint="eastAsia"/>
          <w:szCs w:val="21"/>
        </w:rPr>
      </w:pPr>
    </w:p>
    <w:p/>
    <w:sectPr>
      <w:headerReference r:id="rId7" w:type="default"/>
      <w:footerReference r:id="rId8" w:type="default"/>
      <w:pgSz w:w="11906" w:h="16838"/>
      <w:pgMar w:top="1304" w:right="1565" w:bottom="1247" w:left="1344"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宋体-18030">
    <w:altName w:val="微软雅黑"/>
    <w:panose1 w:val="00000000000000000000"/>
    <w:charset w:val="00"/>
    <w:family w:val="auto"/>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8"/>
        <w:rFonts w:ascii="Times New Roman" w:hAnsi="Times New Roman" w:eastAsia="宋体" w:cs="Times New Roman"/>
        <w:kern w:val="2"/>
        <w:sz w:val="21"/>
        <w:szCs w:val="24"/>
        <w:lang w:val="en-US" w:eastAsia="zh-CN" w:bidi="ar-SA"/>
      </w:rPr>
      <w:instrText xml:space="preserve"> PAGE </w:instrText>
    </w:r>
    <w:r>
      <w:rPr>
        <w:rFonts w:ascii="Times New Roman" w:hAnsi="Times New Roman" w:eastAsia="宋体" w:cs="Times New Roman"/>
        <w:kern w:val="2"/>
        <w:sz w:val="18"/>
        <w:szCs w:val="18"/>
        <w:lang w:val="en-US" w:eastAsia="zh-CN" w:bidi="ar-SA"/>
      </w:rPr>
      <w:fldChar w:fldCharType="separate"/>
    </w:r>
    <w:r>
      <w:rPr>
        <w:rStyle w:val="18"/>
        <w:rFonts w:ascii="Times New Roman" w:hAnsi="Times New Roman" w:eastAsia="宋体" w:cs="Times New Roman"/>
        <w:kern w:val="2"/>
        <w:sz w:val="21"/>
        <w:szCs w:val="24"/>
        <w:lang w:val="en-US" w:eastAsia="zh-CN" w:bidi="ar-SA"/>
      </w:rPr>
      <w:t>- 21 -</w:t>
    </w:r>
    <w:r>
      <w:rPr>
        <w:rFonts w:ascii="Times New Roman" w:hAnsi="Times New Roman" w:eastAsia="宋体" w:cs="Times New Roman"/>
        <w:kern w:val="2"/>
        <w:sz w:val="18"/>
        <w:szCs w:val="18"/>
        <w:lang w:val="en-US" w:eastAsia="zh-CN"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8"/>
      </w:rPr>
      <w:instrText xml:space="preserve"> PAGE </w:instrText>
    </w:r>
    <w:r>
      <w:fldChar w:fldCharType="separate"/>
    </w:r>
    <w:r>
      <w:rPr>
        <w:rStyle w:val="18"/>
      </w:rPr>
      <w:t>- 21 -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FCE33"/>
    <w:multiLevelType w:val="singleLevel"/>
    <w:tmpl w:val="B66FCE33"/>
    <w:lvl w:ilvl="0" w:tentative="0">
      <w:start w:val="2"/>
      <w:numFmt w:val="chineseCounting"/>
      <w:suff w:val="nothing"/>
      <w:lvlText w:val="%1、"/>
      <w:lvlJc w:val="left"/>
      <w:rPr>
        <w:rFonts w:hint="eastAsia"/>
      </w:rPr>
    </w:lvl>
  </w:abstractNum>
  <w:abstractNum w:abstractNumId="1">
    <w:nsid w:val="CDE17591"/>
    <w:multiLevelType w:val="singleLevel"/>
    <w:tmpl w:val="CDE17591"/>
    <w:lvl w:ilvl="0" w:tentative="0">
      <w:start w:val="1"/>
      <w:numFmt w:val="decimal"/>
      <w:suff w:val="nothing"/>
      <w:lvlText w:val="%1."/>
      <w:lvlJc w:val="left"/>
      <w:pPr>
        <w:ind w:left="425" w:hanging="425"/>
      </w:pPr>
      <w:rPr>
        <w:rFonts w:hint="default"/>
      </w:rPr>
    </w:lvl>
  </w:abstractNum>
  <w:abstractNum w:abstractNumId="2">
    <w:nsid w:val="DEF328BB"/>
    <w:multiLevelType w:val="singleLevel"/>
    <w:tmpl w:val="DEF328BB"/>
    <w:lvl w:ilvl="0" w:tentative="0">
      <w:start w:val="1"/>
      <w:numFmt w:val="decimal"/>
      <w:suff w:val="nothing"/>
      <w:lvlText w:val="%1、"/>
      <w:lvlJc w:val="left"/>
    </w:lvl>
  </w:abstractNum>
  <w:abstractNum w:abstractNumId="3">
    <w:nsid w:val="FEBC52E2"/>
    <w:multiLevelType w:val="singleLevel"/>
    <w:tmpl w:val="FEBC52E2"/>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NjkzNWJiM2RmZTU5NTliZTJkNjRmZGUyZWIzZjcifQ=="/>
  </w:docVars>
  <w:rsids>
    <w:rsidRoot w:val="13E33BFC"/>
    <w:rsid w:val="07EA0493"/>
    <w:rsid w:val="08906230"/>
    <w:rsid w:val="0933662B"/>
    <w:rsid w:val="0E491F35"/>
    <w:rsid w:val="0E7F534C"/>
    <w:rsid w:val="11F33019"/>
    <w:rsid w:val="13E33BFC"/>
    <w:rsid w:val="15F71C67"/>
    <w:rsid w:val="17255A22"/>
    <w:rsid w:val="1DC34523"/>
    <w:rsid w:val="1FE74B0E"/>
    <w:rsid w:val="24927C90"/>
    <w:rsid w:val="258663C7"/>
    <w:rsid w:val="25B6156F"/>
    <w:rsid w:val="28C83B50"/>
    <w:rsid w:val="2AC112A5"/>
    <w:rsid w:val="2ACD0EB1"/>
    <w:rsid w:val="2D1348BF"/>
    <w:rsid w:val="3178339C"/>
    <w:rsid w:val="31807FCD"/>
    <w:rsid w:val="3AED0BAA"/>
    <w:rsid w:val="44B6565C"/>
    <w:rsid w:val="46826791"/>
    <w:rsid w:val="55D342C0"/>
    <w:rsid w:val="56ED76BE"/>
    <w:rsid w:val="57B123DF"/>
    <w:rsid w:val="68CA3660"/>
    <w:rsid w:val="68FF1379"/>
    <w:rsid w:val="70815B81"/>
    <w:rsid w:val="7B334AA7"/>
    <w:rsid w:val="7D451493"/>
    <w:rsid w:val="D96FD9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adjustRightInd w:val="0"/>
      <w:snapToGrid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spacing w:before="0" w:beforeAutospacing="1" w:after="0" w:afterAutospacing="1"/>
      <w:jc w:val="center"/>
      <w:outlineLvl w:val="0"/>
    </w:pPr>
    <w:rPr>
      <w:rFonts w:hint="default" w:ascii="宋体" w:hAnsi="宋体" w:cs="宋体"/>
      <w:b/>
      <w:bCs/>
      <w:kern w:val="44"/>
      <w:sz w:val="36"/>
      <w:szCs w:val="48"/>
    </w:rPr>
  </w:style>
  <w:style w:type="paragraph" w:styleId="3">
    <w:name w:val="heading 2"/>
    <w:basedOn w:val="1"/>
    <w:next w:val="1"/>
    <w:link w:val="25"/>
    <w:unhideWhenUsed/>
    <w:qFormat/>
    <w:uiPriority w:val="0"/>
    <w:pPr>
      <w:keepNext/>
      <w:keepLines/>
      <w:spacing w:beforeLines="0" w:beforeAutospacing="0" w:afterLines="0" w:afterAutospacing="0" w:line="360" w:lineRule="auto"/>
      <w:jc w:val="center"/>
      <w:outlineLvl w:val="1"/>
    </w:pPr>
    <w:rPr>
      <w:rFonts w:ascii="Arial" w:hAnsi="Arial" w:eastAsia="黑体" w:cs="Times New Roman"/>
      <w:b/>
      <w:sz w:val="32"/>
      <w:szCs w:val="24"/>
    </w:rPr>
  </w:style>
  <w:style w:type="paragraph" w:styleId="4">
    <w:name w:val="heading 3"/>
    <w:basedOn w:val="1"/>
    <w:next w:val="1"/>
    <w:unhideWhenUsed/>
    <w:qFormat/>
    <w:uiPriority w:val="0"/>
    <w:pPr>
      <w:keepNext/>
      <w:keepLines/>
      <w:spacing w:beforeLines="0" w:beforeAutospacing="0" w:afterLines="0" w:afterAutospacing="0" w:line="360" w:lineRule="auto"/>
      <w:jc w:val="center"/>
      <w:outlineLvl w:val="2"/>
    </w:pPr>
    <w:rPr>
      <w:b/>
      <w:sz w:val="32"/>
    </w:rPr>
  </w:style>
  <w:style w:type="paragraph" w:styleId="5">
    <w:name w:val="heading 4"/>
    <w:basedOn w:val="1"/>
    <w:next w:val="1"/>
    <w:autoRedefine/>
    <w:unhideWhenUsed/>
    <w:qFormat/>
    <w:uiPriority w:val="0"/>
    <w:pPr>
      <w:keepNext/>
      <w:spacing w:beforeLines="0" w:beforeAutospacing="0" w:afterLines="0" w:afterAutospacing="0" w:line="360" w:lineRule="auto"/>
      <w:outlineLvl w:val="3"/>
    </w:pPr>
    <w:rPr>
      <w:rFonts w:ascii="Arial" w:hAnsi="Arial" w:eastAsia="黑体"/>
      <w:b/>
    </w:rPr>
  </w:style>
  <w:style w:type="character" w:default="1" w:styleId="17">
    <w:name w:val="Default Paragraph Font"/>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autoRedefine/>
    <w:qFormat/>
    <w:uiPriority w:val="0"/>
    <w:rPr>
      <w:sz w:val="32"/>
    </w:rPr>
  </w:style>
  <w:style w:type="paragraph" w:styleId="9">
    <w:name w:val="Body Text Indent"/>
    <w:basedOn w:val="1"/>
    <w:qFormat/>
    <w:uiPriority w:val="0"/>
    <w:pPr>
      <w:ind w:firstLine="645"/>
    </w:pPr>
    <w:rPr>
      <w:rFonts w:ascii="Calibri" w:hAnsi="Calibri"/>
      <w:sz w:val="28"/>
      <w:szCs w:val="22"/>
    </w:rPr>
  </w:style>
  <w:style w:type="paragraph" w:styleId="10">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widowControl/>
      <w:spacing w:after="100" w:line="276" w:lineRule="auto"/>
      <w:jc w:val="left"/>
    </w:pPr>
    <w:rPr>
      <w:rFonts w:ascii="Calibri" w:hAnsi="Calibri"/>
      <w:kern w:val="0"/>
      <w:sz w:val="22"/>
      <w:szCs w:val="22"/>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2"/>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qFormat/>
    <w:uiPriority w:val="99"/>
    <w:rPr>
      <w:color w:val="0000FF"/>
      <w:u w:val="single"/>
    </w:rPr>
  </w:style>
  <w:style w:type="paragraph" w:customStyle="1" w:styleId="20">
    <w:name w:val="样式1"/>
    <w:basedOn w:val="2"/>
    <w:qFormat/>
    <w:uiPriority w:val="0"/>
    <w:pPr>
      <w:spacing w:line="576" w:lineRule="auto"/>
      <w:jc w:val="center"/>
    </w:pPr>
    <w:rPr>
      <w:rFonts w:ascii="Calibri" w:hAnsi="Calibri" w:eastAsia="黑体"/>
    </w:rPr>
  </w:style>
  <w:style w:type="paragraph" w:customStyle="1" w:styleId="21">
    <w:name w:val="[Normal]"/>
    <w:qFormat/>
    <w:uiPriority w:val="0"/>
    <w:rPr>
      <w:rFonts w:ascii="宋体" w:hAnsi="宋体" w:eastAsia="宋体" w:cs="Times New Roman"/>
      <w:sz w:val="24"/>
      <w:szCs w:val="22"/>
      <w:lang w:val="zh-CN" w:eastAsia="zh-CN" w:bidi="ar-SA"/>
    </w:rPr>
  </w:style>
  <w:style w:type="paragraph" w:customStyle="1" w:styleId="22">
    <w:name w:val="正文2"/>
    <w:basedOn w:val="1"/>
    <w:qFormat/>
    <w:uiPriority w:val="0"/>
    <w:pPr>
      <w:spacing w:before="156" w:line="360" w:lineRule="auto"/>
      <w:ind w:firstLine="510" w:firstLineChars="200"/>
    </w:pPr>
    <w:rPr>
      <w:rFonts w:ascii="Calibri" w:hAnsi="Calibri"/>
      <w:sz w:val="24"/>
      <w:szCs w:val="20"/>
    </w:rPr>
  </w:style>
  <w:style w:type="paragraph" w:customStyle="1" w:styleId="23">
    <w:name w:val="List Paragraph"/>
    <w:basedOn w:val="1"/>
    <w:qFormat/>
    <w:uiPriority w:val="99"/>
    <w:pPr>
      <w:ind w:firstLine="420" w:firstLineChars="200"/>
    </w:pPr>
  </w:style>
  <w:style w:type="paragraph" w:customStyle="1" w:styleId="24">
    <w:name w:val="正文文本首行缩进 2"/>
    <w:basedOn w:val="9"/>
    <w:qFormat/>
    <w:uiPriority w:val="99"/>
    <w:pPr>
      <w:spacing w:line="200" w:lineRule="atLeast"/>
      <w:ind w:firstLine="420"/>
    </w:pPr>
    <w:rPr>
      <w:rFonts w:hAnsi="Courier New"/>
      <w:spacing w:val="-4"/>
      <w:sz w:val="18"/>
    </w:rPr>
  </w:style>
  <w:style w:type="character" w:customStyle="1" w:styleId="25">
    <w:name w:val="标题 2 Char"/>
    <w:link w:val="3"/>
    <w:qFormat/>
    <w:uiPriority w:val="0"/>
    <w:rPr>
      <w:rFonts w:ascii="Arial" w:hAnsi="Arial" w:eastAsia="黑体" w:cs="Times New Roman"/>
      <w:b/>
      <w:sz w:val="32"/>
      <w:szCs w:val="24"/>
    </w:rPr>
  </w:style>
  <w:style w:type="paragraph" w:customStyle="1" w:styleId="26">
    <w:name w:val="标题 21"/>
    <w:basedOn w:val="27"/>
    <w:next w:val="27"/>
    <w:qFormat/>
    <w:uiPriority w:val="0"/>
    <w:pPr>
      <w:keepNext/>
      <w:keepLines/>
      <w:spacing w:before="260" w:after="260" w:line="413" w:lineRule="auto"/>
      <w:outlineLvl w:val="1"/>
    </w:pPr>
    <w:rPr>
      <w:rFonts w:ascii="Cambria" w:hAnsi="Cambria"/>
      <w:b/>
      <w:bCs/>
      <w:sz w:val="32"/>
      <w:szCs w:val="32"/>
    </w:rPr>
  </w:style>
  <w:style w:type="paragraph" w:customStyle="1" w:styleId="27">
    <w:name w:val="正文11"/>
    <w:next w:val="26"/>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sz w:val="21"/>
      <w:szCs w:val="22"/>
      <w:lang w:val="en-US" w:eastAsia="zh-CN" w:bidi="ar-SA"/>
    </w:rPr>
  </w:style>
  <w:style w:type="paragraph" w:customStyle="1" w:styleId="28">
    <w:name w:val="页脚1"/>
    <w:basedOn w:val="27"/>
    <w:qFormat/>
    <w:uiPriority w:val="0"/>
    <w:pPr>
      <w:tabs>
        <w:tab w:val="center" w:pos="4153"/>
        <w:tab w:val="right" w:pos="8306"/>
      </w:tabs>
      <w:jc w:val="left"/>
    </w:pPr>
    <w:rPr>
      <w:sz w:val="18"/>
      <w:szCs w:val="18"/>
    </w:rPr>
  </w:style>
  <w:style w:type="paragraph" w:customStyle="1" w:styleId="29">
    <w:name w:val="正文缩进1"/>
    <w:basedOn w:val="1"/>
    <w:next w:val="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2">
    <w:name w:val="纯文本1"/>
    <w:basedOn w:val="1"/>
    <w:autoRedefine/>
    <w:qFormat/>
    <w:uiPriority w:val="0"/>
    <w:pPr>
      <w:adjustRightInd/>
    </w:pPr>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16352</Words>
  <Characters>16982</Characters>
  <Lines>0</Lines>
  <Paragraphs>0</Paragraphs>
  <TotalTime>75</TotalTime>
  <ScaleCrop>false</ScaleCrop>
  <LinksUpToDate>false</LinksUpToDate>
  <CharactersWithSpaces>19004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2025-05-27T14:47:00Z</dcterms:created>
  <dc:creator>不吃萝卜的兔子</dc:creator>
  <cp:lastModifiedBy>12121</cp:lastModifiedBy>
  <dcterms:modified xsi:type="dcterms:W3CDTF">2025-06-12T04:24:54Z</dcterms:modified>
  <dc:title>未来科技城网络安全防护服务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3AC81FD4734B45FFAA2D499D9CC0F987_13</vt:lpwstr>
  </property>
  <property fmtid="{D5CDD505-2E9C-101B-9397-08002B2CF9AE}" pid="4" name="KSOTemplateDocerSaveRecord">
    <vt:lpwstr>eyJoZGlkIjoiMjIxZTU5YWVmMjEwMjIyYmEzZTE1YjA1ZmE0NDQyZjMiLCJ1c2VySWQiOiIyMzA0NTQ1NjEifQ==</vt:lpwstr>
  </property>
</Properties>
</file>