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4A38B">
      <w:pPr>
        <w:spacing w:line="360" w:lineRule="auto"/>
        <w:jc w:val="center"/>
        <w:rPr>
          <w:rFonts w:asciiTheme="minorEastAsia" w:hAnsiTheme="minorEastAsia" w:eastAsiaTheme="minorEastAsia" w:cstheme="minorEastAsia"/>
          <w:color w:val="auto"/>
          <w:sz w:val="48"/>
          <w:szCs w:val="48"/>
          <w:highlight w:val="none"/>
        </w:rPr>
      </w:pPr>
    </w:p>
    <w:p w14:paraId="160FBDF2">
      <w:pPr>
        <w:wordWrap w:val="0"/>
        <w:spacing w:line="360" w:lineRule="auto"/>
        <w:jc w:val="center"/>
        <w:rPr>
          <w:rFonts w:asciiTheme="minorEastAsia" w:hAnsiTheme="minorEastAsia" w:eastAsiaTheme="minorEastAsia" w:cstheme="minorEastAsia"/>
          <w:color w:val="auto"/>
          <w:sz w:val="48"/>
          <w:szCs w:val="48"/>
          <w:highlight w:val="none"/>
        </w:rPr>
      </w:pPr>
      <w:bookmarkStart w:id="0" w:name="_Hlt67893495"/>
      <w:bookmarkEnd w:id="0"/>
      <w:r>
        <w:rPr>
          <w:rFonts w:hint="eastAsia" w:asciiTheme="minorEastAsia" w:hAnsiTheme="minorEastAsia" w:eastAsiaTheme="minorEastAsia" w:cstheme="minorEastAsia"/>
          <w:color w:val="auto"/>
          <w:sz w:val="48"/>
          <w:szCs w:val="48"/>
          <w:highlight w:val="none"/>
        </w:rPr>
        <w:t>2025年蜜桃音乐节舞美搭建及宣传服务项目竞争性磋商采购文件</w:t>
      </w:r>
    </w:p>
    <w:p w14:paraId="457B8344">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（电子交易项目）</w:t>
      </w:r>
    </w:p>
    <w:p w14:paraId="291FCE37">
      <w:pPr>
        <w:snapToGrid w:val="0"/>
        <w:spacing w:line="360" w:lineRule="auto"/>
        <w:jc w:val="cente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编号：FHGQZB(202</w:t>
      </w:r>
      <w:r>
        <w:rPr>
          <w:rFonts w:hint="eastAsia" w:asciiTheme="minorEastAsia" w:hAnsiTheme="minorEastAsia" w:eastAsiaTheme="minorEastAsia" w:cstheme="minorEastAsia"/>
          <w:color w:val="auto"/>
          <w:sz w:val="30"/>
          <w:szCs w:val="30"/>
          <w:highlight w:val="none"/>
          <w:lang w:val="en-US" w:eastAsia="zh-CN"/>
        </w:rPr>
        <w:t>5</w:t>
      </w:r>
      <w:r>
        <w:rPr>
          <w:rFonts w:hint="eastAsia" w:asciiTheme="minorEastAsia" w:hAnsiTheme="minorEastAsia" w:eastAsiaTheme="minorEastAsia" w:cstheme="minorEastAsia"/>
          <w:color w:val="auto"/>
          <w:sz w:val="30"/>
          <w:szCs w:val="30"/>
          <w:highlight w:val="none"/>
        </w:rPr>
        <w:t>)</w:t>
      </w:r>
      <w:r>
        <w:rPr>
          <w:rFonts w:hint="eastAsia" w:asciiTheme="minorEastAsia" w:hAnsiTheme="minorEastAsia" w:eastAsiaTheme="minorEastAsia" w:cstheme="minorEastAsia"/>
          <w:color w:val="auto"/>
          <w:sz w:val="30"/>
          <w:szCs w:val="30"/>
          <w:highlight w:val="none"/>
          <w:lang w:val="en-US" w:eastAsia="zh-CN"/>
        </w:rPr>
        <w:t>186</w:t>
      </w:r>
      <w:r>
        <w:rPr>
          <w:rFonts w:hint="eastAsia" w:asciiTheme="minorEastAsia" w:hAnsiTheme="minorEastAsia" w:eastAsiaTheme="minorEastAsia" w:cstheme="minorEastAsia"/>
          <w:color w:val="auto"/>
          <w:sz w:val="30"/>
          <w:szCs w:val="30"/>
          <w:highlight w:val="none"/>
        </w:rPr>
        <w:t>D</w:t>
      </w:r>
      <w:r>
        <w:rPr>
          <w:rFonts w:hint="eastAsia" w:asciiTheme="minorEastAsia" w:hAnsiTheme="minorEastAsia" w:eastAsiaTheme="minorEastAsia" w:cstheme="minorEastAsia"/>
          <w:color w:val="auto"/>
          <w:sz w:val="30"/>
          <w:szCs w:val="30"/>
          <w:highlight w:val="none"/>
          <w:lang w:val="en-US" w:eastAsia="zh-CN"/>
        </w:rPr>
        <w:t>-1</w:t>
      </w:r>
      <w:r>
        <w:rPr>
          <w:rFonts w:hint="eastAsia" w:asciiTheme="minorEastAsia" w:hAnsiTheme="minorEastAsia" w:eastAsiaTheme="minorEastAsia" w:cstheme="minorEastAsia"/>
          <w:color w:val="auto"/>
          <w:sz w:val="30"/>
          <w:szCs w:val="30"/>
          <w:highlight w:val="none"/>
        </w:rPr>
        <w:t xml:space="preserve"> </w:t>
      </w:r>
    </w:p>
    <w:p w14:paraId="038F57EC">
      <w:pPr>
        <w:spacing w:line="360" w:lineRule="auto"/>
        <w:rPr>
          <w:rFonts w:asciiTheme="minorEastAsia" w:hAnsiTheme="minorEastAsia" w:eastAsiaTheme="minorEastAsia" w:cstheme="minorEastAsia"/>
          <w:color w:val="auto"/>
          <w:sz w:val="28"/>
          <w:szCs w:val="20"/>
          <w:highlight w:val="none"/>
        </w:rPr>
      </w:pPr>
    </w:p>
    <w:p w14:paraId="51C99B8D">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31BCA3C6">
      <w:pPr>
        <w:spacing w:line="360" w:lineRule="auto"/>
        <w:jc w:val="center"/>
        <w:rPr>
          <w:rFonts w:asciiTheme="minorEastAsia" w:hAnsiTheme="minorEastAsia" w:eastAsiaTheme="minorEastAsia" w:cstheme="minorEastAsia"/>
          <w:b/>
          <w:color w:val="auto"/>
          <w:sz w:val="44"/>
          <w:szCs w:val="44"/>
          <w:highlight w:val="none"/>
        </w:rPr>
      </w:pPr>
    </w:p>
    <w:p w14:paraId="6CE5C7A4">
      <w:pPr>
        <w:pStyle w:val="33"/>
        <w:ind w:firstLine="560"/>
        <w:rPr>
          <w:rFonts w:asciiTheme="minorEastAsia" w:hAnsiTheme="minorEastAsia" w:eastAsiaTheme="minorEastAsia" w:cstheme="minorEastAsia"/>
          <w:color w:val="auto"/>
          <w:highlight w:val="none"/>
        </w:rPr>
      </w:pPr>
    </w:p>
    <w:p w14:paraId="54197B09">
      <w:pPr>
        <w:pStyle w:val="33"/>
        <w:ind w:firstLine="560"/>
        <w:rPr>
          <w:rFonts w:asciiTheme="minorEastAsia" w:hAnsiTheme="minorEastAsia" w:eastAsiaTheme="minorEastAsia" w:cstheme="minorEastAsia"/>
          <w:color w:val="auto"/>
          <w:highlight w:val="none"/>
        </w:rPr>
      </w:pPr>
    </w:p>
    <w:p w14:paraId="76DF1391">
      <w:pPr>
        <w:spacing w:line="360" w:lineRule="auto"/>
        <w:rPr>
          <w:rFonts w:asciiTheme="minorEastAsia" w:hAnsiTheme="minorEastAsia" w:eastAsiaTheme="minorEastAsia" w:cstheme="minorEastAsia"/>
          <w:color w:val="auto"/>
          <w:sz w:val="24"/>
          <w:highlight w:val="none"/>
        </w:rPr>
      </w:pPr>
    </w:p>
    <w:p w14:paraId="2597D2E3">
      <w:pPr>
        <w:pStyle w:val="9"/>
        <w:rPr>
          <w:color w:val="auto"/>
          <w:highlight w:val="none"/>
        </w:rPr>
      </w:pPr>
    </w:p>
    <w:p w14:paraId="2EA0F782">
      <w:pPr>
        <w:spacing w:line="360" w:lineRule="auto"/>
        <w:jc w:val="center"/>
        <w:rPr>
          <w:rFonts w:asciiTheme="minorEastAsia" w:hAnsiTheme="minorEastAsia" w:eastAsiaTheme="minorEastAsia" w:cstheme="minorEastAsia"/>
          <w:color w:val="auto"/>
          <w:sz w:val="24"/>
          <w:highlight w:val="none"/>
        </w:rPr>
      </w:pPr>
    </w:p>
    <w:p w14:paraId="0B9A03F7">
      <w:pPr>
        <w:spacing w:line="360" w:lineRule="auto"/>
        <w:rPr>
          <w:rFonts w:asciiTheme="minorEastAsia" w:hAnsiTheme="minorEastAsia" w:eastAsiaTheme="minorEastAsia" w:cstheme="minorEastAsia"/>
          <w:color w:val="auto"/>
          <w:sz w:val="32"/>
          <w:szCs w:val="32"/>
          <w:highlight w:val="none"/>
        </w:rPr>
      </w:pPr>
    </w:p>
    <w:p w14:paraId="2D71794C">
      <w:pPr>
        <w:spacing w:line="360" w:lineRule="auto"/>
        <w:rPr>
          <w:rFonts w:asciiTheme="minorEastAsia" w:hAnsiTheme="minorEastAsia" w:eastAsiaTheme="minorEastAsia" w:cstheme="minorEastAsia"/>
          <w:color w:val="auto"/>
          <w:sz w:val="32"/>
          <w:szCs w:val="32"/>
          <w:highlight w:val="none"/>
        </w:rPr>
      </w:pPr>
    </w:p>
    <w:p w14:paraId="15DAB370">
      <w:pPr>
        <w:pStyle w:val="33"/>
        <w:ind w:firstLine="560"/>
        <w:rPr>
          <w:color w:val="auto"/>
          <w:highlight w:val="none"/>
        </w:rPr>
      </w:pPr>
    </w:p>
    <w:p w14:paraId="41A0C1CD">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bCs/>
          <w:color w:val="auto"/>
          <w:sz w:val="32"/>
          <w:szCs w:val="32"/>
          <w:highlight w:val="none"/>
        </w:rPr>
        <w:t xml:space="preserve">宁波市奉化区棒集文化旅游发展有限公司 </w:t>
      </w:r>
    </w:p>
    <w:p w14:paraId="03E4E288">
      <w:pPr>
        <w:snapToGrid w:val="0"/>
        <w:spacing w:line="360" w:lineRule="auto"/>
        <w:ind w:firstLine="960" w:firstLineChars="300"/>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采购代理机构：宁波日月欣项目管理有限公司</w:t>
      </w:r>
    </w:p>
    <w:p w14:paraId="6B8899E8">
      <w:pPr>
        <w:snapToGrid w:val="0"/>
        <w:spacing w:line="360" w:lineRule="auto"/>
        <w:jc w:val="center"/>
        <w:rPr>
          <w:rFonts w:hint="default"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六月</w:t>
      </w:r>
    </w:p>
    <w:p w14:paraId="12C28EF4">
      <w:pPr>
        <w:spacing w:line="360" w:lineRule="auto"/>
        <w:jc w:val="center"/>
        <w:rPr>
          <w:rFonts w:asciiTheme="minorEastAsia" w:hAnsiTheme="minorEastAsia" w:eastAsiaTheme="minorEastAsia" w:cstheme="minorEastAsia"/>
          <w:b/>
          <w:color w:val="auto"/>
          <w:sz w:val="48"/>
          <w:szCs w:val="48"/>
          <w:highlight w:val="none"/>
        </w:rPr>
      </w:pPr>
    </w:p>
    <w:p w14:paraId="7613AE2B">
      <w:pPr>
        <w:spacing w:line="360" w:lineRule="auto"/>
        <w:rPr>
          <w:rFonts w:asciiTheme="minorEastAsia" w:hAnsiTheme="minorEastAsia" w:eastAsiaTheme="minorEastAsia" w:cstheme="minorEastAsia"/>
          <w:b/>
          <w:color w:val="auto"/>
          <w:sz w:val="48"/>
          <w:szCs w:val="48"/>
          <w:highlight w:val="none"/>
        </w:rPr>
      </w:pPr>
    </w:p>
    <w:p w14:paraId="12B9741D">
      <w:pPr>
        <w:pStyle w:val="33"/>
        <w:ind w:firstLine="964"/>
        <w:rPr>
          <w:rFonts w:asciiTheme="minorEastAsia" w:hAnsiTheme="minorEastAsia" w:eastAsiaTheme="minorEastAsia" w:cstheme="minorEastAsia"/>
          <w:b/>
          <w:color w:val="auto"/>
          <w:sz w:val="48"/>
          <w:szCs w:val="48"/>
          <w:highlight w:val="none"/>
        </w:rPr>
      </w:pPr>
    </w:p>
    <w:p w14:paraId="68234115">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1AB5727">
      <w:pPr>
        <w:spacing w:line="360" w:lineRule="auto"/>
        <w:rPr>
          <w:rFonts w:asciiTheme="minorEastAsia" w:hAnsiTheme="minorEastAsia" w:eastAsiaTheme="minorEastAsia" w:cstheme="minorEastAsia"/>
          <w:color w:val="auto"/>
          <w:sz w:val="32"/>
          <w:szCs w:val="32"/>
          <w:highlight w:val="none"/>
        </w:rPr>
      </w:pPr>
    </w:p>
    <w:p w14:paraId="160AFB43">
      <w:pPr>
        <w:spacing w:line="360" w:lineRule="auto"/>
        <w:rPr>
          <w:rFonts w:asciiTheme="minorEastAsia" w:hAnsiTheme="minorEastAsia" w:eastAsiaTheme="minorEastAsia" w:cstheme="minorEastAsia"/>
          <w:color w:val="auto"/>
          <w:sz w:val="32"/>
          <w:szCs w:val="32"/>
          <w:highlight w:val="none"/>
        </w:rPr>
      </w:pPr>
    </w:p>
    <w:p w14:paraId="72A8C661">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1BA89BB4">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50874337">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F807F8E">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2BE582FA">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1C11E733">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29F06579">
      <w:pPr>
        <w:spacing w:line="360" w:lineRule="auto"/>
        <w:ind w:firstLine="549" w:firstLineChars="229"/>
        <w:rPr>
          <w:rFonts w:asciiTheme="minorEastAsia" w:hAnsiTheme="minorEastAsia" w:eastAsiaTheme="minorEastAsia" w:cstheme="minorEastAsia"/>
          <w:color w:val="auto"/>
          <w:sz w:val="24"/>
          <w:highlight w:val="none"/>
        </w:rPr>
      </w:pPr>
    </w:p>
    <w:p w14:paraId="4A9CAB7F">
      <w:pPr>
        <w:spacing w:line="360" w:lineRule="auto"/>
        <w:ind w:firstLine="549" w:firstLineChars="229"/>
        <w:rPr>
          <w:rFonts w:asciiTheme="minorEastAsia" w:hAnsiTheme="minorEastAsia" w:eastAsiaTheme="minorEastAsia" w:cstheme="minorEastAsia"/>
          <w:color w:val="auto"/>
          <w:sz w:val="24"/>
          <w:highlight w:val="none"/>
        </w:rPr>
      </w:pPr>
    </w:p>
    <w:p w14:paraId="053F0BAC">
      <w:pPr>
        <w:spacing w:line="360" w:lineRule="auto"/>
        <w:ind w:firstLine="549" w:firstLineChars="229"/>
        <w:rPr>
          <w:rFonts w:asciiTheme="minorEastAsia" w:hAnsiTheme="minorEastAsia" w:eastAsiaTheme="minorEastAsia" w:cstheme="minorEastAsia"/>
          <w:color w:val="auto"/>
          <w:sz w:val="24"/>
          <w:highlight w:val="none"/>
        </w:rPr>
      </w:pPr>
    </w:p>
    <w:p w14:paraId="628746FE">
      <w:pPr>
        <w:spacing w:line="360" w:lineRule="auto"/>
        <w:ind w:firstLine="549" w:firstLineChars="229"/>
        <w:rPr>
          <w:rFonts w:asciiTheme="minorEastAsia" w:hAnsiTheme="minorEastAsia" w:eastAsiaTheme="minorEastAsia" w:cstheme="minorEastAsia"/>
          <w:color w:val="auto"/>
          <w:sz w:val="24"/>
          <w:highlight w:val="none"/>
        </w:rPr>
      </w:pPr>
    </w:p>
    <w:p w14:paraId="7EDBF391">
      <w:pPr>
        <w:spacing w:line="360" w:lineRule="auto"/>
        <w:ind w:firstLine="549" w:firstLineChars="229"/>
        <w:rPr>
          <w:rFonts w:asciiTheme="minorEastAsia" w:hAnsiTheme="minorEastAsia" w:eastAsiaTheme="minorEastAsia" w:cstheme="minorEastAsia"/>
          <w:color w:val="auto"/>
          <w:sz w:val="24"/>
          <w:highlight w:val="none"/>
        </w:rPr>
      </w:pPr>
    </w:p>
    <w:p w14:paraId="4DAC165F">
      <w:pPr>
        <w:spacing w:line="360" w:lineRule="auto"/>
        <w:ind w:firstLine="549" w:firstLineChars="229"/>
        <w:rPr>
          <w:rFonts w:asciiTheme="minorEastAsia" w:hAnsiTheme="minorEastAsia" w:eastAsiaTheme="minorEastAsia" w:cstheme="minorEastAsia"/>
          <w:color w:val="auto"/>
          <w:sz w:val="24"/>
          <w:highlight w:val="none"/>
        </w:rPr>
      </w:pPr>
    </w:p>
    <w:p w14:paraId="3A559C44">
      <w:pPr>
        <w:spacing w:line="360" w:lineRule="auto"/>
        <w:ind w:firstLine="549" w:firstLineChars="229"/>
        <w:rPr>
          <w:rFonts w:asciiTheme="minorEastAsia" w:hAnsiTheme="minorEastAsia" w:eastAsiaTheme="minorEastAsia" w:cstheme="minorEastAsia"/>
          <w:color w:val="auto"/>
          <w:sz w:val="24"/>
          <w:highlight w:val="none"/>
        </w:rPr>
      </w:pPr>
    </w:p>
    <w:p w14:paraId="07450ECC">
      <w:pPr>
        <w:spacing w:line="360" w:lineRule="auto"/>
        <w:ind w:firstLine="549" w:firstLineChars="229"/>
        <w:rPr>
          <w:rFonts w:asciiTheme="minorEastAsia" w:hAnsiTheme="minorEastAsia" w:eastAsiaTheme="minorEastAsia" w:cstheme="minorEastAsia"/>
          <w:color w:val="auto"/>
          <w:sz w:val="24"/>
          <w:highlight w:val="none"/>
        </w:rPr>
      </w:pPr>
    </w:p>
    <w:p w14:paraId="724616CD">
      <w:pPr>
        <w:spacing w:line="360" w:lineRule="auto"/>
        <w:ind w:firstLine="549" w:firstLineChars="229"/>
        <w:rPr>
          <w:rFonts w:asciiTheme="minorEastAsia" w:hAnsiTheme="minorEastAsia" w:eastAsiaTheme="minorEastAsia" w:cstheme="minorEastAsia"/>
          <w:color w:val="auto"/>
          <w:sz w:val="24"/>
          <w:highlight w:val="none"/>
        </w:rPr>
      </w:pPr>
    </w:p>
    <w:p w14:paraId="030643FF">
      <w:pPr>
        <w:spacing w:line="360" w:lineRule="auto"/>
        <w:ind w:firstLine="549" w:firstLineChars="229"/>
        <w:rPr>
          <w:rFonts w:asciiTheme="minorEastAsia" w:hAnsiTheme="minorEastAsia" w:eastAsiaTheme="minorEastAsia" w:cstheme="minorEastAsia"/>
          <w:color w:val="auto"/>
          <w:sz w:val="24"/>
          <w:highlight w:val="none"/>
        </w:rPr>
      </w:pPr>
    </w:p>
    <w:p w14:paraId="191E544F">
      <w:pPr>
        <w:spacing w:line="360" w:lineRule="auto"/>
        <w:ind w:firstLine="549" w:firstLineChars="229"/>
        <w:rPr>
          <w:rFonts w:asciiTheme="minorEastAsia" w:hAnsiTheme="minorEastAsia" w:eastAsiaTheme="minorEastAsia" w:cstheme="minorEastAsia"/>
          <w:color w:val="auto"/>
          <w:sz w:val="24"/>
          <w:highlight w:val="none"/>
        </w:rPr>
      </w:pPr>
    </w:p>
    <w:p w14:paraId="72BB265A">
      <w:pPr>
        <w:spacing w:line="360" w:lineRule="auto"/>
        <w:ind w:firstLine="549" w:firstLineChars="229"/>
        <w:rPr>
          <w:rFonts w:asciiTheme="minorEastAsia" w:hAnsiTheme="minorEastAsia" w:eastAsiaTheme="minorEastAsia" w:cstheme="minorEastAsia"/>
          <w:color w:val="auto"/>
          <w:sz w:val="24"/>
          <w:highlight w:val="none"/>
        </w:rPr>
      </w:pPr>
    </w:p>
    <w:p w14:paraId="497897EE">
      <w:pPr>
        <w:spacing w:line="360" w:lineRule="auto"/>
        <w:rPr>
          <w:rFonts w:asciiTheme="minorEastAsia" w:hAnsiTheme="minorEastAsia" w:eastAsiaTheme="minorEastAsia" w:cstheme="minorEastAsia"/>
          <w:color w:val="auto"/>
          <w:sz w:val="24"/>
          <w:highlight w:val="none"/>
        </w:rPr>
      </w:pPr>
    </w:p>
    <w:p w14:paraId="355CDB13">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4A1FF72F">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87F5266">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lang w:val="en-US" w:eastAsia="zh-CN"/>
        </w:rPr>
        <w:t>2025年蜜桃音乐节舞美搭建及宣传服务项目的</w:t>
      </w:r>
      <w:r>
        <w:rPr>
          <w:rFonts w:hint="eastAsia" w:ascii="宋体" w:hAnsi="宋体" w:cs="宋体"/>
          <w:color w:val="auto"/>
          <w:szCs w:val="21"/>
          <w:highlight w:val="none"/>
        </w:rPr>
        <w:t xml:space="preserve">潜在供应商应在乐采云平台（ </w:t>
      </w:r>
      <w:r>
        <w:rPr>
          <w:color w:val="auto"/>
          <w:highlight w:val="none"/>
        </w:rPr>
        <w:fldChar w:fldCharType="begin"/>
      </w:r>
      <w:r>
        <w:rPr>
          <w:color w:val="auto"/>
          <w:highlight w:val="none"/>
        </w:rPr>
        <w:instrText xml:space="preserve"> HYPERLINK "https://www.zcygov.cn/）获取（下载）招标文件，并于2022年00月00日14点30分00秒" </w:instrText>
      </w:r>
      <w:r>
        <w:rPr>
          <w:color w:val="auto"/>
          <w:highlight w:val="none"/>
        </w:rPr>
        <w:fldChar w:fldCharType="separate"/>
      </w:r>
      <w:r>
        <w:rPr>
          <w:rFonts w:hint="eastAsia" w:ascii="宋体" w:hAnsi="宋体" w:cs="宋体"/>
          <w:color w:val="auto"/>
          <w:szCs w:val="21"/>
          <w:highlight w:val="none"/>
        </w:rPr>
        <w:t>https：//www.lecaiyun.com/）获取（下载）采购文件，并于202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14 </w:t>
      </w:r>
      <w:r>
        <w:rPr>
          <w:rFonts w:hint="eastAsia" w:ascii="宋体" w:hAnsi="宋体" w:cs="宋体"/>
          <w:color w:val="auto"/>
          <w:szCs w:val="21"/>
          <w:highlight w:val="none"/>
        </w:rPr>
        <w:t>点</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分00秒</w:t>
      </w:r>
      <w:r>
        <w:rPr>
          <w:rFonts w:hint="eastAsia" w:ascii="宋体" w:hAnsi="宋体" w:cs="宋体"/>
          <w:color w:val="auto"/>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递交（上传）响应文件。</w:t>
      </w:r>
    </w:p>
    <w:p w14:paraId="6BD8B0ED">
      <w:pPr>
        <w:spacing w:line="430" w:lineRule="exact"/>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055FA701">
      <w:pPr>
        <w:spacing w:line="43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项目编号：</w:t>
      </w:r>
      <w:bookmarkStart w:id="388" w:name="_GoBack"/>
      <w:r>
        <w:rPr>
          <w:rFonts w:hint="eastAsia" w:ascii="宋体" w:hAnsi="宋体" w:cs="宋体"/>
          <w:bCs/>
          <w:color w:val="auto"/>
          <w:szCs w:val="21"/>
          <w:highlight w:val="none"/>
        </w:rPr>
        <w:t>FHGQZB(202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186</w:t>
      </w:r>
      <w:r>
        <w:rPr>
          <w:rFonts w:hint="eastAsia" w:ascii="宋体" w:hAnsi="宋体" w:cs="宋体"/>
          <w:bCs/>
          <w:color w:val="auto"/>
          <w:szCs w:val="21"/>
          <w:highlight w:val="none"/>
        </w:rPr>
        <w:t>D</w:t>
      </w:r>
      <w:bookmarkEnd w:id="388"/>
      <w:r>
        <w:rPr>
          <w:rFonts w:hint="eastAsia" w:ascii="宋体" w:hAnsi="宋体" w:cs="宋体"/>
          <w:bCs/>
          <w:color w:val="auto"/>
          <w:szCs w:val="21"/>
          <w:highlight w:val="none"/>
          <w:lang w:val="en-US" w:eastAsia="zh-CN"/>
        </w:rPr>
        <w:t>-1</w:t>
      </w:r>
    </w:p>
    <w:p w14:paraId="1CEDC201">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lang w:val="en-US" w:eastAsia="zh-CN"/>
        </w:rPr>
        <w:t>2025年蜜桃音乐节舞美搭建及宣传服务项目</w:t>
      </w:r>
      <w:r>
        <w:rPr>
          <w:rFonts w:hint="eastAsia" w:ascii="宋体" w:hAnsi="宋体" w:cs="宋体"/>
          <w:bCs/>
          <w:snapToGrid w:val="0"/>
          <w:color w:val="auto"/>
          <w:szCs w:val="21"/>
          <w:highlight w:val="none"/>
        </w:rPr>
        <w:t> </w:t>
      </w:r>
    </w:p>
    <w:p w14:paraId="474051E9">
      <w:pPr>
        <w:spacing w:line="430" w:lineRule="exact"/>
        <w:ind w:firstLine="422" w:firstLineChars="200"/>
        <w:rPr>
          <w:rFonts w:ascii="Cambria" w:hAnsi="Cambria" w:cs="Cambria"/>
          <w:color w:val="auto"/>
          <w:highlight w:val="none"/>
        </w:rPr>
      </w:pPr>
      <w:r>
        <w:rPr>
          <w:rFonts w:hint="eastAsia" w:ascii="宋体" w:hAnsi="宋体" w:cs="宋体"/>
          <w:b/>
          <w:color w:val="auto"/>
          <w:szCs w:val="21"/>
          <w:highlight w:val="none"/>
        </w:rPr>
        <w:t>预算金额（元）：</w:t>
      </w:r>
      <w:r>
        <w:rPr>
          <w:rFonts w:hint="eastAsia" w:ascii="宋体" w:hAnsi="宋体" w:cs="宋体"/>
          <w:b/>
          <w:color w:val="auto"/>
          <w:szCs w:val="21"/>
          <w:highlight w:val="none"/>
          <w:lang w:val="en-US" w:eastAsia="zh-CN"/>
        </w:rPr>
        <w:t>1250000</w:t>
      </w:r>
      <w:r>
        <w:rPr>
          <w:rFonts w:hint="eastAsia" w:ascii="宋体" w:hAnsi="宋体" w:cs="宋体"/>
          <w:color w:val="auto"/>
          <w:szCs w:val="21"/>
          <w:highlight w:val="none"/>
          <w:lang w:val="en-US" w:eastAsia="zh-CN"/>
        </w:rPr>
        <w:t xml:space="preserve"> </w:t>
      </w:r>
      <w:r>
        <w:rPr>
          <w:rFonts w:hint="eastAsia" w:ascii="Cambria" w:hAnsi="Cambria" w:cs="Cambria"/>
          <w:color w:val="auto"/>
          <w:highlight w:val="none"/>
        </w:rPr>
        <w:t xml:space="preserve"> </w:t>
      </w:r>
    </w:p>
    <w:p w14:paraId="49953EED">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最高限价（元）：</w:t>
      </w:r>
      <w:r>
        <w:rPr>
          <w:rFonts w:hint="eastAsia" w:ascii="宋体" w:hAnsi="宋体" w:cs="宋体"/>
          <w:b/>
          <w:color w:val="auto"/>
          <w:szCs w:val="21"/>
          <w:highlight w:val="none"/>
          <w:lang w:val="en-US" w:eastAsia="zh-CN"/>
        </w:rPr>
        <w:t>1250000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p>
    <w:p w14:paraId="734361E5">
      <w:pPr>
        <w:pStyle w:val="7"/>
        <w:spacing w:line="430" w:lineRule="exact"/>
        <w:ind w:firstLine="422" w:firstLineChars="200"/>
        <w:rPr>
          <w:rFonts w:hAnsi="宋体" w:cs="宋体"/>
          <w:bCs/>
          <w:color w:val="auto"/>
          <w:kern w:val="2"/>
          <w:sz w:val="21"/>
          <w:szCs w:val="21"/>
          <w:highlight w:val="none"/>
        </w:rPr>
      </w:pPr>
      <w:r>
        <w:rPr>
          <w:rFonts w:hint="eastAsia" w:hAnsi="宋体" w:cs="宋体"/>
          <w:b/>
          <w:color w:val="auto"/>
          <w:sz w:val="21"/>
          <w:szCs w:val="21"/>
          <w:highlight w:val="none"/>
        </w:rPr>
        <w:t>采购需求：</w:t>
      </w:r>
      <w:r>
        <w:rPr>
          <w:rFonts w:hint="eastAsia" w:hAnsi="宋体" w:cs="宋体"/>
          <w:bCs/>
          <w:color w:val="auto"/>
          <w:kern w:val="2"/>
          <w:sz w:val="21"/>
          <w:szCs w:val="21"/>
          <w:highlight w:val="none"/>
        </w:rPr>
        <w:t>详见第三部分采购需求。</w:t>
      </w:r>
    </w:p>
    <w:p w14:paraId="085C6885">
      <w:pPr>
        <w:pStyle w:val="51"/>
        <w:spacing w:before="0" w:line="430" w:lineRule="exact"/>
        <w:ind w:firstLine="422"/>
        <w:outlineLvl w:val="2"/>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cs="宋体"/>
          <w:snapToGrid w:val="0"/>
          <w:color w:val="auto"/>
          <w:kern w:val="28"/>
          <w:sz w:val="21"/>
          <w:szCs w:val="21"/>
          <w:highlight w:val="none"/>
        </w:rPr>
        <w:t>详见磋商文件。</w:t>
      </w:r>
    </w:p>
    <w:p w14:paraId="6D9FD184">
      <w:pPr>
        <w:pStyle w:val="7"/>
        <w:spacing w:line="43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本项目接受联合体：</w:t>
      </w:r>
      <w:r>
        <w:rPr>
          <w:rFonts w:hint="eastAsia" w:hAnsi="宋体" w:cs="宋体"/>
          <w:color w:val="auto"/>
          <w:kern w:val="0"/>
          <w:sz w:val="21"/>
          <w:szCs w:val="21"/>
          <w:highlight w:val="none"/>
        </w:rPr>
        <w:t>☐</w:t>
      </w:r>
      <w:r>
        <w:rPr>
          <w:rFonts w:hint="eastAsia" w:hAnsi="宋体" w:cs="宋体"/>
          <w:b/>
          <w:color w:val="auto"/>
          <w:sz w:val="21"/>
          <w:szCs w:val="21"/>
          <w:highlight w:val="none"/>
        </w:rPr>
        <w:t>是，</w:t>
      </w:r>
      <w:r>
        <w:rPr>
          <w:rFonts w:hint="eastAsia" w:hAnsi="宋体" w:cs="宋体"/>
          <w:color w:val="auto"/>
          <w:kern w:val="0"/>
          <w:sz w:val="21"/>
          <w:szCs w:val="21"/>
          <w:highlight w:val="none"/>
        </w:rPr>
        <w:t xml:space="preserve"> </w:t>
      </w:r>
      <w:r>
        <w:rPr>
          <w:rFonts w:hint="eastAsia" w:hAnsi="宋体" w:cs="宋体"/>
          <w:color w:val="auto"/>
          <w:kern w:val="0"/>
          <w:sz w:val="21"/>
          <w:szCs w:val="21"/>
          <w:highlight w:val="none"/>
        </w:rPr>
        <w:sym w:font="Wingdings" w:char="F0FE"/>
      </w:r>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0232E9CB">
      <w:pPr>
        <w:spacing w:line="430" w:lineRule="exact"/>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0EEFC926">
      <w:pPr>
        <w:spacing w:line="430" w:lineRule="exact"/>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DCD7B75">
      <w:pPr>
        <w:spacing w:line="430" w:lineRule="exact"/>
        <w:rPr>
          <w:rFonts w:ascii="宋体" w:hAnsi="宋体" w:cs="宋体"/>
          <w:color w:val="auto"/>
          <w:szCs w:val="21"/>
          <w:highlight w:val="none"/>
        </w:rPr>
      </w:pPr>
      <w:r>
        <w:rPr>
          <w:rFonts w:hint="eastAsia" w:ascii="宋体" w:hAnsi="宋体" w:cs="宋体"/>
          <w:snapToGrid w:val="0"/>
          <w:color w:val="auto"/>
          <w:kern w:val="28"/>
          <w:szCs w:val="21"/>
          <w:highlight w:val="none"/>
        </w:rPr>
        <w:t xml:space="preserve">    2.落实政府采购政策需满足的资格要求：</w:t>
      </w:r>
      <w:r>
        <w:rPr>
          <w:rFonts w:hint="eastAsia" w:ascii="宋体" w:hAnsi="宋体" w:cs="宋体"/>
          <w:color w:val="auto"/>
          <w:szCs w:val="21"/>
          <w:highlight w:val="none"/>
        </w:rPr>
        <w:t>无；</w:t>
      </w:r>
    </w:p>
    <w:p w14:paraId="2D54AEB6">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1CA79AE4">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A0421F">
      <w:pPr>
        <w:spacing w:line="430" w:lineRule="exact"/>
        <w:rPr>
          <w:rFonts w:ascii="宋体" w:hAnsi="宋体" w:cs="宋体"/>
          <w:b/>
          <w:color w:val="auto"/>
          <w:szCs w:val="21"/>
          <w:highlight w:val="none"/>
        </w:rPr>
      </w:pPr>
      <w:r>
        <w:rPr>
          <w:rFonts w:hint="eastAsia" w:ascii="宋体" w:hAnsi="宋体" w:cs="宋体"/>
          <w:b/>
          <w:color w:val="auto"/>
          <w:szCs w:val="21"/>
          <w:highlight w:val="none"/>
        </w:rPr>
        <w:t xml:space="preserve">三、获取采购文件 </w:t>
      </w:r>
    </w:p>
    <w:p w14:paraId="4CBAC28D">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24 </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日，每天上午00：00至12：00 ，下午12：00至23：59（北京时间）。</w:t>
      </w:r>
    </w:p>
    <w:p w14:paraId="1EF7750B">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乐采云平台（https：//www.lecaiyun.com/）。</w:t>
      </w:r>
    </w:p>
    <w:p w14:paraId="36B74C4D">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供应商登录乐采云平台https：//www.lecaiyun.com/在线申请获取采购文件（进入“项目采购”应用，在获取采购文件菜单中选择项目，申请获取采购文件）。 </w:t>
      </w:r>
    </w:p>
    <w:p w14:paraId="6313C787">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50F09CE6">
      <w:pPr>
        <w:spacing w:line="430" w:lineRule="exact"/>
        <w:rPr>
          <w:rFonts w:ascii="宋体" w:hAnsi="宋体" w:cs="宋体"/>
          <w:b/>
          <w:color w:val="auto"/>
          <w:szCs w:val="21"/>
          <w:highlight w:val="none"/>
        </w:rPr>
      </w:pPr>
      <w:r>
        <w:rPr>
          <w:rFonts w:hint="eastAsia" w:ascii="宋体" w:hAnsi="宋体" w:cs="宋体"/>
          <w:b/>
          <w:color w:val="auto"/>
          <w:szCs w:val="21"/>
          <w:highlight w:val="none"/>
        </w:rPr>
        <w:t>四、首次提交响应文件截止时间、磋商时间和地点</w:t>
      </w:r>
    </w:p>
    <w:p w14:paraId="071600FA">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首次提交响应文件截止时间：</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4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14 </w:t>
      </w:r>
      <w:r>
        <w:rPr>
          <w:rFonts w:hint="eastAsia" w:ascii="宋体" w:hAnsi="宋体" w:cs="宋体"/>
          <w:color w:val="auto"/>
          <w:szCs w:val="21"/>
          <w:highlight w:val="none"/>
          <w:u w:val="single"/>
        </w:rPr>
        <w:t xml:space="preserve">点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14:paraId="349E381B">
      <w:pPr>
        <w:spacing w:line="43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提交响应文件地点（网址）：</w:t>
      </w:r>
      <w:r>
        <w:rPr>
          <w:rFonts w:hint="eastAsia" w:ascii="宋体" w:hAnsi="宋体" w:cs="宋体"/>
          <w:color w:val="auto"/>
          <w:szCs w:val="21"/>
          <w:highlight w:val="none"/>
        </w:rPr>
        <w:t>乐采云平台（https：//www.lecaiyun.com/）。</w:t>
      </w:r>
    </w:p>
    <w:p w14:paraId="031E6F3B">
      <w:pPr>
        <w:spacing w:line="430" w:lineRule="exact"/>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首次提交响应文件开启时间：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4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 xml:space="preserve"> 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szCs w:val="21"/>
          <w:highlight w:val="none"/>
        </w:rPr>
        <w:t>。</w:t>
      </w:r>
    </w:p>
    <w:p w14:paraId="7C6241A4">
      <w:pPr>
        <w:spacing w:line="43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首次提交响应文件开启地点（网址）：</w:t>
      </w:r>
      <w:r>
        <w:rPr>
          <w:rFonts w:hint="eastAsia" w:ascii="宋体" w:hAnsi="宋体" w:cs="宋体"/>
          <w:color w:val="auto"/>
          <w:szCs w:val="21"/>
          <w:highlight w:val="none"/>
        </w:rPr>
        <w:t>乐采云平台（https：//www.lecaiyun.com/）。</w:t>
      </w:r>
    </w:p>
    <w:p w14:paraId="471F160B">
      <w:pPr>
        <w:spacing w:line="43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首次提交响应文件开启地点（线下）：</w:t>
      </w:r>
      <w:r>
        <w:rPr>
          <w:rFonts w:hint="eastAsia" w:ascii="宋体" w:hAnsi="宋体" w:cs="宋体"/>
          <w:bCs/>
          <w:color w:val="auto"/>
          <w:szCs w:val="21"/>
          <w:highlight w:val="none"/>
        </w:rPr>
        <w:t>宁波市奉化区公共资源交易中心开标厅</w:t>
      </w: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（宁波市奉化区大成东路277号4楼）</w:t>
      </w:r>
    </w:p>
    <w:p w14:paraId="09A8158D">
      <w:pPr>
        <w:spacing w:line="430" w:lineRule="exact"/>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14:paraId="4D7A3751">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4A6D957C">
      <w:pPr>
        <w:spacing w:line="430" w:lineRule="exact"/>
        <w:rPr>
          <w:rFonts w:ascii="宋体" w:hAnsi="宋体" w:cs="宋体"/>
          <w:b/>
          <w:color w:val="auto"/>
          <w:szCs w:val="21"/>
          <w:highlight w:val="none"/>
        </w:rPr>
      </w:pPr>
      <w:r>
        <w:rPr>
          <w:rFonts w:hint="eastAsia" w:ascii="宋体" w:hAnsi="宋体" w:cs="宋体"/>
          <w:b/>
          <w:color w:val="auto"/>
          <w:szCs w:val="21"/>
          <w:highlight w:val="none"/>
        </w:rPr>
        <w:t>六、其他补充事宜</w:t>
      </w:r>
    </w:p>
    <w:p w14:paraId="1F2DCC0F">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1464A8C8">
      <w:pPr>
        <w:spacing w:line="43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其他事项：（1）需要落实的政府采购政策：包括节约资源、保护环境、支持创新、促进中小企业发展等。详见采购文件的第二部分总则。（2）电子交易的说明：①电子交易：本项目以数据电文形式，依托“政府采购云平台（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按照平台提示和采购文件的规定在半小时内完成在线解密。⑨具体操作指南：详见乐采云平台“服务中心-帮助文档-项目采购-操作流程-电子招投标-政府采购项目电子交易管理操作指南-供应商”。</w:t>
      </w:r>
    </w:p>
    <w:p w14:paraId="00AE5B7C">
      <w:pPr>
        <w:spacing w:line="430" w:lineRule="exact"/>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0154D46E">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402D3514">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称：宁波市奉化区棒集文化旅游发展有限公司  </w:t>
      </w:r>
    </w:p>
    <w:p w14:paraId="73C6E907">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    址：宁波市奉化区锦屏街道大成路2号5号楼5楼 </w:t>
      </w:r>
    </w:p>
    <w:p w14:paraId="68308EAD">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项目联系人（询问）：王女士      </w:t>
      </w:r>
    </w:p>
    <w:p w14:paraId="404FCC46">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项目联系电话（询问）：0574-88522856</w:t>
      </w:r>
    </w:p>
    <w:p w14:paraId="2A2ED3BE">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质疑联系人：康先生             </w:t>
      </w:r>
    </w:p>
    <w:p w14:paraId="15FBCEA0">
      <w:pPr>
        <w:spacing w:line="43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质疑联系电话：0574-88522856</w:t>
      </w:r>
    </w:p>
    <w:p w14:paraId="4FEE5519">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0B0FB20B">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5D1BDE6A">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名    称：宁波日月欣项目管理有限公司 </w:t>
      </w:r>
    </w:p>
    <w:p w14:paraId="632F4F58">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    址：宁波市奉化区岳林街道斗门路136号艾盛环球中心（润合大厦）七楼 </w:t>
      </w:r>
    </w:p>
    <w:p w14:paraId="014143D4">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    真：0574-88523198            </w:t>
      </w:r>
    </w:p>
    <w:p w14:paraId="61B18199">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张旭姣、张超颖</w:t>
      </w:r>
      <w:r>
        <w:rPr>
          <w:rFonts w:hint="eastAsia" w:ascii="宋体" w:hAnsi="宋体" w:cs="宋体"/>
          <w:color w:val="auto"/>
          <w:szCs w:val="21"/>
          <w:highlight w:val="none"/>
        </w:rPr>
        <w:t xml:space="preserve"> </w:t>
      </w:r>
    </w:p>
    <w:p w14:paraId="3DCC3C85">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项目联系方式（询问）：0574-88523198</w:t>
      </w:r>
    </w:p>
    <w:p w14:paraId="0D7F386D">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质疑联系人：邹</w:t>
      </w:r>
      <w:r>
        <w:rPr>
          <w:rFonts w:hint="eastAsia" w:ascii="宋体" w:hAnsi="宋体" w:cs="宋体"/>
          <w:color w:val="auto"/>
          <w:szCs w:val="21"/>
          <w:highlight w:val="none"/>
          <w:lang w:val="en-US" w:eastAsia="zh-CN"/>
        </w:rPr>
        <w:t>先生</w:t>
      </w:r>
      <w:r>
        <w:rPr>
          <w:rFonts w:hint="eastAsia" w:ascii="宋体" w:hAnsi="宋体" w:cs="宋体"/>
          <w:color w:val="auto"/>
          <w:szCs w:val="21"/>
          <w:highlight w:val="none"/>
        </w:rPr>
        <w:t xml:space="preserve">  </w:t>
      </w:r>
    </w:p>
    <w:p w14:paraId="331AEC2F">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质疑联系方式：0574-88523198</w:t>
      </w:r>
    </w:p>
    <w:p w14:paraId="2330AA9F">
      <w:pPr>
        <w:spacing w:line="430" w:lineRule="exact"/>
        <w:ind w:firstLine="420" w:firstLineChars="200"/>
        <w:rPr>
          <w:rFonts w:ascii="宋体" w:hAnsi="宋体" w:cs="宋体"/>
          <w:color w:val="auto"/>
          <w:szCs w:val="21"/>
          <w:highlight w:val="none"/>
        </w:rPr>
      </w:pPr>
    </w:p>
    <w:p w14:paraId="42374D37">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3.监督管理部门            </w:t>
      </w:r>
    </w:p>
    <w:p w14:paraId="431F7584">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    称：宁波市奉化区文化旅游集团有限公司纪检监察（审计）室</w:t>
      </w:r>
    </w:p>
    <w:p w14:paraId="7AC55C07">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址：浙江省宁波市奉化区锦屏街道大成路2号1986文化广场5号5楼</w:t>
      </w:r>
    </w:p>
    <w:p w14:paraId="0CDEBC55">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    真：  0574-88518721</w:t>
      </w:r>
    </w:p>
    <w:p w14:paraId="5E2FC8CD">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 ：印官浩</w:t>
      </w:r>
    </w:p>
    <w:p w14:paraId="68B81DE5">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监督投诉电话：0574-88518721       </w:t>
      </w:r>
    </w:p>
    <w:p w14:paraId="35440280">
      <w:pPr>
        <w:spacing w:line="430" w:lineRule="exact"/>
        <w:ind w:firstLine="420" w:firstLineChars="200"/>
        <w:rPr>
          <w:rFonts w:ascii="宋体" w:hAnsi="宋体" w:cs="宋体"/>
          <w:color w:val="auto"/>
          <w:szCs w:val="21"/>
          <w:highlight w:val="none"/>
        </w:rPr>
      </w:pPr>
    </w:p>
    <w:p w14:paraId="7181B2ED">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若对项目采购电子交易系统操作有疑问，可登录乐采云（https：//www.lecaiyun.com/），点击右侧咨询小采，获取采小蜜智能服务管家帮助，或拨打乐采云服务热线95763获取热线服务帮助。</w:t>
      </w:r>
    </w:p>
    <w:p w14:paraId="71FA054B">
      <w:pPr>
        <w:spacing w:line="43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76F6AF32">
      <w:pPr>
        <w:widowControl/>
        <w:jc w:val="left"/>
        <w:rPr>
          <w:rFonts w:asciiTheme="minorEastAsia" w:hAnsiTheme="minorEastAsia" w:eastAsiaTheme="minorEastAsia" w:cstheme="minorEastAsia"/>
          <w:b/>
          <w:color w:val="auto"/>
          <w:sz w:val="36"/>
          <w:szCs w:val="20"/>
          <w:highlight w:val="none"/>
        </w:rPr>
      </w:pPr>
      <w:r>
        <w:rPr>
          <w:rFonts w:asciiTheme="minorEastAsia" w:hAnsiTheme="minorEastAsia" w:eastAsiaTheme="minorEastAsia" w:cstheme="minorEastAsia"/>
          <w:b/>
          <w:color w:val="auto"/>
          <w:sz w:val="36"/>
          <w:szCs w:val="20"/>
          <w:highlight w:val="none"/>
        </w:rPr>
        <w:br w:type="page"/>
      </w:r>
    </w:p>
    <w:p w14:paraId="16EDB04B">
      <w:pPr>
        <w:jc w:val="cente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6D464F9C">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5"/>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41A1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07DBD2">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78ADAC">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94246DF">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03B4F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88" w:hRule="atLeast"/>
          <w:tblHeader/>
        </w:trPr>
        <w:tc>
          <w:tcPr>
            <w:tcW w:w="629" w:type="dxa"/>
            <w:tcBorders>
              <w:top w:val="single" w:color="auto" w:sz="4" w:space="0"/>
              <w:left w:val="single" w:color="auto" w:sz="4" w:space="0"/>
              <w:bottom w:val="single" w:color="auto" w:sz="4" w:space="0"/>
              <w:right w:val="single" w:color="auto" w:sz="4" w:space="0"/>
            </w:tcBorders>
          </w:tcPr>
          <w:p w14:paraId="389E6F1E">
            <w:pPr>
              <w:snapToGrid w:val="0"/>
              <w:spacing w:line="440" w:lineRule="exact"/>
              <w:jc w:val="center"/>
              <w:rPr>
                <w:rFonts w:ascii="宋体" w:hAnsi="宋体" w:cs="宋体"/>
                <w:color w:val="auto"/>
                <w:szCs w:val="21"/>
                <w:highlight w:val="none"/>
              </w:rPr>
            </w:pPr>
          </w:p>
          <w:p w14:paraId="26BE56AF">
            <w:pPr>
              <w:snapToGrid w:val="0"/>
              <w:spacing w:line="440" w:lineRule="exact"/>
              <w:jc w:val="center"/>
              <w:rPr>
                <w:rFonts w:ascii="宋体" w:hAnsi="宋体" w:cs="宋体"/>
                <w:color w:val="auto"/>
                <w:szCs w:val="21"/>
                <w:highlight w:val="none"/>
              </w:rPr>
            </w:pPr>
          </w:p>
          <w:p w14:paraId="6584DF55">
            <w:pPr>
              <w:snapToGrid w:val="0"/>
              <w:spacing w:line="440" w:lineRule="exact"/>
              <w:jc w:val="center"/>
              <w:rPr>
                <w:rFonts w:ascii="宋体" w:hAnsi="宋体" w:cs="宋体"/>
                <w:color w:val="auto"/>
                <w:szCs w:val="21"/>
                <w:highlight w:val="none"/>
              </w:rPr>
            </w:pPr>
          </w:p>
          <w:p w14:paraId="24F2CEAD">
            <w:pPr>
              <w:snapToGrid w:val="0"/>
              <w:spacing w:line="440" w:lineRule="exact"/>
              <w:jc w:val="center"/>
              <w:rPr>
                <w:rFonts w:ascii="宋体" w:hAnsi="宋体" w:cs="宋体"/>
                <w:color w:val="auto"/>
                <w:szCs w:val="21"/>
                <w:highlight w:val="none"/>
              </w:rPr>
            </w:pPr>
          </w:p>
          <w:p w14:paraId="30CBC912">
            <w:pPr>
              <w:snapToGrid w:val="0"/>
              <w:spacing w:line="440" w:lineRule="exact"/>
              <w:jc w:val="center"/>
              <w:rPr>
                <w:rFonts w:ascii="宋体" w:hAnsi="宋体" w:cs="宋体"/>
                <w:color w:val="auto"/>
                <w:szCs w:val="21"/>
                <w:highlight w:val="none"/>
              </w:rPr>
            </w:pPr>
          </w:p>
          <w:p w14:paraId="11113FB5">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1359F1">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07547723">
            <w:pPr>
              <w:snapToGrid w:val="0"/>
              <w:spacing w:line="440" w:lineRule="exact"/>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报价一览表是报价的唯一载体</w:t>
            </w:r>
            <w:r>
              <w:rPr>
                <w:rFonts w:hint="eastAsia" w:ascii="宋体" w:hAnsi="宋体" w:cs="宋体"/>
                <w:color w:val="auto"/>
                <w:kern w:val="0"/>
                <w:szCs w:val="21"/>
                <w:highlight w:val="none"/>
                <w:lang w:val="zh-CN"/>
              </w:rPr>
              <w:t>。投标文件中价格全部采用人民币报价。招标文件未列明，而供应商认为必需的费用也需列入报价。</w:t>
            </w:r>
          </w:p>
          <w:p w14:paraId="686F6CDB">
            <w:pPr>
              <w:snapToGrid w:val="0"/>
              <w:spacing w:line="440" w:lineRule="exact"/>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响应报价出现下列情形的，响应无效：</w:t>
            </w:r>
          </w:p>
          <w:p w14:paraId="57C62500">
            <w:pPr>
              <w:snapToGrid w:val="0"/>
              <w:spacing w:line="440" w:lineRule="exact"/>
              <w:ind w:firstLine="422" w:firstLineChars="200"/>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响应文件出现不是唯一的、有选择性响应报价的；</w:t>
            </w:r>
          </w:p>
          <w:p w14:paraId="29B6E7C0">
            <w:pPr>
              <w:snapToGrid w:val="0"/>
              <w:spacing w:line="440" w:lineRule="exact"/>
              <w:ind w:firstLine="422" w:firstLineChars="2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响应报价超过采购文件中规定的</w:t>
            </w:r>
            <w:r>
              <w:rPr>
                <w:rFonts w:hint="eastAsia" w:ascii="宋体" w:hAnsi="宋体" w:cs="宋体"/>
                <w:b/>
                <w:color w:val="auto"/>
                <w:kern w:val="0"/>
                <w:szCs w:val="21"/>
                <w:highlight w:val="none"/>
              </w:rPr>
              <w:t>预算金额或者最高限价</w:t>
            </w:r>
            <w:r>
              <w:rPr>
                <w:rFonts w:hint="eastAsia" w:ascii="宋体" w:hAnsi="宋体" w:cs="宋体"/>
                <w:b/>
                <w:color w:val="auto"/>
                <w:kern w:val="0"/>
                <w:szCs w:val="21"/>
                <w:highlight w:val="none"/>
                <w:lang w:val="zh-CN"/>
              </w:rPr>
              <w:t>的；</w:t>
            </w:r>
          </w:p>
          <w:p w14:paraId="6CD2E0CE">
            <w:pPr>
              <w:spacing w:line="440" w:lineRule="exact"/>
              <w:ind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highlight w:val="none"/>
              </w:rPr>
              <w:t>;</w:t>
            </w:r>
          </w:p>
          <w:p w14:paraId="37D660A5">
            <w:pPr>
              <w:spacing w:line="44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rPr>
              <w:t>供应商对根据修正原则修正后的报价不确认的</w:t>
            </w:r>
            <w:r>
              <w:rPr>
                <w:rFonts w:hint="eastAsia" w:ascii="宋体" w:hAnsi="宋体" w:cs="宋体"/>
                <w:b/>
                <w:color w:val="auto"/>
                <w:szCs w:val="21"/>
                <w:highlight w:val="none"/>
              </w:rPr>
              <w:t>。</w:t>
            </w:r>
          </w:p>
        </w:tc>
      </w:tr>
      <w:tr w14:paraId="634C4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DF29F9">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A43999">
            <w:pPr>
              <w:snapToGrid w:val="0"/>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3F57117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不同意分包。</w:t>
            </w:r>
          </w:p>
        </w:tc>
      </w:tr>
      <w:tr w14:paraId="534CD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291216">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5BC86A">
            <w:pPr>
              <w:snapToGrid w:val="0"/>
              <w:spacing w:line="440" w:lineRule="exact"/>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1FB63AB8">
            <w:pPr>
              <w:spacing w:line="4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资格证明文件：见采购文件第二部分9.1。</w:t>
            </w:r>
          </w:p>
          <w:p w14:paraId="213E098F">
            <w:pPr>
              <w:spacing w:line="440" w:lineRule="exac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rPr>
              <w:t>资格证明文件不全的或者不符合采购文件标明的资格要求的</w:t>
            </w:r>
            <w:r>
              <w:rPr>
                <w:rFonts w:hint="eastAsia" w:asciiTheme="majorEastAsia" w:hAnsiTheme="majorEastAsia" w:eastAsiaTheme="majorEastAsia" w:cstheme="majorEastAsia"/>
                <w:color w:val="auto"/>
                <w:szCs w:val="21"/>
                <w:highlight w:val="none"/>
                <w:lang w:val="zh-CN"/>
              </w:rPr>
              <w:t>，视为供应商不具备采购文件中规定的资格要求，响应无效。</w:t>
            </w:r>
          </w:p>
        </w:tc>
      </w:tr>
      <w:tr w14:paraId="09B7B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7" w:hRule="atLeast"/>
          <w:tblHeader/>
        </w:trPr>
        <w:tc>
          <w:tcPr>
            <w:tcW w:w="629" w:type="dxa"/>
            <w:tcBorders>
              <w:top w:val="single" w:color="auto" w:sz="4" w:space="0"/>
              <w:left w:val="single" w:color="auto" w:sz="4" w:space="0"/>
              <w:bottom w:val="single" w:color="auto" w:sz="4" w:space="0"/>
              <w:right w:val="single" w:color="auto" w:sz="4" w:space="0"/>
            </w:tcBorders>
          </w:tcPr>
          <w:p w14:paraId="0FF3FB18">
            <w:pPr>
              <w:snapToGrid w:val="0"/>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D7BE68">
            <w:pPr>
              <w:snapToGrid w:val="0"/>
              <w:spacing w:line="440" w:lineRule="exact"/>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D5E89A7">
            <w:pPr>
              <w:spacing w:line="4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不组织。</w:t>
            </w:r>
          </w:p>
        </w:tc>
      </w:tr>
      <w:tr w14:paraId="2C664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EC3515">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3634F77">
            <w:pPr>
              <w:snapToGrid w:val="0"/>
              <w:spacing w:line="340" w:lineRule="exact"/>
              <w:jc w:val="center"/>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
                <w:color w:val="auto"/>
                <w:szCs w:val="21"/>
                <w:highlight w:val="none"/>
              </w:rPr>
              <w:t>系统演示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2B339BA6">
            <w:pPr>
              <w:snapToGrid w:val="0"/>
              <w:spacing w:line="34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不组织。</w:t>
            </w:r>
          </w:p>
        </w:tc>
      </w:tr>
      <w:tr w14:paraId="71ED5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573352">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6B9F927">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6EA7AC0">
            <w:pPr>
              <w:snapToGrid w:val="0"/>
              <w:spacing w:line="440" w:lineRule="exact"/>
              <w:rPr>
                <w:rFonts w:asciiTheme="majorEastAsia" w:hAnsiTheme="majorEastAsia" w:eastAsiaTheme="majorEastAsia" w:cstheme="majorEastAsia"/>
                <w:color w:val="auto"/>
                <w:szCs w:val="21"/>
                <w:highlight w:val="none"/>
                <w:lang w:val="zh-CN"/>
              </w:rPr>
            </w:pPr>
            <w:r>
              <w:rPr>
                <w:rFonts w:hint="eastAsia" w:ascii="宋体" w:hAnsi="宋体" w:cs="宋体"/>
                <w:color w:val="auto"/>
                <w:kern w:val="0"/>
                <w:szCs w:val="21"/>
                <w:highlight w:val="none"/>
              </w:rPr>
              <w:t>标的</w:t>
            </w:r>
            <w:r>
              <w:rPr>
                <w:rFonts w:hint="eastAsia" w:asciiTheme="majorEastAsia" w:hAnsiTheme="majorEastAsia" w:eastAsiaTheme="majorEastAsia" w:cstheme="majorEastAsia"/>
                <w:color w:val="auto"/>
                <w:szCs w:val="21"/>
                <w:highlight w:val="none"/>
                <w:lang w:val="zh-CN"/>
              </w:rPr>
              <w:t>：</w:t>
            </w:r>
            <w:r>
              <w:rPr>
                <w:rFonts w:hint="eastAsia"/>
                <w:color w:val="auto"/>
                <w:highlight w:val="none"/>
              </w:rPr>
              <w:t>2025年蜜桃音乐节舞美搭建及宣传服务</w:t>
            </w:r>
          </w:p>
          <w:p w14:paraId="592766D2">
            <w:pPr>
              <w:snapToGrid w:val="0"/>
              <w:spacing w:line="440" w:lineRule="exact"/>
              <w:rPr>
                <w:rFonts w:ascii="宋体" w:hAnsi="宋体" w:cs="宋体"/>
                <w:color w:val="auto"/>
                <w:kern w:val="0"/>
                <w:szCs w:val="21"/>
                <w:highlight w:val="none"/>
              </w:rPr>
            </w:pPr>
            <w:r>
              <w:rPr>
                <w:rFonts w:hint="eastAsia" w:asciiTheme="majorEastAsia" w:hAnsiTheme="majorEastAsia" w:eastAsiaTheme="majorEastAsia" w:cstheme="majorEastAsia"/>
                <w:color w:val="auto"/>
                <w:szCs w:val="21"/>
                <w:highlight w:val="none"/>
                <w:lang w:val="zh-CN"/>
              </w:rPr>
              <w:t>属于</w:t>
            </w:r>
            <w:r>
              <w:rPr>
                <w:rFonts w:hint="eastAsia" w:asciiTheme="majorEastAsia" w:hAnsiTheme="majorEastAsia" w:eastAsiaTheme="majorEastAsia" w:cstheme="majorEastAsia"/>
                <w:color w:val="auto"/>
                <w:szCs w:val="21"/>
                <w:highlight w:val="none"/>
              </w:rPr>
              <w:t>租赁和商务服务业行业</w:t>
            </w:r>
            <w:r>
              <w:rPr>
                <w:rFonts w:hint="eastAsia" w:asciiTheme="majorEastAsia" w:hAnsiTheme="majorEastAsia" w:eastAsiaTheme="majorEastAsia" w:cstheme="majorEastAsia"/>
                <w:color w:val="auto"/>
                <w:szCs w:val="21"/>
                <w:highlight w:val="none"/>
                <w:lang w:val="zh-CN"/>
              </w:rPr>
              <w:t>；</w:t>
            </w:r>
          </w:p>
        </w:tc>
      </w:tr>
      <w:tr w14:paraId="5EBC4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4" w:hRule="atLeast"/>
          <w:tblHeader/>
        </w:trPr>
        <w:tc>
          <w:tcPr>
            <w:tcW w:w="629" w:type="dxa"/>
            <w:tcBorders>
              <w:top w:val="single" w:color="auto" w:sz="4" w:space="0"/>
              <w:left w:val="single" w:color="000000" w:sz="8" w:space="0"/>
              <w:right w:val="single" w:color="000000" w:sz="2" w:space="0"/>
            </w:tcBorders>
            <w:vAlign w:val="center"/>
          </w:tcPr>
          <w:p w14:paraId="140E2295">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843" w:type="dxa"/>
            <w:tcBorders>
              <w:top w:val="single" w:color="000000" w:sz="8" w:space="0"/>
              <w:left w:val="single" w:color="000000" w:sz="2" w:space="0"/>
              <w:right w:val="single" w:color="000000" w:sz="8" w:space="0"/>
            </w:tcBorders>
            <w:vAlign w:val="center"/>
          </w:tcPr>
          <w:p w14:paraId="36A4333B">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4ACCE733">
            <w:pPr>
              <w:spacing w:line="440" w:lineRule="exact"/>
              <w:rPr>
                <w:rFonts w:ascii="宋体" w:hAnsi="宋体" w:cs="宋体"/>
                <w:snapToGrid w:val="0"/>
                <w:color w:val="auto"/>
                <w:kern w:val="28"/>
                <w:szCs w:val="21"/>
                <w:highlight w:val="none"/>
              </w:rPr>
            </w:pPr>
            <w:r>
              <w:rPr>
                <w:rFonts w:hint="eastAsia" w:asciiTheme="majorEastAsia" w:hAnsiTheme="majorEastAsia" w:eastAsiaTheme="majorEastAsia" w:cstheme="majorEastAsia"/>
                <w:color w:val="auto"/>
                <w:szCs w:val="21"/>
                <w:highlight w:val="none"/>
              </w:rPr>
              <w:t>本招标公司根据国家发改委发改办价格[2003]857号通知和原国家计委计价格[2002]1980号文件规定的服务招标费率标准收取中标服务费，按照中标通知书确定的中标总金额，向中标人收取招标服务费。中标人应在本公司发出中标通知书5个工作日内向本招标公司支付招标服务费。招标服务费只收现金、银行票汇款、电汇款。</w:t>
            </w:r>
          </w:p>
        </w:tc>
      </w:tr>
    </w:tbl>
    <w:p w14:paraId="2DB30693">
      <w:pPr>
        <w:snapToGrid w:val="0"/>
        <w:spacing w:line="360" w:lineRule="auto"/>
        <w:jc w:val="center"/>
        <w:rPr>
          <w:rFonts w:asciiTheme="minorEastAsia" w:hAnsiTheme="minorEastAsia" w:eastAsiaTheme="minorEastAsia" w:cstheme="minorEastAsia"/>
          <w:b/>
          <w:color w:val="auto"/>
          <w:sz w:val="32"/>
          <w:szCs w:val="20"/>
          <w:highlight w:val="none"/>
        </w:rPr>
      </w:pPr>
    </w:p>
    <w:p w14:paraId="56347FF8">
      <w:pPr>
        <w:pStyle w:val="35"/>
        <w:rPr>
          <w:color w:val="auto"/>
          <w:highlight w:val="none"/>
        </w:rPr>
      </w:pPr>
      <w:r>
        <w:rPr>
          <w:color w:val="auto"/>
          <w:highlight w:val="none"/>
        </w:rPr>
        <w:br w:type="page"/>
      </w:r>
    </w:p>
    <w:bookmarkEnd w:id="10"/>
    <w:p w14:paraId="30ABC5E8">
      <w:pPr>
        <w:spacing w:line="440" w:lineRule="exact"/>
        <w:ind w:firstLine="3845" w:firstLineChars="1197"/>
        <w:outlineLvl w:val="0"/>
        <w:rPr>
          <w:rFonts w:asciiTheme="minorEastAsia" w:hAnsiTheme="minorEastAsia" w:eastAsiaTheme="minorEastAsia" w:cstheme="minorEastAsia"/>
          <w:b/>
          <w:color w:val="auto"/>
          <w:sz w:val="32"/>
          <w:szCs w:val="20"/>
          <w:highlight w:val="none"/>
        </w:rPr>
      </w:pPr>
      <w:bookmarkStart w:id="11" w:name="_Toc164416483"/>
      <w:bookmarkStart w:id="12" w:name="第三部分"/>
      <w:bookmarkStart w:id="13" w:name="第四部分"/>
      <w:r>
        <w:rPr>
          <w:rFonts w:hint="eastAsia" w:asciiTheme="minorEastAsia" w:hAnsiTheme="minorEastAsia" w:eastAsiaTheme="minorEastAsia" w:cstheme="minorEastAsia"/>
          <w:b/>
          <w:color w:val="auto"/>
          <w:sz w:val="32"/>
          <w:szCs w:val="20"/>
          <w:highlight w:val="none"/>
        </w:rPr>
        <w:t>一、总则</w:t>
      </w:r>
    </w:p>
    <w:p w14:paraId="1F7A91C7">
      <w:pPr>
        <w:numPr>
          <w:ilvl w:val="0"/>
          <w:numId w:val="1"/>
        </w:numPr>
        <w:adjustRightInd w:val="0"/>
        <w:snapToGrid w:val="0"/>
        <w:spacing w:beforeLines="50" w:line="440" w:lineRule="exact"/>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适用范围</w:t>
      </w:r>
    </w:p>
    <w:p w14:paraId="063161FC">
      <w:pPr>
        <w:snapToGri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本竞争性磋商文件适用于该项目的采购、响应、响应文件开启、资格审查及信用信息查询、评审、成交供应商确定、合同、验收等行为（法律、法规另有规定的，从其规定）。</w:t>
      </w:r>
    </w:p>
    <w:p w14:paraId="4300B47B">
      <w:pPr>
        <w:numPr>
          <w:ilvl w:val="0"/>
          <w:numId w:val="1"/>
        </w:numPr>
        <w:adjustRightInd w:val="0"/>
        <w:snapToGrid w:val="0"/>
        <w:spacing w:beforeLines="50" w:line="440" w:lineRule="exact"/>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定义</w:t>
      </w:r>
    </w:p>
    <w:p w14:paraId="10702254">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“采购人”系指竞争性磋商公告中载明的本项目的采购人。</w:t>
      </w:r>
    </w:p>
    <w:p w14:paraId="7FF901B4">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“采购代理机构”系指竞争性磋商公告中载明的本项目</w:t>
      </w:r>
    </w:p>
    <w:p w14:paraId="33013200">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的采购代理机构。</w:t>
      </w:r>
    </w:p>
    <w:p w14:paraId="6F40E5DD">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 “</w:t>
      </w:r>
      <w:r>
        <w:rPr>
          <w:rFonts w:hint="eastAsia" w:asciiTheme="minorEastAsia" w:hAnsiTheme="minorEastAsia" w:eastAsiaTheme="minorEastAsia" w:cstheme="minorEastAsia"/>
          <w:color w:val="auto"/>
          <w:szCs w:val="21"/>
          <w:highlight w:val="none"/>
          <w:lang w:val="zh-CN"/>
        </w:rPr>
        <w:t>供应商</w:t>
      </w:r>
      <w:r>
        <w:rPr>
          <w:rFonts w:hint="eastAsia" w:asciiTheme="minorEastAsia" w:hAnsiTheme="minorEastAsia" w:eastAsiaTheme="minorEastAsia" w:cstheme="minorEastAsia"/>
          <w:color w:val="auto"/>
          <w:szCs w:val="21"/>
          <w:highlight w:val="none"/>
        </w:rPr>
        <w:t>”系指是指响应采购、参加磋商竞争的法人、其他组织或者自然人。</w:t>
      </w:r>
    </w:p>
    <w:p w14:paraId="337551DB">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 “负责人”系指法人企业的法定负责人，或其他组织为法律、行政法规规定代表单位行使职权的主要负责人，或自然人本人。</w:t>
      </w:r>
    </w:p>
    <w:p w14:paraId="3C7467C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2.5“电子签名”系指数据电文中以电子形式所含、所附用于识别签名人身份并表明签名人认可其中内容的数据；“公章”系指单位法定名称章。</w:t>
      </w:r>
    </w:p>
    <w:p w14:paraId="05A227E8">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2.6“电子交易平台”是指本项目政府采购活动所依托的政府采购云平台（https://</w:t>
      </w:r>
      <w:r>
        <w:rPr>
          <w:rFonts w:hint="eastAsia" w:ascii="宋体" w:hAnsi="宋体" w:cs="宋体"/>
          <w:color w:val="auto"/>
          <w:szCs w:val="21"/>
          <w:highlight w:val="none"/>
        </w:rPr>
        <w:t>www.lecaiyun.com</w:t>
      </w:r>
      <w:r>
        <w:rPr>
          <w:rFonts w:hint="eastAsia" w:asciiTheme="minorEastAsia" w:hAnsiTheme="minorEastAsia" w:eastAsiaTheme="minorEastAsia" w:cstheme="minorEastAsia"/>
          <w:color w:val="auto"/>
          <w:szCs w:val="21"/>
          <w:highlight w:val="none"/>
        </w:rPr>
        <w:t>/）。</w:t>
      </w:r>
    </w:p>
    <w:p w14:paraId="432AF106">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 “▲” 系指实质性要求条款，“</w:t>
      </w:r>
      <w:r>
        <w:rPr>
          <w:rFonts w:hint="eastAsia" w:hAnsi="宋体" w:cs="宋体"/>
          <w:color w:val="auto"/>
          <w:kern w:val="0"/>
          <w:szCs w:val="21"/>
          <w:highlight w:val="none"/>
        </w:rPr>
        <w:sym w:font="Wingdings" w:char="F0FE"/>
      </w:r>
      <w:r>
        <w:rPr>
          <w:rFonts w:hint="eastAsia" w:asciiTheme="minorEastAsia" w:hAnsiTheme="minorEastAsia" w:eastAsiaTheme="minorEastAsia" w:cstheme="minorEastAsia"/>
          <w:color w:val="auto"/>
          <w:szCs w:val="21"/>
          <w:highlight w:val="none"/>
        </w:rPr>
        <w:t>” 系指适用本项目的要求，“</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szCs w:val="21"/>
          <w:highlight w:val="none"/>
        </w:rPr>
        <w:t>” 系指不适用本项目的要求。</w:t>
      </w:r>
    </w:p>
    <w:p w14:paraId="334B956D">
      <w:pPr>
        <w:numPr>
          <w:ilvl w:val="0"/>
          <w:numId w:val="1"/>
        </w:numPr>
        <w:adjustRightInd w:val="0"/>
        <w:snapToGrid w:val="0"/>
        <w:spacing w:beforeLines="50" w:line="440" w:lineRule="exact"/>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采购项目需要落实的政府采购政策</w:t>
      </w:r>
    </w:p>
    <w:p w14:paraId="19AAC71B">
      <w:pPr>
        <w:numPr>
          <w:ilvl w:val="1"/>
          <w:numId w:val="2"/>
        </w:num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本项目不允许采购进口产品。</w:t>
      </w:r>
    </w:p>
    <w:p w14:paraId="1A986838">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 支持绿色发展</w:t>
      </w:r>
    </w:p>
    <w:p w14:paraId="2549D1D0">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3.3支持中小企业发展</w:t>
      </w:r>
    </w:p>
    <w:p w14:paraId="2C1251ED">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468155">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符合中小企业划分标准的个体工商户，在政府采购活动中视同中小企业。</w:t>
      </w:r>
    </w:p>
    <w:p w14:paraId="75FE730D">
      <w:pPr>
        <w:widowControl/>
        <w:spacing w:line="44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3.3.2</w:t>
      </w:r>
      <w:r>
        <w:rPr>
          <w:rFonts w:hint="eastAsia" w:asciiTheme="minorEastAsia" w:hAnsiTheme="minorEastAsia" w:eastAsiaTheme="minorEastAsia" w:cstheme="minorEastAsia"/>
          <w:color w:val="auto"/>
          <w:kern w:val="0"/>
          <w:szCs w:val="21"/>
          <w:highlight w:val="none"/>
        </w:rPr>
        <w:t>在政府采购活动中，</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提供的货物、工程或者服务符合下列情形的，享受中小企业扶持政策：</w:t>
      </w:r>
    </w:p>
    <w:p w14:paraId="31E36C08">
      <w:pPr>
        <w:widowControl/>
        <w:spacing w:line="44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3.3.2.1在货物采购项目中，货物由中小企业制造，即货物由中小企业生产且使用该中小企业商号或者注册商标；</w:t>
      </w:r>
    </w:p>
    <w:p w14:paraId="7C70399A">
      <w:pPr>
        <w:widowControl/>
        <w:spacing w:line="44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3.3.2.2在工程采购项目中，工程由中小企业承建，即工程施工单位为中小企业；</w:t>
      </w:r>
    </w:p>
    <w:p w14:paraId="493FF01E">
      <w:pPr>
        <w:widowControl/>
        <w:spacing w:line="44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3.3.2.3在服务采购项目中，服务由中小企业承接，即提供服务的人员为中小企业依照《中华人民共和国劳动合同法》订立劳动合同的从业人员。</w:t>
      </w:r>
    </w:p>
    <w:p w14:paraId="7DF57975">
      <w:pPr>
        <w:widowControl/>
        <w:spacing w:line="44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在货物采购项目中，</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提供的货物既有中小企业制造货物，也有大型企业制造货物的，不享受中小企业扶持政策。</w:t>
      </w:r>
    </w:p>
    <w:p w14:paraId="0F35A075">
      <w:pPr>
        <w:widowControl/>
        <w:spacing w:line="44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以联合体形式参加政府采购活动，联合体各方均为中小企业的，联合体视同中小企业。其中，联合体各方均为小微企业的，联合体视同小微企业。</w:t>
      </w:r>
    </w:p>
    <w:p w14:paraId="327A00EE">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3.3.3对于未预留份额专门面向中小企业的政府采购货物或服务或工程项目，以及预留份额政府采购货物或服务项目中的非预留部分标项，对小型和微型企业的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6E6AADBF">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3.3.4符合《关于促进残疾人就业政府采购政策的通知》（财库〔2017〕141号）规定的条件并提供《残疾人福利性单位声明函》的残疾人福利性单位视同小型、微型企业；</w:t>
      </w:r>
    </w:p>
    <w:p w14:paraId="4649C8A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B5F548">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3.3.6可享受中小企业扶持政策的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应按照竞争性磋商文件格式要求提供《中小企业声明函》，</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提供的《中小企业声明函》与实际情况不符的，不享受中小企业扶持政策。声明内容不实的，属于提供虚假材料谋取中标、成交的，依法承担法律责任。</w:t>
      </w:r>
    </w:p>
    <w:p w14:paraId="58529120">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3.3.7中小企业享受扶持政策获得政府采购合同的，小微企业不得将合同分包给大中型企业，中型企业不得将合同分包给大型企业。</w:t>
      </w:r>
    </w:p>
    <w:p w14:paraId="2F96B0A9">
      <w:pPr>
        <w:numPr>
          <w:ilvl w:val="0"/>
          <w:numId w:val="1"/>
        </w:numPr>
        <w:adjustRightInd w:val="0"/>
        <w:snapToGrid w:val="0"/>
        <w:spacing w:beforeLines="50" w:line="440" w:lineRule="exact"/>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特别说明</w:t>
      </w:r>
    </w:p>
    <w:p w14:paraId="0219BA7F">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4.1关于分公司磋商响应</w:t>
      </w:r>
    </w:p>
    <w:p w14:paraId="38757DA3">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除银行、保险、石油石化、电力、电信等特殊行业外。法人的分支机构由于不能独立承担民事责任，不能以分支机构的身份参加政府采购，只能以法人身份参加。 </w:t>
      </w:r>
    </w:p>
    <w:p w14:paraId="6CF72B98">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4.2关于知识产权</w:t>
      </w:r>
    </w:p>
    <w:p w14:paraId="682A5056">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4.2.1 </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承担。</w:t>
      </w:r>
    </w:p>
    <w:p w14:paraId="5EF9005E">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4.2.2 磋商报价应包含所有应向所有权人支付的专利权、商标权或其它知识产权的一切相关费用。</w:t>
      </w:r>
    </w:p>
    <w:p w14:paraId="1FBEBED0">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承担所有责任及费用。</w:t>
      </w:r>
    </w:p>
    <w:p w14:paraId="4E1FF63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的风险</w:t>
      </w:r>
    </w:p>
    <w:p w14:paraId="320CA184">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承担,并对所提供的全部资料的真实性承担法律责任。</w:t>
      </w:r>
    </w:p>
    <w:p w14:paraId="01DC7A69">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4.3.2 无论因何种原因导致本次采购活动终止致</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损失的，相关责任人均不承担任何责任。</w:t>
      </w:r>
    </w:p>
    <w:p w14:paraId="2373AADC">
      <w:pPr>
        <w:numPr>
          <w:ilvl w:val="0"/>
          <w:numId w:val="1"/>
        </w:numPr>
        <w:adjustRightInd w:val="0"/>
        <w:snapToGrid w:val="0"/>
        <w:spacing w:beforeLines="50" w:line="440" w:lineRule="exact"/>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询问、质疑、投诉</w:t>
      </w:r>
    </w:p>
    <w:p w14:paraId="5B2BED1E">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.1供应商询问</w:t>
      </w:r>
    </w:p>
    <w:p w14:paraId="464AA699">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B501BF">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.2供应商质疑</w:t>
      </w:r>
    </w:p>
    <w:p w14:paraId="51C1107D">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.1提出质疑的供应商应当是参与所质疑项目采购活动的供应商。潜在供应商已依法获取其可质疑的竞争性磋商文件的，可以对该文件提出质疑。</w:t>
      </w:r>
    </w:p>
    <w:p w14:paraId="5EBA0974">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71F8C8FE">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5.2.2.1对竞争性磋商文件提出质疑的，质疑期限为供应商获得竞争性磋商文件之日或者竞争性磋商文件公告期限届满之日起计算。</w:t>
      </w:r>
    </w:p>
    <w:p w14:paraId="179A2798">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5.2.2.2对采购过程提出质疑的，质疑期限为各采购程序环节结束之日起计算。</w:t>
      </w:r>
    </w:p>
    <w:p w14:paraId="718F2453">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5.2.2.3对采购结果提出质疑的，质疑期限自采购结果公告期限届满之日起计算。</w:t>
      </w:r>
    </w:p>
    <w:p w14:paraId="4F125E87">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5.2.2.4对同一采购程序环节的质疑，供应商须一次性提出。</w:t>
      </w:r>
    </w:p>
    <w:p w14:paraId="000F4A35">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w:t>
      </w:r>
      <w:r>
        <w:rPr>
          <w:rFonts w:hint="eastAsia" w:asciiTheme="minorEastAsia" w:hAnsiTheme="minorEastAsia" w:eastAsiaTheme="minorEastAsia" w:cstheme="minorEastAsia"/>
          <w:color w:val="auto"/>
          <w:szCs w:val="21"/>
          <w:highlight w:val="none"/>
        </w:rPr>
        <w:t>供应商提出质疑应当提交质疑函和必要的证明材料。质疑函应当包括下列内容：</w:t>
      </w:r>
    </w:p>
    <w:p w14:paraId="10CD9251">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.2.3.1供应商的姓名或者名称、地址、邮编、联系人及联系电话；</w:t>
      </w:r>
    </w:p>
    <w:p w14:paraId="6CD76F5F">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.2.3.2质疑项目的名称、编号；</w:t>
      </w:r>
    </w:p>
    <w:p w14:paraId="5AD684E6">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.2.3.3具体、明确的质疑事项和与质疑事项相关的请求；</w:t>
      </w:r>
    </w:p>
    <w:p w14:paraId="56844F46">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.2.3.4事实依据；</w:t>
      </w:r>
    </w:p>
    <w:p w14:paraId="44DE10A3">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.2.3.5必要的法律依据；</w:t>
      </w:r>
    </w:p>
    <w:p w14:paraId="608D1488">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.2.3.6提出质疑的日期。</w:t>
      </w:r>
    </w:p>
    <w:p w14:paraId="6F6148AD">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5.2.3.7对竞争性磋商文件提出质疑的需要提供在</w:t>
      </w:r>
      <w:r>
        <w:rPr>
          <w:rFonts w:hint="eastAsia" w:ascii="宋体" w:hAnsi="宋体" w:cs="宋体"/>
          <w:color w:val="auto"/>
          <w:szCs w:val="21"/>
          <w:highlight w:val="none"/>
        </w:rPr>
        <w:t>乐采云</w:t>
      </w:r>
      <w:r>
        <w:rPr>
          <w:rFonts w:hint="eastAsia" w:asciiTheme="minorEastAsia" w:hAnsiTheme="minorEastAsia" w:eastAsiaTheme="minorEastAsia" w:cstheme="minorEastAsia"/>
          <w:color w:val="auto"/>
          <w:szCs w:val="21"/>
          <w:highlight w:val="none"/>
        </w:rPr>
        <w:t>平台获取竞争性磋商文件的截图。</w:t>
      </w:r>
    </w:p>
    <w:p w14:paraId="201DFA76">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5F15FC2">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质疑函范本请到</w:t>
      </w:r>
      <w:r>
        <w:rPr>
          <w:rFonts w:hint="eastAsia" w:ascii="宋体" w:hAnsi="宋体" w:cs="宋体"/>
          <w:color w:val="auto"/>
          <w:szCs w:val="21"/>
          <w:highlight w:val="none"/>
        </w:rPr>
        <w:t>浙江企业采购信息服务网</w:t>
      </w:r>
      <w:r>
        <w:rPr>
          <w:rFonts w:hint="eastAsia" w:asciiTheme="minorEastAsia" w:hAnsiTheme="minorEastAsia" w:eastAsiaTheme="minorEastAsia" w:cstheme="minorEastAsia"/>
          <w:color w:val="auto"/>
          <w:szCs w:val="21"/>
          <w:highlight w:val="none"/>
        </w:rPr>
        <w:t>下载专区下载。</w:t>
      </w:r>
    </w:p>
    <w:p w14:paraId="536C2B90">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7D318A77">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.5询问或者质疑事项可能影响采购结果的，采购人应当暂停签订合同，已经签订合同的，应当中止履行合同。</w:t>
      </w:r>
    </w:p>
    <w:p w14:paraId="79C089B7">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.3供应商投诉</w:t>
      </w:r>
    </w:p>
    <w:p w14:paraId="06F434E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5.3.1质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153794BB">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2</w:t>
      </w:r>
      <w:r>
        <w:rPr>
          <w:rFonts w:hint="eastAsia" w:asciiTheme="minorEastAsia" w:hAnsiTheme="minorEastAsia" w:eastAsiaTheme="minorEastAsia" w:cstheme="minorEastAsia"/>
          <w:color w:val="auto"/>
          <w:szCs w:val="21"/>
          <w:highlight w:val="none"/>
        </w:rPr>
        <w:t>供应商投诉的事项不得超出已质疑事项的范围，基于质疑答复内容提出的投诉事项除外。</w:t>
      </w:r>
    </w:p>
    <w:p w14:paraId="1B2C3EFB">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5.3.3供应商投诉应当有明确的请求和必要的证明材料。</w:t>
      </w:r>
    </w:p>
    <w:p w14:paraId="174C5EA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5.3.4以联合体形式参加采购活动的，其投诉应当由组成联合体的所有供应商共同提出。</w:t>
      </w:r>
    </w:p>
    <w:p w14:paraId="50A83DA6">
      <w:pPr>
        <w:spacing w:line="44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5.3.5投诉人对</w:t>
      </w:r>
      <w:r>
        <w:rPr>
          <w:rFonts w:hint="eastAsia"/>
          <w:color w:val="auto"/>
          <w:highlight w:val="none"/>
        </w:rPr>
        <w:t>监督管理部门的投诉处理决定</w:t>
      </w:r>
      <w:r>
        <w:rPr>
          <w:rFonts w:hint="eastAsia" w:asciiTheme="minorEastAsia" w:hAnsiTheme="minorEastAsia" w:eastAsiaTheme="minorEastAsia" w:cstheme="minorEastAsia"/>
          <w:color w:val="auto"/>
          <w:szCs w:val="21"/>
          <w:highlight w:val="none"/>
        </w:rPr>
        <w:t>不服</w:t>
      </w:r>
      <w:r>
        <w:rPr>
          <w:rFonts w:hint="eastAsia"/>
          <w:color w:val="auto"/>
          <w:highlight w:val="none"/>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highlight w:val="none"/>
        </w:rPr>
        <w:t>采购过程</w:t>
      </w:r>
      <w:r>
        <w:rPr>
          <w:rFonts w:hint="eastAsia"/>
          <w:color w:val="auto"/>
          <w:highlight w:val="none"/>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highlight w:val="none"/>
        </w:rPr>
        <w:t>反映</w:t>
      </w:r>
      <w:r>
        <w:rPr>
          <w:rFonts w:hint="eastAsia"/>
          <w:color w:val="auto"/>
          <w:highlight w:val="none"/>
        </w:rPr>
        <w:t>。举报违法行为，应提供有效线索和证明材料。</w:t>
      </w:r>
    </w:p>
    <w:p w14:paraId="4F166AF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投诉书范本请到</w:t>
      </w:r>
      <w:r>
        <w:rPr>
          <w:rFonts w:hint="eastAsia" w:ascii="宋体" w:hAnsi="宋体" w:cs="宋体"/>
          <w:color w:val="auto"/>
          <w:szCs w:val="21"/>
          <w:highlight w:val="none"/>
        </w:rPr>
        <w:t>浙江企业采购信息服务网</w:t>
      </w:r>
      <w:r>
        <w:rPr>
          <w:rFonts w:hint="eastAsia" w:asciiTheme="minorEastAsia" w:hAnsiTheme="minorEastAsia" w:eastAsiaTheme="minorEastAsia" w:cstheme="minorEastAsia"/>
          <w:color w:val="auto"/>
          <w:szCs w:val="21"/>
          <w:highlight w:val="none"/>
        </w:rPr>
        <w:t>下载专区下载。</w:t>
      </w:r>
    </w:p>
    <w:p w14:paraId="7854B7F0">
      <w:pPr>
        <w:spacing w:line="440" w:lineRule="exact"/>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w:t>
      </w:r>
    </w:p>
    <w:p w14:paraId="4ED4E537">
      <w:pPr>
        <w:spacing w:line="440" w:lineRule="exact"/>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55BAE26C">
      <w:pPr>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二、竞争性磋商文件的构成、澄清、修改</w:t>
      </w:r>
    </w:p>
    <w:p w14:paraId="4CA3F3C3">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竞争性磋商文件的构成</w:t>
      </w:r>
    </w:p>
    <w:p w14:paraId="6263693E">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 竞争性磋商文件包括下列文件</w:t>
      </w:r>
      <w:r>
        <w:rPr>
          <w:rFonts w:hint="eastAsia" w:asciiTheme="minorEastAsia" w:hAnsiTheme="minorEastAsia" w:eastAsiaTheme="minorEastAsia" w:cstheme="minorEastAsia"/>
          <w:bCs/>
          <w:color w:val="auto"/>
          <w:highlight w:val="none"/>
        </w:rPr>
        <w:t>及附件</w:t>
      </w:r>
      <w:r>
        <w:rPr>
          <w:rFonts w:hint="eastAsia" w:asciiTheme="minorEastAsia" w:hAnsiTheme="minorEastAsia" w:eastAsiaTheme="minorEastAsia" w:cstheme="minorEastAsia"/>
          <w:b/>
          <w:bCs/>
          <w:color w:val="auto"/>
          <w:highlight w:val="none"/>
        </w:rPr>
        <w:t>：</w:t>
      </w:r>
    </w:p>
    <w:p w14:paraId="2CA70C3E">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6.1.1 竞争性磋商公告；</w:t>
      </w:r>
    </w:p>
    <w:p w14:paraId="707403AC">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6.1.2 </w:t>
      </w:r>
      <w:r>
        <w:rPr>
          <w:rFonts w:hint="eastAsia" w:asciiTheme="minorEastAsia" w:hAnsiTheme="minorEastAsia" w:eastAsiaTheme="minorEastAsia" w:cstheme="minorEastAsia"/>
          <w:color w:val="auto"/>
          <w:highlight w:val="none"/>
          <w:lang w:val="zh-CN"/>
        </w:rPr>
        <w:t>响应</w:t>
      </w:r>
      <w:r>
        <w:rPr>
          <w:rFonts w:hint="eastAsia" w:asciiTheme="minorEastAsia" w:hAnsiTheme="minorEastAsia" w:eastAsiaTheme="minorEastAsia" w:cstheme="minorEastAsia"/>
          <w:color w:val="auto"/>
          <w:highlight w:val="none"/>
        </w:rPr>
        <w:t>须知；</w:t>
      </w:r>
    </w:p>
    <w:p w14:paraId="20A2A54C">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6.1.3 采购需求；</w:t>
      </w:r>
    </w:p>
    <w:p w14:paraId="531FAFD9">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6.1.4 评审办法；</w:t>
      </w:r>
    </w:p>
    <w:p w14:paraId="1CD3285B">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6.1.5 拟签订的合同文本；</w:t>
      </w:r>
    </w:p>
    <w:p w14:paraId="57705EBF">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6.1.6 应提交的有关格式范例。</w:t>
      </w:r>
    </w:p>
    <w:p w14:paraId="350CCC1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6.2与本项目有关的</w:t>
      </w:r>
      <w:r>
        <w:rPr>
          <w:rFonts w:hint="eastAsia" w:asciiTheme="minorEastAsia" w:hAnsiTheme="minorEastAsia" w:eastAsiaTheme="minorEastAsia" w:cstheme="minorEastAsia"/>
          <w:bCs/>
          <w:color w:val="auto"/>
          <w:szCs w:val="21"/>
          <w:highlight w:val="none"/>
        </w:rPr>
        <w:t>澄清或者修改的内容为</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bCs/>
          <w:color w:val="auto"/>
          <w:szCs w:val="21"/>
          <w:highlight w:val="none"/>
        </w:rPr>
        <w:t>文件的组成部分</w:t>
      </w:r>
      <w:r>
        <w:rPr>
          <w:rFonts w:hint="eastAsia" w:asciiTheme="minorEastAsia" w:hAnsiTheme="minorEastAsia" w:eastAsiaTheme="minorEastAsia" w:cstheme="minorEastAsia"/>
          <w:color w:val="auto"/>
          <w:szCs w:val="21"/>
          <w:highlight w:val="none"/>
        </w:rPr>
        <w:t>。</w:t>
      </w:r>
    </w:p>
    <w:p w14:paraId="330E618F">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竞争性磋商文件的澄清、修改</w:t>
      </w:r>
    </w:p>
    <w:p w14:paraId="6E7CF37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057020A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2CCEC25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 如更正公告有重新发布电子竞争性磋商文件的，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应下载最新发布的电子竞争性磋商文件制作响应文件。</w:t>
      </w:r>
    </w:p>
    <w:p w14:paraId="6DC3564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 已获取竞争性磋商文件的潜在</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，若有问题需要澄清，应于响应截止时间前，以书面形式向采购代理机构提出。</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w:t>
      </w:r>
    </w:p>
    <w:p w14:paraId="7C675B6D">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三、响应</w:t>
      </w:r>
    </w:p>
    <w:p w14:paraId="265A9448">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响应文件的语言</w:t>
      </w:r>
    </w:p>
    <w:p w14:paraId="4C916725">
      <w:pPr>
        <w:autoSpaceDE w:val="0"/>
        <w:autoSpaceDN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响应文件及</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szCs w:val="21"/>
          <w:highlight w:val="none"/>
        </w:rPr>
        <w:t>与采购有关的来往通知、函件和文件均应使用中文。</w:t>
      </w:r>
    </w:p>
    <w:p w14:paraId="0286F933">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响应文件的组成</w:t>
      </w:r>
    </w:p>
    <w:p w14:paraId="108B3EDF">
      <w:pP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9.1 资格文件：</w:t>
      </w:r>
    </w:p>
    <w:p w14:paraId="6AC1A01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9.1.1有效的企业法人营业执照（或事业法人登记证）、其他组织（个体工商户）的营业执照或者民办非企业单位登记证书；</w:t>
      </w:r>
    </w:p>
    <w:p w14:paraId="2811AB6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9.1.2符合参加政府采购活动应当具备的一般条件的承诺函(格式见第六部分)；</w:t>
      </w:r>
    </w:p>
    <w:p w14:paraId="78A47917">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9.1.3落实政府采购政策需满足的资格要求（如适用）；</w:t>
      </w:r>
    </w:p>
    <w:p w14:paraId="05E67C8C">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9.1.4本项目的特定资格要求（如有）；</w:t>
      </w:r>
    </w:p>
    <w:p w14:paraId="0994F54F">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9.1.5其他资料（如有）。</w:t>
      </w:r>
    </w:p>
    <w:p w14:paraId="2FC4DC64">
      <w:pPr>
        <w:snapToGrid w:val="0"/>
        <w:spacing w:line="360" w:lineRule="auto"/>
        <w:ind w:firstLine="422" w:firstLineChars="200"/>
        <w:rPr>
          <w:rFonts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rPr>
        <w:t>9</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2</w:t>
      </w:r>
      <w:r>
        <w:rPr>
          <w:rFonts w:hint="eastAsia" w:asciiTheme="minorEastAsia" w:hAnsiTheme="minorEastAsia" w:eastAsiaTheme="minorEastAsia" w:cstheme="minorEastAsia"/>
          <w:b/>
          <w:bCs/>
          <w:color w:val="auto"/>
          <w:szCs w:val="21"/>
          <w:highlight w:val="none"/>
          <w:lang w:val="zh-CN"/>
        </w:rPr>
        <w:t xml:space="preserve"> </w:t>
      </w:r>
      <w:r>
        <w:rPr>
          <w:rFonts w:hint="eastAsia" w:asciiTheme="minorEastAsia" w:hAnsiTheme="minorEastAsia" w:eastAsiaTheme="minorEastAsia" w:cstheme="minorEastAsia"/>
          <w:b/>
          <w:bCs/>
          <w:color w:val="auto"/>
          <w:szCs w:val="21"/>
          <w:highlight w:val="none"/>
        </w:rPr>
        <w:t>商务技术</w:t>
      </w:r>
      <w:r>
        <w:rPr>
          <w:rFonts w:hint="eastAsia" w:asciiTheme="minorEastAsia" w:hAnsiTheme="minorEastAsia" w:eastAsiaTheme="minorEastAsia" w:cstheme="minorEastAsia"/>
          <w:b/>
          <w:bCs/>
          <w:color w:val="auto"/>
          <w:szCs w:val="21"/>
          <w:highlight w:val="none"/>
          <w:lang w:val="zh-CN"/>
        </w:rPr>
        <w:t>文件：</w:t>
      </w:r>
    </w:p>
    <w:p w14:paraId="556BF4FA">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 评分索引表；</w:t>
      </w:r>
    </w:p>
    <w:p w14:paraId="1652099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9.2.2符合性自查表；</w:t>
      </w:r>
    </w:p>
    <w:p w14:paraId="5198C3AB">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9.2.3磋商函；</w:t>
      </w:r>
      <w:r>
        <w:rPr>
          <w:rFonts w:hint="eastAsia" w:asciiTheme="minorEastAsia" w:hAnsiTheme="minorEastAsia" w:eastAsiaTheme="minorEastAsia" w:cstheme="minorEastAsia"/>
          <w:color w:val="auto"/>
          <w:szCs w:val="21"/>
          <w:highlight w:val="none"/>
          <w:lang w:val="zh-CN"/>
        </w:rPr>
        <w:t xml:space="preserve"> </w:t>
      </w:r>
    </w:p>
    <w:p w14:paraId="5BF34509">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9.2.4 授权委托书或法定代表人（单位负责人、自然人本人）身份证明；</w:t>
      </w:r>
    </w:p>
    <w:p w14:paraId="09C02C51">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9.2.5 供应商情况表；</w:t>
      </w:r>
    </w:p>
    <w:p w14:paraId="75ACE24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9.2.6 距采购人最近或者能为本项目提供最优服务的网点情况表；</w:t>
      </w:r>
    </w:p>
    <w:p w14:paraId="3B9972B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7 评标标准相应的商务技术资料；</w:t>
      </w:r>
    </w:p>
    <w:p w14:paraId="4200289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9.2.8 商务响应表；</w:t>
      </w:r>
    </w:p>
    <w:p w14:paraId="0CA3814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9.2.9 技术偏离表；</w:t>
      </w:r>
    </w:p>
    <w:p w14:paraId="1549819E">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9.2.10 同类业绩情况一览表；</w:t>
      </w:r>
    </w:p>
    <w:p w14:paraId="4FC53C5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9.2.11 </w:t>
      </w:r>
      <w:r>
        <w:rPr>
          <w:rFonts w:hint="eastAsia" w:asciiTheme="minorEastAsia" w:hAnsiTheme="minorEastAsia" w:eastAsiaTheme="minorEastAsia" w:cstheme="minorEastAsia"/>
          <w:color w:val="auto"/>
          <w:szCs w:val="21"/>
          <w:highlight w:val="none"/>
          <w:lang w:val="zh-CN"/>
        </w:rPr>
        <w:t>政府采购供应商廉洁自律承诺书</w:t>
      </w:r>
      <w:r>
        <w:rPr>
          <w:rFonts w:hint="eastAsia" w:asciiTheme="minorEastAsia" w:hAnsiTheme="minorEastAsia" w:eastAsiaTheme="minorEastAsia" w:cstheme="minorEastAsia"/>
          <w:color w:val="auto"/>
          <w:szCs w:val="21"/>
          <w:highlight w:val="none"/>
        </w:rPr>
        <w:t>；</w:t>
      </w:r>
    </w:p>
    <w:p w14:paraId="4E14FF9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9.2.12其他资料（如有）。</w:t>
      </w:r>
    </w:p>
    <w:p w14:paraId="02BA4CF8">
      <w:pPr>
        <w:snapToGrid w:val="0"/>
        <w:spacing w:line="360" w:lineRule="auto"/>
        <w:ind w:firstLine="422" w:firstLineChars="200"/>
        <w:rPr>
          <w:rFonts w:asciiTheme="minorEastAsia" w:hAnsiTheme="minorEastAsia" w:eastAsiaTheme="minorEastAsia" w:cstheme="minorEastAsia"/>
          <w:b/>
          <w:bCs/>
          <w:color w:val="auto"/>
          <w:szCs w:val="21"/>
          <w:highlight w:val="none"/>
          <w:u w:val="single"/>
          <w:lang w:val="zh-CN"/>
        </w:rPr>
      </w:pPr>
      <w:r>
        <w:rPr>
          <w:rFonts w:hint="eastAsia" w:asciiTheme="minorEastAsia" w:hAnsiTheme="minorEastAsia" w:eastAsiaTheme="minorEastAsia" w:cstheme="minorEastAsia"/>
          <w:b/>
          <w:bCs/>
          <w:color w:val="auto"/>
          <w:kern w:val="0"/>
          <w:szCs w:val="21"/>
          <w:highlight w:val="none"/>
        </w:rPr>
        <w:t>9</w:t>
      </w:r>
      <w:r>
        <w:rPr>
          <w:rFonts w:hint="eastAsia" w:asciiTheme="minorEastAsia" w:hAnsiTheme="minorEastAsia" w:eastAsiaTheme="minorEastAsia" w:cstheme="minorEastAsia"/>
          <w:b/>
          <w:bCs/>
          <w:color w:val="auto"/>
          <w:kern w:val="0"/>
          <w:szCs w:val="21"/>
          <w:highlight w:val="none"/>
          <w:lang w:val="zh-CN"/>
        </w:rPr>
        <w:t>.</w:t>
      </w:r>
      <w:r>
        <w:rPr>
          <w:rFonts w:hint="eastAsia" w:asciiTheme="minorEastAsia" w:hAnsiTheme="minorEastAsia" w:eastAsiaTheme="minorEastAsia" w:cstheme="minorEastAsia"/>
          <w:b/>
          <w:bCs/>
          <w:color w:val="auto"/>
          <w:kern w:val="0"/>
          <w:szCs w:val="21"/>
          <w:highlight w:val="none"/>
        </w:rPr>
        <w:t xml:space="preserve">3 </w:t>
      </w:r>
      <w:r>
        <w:rPr>
          <w:rFonts w:hint="eastAsia" w:asciiTheme="minorEastAsia" w:hAnsiTheme="minorEastAsia" w:eastAsiaTheme="minorEastAsia" w:cstheme="minorEastAsia"/>
          <w:b/>
          <w:bCs/>
          <w:color w:val="auto"/>
          <w:szCs w:val="21"/>
          <w:highlight w:val="none"/>
        </w:rPr>
        <w:t xml:space="preserve">报价文件： </w:t>
      </w:r>
    </w:p>
    <w:p w14:paraId="56CEA68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9.3.1 报价一览表；</w:t>
      </w:r>
    </w:p>
    <w:p w14:paraId="08409231">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9.3.2投标报价明细表</w:t>
      </w:r>
    </w:p>
    <w:p w14:paraId="2324290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9.3.3中小企业声明函；</w:t>
      </w:r>
    </w:p>
    <w:p w14:paraId="6A5B5D3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9.3.4残疾人福利性单位声明函（如有）；</w:t>
      </w:r>
    </w:p>
    <w:p w14:paraId="3CA74FE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9.3.5监狱企业的证明文件（如有）；</w:t>
      </w:r>
    </w:p>
    <w:p w14:paraId="5D69D4F4">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9.3.6政府采购统计基础信息表；</w:t>
      </w:r>
    </w:p>
    <w:p w14:paraId="6BFCA53D">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9.3.7其他资料（如有）。</w:t>
      </w:r>
    </w:p>
    <w:p w14:paraId="3017AD45">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响应文件的编制</w:t>
      </w:r>
    </w:p>
    <w:p w14:paraId="684D71CB">
      <w:pP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rPr>
        <w:t>0</w:t>
      </w:r>
      <w:r>
        <w:rPr>
          <w:rFonts w:hint="eastAsia" w:asciiTheme="minorEastAsia" w:hAnsiTheme="minorEastAsia" w:eastAsiaTheme="minorEastAsia" w:cstheme="minorEastAsia"/>
          <w:color w:val="auto"/>
          <w:kern w:val="0"/>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highlight w:val="none"/>
        </w:rPr>
        <w:t>未有规定格式的资料，</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应自行编制，但至少须包含9.响应文件组成中的内容。</w:t>
      </w:r>
      <w:r>
        <w:rPr>
          <w:rFonts w:hint="eastAsia" w:asciiTheme="minorEastAsia" w:hAnsiTheme="minorEastAsia" w:eastAsiaTheme="minorEastAsia" w:cstheme="minorEastAsia"/>
          <w:color w:val="auto"/>
          <w:kern w:val="0"/>
          <w:szCs w:val="21"/>
          <w:highlight w:val="none"/>
          <w:lang w:val="zh-CN"/>
        </w:rPr>
        <w:t>混乱的编排导致响应文件被误读或磋商小组查找不到有效文件是供应商的风险。</w:t>
      </w:r>
    </w:p>
    <w:p w14:paraId="0345EF55">
      <w:pPr>
        <w:spacing w:line="360" w:lineRule="auto"/>
        <w:ind w:firstLine="420"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rPr>
        <w:t>0</w:t>
      </w:r>
      <w:r>
        <w:rPr>
          <w:rFonts w:hint="eastAsia" w:asciiTheme="minorEastAsia" w:hAnsiTheme="minorEastAsia" w:eastAsiaTheme="minorEastAsia" w:cstheme="minorEastAsia"/>
          <w:color w:val="auto"/>
          <w:kern w:val="0"/>
          <w:szCs w:val="21"/>
          <w:highlight w:val="none"/>
          <w:lang w:val="zh-CN"/>
        </w:rPr>
        <w:t>.2供应商进行电子投标应安装客户端软件—“</w:t>
      </w:r>
      <w:r>
        <w:rPr>
          <w:rFonts w:hint="eastAsia" w:ascii="宋体" w:hAnsi="宋体" w:cs="宋体"/>
          <w:color w:val="auto"/>
          <w:szCs w:val="21"/>
          <w:highlight w:val="none"/>
        </w:rPr>
        <w:t>乐采云</w:t>
      </w:r>
      <w:r>
        <w:rPr>
          <w:rFonts w:hint="eastAsia" w:asciiTheme="minorEastAsia" w:hAnsiTheme="minorEastAsia" w:eastAsiaTheme="minorEastAsia" w:cstheme="minorEastAsia"/>
          <w:color w:val="auto"/>
          <w:kern w:val="0"/>
          <w:szCs w:val="21"/>
          <w:highlight w:val="none"/>
          <w:lang w:val="zh-CN"/>
        </w:rPr>
        <w:t>电子交易客户端”</w:t>
      </w:r>
      <w:r>
        <w:rPr>
          <w:rFonts w:hint="eastAsia" w:ascii="宋体" w:hAnsi="宋体" w:cs="宋体"/>
          <w:color w:val="auto"/>
          <w:szCs w:val="21"/>
          <w:highlight w:val="none"/>
          <w:lang w:val="zh-CN"/>
        </w:rPr>
        <w:t>（</w:t>
      </w:r>
      <w:r>
        <w:rPr>
          <w:rFonts w:hint="eastAsia" w:ascii="宋体" w:hAnsi="宋体" w:cs="宋体"/>
          <w:color w:val="auto"/>
          <w:szCs w:val="21"/>
          <w:highlight w:val="none"/>
        </w:rPr>
        <w:t>下载地址：https://b.zhengcaiyun.cn/luban/category?parentId=550045&amp;childrenCode=qicaiCategory17&amp;utm=luban.luban-PC-39026.959-pc-websitegroup-navBar-front.8.ebdec73052c711ef9ade896d008b9248</w:t>
      </w:r>
      <w:r>
        <w:rPr>
          <w:rFonts w:hint="eastAsia" w:ascii="宋体" w:hAnsi="宋体" w:cs="宋体"/>
          <w:color w:val="auto"/>
          <w:szCs w:val="21"/>
          <w:highlight w:val="none"/>
          <w:lang w:val="zh-CN"/>
        </w:rPr>
        <w:t>）</w:t>
      </w:r>
      <w:r>
        <w:rPr>
          <w:rFonts w:hint="eastAsia" w:asciiTheme="minorEastAsia" w:hAnsiTheme="minorEastAsia" w:eastAsiaTheme="minorEastAsia" w:cstheme="minorEastAsia"/>
          <w:color w:val="auto"/>
          <w:kern w:val="0"/>
          <w:szCs w:val="21"/>
          <w:highlight w:val="none"/>
          <w:lang w:val="zh-CN"/>
        </w:rPr>
        <w:t>并按照竞争性磋商文件和电子交易平台的要求编制并加密响应文件。供应商未按规定加密的响应文件，电子交易平台将拒收并提示。</w:t>
      </w:r>
    </w:p>
    <w:p w14:paraId="7366000B">
      <w:pPr>
        <w:spacing w:line="360" w:lineRule="auto"/>
        <w:ind w:firstLine="420"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rPr>
        <w:t>0</w:t>
      </w:r>
      <w:r>
        <w:rPr>
          <w:rFonts w:hint="eastAsia" w:asciiTheme="minorEastAsia" w:hAnsiTheme="minorEastAsia" w:eastAsiaTheme="minorEastAsia" w:cstheme="minorEastAsia"/>
          <w:color w:val="auto"/>
          <w:kern w:val="0"/>
          <w:szCs w:val="21"/>
          <w:highlight w:val="none"/>
          <w:lang w:val="zh-CN"/>
        </w:rPr>
        <w:t>.3使用“</w:t>
      </w:r>
      <w:r>
        <w:rPr>
          <w:rFonts w:hint="eastAsia" w:ascii="宋体" w:hAnsi="宋体" w:cs="宋体"/>
          <w:color w:val="auto"/>
          <w:szCs w:val="21"/>
          <w:highlight w:val="none"/>
        </w:rPr>
        <w:t>乐采云</w:t>
      </w:r>
      <w:r>
        <w:rPr>
          <w:rFonts w:hint="eastAsia" w:asciiTheme="minorEastAsia" w:hAnsiTheme="minorEastAsia" w:eastAsiaTheme="minorEastAsia" w:cstheme="minorEastAsia"/>
          <w:color w:val="auto"/>
          <w:kern w:val="0"/>
          <w:szCs w:val="21"/>
          <w:highlight w:val="none"/>
          <w:lang w:val="zh-CN"/>
        </w:rPr>
        <w:t>电子交易客户端”需要提前申领CA数字证书，申领流程请自行前往“</w:t>
      </w:r>
      <w:r>
        <w:rPr>
          <w:rFonts w:hint="eastAsia" w:ascii="宋体" w:hAnsi="宋体" w:cs="宋体"/>
          <w:color w:val="auto"/>
          <w:szCs w:val="21"/>
          <w:highlight w:val="none"/>
          <w:lang w:val="zh-CN"/>
        </w:rPr>
        <w:t>浙江企业采购信息服务网</w:t>
      </w:r>
      <w:r>
        <w:rPr>
          <w:rFonts w:hint="eastAsia" w:asciiTheme="minorEastAsia" w:hAnsiTheme="minorEastAsia" w:eastAsiaTheme="minorEastAsia" w:cstheme="minorEastAsia"/>
          <w:color w:val="auto"/>
          <w:kern w:val="0"/>
          <w:szCs w:val="21"/>
          <w:highlight w:val="none"/>
          <w:lang w:val="zh-CN"/>
        </w:rPr>
        <w:t>-下载专区-电子交易客户端-CA驱动和申领流程”进行查阅。</w:t>
      </w:r>
    </w:p>
    <w:p w14:paraId="41C73CA6">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投响应文件的签署、盖章</w:t>
      </w:r>
    </w:p>
    <w:p w14:paraId="66D681D3">
      <w:pPr>
        <w:pStyle w:val="51"/>
        <w:snapToGrid w:val="0"/>
        <w:spacing w:before="0"/>
        <w:ind w:firstLine="42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11.1响应文件按照竞争性磋商文件第六部分格式要求进行签署、盖章。</w:t>
      </w:r>
      <w:r>
        <w:rPr>
          <w:rFonts w:hint="eastAsia" w:asciiTheme="minorEastAsia" w:hAnsiTheme="minorEastAsia" w:eastAsiaTheme="minorEastAsia" w:cstheme="minorEastAsia"/>
          <w:b/>
          <w:color w:val="auto"/>
          <w:sz w:val="21"/>
          <w:szCs w:val="21"/>
          <w:highlight w:val="none"/>
        </w:rPr>
        <w:t>▲供应商的响应文件未按照竞争性磋商文件要求签署、盖章的，其响应无效</w:t>
      </w:r>
      <w:r>
        <w:rPr>
          <w:rFonts w:hint="eastAsia" w:asciiTheme="minorEastAsia" w:hAnsiTheme="minorEastAsia" w:eastAsiaTheme="minorEastAsia" w:cstheme="minorEastAsia"/>
          <w:color w:val="auto"/>
          <w:sz w:val="21"/>
          <w:szCs w:val="21"/>
          <w:highlight w:val="none"/>
        </w:rPr>
        <w:t>。</w:t>
      </w:r>
    </w:p>
    <w:p w14:paraId="0A258EC0">
      <w:pPr>
        <w:pStyle w:val="51"/>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应当在响应截止时间前完成在“政府采购云平台”的身份认证，确保在电子投标过程中能够对相关数据电文进行加密和使用电子签名。</w:t>
      </w:r>
    </w:p>
    <w:p w14:paraId="3104921E">
      <w:pPr>
        <w:pStyle w:val="51"/>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11.3竞争性磋商文件对响应文件签署、盖章的要求适用于电子签名。</w:t>
      </w:r>
    </w:p>
    <w:p w14:paraId="6CEB4923">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响应文件的提交、补充、修改、撤回</w:t>
      </w:r>
    </w:p>
    <w:p w14:paraId="4740EDA6">
      <w:pPr>
        <w:pStyle w:val="51"/>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4C87516A">
      <w:pPr>
        <w:pStyle w:val="51"/>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12.2电子交易平台收到响应文件，将妥善保存并即时向供应商发出确认回执通知。在响应截止时间前，除供应商补充、修改或者撤回响应文件外，任何单位和个人不得解密或提取响应文件。</w:t>
      </w:r>
    </w:p>
    <w:p w14:paraId="295FAF95">
      <w:pPr>
        <w:pStyle w:val="51"/>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以前在响应截止期方面的全部权利、责任和义务，将适用于延长至新的响应截止期。</w:t>
      </w:r>
    </w:p>
    <w:p w14:paraId="4CF5D9CE">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响应有效期</w:t>
      </w:r>
    </w:p>
    <w:p w14:paraId="56CE7094">
      <w:pP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响应有效期为从提交响应文件的截止之日起90天。▲</w:t>
      </w:r>
      <w:r>
        <w:rPr>
          <w:rFonts w:hint="eastAsia" w:asciiTheme="minorEastAsia" w:hAnsiTheme="minorEastAsia" w:eastAsiaTheme="minorEastAsia" w:cstheme="minorEastAsia"/>
          <w:b/>
          <w:color w:val="auto"/>
          <w:szCs w:val="21"/>
          <w:highlight w:val="none"/>
        </w:rPr>
        <w:t>供应商的响应文件中承诺的响应有效期少于竞争性磋商文件中载明的响应有效期的，响应无效。</w:t>
      </w:r>
    </w:p>
    <w:p w14:paraId="222C7225">
      <w:pPr>
        <w:pStyle w:val="51"/>
        <w:spacing w:before="0"/>
        <w:ind w:firstLine="0" w:firstLineChars="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四、响应文件开启、资格审查与信用信息查询</w:t>
      </w:r>
    </w:p>
    <w:p w14:paraId="7C983C8A">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响应文件开启 </w:t>
      </w:r>
    </w:p>
    <w:p w14:paraId="7A3D7059">
      <w:pPr>
        <w:pStyle w:val="46"/>
        <w:spacing w:before="0" w:line="360" w:lineRule="auto"/>
        <w:ind w:left="0" w:firstLine="420" w:firstLineChars="20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不足3家的，不得开启响应文件。</w:t>
      </w:r>
    </w:p>
    <w:p w14:paraId="47148623">
      <w:pPr>
        <w:pStyle w:val="46"/>
        <w:spacing w:before="0" w:line="360" w:lineRule="auto"/>
        <w:ind w:left="0" w:firstLine="210" w:firstLineChars="100"/>
        <w:contextualSpacing/>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按照平台提示和竞争性磋商文件的规定在半小时内完成在线解密。</w:t>
      </w:r>
    </w:p>
    <w:p w14:paraId="4750F71C">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资格审查</w:t>
      </w:r>
    </w:p>
    <w:p w14:paraId="609E282A">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15.1</w:t>
      </w:r>
      <w:r>
        <w:rPr>
          <w:rFonts w:hint="eastAsia" w:asciiTheme="minorEastAsia" w:hAnsiTheme="minorEastAsia" w:eastAsiaTheme="minorEastAsia" w:cstheme="minorEastAsia"/>
          <w:color w:val="auto"/>
          <w:sz w:val="21"/>
          <w:szCs w:val="21"/>
          <w:highlight w:val="none"/>
        </w:rPr>
        <w:t>响应文件开启</w:t>
      </w:r>
      <w:r>
        <w:rPr>
          <w:rFonts w:hint="eastAsia" w:asciiTheme="minorEastAsia" w:hAnsiTheme="minorEastAsia" w:eastAsiaTheme="minorEastAsia" w:cstheme="minorEastAsia"/>
          <w:color w:val="auto"/>
          <w:kern w:val="0"/>
          <w:sz w:val="21"/>
          <w:szCs w:val="21"/>
          <w:highlight w:val="none"/>
        </w:rPr>
        <w:t>后，采购人或采购代理机构依据法律法规和</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kern w:val="0"/>
          <w:sz w:val="21"/>
          <w:szCs w:val="21"/>
          <w:highlight w:val="none"/>
        </w:rPr>
        <w:t>文件的规定，对供应商的资格条件进行审查。</w:t>
      </w:r>
    </w:p>
    <w:p w14:paraId="49070E03">
      <w:pPr>
        <w:pStyle w:val="51"/>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r>
        <w:rPr>
          <w:rFonts w:hint="eastAsia" w:asciiTheme="minorEastAsia" w:hAnsiTheme="minorEastAsia" w:eastAsiaTheme="minorEastAsia" w:cstheme="minorEastAsia"/>
          <w:color w:val="auto"/>
          <w:sz w:val="21"/>
          <w:szCs w:val="21"/>
          <w:highlight w:val="none"/>
        </w:rPr>
        <w:t>2对未通过资格审查的供应商，采购人或采购代理机构告知其未通过的原因。</w:t>
      </w:r>
    </w:p>
    <w:p w14:paraId="1EBD12B4">
      <w:pPr>
        <w:pStyle w:val="51"/>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r>
        <w:rPr>
          <w:rFonts w:hint="eastAsia" w:asciiTheme="minorEastAsia" w:hAnsiTheme="minorEastAsia" w:eastAsiaTheme="minorEastAsia" w:cstheme="minorEastAsia"/>
          <w:color w:val="auto"/>
          <w:sz w:val="21"/>
          <w:szCs w:val="21"/>
          <w:highlight w:val="none"/>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73DB5A87">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信用信息查询</w:t>
      </w:r>
    </w:p>
    <w:p w14:paraId="675D7CDB">
      <w:pPr>
        <w:pStyle w:val="51"/>
        <w:spacing w:before="0"/>
        <w:ind w:firstLine="495"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16.1信用信息查询渠道及截止时间：采购代理机构将通过“信用中国”网站(www.creditchina.gov.cn)、中国政府采购网(www.ccgp.gov.cn)渠道查询供应商响应截止时间当天的信用记录。</w:t>
      </w:r>
    </w:p>
    <w:p w14:paraId="2EF841F6">
      <w:pPr>
        <w:pStyle w:val="51"/>
        <w:spacing w:before="0"/>
        <w:ind w:firstLine="495" w:firstLineChars="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将被拒绝参与采购活动。</w:t>
      </w:r>
    </w:p>
    <w:p w14:paraId="58215B79">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7EEBF091">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bookmarkStart w:id="14" w:name="_Toc91899903"/>
      <w:r>
        <w:rPr>
          <w:rFonts w:hint="eastAsia" w:asciiTheme="minorEastAsia" w:hAnsiTheme="minorEastAsia" w:eastAsiaTheme="minorEastAsia" w:cstheme="minorEastAsia"/>
          <w:b/>
          <w:color w:val="auto"/>
          <w:szCs w:val="21"/>
          <w:highlight w:val="none"/>
        </w:rPr>
        <w:t>磋商小组</w:t>
      </w:r>
    </w:p>
    <w:p w14:paraId="299FA1CA">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17.1 本次采购依法组建磋商小组。磋商小组由采购人代表和评审专家组成，评审专家从专家库随机抽取。</w:t>
      </w:r>
    </w:p>
    <w:p w14:paraId="3B7DD288">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3E7FE6FD">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 评审专家有下列情形之一的，应主动提出回避，采购当事人也可以要求该评审专家回避：</w:t>
      </w:r>
    </w:p>
    <w:p w14:paraId="34BD7825">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17.3.1 参加采购活动前3年内与供应商存在劳动关系；</w:t>
      </w:r>
    </w:p>
    <w:p w14:paraId="5C0FAAC9">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17.3.2 参加采购活动前3年内担任供应商的董事、监事；</w:t>
      </w:r>
    </w:p>
    <w:p w14:paraId="6AB4B58B">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17.3.3 参加采购活动前3年内是供应商的控股股东或者实际控制人；</w:t>
      </w:r>
    </w:p>
    <w:p w14:paraId="6EEDCC53">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17.3.4 与供应商的法定代表人或者负责人有夫妻、直系血亲、三代以内旁系血亲或者近姻亲关系；</w:t>
      </w:r>
    </w:p>
    <w:p w14:paraId="28F76845">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17.3.5 与供应商有其他可能影响采购活动公平、公正进行的关系。</w:t>
      </w:r>
    </w:p>
    <w:p w14:paraId="6FF26F7D">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A92229">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17.4 磋商小组判断响应文件的有效性、合格性和响应情况，仅依据供应商所递交一切文件的真实表述，不受与本项目无直接关联的外部信息、传言而影响自身的专业判断。</w:t>
      </w:r>
    </w:p>
    <w:p w14:paraId="0E74C7EB">
      <w:pPr>
        <w:pStyle w:val="51"/>
        <w:spacing w:before="0"/>
        <w:ind w:firstLine="42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0"/>
          <w:sz w:val="21"/>
          <w:szCs w:val="21"/>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9891518">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六、成交</w:t>
      </w:r>
    </w:p>
    <w:p w14:paraId="18B9C31E">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确定成交供应商</w:t>
      </w:r>
    </w:p>
    <w:p w14:paraId="1846F208">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color w:val="auto"/>
          <w:kern w:val="0"/>
          <w:sz w:val="21"/>
          <w:szCs w:val="21"/>
          <w:highlight w:val="none"/>
        </w:rPr>
        <w:t>采购人授权磋商小组直接确定排序第一的供应商为成交供应商。</w:t>
      </w:r>
    </w:p>
    <w:p w14:paraId="73D14E23">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成交通知与成交结果公告</w:t>
      </w:r>
    </w:p>
    <w:p w14:paraId="4F7FB8FF">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19.1自成交供应商确定之日起2个工作日内，采购代理机构通过电子交易平台向成交供应商发出成交通知书，同时编制发布采购结果公告。采购代理机构也可以以纸质形式进行成交通知。</w:t>
      </w:r>
    </w:p>
    <w:p w14:paraId="5D10907F">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highlight w:val="none"/>
        </w:rPr>
        <w:t>。</w:t>
      </w:r>
    </w:p>
    <w:p w14:paraId="7F8F5454">
      <w:pPr>
        <w:pStyle w:val="51"/>
        <w:spacing w:before="0"/>
        <w:ind w:firstLine="42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color w:val="auto"/>
          <w:kern w:val="0"/>
          <w:sz w:val="21"/>
          <w:szCs w:val="21"/>
          <w:highlight w:val="none"/>
        </w:rPr>
        <w:t>19.3公告期限为1个工作日。</w:t>
      </w:r>
    </w:p>
    <w:p w14:paraId="3C63B735">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1934DB01">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合同授予</w:t>
      </w:r>
    </w:p>
    <w:p w14:paraId="05B86D66">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合同主要条款详见第五部分拟签订的合同文本。</w:t>
      </w:r>
    </w:p>
    <w:p w14:paraId="5C0892D5">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合同的签订</w:t>
      </w:r>
    </w:p>
    <w:p w14:paraId="719C401F">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21.1 采购人与成交供应商应当通过电子交易平台在成交通知书发出之日起五个工作日内，按照竞争性磋商文件及成交供应商的响应文件确定的事项签订采购合同。</w:t>
      </w:r>
    </w:p>
    <w:p w14:paraId="766E7DA6">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2</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zh-CN"/>
        </w:rPr>
        <w:t>.2成交供应商按规定的日期、时间、地点，由法定代表人或其授权代表与采购人代表签订合同。如成交人为联合体的，由联合体成员各方法定代表人或其授权代表与采购人代表签订合同。</w:t>
      </w:r>
    </w:p>
    <w:p w14:paraId="31328EAC">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21.3如签订合同并生效后，供应商无故拒绝或延期，除按照合同条款处理外，列入不良行为记录名单，并给予通报。</w:t>
      </w:r>
    </w:p>
    <w:p w14:paraId="3E49E928">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21.4</w:t>
      </w:r>
      <w:r>
        <w:rPr>
          <w:rFonts w:hint="eastAsia" w:asciiTheme="minorEastAsia" w:hAnsiTheme="minorEastAsia" w:eastAsiaTheme="minorEastAsia" w:cstheme="minorEastAsia"/>
          <w:color w:val="auto"/>
          <w:kern w:val="0"/>
          <w:sz w:val="21"/>
          <w:szCs w:val="21"/>
          <w:highlight w:val="none"/>
          <w:lang w:val="zh-CN"/>
        </w:rPr>
        <w:t>成交</w:t>
      </w:r>
      <w:r>
        <w:rPr>
          <w:rFonts w:hint="eastAsia" w:asciiTheme="minorEastAsia" w:hAnsiTheme="minorEastAsia" w:eastAsiaTheme="minorEastAsia" w:cstheme="minorEastAsia"/>
          <w:color w:val="auto"/>
          <w:kern w:val="0"/>
          <w:sz w:val="21"/>
          <w:szCs w:val="21"/>
          <w:highlight w:val="none"/>
        </w:rPr>
        <w:t>供应商拒绝与采购人签订合同的，列入不良行为记录名单，采购人、采购代理机构重新开展采购活动。</w:t>
      </w:r>
    </w:p>
    <w:p w14:paraId="4D82DD87">
      <w:pPr>
        <w:pStyle w:val="51"/>
        <w:spacing w:before="0"/>
        <w:ind w:firstLine="420"/>
        <w:rPr>
          <w:rFonts w:asciiTheme="minorEastAsia" w:hAnsiTheme="minorEastAsia" w:eastAsiaTheme="minorEastAsia" w:cstheme="minorEastAsia"/>
          <w:color w:val="auto"/>
          <w:kern w:val="0"/>
          <w:sz w:val="21"/>
          <w:szCs w:val="21"/>
          <w:highlight w:val="none"/>
        </w:rPr>
      </w:pPr>
    </w:p>
    <w:p w14:paraId="44A06BD6">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603995E8">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电子交易活动的中止</w:t>
      </w:r>
    </w:p>
    <w:p w14:paraId="3EF964E2">
      <w:pPr>
        <w:tabs>
          <w:tab w:val="left" w:pos="0"/>
        </w:tabs>
        <w:spacing w:line="360" w:lineRule="auto"/>
        <w:ind w:firstLine="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采购过程中出现以下情形，导致电子交易平台无法正常运行，或者无法保证电子交易的公平、公正和安全时，采购代理机构可中止电子交易活动：</w:t>
      </w:r>
    </w:p>
    <w:p w14:paraId="09FDBDAD">
      <w:pPr>
        <w:pStyle w:val="51"/>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22.1电子交易平台发生故障而无法登录访问的； </w:t>
      </w:r>
    </w:p>
    <w:p w14:paraId="1025F693">
      <w:pPr>
        <w:pStyle w:val="51"/>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22.2电子交易平台应用或数据库出现错误，不能进行正常操作的；</w:t>
      </w:r>
    </w:p>
    <w:p w14:paraId="3CBC06A8">
      <w:pPr>
        <w:pStyle w:val="51"/>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22.3电子交易平台发现严重安全漏洞，有潜在泄密危险的；</w:t>
      </w:r>
    </w:p>
    <w:p w14:paraId="7EA0D81F">
      <w:pPr>
        <w:pStyle w:val="51"/>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22.4病毒发作导致不能进行正常操作的； </w:t>
      </w:r>
    </w:p>
    <w:p w14:paraId="0A4AF10E">
      <w:pPr>
        <w:pStyle w:val="51"/>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22.5其他无法保证电子交易的公平、公正和安全的情况。</w:t>
      </w:r>
    </w:p>
    <w:p w14:paraId="3FAC22F5">
      <w:pPr>
        <w:snapToGrid w:val="0"/>
        <w:spacing w:line="360" w:lineRule="auto"/>
        <w:rPr>
          <w:rFonts w:asciiTheme="minorEastAsia" w:hAnsiTheme="minorEastAsia" w:eastAsiaTheme="minorEastAsia" w:cstheme="minorEastAsia"/>
          <w:b/>
          <w:color w:val="auto"/>
          <w:sz w:val="32"/>
          <w:highlight w:val="none"/>
        </w:rPr>
      </w:pPr>
    </w:p>
    <w:p w14:paraId="6CA87E24">
      <w:pPr>
        <w:snapToGrid w:val="0"/>
        <w:spacing w:line="360" w:lineRule="auto"/>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523FC567">
      <w:pPr>
        <w:numPr>
          <w:ilvl w:val="0"/>
          <w:numId w:val="1"/>
        </w:numPr>
        <w:adjustRightInd w:val="0"/>
        <w:snapToGrid w:val="0"/>
        <w:spacing w:beforeLines="50" w:line="360" w:lineRule="auto"/>
        <w:ind w:left="0" w:firstLine="422" w:firstLineChars="200"/>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验收</w:t>
      </w:r>
    </w:p>
    <w:bookmarkEnd w:id="11"/>
    <w:bookmarkEnd w:id="12"/>
    <w:bookmarkEnd w:id="14"/>
    <w:p w14:paraId="5911AF3D">
      <w:pPr>
        <w:tabs>
          <w:tab w:val="left" w:pos="0"/>
        </w:tabs>
        <w:spacing w:line="360" w:lineRule="auto"/>
        <w:ind w:firstLine="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D66707">
      <w:pPr>
        <w:tabs>
          <w:tab w:val="left" w:pos="0"/>
        </w:tabs>
        <w:spacing w:line="360" w:lineRule="auto"/>
        <w:ind w:firstLine="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84DD74">
      <w:pPr>
        <w:tabs>
          <w:tab w:val="left" w:pos="0"/>
        </w:tabs>
        <w:spacing w:line="360" w:lineRule="auto"/>
        <w:ind w:firstLine="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highlight w:val="none"/>
        </w:rPr>
        <w:br w:type="page"/>
      </w:r>
    </w:p>
    <w:p w14:paraId="4B7A1977">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01A86920">
      <w:pPr>
        <w:pStyle w:val="9"/>
        <w:spacing w:line="420" w:lineRule="exact"/>
        <w:ind w:firstLine="482" w:firstLineChars="200"/>
        <w:rPr>
          <w:rFonts w:hAnsi="宋体" w:cs="宋体"/>
          <w:b/>
          <w:bCs/>
          <w:color w:val="auto"/>
          <w:kern w:val="0"/>
          <w:highlight w:val="none"/>
        </w:rPr>
      </w:pPr>
      <w:r>
        <w:rPr>
          <w:rFonts w:hint="eastAsia" w:hAnsi="宋体" w:cs="宋体"/>
          <w:b/>
          <w:bCs/>
          <w:color w:val="auto"/>
          <w:kern w:val="0"/>
          <w:highlight w:val="none"/>
        </w:rPr>
        <w:t>（以下内容标“</w:t>
      </w:r>
      <w:r>
        <w:rPr>
          <w:rFonts w:hint="eastAsia" w:hAnsi="宋体" w:cs="宋体"/>
          <w:b/>
          <w:bCs/>
          <w:color w:val="auto"/>
          <w:highlight w:val="none"/>
        </w:rPr>
        <w:t>▲</w:t>
      </w:r>
      <w:r>
        <w:rPr>
          <w:rFonts w:hint="eastAsia" w:hAnsi="宋体" w:cs="宋体"/>
          <w:b/>
          <w:bCs/>
          <w:color w:val="auto"/>
          <w:kern w:val="0"/>
          <w:highlight w:val="none"/>
        </w:rPr>
        <w:t>”条款为实质性内容，供应商响应文件中必须响应。）</w:t>
      </w:r>
    </w:p>
    <w:p w14:paraId="5AC512CC">
      <w:pPr>
        <w:spacing w:line="420" w:lineRule="exact"/>
        <w:rPr>
          <w:color w:val="auto"/>
          <w:highlight w:val="none"/>
        </w:rPr>
      </w:pPr>
    </w:p>
    <w:p w14:paraId="1C6CA6A5">
      <w:pPr>
        <w:pStyle w:val="9"/>
        <w:spacing w:line="420" w:lineRule="exact"/>
        <w:rPr>
          <w:rFonts w:hAnsi="宋体" w:cs="宋体"/>
          <w:b/>
          <w:color w:val="auto"/>
          <w:highlight w:val="none"/>
        </w:rPr>
      </w:pPr>
      <w:r>
        <w:rPr>
          <w:rFonts w:hint="eastAsia" w:hAnsi="宋体" w:cs="宋体"/>
          <w:b/>
          <w:color w:val="auto"/>
          <w:highlight w:val="none"/>
        </w:rPr>
        <w:t>一、采购内容</w:t>
      </w:r>
    </w:p>
    <w:p w14:paraId="71B3DA0E">
      <w:pPr>
        <w:pStyle w:val="9"/>
        <w:spacing w:line="420" w:lineRule="exact"/>
        <w:ind w:firstLine="480" w:firstLineChars="200"/>
        <w:rPr>
          <w:rFonts w:hint="eastAsia" w:hAnsi="宋体" w:cs="宋体"/>
          <w:color w:val="auto"/>
          <w:highlight w:val="none"/>
          <w:lang w:val="en-US"/>
        </w:rPr>
      </w:pPr>
      <w:r>
        <w:rPr>
          <w:rFonts w:hint="eastAsia" w:hAnsi="宋体" w:cs="宋体"/>
          <w:color w:val="auto"/>
          <w:highlight w:val="none"/>
          <w:lang w:val="en-US"/>
        </w:rPr>
        <w:t>本次招标采购内容为</w:t>
      </w:r>
      <w:r>
        <w:rPr>
          <w:rFonts w:hint="eastAsia"/>
          <w:color w:val="auto"/>
          <w:highlight w:val="none"/>
        </w:rPr>
        <w:t>2025年蜜桃音乐节舞美搭建及宣传</w:t>
      </w:r>
      <w:r>
        <w:rPr>
          <w:rFonts w:hint="eastAsia" w:hAnsi="宋体" w:cs="宋体"/>
          <w:color w:val="auto"/>
          <w:highlight w:val="none"/>
          <w:lang w:val="en-US"/>
        </w:rPr>
        <w:t>服务。</w:t>
      </w:r>
    </w:p>
    <w:p w14:paraId="1CCFE9FC">
      <w:pPr>
        <w:pStyle w:val="9"/>
        <w:spacing w:line="420" w:lineRule="exact"/>
        <w:rPr>
          <w:rFonts w:hAnsi="宋体" w:cs="宋体"/>
          <w:b/>
          <w:color w:val="auto"/>
          <w:highlight w:val="none"/>
        </w:rPr>
      </w:pPr>
      <w:r>
        <w:rPr>
          <w:rFonts w:hint="eastAsia" w:hAnsi="宋体" w:cs="宋体"/>
          <w:b/>
          <w:color w:val="auto"/>
          <w:highlight w:val="none"/>
        </w:rPr>
        <w:t>二、举办目的</w:t>
      </w:r>
    </w:p>
    <w:p w14:paraId="1F13FB75">
      <w:pPr>
        <w:pStyle w:val="9"/>
        <w:spacing w:line="420" w:lineRule="exact"/>
        <w:ind w:firstLine="480" w:firstLineChars="200"/>
        <w:rPr>
          <w:rFonts w:hAnsi="宋体" w:cs="宋体"/>
          <w:color w:val="auto"/>
          <w:highlight w:val="none"/>
        </w:rPr>
      </w:pPr>
      <w:r>
        <w:rPr>
          <w:rFonts w:hint="eastAsia" w:hAnsi="宋体" w:cs="宋体"/>
          <w:color w:val="auto"/>
          <w:highlight w:val="none"/>
        </w:rPr>
        <w:t>1、为延续蜜桃音乐</w:t>
      </w:r>
      <w:r>
        <w:rPr>
          <w:rFonts w:hint="eastAsia" w:hAnsi="宋体" w:cs="宋体"/>
          <w:color w:val="auto"/>
          <w:highlight w:val="none"/>
          <w:lang w:val="en-US"/>
        </w:rPr>
        <w:t>节</w:t>
      </w:r>
      <w:r>
        <w:rPr>
          <w:rFonts w:hint="eastAsia" w:hAnsi="宋体" w:cs="宋体"/>
          <w:color w:val="auto"/>
          <w:highlight w:val="none"/>
        </w:rPr>
        <w:t>品牌，扩大品牌知名度及影响力，从而进一步推动奉化当地的旅游经济，扩大水蜜桃的营销，202</w:t>
      </w:r>
      <w:r>
        <w:rPr>
          <w:rFonts w:hint="eastAsia" w:hAnsi="宋体" w:cs="宋体"/>
          <w:color w:val="auto"/>
          <w:highlight w:val="none"/>
          <w:lang w:val="en-US" w:eastAsia="zh-CN"/>
        </w:rPr>
        <w:t>5</w:t>
      </w:r>
      <w:r>
        <w:rPr>
          <w:rFonts w:hint="eastAsia" w:hAnsi="宋体" w:cs="宋体"/>
          <w:color w:val="auto"/>
          <w:highlight w:val="none"/>
        </w:rPr>
        <w:t>年将继续举办“蜜桃音乐</w:t>
      </w:r>
      <w:r>
        <w:rPr>
          <w:rFonts w:hint="eastAsia" w:hAnsi="宋体" w:cs="宋体"/>
          <w:color w:val="auto"/>
          <w:highlight w:val="none"/>
          <w:lang w:val="en-US"/>
        </w:rPr>
        <w:t>节</w:t>
      </w:r>
      <w:r>
        <w:rPr>
          <w:rFonts w:hint="eastAsia" w:hAnsi="宋体" w:cs="宋体"/>
          <w:color w:val="auto"/>
          <w:highlight w:val="none"/>
        </w:rPr>
        <w:t>”，突破往届的营销模式，力邀全国性音乐</w:t>
      </w:r>
      <w:r>
        <w:rPr>
          <w:rFonts w:hint="eastAsia" w:hAnsi="宋体" w:cs="宋体"/>
          <w:color w:val="auto"/>
          <w:highlight w:val="none"/>
          <w:lang w:val="en-US"/>
        </w:rPr>
        <w:t>节</w:t>
      </w:r>
      <w:r>
        <w:rPr>
          <w:rFonts w:hint="eastAsia" w:hAnsi="宋体" w:cs="宋体"/>
          <w:color w:val="auto"/>
          <w:highlight w:val="none"/>
        </w:rPr>
        <w:t>知名音乐人及乐队登台演出，共同打造宁波年度音乐大事件！</w:t>
      </w:r>
    </w:p>
    <w:p w14:paraId="2933A7E2">
      <w:pPr>
        <w:pStyle w:val="9"/>
        <w:spacing w:line="420" w:lineRule="exact"/>
        <w:ind w:firstLine="480" w:firstLineChars="200"/>
        <w:rPr>
          <w:rFonts w:hAnsi="宋体" w:cs="宋体"/>
          <w:color w:val="auto"/>
          <w:highlight w:val="none"/>
        </w:rPr>
      </w:pPr>
      <w:r>
        <w:rPr>
          <w:rFonts w:hint="eastAsia" w:hAnsi="宋体" w:cs="宋体"/>
          <w:color w:val="auto"/>
          <w:highlight w:val="none"/>
        </w:rPr>
        <w:t>2、为持续打造蜜桃音乐</w:t>
      </w:r>
      <w:r>
        <w:rPr>
          <w:rFonts w:hint="eastAsia" w:hAnsi="宋体" w:cs="宋体"/>
          <w:color w:val="auto"/>
          <w:highlight w:val="none"/>
          <w:lang w:val="en-US"/>
        </w:rPr>
        <w:t>节</w:t>
      </w:r>
      <w:r>
        <w:rPr>
          <w:rFonts w:hint="eastAsia" w:hAnsi="宋体" w:cs="宋体"/>
          <w:color w:val="auto"/>
          <w:highlight w:val="none"/>
        </w:rPr>
        <w:t>文化品牌，运用音乐</w:t>
      </w:r>
      <w:r>
        <w:rPr>
          <w:rFonts w:hint="eastAsia" w:hAnsi="宋体" w:cs="宋体"/>
          <w:color w:val="auto"/>
          <w:highlight w:val="none"/>
          <w:lang w:val="en-US"/>
        </w:rPr>
        <w:t>节</w:t>
      </w:r>
      <w:r>
        <w:rPr>
          <w:rFonts w:hint="eastAsia" w:hAnsi="宋体" w:cs="宋体"/>
          <w:color w:val="auto"/>
          <w:highlight w:val="none"/>
        </w:rPr>
        <w:t>特有的体验化市场营销模式，表达“青春、 自由、浪漫”的城市生活理念，吸引青年人群参与体验，为城市品牌注入新鲜活力，提升城市文化软实力。</w:t>
      </w:r>
    </w:p>
    <w:p w14:paraId="2490C2DA">
      <w:pPr>
        <w:pStyle w:val="9"/>
        <w:spacing w:line="420" w:lineRule="exact"/>
        <w:rPr>
          <w:rFonts w:hAnsi="宋体" w:cs="宋体"/>
          <w:b/>
          <w:bCs/>
          <w:color w:val="auto"/>
          <w:kern w:val="0"/>
          <w:highlight w:val="none"/>
        </w:rPr>
      </w:pPr>
      <w:r>
        <w:rPr>
          <w:rFonts w:hint="eastAsia" w:hAnsi="宋体" w:cs="宋体"/>
          <w:b/>
          <w:bCs/>
          <w:color w:val="auto"/>
          <w:kern w:val="0"/>
          <w:highlight w:val="none"/>
          <w:lang w:val="en-US"/>
        </w:rPr>
        <w:t>三、</w:t>
      </w:r>
      <w:r>
        <w:rPr>
          <w:rFonts w:hint="eastAsia" w:hAnsi="宋体" w:cs="宋体"/>
          <w:b/>
          <w:bCs/>
          <w:color w:val="auto"/>
          <w:kern w:val="0"/>
          <w:highlight w:val="none"/>
        </w:rPr>
        <w:t>活动要求</w:t>
      </w:r>
    </w:p>
    <w:p w14:paraId="6416A1D0">
      <w:pPr>
        <w:pStyle w:val="12"/>
        <w:spacing w:line="420" w:lineRule="exact"/>
        <w:ind w:firstLine="422" w:firstLineChars="200"/>
        <w:rPr>
          <w:rFonts w:hAnsi="宋体" w:cs="宋体"/>
          <w:color w:val="auto"/>
          <w:highlight w:val="none"/>
        </w:rPr>
      </w:pPr>
      <w:r>
        <w:rPr>
          <w:rFonts w:hint="eastAsia" w:hAnsi="宋体" w:cs="宋体"/>
          <w:b/>
          <w:bCs/>
          <w:color w:val="auto"/>
          <w:highlight w:val="none"/>
        </w:rPr>
        <w:t>▲1、活动时间</w:t>
      </w:r>
      <w:r>
        <w:rPr>
          <w:rFonts w:hint="eastAsia" w:hAnsi="宋体" w:cs="宋体"/>
          <w:color w:val="auto"/>
          <w:highlight w:val="none"/>
        </w:rPr>
        <w:t>：202</w:t>
      </w:r>
      <w:r>
        <w:rPr>
          <w:rFonts w:hint="eastAsia" w:hAnsi="宋体" w:cs="宋体"/>
          <w:color w:val="auto"/>
          <w:highlight w:val="none"/>
          <w:lang w:val="en-US" w:eastAsia="zh-CN"/>
        </w:rPr>
        <w:t>5</w:t>
      </w:r>
      <w:r>
        <w:rPr>
          <w:rFonts w:hint="eastAsia" w:hAnsi="宋体" w:cs="宋体"/>
          <w:color w:val="auto"/>
          <w:highlight w:val="none"/>
        </w:rPr>
        <w:t>年</w:t>
      </w:r>
      <w:r>
        <w:rPr>
          <w:rFonts w:hint="eastAsia" w:hAnsi="宋体" w:cs="宋体"/>
          <w:color w:val="auto"/>
          <w:highlight w:val="none"/>
          <w:lang w:val="en-US" w:eastAsia="zh-CN"/>
        </w:rPr>
        <w:t>7</w:t>
      </w:r>
      <w:r>
        <w:rPr>
          <w:rFonts w:hint="eastAsia" w:hAnsi="宋体" w:cs="宋体"/>
          <w:color w:val="auto"/>
          <w:highlight w:val="none"/>
        </w:rPr>
        <w:t>月</w:t>
      </w:r>
      <w:r>
        <w:rPr>
          <w:rFonts w:hint="eastAsia" w:hAnsi="宋体" w:cs="宋体"/>
          <w:color w:val="auto"/>
          <w:highlight w:val="none"/>
          <w:lang w:val="en-US" w:eastAsia="zh-CN"/>
        </w:rPr>
        <w:t>12日</w:t>
      </w:r>
      <w:r>
        <w:rPr>
          <w:rFonts w:hint="eastAsia" w:hAnsi="宋体" w:cs="宋体"/>
          <w:color w:val="auto"/>
          <w:highlight w:val="none"/>
        </w:rPr>
        <w:t>1</w:t>
      </w:r>
      <w:r>
        <w:rPr>
          <w:rFonts w:hint="eastAsia" w:hAnsi="宋体" w:cs="宋体"/>
          <w:color w:val="auto"/>
          <w:highlight w:val="none"/>
          <w:lang w:val="en-US" w:eastAsia="zh-CN"/>
        </w:rPr>
        <w:t>6</w:t>
      </w:r>
      <w:r>
        <w:rPr>
          <w:rFonts w:hint="eastAsia" w:hAnsi="宋体" w:cs="宋体"/>
          <w:color w:val="auto"/>
          <w:highlight w:val="none"/>
        </w:rPr>
        <w:t>:</w:t>
      </w:r>
      <w:r>
        <w:rPr>
          <w:rFonts w:hint="eastAsia" w:hAnsi="宋体" w:cs="宋体"/>
          <w:color w:val="auto"/>
          <w:highlight w:val="none"/>
          <w:lang w:val="en-US" w:eastAsia="zh-CN"/>
        </w:rPr>
        <w:t>0</w:t>
      </w:r>
      <w:r>
        <w:rPr>
          <w:rFonts w:hint="eastAsia" w:hAnsi="宋体" w:cs="宋体"/>
          <w:color w:val="auto"/>
          <w:highlight w:val="none"/>
        </w:rPr>
        <w:t>0-22:00</w:t>
      </w:r>
      <w:r>
        <w:rPr>
          <w:rFonts w:hint="eastAsia" w:hAnsi="宋体" w:cs="宋体"/>
          <w:color w:val="auto"/>
          <w:highlight w:val="none"/>
          <w:lang w:val="en-US" w:eastAsia="zh-CN"/>
        </w:rPr>
        <w:t xml:space="preserve">、 </w:t>
      </w:r>
      <w:r>
        <w:rPr>
          <w:rFonts w:hint="eastAsia" w:hAnsi="宋体" w:cs="宋体"/>
          <w:color w:val="auto"/>
          <w:highlight w:val="none"/>
        </w:rPr>
        <w:t>202</w:t>
      </w:r>
      <w:r>
        <w:rPr>
          <w:rFonts w:hint="eastAsia" w:hAnsi="宋体" w:cs="宋体"/>
          <w:color w:val="auto"/>
          <w:highlight w:val="none"/>
          <w:lang w:val="en-US" w:eastAsia="zh-CN"/>
        </w:rPr>
        <w:t>5</w:t>
      </w:r>
      <w:r>
        <w:rPr>
          <w:rFonts w:hint="eastAsia" w:hAnsi="宋体" w:cs="宋体"/>
          <w:color w:val="auto"/>
          <w:highlight w:val="none"/>
        </w:rPr>
        <w:t>年</w:t>
      </w:r>
      <w:r>
        <w:rPr>
          <w:rFonts w:hint="eastAsia" w:hAnsi="宋体" w:cs="宋体"/>
          <w:color w:val="auto"/>
          <w:highlight w:val="none"/>
          <w:lang w:val="en-US" w:eastAsia="zh-CN"/>
        </w:rPr>
        <w:t>7</w:t>
      </w:r>
      <w:r>
        <w:rPr>
          <w:rFonts w:hint="eastAsia" w:hAnsi="宋体" w:cs="宋体"/>
          <w:color w:val="auto"/>
          <w:highlight w:val="none"/>
        </w:rPr>
        <w:t>月</w:t>
      </w:r>
      <w:r>
        <w:rPr>
          <w:rFonts w:hint="eastAsia" w:hAnsi="宋体" w:cs="宋体"/>
          <w:color w:val="auto"/>
          <w:highlight w:val="none"/>
          <w:lang w:val="en-US" w:eastAsia="zh-CN"/>
        </w:rPr>
        <w:t>13</w:t>
      </w:r>
      <w:r>
        <w:rPr>
          <w:rFonts w:hint="eastAsia" w:hAnsi="宋体" w:cs="宋体"/>
          <w:color w:val="auto"/>
          <w:highlight w:val="none"/>
        </w:rPr>
        <w:t xml:space="preserve"> 日 1</w:t>
      </w:r>
      <w:r>
        <w:rPr>
          <w:rFonts w:hint="eastAsia" w:hAnsi="宋体" w:cs="宋体"/>
          <w:color w:val="auto"/>
          <w:highlight w:val="none"/>
          <w:lang w:val="en-US" w:eastAsia="zh-CN"/>
        </w:rPr>
        <w:t>6</w:t>
      </w:r>
      <w:r>
        <w:rPr>
          <w:rFonts w:hint="eastAsia" w:hAnsi="宋体" w:cs="宋体"/>
          <w:color w:val="auto"/>
          <w:highlight w:val="none"/>
        </w:rPr>
        <w:t>:</w:t>
      </w:r>
      <w:r>
        <w:rPr>
          <w:rFonts w:hint="eastAsia" w:hAnsi="宋体" w:cs="宋体"/>
          <w:color w:val="auto"/>
          <w:highlight w:val="none"/>
          <w:lang w:val="en-US" w:eastAsia="zh-CN"/>
        </w:rPr>
        <w:t>0</w:t>
      </w:r>
      <w:r>
        <w:rPr>
          <w:rFonts w:hint="eastAsia" w:hAnsi="宋体" w:cs="宋体"/>
          <w:color w:val="auto"/>
          <w:highlight w:val="none"/>
        </w:rPr>
        <w:t>0-22:00；（最终活动时间以采购人确定的时间为准）</w:t>
      </w:r>
    </w:p>
    <w:p w14:paraId="6497BD5F">
      <w:pPr>
        <w:pStyle w:val="12"/>
        <w:spacing w:line="420" w:lineRule="exact"/>
        <w:ind w:firstLine="422" w:firstLineChars="200"/>
        <w:rPr>
          <w:rFonts w:hint="eastAsia" w:hAnsi="宋体" w:eastAsia="宋体" w:cs="宋体"/>
          <w:color w:val="auto"/>
          <w:highlight w:val="none"/>
          <w:lang w:eastAsia="zh-CN"/>
        </w:rPr>
      </w:pPr>
      <w:r>
        <w:rPr>
          <w:rFonts w:hint="eastAsia" w:hAnsi="宋体" w:cs="宋体"/>
          <w:b/>
          <w:bCs/>
          <w:color w:val="auto"/>
          <w:highlight w:val="none"/>
        </w:rPr>
        <w:t>▲2、活动地点：</w:t>
      </w:r>
      <w:r>
        <w:rPr>
          <w:rFonts w:hint="eastAsia" w:hAnsi="宋体" w:cs="宋体"/>
          <w:b/>
          <w:bCs/>
          <w:color w:val="auto"/>
          <w:highlight w:val="none"/>
          <w:lang w:eastAsia="zh-CN"/>
        </w:rPr>
        <w:t>宁波紫璋台度假酒店</w:t>
      </w:r>
    </w:p>
    <w:p w14:paraId="3B09B725">
      <w:pPr>
        <w:pStyle w:val="12"/>
        <w:spacing w:line="420" w:lineRule="exact"/>
        <w:ind w:firstLine="422" w:firstLineChars="200"/>
        <w:rPr>
          <w:rFonts w:hint="eastAsia" w:hAnsi="宋体" w:cs="宋体"/>
          <w:b/>
          <w:bCs/>
          <w:color w:val="auto"/>
          <w:kern w:val="0"/>
          <w:highlight w:val="none"/>
          <w:lang w:val="en-US"/>
        </w:rPr>
      </w:pPr>
      <w:r>
        <w:rPr>
          <w:rFonts w:hint="eastAsia" w:hAnsi="宋体" w:cs="宋体"/>
          <w:b/>
          <w:bCs/>
          <w:color w:val="auto"/>
          <w:highlight w:val="none"/>
        </w:rPr>
        <w:t>▲3、观众人数：</w:t>
      </w:r>
      <w:r>
        <w:rPr>
          <w:rFonts w:hint="eastAsia" w:hAnsi="宋体" w:cs="宋体"/>
          <w:b/>
          <w:bCs/>
          <w:color w:val="auto"/>
          <w:highlight w:val="none"/>
          <w:lang w:val="en-US" w:eastAsia="zh-CN"/>
        </w:rPr>
        <w:t>2025年7月12日10000人/天；7月13日10000人/天。</w:t>
      </w:r>
    </w:p>
    <w:p w14:paraId="5B9518BC">
      <w:pPr>
        <w:pStyle w:val="9"/>
        <w:spacing w:line="420" w:lineRule="exact"/>
        <w:rPr>
          <w:rFonts w:hint="eastAsia" w:hAnsi="宋体" w:cs="宋体"/>
          <w:b/>
          <w:bCs/>
          <w:color w:val="auto"/>
          <w:kern w:val="0"/>
          <w:highlight w:val="none"/>
          <w:lang w:val="en-US"/>
        </w:rPr>
      </w:pPr>
      <w:r>
        <w:rPr>
          <w:rFonts w:hint="eastAsia" w:hAnsi="宋体" w:cs="宋体"/>
          <w:b/>
          <w:bCs/>
          <w:color w:val="auto"/>
          <w:kern w:val="0"/>
          <w:highlight w:val="none"/>
          <w:lang w:val="en-US"/>
        </w:rPr>
        <w:t>四、执行要求</w:t>
      </w:r>
    </w:p>
    <w:p w14:paraId="161FC787">
      <w:pPr>
        <w:snapToGrid w:val="0"/>
        <w:spacing w:line="420" w:lineRule="exact"/>
        <w:ind w:firstLine="422" w:firstLineChars="200"/>
        <w:rPr>
          <w:rFonts w:hint="eastAsia" w:ascii="宋体" w:hAnsi="宋体" w:cs="宋体"/>
          <w:b/>
          <w:bCs/>
          <w:color w:val="auto"/>
          <w:szCs w:val="21"/>
          <w:highlight w:val="none"/>
        </w:rPr>
      </w:pPr>
      <w:r>
        <w:rPr>
          <w:rFonts w:hint="eastAsia" w:hAnsi="宋体" w:cs="宋体"/>
          <w:b/>
          <w:bCs/>
          <w:color w:val="auto"/>
          <w:szCs w:val="21"/>
          <w:highlight w:val="none"/>
        </w:rPr>
        <w:t>▲</w:t>
      </w:r>
      <w:r>
        <w:rPr>
          <w:rFonts w:hint="eastAsia" w:ascii="宋体" w:hAnsi="宋体" w:cs="宋体"/>
          <w:b/>
          <w:bCs/>
          <w:color w:val="auto"/>
          <w:szCs w:val="21"/>
          <w:highlight w:val="none"/>
        </w:rPr>
        <w:t>1、执行内容：负责</w:t>
      </w:r>
      <w:r>
        <w:rPr>
          <w:rFonts w:hint="eastAsia" w:hAnsi="宋体" w:cs="宋体"/>
          <w:b/>
          <w:bCs/>
          <w:color w:val="auto"/>
          <w:highlight w:val="none"/>
          <w:lang w:val="en-US" w:eastAsia="zh-CN"/>
        </w:rPr>
        <w:t>7月12日-7月13日</w:t>
      </w:r>
      <w:r>
        <w:rPr>
          <w:rFonts w:hint="eastAsia" w:ascii="宋体" w:hAnsi="宋体" w:cs="宋体"/>
          <w:b/>
          <w:bCs/>
          <w:color w:val="auto"/>
          <w:szCs w:val="21"/>
          <w:highlight w:val="none"/>
        </w:rPr>
        <w:t>的舞台模块（包含</w:t>
      </w:r>
      <w:r>
        <w:rPr>
          <w:rFonts w:hint="eastAsia" w:ascii="宋体" w:hAnsi="宋体" w:cs="宋体"/>
          <w:b/>
          <w:bCs/>
          <w:color w:val="auto"/>
          <w:kern w:val="0"/>
          <w:szCs w:val="21"/>
          <w:highlight w:val="none"/>
        </w:rPr>
        <w:t>灯光设计、舞台音效等</w:t>
      </w:r>
      <w:r>
        <w:rPr>
          <w:rFonts w:hint="eastAsia" w:ascii="宋体" w:hAnsi="宋体" w:cs="宋体"/>
          <w:b/>
          <w:bCs/>
          <w:color w:val="auto"/>
          <w:szCs w:val="21"/>
          <w:highlight w:val="none"/>
        </w:rPr>
        <w:t>）、视觉设计、物料制作、摄影</w:t>
      </w:r>
      <w:r>
        <w:rPr>
          <w:rFonts w:hint="eastAsia" w:ascii="宋体" w:hAnsi="宋体" w:cs="宋体"/>
          <w:b/>
          <w:bCs/>
          <w:color w:val="auto"/>
          <w:kern w:val="0"/>
          <w:szCs w:val="21"/>
          <w:highlight w:val="none"/>
        </w:rPr>
        <w:t>摄像</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项目宣发</w:t>
      </w:r>
      <w:r>
        <w:rPr>
          <w:rFonts w:hint="eastAsia" w:ascii="宋体" w:hAnsi="宋体" w:cs="宋体"/>
          <w:b/>
          <w:bCs/>
          <w:color w:val="auto"/>
          <w:szCs w:val="21"/>
          <w:highlight w:val="none"/>
        </w:rPr>
        <w:t>等工作。</w:t>
      </w:r>
    </w:p>
    <w:p w14:paraId="0F7CEEC3">
      <w:pPr>
        <w:snapToGrid w:val="0"/>
        <w:spacing w:line="420" w:lineRule="exact"/>
        <w:ind w:firstLine="422" w:firstLineChars="200"/>
        <w:rPr>
          <w:rFonts w:ascii="宋体" w:hAnsi="宋体" w:cs="宋体"/>
          <w:color w:val="auto"/>
          <w:kern w:val="0"/>
          <w:szCs w:val="21"/>
          <w:highlight w:val="none"/>
        </w:rPr>
      </w:pPr>
      <w:r>
        <w:rPr>
          <w:rFonts w:hint="eastAsia" w:hAnsi="宋体" w:cs="宋体"/>
          <w:b/>
          <w:bCs/>
          <w:color w:val="auto"/>
          <w:szCs w:val="21"/>
          <w:highlight w:val="none"/>
        </w:rPr>
        <w:t>▲</w:t>
      </w:r>
      <w:r>
        <w:rPr>
          <w:rFonts w:hint="eastAsia" w:ascii="宋体" w:hAnsi="宋体" w:cs="宋体"/>
          <w:b/>
          <w:bCs/>
          <w:color w:val="auto"/>
          <w:szCs w:val="21"/>
          <w:highlight w:val="none"/>
        </w:rPr>
        <w:t>2、策划创意：</w:t>
      </w:r>
      <w:r>
        <w:rPr>
          <w:rFonts w:hint="eastAsia" w:ascii="宋体" w:hAnsi="宋体" w:cs="宋体"/>
          <w:color w:val="auto"/>
          <w:szCs w:val="21"/>
          <w:highlight w:val="none"/>
        </w:rPr>
        <w:t>围绕“</w:t>
      </w:r>
      <w:r>
        <w:rPr>
          <w:rFonts w:hint="eastAsia" w:ascii="宋体" w:hAnsi="宋体" w:cs="宋体"/>
          <w:color w:val="auto"/>
          <w:szCs w:val="21"/>
          <w:highlight w:val="none"/>
          <w:lang w:eastAsia="zh-CN"/>
        </w:rPr>
        <w:t>2025蜜桃音乐节</w:t>
      </w:r>
      <w:r>
        <w:rPr>
          <w:rFonts w:hint="eastAsia" w:ascii="宋体" w:hAnsi="宋体" w:cs="宋体"/>
          <w:color w:val="auto"/>
          <w:szCs w:val="21"/>
          <w:highlight w:val="none"/>
        </w:rPr>
        <w:t>”进行策划，包括舞台装饰、灯光设计、视觉效果等。需考虑主题的呈现方式，以及与艺人形象和音乐风格的契合，创造出独特而令人难忘的演出</w:t>
      </w:r>
      <w:r>
        <w:rPr>
          <w:rFonts w:hint="eastAsia" w:ascii="宋体" w:hAnsi="宋体" w:cs="宋体"/>
          <w:color w:val="auto"/>
          <w:kern w:val="0"/>
          <w:szCs w:val="21"/>
          <w:highlight w:val="none"/>
        </w:rPr>
        <w:t>体验。</w:t>
      </w:r>
    </w:p>
    <w:p w14:paraId="2EC84016">
      <w:pPr>
        <w:snapToGrid w:val="0"/>
        <w:spacing w:line="420" w:lineRule="exact"/>
        <w:ind w:firstLine="422" w:firstLineChars="200"/>
        <w:rPr>
          <w:rFonts w:hint="default" w:ascii="宋体" w:hAnsi="宋体" w:eastAsia="宋体" w:cs="宋体"/>
          <w:color w:val="auto"/>
          <w:szCs w:val="21"/>
          <w:highlight w:val="none"/>
          <w:lang w:val="en-US" w:eastAsia="zh-CN"/>
        </w:rPr>
      </w:pPr>
      <w:r>
        <w:rPr>
          <w:rFonts w:hint="eastAsia" w:hAnsi="宋体" w:cs="宋体"/>
          <w:b/>
          <w:bCs/>
          <w:color w:val="auto"/>
          <w:szCs w:val="21"/>
          <w:highlight w:val="none"/>
        </w:rPr>
        <w:t>▲</w:t>
      </w:r>
      <w:r>
        <w:rPr>
          <w:rFonts w:hint="eastAsia" w:ascii="宋体" w:hAnsi="宋体" w:cs="宋体"/>
          <w:b/>
          <w:bCs/>
          <w:color w:val="auto"/>
          <w:kern w:val="0"/>
          <w:szCs w:val="21"/>
          <w:highlight w:val="none"/>
        </w:rPr>
        <w:t>3、宣传需求：</w:t>
      </w:r>
      <w:r>
        <w:rPr>
          <w:rFonts w:hint="eastAsia" w:ascii="宋体" w:hAnsi="宋体" w:cs="宋体"/>
          <w:color w:val="auto"/>
          <w:szCs w:val="21"/>
          <w:highlight w:val="none"/>
          <w:lang w:val="en-US" w:eastAsia="zh-CN"/>
        </w:rPr>
        <w:t>配套市级及以上媒体宣发渠</w:t>
      </w:r>
      <w:r>
        <w:rPr>
          <w:rFonts w:hint="eastAsia" w:ascii="宋体" w:hAnsi="宋体" w:eastAsia="宋体" w:cs="宋体"/>
          <w:color w:val="auto"/>
          <w:szCs w:val="21"/>
          <w:highlight w:val="none"/>
          <w:lang w:val="en-US" w:eastAsia="zh-CN"/>
        </w:rPr>
        <w:t>道，投放时间不少于30天；宣传内容：</w:t>
      </w:r>
      <w:r>
        <w:rPr>
          <w:rFonts w:hint="eastAsia" w:ascii="宋体" w:hAnsi="宋体" w:cs="宋体"/>
          <w:color w:val="auto"/>
          <w:szCs w:val="21"/>
          <w:highlight w:val="none"/>
          <w:lang w:val="en-US" w:eastAsia="zh-CN"/>
        </w:rPr>
        <w:t>主要以“</w:t>
      </w:r>
      <w:r>
        <w:rPr>
          <w:rFonts w:hint="eastAsia" w:ascii="宋体" w:hAnsi="宋体" w:eastAsia="宋体" w:cs="宋体"/>
          <w:color w:val="auto"/>
          <w:szCs w:val="21"/>
          <w:highlight w:val="none"/>
          <w:lang w:val="en-US" w:eastAsia="zh-CN"/>
        </w:rPr>
        <w:t>奉化农文旅资源及产品</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蜜桃音乐节</w:t>
      </w:r>
      <w:r>
        <w:rPr>
          <w:rFonts w:hint="eastAsia" w:ascii="宋体" w:hAnsi="宋体" w:cs="宋体"/>
          <w:color w:val="auto"/>
          <w:szCs w:val="21"/>
          <w:highlight w:val="none"/>
          <w:lang w:val="en-US" w:eastAsia="zh-CN"/>
        </w:rPr>
        <w:t>”为主。</w:t>
      </w:r>
    </w:p>
    <w:p w14:paraId="5FAA2699">
      <w:pPr>
        <w:snapToGrid w:val="0"/>
        <w:spacing w:line="420" w:lineRule="exact"/>
        <w:ind w:firstLine="422" w:firstLineChars="200"/>
        <w:rPr>
          <w:rFonts w:hint="default" w:ascii="宋体" w:hAnsi="宋体" w:cs="宋体"/>
          <w:color w:val="auto"/>
          <w:szCs w:val="21"/>
          <w:highlight w:val="none"/>
          <w:lang w:val="en-US" w:eastAsia="zh-CN"/>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4、宣发渠道:</w:t>
      </w:r>
      <w:r>
        <w:rPr>
          <w:rFonts w:hint="eastAsia" w:ascii="宋体" w:hAnsi="宋体" w:cs="宋体"/>
          <w:color w:val="auto"/>
          <w:szCs w:val="21"/>
          <w:highlight w:val="none"/>
          <w:lang w:val="en-US" w:eastAsia="zh-CN"/>
        </w:rPr>
        <w:t>户外大屏媒体宣发渠道，投放时间不少于 30 天，曝光时间不少于200次/天；地铁电视投放宣传，承诺中标后电视投放宣传地铁线路不少于4条，投放时间不少于 30 天，地铁电视媒体曝光频次不少于128次/天；新媒体推文产出数量不少于 10 篇。</w:t>
      </w:r>
    </w:p>
    <w:p w14:paraId="141F1ED7">
      <w:pPr>
        <w:snapToGrid w:val="0"/>
        <w:spacing w:line="420" w:lineRule="exact"/>
        <w:rPr>
          <w:rFonts w:hint="eastAsia" w:ascii="宋体" w:hAnsi="宋体" w:eastAsia="宋体" w:cs="宋体"/>
          <w:b/>
          <w:bCs/>
          <w:snapToGrid w:val="0"/>
          <w:color w:val="auto"/>
          <w:kern w:val="0"/>
          <w:sz w:val="24"/>
          <w:szCs w:val="21"/>
          <w:highlight w:val="none"/>
          <w:lang w:val="en-US" w:eastAsia="zh-CN" w:bidi="ar-SA"/>
        </w:rPr>
      </w:pPr>
      <w:r>
        <w:rPr>
          <w:rFonts w:hint="eastAsia" w:ascii="宋体" w:hAnsi="宋体" w:eastAsia="宋体" w:cs="宋体"/>
          <w:b/>
          <w:bCs/>
          <w:snapToGrid w:val="0"/>
          <w:color w:val="auto"/>
          <w:kern w:val="0"/>
          <w:sz w:val="24"/>
          <w:szCs w:val="21"/>
          <w:highlight w:val="none"/>
          <w:lang w:val="en-US" w:eastAsia="zh-CN" w:bidi="ar-SA"/>
        </w:rPr>
        <w:t>五、舞台模块</w:t>
      </w:r>
    </w:p>
    <w:p w14:paraId="3A24792B">
      <w:pPr>
        <w:snapToGrid w:val="0"/>
        <w:spacing w:line="420" w:lineRule="exact"/>
        <w:ind w:firstLine="422" w:firstLineChars="200"/>
        <w:rPr>
          <w:rFonts w:ascii="宋体" w:hAnsi="宋体" w:cs="宋体"/>
          <w:color w:val="auto"/>
          <w:kern w:val="0"/>
          <w:szCs w:val="21"/>
          <w:highlight w:val="none"/>
        </w:rPr>
      </w:pPr>
      <w:r>
        <w:rPr>
          <w:rFonts w:hint="eastAsia" w:hAnsi="宋体" w:cs="宋体"/>
          <w:b/>
          <w:bCs/>
          <w:color w:val="auto"/>
          <w:szCs w:val="21"/>
          <w:highlight w:val="none"/>
        </w:rPr>
        <w:t>▲</w:t>
      </w:r>
      <w:r>
        <w:rPr>
          <w:rFonts w:hint="eastAsia" w:ascii="宋体" w:hAnsi="宋体" w:cs="宋体"/>
          <w:b/>
          <w:bCs/>
          <w:color w:val="auto"/>
          <w:kern w:val="0"/>
          <w:szCs w:val="21"/>
          <w:highlight w:val="none"/>
        </w:rPr>
        <w:t>1、音乐节舞台要求：</w:t>
      </w:r>
      <w:r>
        <w:rPr>
          <w:rFonts w:hint="eastAsia" w:ascii="宋体" w:hAnsi="宋体" w:cs="宋体"/>
          <w:color w:val="auto"/>
          <w:kern w:val="0"/>
          <w:szCs w:val="21"/>
          <w:highlight w:val="none"/>
        </w:rPr>
        <w:t>有特色的舞台设计、布置，舞台搭建采用力压架或钢管，主舞台基础部分不小于</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米，高度不低于2米，灯光架采用雷亚架，TRUSS架或同类型架子。整体舞台宽度不小于</w:t>
      </w:r>
      <w:r>
        <w:rPr>
          <w:rFonts w:hint="eastAsia" w:ascii="宋体" w:hAnsi="宋体" w:cs="宋体"/>
          <w:color w:val="auto"/>
          <w:kern w:val="0"/>
          <w:szCs w:val="21"/>
          <w:highlight w:val="none"/>
          <w:lang w:val="en-US" w:eastAsia="zh-CN"/>
        </w:rPr>
        <w:t>48</w:t>
      </w:r>
      <w:r>
        <w:rPr>
          <w:rFonts w:hint="eastAsia" w:ascii="宋体" w:hAnsi="宋体" w:cs="宋体"/>
          <w:color w:val="auto"/>
          <w:kern w:val="0"/>
          <w:szCs w:val="21"/>
          <w:highlight w:val="none"/>
        </w:rPr>
        <w:t>m；LED户外防水大屏（主屏、两侧直播氛围屏）；音响要求满足</w:t>
      </w:r>
      <w:r>
        <w:rPr>
          <w:rFonts w:hint="eastAsia" w:ascii="宋体" w:hAnsi="宋体" w:cs="宋体"/>
          <w:color w:val="auto"/>
          <w:kern w:val="0"/>
          <w:szCs w:val="21"/>
          <w:highlight w:val="none"/>
          <w:lang w:val="en-US" w:eastAsia="zh-CN"/>
        </w:rPr>
        <w:t>10000</w:t>
      </w:r>
      <w:r>
        <w:rPr>
          <w:rFonts w:hint="eastAsia" w:ascii="宋体" w:hAnsi="宋体" w:cs="宋体"/>
          <w:color w:val="auto"/>
          <w:kern w:val="0"/>
          <w:szCs w:val="21"/>
          <w:highlight w:val="none"/>
        </w:rPr>
        <w:t>听众的听音要求、舞台返送监听，系统要大功率、高保真。满足乐手、歌手演绎。乐队音乐大功率，要求较高的功率储备。主扩音箱采用当今流行的吊装线阵列音箱灵敏度高。活动期间主舞台电力接线由乙方负责，电费由采购人承担。</w:t>
      </w:r>
    </w:p>
    <w:p w14:paraId="43C27C06">
      <w:pPr>
        <w:snapToGrid w:val="0"/>
        <w:spacing w:line="420" w:lineRule="exact"/>
        <w:ind w:firstLine="422" w:firstLineChars="200"/>
        <w:rPr>
          <w:rFonts w:ascii="宋体" w:hAnsi="宋体" w:cs="宋体"/>
          <w:color w:val="auto"/>
          <w:kern w:val="0"/>
          <w:szCs w:val="21"/>
          <w:highlight w:val="none"/>
        </w:rPr>
      </w:pPr>
      <w:r>
        <w:rPr>
          <w:rFonts w:hint="eastAsia" w:hAnsi="宋体" w:cs="宋体"/>
          <w:b/>
          <w:bCs/>
          <w:color w:val="auto"/>
          <w:szCs w:val="21"/>
          <w:highlight w:val="none"/>
        </w:rPr>
        <w:t>▲</w:t>
      </w:r>
      <w:r>
        <w:rPr>
          <w:rFonts w:hint="eastAsia" w:ascii="宋体" w:hAnsi="宋体" w:cs="宋体"/>
          <w:b/>
          <w:bCs/>
          <w:color w:val="auto"/>
          <w:kern w:val="0"/>
          <w:szCs w:val="21"/>
          <w:highlight w:val="none"/>
        </w:rPr>
        <w:t>2、灯光设计要求：</w:t>
      </w:r>
      <w:r>
        <w:rPr>
          <w:rFonts w:hint="eastAsia" w:ascii="宋体" w:hAnsi="宋体" w:cs="宋体"/>
          <w:color w:val="auto"/>
          <w:kern w:val="0"/>
          <w:szCs w:val="21"/>
          <w:highlight w:val="none"/>
        </w:rPr>
        <w:t>制定灯光设计方案，通过灯光的运用来营造表演的氛围和情感。对接演唱会合作参与艺人，根据艺人需求考虑使用色彩和灯光强度的变化，以配合音乐和艺人表演，营造出视觉冲击力和舞台效果。</w:t>
      </w:r>
    </w:p>
    <w:p w14:paraId="19780DA1">
      <w:pPr>
        <w:snapToGrid w:val="0"/>
        <w:spacing w:line="420" w:lineRule="exact"/>
        <w:ind w:firstLine="422" w:firstLineChars="200"/>
        <w:rPr>
          <w:rFonts w:ascii="宋体" w:hAnsi="宋体" w:cs="宋体"/>
          <w:color w:val="auto"/>
          <w:kern w:val="0"/>
          <w:szCs w:val="21"/>
          <w:highlight w:val="none"/>
        </w:rPr>
      </w:pPr>
      <w:r>
        <w:rPr>
          <w:rFonts w:hint="eastAsia" w:hAnsi="宋体" w:cs="宋体"/>
          <w:b/>
          <w:bCs/>
          <w:color w:val="auto"/>
          <w:szCs w:val="21"/>
          <w:highlight w:val="none"/>
        </w:rPr>
        <w:t>▲</w:t>
      </w:r>
      <w:r>
        <w:rPr>
          <w:rFonts w:hint="eastAsia" w:ascii="宋体" w:hAnsi="宋体" w:cs="宋体"/>
          <w:b/>
          <w:bCs/>
          <w:color w:val="auto"/>
          <w:kern w:val="0"/>
          <w:szCs w:val="21"/>
          <w:highlight w:val="none"/>
        </w:rPr>
        <w:t>3、舞台音效要求：</w:t>
      </w:r>
      <w:r>
        <w:rPr>
          <w:rFonts w:hint="eastAsia" w:ascii="宋体" w:hAnsi="宋体" w:cs="宋体"/>
          <w:color w:val="auto"/>
          <w:kern w:val="0"/>
          <w:szCs w:val="21"/>
          <w:highlight w:val="none"/>
        </w:rPr>
        <w:t>确保良好的舞台音效，使观众可以清晰听到歌声和乐器演奏。对接演唱会合作参与艺人，根据艺人需求调整音响系统和舞台布置，以实现理想的音效效果，提升观众的听觉体验。</w:t>
      </w:r>
    </w:p>
    <w:p w14:paraId="1502C002">
      <w:pPr>
        <w:snapToGrid w:val="0"/>
        <w:spacing w:line="420" w:lineRule="exact"/>
        <w:rPr>
          <w:rFonts w:hAnsi="宋体" w:cs="宋体"/>
          <w:b/>
          <w:bCs/>
          <w:color w:val="auto"/>
          <w:szCs w:val="21"/>
          <w:highlight w:val="none"/>
        </w:rPr>
      </w:pPr>
      <w:r>
        <w:rPr>
          <w:rFonts w:hint="eastAsia" w:ascii="宋体" w:hAnsi="宋体" w:eastAsia="宋体" w:cs="宋体"/>
          <w:b/>
          <w:bCs/>
          <w:snapToGrid w:val="0"/>
          <w:color w:val="auto"/>
          <w:kern w:val="0"/>
          <w:sz w:val="24"/>
          <w:szCs w:val="21"/>
          <w:highlight w:val="none"/>
          <w:lang w:val="en-US" w:eastAsia="zh-CN" w:bidi="ar-SA"/>
        </w:rPr>
        <w:t>六、视觉设计要求</w:t>
      </w:r>
      <w:r>
        <w:rPr>
          <w:rFonts w:hint="eastAsia" w:ascii="宋体" w:hAnsi="宋体" w:cs="宋体"/>
          <w:b/>
          <w:bCs/>
          <w:color w:val="auto"/>
          <w:kern w:val="0"/>
          <w:szCs w:val="21"/>
          <w:highlight w:val="none"/>
        </w:rPr>
        <w:t>：包含活动VI设计及相关衍生设计（包含但不限于宣传画面、导视画面及线上宣传等相关设计）；</w:t>
      </w:r>
    </w:p>
    <w:p w14:paraId="740621C0">
      <w:pPr>
        <w:snapToGrid w:val="0"/>
        <w:spacing w:line="420" w:lineRule="exact"/>
        <w:rPr>
          <w:rFonts w:ascii="宋体" w:hAnsi="宋体" w:cs="宋体"/>
          <w:b/>
          <w:bCs/>
          <w:color w:val="auto"/>
          <w:kern w:val="0"/>
          <w:szCs w:val="21"/>
          <w:highlight w:val="none"/>
        </w:rPr>
      </w:pPr>
      <w:r>
        <w:rPr>
          <w:rFonts w:hint="eastAsia" w:ascii="宋体" w:hAnsi="宋体" w:cs="宋体"/>
          <w:b/>
          <w:bCs/>
          <w:snapToGrid w:val="0"/>
          <w:color w:val="auto"/>
          <w:kern w:val="0"/>
          <w:sz w:val="24"/>
          <w:szCs w:val="21"/>
          <w:highlight w:val="none"/>
          <w:lang w:val="en-US" w:eastAsia="zh-CN" w:bidi="ar-SA"/>
        </w:rPr>
        <w:t>七</w:t>
      </w:r>
      <w:r>
        <w:rPr>
          <w:rFonts w:hint="eastAsia" w:ascii="宋体" w:hAnsi="宋体" w:eastAsia="宋体" w:cs="宋体"/>
          <w:b/>
          <w:bCs/>
          <w:snapToGrid w:val="0"/>
          <w:color w:val="auto"/>
          <w:kern w:val="0"/>
          <w:sz w:val="24"/>
          <w:szCs w:val="21"/>
          <w:highlight w:val="none"/>
          <w:lang w:val="en-US" w:eastAsia="zh-CN" w:bidi="ar-SA"/>
        </w:rPr>
        <w:t>、摄影摄像要求</w:t>
      </w:r>
      <w:r>
        <w:rPr>
          <w:rFonts w:hint="eastAsia" w:ascii="宋体" w:hAnsi="宋体" w:cs="宋体"/>
          <w:b/>
          <w:bCs/>
          <w:color w:val="auto"/>
          <w:kern w:val="0"/>
          <w:szCs w:val="21"/>
          <w:highlight w:val="none"/>
        </w:rPr>
        <w:t>：活动现场每天2位摄影师，每天6个摄像机位；</w:t>
      </w:r>
    </w:p>
    <w:p w14:paraId="0A1EEC58">
      <w:pPr>
        <w:numPr>
          <w:ilvl w:val="0"/>
          <w:numId w:val="0"/>
        </w:numPr>
        <w:snapToGrid w:val="0"/>
        <w:spacing w:line="420" w:lineRule="exac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八、</w:t>
      </w:r>
      <w:r>
        <w:rPr>
          <w:rFonts w:hint="eastAsia" w:ascii="宋体" w:hAnsi="宋体" w:cs="宋体"/>
          <w:b/>
          <w:bCs/>
          <w:color w:val="auto"/>
          <w:kern w:val="0"/>
          <w:szCs w:val="21"/>
          <w:highlight w:val="none"/>
        </w:rPr>
        <w:t>供应商提供活动主视觉设计图及舞台设计效果图，提供活动现场工作人员安排方案。</w:t>
      </w:r>
    </w:p>
    <w:p w14:paraId="423FEFCC">
      <w:pPr>
        <w:snapToGrid w:val="0"/>
        <w:spacing w:line="420" w:lineRule="exact"/>
        <w:rPr>
          <w:rFonts w:hint="eastAsia" w:ascii="宋体" w:hAnsi="宋体" w:eastAsia="宋体" w:cs="宋体"/>
          <w:b/>
          <w:bCs/>
          <w:snapToGrid w:val="0"/>
          <w:color w:val="auto"/>
          <w:kern w:val="0"/>
          <w:sz w:val="24"/>
          <w:szCs w:val="21"/>
          <w:highlight w:val="none"/>
          <w:lang w:val="en-US" w:eastAsia="zh-CN" w:bidi="ar-SA"/>
        </w:rPr>
      </w:pPr>
      <w:r>
        <w:rPr>
          <w:rFonts w:hint="eastAsia" w:ascii="宋体" w:hAnsi="宋体" w:eastAsia="宋体" w:cs="宋体"/>
          <w:b/>
          <w:bCs/>
          <w:snapToGrid w:val="0"/>
          <w:color w:val="auto"/>
          <w:kern w:val="0"/>
          <w:sz w:val="24"/>
          <w:szCs w:val="21"/>
          <w:highlight w:val="none"/>
          <w:lang w:val="en-US" w:eastAsia="zh-CN" w:bidi="ar-SA"/>
        </w:rPr>
        <w:t>九、商务要求</w:t>
      </w:r>
    </w:p>
    <w:tbl>
      <w:tblPr>
        <w:tblStyle w:val="25"/>
        <w:tblW w:w="0" w:type="auto"/>
        <w:jc w:val="center"/>
        <w:tblLayout w:type="fixed"/>
        <w:tblCellMar>
          <w:top w:w="0" w:type="dxa"/>
          <w:left w:w="108" w:type="dxa"/>
          <w:bottom w:w="0" w:type="dxa"/>
          <w:right w:w="108" w:type="dxa"/>
        </w:tblCellMar>
      </w:tblPr>
      <w:tblGrid>
        <w:gridCol w:w="1548"/>
        <w:gridCol w:w="7065"/>
      </w:tblGrid>
      <w:tr w14:paraId="5FE125FD">
        <w:tblPrEx>
          <w:tblCellMar>
            <w:top w:w="0" w:type="dxa"/>
            <w:left w:w="108" w:type="dxa"/>
            <w:bottom w:w="0" w:type="dxa"/>
            <w:right w:w="108" w:type="dxa"/>
          </w:tblCellMar>
        </w:tblPrEx>
        <w:trPr>
          <w:trHeight w:val="484"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14:paraId="0C401394">
            <w:pPr>
              <w:spacing w:line="42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项目</w:t>
            </w:r>
          </w:p>
        </w:tc>
        <w:tc>
          <w:tcPr>
            <w:tcW w:w="7065" w:type="dxa"/>
            <w:tcBorders>
              <w:top w:val="single" w:color="000000" w:sz="4" w:space="0"/>
              <w:left w:val="single" w:color="000000" w:sz="4" w:space="0"/>
              <w:bottom w:val="single" w:color="000000" w:sz="4" w:space="0"/>
              <w:right w:val="single" w:color="000000" w:sz="4" w:space="0"/>
            </w:tcBorders>
            <w:vAlign w:val="center"/>
          </w:tcPr>
          <w:p w14:paraId="2C2C006D">
            <w:pPr>
              <w:spacing w:line="42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 xml:space="preserve">要 求 </w:t>
            </w:r>
          </w:p>
        </w:tc>
      </w:tr>
      <w:tr w14:paraId="62CCBEA5">
        <w:tblPrEx>
          <w:tblCellMar>
            <w:top w:w="0" w:type="dxa"/>
            <w:left w:w="108" w:type="dxa"/>
            <w:bottom w:w="0" w:type="dxa"/>
            <w:right w:w="108" w:type="dxa"/>
          </w:tblCellMar>
        </w:tblPrEx>
        <w:trPr>
          <w:trHeight w:val="1586"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14:paraId="47741A5F">
            <w:pPr>
              <w:spacing w:line="420" w:lineRule="exact"/>
              <w:rPr>
                <w:rFonts w:ascii="宋体" w:hAnsi="宋体" w:cs="宋体"/>
                <w:color w:val="auto"/>
                <w:kern w:val="1"/>
                <w:szCs w:val="21"/>
                <w:highlight w:val="none"/>
              </w:rPr>
            </w:pPr>
            <w:r>
              <w:rPr>
                <w:rFonts w:hint="eastAsia" w:ascii="宋体" w:hAnsi="宋体" w:cs="宋体"/>
                <w:color w:val="auto"/>
                <w:kern w:val="1"/>
                <w:szCs w:val="21"/>
                <w:highlight w:val="none"/>
              </w:rPr>
              <w:t>投标报价</w:t>
            </w:r>
          </w:p>
        </w:tc>
        <w:tc>
          <w:tcPr>
            <w:tcW w:w="7065" w:type="dxa"/>
            <w:tcBorders>
              <w:top w:val="single" w:color="000000" w:sz="4" w:space="0"/>
              <w:left w:val="single" w:color="000000" w:sz="4" w:space="0"/>
              <w:bottom w:val="single" w:color="000000" w:sz="4" w:space="0"/>
              <w:right w:val="single" w:color="000000" w:sz="4" w:space="0"/>
            </w:tcBorders>
            <w:vAlign w:val="center"/>
          </w:tcPr>
          <w:p w14:paraId="32A7443B">
            <w:pPr>
              <w:spacing w:line="420" w:lineRule="exact"/>
              <w:rPr>
                <w:rFonts w:ascii="宋体" w:hAnsi="宋体" w:cs="宋体"/>
                <w:color w:val="auto"/>
                <w:kern w:val="1"/>
                <w:szCs w:val="21"/>
                <w:highlight w:val="none"/>
              </w:rPr>
            </w:pPr>
            <w:r>
              <w:rPr>
                <w:rFonts w:hint="eastAsia" w:ascii="宋体" w:hAnsi="宋体" w:cs="宋体"/>
                <w:color w:val="auto"/>
                <w:kern w:val="1"/>
                <w:szCs w:val="21"/>
                <w:highlight w:val="none"/>
              </w:rPr>
              <w:t>投标报价是履行合同的最终价格，包括项目实施所需的人工费、设备材料费、机械费、物料费、服务费、运输费、安装调试费、购买、税费及其他一切费用。供应商少报或漏报的工作量，采购人将视为已包含在响应总价中，并不予调整。</w:t>
            </w:r>
          </w:p>
        </w:tc>
      </w:tr>
      <w:tr w14:paraId="0747B8DC">
        <w:tblPrEx>
          <w:tblCellMar>
            <w:top w:w="0" w:type="dxa"/>
            <w:left w:w="108" w:type="dxa"/>
            <w:bottom w:w="0" w:type="dxa"/>
            <w:right w:w="108" w:type="dxa"/>
          </w:tblCellMar>
        </w:tblPrEx>
        <w:trPr>
          <w:trHeight w:val="864"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14:paraId="3D1F43A7">
            <w:pPr>
              <w:spacing w:line="420" w:lineRule="exact"/>
              <w:rPr>
                <w:rFonts w:ascii="宋体" w:hAnsi="宋体" w:cs="宋体"/>
                <w:color w:val="auto"/>
                <w:kern w:val="1"/>
                <w:szCs w:val="21"/>
                <w:highlight w:val="none"/>
              </w:rPr>
            </w:pPr>
            <w:r>
              <w:rPr>
                <w:rFonts w:hint="eastAsia" w:ascii="宋体" w:hAnsi="宋体" w:cs="宋体"/>
                <w:color w:val="auto"/>
                <w:kern w:val="1"/>
                <w:szCs w:val="21"/>
                <w:highlight w:val="none"/>
              </w:rPr>
              <w:t>活动时间</w:t>
            </w:r>
          </w:p>
        </w:tc>
        <w:tc>
          <w:tcPr>
            <w:tcW w:w="7065" w:type="dxa"/>
            <w:tcBorders>
              <w:top w:val="single" w:color="000000" w:sz="4" w:space="0"/>
              <w:left w:val="single" w:color="000000" w:sz="4" w:space="0"/>
              <w:bottom w:val="single" w:color="000000" w:sz="4" w:space="0"/>
              <w:right w:val="single" w:color="000000" w:sz="4" w:space="0"/>
            </w:tcBorders>
            <w:vAlign w:val="center"/>
          </w:tcPr>
          <w:p w14:paraId="3766C5C0">
            <w:pPr>
              <w:pStyle w:val="12"/>
              <w:spacing w:line="420" w:lineRule="exact"/>
              <w:rPr>
                <w:rFonts w:hAnsi="宋体" w:cs="宋体"/>
                <w:color w:val="auto"/>
                <w:kern w:val="1"/>
                <w:highlight w:val="none"/>
              </w:rPr>
            </w:pPr>
            <w:r>
              <w:rPr>
                <w:rFonts w:hint="eastAsia" w:hAnsi="宋体" w:cs="宋体"/>
                <w:color w:val="auto"/>
                <w:highlight w:val="none"/>
              </w:rPr>
              <w:t>202</w:t>
            </w:r>
            <w:r>
              <w:rPr>
                <w:rFonts w:hint="eastAsia" w:hAnsi="宋体" w:cs="宋体"/>
                <w:color w:val="auto"/>
                <w:highlight w:val="none"/>
                <w:lang w:val="en-US" w:eastAsia="zh-CN"/>
              </w:rPr>
              <w:t>5</w:t>
            </w:r>
            <w:r>
              <w:rPr>
                <w:rFonts w:hint="eastAsia" w:hAnsi="宋体" w:cs="宋体"/>
                <w:color w:val="auto"/>
                <w:highlight w:val="none"/>
              </w:rPr>
              <w:t>年</w:t>
            </w:r>
            <w:r>
              <w:rPr>
                <w:rFonts w:hint="eastAsia" w:hAnsi="宋体" w:cs="宋体"/>
                <w:color w:val="auto"/>
                <w:highlight w:val="none"/>
                <w:lang w:val="en-US" w:eastAsia="zh-CN"/>
              </w:rPr>
              <w:t>7</w:t>
            </w:r>
            <w:r>
              <w:rPr>
                <w:rFonts w:hint="eastAsia" w:hAnsi="宋体" w:cs="宋体"/>
                <w:color w:val="auto"/>
                <w:highlight w:val="none"/>
              </w:rPr>
              <w:t>月</w:t>
            </w:r>
            <w:r>
              <w:rPr>
                <w:rFonts w:hint="eastAsia" w:hAnsi="宋体" w:cs="宋体"/>
                <w:color w:val="auto"/>
                <w:highlight w:val="none"/>
                <w:lang w:val="en-US" w:eastAsia="zh-CN"/>
              </w:rPr>
              <w:t>12日-7月13</w:t>
            </w:r>
            <w:r>
              <w:rPr>
                <w:rFonts w:hint="eastAsia" w:hAnsi="宋体" w:cs="宋体"/>
                <w:color w:val="auto"/>
                <w:highlight w:val="none"/>
              </w:rPr>
              <w:t xml:space="preserve">日 </w:t>
            </w:r>
            <w:r>
              <w:rPr>
                <w:rFonts w:hint="eastAsia" w:hAnsi="宋体" w:cs="宋体"/>
                <w:color w:val="auto"/>
                <w:highlight w:val="none"/>
                <w:lang w:val="en-US" w:eastAsia="zh-CN"/>
              </w:rPr>
              <w:t>16:00-22:00</w:t>
            </w:r>
            <w:r>
              <w:rPr>
                <w:rFonts w:hint="eastAsia" w:hAnsi="宋体" w:cs="宋体"/>
                <w:color w:val="auto"/>
                <w:highlight w:val="none"/>
              </w:rPr>
              <w:t>；（最终活动时间以采购人确定的时间为准）</w:t>
            </w:r>
          </w:p>
        </w:tc>
      </w:tr>
      <w:tr w14:paraId="76F8E848">
        <w:tblPrEx>
          <w:tblCellMar>
            <w:top w:w="0" w:type="dxa"/>
            <w:left w:w="108" w:type="dxa"/>
            <w:bottom w:w="0" w:type="dxa"/>
            <w:right w:w="108" w:type="dxa"/>
          </w:tblCellMar>
        </w:tblPrEx>
        <w:trPr>
          <w:trHeight w:val="2713"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14:paraId="00EE60E1">
            <w:pPr>
              <w:spacing w:line="420" w:lineRule="exact"/>
              <w:rPr>
                <w:rFonts w:ascii="宋体" w:hAnsi="宋体" w:cs="宋体"/>
                <w:color w:val="auto"/>
                <w:kern w:val="1"/>
                <w:szCs w:val="21"/>
                <w:highlight w:val="none"/>
              </w:rPr>
            </w:pPr>
            <w:r>
              <w:rPr>
                <w:rFonts w:hint="eastAsia" w:ascii="宋体" w:hAnsi="宋体" w:cs="宋体"/>
                <w:color w:val="auto"/>
                <w:kern w:val="1"/>
                <w:szCs w:val="21"/>
                <w:highlight w:val="none"/>
              </w:rPr>
              <w:t>付款方式</w:t>
            </w:r>
          </w:p>
        </w:tc>
        <w:tc>
          <w:tcPr>
            <w:tcW w:w="7065" w:type="dxa"/>
            <w:tcBorders>
              <w:top w:val="single" w:color="000000" w:sz="4" w:space="0"/>
              <w:left w:val="single" w:color="000000" w:sz="4" w:space="0"/>
              <w:bottom w:val="single" w:color="000000" w:sz="4" w:space="0"/>
              <w:right w:val="single" w:color="000000" w:sz="4" w:space="0"/>
            </w:tcBorders>
            <w:vAlign w:val="center"/>
          </w:tcPr>
          <w:p w14:paraId="70010955">
            <w:pPr>
              <w:spacing w:line="420" w:lineRule="exact"/>
              <w:rPr>
                <w:rFonts w:ascii="宋体" w:hAnsi="宋体" w:cs="宋体"/>
                <w:color w:val="auto"/>
                <w:szCs w:val="21"/>
                <w:highlight w:val="none"/>
              </w:rPr>
            </w:pPr>
            <w:r>
              <w:rPr>
                <w:rFonts w:hint="eastAsia" w:ascii="宋体" w:hAnsi="宋体" w:cs="宋体"/>
                <w:color w:val="auto"/>
                <w:szCs w:val="21"/>
                <w:highlight w:val="none"/>
              </w:rPr>
              <w:t>1、预付款在合同生效后7个工作日内支付合同价款的50%；</w:t>
            </w:r>
          </w:p>
          <w:p w14:paraId="66864468">
            <w:pPr>
              <w:spacing w:line="420" w:lineRule="exact"/>
              <w:rPr>
                <w:rFonts w:ascii="宋体" w:hAnsi="宋体" w:cs="宋体"/>
                <w:color w:val="auto"/>
                <w:szCs w:val="21"/>
                <w:highlight w:val="none"/>
              </w:rPr>
            </w:pPr>
            <w:r>
              <w:rPr>
                <w:rFonts w:hint="eastAsia" w:ascii="宋体" w:hAnsi="宋体" w:cs="宋体"/>
                <w:color w:val="auto"/>
                <w:szCs w:val="21"/>
                <w:highlight w:val="none"/>
              </w:rPr>
              <w:t>2、音乐节活动开演前</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个工作日内支付至合同价款的</w:t>
            </w:r>
            <w:r>
              <w:rPr>
                <w:rFonts w:hint="eastAsia" w:ascii="宋体" w:hAnsi="宋体" w:cs="宋体"/>
                <w:color w:val="auto"/>
                <w:szCs w:val="21"/>
                <w:highlight w:val="none"/>
                <w:lang w:val="en-US" w:eastAsia="zh-CN"/>
              </w:rPr>
              <w:t>95</w:t>
            </w:r>
            <w:r>
              <w:rPr>
                <w:rFonts w:hint="eastAsia" w:ascii="宋体" w:hAnsi="宋体" w:cs="宋体"/>
                <w:color w:val="auto"/>
                <w:szCs w:val="21"/>
                <w:highlight w:val="none"/>
              </w:rPr>
              <w:t>%；</w:t>
            </w:r>
          </w:p>
          <w:p w14:paraId="25CCC683">
            <w:pPr>
              <w:spacing w:line="420" w:lineRule="exact"/>
              <w:rPr>
                <w:rFonts w:ascii="宋体" w:hAnsi="宋体" w:cs="宋体"/>
                <w:color w:val="auto"/>
                <w:szCs w:val="21"/>
                <w:highlight w:val="none"/>
              </w:rPr>
            </w:pPr>
            <w:r>
              <w:rPr>
                <w:rFonts w:hint="eastAsia" w:ascii="宋体" w:hAnsi="宋体" w:cs="宋体"/>
                <w:color w:val="auto"/>
                <w:szCs w:val="21"/>
                <w:highlight w:val="none"/>
              </w:rPr>
              <w:t>3、活动结束后付中标人提供完整的相关验收附件后三十个工作日内清剩余价款。</w:t>
            </w:r>
          </w:p>
          <w:p w14:paraId="483B4BA3">
            <w:pPr>
              <w:spacing w:line="420" w:lineRule="exact"/>
              <w:rPr>
                <w:rFonts w:ascii="宋体" w:hAnsi="宋体" w:cs="宋体"/>
                <w:color w:val="auto"/>
                <w:kern w:val="1"/>
                <w:szCs w:val="21"/>
                <w:highlight w:val="none"/>
              </w:rPr>
            </w:pPr>
            <w:r>
              <w:rPr>
                <w:rFonts w:hint="eastAsia" w:ascii="宋体" w:hAnsi="宋体" w:cs="宋体"/>
                <w:color w:val="auto"/>
                <w:szCs w:val="21"/>
                <w:highlight w:val="none"/>
              </w:rPr>
              <w:t>注：采购人每次付款前，中标人应开具相应金额的有效发票，因中标人延期开票导致采购人付款延误的，采购人不承担责任。</w:t>
            </w:r>
          </w:p>
        </w:tc>
      </w:tr>
      <w:tr w14:paraId="4F7D243F">
        <w:tblPrEx>
          <w:tblCellMar>
            <w:top w:w="0" w:type="dxa"/>
            <w:left w:w="108" w:type="dxa"/>
            <w:bottom w:w="0" w:type="dxa"/>
            <w:right w:w="108" w:type="dxa"/>
          </w:tblCellMar>
        </w:tblPrEx>
        <w:trPr>
          <w:trHeight w:val="768"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14:paraId="5C66CD89">
            <w:pPr>
              <w:spacing w:line="420" w:lineRule="exact"/>
              <w:rPr>
                <w:rFonts w:ascii="宋体" w:hAnsi="宋体" w:cs="宋体"/>
                <w:color w:val="auto"/>
                <w:kern w:val="1"/>
                <w:szCs w:val="21"/>
                <w:highlight w:val="none"/>
              </w:rPr>
            </w:pPr>
            <w:r>
              <w:rPr>
                <w:rFonts w:hint="eastAsia" w:ascii="宋体" w:hAnsi="宋体" w:cs="宋体"/>
                <w:color w:val="auto"/>
                <w:kern w:val="1"/>
                <w:szCs w:val="21"/>
                <w:highlight w:val="none"/>
              </w:rPr>
              <w:t>合同签订时间</w:t>
            </w:r>
          </w:p>
        </w:tc>
        <w:tc>
          <w:tcPr>
            <w:tcW w:w="7065" w:type="dxa"/>
            <w:tcBorders>
              <w:top w:val="single" w:color="000000" w:sz="4" w:space="0"/>
              <w:left w:val="single" w:color="000000" w:sz="4" w:space="0"/>
              <w:bottom w:val="single" w:color="000000" w:sz="4" w:space="0"/>
              <w:right w:val="single" w:color="000000" w:sz="4" w:space="0"/>
            </w:tcBorders>
            <w:vAlign w:val="center"/>
          </w:tcPr>
          <w:p w14:paraId="5A3B9FAD">
            <w:pPr>
              <w:spacing w:line="420" w:lineRule="exact"/>
              <w:rPr>
                <w:rFonts w:ascii="宋体" w:hAnsi="宋体" w:cs="宋体"/>
                <w:color w:val="auto"/>
                <w:kern w:val="1"/>
                <w:szCs w:val="21"/>
                <w:highlight w:val="none"/>
              </w:rPr>
            </w:pPr>
            <w:r>
              <w:rPr>
                <w:rFonts w:hint="eastAsia" w:ascii="宋体" w:hAnsi="宋体" w:cs="宋体"/>
                <w:color w:val="auto"/>
                <w:kern w:val="1"/>
                <w:szCs w:val="21"/>
                <w:highlight w:val="none"/>
              </w:rPr>
              <w:t>自成交通知书发出</w:t>
            </w:r>
            <w:r>
              <w:rPr>
                <w:rFonts w:hint="eastAsia" w:ascii="宋体" w:hAnsi="宋体" w:cs="宋体"/>
                <w:color w:val="auto"/>
                <w:kern w:val="1"/>
                <w:szCs w:val="21"/>
                <w:highlight w:val="none"/>
                <w:lang w:val="zh-CN"/>
              </w:rPr>
              <w:t>之日起</w:t>
            </w:r>
            <w:r>
              <w:rPr>
                <w:rFonts w:hint="eastAsia" w:ascii="宋体" w:hAnsi="宋体" w:cs="宋体"/>
                <w:color w:val="auto"/>
                <w:kern w:val="1"/>
                <w:szCs w:val="21"/>
                <w:highlight w:val="none"/>
              </w:rPr>
              <w:t>十五日内签订完成；</w:t>
            </w:r>
          </w:p>
        </w:tc>
      </w:tr>
      <w:tr w14:paraId="2C63362B">
        <w:tblPrEx>
          <w:tblCellMar>
            <w:top w:w="0" w:type="dxa"/>
            <w:left w:w="108" w:type="dxa"/>
            <w:bottom w:w="0" w:type="dxa"/>
            <w:right w:w="108" w:type="dxa"/>
          </w:tblCellMar>
        </w:tblPrEx>
        <w:trPr>
          <w:trHeight w:val="1438"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14:paraId="67F5D2C3">
            <w:pPr>
              <w:spacing w:line="360" w:lineRule="exact"/>
              <w:jc w:val="center"/>
              <w:rPr>
                <w:rFonts w:ascii="宋体" w:hAnsi="宋体" w:cs="宋体"/>
                <w:color w:val="auto"/>
                <w:kern w:val="1"/>
                <w:szCs w:val="21"/>
                <w:highlight w:val="none"/>
              </w:rPr>
            </w:pPr>
            <w:r>
              <w:rPr>
                <w:rFonts w:hint="eastAsia" w:ascii="宋体" w:hAnsi="宋体" w:cs="宋体"/>
                <w:color w:val="auto"/>
                <w:sz w:val="22"/>
                <w:szCs w:val="22"/>
                <w:highlight w:val="none"/>
              </w:rPr>
              <w:t>合同终止</w:t>
            </w:r>
          </w:p>
        </w:tc>
        <w:tc>
          <w:tcPr>
            <w:tcW w:w="7065" w:type="dxa"/>
            <w:tcBorders>
              <w:top w:val="single" w:color="000000" w:sz="4" w:space="0"/>
              <w:left w:val="single" w:color="000000" w:sz="4" w:space="0"/>
              <w:bottom w:val="single" w:color="000000" w:sz="4" w:space="0"/>
              <w:right w:val="single" w:color="000000" w:sz="4" w:space="0"/>
            </w:tcBorders>
            <w:vAlign w:val="center"/>
          </w:tcPr>
          <w:p w14:paraId="62B5559D">
            <w:pPr>
              <w:snapToGrid w:val="0"/>
              <w:spacing w:line="360" w:lineRule="auto"/>
              <w:ind w:right="-108"/>
              <w:rPr>
                <w:rFonts w:ascii="宋体" w:hAnsi="宋体" w:cs="宋体"/>
                <w:color w:val="auto"/>
                <w:sz w:val="22"/>
                <w:szCs w:val="22"/>
                <w:highlight w:val="none"/>
              </w:rPr>
            </w:pPr>
            <w:r>
              <w:rPr>
                <w:rFonts w:hint="eastAsia" w:ascii="宋体" w:hAnsi="宋体" w:cs="宋体"/>
                <w:color w:val="auto"/>
                <w:sz w:val="22"/>
                <w:szCs w:val="22"/>
                <w:highlight w:val="none"/>
              </w:rPr>
              <w:t>1、未能使合同服务达到合同规定要求的；</w:t>
            </w:r>
          </w:p>
          <w:p w14:paraId="4B95D639">
            <w:pPr>
              <w:snapToGrid w:val="0"/>
              <w:spacing w:line="360" w:lineRule="auto"/>
              <w:ind w:right="-108"/>
              <w:rPr>
                <w:rFonts w:ascii="宋体" w:hAnsi="宋体" w:cs="宋体"/>
                <w:color w:val="auto"/>
                <w:sz w:val="22"/>
                <w:szCs w:val="22"/>
                <w:highlight w:val="none"/>
              </w:rPr>
            </w:pPr>
            <w:r>
              <w:rPr>
                <w:rFonts w:hint="eastAsia" w:ascii="宋体" w:hAnsi="宋体" w:cs="宋体"/>
                <w:color w:val="auto"/>
                <w:sz w:val="22"/>
                <w:szCs w:val="22"/>
                <w:highlight w:val="none"/>
              </w:rPr>
              <w:t>2、未能在合同规定的期限内提供全部服务的；</w:t>
            </w:r>
          </w:p>
          <w:p w14:paraId="2F22AC22">
            <w:pPr>
              <w:snapToGrid w:val="0"/>
              <w:spacing w:line="360" w:lineRule="auto"/>
              <w:ind w:right="-108"/>
              <w:rPr>
                <w:rFonts w:ascii="宋体" w:hAnsi="宋体" w:cs="宋体"/>
                <w:color w:val="auto"/>
                <w:szCs w:val="21"/>
                <w:highlight w:val="none"/>
              </w:rPr>
            </w:pPr>
            <w:r>
              <w:rPr>
                <w:rFonts w:hint="eastAsia" w:ascii="宋体" w:hAnsi="宋体" w:cs="宋体"/>
                <w:color w:val="auto"/>
                <w:sz w:val="22"/>
                <w:szCs w:val="22"/>
                <w:highlight w:val="none"/>
              </w:rPr>
              <w:t>3、未能履行合同规定的其它义务。</w:t>
            </w:r>
          </w:p>
        </w:tc>
      </w:tr>
    </w:tbl>
    <w:p w14:paraId="37BD8278">
      <w:pPr>
        <w:pStyle w:val="33"/>
        <w:spacing w:line="420" w:lineRule="exact"/>
        <w:ind w:firstLine="723"/>
        <w:rPr>
          <w:rFonts w:asciiTheme="minorEastAsia" w:hAnsiTheme="minorEastAsia" w:eastAsiaTheme="minorEastAsia" w:cstheme="minorEastAsia"/>
          <w:b/>
          <w:color w:val="auto"/>
          <w:sz w:val="36"/>
          <w:szCs w:val="36"/>
          <w:highlight w:val="none"/>
        </w:rPr>
      </w:pPr>
    </w:p>
    <w:p w14:paraId="42557037">
      <w:pP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6"/>
          <w:szCs w:val="36"/>
          <w:highlight w:val="none"/>
        </w:rPr>
        <w:t xml:space="preserve">                 第四部分   </w:t>
      </w:r>
      <w:bookmarkStart w:id="15" w:name="_Toc184312139"/>
      <w:bookmarkEnd w:id="15"/>
      <w:bookmarkStart w:id="16" w:name="_Toc184313304"/>
      <w:bookmarkEnd w:id="16"/>
      <w:bookmarkStart w:id="17" w:name="_Toc184308088"/>
      <w:bookmarkEnd w:id="17"/>
      <w:bookmarkStart w:id="18" w:name="_Toc184308056"/>
      <w:bookmarkEnd w:id="18"/>
      <w:bookmarkStart w:id="19" w:name="_Toc184310301"/>
      <w:bookmarkEnd w:id="19"/>
      <w:bookmarkStart w:id="20" w:name="_Toc184310275"/>
      <w:bookmarkEnd w:id="20"/>
      <w:bookmarkStart w:id="21" w:name="_Toc184308074"/>
      <w:bookmarkEnd w:id="21"/>
      <w:bookmarkStart w:id="22" w:name="_Toc184313253"/>
      <w:bookmarkEnd w:id="22"/>
      <w:bookmarkStart w:id="23" w:name="_Toc184308053"/>
      <w:bookmarkEnd w:id="23"/>
      <w:bookmarkStart w:id="24" w:name="_Toc184310320"/>
      <w:bookmarkEnd w:id="24"/>
      <w:bookmarkStart w:id="25" w:name="_Toc184313283"/>
      <w:bookmarkEnd w:id="25"/>
      <w:bookmarkStart w:id="26" w:name="_Toc184314457"/>
      <w:bookmarkEnd w:id="26"/>
      <w:bookmarkStart w:id="27" w:name="_Toc184314480"/>
      <w:bookmarkEnd w:id="27"/>
      <w:bookmarkStart w:id="28" w:name="_Toc184313250"/>
      <w:bookmarkEnd w:id="28"/>
      <w:bookmarkStart w:id="29" w:name="_Toc184314413"/>
      <w:bookmarkEnd w:id="29"/>
      <w:bookmarkStart w:id="30" w:name="_Toc184310286"/>
      <w:bookmarkEnd w:id="30"/>
      <w:bookmarkStart w:id="31" w:name="_Toc184310325"/>
      <w:bookmarkEnd w:id="31"/>
      <w:bookmarkStart w:id="32" w:name="_Toc184314410"/>
      <w:bookmarkEnd w:id="32"/>
      <w:bookmarkStart w:id="33" w:name="_Toc184310283"/>
      <w:bookmarkEnd w:id="33"/>
      <w:bookmarkStart w:id="34" w:name="_Toc184310302"/>
      <w:bookmarkEnd w:id="34"/>
      <w:bookmarkStart w:id="35" w:name="_Toc184313281"/>
      <w:bookmarkEnd w:id="35"/>
      <w:bookmarkStart w:id="36" w:name="_Toc184312122"/>
      <w:bookmarkEnd w:id="36"/>
      <w:bookmarkStart w:id="37" w:name="_Toc184310273"/>
      <w:bookmarkEnd w:id="37"/>
      <w:bookmarkStart w:id="38" w:name="_Toc184314453"/>
      <w:bookmarkEnd w:id="38"/>
      <w:bookmarkStart w:id="39" w:name="_Toc184312129"/>
      <w:bookmarkEnd w:id="39"/>
      <w:bookmarkStart w:id="40" w:name="_Toc184310311"/>
      <w:bookmarkEnd w:id="40"/>
      <w:bookmarkStart w:id="41" w:name="_Toc184314431"/>
      <w:bookmarkEnd w:id="41"/>
      <w:bookmarkStart w:id="42" w:name="_Toc184314448"/>
      <w:bookmarkEnd w:id="42"/>
      <w:bookmarkStart w:id="43" w:name="_Toc184308105"/>
      <w:bookmarkEnd w:id="43"/>
      <w:bookmarkStart w:id="44" w:name="_Toc184313277"/>
      <w:bookmarkEnd w:id="44"/>
      <w:bookmarkStart w:id="45" w:name="_Toc184314418"/>
      <w:bookmarkEnd w:id="45"/>
      <w:bookmarkStart w:id="46" w:name="_Toc184313290"/>
      <w:bookmarkEnd w:id="46"/>
      <w:bookmarkStart w:id="47" w:name="_Toc184313303"/>
      <w:bookmarkEnd w:id="47"/>
      <w:bookmarkStart w:id="48" w:name="_Toc184310337"/>
      <w:bookmarkEnd w:id="48"/>
      <w:bookmarkStart w:id="49" w:name="_Toc184314476"/>
      <w:bookmarkEnd w:id="49"/>
      <w:bookmarkStart w:id="50" w:name="_Toc184314434"/>
      <w:bookmarkEnd w:id="50"/>
      <w:bookmarkStart w:id="51" w:name="_Toc184313299"/>
      <w:bookmarkEnd w:id="51"/>
      <w:bookmarkStart w:id="52" w:name="_Toc184314433"/>
      <w:bookmarkEnd w:id="52"/>
      <w:bookmarkStart w:id="53" w:name="_Toc184310342"/>
      <w:bookmarkEnd w:id="53"/>
      <w:bookmarkStart w:id="54" w:name="_Toc184312071"/>
      <w:bookmarkEnd w:id="54"/>
      <w:bookmarkStart w:id="55" w:name="_Toc184314444"/>
      <w:bookmarkEnd w:id="55"/>
      <w:bookmarkStart w:id="56" w:name="_Toc184313291"/>
      <w:bookmarkEnd w:id="56"/>
      <w:bookmarkStart w:id="57" w:name="_Toc184308078"/>
      <w:bookmarkEnd w:id="57"/>
      <w:bookmarkStart w:id="58" w:name="_Toc184314472"/>
      <w:bookmarkEnd w:id="58"/>
      <w:bookmarkStart w:id="59" w:name="_Toc184310303"/>
      <w:bookmarkEnd w:id="59"/>
      <w:bookmarkStart w:id="60" w:name="_Toc184308083"/>
      <w:bookmarkEnd w:id="60"/>
      <w:bookmarkStart w:id="61" w:name="_Toc184308065"/>
      <w:bookmarkEnd w:id="61"/>
      <w:bookmarkStart w:id="62" w:name="_Toc184313265"/>
      <w:bookmarkEnd w:id="62"/>
      <w:bookmarkStart w:id="63" w:name="_Toc184314474"/>
      <w:bookmarkEnd w:id="63"/>
      <w:bookmarkStart w:id="64" w:name="_Toc184312121"/>
      <w:bookmarkEnd w:id="64"/>
      <w:bookmarkStart w:id="65" w:name="_Toc184312136"/>
      <w:bookmarkEnd w:id="65"/>
      <w:bookmarkStart w:id="66" w:name="_Toc184312117"/>
      <w:bookmarkEnd w:id="66"/>
      <w:bookmarkStart w:id="67" w:name="_Toc184314441"/>
      <w:bookmarkEnd w:id="67"/>
      <w:bookmarkStart w:id="68" w:name="_Toc184314435"/>
      <w:bookmarkEnd w:id="68"/>
      <w:bookmarkStart w:id="69" w:name="_Toc184312097"/>
      <w:bookmarkEnd w:id="69"/>
      <w:bookmarkStart w:id="70" w:name="_Toc184308068"/>
      <w:bookmarkEnd w:id="70"/>
      <w:bookmarkStart w:id="71" w:name="_Toc184312069"/>
      <w:bookmarkEnd w:id="71"/>
      <w:bookmarkStart w:id="72" w:name="_Toc184314456"/>
      <w:bookmarkEnd w:id="72"/>
      <w:bookmarkStart w:id="73" w:name="_Toc184308043"/>
      <w:bookmarkEnd w:id="73"/>
      <w:bookmarkStart w:id="74" w:name="_Toc184314459"/>
      <w:bookmarkEnd w:id="74"/>
      <w:bookmarkStart w:id="75" w:name="_Toc184314454"/>
      <w:bookmarkEnd w:id="75"/>
      <w:bookmarkStart w:id="76" w:name="_Toc184313244"/>
      <w:bookmarkEnd w:id="76"/>
      <w:bookmarkStart w:id="77" w:name="_Toc184314425"/>
      <w:bookmarkEnd w:id="77"/>
      <w:bookmarkStart w:id="78" w:name="_Toc184312108"/>
      <w:bookmarkEnd w:id="78"/>
      <w:bookmarkStart w:id="79" w:name="_Toc184310277"/>
      <w:bookmarkEnd w:id="79"/>
      <w:bookmarkStart w:id="80" w:name="_Toc184314427"/>
      <w:bookmarkEnd w:id="80"/>
      <w:bookmarkStart w:id="81" w:name="_Toc184308042"/>
      <w:bookmarkEnd w:id="81"/>
      <w:bookmarkStart w:id="82" w:name="_Toc184308038"/>
      <w:bookmarkEnd w:id="82"/>
      <w:bookmarkStart w:id="83" w:name="_Toc184312126"/>
      <w:bookmarkEnd w:id="83"/>
      <w:bookmarkStart w:id="84" w:name="_Toc184312086"/>
      <w:bookmarkEnd w:id="84"/>
      <w:bookmarkStart w:id="85" w:name="_Toc184310307"/>
      <w:bookmarkEnd w:id="85"/>
      <w:bookmarkStart w:id="86" w:name="_Toc184310305"/>
      <w:bookmarkEnd w:id="86"/>
      <w:bookmarkStart w:id="87" w:name="_Toc184313271"/>
      <w:bookmarkEnd w:id="87"/>
      <w:bookmarkStart w:id="88" w:name="_Toc184312111"/>
      <w:bookmarkEnd w:id="88"/>
      <w:bookmarkStart w:id="89" w:name="_Toc184313255"/>
      <w:bookmarkEnd w:id="89"/>
      <w:bookmarkStart w:id="90" w:name="_Toc184313298"/>
      <w:bookmarkEnd w:id="90"/>
      <w:bookmarkStart w:id="91" w:name="_Toc184310287"/>
      <w:bookmarkEnd w:id="91"/>
      <w:bookmarkStart w:id="92" w:name="_Toc184314455"/>
      <w:bookmarkEnd w:id="92"/>
      <w:bookmarkStart w:id="93" w:name="_Toc184310329"/>
      <w:bookmarkEnd w:id="93"/>
      <w:bookmarkStart w:id="94" w:name="_Toc184314438"/>
      <w:bookmarkEnd w:id="94"/>
      <w:bookmarkStart w:id="95" w:name="_Toc184314463"/>
      <w:bookmarkEnd w:id="95"/>
      <w:bookmarkStart w:id="96" w:name="_Toc184310281"/>
      <w:bookmarkEnd w:id="96"/>
      <w:bookmarkStart w:id="97" w:name="_Toc184312095"/>
      <w:bookmarkEnd w:id="97"/>
      <w:bookmarkStart w:id="98" w:name="_Toc184313308"/>
      <w:bookmarkEnd w:id="98"/>
      <w:bookmarkStart w:id="99" w:name="_Toc184308085"/>
      <w:bookmarkEnd w:id="99"/>
      <w:bookmarkStart w:id="100" w:name="_Toc184313268"/>
      <w:bookmarkEnd w:id="100"/>
      <w:bookmarkStart w:id="101" w:name="_Toc184310297"/>
      <w:bookmarkEnd w:id="101"/>
      <w:bookmarkStart w:id="102" w:name="_Toc184314437"/>
      <w:bookmarkEnd w:id="102"/>
      <w:bookmarkStart w:id="103" w:name="_Toc184310304"/>
      <w:bookmarkEnd w:id="103"/>
      <w:bookmarkStart w:id="104" w:name="_Toc184314471"/>
      <w:bookmarkEnd w:id="104"/>
      <w:bookmarkStart w:id="105" w:name="_Toc184312079"/>
      <w:bookmarkEnd w:id="105"/>
      <w:bookmarkStart w:id="106" w:name="_Toc184312099"/>
      <w:bookmarkEnd w:id="106"/>
      <w:bookmarkStart w:id="107" w:name="_Toc184310338"/>
      <w:bookmarkEnd w:id="107"/>
      <w:bookmarkStart w:id="108" w:name="_Toc184312130"/>
      <w:bookmarkEnd w:id="108"/>
      <w:bookmarkStart w:id="109" w:name="_Toc184310306"/>
      <w:bookmarkEnd w:id="109"/>
      <w:bookmarkStart w:id="110" w:name="_Toc184310339"/>
      <w:bookmarkEnd w:id="110"/>
      <w:bookmarkStart w:id="111" w:name="_Toc184313288"/>
      <w:bookmarkEnd w:id="111"/>
      <w:bookmarkStart w:id="112" w:name="_Toc184313266"/>
      <w:bookmarkEnd w:id="112"/>
      <w:bookmarkStart w:id="113" w:name="_Toc184310318"/>
      <w:bookmarkEnd w:id="113"/>
      <w:bookmarkStart w:id="114" w:name="_Toc184308077"/>
      <w:bookmarkEnd w:id="114"/>
      <w:bookmarkStart w:id="115" w:name="_Toc184308048"/>
      <w:bookmarkEnd w:id="115"/>
      <w:bookmarkStart w:id="116" w:name="_Toc184310344"/>
      <w:bookmarkEnd w:id="116"/>
      <w:bookmarkStart w:id="117" w:name="_Toc184313238"/>
      <w:bookmarkEnd w:id="117"/>
      <w:bookmarkStart w:id="118" w:name="_Toc184313270"/>
      <w:bookmarkEnd w:id="118"/>
      <w:bookmarkStart w:id="119" w:name="_Toc184308101"/>
      <w:bookmarkEnd w:id="119"/>
      <w:bookmarkStart w:id="120" w:name="_Toc184310312"/>
      <w:bookmarkEnd w:id="120"/>
      <w:bookmarkStart w:id="121" w:name="_Toc184308086"/>
      <w:bookmarkEnd w:id="121"/>
      <w:bookmarkStart w:id="122" w:name="_Toc184310284"/>
      <w:bookmarkEnd w:id="122"/>
      <w:bookmarkStart w:id="123" w:name="_Toc184313257"/>
      <w:bookmarkEnd w:id="123"/>
      <w:bookmarkStart w:id="124" w:name="_Toc184314426"/>
      <w:bookmarkEnd w:id="124"/>
      <w:bookmarkStart w:id="125" w:name="_Toc184314432"/>
      <w:bookmarkEnd w:id="125"/>
      <w:bookmarkStart w:id="126" w:name="_Toc184308100"/>
      <w:bookmarkEnd w:id="126"/>
      <w:bookmarkStart w:id="127" w:name="_Toc184314465"/>
      <w:bookmarkEnd w:id="127"/>
      <w:bookmarkStart w:id="128" w:name="_Toc184314477"/>
      <w:bookmarkEnd w:id="128"/>
      <w:bookmarkStart w:id="129" w:name="_Toc184310316"/>
      <w:bookmarkEnd w:id="129"/>
      <w:bookmarkStart w:id="130" w:name="_Toc184313242"/>
      <w:bookmarkEnd w:id="130"/>
      <w:bookmarkStart w:id="131" w:name="_Toc184308092"/>
      <w:bookmarkEnd w:id="131"/>
      <w:bookmarkStart w:id="132" w:name="_Toc184308076"/>
      <w:bookmarkEnd w:id="132"/>
      <w:bookmarkStart w:id="133" w:name="_Toc184312101"/>
      <w:bookmarkEnd w:id="133"/>
      <w:bookmarkStart w:id="134" w:name="_Toc184308108"/>
      <w:bookmarkEnd w:id="134"/>
      <w:bookmarkStart w:id="135" w:name="_Toc184312107"/>
      <w:bookmarkEnd w:id="135"/>
      <w:bookmarkStart w:id="136" w:name="_Toc184314440"/>
      <w:bookmarkEnd w:id="136"/>
      <w:bookmarkStart w:id="137" w:name="_Toc184308096"/>
      <w:bookmarkEnd w:id="137"/>
      <w:bookmarkStart w:id="138" w:name="_Toc184308063"/>
      <w:bookmarkEnd w:id="138"/>
      <w:bookmarkStart w:id="139" w:name="_Toc184313301"/>
      <w:bookmarkEnd w:id="139"/>
      <w:bookmarkStart w:id="140" w:name="_Toc184308090"/>
      <w:bookmarkEnd w:id="140"/>
      <w:bookmarkStart w:id="141" w:name="_Toc184310324"/>
      <w:bookmarkEnd w:id="141"/>
      <w:bookmarkStart w:id="142" w:name="_Toc184310319"/>
      <w:bookmarkEnd w:id="142"/>
      <w:bookmarkStart w:id="143" w:name="_Toc184314470"/>
      <w:bookmarkEnd w:id="143"/>
      <w:bookmarkStart w:id="144" w:name="_Toc184308045"/>
      <w:bookmarkEnd w:id="144"/>
      <w:bookmarkStart w:id="145" w:name="_Toc184310280"/>
      <w:bookmarkEnd w:id="145"/>
      <w:bookmarkStart w:id="146" w:name="_Toc184312074"/>
      <w:bookmarkEnd w:id="146"/>
      <w:bookmarkStart w:id="147" w:name="_Toc184313309"/>
      <w:bookmarkEnd w:id="147"/>
      <w:bookmarkStart w:id="148" w:name="_Toc184313310"/>
      <w:bookmarkEnd w:id="148"/>
      <w:bookmarkStart w:id="149" w:name="_Toc184312080"/>
      <w:bookmarkEnd w:id="149"/>
      <w:bookmarkStart w:id="150" w:name="_Toc184310333"/>
      <w:bookmarkEnd w:id="150"/>
      <w:bookmarkStart w:id="151" w:name="_Toc184312113"/>
      <w:bookmarkEnd w:id="151"/>
      <w:bookmarkStart w:id="152" w:name="_Toc184308072"/>
      <w:bookmarkEnd w:id="152"/>
      <w:bookmarkStart w:id="153" w:name="_Toc184308106"/>
      <w:bookmarkEnd w:id="153"/>
      <w:bookmarkStart w:id="154" w:name="_Toc184313307"/>
      <w:bookmarkEnd w:id="154"/>
      <w:bookmarkStart w:id="155" w:name="_Toc184310293"/>
      <w:bookmarkEnd w:id="155"/>
      <w:bookmarkStart w:id="156" w:name="_Toc184313280"/>
      <w:bookmarkEnd w:id="156"/>
      <w:bookmarkStart w:id="157" w:name="_Toc184310294"/>
      <w:bookmarkEnd w:id="157"/>
      <w:bookmarkStart w:id="158" w:name="_Toc184310285"/>
      <w:bookmarkEnd w:id="158"/>
      <w:bookmarkStart w:id="159" w:name="_Toc184313245"/>
      <w:bookmarkEnd w:id="159"/>
      <w:bookmarkStart w:id="160" w:name="_Toc184310291"/>
      <w:bookmarkEnd w:id="160"/>
      <w:bookmarkStart w:id="161" w:name="_Toc184308084"/>
      <w:bookmarkEnd w:id="161"/>
      <w:bookmarkStart w:id="162" w:name="_Toc184308059"/>
      <w:bookmarkEnd w:id="162"/>
      <w:bookmarkStart w:id="163" w:name="_Toc184308058"/>
      <w:bookmarkEnd w:id="163"/>
      <w:bookmarkStart w:id="164" w:name="_Toc184308047"/>
      <w:bookmarkEnd w:id="164"/>
      <w:bookmarkStart w:id="165" w:name="_Toc184312092"/>
      <w:bookmarkEnd w:id="165"/>
      <w:bookmarkStart w:id="166" w:name="_Toc184314473"/>
      <w:bookmarkEnd w:id="166"/>
      <w:bookmarkStart w:id="167" w:name="_Toc184313260"/>
      <w:bookmarkEnd w:id="167"/>
      <w:bookmarkStart w:id="168" w:name="_Toc184308044"/>
      <w:bookmarkEnd w:id="168"/>
      <w:bookmarkStart w:id="169" w:name="_Toc184313267"/>
      <w:bookmarkEnd w:id="169"/>
      <w:bookmarkStart w:id="170" w:name="_Toc184312133"/>
      <w:bookmarkEnd w:id="170"/>
      <w:bookmarkStart w:id="171" w:name="_Toc184312073"/>
      <w:bookmarkEnd w:id="171"/>
      <w:bookmarkStart w:id="172" w:name="_Toc184312131"/>
      <w:bookmarkEnd w:id="172"/>
      <w:bookmarkStart w:id="173" w:name="_Toc184312124"/>
      <w:bookmarkEnd w:id="173"/>
      <w:bookmarkStart w:id="174" w:name="_Toc184314424"/>
      <w:bookmarkEnd w:id="174"/>
      <w:bookmarkStart w:id="175" w:name="_Toc184314414"/>
      <w:bookmarkEnd w:id="175"/>
      <w:bookmarkStart w:id="176" w:name="_Toc184310321"/>
      <w:bookmarkEnd w:id="176"/>
      <w:bookmarkStart w:id="177" w:name="_Toc184308099"/>
      <w:bookmarkEnd w:id="177"/>
      <w:bookmarkStart w:id="178" w:name="_Toc184313252"/>
      <w:bookmarkEnd w:id="178"/>
      <w:bookmarkStart w:id="179" w:name="_Toc184314439"/>
      <w:bookmarkEnd w:id="179"/>
      <w:bookmarkStart w:id="180" w:name="_Toc184313305"/>
      <w:bookmarkEnd w:id="180"/>
      <w:bookmarkStart w:id="181" w:name="_Toc184310331"/>
      <w:bookmarkEnd w:id="181"/>
      <w:bookmarkStart w:id="182" w:name="_Toc184312134"/>
      <w:bookmarkEnd w:id="182"/>
      <w:bookmarkStart w:id="183" w:name="_Toc184314468"/>
      <w:bookmarkEnd w:id="183"/>
      <w:bookmarkStart w:id="184" w:name="_Toc184314443"/>
      <w:bookmarkEnd w:id="184"/>
      <w:bookmarkStart w:id="185" w:name="_Toc184308087"/>
      <w:bookmarkEnd w:id="185"/>
      <w:bookmarkStart w:id="186" w:name="_Toc184310272"/>
      <w:bookmarkEnd w:id="186"/>
      <w:bookmarkStart w:id="187" w:name="_Toc184308036"/>
      <w:bookmarkEnd w:id="187"/>
      <w:bookmarkStart w:id="188" w:name="_Toc184312116"/>
      <w:bookmarkEnd w:id="188"/>
      <w:bookmarkStart w:id="189" w:name="_Toc184314481"/>
      <w:bookmarkEnd w:id="189"/>
      <w:bookmarkStart w:id="190" w:name="_Toc184308107"/>
      <w:bookmarkEnd w:id="190"/>
      <w:bookmarkStart w:id="191" w:name="_Toc184308049"/>
      <w:bookmarkEnd w:id="191"/>
      <w:bookmarkStart w:id="192" w:name="_Toc184312128"/>
      <w:bookmarkEnd w:id="192"/>
      <w:bookmarkStart w:id="193" w:name="_Toc184313287"/>
      <w:bookmarkEnd w:id="193"/>
      <w:bookmarkStart w:id="194" w:name="_Toc184308054"/>
      <w:bookmarkEnd w:id="194"/>
      <w:bookmarkStart w:id="195" w:name="_Toc184313295"/>
      <w:bookmarkEnd w:id="195"/>
      <w:bookmarkStart w:id="196" w:name="_Toc184308069"/>
      <w:bookmarkEnd w:id="196"/>
      <w:bookmarkStart w:id="197" w:name="_Toc184314429"/>
      <w:bookmarkEnd w:id="197"/>
      <w:bookmarkStart w:id="198" w:name="_Toc184313251"/>
      <w:bookmarkEnd w:id="198"/>
      <w:bookmarkStart w:id="199" w:name="_Toc184314423"/>
      <w:bookmarkEnd w:id="199"/>
      <w:bookmarkStart w:id="200" w:name="_Toc184313249"/>
      <w:bookmarkEnd w:id="200"/>
      <w:bookmarkStart w:id="201" w:name="_Toc184312083"/>
      <w:bookmarkEnd w:id="201"/>
      <w:bookmarkStart w:id="202" w:name="_Toc184310327"/>
      <w:bookmarkEnd w:id="202"/>
      <w:bookmarkStart w:id="203" w:name="_Toc184313289"/>
      <w:bookmarkEnd w:id="203"/>
      <w:bookmarkStart w:id="204" w:name="_Toc184312119"/>
      <w:bookmarkEnd w:id="204"/>
      <w:bookmarkStart w:id="205" w:name="_Toc184308095"/>
      <w:bookmarkEnd w:id="205"/>
      <w:bookmarkStart w:id="206" w:name="_Toc184312106"/>
      <w:bookmarkEnd w:id="206"/>
      <w:bookmarkStart w:id="207" w:name="_Toc184312093"/>
      <w:bookmarkEnd w:id="207"/>
      <w:bookmarkStart w:id="208" w:name="_Toc184308079"/>
      <w:bookmarkEnd w:id="208"/>
      <w:bookmarkStart w:id="209" w:name="_Toc184313269"/>
      <w:bookmarkEnd w:id="209"/>
      <w:bookmarkStart w:id="210" w:name="_Toc184313241"/>
      <w:bookmarkEnd w:id="210"/>
      <w:bookmarkStart w:id="211" w:name="_Toc184313273"/>
      <w:bookmarkEnd w:id="211"/>
      <w:bookmarkStart w:id="212" w:name="_Toc184308064"/>
      <w:bookmarkEnd w:id="212"/>
      <w:bookmarkStart w:id="213" w:name="_Toc184312091"/>
      <w:bookmarkEnd w:id="213"/>
      <w:bookmarkStart w:id="214" w:name="_Toc184312094"/>
      <w:bookmarkEnd w:id="214"/>
      <w:bookmarkStart w:id="215" w:name="_Toc184314475"/>
      <w:bookmarkEnd w:id="215"/>
      <w:bookmarkStart w:id="216" w:name="_Toc184312077"/>
      <w:bookmarkEnd w:id="216"/>
      <w:bookmarkStart w:id="217" w:name="_Toc184308051"/>
      <w:bookmarkEnd w:id="217"/>
      <w:bookmarkStart w:id="218" w:name="_Toc184310323"/>
      <w:bookmarkEnd w:id="218"/>
      <w:bookmarkStart w:id="219" w:name="_Toc184313258"/>
      <w:bookmarkEnd w:id="219"/>
      <w:bookmarkStart w:id="220" w:name="_Toc184310328"/>
      <w:bookmarkEnd w:id="220"/>
      <w:bookmarkStart w:id="221" w:name="_Toc184308066"/>
      <w:bookmarkEnd w:id="221"/>
      <w:bookmarkStart w:id="222" w:name="_Toc184308104"/>
      <w:bookmarkEnd w:id="222"/>
      <w:bookmarkStart w:id="223" w:name="_Toc184314466"/>
      <w:bookmarkEnd w:id="223"/>
      <w:bookmarkStart w:id="224" w:name="_Toc184313306"/>
      <w:bookmarkEnd w:id="224"/>
      <w:bookmarkStart w:id="225" w:name="_Toc184308039"/>
      <w:bookmarkEnd w:id="225"/>
      <w:bookmarkStart w:id="226" w:name="_Toc184312082"/>
      <w:bookmarkEnd w:id="226"/>
      <w:bookmarkStart w:id="227" w:name="_Toc184313284"/>
      <w:bookmarkEnd w:id="227"/>
      <w:bookmarkStart w:id="228" w:name="_Toc184308098"/>
      <w:bookmarkEnd w:id="228"/>
      <w:bookmarkStart w:id="229" w:name="_Toc184308057"/>
      <w:bookmarkEnd w:id="229"/>
      <w:bookmarkStart w:id="230" w:name="_Toc184312132"/>
      <w:bookmarkEnd w:id="230"/>
      <w:bookmarkStart w:id="231" w:name="_Toc184312075"/>
      <w:bookmarkEnd w:id="231"/>
      <w:bookmarkStart w:id="232" w:name="_Toc184312098"/>
      <w:bookmarkEnd w:id="232"/>
      <w:bookmarkStart w:id="233" w:name="_Toc184308040"/>
      <w:bookmarkEnd w:id="233"/>
      <w:bookmarkStart w:id="234" w:name="_Toc184313246"/>
      <w:bookmarkEnd w:id="234"/>
      <w:bookmarkStart w:id="235" w:name="_Toc184313292"/>
      <w:bookmarkEnd w:id="235"/>
      <w:bookmarkStart w:id="236" w:name="_Toc184314464"/>
      <w:bookmarkEnd w:id="236"/>
      <w:bookmarkStart w:id="237" w:name="_Toc184308094"/>
      <w:bookmarkEnd w:id="237"/>
      <w:bookmarkStart w:id="238" w:name="_Toc184313297"/>
      <w:bookmarkEnd w:id="238"/>
      <w:bookmarkStart w:id="239" w:name="_Toc184308091"/>
      <w:bookmarkEnd w:id="239"/>
      <w:bookmarkStart w:id="240" w:name="_Toc184313302"/>
      <w:bookmarkEnd w:id="240"/>
      <w:bookmarkStart w:id="241" w:name="_Toc184310295"/>
      <w:bookmarkEnd w:id="241"/>
      <w:bookmarkStart w:id="242" w:name="_Toc184312114"/>
      <w:bookmarkEnd w:id="242"/>
      <w:bookmarkStart w:id="243" w:name="_Toc184310299"/>
      <w:bookmarkEnd w:id="243"/>
      <w:bookmarkStart w:id="244" w:name="_Toc184310300"/>
      <w:bookmarkEnd w:id="244"/>
      <w:bookmarkStart w:id="245" w:name="_Toc184312110"/>
      <w:bookmarkEnd w:id="245"/>
      <w:bookmarkStart w:id="246" w:name="_Toc184310276"/>
      <w:bookmarkEnd w:id="246"/>
      <w:bookmarkStart w:id="247" w:name="_Toc184310334"/>
      <w:bookmarkEnd w:id="247"/>
      <w:bookmarkStart w:id="248" w:name="_Toc184310317"/>
      <w:bookmarkEnd w:id="248"/>
      <w:bookmarkStart w:id="249" w:name="_Toc184312103"/>
      <w:bookmarkEnd w:id="249"/>
      <w:bookmarkStart w:id="250" w:name="_Toc184310315"/>
      <w:bookmarkEnd w:id="250"/>
      <w:bookmarkStart w:id="251" w:name="_Toc184314411"/>
      <w:bookmarkEnd w:id="251"/>
      <w:bookmarkStart w:id="252" w:name="_Toc184313276"/>
      <w:bookmarkEnd w:id="252"/>
      <w:bookmarkStart w:id="253" w:name="_Toc184308050"/>
      <w:bookmarkEnd w:id="253"/>
      <w:bookmarkStart w:id="254" w:name="_Toc184313278"/>
      <w:bookmarkEnd w:id="254"/>
      <w:bookmarkStart w:id="255" w:name="_Toc184310288"/>
      <w:bookmarkEnd w:id="255"/>
      <w:bookmarkStart w:id="256" w:name="_Toc184313248"/>
      <w:bookmarkEnd w:id="256"/>
      <w:bookmarkStart w:id="257" w:name="_Toc184308037"/>
      <w:bookmarkEnd w:id="257"/>
      <w:bookmarkStart w:id="258" w:name="_Toc184314416"/>
      <w:bookmarkEnd w:id="258"/>
      <w:bookmarkStart w:id="259" w:name="_Toc184312125"/>
      <w:bookmarkEnd w:id="259"/>
      <w:bookmarkStart w:id="260" w:name="_Toc184314447"/>
      <w:bookmarkEnd w:id="260"/>
      <w:bookmarkStart w:id="261" w:name="_Toc184314450"/>
      <w:bookmarkEnd w:id="261"/>
      <w:bookmarkStart w:id="262" w:name="_Toc184310341"/>
      <w:bookmarkEnd w:id="262"/>
      <w:bookmarkStart w:id="263" w:name="_Toc184310340"/>
      <w:bookmarkEnd w:id="263"/>
      <w:bookmarkStart w:id="264" w:name="_Toc184312138"/>
      <w:bookmarkEnd w:id="264"/>
      <w:bookmarkStart w:id="265" w:name="_Toc184310322"/>
      <w:bookmarkEnd w:id="265"/>
      <w:bookmarkStart w:id="266" w:name="_Toc184314415"/>
      <w:bookmarkEnd w:id="266"/>
      <w:bookmarkStart w:id="267" w:name="_Toc184314420"/>
      <w:bookmarkEnd w:id="267"/>
      <w:bookmarkStart w:id="268" w:name="_Toc184308097"/>
      <w:bookmarkEnd w:id="268"/>
      <w:bookmarkStart w:id="269" w:name="_Toc184313259"/>
      <w:bookmarkEnd w:id="269"/>
      <w:bookmarkStart w:id="270" w:name="_Toc184312078"/>
      <w:bookmarkEnd w:id="270"/>
      <w:bookmarkStart w:id="271" w:name="_Toc184314462"/>
      <w:bookmarkEnd w:id="271"/>
      <w:bookmarkStart w:id="272" w:name="_Toc184312081"/>
      <w:bookmarkEnd w:id="272"/>
      <w:bookmarkStart w:id="273" w:name="_Toc184312137"/>
      <w:bookmarkEnd w:id="273"/>
      <w:bookmarkStart w:id="274" w:name="_Toc184308055"/>
      <w:bookmarkEnd w:id="274"/>
      <w:bookmarkStart w:id="275" w:name="_Toc184310296"/>
      <w:bookmarkEnd w:id="275"/>
      <w:bookmarkStart w:id="276" w:name="_Toc184312135"/>
      <w:bookmarkEnd w:id="276"/>
      <w:bookmarkStart w:id="277" w:name="_Toc184312104"/>
      <w:bookmarkEnd w:id="277"/>
      <w:bookmarkStart w:id="278" w:name="_Toc184314428"/>
      <w:bookmarkEnd w:id="278"/>
      <w:bookmarkStart w:id="279" w:name="_Toc184308075"/>
      <w:bookmarkEnd w:id="279"/>
      <w:bookmarkStart w:id="280" w:name="_Toc184313243"/>
      <w:bookmarkEnd w:id="280"/>
      <w:bookmarkStart w:id="281" w:name="_Toc184314449"/>
      <w:bookmarkEnd w:id="281"/>
      <w:bookmarkStart w:id="282" w:name="_Toc184314436"/>
      <w:bookmarkEnd w:id="282"/>
      <w:bookmarkStart w:id="283" w:name="_Toc184314467"/>
      <w:bookmarkEnd w:id="283"/>
      <w:bookmarkStart w:id="284" w:name="_Toc184313240"/>
      <w:bookmarkEnd w:id="284"/>
      <w:bookmarkStart w:id="285" w:name="_Toc184312120"/>
      <w:bookmarkEnd w:id="285"/>
      <w:bookmarkStart w:id="286" w:name="_Toc184308061"/>
      <w:bookmarkEnd w:id="286"/>
      <w:bookmarkStart w:id="287" w:name="_Toc184310330"/>
      <w:bookmarkEnd w:id="287"/>
      <w:bookmarkStart w:id="288" w:name="_Toc184308081"/>
      <w:bookmarkEnd w:id="288"/>
      <w:bookmarkStart w:id="289" w:name="_Toc184312068"/>
      <w:bookmarkEnd w:id="289"/>
      <w:bookmarkStart w:id="290" w:name="_Toc184308067"/>
      <w:bookmarkEnd w:id="290"/>
      <w:bookmarkStart w:id="291" w:name="_Toc184312109"/>
      <w:bookmarkEnd w:id="291"/>
      <w:bookmarkStart w:id="292" w:name="_Toc184314482"/>
      <w:bookmarkEnd w:id="292"/>
      <w:bookmarkStart w:id="293" w:name="_Toc184313286"/>
      <w:bookmarkEnd w:id="293"/>
      <w:bookmarkStart w:id="294" w:name="_Toc184314445"/>
      <w:bookmarkEnd w:id="294"/>
      <w:bookmarkStart w:id="295" w:name="_Toc184308060"/>
      <w:bookmarkEnd w:id="295"/>
      <w:bookmarkStart w:id="296" w:name="_Toc184308103"/>
      <w:bookmarkEnd w:id="296"/>
      <w:bookmarkStart w:id="297" w:name="_Toc184310335"/>
      <w:bookmarkEnd w:id="297"/>
      <w:bookmarkStart w:id="298" w:name="_Toc184310310"/>
      <w:bookmarkEnd w:id="298"/>
      <w:bookmarkStart w:id="299" w:name="_Toc184313263"/>
      <w:bookmarkEnd w:id="299"/>
      <w:bookmarkStart w:id="300" w:name="_Toc184313261"/>
      <w:bookmarkEnd w:id="300"/>
      <w:bookmarkStart w:id="301" w:name="_Toc184310309"/>
      <w:bookmarkEnd w:id="301"/>
      <w:bookmarkStart w:id="302" w:name="_Toc184310278"/>
      <w:bookmarkEnd w:id="302"/>
      <w:bookmarkStart w:id="303" w:name="_Toc184313256"/>
      <w:bookmarkEnd w:id="303"/>
      <w:bookmarkStart w:id="304" w:name="_Toc184314479"/>
      <w:bookmarkEnd w:id="304"/>
      <w:bookmarkStart w:id="305" w:name="_Toc184310292"/>
      <w:bookmarkEnd w:id="305"/>
      <w:bookmarkStart w:id="306" w:name="_Toc184313247"/>
      <w:bookmarkEnd w:id="306"/>
      <w:bookmarkStart w:id="307" w:name="_Toc184313264"/>
      <w:bookmarkEnd w:id="307"/>
      <w:bookmarkStart w:id="308" w:name="_Toc184310274"/>
      <w:bookmarkEnd w:id="308"/>
      <w:bookmarkStart w:id="309" w:name="_Toc184308089"/>
      <w:bookmarkEnd w:id="309"/>
      <w:bookmarkStart w:id="310" w:name="_Toc184312085"/>
      <w:bookmarkEnd w:id="310"/>
      <w:bookmarkStart w:id="311" w:name="_Toc184308041"/>
      <w:bookmarkEnd w:id="311"/>
      <w:bookmarkStart w:id="312" w:name="_Toc184310289"/>
      <w:bookmarkEnd w:id="312"/>
      <w:bookmarkStart w:id="313" w:name="_Toc184313296"/>
      <w:bookmarkEnd w:id="313"/>
      <w:bookmarkStart w:id="314" w:name="_Toc184308080"/>
      <w:bookmarkEnd w:id="314"/>
      <w:bookmarkStart w:id="315" w:name="_Toc184313254"/>
      <w:bookmarkEnd w:id="315"/>
      <w:bookmarkStart w:id="316" w:name="_Toc184310298"/>
      <w:bookmarkEnd w:id="316"/>
      <w:bookmarkStart w:id="317" w:name="_Toc184313239"/>
      <w:bookmarkEnd w:id="317"/>
      <w:bookmarkStart w:id="318" w:name="_Toc184310332"/>
      <w:bookmarkEnd w:id="318"/>
      <w:bookmarkStart w:id="319" w:name="_Toc184314422"/>
      <w:bookmarkEnd w:id="319"/>
      <w:bookmarkStart w:id="320" w:name="_Toc184313282"/>
      <w:bookmarkEnd w:id="320"/>
      <w:bookmarkStart w:id="321" w:name="_Toc184314478"/>
      <w:bookmarkEnd w:id="321"/>
      <w:bookmarkStart w:id="322" w:name="_Toc184312123"/>
      <w:bookmarkEnd w:id="322"/>
      <w:bookmarkStart w:id="323" w:name="_Toc184313300"/>
      <w:bookmarkEnd w:id="323"/>
      <w:bookmarkStart w:id="324" w:name="_Toc184314452"/>
      <w:bookmarkEnd w:id="324"/>
      <w:bookmarkStart w:id="325" w:name="_Toc184314460"/>
      <w:bookmarkEnd w:id="325"/>
      <w:bookmarkStart w:id="326" w:name="_Toc184313275"/>
      <w:bookmarkEnd w:id="326"/>
      <w:bookmarkStart w:id="327" w:name="_Toc184313279"/>
      <w:bookmarkEnd w:id="327"/>
      <w:bookmarkStart w:id="328" w:name="_Toc184312087"/>
      <w:bookmarkEnd w:id="328"/>
      <w:bookmarkStart w:id="329" w:name="_Toc184313272"/>
      <w:bookmarkEnd w:id="329"/>
      <w:bookmarkStart w:id="330" w:name="_Toc184314442"/>
      <w:bookmarkEnd w:id="330"/>
      <w:bookmarkStart w:id="331" w:name="_Toc184312118"/>
      <w:bookmarkEnd w:id="331"/>
      <w:bookmarkStart w:id="332" w:name="_Toc184312070"/>
      <w:bookmarkEnd w:id="332"/>
      <w:bookmarkStart w:id="333" w:name="_Toc184312084"/>
      <w:bookmarkEnd w:id="333"/>
      <w:bookmarkStart w:id="334" w:name="_Toc184308046"/>
      <w:bookmarkEnd w:id="334"/>
      <w:bookmarkStart w:id="335" w:name="_Toc184312127"/>
      <w:bookmarkEnd w:id="335"/>
      <w:bookmarkStart w:id="336" w:name="_Toc184312102"/>
      <w:bookmarkEnd w:id="336"/>
      <w:bookmarkStart w:id="337" w:name="_Toc184314412"/>
      <w:bookmarkEnd w:id="337"/>
      <w:bookmarkStart w:id="338" w:name="_Toc184312067"/>
      <w:bookmarkEnd w:id="338"/>
      <w:bookmarkStart w:id="339" w:name="_Toc184310313"/>
      <w:bookmarkEnd w:id="339"/>
      <w:bookmarkStart w:id="340" w:name="_Toc184314421"/>
      <w:bookmarkEnd w:id="340"/>
      <w:bookmarkStart w:id="341" w:name="_Toc184314469"/>
      <w:bookmarkEnd w:id="341"/>
      <w:bookmarkStart w:id="342" w:name="_Toc184308082"/>
      <w:bookmarkEnd w:id="342"/>
      <w:bookmarkStart w:id="343" w:name="_Toc184312100"/>
      <w:bookmarkEnd w:id="343"/>
      <w:bookmarkStart w:id="344" w:name="_Toc184310282"/>
      <w:bookmarkEnd w:id="344"/>
      <w:bookmarkStart w:id="345" w:name="_Toc184312089"/>
      <w:bookmarkEnd w:id="345"/>
      <w:bookmarkStart w:id="346" w:name="_Toc184310336"/>
      <w:bookmarkEnd w:id="346"/>
      <w:bookmarkStart w:id="347" w:name="_Toc184313262"/>
      <w:bookmarkEnd w:id="347"/>
      <w:bookmarkStart w:id="348" w:name="_Toc184313294"/>
      <w:bookmarkEnd w:id="348"/>
      <w:bookmarkStart w:id="349" w:name="_Toc184314430"/>
      <w:bookmarkEnd w:id="349"/>
      <w:bookmarkStart w:id="350" w:name="_Toc184310314"/>
      <w:bookmarkEnd w:id="350"/>
      <w:bookmarkStart w:id="351" w:name="_Toc184308062"/>
      <w:bookmarkEnd w:id="351"/>
      <w:bookmarkStart w:id="352" w:name="_Toc184312076"/>
      <w:bookmarkEnd w:id="352"/>
      <w:bookmarkStart w:id="353" w:name="_Toc184308052"/>
      <w:bookmarkEnd w:id="353"/>
      <w:bookmarkStart w:id="354" w:name="_Toc184308102"/>
      <w:bookmarkEnd w:id="354"/>
      <w:bookmarkStart w:id="355" w:name="_Toc184310279"/>
      <w:bookmarkEnd w:id="355"/>
      <w:bookmarkStart w:id="356" w:name="_Toc184312112"/>
      <w:bookmarkEnd w:id="356"/>
      <w:bookmarkStart w:id="357" w:name="_Toc184308071"/>
      <w:bookmarkEnd w:id="357"/>
      <w:bookmarkStart w:id="358" w:name="_Toc184313293"/>
      <w:bookmarkEnd w:id="358"/>
      <w:bookmarkStart w:id="359" w:name="_Toc184308070"/>
      <w:bookmarkEnd w:id="359"/>
      <w:bookmarkStart w:id="360" w:name="_Toc184313285"/>
      <w:bookmarkEnd w:id="360"/>
      <w:bookmarkStart w:id="361" w:name="_Toc184310326"/>
      <w:bookmarkEnd w:id="361"/>
      <w:bookmarkStart w:id="362" w:name="_Toc184312105"/>
      <w:bookmarkEnd w:id="362"/>
      <w:bookmarkStart w:id="363" w:name="_Toc184312088"/>
      <w:bookmarkEnd w:id="363"/>
      <w:bookmarkStart w:id="364" w:name="_Toc184314458"/>
      <w:bookmarkEnd w:id="364"/>
      <w:bookmarkStart w:id="365" w:name="_Toc184314446"/>
      <w:bookmarkEnd w:id="365"/>
      <w:bookmarkStart w:id="366" w:name="_Toc184314419"/>
      <w:bookmarkEnd w:id="366"/>
      <w:bookmarkStart w:id="367" w:name="_Toc184312096"/>
      <w:bookmarkEnd w:id="367"/>
      <w:bookmarkStart w:id="368" w:name="_Toc184314451"/>
      <w:bookmarkEnd w:id="368"/>
      <w:bookmarkStart w:id="369" w:name="_Toc184308073"/>
      <w:bookmarkEnd w:id="369"/>
      <w:bookmarkStart w:id="370" w:name="_Toc184312090"/>
      <w:bookmarkEnd w:id="370"/>
      <w:bookmarkStart w:id="371" w:name="_Toc184313274"/>
      <w:bookmarkEnd w:id="371"/>
      <w:bookmarkStart w:id="372" w:name="_Toc184312072"/>
      <w:bookmarkEnd w:id="372"/>
      <w:bookmarkStart w:id="373" w:name="_Toc184310290"/>
      <w:bookmarkEnd w:id="373"/>
      <w:bookmarkStart w:id="374" w:name="_Toc184310343"/>
      <w:bookmarkEnd w:id="374"/>
      <w:bookmarkStart w:id="375" w:name="_Toc184314461"/>
      <w:bookmarkEnd w:id="375"/>
      <w:bookmarkStart w:id="376" w:name="_Toc184310308"/>
      <w:bookmarkEnd w:id="376"/>
      <w:bookmarkStart w:id="377" w:name="_Toc184308093"/>
      <w:bookmarkEnd w:id="377"/>
      <w:bookmarkStart w:id="378" w:name="_Toc184314417"/>
      <w:bookmarkEnd w:id="378"/>
      <w:bookmarkStart w:id="379" w:name="_Toc184312115"/>
      <w:bookmarkEnd w:id="379"/>
      <w:r>
        <w:rPr>
          <w:rFonts w:hint="eastAsia" w:asciiTheme="minorEastAsia" w:hAnsiTheme="minorEastAsia" w:eastAsiaTheme="minorEastAsia" w:cstheme="minorEastAsia"/>
          <w:b/>
          <w:color w:val="auto"/>
          <w:sz w:val="36"/>
          <w:szCs w:val="36"/>
          <w:highlight w:val="none"/>
        </w:rPr>
        <w:t>评审办法</w:t>
      </w:r>
    </w:p>
    <w:tbl>
      <w:tblPr>
        <w:tblStyle w:val="25"/>
        <w:tblW w:w="9636" w:type="dxa"/>
        <w:jc w:val="center"/>
        <w:tblLayout w:type="fixed"/>
        <w:tblCellMar>
          <w:top w:w="0" w:type="dxa"/>
          <w:left w:w="108" w:type="dxa"/>
          <w:bottom w:w="0" w:type="dxa"/>
          <w:right w:w="108" w:type="dxa"/>
        </w:tblCellMar>
      </w:tblPr>
      <w:tblGrid>
        <w:gridCol w:w="1137"/>
        <w:gridCol w:w="1210"/>
        <w:gridCol w:w="7289"/>
      </w:tblGrid>
      <w:tr w14:paraId="7B9B5AE4">
        <w:tblPrEx>
          <w:tblCellMar>
            <w:top w:w="0" w:type="dxa"/>
            <w:left w:w="108" w:type="dxa"/>
            <w:bottom w:w="0" w:type="dxa"/>
            <w:right w:w="108" w:type="dxa"/>
          </w:tblCellMar>
        </w:tblPrEx>
        <w:trPr>
          <w:trHeight w:val="330" w:hRule="atLeast"/>
          <w:jc w:val="center"/>
        </w:trPr>
        <w:tc>
          <w:tcPr>
            <w:tcW w:w="9636" w:type="dxa"/>
            <w:gridSpan w:val="3"/>
            <w:tcBorders>
              <w:top w:val="single" w:color="auto" w:sz="4" w:space="0"/>
              <w:left w:val="single" w:color="auto" w:sz="4" w:space="0"/>
              <w:bottom w:val="single" w:color="auto" w:sz="4" w:space="0"/>
              <w:right w:val="single" w:color="auto" w:sz="4" w:space="0"/>
            </w:tcBorders>
            <w:vAlign w:val="center"/>
          </w:tcPr>
          <w:p w14:paraId="100D63DF">
            <w:pPr>
              <w:adjustRightInd w:val="0"/>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评分标准</w:t>
            </w:r>
          </w:p>
        </w:tc>
      </w:tr>
      <w:tr w14:paraId="31FBAE46">
        <w:tblPrEx>
          <w:tblCellMar>
            <w:top w:w="0" w:type="dxa"/>
            <w:left w:w="108" w:type="dxa"/>
            <w:bottom w:w="0" w:type="dxa"/>
            <w:right w:w="108" w:type="dxa"/>
          </w:tblCellMar>
        </w:tblPrEx>
        <w:trPr>
          <w:trHeight w:val="1500" w:hRule="atLeast"/>
          <w:jc w:val="center"/>
        </w:trPr>
        <w:tc>
          <w:tcPr>
            <w:tcW w:w="1137" w:type="dxa"/>
            <w:vMerge w:val="restart"/>
            <w:tcBorders>
              <w:top w:val="nil"/>
              <w:left w:val="single" w:color="auto" w:sz="4" w:space="0"/>
              <w:bottom w:val="single" w:color="auto" w:sz="4" w:space="0"/>
              <w:right w:val="single" w:color="auto" w:sz="4" w:space="0"/>
            </w:tcBorders>
            <w:vAlign w:val="center"/>
          </w:tcPr>
          <w:p w14:paraId="1538A2FA">
            <w:pPr>
              <w:adjustRightInd w:val="0"/>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技术商务80分</w:t>
            </w:r>
          </w:p>
        </w:tc>
        <w:tc>
          <w:tcPr>
            <w:tcW w:w="1210" w:type="dxa"/>
            <w:tcBorders>
              <w:top w:val="single" w:color="auto" w:sz="4" w:space="0"/>
              <w:left w:val="nil"/>
              <w:bottom w:val="single" w:color="auto" w:sz="4" w:space="0"/>
              <w:right w:val="single" w:color="auto" w:sz="4" w:space="0"/>
            </w:tcBorders>
            <w:vAlign w:val="center"/>
          </w:tcPr>
          <w:p w14:paraId="68B18509">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招标需求响应情况</w:t>
            </w:r>
          </w:p>
          <w:p w14:paraId="221AF2BF">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20</w:t>
            </w:r>
            <w:r>
              <w:rPr>
                <w:rFonts w:hint="eastAsia" w:asciiTheme="majorEastAsia" w:hAnsiTheme="majorEastAsia" w:eastAsiaTheme="majorEastAsia" w:cstheme="majorEastAsia"/>
                <w:color w:val="auto"/>
                <w:sz w:val="21"/>
                <w:szCs w:val="21"/>
                <w:highlight w:val="none"/>
                <w:lang w:eastAsia="zh-CN"/>
              </w:rPr>
              <w:t>分）</w:t>
            </w:r>
          </w:p>
        </w:tc>
        <w:tc>
          <w:tcPr>
            <w:tcW w:w="7289" w:type="dxa"/>
            <w:tcBorders>
              <w:top w:val="single" w:color="auto" w:sz="4" w:space="0"/>
              <w:left w:val="nil"/>
              <w:bottom w:val="single" w:color="auto" w:sz="4" w:space="0"/>
              <w:right w:val="single" w:color="auto" w:sz="4" w:space="0"/>
            </w:tcBorders>
            <w:vAlign w:val="center"/>
          </w:tcPr>
          <w:p w14:paraId="1B75FC98">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根据供应商针对本招标文件 “第三部分  采购需求”的响应情况进行评审：全部满足的得</w:t>
            </w:r>
            <w:r>
              <w:rPr>
                <w:rFonts w:hint="eastAsia" w:asciiTheme="majorEastAsia" w:hAnsiTheme="majorEastAsia" w:eastAsiaTheme="majorEastAsia" w:cstheme="majorEastAsia"/>
                <w:color w:val="auto"/>
                <w:sz w:val="21"/>
                <w:szCs w:val="21"/>
                <w:highlight w:val="none"/>
                <w:lang w:val="en-US" w:eastAsia="zh-CN"/>
              </w:rPr>
              <w:t>20</w:t>
            </w:r>
            <w:r>
              <w:rPr>
                <w:rFonts w:hint="eastAsia" w:asciiTheme="majorEastAsia" w:hAnsiTheme="majorEastAsia" w:eastAsiaTheme="majorEastAsia" w:cstheme="majorEastAsia"/>
                <w:color w:val="auto"/>
                <w:sz w:val="21"/>
                <w:szCs w:val="21"/>
                <w:highlight w:val="none"/>
                <w:lang w:eastAsia="zh-CN"/>
              </w:rPr>
              <w:t>分，非带“▲”服务要求每负偏离1项，扣1分，扣完为止；带“▲”服务要求每负偏离1项，视为无效投标文件。</w:t>
            </w:r>
          </w:p>
          <w:p w14:paraId="5FEA7917">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其中1项的定义：“第三部分采购需求”的最小序号。</w:t>
            </w:r>
          </w:p>
          <w:p w14:paraId="4BA09EDF">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eastAsia="zh-CN"/>
              </w:rPr>
              <w:t>采购文件中如要求提供相关证明文件复印件，未提供或提供不满足的视为负偏离。</w:t>
            </w:r>
          </w:p>
        </w:tc>
      </w:tr>
      <w:tr w14:paraId="18E35E87">
        <w:tblPrEx>
          <w:tblCellMar>
            <w:top w:w="0" w:type="dxa"/>
            <w:left w:w="108" w:type="dxa"/>
            <w:bottom w:w="0" w:type="dxa"/>
            <w:right w:w="108" w:type="dxa"/>
          </w:tblCellMar>
        </w:tblPrEx>
        <w:trPr>
          <w:trHeight w:val="3280" w:hRule="atLeast"/>
          <w:jc w:val="center"/>
        </w:trPr>
        <w:tc>
          <w:tcPr>
            <w:tcW w:w="1137" w:type="dxa"/>
            <w:vMerge w:val="continue"/>
            <w:tcBorders>
              <w:left w:val="single" w:color="auto" w:sz="4" w:space="0"/>
              <w:right w:val="single" w:color="auto" w:sz="4" w:space="0"/>
            </w:tcBorders>
            <w:vAlign w:val="center"/>
          </w:tcPr>
          <w:p w14:paraId="59DC8DE8">
            <w:pPr>
              <w:adjustRightInd w:val="0"/>
              <w:snapToGrid w:val="0"/>
              <w:rPr>
                <w:rFonts w:hint="eastAsia" w:asciiTheme="majorEastAsia" w:hAnsiTheme="majorEastAsia" w:eastAsiaTheme="majorEastAsia" w:cstheme="majorEastAsia"/>
                <w:color w:val="auto"/>
                <w:sz w:val="21"/>
                <w:szCs w:val="21"/>
                <w:highlight w:val="none"/>
              </w:rPr>
            </w:pPr>
          </w:p>
        </w:tc>
        <w:tc>
          <w:tcPr>
            <w:tcW w:w="1210" w:type="dxa"/>
            <w:tcBorders>
              <w:top w:val="single" w:color="auto" w:sz="4" w:space="0"/>
              <w:left w:val="nil"/>
              <w:bottom w:val="single" w:color="auto" w:sz="4" w:space="0"/>
              <w:right w:val="single" w:color="auto" w:sz="4" w:space="0"/>
            </w:tcBorders>
            <w:vAlign w:val="center"/>
          </w:tcPr>
          <w:p w14:paraId="7AA8B418">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舞台设计及设备方案（</w:t>
            </w:r>
            <w:r>
              <w:rPr>
                <w:rFonts w:hint="eastAsia" w:asciiTheme="majorEastAsia" w:hAnsiTheme="majorEastAsia" w:eastAsiaTheme="majorEastAsia" w:cstheme="majorEastAsia"/>
                <w:color w:val="auto"/>
                <w:sz w:val="21"/>
                <w:szCs w:val="21"/>
                <w:highlight w:val="none"/>
                <w:lang w:val="en-US" w:eastAsia="zh-CN"/>
              </w:rPr>
              <w:t>28</w:t>
            </w:r>
            <w:r>
              <w:rPr>
                <w:rFonts w:hint="eastAsia" w:asciiTheme="majorEastAsia" w:hAnsiTheme="majorEastAsia" w:eastAsiaTheme="majorEastAsia" w:cstheme="majorEastAsia"/>
                <w:color w:val="auto"/>
                <w:sz w:val="21"/>
                <w:szCs w:val="21"/>
                <w:highlight w:val="none"/>
                <w:lang w:eastAsia="zh-CN"/>
              </w:rPr>
              <w:t>分）</w:t>
            </w:r>
          </w:p>
        </w:tc>
        <w:tc>
          <w:tcPr>
            <w:tcW w:w="7289" w:type="dxa"/>
            <w:tcBorders>
              <w:top w:val="single" w:color="auto" w:sz="4" w:space="0"/>
              <w:left w:val="nil"/>
              <w:bottom w:val="single" w:color="auto" w:sz="4" w:space="0"/>
              <w:right w:val="single" w:color="auto" w:sz="4" w:space="0"/>
            </w:tcBorders>
            <w:vAlign w:val="center"/>
          </w:tcPr>
          <w:p w14:paraId="00B2EA2C">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根据供应商提供的舞台设计方案进行评议：</w:t>
            </w:r>
          </w:p>
          <w:p w14:paraId="3875FFD0">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（1）舞台设计主题围绕“奉化蜜桃”的得4分；</w:t>
            </w:r>
          </w:p>
          <w:p w14:paraId="76B33319">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（2）舞台设计新颖、独特、</w:t>
            </w:r>
            <w:r>
              <w:rPr>
                <w:rFonts w:hint="eastAsia" w:asciiTheme="majorEastAsia" w:hAnsiTheme="majorEastAsia" w:eastAsiaTheme="majorEastAsia" w:cstheme="majorEastAsia"/>
                <w:color w:val="auto"/>
                <w:sz w:val="21"/>
                <w:szCs w:val="21"/>
                <w:highlight w:val="none"/>
                <w:lang w:val="en-US" w:eastAsia="zh-CN"/>
              </w:rPr>
              <w:t>具有</w:t>
            </w:r>
            <w:r>
              <w:rPr>
                <w:rFonts w:hint="eastAsia" w:asciiTheme="majorEastAsia" w:hAnsiTheme="majorEastAsia" w:eastAsiaTheme="majorEastAsia" w:cstheme="majorEastAsia"/>
                <w:color w:val="auto"/>
                <w:sz w:val="21"/>
                <w:szCs w:val="21"/>
                <w:highlight w:val="none"/>
                <w:lang w:eastAsia="zh-CN"/>
              </w:rPr>
              <w:t>创意的得4分；</w:t>
            </w:r>
          </w:p>
          <w:p w14:paraId="099CD3AD">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lang w:eastAsia="zh-CN"/>
              </w:rPr>
              <w:t>）舞台灯光系统完善，灯光动态效果能营造出独特的舞台氛围的得4分；</w:t>
            </w:r>
          </w:p>
          <w:p w14:paraId="716E6718">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lang w:eastAsia="zh-CN"/>
              </w:rPr>
              <w:t>）舞台视觉色彩搭配</w:t>
            </w:r>
            <w:r>
              <w:rPr>
                <w:rFonts w:hint="eastAsia" w:asciiTheme="majorEastAsia" w:hAnsiTheme="majorEastAsia" w:eastAsiaTheme="majorEastAsia" w:cstheme="majorEastAsia"/>
                <w:color w:val="auto"/>
                <w:sz w:val="21"/>
                <w:szCs w:val="21"/>
                <w:highlight w:val="none"/>
                <w:lang w:val="en-US" w:eastAsia="zh-CN"/>
              </w:rPr>
              <w:t>协调、具有</w:t>
            </w:r>
            <w:r>
              <w:rPr>
                <w:rFonts w:hint="eastAsia" w:asciiTheme="majorEastAsia" w:hAnsiTheme="majorEastAsia" w:eastAsiaTheme="majorEastAsia" w:cstheme="majorEastAsia"/>
                <w:color w:val="auto"/>
                <w:sz w:val="21"/>
                <w:szCs w:val="21"/>
                <w:highlight w:val="none"/>
                <w:lang w:eastAsia="zh-CN"/>
              </w:rPr>
              <w:t>冲击力的得4分；</w:t>
            </w:r>
          </w:p>
          <w:p w14:paraId="46500A6A">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）舞台音效（包括主音箱、副音箱、低音炮、音频处理设备等）设备的选型、数量及现场音箱摆放位置合理的得4分；</w:t>
            </w:r>
          </w:p>
          <w:p w14:paraId="6325F3F3">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lang w:eastAsia="zh-CN"/>
              </w:rPr>
              <w:t>）摄像机选型、数量及现场‌安装位置合理、能完美呈现现场效果的得</w:t>
            </w: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lang w:eastAsia="zh-CN"/>
              </w:rPr>
              <w:t>分；</w:t>
            </w:r>
          </w:p>
          <w:p w14:paraId="5525BF5D">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lang w:eastAsia="zh-CN"/>
              </w:rPr>
              <w:t>）突发事件紧急处理方案总体思路明确、应急方案具有可执行标准、紧急处理流程逻辑清晰的得4分；</w:t>
            </w:r>
          </w:p>
          <w:p w14:paraId="6D75D2BE">
            <w:pPr>
              <w:spacing w:line="34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以上内容有所欠缺的每项得2分，未提供以上该内容的不得分。</w:t>
            </w:r>
          </w:p>
        </w:tc>
      </w:tr>
      <w:tr w14:paraId="4F00032D">
        <w:tblPrEx>
          <w:tblCellMar>
            <w:top w:w="0" w:type="dxa"/>
            <w:left w:w="108" w:type="dxa"/>
            <w:bottom w:w="0" w:type="dxa"/>
            <w:right w:w="108" w:type="dxa"/>
          </w:tblCellMar>
        </w:tblPrEx>
        <w:trPr>
          <w:trHeight w:val="3004" w:hRule="atLeast"/>
          <w:jc w:val="center"/>
        </w:trPr>
        <w:tc>
          <w:tcPr>
            <w:tcW w:w="1137" w:type="dxa"/>
            <w:vMerge w:val="continue"/>
            <w:tcBorders>
              <w:left w:val="single" w:color="auto" w:sz="4" w:space="0"/>
              <w:right w:val="single" w:color="auto" w:sz="4" w:space="0"/>
            </w:tcBorders>
            <w:vAlign w:val="center"/>
          </w:tcPr>
          <w:p w14:paraId="74A948AF">
            <w:pPr>
              <w:adjustRightInd w:val="0"/>
              <w:snapToGrid w:val="0"/>
              <w:rPr>
                <w:rFonts w:hint="eastAsia" w:asciiTheme="majorEastAsia" w:hAnsiTheme="majorEastAsia" w:eastAsiaTheme="majorEastAsia" w:cstheme="majorEastAsia"/>
                <w:color w:val="auto"/>
                <w:sz w:val="21"/>
                <w:szCs w:val="21"/>
                <w:highlight w:val="none"/>
              </w:rPr>
            </w:pPr>
          </w:p>
        </w:tc>
        <w:tc>
          <w:tcPr>
            <w:tcW w:w="1210" w:type="dxa"/>
            <w:tcBorders>
              <w:top w:val="single" w:color="auto" w:sz="4" w:space="0"/>
              <w:left w:val="nil"/>
              <w:right w:val="single" w:color="auto" w:sz="4" w:space="0"/>
            </w:tcBorders>
            <w:shd w:val="clear" w:color="auto" w:fill="auto"/>
            <w:vAlign w:val="center"/>
          </w:tcPr>
          <w:p w14:paraId="1C3CFF78">
            <w:pPr>
              <w:spacing w:line="340" w:lineRule="exact"/>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宣传方案</w:t>
            </w:r>
            <w:r>
              <w:rPr>
                <w:rFonts w:hint="eastAsia" w:asciiTheme="majorEastAsia" w:hAnsiTheme="majorEastAsia" w:eastAsiaTheme="majorEastAsia" w:cstheme="majorEastAsia"/>
                <w:color w:val="auto"/>
                <w:sz w:val="21"/>
                <w:szCs w:val="21"/>
                <w:highlight w:val="none"/>
              </w:rPr>
              <w:t>（20分）</w:t>
            </w:r>
          </w:p>
        </w:tc>
        <w:tc>
          <w:tcPr>
            <w:tcW w:w="7289" w:type="dxa"/>
            <w:tcBorders>
              <w:top w:val="single" w:color="auto" w:sz="4" w:space="0"/>
              <w:left w:val="nil"/>
              <w:bottom w:val="single" w:color="auto" w:sz="4" w:space="0"/>
              <w:right w:val="single" w:color="auto" w:sz="4" w:space="0"/>
            </w:tcBorders>
            <w:shd w:val="clear" w:color="auto" w:fill="auto"/>
            <w:vAlign w:val="center"/>
          </w:tcPr>
          <w:p w14:paraId="5CAEA8AB">
            <w:pPr>
              <w:spacing w:line="34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根据供应商提供的宣传方案进行评议：</w:t>
            </w:r>
          </w:p>
          <w:p w14:paraId="53005E67">
            <w:pPr>
              <w:spacing w:line="34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（1）宣传</w:t>
            </w:r>
            <w:r>
              <w:rPr>
                <w:rFonts w:hint="eastAsia" w:asciiTheme="majorEastAsia" w:hAnsiTheme="majorEastAsia" w:eastAsiaTheme="majorEastAsia" w:cstheme="majorEastAsia"/>
                <w:color w:val="auto"/>
                <w:sz w:val="21"/>
                <w:szCs w:val="21"/>
                <w:highlight w:val="none"/>
              </w:rPr>
              <w:t>主题</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内容</w:t>
            </w:r>
            <w:r>
              <w:rPr>
                <w:rFonts w:hint="eastAsia" w:asciiTheme="majorEastAsia" w:hAnsiTheme="majorEastAsia" w:eastAsiaTheme="majorEastAsia" w:cstheme="majorEastAsia"/>
                <w:color w:val="auto"/>
                <w:sz w:val="21"/>
                <w:szCs w:val="21"/>
                <w:highlight w:val="none"/>
              </w:rPr>
              <w:t>新颖独特的得4分；</w:t>
            </w:r>
          </w:p>
          <w:p w14:paraId="664FE918">
            <w:pPr>
              <w:spacing w:line="34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（2）宣传内容</w:t>
            </w:r>
            <w:r>
              <w:rPr>
                <w:rFonts w:hint="eastAsia" w:asciiTheme="majorEastAsia" w:hAnsiTheme="majorEastAsia" w:eastAsiaTheme="majorEastAsia" w:cstheme="majorEastAsia"/>
                <w:color w:val="auto"/>
                <w:sz w:val="21"/>
                <w:szCs w:val="21"/>
                <w:highlight w:val="none"/>
              </w:rPr>
              <w:t>围绕</w:t>
            </w:r>
            <w:r>
              <w:rPr>
                <w:rFonts w:hint="eastAsia" w:asciiTheme="majorEastAsia" w:hAnsiTheme="majorEastAsia" w:eastAsiaTheme="majorEastAsia" w:cstheme="majorEastAsia"/>
                <w:color w:val="auto"/>
                <w:sz w:val="21"/>
                <w:szCs w:val="21"/>
                <w:highlight w:val="none"/>
                <w:lang w:val="en-US" w:eastAsia="zh-CN"/>
              </w:rPr>
              <w:t>“奉化农文旅资源及产品”、“蜜桃音乐节”</w:t>
            </w:r>
            <w:r>
              <w:rPr>
                <w:rFonts w:hint="eastAsia" w:asciiTheme="majorEastAsia" w:hAnsiTheme="majorEastAsia" w:eastAsiaTheme="majorEastAsia" w:cstheme="majorEastAsia"/>
                <w:color w:val="auto"/>
                <w:sz w:val="21"/>
                <w:szCs w:val="21"/>
                <w:highlight w:val="none"/>
              </w:rPr>
              <w:t>的得4分；</w:t>
            </w:r>
          </w:p>
          <w:p w14:paraId="2A5294E9">
            <w:pPr>
              <w:spacing w:line="34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（3）宣传</w:t>
            </w:r>
            <w:r>
              <w:rPr>
                <w:rFonts w:hint="eastAsia" w:asciiTheme="majorEastAsia" w:hAnsiTheme="majorEastAsia" w:eastAsiaTheme="majorEastAsia" w:cstheme="majorEastAsia"/>
                <w:color w:val="auto"/>
                <w:sz w:val="21"/>
                <w:szCs w:val="21"/>
                <w:highlight w:val="none"/>
              </w:rPr>
              <w:t>内容与实际活动、产品、服务等</w:t>
            </w:r>
            <w:r>
              <w:rPr>
                <w:rFonts w:hint="eastAsia" w:asciiTheme="majorEastAsia" w:hAnsiTheme="majorEastAsia" w:eastAsiaTheme="majorEastAsia" w:cstheme="majorEastAsia"/>
                <w:color w:val="auto"/>
                <w:sz w:val="21"/>
                <w:szCs w:val="21"/>
                <w:highlight w:val="none"/>
                <w:lang w:val="en-US" w:eastAsia="zh-CN"/>
              </w:rPr>
              <w:t>内容</w:t>
            </w:r>
            <w:r>
              <w:rPr>
                <w:rFonts w:hint="eastAsia" w:asciiTheme="majorEastAsia" w:hAnsiTheme="majorEastAsia" w:eastAsiaTheme="majorEastAsia" w:cstheme="majorEastAsia"/>
                <w:color w:val="auto"/>
                <w:sz w:val="21"/>
                <w:szCs w:val="21"/>
                <w:highlight w:val="none"/>
              </w:rPr>
              <w:t>相符</w:t>
            </w:r>
            <w:r>
              <w:rPr>
                <w:rFonts w:hint="eastAsia" w:asciiTheme="majorEastAsia" w:hAnsiTheme="majorEastAsia" w:eastAsiaTheme="majorEastAsia" w:cstheme="majorEastAsia"/>
                <w:color w:val="auto"/>
                <w:sz w:val="21"/>
                <w:szCs w:val="21"/>
                <w:highlight w:val="none"/>
                <w:lang w:eastAsia="zh-CN"/>
              </w:rPr>
              <w:t>的</w:t>
            </w:r>
            <w:r>
              <w:rPr>
                <w:rFonts w:hint="eastAsia" w:asciiTheme="majorEastAsia" w:hAnsiTheme="majorEastAsia" w:eastAsiaTheme="majorEastAsia" w:cstheme="majorEastAsia"/>
                <w:color w:val="auto"/>
                <w:sz w:val="21"/>
                <w:szCs w:val="21"/>
                <w:highlight w:val="none"/>
                <w:lang w:val="en-US" w:eastAsia="zh-CN"/>
              </w:rPr>
              <w:t>得4分；</w:t>
            </w:r>
          </w:p>
          <w:p w14:paraId="6EB1561D">
            <w:pPr>
              <w:spacing w:line="34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（4）宣传</w:t>
            </w:r>
            <w:r>
              <w:rPr>
                <w:rFonts w:hint="eastAsia" w:asciiTheme="majorEastAsia" w:hAnsiTheme="majorEastAsia" w:eastAsiaTheme="majorEastAsia" w:cstheme="majorEastAsia"/>
                <w:color w:val="auto"/>
                <w:sz w:val="21"/>
                <w:szCs w:val="21"/>
                <w:highlight w:val="none"/>
              </w:rPr>
              <w:t>内容</w:t>
            </w:r>
            <w:r>
              <w:rPr>
                <w:rFonts w:hint="eastAsia" w:asciiTheme="majorEastAsia" w:hAnsiTheme="majorEastAsia" w:eastAsiaTheme="majorEastAsia" w:cstheme="majorEastAsia"/>
                <w:color w:val="auto"/>
                <w:sz w:val="21"/>
                <w:szCs w:val="21"/>
                <w:highlight w:val="none"/>
                <w:lang w:val="en-US" w:eastAsia="zh-CN"/>
              </w:rPr>
              <w:t>中具有</w:t>
            </w:r>
            <w:r>
              <w:rPr>
                <w:rFonts w:hint="eastAsia" w:asciiTheme="majorEastAsia" w:hAnsiTheme="majorEastAsia" w:eastAsiaTheme="majorEastAsia" w:cstheme="majorEastAsia"/>
                <w:color w:val="auto"/>
                <w:sz w:val="21"/>
                <w:szCs w:val="21"/>
                <w:highlight w:val="none"/>
              </w:rPr>
              <w:t>活动背景、活动目的、活动内容、参与方式、活动时间地点等</w:t>
            </w:r>
            <w:r>
              <w:rPr>
                <w:rFonts w:hint="eastAsia" w:asciiTheme="majorEastAsia" w:hAnsiTheme="majorEastAsia" w:eastAsiaTheme="majorEastAsia" w:cstheme="majorEastAsia"/>
                <w:color w:val="auto"/>
                <w:sz w:val="21"/>
                <w:szCs w:val="21"/>
                <w:highlight w:val="none"/>
                <w:lang w:val="en-US" w:eastAsia="zh-CN"/>
              </w:rPr>
              <w:t>信息的得4分；</w:t>
            </w:r>
          </w:p>
          <w:p w14:paraId="3FC21FD2">
            <w:pPr>
              <w:spacing w:line="34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（5）宣传</w:t>
            </w:r>
            <w:r>
              <w:rPr>
                <w:rFonts w:hint="eastAsia" w:asciiTheme="majorEastAsia" w:hAnsiTheme="majorEastAsia" w:eastAsiaTheme="majorEastAsia" w:cstheme="majorEastAsia"/>
                <w:color w:val="auto"/>
                <w:sz w:val="21"/>
                <w:szCs w:val="21"/>
                <w:highlight w:val="none"/>
              </w:rPr>
              <w:t>内容具有吸引力</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突出活动独特亮点</w:t>
            </w:r>
            <w:r>
              <w:rPr>
                <w:rFonts w:hint="eastAsia" w:asciiTheme="majorEastAsia" w:hAnsiTheme="majorEastAsia" w:eastAsiaTheme="majorEastAsia" w:cstheme="majorEastAsia"/>
                <w:color w:val="auto"/>
                <w:sz w:val="21"/>
                <w:szCs w:val="21"/>
                <w:highlight w:val="none"/>
                <w:lang w:eastAsia="zh-CN"/>
              </w:rPr>
              <w:t>的</w:t>
            </w:r>
            <w:r>
              <w:rPr>
                <w:rFonts w:hint="eastAsia" w:asciiTheme="majorEastAsia" w:hAnsiTheme="majorEastAsia" w:eastAsiaTheme="majorEastAsia" w:cstheme="majorEastAsia"/>
                <w:color w:val="auto"/>
                <w:sz w:val="21"/>
                <w:szCs w:val="21"/>
                <w:highlight w:val="none"/>
                <w:lang w:val="en-US" w:eastAsia="zh-CN"/>
              </w:rPr>
              <w:t>得4分</w:t>
            </w:r>
          </w:p>
          <w:p w14:paraId="75F283AA">
            <w:pPr>
              <w:spacing w:line="34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以上内容有所欠缺的每项得2分，未提供以上该内容的不得分。</w:t>
            </w:r>
          </w:p>
        </w:tc>
      </w:tr>
      <w:tr w14:paraId="25441E59">
        <w:tblPrEx>
          <w:tblCellMar>
            <w:top w:w="0" w:type="dxa"/>
            <w:left w:w="108" w:type="dxa"/>
            <w:bottom w:w="0" w:type="dxa"/>
            <w:right w:w="108" w:type="dxa"/>
          </w:tblCellMar>
        </w:tblPrEx>
        <w:trPr>
          <w:trHeight w:val="1752" w:hRule="atLeast"/>
          <w:jc w:val="center"/>
        </w:trPr>
        <w:tc>
          <w:tcPr>
            <w:tcW w:w="1137" w:type="dxa"/>
            <w:vMerge w:val="continue"/>
            <w:tcBorders>
              <w:left w:val="single" w:color="auto" w:sz="4" w:space="0"/>
              <w:right w:val="single" w:color="auto" w:sz="4" w:space="0"/>
            </w:tcBorders>
            <w:vAlign w:val="center"/>
          </w:tcPr>
          <w:p w14:paraId="4E17EB93">
            <w:pPr>
              <w:adjustRightInd w:val="0"/>
              <w:snapToGrid w:val="0"/>
              <w:rPr>
                <w:rFonts w:hint="eastAsia" w:asciiTheme="majorEastAsia" w:hAnsiTheme="majorEastAsia" w:eastAsiaTheme="majorEastAsia" w:cstheme="majorEastAsia"/>
                <w:color w:val="auto"/>
                <w:sz w:val="21"/>
                <w:szCs w:val="21"/>
                <w:highlight w:val="none"/>
              </w:rPr>
            </w:pPr>
          </w:p>
        </w:tc>
        <w:tc>
          <w:tcPr>
            <w:tcW w:w="1210" w:type="dxa"/>
            <w:tcBorders>
              <w:top w:val="single" w:color="auto" w:sz="4" w:space="0"/>
              <w:left w:val="nil"/>
              <w:right w:val="single" w:color="auto" w:sz="4" w:space="0"/>
            </w:tcBorders>
            <w:vAlign w:val="center"/>
          </w:tcPr>
          <w:p w14:paraId="6F68DA08">
            <w:pPr>
              <w:spacing w:line="3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供应商媒体资源导入（</w:t>
            </w:r>
            <w:r>
              <w:rPr>
                <w:rFonts w:hint="eastAsia" w:asciiTheme="majorEastAsia" w:hAnsiTheme="majorEastAsia" w:eastAsiaTheme="majorEastAsia" w:cstheme="majorEastAsia"/>
                <w:color w:val="auto"/>
                <w:sz w:val="21"/>
                <w:szCs w:val="21"/>
                <w:highlight w:val="none"/>
                <w:lang w:val="en-US" w:eastAsia="zh-CN"/>
              </w:rPr>
              <w:t>9</w:t>
            </w:r>
            <w:r>
              <w:rPr>
                <w:rFonts w:hint="eastAsia" w:asciiTheme="majorEastAsia" w:hAnsiTheme="majorEastAsia" w:eastAsiaTheme="majorEastAsia" w:cstheme="majorEastAsia"/>
                <w:color w:val="auto"/>
                <w:sz w:val="21"/>
                <w:szCs w:val="21"/>
                <w:highlight w:val="none"/>
              </w:rPr>
              <w:t>分）</w:t>
            </w:r>
          </w:p>
        </w:tc>
        <w:tc>
          <w:tcPr>
            <w:tcW w:w="7289" w:type="dxa"/>
            <w:tcBorders>
              <w:top w:val="single" w:color="auto" w:sz="4" w:space="0"/>
              <w:left w:val="nil"/>
              <w:bottom w:val="single" w:color="auto" w:sz="4" w:space="0"/>
              <w:right w:val="single" w:color="auto" w:sz="4" w:space="0"/>
            </w:tcBorders>
            <w:vAlign w:val="center"/>
          </w:tcPr>
          <w:p w14:paraId="37A2AC53">
            <w:pPr>
              <w:numPr>
                <w:ilvl w:val="0"/>
                <w:numId w:val="0"/>
              </w:numPr>
              <w:spacing w:line="340" w:lineRule="exact"/>
              <w:rPr>
                <w:rFonts w:hint="default" w:asciiTheme="majorEastAsia" w:hAnsiTheme="majorEastAsia" w:eastAsiaTheme="majorEastAsia" w:cstheme="majorEastAsia"/>
                <w:b w:val="0"/>
                <w:bCs/>
                <w:strike w:val="0"/>
                <w:dstrike w:val="0"/>
                <w:color w:val="auto"/>
                <w:kern w:val="2"/>
                <w:sz w:val="21"/>
                <w:szCs w:val="21"/>
                <w:highlight w:val="none"/>
                <w:lang w:val="en-US" w:eastAsia="zh-CN" w:bidi="ar-SA"/>
              </w:rPr>
            </w:pP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1、供应商具有市级地区机场高速大屏</w:t>
            </w:r>
            <w:r>
              <w:rPr>
                <w:rFonts w:hint="default" w:asciiTheme="majorEastAsia" w:hAnsiTheme="majorEastAsia" w:eastAsiaTheme="majorEastAsia" w:cstheme="majorEastAsia"/>
                <w:b w:val="0"/>
                <w:bCs/>
                <w:strike w:val="0"/>
                <w:dstrike w:val="0"/>
                <w:color w:val="auto"/>
                <w:kern w:val="2"/>
                <w:sz w:val="21"/>
                <w:szCs w:val="21"/>
                <w:highlight w:val="none"/>
                <w:lang w:val="en-US" w:eastAsia="zh-CN" w:bidi="ar-SA"/>
              </w:rPr>
              <w:t>资源</w:t>
            </w: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的得1.5分，具有省级及以上地区机场高速大屏</w:t>
            </w:r>
            <w:r>
              <w:rPr>
                <w:rFonts w:hint="default" w:asciiTheme="majorEastAsia" w:hAnsiTheme="majorEastAsia" w:eastAsiaTheme="majorEastAsia" w:cstheme="majorEastAsia"/>
                <w:b w:val="0"/>
                <w:bCs/>
                <w:strike w:val="0"/>
                <w:dstrike w:val="0"/>
                <w:color w:val="auto"/>
                <w:kern w:val="2"/>
                <w:sz w:val="21"/>
                <w:szCs w:val="21"/>
                <w:highlight w:val="none"/>
                <w:lang w:val="en-US" w:eastAsia="zh-CN" w:bidi="ar-SA"/>
              </w:rPr>
              <w:t>资源</w:t>
            </w: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的得3分；</w:t>
            </w:r>
          </w:p>
          <w:p w14:paraId="58AAB947">
            <w:pPr>
              <w:numPr>
                <w:ilvl w:val="0"/>
                <w:numId w:val="0"/>
              </w:numPr>
              <w:spacing w:line="340" w:lineRule="exact"/>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pP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2、供应商具有省级及以上媒体资源（</w:t>
            </w:r>
            <w:r>
              <w:rPr>
                <w:rFonts w:hint="default" w:asciiTheme="majorEastAsia" w:hAnsiTheme="majorEastAsia" w:eastAsiaTheme="majorEastAsia" w:cstheme="majorEastAsia"/>
                <w:b w:val="0"/>
                <w:bCs/>
                <w:strike w:val="0"/>
                <w:dstrike w:val="0"/>
                <w:color w:val="auto"/>
                <w:kern w:val="2"/>
                <w:sz w:val="21"/>
                <w:szCs w:val="21"/>
                <w:highlight w:val="none"/>
                <w:lang w:val="en-US" w:eastAsia="zh-CN" w:bidi="ar-SA"/>
              </w:rPr>
              <w:t>省级媒体、国家级媒体等，媒体类型包含但不限于报纸、杂志、网络平台、电视等</w:t>
            </w: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）的得3分；</w:t>
            </w:r>
          </w:p>
          <w:p w14:paraId="41785925">
            <w:pPr>
              <w:numPr>
                <w:ilvl w:val="0"/>
                <w:numId w:val="3"/>
              </w:numPr>
              <w:spacing w:line="340" w:lineRule="exact"/>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pPr>
            <w:r>
              <w:rPr>
                <w:rFonts w:hint="default" w:asciiTheme="majorEastAsia" w:hAnsiTheme="majorEastAsia" w:eastAsiaTheme="majorEastAsia" w:cstheme="majorEastAsia"/>
                <w:b w:val="0"/>
                <w:bCs/>
                <w:strike w:val="0"/>
                <w:dstrike w:val="0"/>
                <w:color w:val="auto"/>
                <w:kern w:val="2"/>
                <w:sz w:val="21"/>
                <w:szCs w:val="21"/>
                <w:highlight w:val="none"/>
                <w:lang w:val="en-US" w:eastAsia="zh-CN" w:bidi="ar-SA"/>
              </w:rPr>
              <w:t>供应商需在投标文件中提供承诺函</w:t>
            </w: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，承诺中标后电视投放宣传地铁线路数量在满足采购文件要求（不少于4条）的基础上，每增加一条宣传得1分，最高得3分；</w:t>
            </w:r>
          </w:p>
          <w:p w14:paraId="530F306C">
            <w:pPr>
              <w:pStyle w:val="15"/>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pP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投标文件中提供</w:t>
            </w:r>
            <w:r>
              <w:rPr>
                <w:rFonts w:hint="default" w:asciiTheme="majorEastAsia" w:hAnsiTheme="majorEastAsia" w:eastAsiaTheme="majorEastAsia" w:cstheme="majorEastAsia"/>
                <w:b w:val="0"/>
                <w:bCs/>
                <w:strike w:val="0"/>
                <w:dstrike w:val="0"/>
                <w:color w:val="auto"/>
                <w:kern w:val="2"/>
                <w:sz w:val="21"/>
                <w:szCs w:val="21"/>
                <w:highlight w:val="none"/>
                <w:lang w:val="en-US" w:eastAsia="zh-CN" w:bidi="ar-SA"/>
              </w:rPr>
              <w:t>相应的授权书</w:t>
            </w: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w:t>
            </w:r>
            <w:r>
              <w:rPr>
                <w:rFonts w:hint="default" w:asciiTheme="majorEastAsia" w:hAnsiTheme="majorEastAsia" w:eastAsiaTheme="majorEastAsia" w:cstheme="majorEastAsia"/>
                <w:b w:val="0"/>
                <w:bCs/>
                <w:strike w:val="0"/>
                <w:dstrike w:val="0"/>
                <w:color w:val="auto"/>
                <w:kern w:val="2"/>
                <w:sz w:val="21"/>
                <w:szCs w:val="21"/>
                <w:highlight w:val="none"/>
                <w:lang w:val="en-US" w:eastAsia="zh-CN" w:bidi="ar-SA"/>
              </w:rPr>
              <w:t>合作协议等相关证明资料，</w:t>
            </w: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以及承诺函，未提供者不得分；</w:t>
            </w:r>
          </w:p>
          <w:p w14:paraId="0530271F">
            <w:pPr>
              <w:pStyle w:val="15"/>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val="0"/>
                <w:bCs/>
                <w:strike w:val="0"/>
                <w:dstrike w:val="0"/>
                <w:color w:val="auto"/>
                <w:kern w:val="2"/>
                <w:sz w:val="21"/>
                <w:szCs w:val="21"/>
                <w:highlight w:val="none"/>
                <w:lang w:val="en-US" w:eastAsia="zh-CN" w:bidi="ar-SA"/>
              </w:rPr>
              <w:t>注：同级媒体不重复得分。</w:t>
            </w:r>
          </w:p>
        </w:tc>
      </w:tr>
      <w:tr w14:paraId="5815A550">
        <w:tblPrEx>
          <w:tblCellMar>
            <w:top w:w="0" w:type="dxa"/>
            <w:left w:w="108" w:type="dxa"/>
            <w:bottom w:w="0" w:type="dxa"/>
            <w:right w:w="108" w:type="dxa"/>
          </w:tblCellMar>
        </w:tblPrEx>
        <w:trPr>
          <w:trHeight w:val="1192" w:hRule="atLeast"/>
          <w:jc w:val="center"/>
        </w:trPr>
        <w:tc>
          <w:tcPr>
            <w:tcW w:w="1137" w:type="dxa"/>
            <w:vMerge w:val="continue"/>
            <w:tcBorders>
              <w:left w:val="single" w:color="auto" w:sz="4" w:space="0"/>
              <w:right w:val="single" w:color="auto" w:sz="4" w:space="0"/>
            </w:tcBorders>
            <w:vAlign w:val="center"/>
          </w:tcPr>
          <w:p w14:paraId="6DAAC09F">
            <w:pPr>
              <w:adjustRightInd w:val="0"/>
              <w:snapToGrid w:val="0"/>
              <w:rPr>
                <w:rFonts w:hint="eastAsia" w:asciiTheme="majorEastAsia" w:hAnsiTheme="majorEastAsia" w:eastAsiaTheme="majorEastAsia" w:cstheme="majorEastAsia"/>
                <w:color w:val="auto"/>
                <w:sz w:val="21"/>
                <w:szCs w:val="21"/>
                <w:highlight w:val="none"/>
              </w:rPr>
            </w:pPr>
          </w:p>
        </w:tc>
        <w:tc>
          <w:tcPr>
            <w:tcW w:w="1210" w:type="dxa"/>
            <w:tcBorders>
              <w:top w:val="single" w:color="auto" w:sz="4" w:space="0"/>
              <w:left w:val="nil"/>
              <w:bottom w:val="single" w:color="auto" w:sz="4" w:space="0"/>
              <w:right w:val="single" w:color="auto" w:sz="4" w:space="0"/>
            </w:tcBorders>
            <w:shd w:val="clear" w:color="auto" w:fill="auto"/>
            <w:vAlign w:val="center"/>
          </w:tcPr>
          <w:p w14:paraId="77DC1B6A">
            <w:pPr>
              <w:spacing w:line="34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业绩（</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p>
        </w:tc>
        <w:tc>
          <w:tcPr>
            <w:tcW w:w="7289" w:type="dxa"/>
            <w:tcBorders>
              <w:top w:val="single" w:color="auto" w:sz="4" w:space="0"/>
              <w:left w:val="nil"/>
              <w:bottom w:val="single" w:color="auto" w:sz="4" w:space="0"/>
              <w:right w:val="single" w:color="auto" w:sz="4" w:space="0"/>
            </w:tcBorders>
            <w:shd w:val="clear" w:color="auto" w:fill="auto"/>
            <w:vAlign w:val="center"/>
          </w:tcPr>
          <w:p w14:paraId="6E37E627">
            <w:pPr>
              <w:spacing w:line="34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供应商自202</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年1月1日（以合同签订时间为准）以来</w:t>
            </w:r>
            <w:r>
              <w:rPr>
                <w:rFonts w:hint="eastAsia" w:asciiTheme="majorEastAsia" w:hAnsiTheme="majorEastAsia" w:eastAsiaTheme="majorEastAsia" w:cstheme="majorEastAsia"/>
                <w:color w:val="auto"/>
                <w:sz w:val="21"/>
                <w:szCs w:val="21"/>
                <w:highlight w:val="none"/>
                <w:lang w:val="en-US" w:eastAsia="zh-CN"/>
              </w:rPr>
              <w:t>主办或承办</w:t>
            </w:r>
            <w:r>
              <w:rPr>
                <w:rFonts w:hint="eastAsia" w:asciiTheme="majorEastAsia" w:hAnsiTheme="majorEastAsia" w:eastAsiaTheme="majorEastAsia" w:cstheme="majorEastAsia"/>
                <w:color w:val="auto"/>
                <w:sz w:val="21"/>
                <w:szCs w:val="21"/>
                <w:highlight w:val="none"/>
              </w:rPr>
              <w:t>过类似项目业绩（含正在履约的），每提供1个得1分，最高得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w:t>
            </w:r>
          </w:p>
          <w:p w14:paraId="6D985595">
            <w:pPr>
              <w:spacing w:line="34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投标文件中提供合同复印件，未提供者不得分。</w:t>
            </w:r>
          </w:p>
        </w:tc>
      </w:tr>
      <w:tr w14:paraId="6F2C29CA">
        <w:tblPrEx>
          <w:tblCellMar>
            <w:top w:w="0" w:type="dxa"/>
            <w:left w:w="108" w:type="dxa"/>
            <w:bottom w:w="0" w:type="dxa"/>
            <w:right w:w="108" w:type="dxa"/>
          </w:tblCellMar>
        </w:tblPrEx>
        <w:trPr>
          <w:trHeight w:val="831" w:hRule="atLeast"/>
          <w:jc w:val="center"/>
        </w:trPr>
        <w:tc>
          <w:tcPr>
            <w:tcW w:w="1137" w:type="dxa"/>
            <w:vMerge w:val="continue"/>
            <w:tcBorders>
              <w:left w:val="single" w:color="auto" w:sz="4" w:space="0"/>
              <w:right w:val="single" w:color="auto" w:sz="4" w:space="0"/>
            </w:tcBorders>
            <w:vAlign w:val="center"/>
          </w:tcPr>
          <w:p w14:paraId="34FD895E">
            <w:pPr>
              <w:adjustRightInd w:val="0"/>
              <w:snapToGrid w:val="0"/>
              <w:rPr>
                <w:rFonts w:hint="eastAsia" w:asciiTheme="majorEastAsia" w:hAnsiTheme="majorEastAsia" w:eastAsiaTheme="majorEastAsia" w:cstheme="majorEastAsia"/>
                <w:color w:val="auto"/>
                <w:sz w:val="21"/>
                <w:szCs w:val="21"/>
                <w:highlight w:val="none"/>
              </w:rPr>
            </w:pPr>
          </w:p>
        </w:tc>
        <w:tc>
          <w:tcPr>
            <w:tcW w:w="1210" w:type="dxa"/>
            <w:tcBorders>
              <w:top w:val="single" w:color="auto" w:sz="4" w:space="0"/>
              <w:left w:val="nil"/>
              <w:bottom w:val="single" w:color="auto" w:sz="4" w:space="0"/>
              <w:right w:val="single" w:color="auto" w:sz="4" w:space="0"/>
            </w:tcBorders>
            <w:shd w:val="clear" w:color="auto" w:fill="auto"/>
            <w:vAlign w:val="center"/>
          </w:tcPr>
          <w:p w14:paraId="77EB8D2E">
            <w:pPr>
              <w:adjustRightInd w:val="0"/>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政策加分</w:t>
            </w:r>
          </w:p>
          <w:p w14:paraId="2CF34144">
            <w:pPr>
              <w:adjustRightInd w:val="0"/>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w:t>
            </w:r>
          </w:p>
        </w:tc>
        <w:tc>
          <w:tcPr>
            <w:tcW w:w="7289" w:type="dxa"/>
            <w:tcBorders>
              <w:top w:val="single" w:color="auto" w:sz="4" w:space="0"/>
              <w:left w:val="nil"/>
              <w:bottom w:val="single" w:color="auto" w:sz="4" w:space="0"/>
              <w:right w:val="single" w:color="auto" w:sz="4" w:space="0"/>
            </w:tcBorders>
            <w:shd w:val="clear" w:color="auto" w:fill="auto"/>
            <w:vAlign w:val="center"/>
          </w:tcPr>
          <w:p w14:paraId="50E11045">
            <w:pPr>
              <w:adjustRightInd w:val="0"/>
              <w:snapToGrid w:val="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投标人是国家认定的少数民族地区企业的加</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w:t>
            </w:r>
          </w:p>
        </w:tc>
      </w:tr>
      <w:tr w14:paraId="60D47042">
        <w:tblPrEx>
          <w:tblCellMar>
            <w:top w:w="0" w:type="dxa"/>
            <w:left w:w="108" w:type="dxa"/>
            <w:bottom w:w="0" w:type="dxa"/>
            <w:right w:w="108" w:type="dxa"/>
          </w:tblCellMar>
        </w:tblPrEx>
        <w:trPr>
          <w:trHeight w:val="161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70F0DD59">
            <w:pPr>
              <w:adjustRightInd w:val="0"/>
              <w:snapToGrid w:val="0"/>
              <w:spacing w:line="312"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报价20分</w:t>
            </w:r>
          </w:p>
        </w:tc>
        <w:tc>
          <w:tcPr>
            <w:tcW w:w="8499" w:type="dxa"/>
            <w:gridSpan w:val="2"/>
            <w:tcBorders>
              <w:top w:val="single" w:color="auto" w:sz="4" w:space="0"/>
              <w:left w:val="nil"/>
              <w:bottom w:val="single" w:color="auto" w:sz="4" w:space="0"/>
              <w:right w:val="single" w:color="auto" w:sz="4" w:space="0"/>
            </w:tcBorders>
            <w:vAlign w:val="center"/>
          </w:tcPr>
          <w:p w14:paraId="0296C323">
            <w:pPr>
              <w:adjustRightInd w:val="0"/>
              <w:snapToGrid w:val="0"/>
              <w:spacing w:line="312"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满足招标文件要求且投标报价最低为评标基准价，其价格分为满分。</w:t>
            </w:r>
          </w:p>
          <w:p w14:paraId="15637FC4">
            <w:pPr>
              <w:adjustRightInd w:val="0"/>
              <w:snapToGrid w:val="0"/>
              <w:spacing w:line="312"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其他投标人的价格分按照下列公式计算：</w:t>
            </w:r>
          </w:p>
          <w:p w14:paraId="559338F4">
            <w:pPr>
              <w:adjustRightInd w:val="0"/>
              <w:snapToGrid w:val="0"/>
              <w:spacing w:line="312"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投标报价得分=（评标基准价/</w:t>
            </w:r>
            <w:r>
              <w:rPr>
                <w:rFonts w:hint="eastAsia" w:asciiTheme="majorEastAsia" w:hAnsiTheme="majorEastAsia" w:eastAsiaTheme="majorEastAsia" w:cstheme="majorEastAsia"/>
                <w:color w:val="auto"/>
                <w:sz w:val="21"/>
                <w:szCs w:val="21"/>
                <w:highlight w:val="none"/>
                <w:lang w:val="en-US" w:eastAsia="zh-CN"/>
              </w:rPr>
              <w:t>参与评审的价格</w:t>
            </w:r>
            <w:r>
              <w:rPr>
                <w:rFonts w:hint="eastAsia" w:asciiTheme="majorEastAsia" w:hAnsiTheme="majorEastAsia" w:eastAsiaTheme="majorEastAsia" w:cstheme="majorEastAsia"/>
                <w:color w:val="auto"/>
                <w:sz w:val="21"/>
                <w:szCs w:val="21"/>
                <w:highlight w:val="none"/>
              </w:rPr>
              <w:t>）×价格权值×100</w:t>
            </w:r>
          </w:p>
          <w:p w14:paraId="1E65D2FD">
            <w:pPr>
              <w:pStyle w:val="33"/>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参与评审的价格=投标价格×（1-价格折扣率）</w:t>
            </w:r>
          </w:p>
        </w:tc>
      </w:tr>
    </w:tbl>
    <w:p w14:paraId="18B8E64E">
      <w:pPr>
        <w:spacing w:line="360" w:lineRule="auto"/>
        <w:ind w:firstLine="630" w:firstLineChars="300"/>
        <w:rPr>
          <w:rFonts w:asciiTheme="minorEastAsia" w:hAnsiTheme="minorEastAsia" w:eastAsiaTheme="minorEastAsia" w:cstheme="minorEastAsia"/>
          <w:b/>
          <w:color w:val="auto"/>
          <w:sz w:val="24"/>
          <w:szCs w:val="16"/>
          <w:highlight w:val="none"/>
        </w:rPr>
      </w:pPr>
      <w:r>
        <w:rPr>
          <w:rFonts w:hint="eastAsia" w:cs="仿宋" w:asciiTheme="majorEastAsia" w:hAnsiTheme="majorEastAsia" w:eastAsiaTheme="majorEastAsia"/>
          <w:bCs/>
          <w:color w:val="auto"/>
          <w:szCs w:val="21"/>
          <w:highlight w:val="none"/>
        </w:rPr>
        <w:t>备注：</w:t>
      </w:r>
      <w:r>
        <w:rPr>
          <w:rFonts w:hint="eastAsia" w:cs="仿宋" w:asciiTheme="majorEastAsia" w:hAnsiTheme="majorEastAsia" w:eastAsiaTheme="majorEastAsia"/>
          <w:bCs/>
          <w:color w:val="auto"/>
          <w:szCs w:val="21"/>
          <w:highlight w:val="none"/>
          <w:lang w:val="zh-CN"/>
        </w:rPr>
        <w:t>供</w:t>
      </w:r>
      <w:r>
        <w:rPr>
          <w:rFonts w:hint="eastAsia" w:cs="仿宋" w:asciiTheme="majorEastAsia" w:hAnsiTheme="majorEastAsia" w:eastAsiaTheme="majorEastAsia"/>
          <w:bCs/>
          <w:color w:val="auto"/>
          <w:kern w:val="0"/>
          <w:szCs w:val="21"/>
          <w:highlight w:val="none"/>
          <w:lang w:val="zh-CN"/>
        </w:rPr>
        <w:t>应商</w:t>
      </w:r>
      <w:r>
        <w:rPr>
          <w:rFonts w:hint="eastAsia" w:cs="仿宋" w:asciiTheme="majorEastAsia" w:hAnsiTheme="majorEastAsia" w:eastAsiaTheme="majorEastAsia"/>
          <w:bCs/>
          <w:color w:val="auto"/>
          <w:szCs w:val="21"/>
          <w:highlight w:val="none"/>
        </w:rPr>
        <w:t>编制投标文件（商务技术文件部分）时，建议按此目录（序号和内容）提供评标标准相应的商务技术资料。</w:t>
      </w:r>
      <w:r>
        <w:rPr>
          <w:rFonts w:hint="eastAsia" w:cs="仿宋" w:asciiTheme="majorEastAsia" w:hAnsiTheme="majorEastAsia" w:eastAsiaTheme="majorEastAsia"/>
          <w:color w:val="auto"/>
          <w:szCs w:val="21"/>
          <w:highlight w:val="none"/>
        </w:rPr>
        <w:t> </w:t>
      </w:r>
    </w:p>
    <w:p w14:paraId="6EFB1CC7">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p w14:paraId="155F8517">
      <w:pPr>
        <w:snapToGrid w:val="0"/>
        <w:spacing w:line="440" w:lineRule="exact"/>
        <w:ind w:firstLine="422" w:firstLineChars="200"/>
        <w:rPr>
          <w:rFonts w:asciiTheme="minorEastAsia" w:hAnsiTheme="minorEastAsia" w:eastAsiaTheme="minorEastAsia" w:cstheme="minorEastAsia"/>
          <w:b/>
          <w:color w:val="auto"/>
          <w:kern w:val="0"/>
          <w:szCs w:val="21"/>
          <w:highlight w:val="none"/>
          <w:lang w:val="zh-CN"/>
        </w:rPr>
      </w:pPr>
      <w:r>
        <w:rPr>
          <w:rFonts w:hint="eastAsia" w:asciiTheme="majorEastAsia" w:hAnsiTheme="majorEastAsia" w:eastAsiaTheme="majorEastAsia" w:cstheme="majorEastAsia"/>
          <w:b/>
          <w:color w:val="auto"/>
          <w:szCs w:val="21"/>
          <w:highlight w:val="none"/>
        </w:rPr>
        <w:t>备注：</w:t>
      </w:r>
      <w:r>
        <w:rPr>
          <w:rFonts w:hint="eastAsia" w:asciiTheme="majorEastAsia" w:hAnsiTheme="majorEastAsia" w:eastAsiaTheme="majorEastAsia" w:cstheme="majorEastAsia"/>
          <w:color w:val="auto"/>
          <w:kern w:val="0"/>
          <w:szCs w:val="21"/>
          <w:highlight w:val="none"/>
          <w:lang w:val="zh-CN"/>
        </w:rPr>
        <w:t>供应商编制响应文件（商务技术文件部分</w:t>
      </w:r>
      <w:r>
        <w:rPr>
          <w:rFonts w:hint="eastAsia" w:asciiTheme="minorEastAsia" w:hAnsiTheme="minorEastAsia" w:eastAsiaTheme="minorEastAsia" w:cstheme="minorEastAsia"/>
          <w:color w:val="auto"/>
          <w:kern w:val="0"/>
          <w:szCs w:val="21"/>
          <w:highlight w:val="none"/>
          <w:lang w:val="zh-CN"/>
        </w:rPr>
        <w:t>）时，建议按此目录（序号和内容）提供评标标准相应的商务技术资料。</w:t>
      </w:r>
    </w:p>
    <w:p w14:paraId="1CAEBB40">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1B3FB110">
      <w:pPr>
        <w:spacing w:line="360" w:lineRule="auto"/>
        <w:ind w:firstLine="413" w:firstLineChars="196"/>
        <w:rPr>
          <w:rFonts w:asciiTheme="minorEastAsia" w:hAnsiTheme="minorEastAsia" w:eastAsiaTheme="minorEastAsia" w:cstheme="minorEastAsia"/>
          <w:color w:val="auto"/>
          <w:kern w:val="0"/>
          <w:szCs w:val="21"/>
          <w:highlight w:val="none"/>
        </w:rPr>
      </w:pPr>
      <w:bookmarkStart w:id="380" w:name="第五部分"/>
      <w:bookmarkStart w:id="381" w:name="_Toc86217003"/>
      <w:r>
        <w:rPr>
          <w:rFonts w:hint="eastAsia" w:asciiTheme="minorEastAsia" w:hAnsiTheme="minorEastAsia" w:eastAsiaTheme="minorEastAsia" w:cstheme="minorEastAsia"/>
          <w:b/>
          <w:color w:val="auto"/>
          <w:kern w:val="0"/>
          <w:szCs w:val="21"/>
          <w:highlight w:val="none"/>
        </w:rPr>
        <w:t>1.本项目采用综合评分法。</w:t>
      </w:r>
      <w:r>
        <w:rPr>
          <w:rFonts w:hint="eastAsia" w:asciiTheme="minorEastAsia" w:hAnsiTheme="minorEastAsia" w:eastAsiaTheme="minorEastAsia" w:cstheme="minorEastAsia"/>
          <w:color w:val="auto"/>
          <w:kern w:val="0"/>
          <w:szCs w:val="21"/>
          <w:highlight w:val="none"/>
        </w:rPr>
        <w:t>综合评分法，是指响应文件满足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为成交候选供应商的评标方法。</w:t>
      </w:r>
    </w:p>
    <w:p w14:paraId="7FDD6A39">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二、评审标准</w:t>
      </w:r>
    </w:p>
    <w:p w14:paraId="0246CFE5">
      <w:pPr>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color w:val="auto"/>
          <w:szCs w:val="21"/>
          <w:highlight w:val="none"/>
        </w:rPr>
        <w:t>评审标准：</w:t>
      </w:r>
      <w:r>
        <w:rPr>
          <w:rFonts w:hint="eastAsia" w:asciiTheme="minorEastAsia" w:hAnsiTheme="minorEastAsia" w:eastAsiaTheme="minorEastAsia" w:cstheme="minorEastAsia"/>
          <w:color w:val="auto"/>
          <w:kern w:val="0"/>
          <w:szCs w:val="21"/>
          <w:highlight w:val="none"/>
        </w:rPr>
        <w:t>见评审办法前附表。</w:t>
      </w:r>
    </w:p>
    <w:p w14:paraId="7B13DDDD">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三、评审程序</w:t>
      </w:r>
    </w:p>
    <w:p w14:paraId="67EA31E8">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3.1 资格审查。</w:t>
      </w:r>
      <w:r>
        <w:rPr>
          <w:rFonts w:hint="eastAsia" w:asciiTheme="minorEastAsia" w:hAnsiTheme="minorEastAsia" w:eastAsiaTheme="minorEastAsia" w:cstheme="minorEastAsia"/>
          <w:color w:val="auto"/>
          <w:kern w:val="0"/>
          <w:szCs w:val="21"/>
          <w:highlight w:val="none"/>
        </w:rPr>
        <w:t>磋商小组应当对</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的资格响应文件进行审查，以确定其是否满足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文件的实质性要求。不满足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文件的实质性要求的，响应无效。</w:t>
      </w:r>
    </w:p>
    <w:p w14:paraId="178DD6B3">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3.2 符合性审查。</w:t>
      </w:r>
      <w:r>
        <w:rPr>
          <w:rFonts w:hint="eastAsia" w:asciiTheme="minorEastAsia" w:hAnsiTheme="minorEastAsia" w:eastAsiaTheme="minorEastAsia" w:cstheme="minorEastAsia"/>
          <w:color w:val="auto"/>
          <w:kern w:val="0"/>
          <w:szCs w:val="21"/>
          <w:highlight w:val="none"/>
        </w:rPr>
        <w:t>磋商小组应当对符合资格的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的响应文件进行符合性审查，以确定其是否满足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文件的实质性要求。不满足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文件的实质性要求的，响应无效。</w:t>
      </w:r>
    </w:p>
    <w:p w14:paraId="6B3921B8">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3.3磋商</w:t>
      </w:r>
    </w:p>
    <w:p w14:paraId="052E8441">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032C82A3">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w:t>
      </w:r>
      <w:r>
        <w:rPr>
          <w:rFonts w:hint="eastAsia" w:asciiTheme="minorEastAsia" w:hAnsiTheme="minorEastAsia" w:eastAsiaTheme="minorEastAsia" w:cstheme="minorEastAsia"/>
          <w:b/>
          <w:bCs/>
          <w:color w:val="auto"/>
          <w:kern w:val="0"/>
          <w:szCs w:val="21"/>
          <w:highlight w:val="none"/>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highlight w:val="none"/>
        </w:rPr>
        <w:t>。已提交响应文件的供应商，在提交最终报价之前，可以根据磋商情况退出磋商。</w:t>
      </w:r>
    </w:p>
    <w:p w14:paraId="56B15385">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3.3.3经磋商确定最终采购需求和提交最后报价的供应商后，由磋商小组采用综合评分法对提交最后报价的供应商的响应文件和最后报价进行综合评分。</w:t>
      </w:r>
    </w:p>
    <w:p w14:paraId="28B3A283">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3.4 商务技术评审。</w:t>
      </w:r>
      <w:r>
        <w:rPr>
          <w:rFonts w:hint="eastAsia" w:asciiTheme="minorEastAsia" w:hAnsiTheme="minorEastAsia" w:eastAsiaTheme="minorEastAsia" w:cstheme="minorEastAsia"/>
          <w:color w:val="auto"/>
          <w:kern w:val="0"/>
          <w:szCs w:val="21"/>
          <w:highlight w:val="none"/>
        </w:rPr>
        <w:t>磋商小组应当按照</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文件中规定的评标方法和标准，对符合性审查合格的响应文件进行商务和技术评估。</w:t>
      </w:r>
    </w:p>
    <w:p w14:paraId="0EABBF08">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3.5 汇总商务技术得分。</w:t>
      </w:r>
      <w:r>
        <w:rPr>
          <w:rFonts w:hint="eastAsia" w:asciiTheme="minorEastAsia" w:hAnsiTheme="minorEastAsia" w:eastAsiaTheme="minorEastAsia" w:cstheme="minorEastAsia"/>
          <w:color w:val="auto"/>
          <w:kern w:val="0"/>
          <w:szCs w:val="21"/>
          <w:highlight w:val="none"/>
        </w:rPr>
        <w:t>磋商小组各成员应当独立对每个</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的商务和技术文件进行评价，并汇总商务技术得分情况。</w:t>
      </w:r>
    </w:p>
    <w:p w14:paraId="492BBB51">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3.6 报价评审。</w:t>
      </w:r>
    </w:p>
    <w:p w14:paraId="48005263">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磋商小组对供应商提交的报价进行评审。</w:t>
      </w:r>
    </w:p>
    <w:p w14:paraId="15560F61">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3.6.1响应文件报价出现前后不一致的，按照下列规定修正：</w:t>
      </w:r>
    </w:p>
    <w:p w14:paraId="058D17A5">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3.6.1.1电子交易平台生成的开标记录表(报价表)内容与响应文件中报价一览表(报价表)不一致的，以响应文件中报价一览表(报价表)为准；</w:t>
      </w:r>
    </w:p>
    <w:p w14:paraId="479576E9">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3.6.1.2响应文件中报价一览表(报价表)内容与响应文件中相应内容不一致的，以报价一览表(报价表)为准；</w:t>
      </w:r>
    </w:p>
    <w:p w14:paraId="4C243180">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3.6.1.3 大写金额和小写金额不一致的，以大写金额为准;</w:t>
      </w:r>
    </w:p>
    <w:p w14:paraId="289EDE47">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3.6.1.4 单价金额小数点或者百分比有明显错位的，以报价一览表的总价为准，并修改单价;</w:t>
      </w:r>
    </w:p>
    <w:p w14:paraId="28B179CC">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3.6.1.5同时出现两种以上不一致的，按照3.5.1规定的顺序修正。修正后的报价经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3BFA5B5C">
      <w:pPr>
        <w:snapToGrid w:val="0"/>
        <w:spacing w:line="360" w:lineRule="auto"/>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3.6.2响应文件出现不是唯一的、有选择性磋商报价的，响应无效。</w:t>
      </w:r>
    </w:p>
    <w:p w14:paraId="612B2CAC">
      <w:pPr>
        <w:snapToGrid w:val="0"/>
        <w:spacing w:line="360" w:lineRule="auto"/>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3.6.3磋商报价超过</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文件中规定的预算金额或者最高限价（最高综合折扣率）的，响应无效。</w:t>
      </w:r>
    </w:p>
    <w:p w14:paraId="3429BE31">
      <w:pPr>
        <w:pStyle w:val="51"/>
        <w:spacing w:before="0"/>
        <w:ind w:firstLine="42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3.6.4磋商小组认为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不能证明其报价合理性的，磋商小组应当将其作为无效响应处理。</w:t>
      </w:r>
    </w:p>
    <w:p w14:paraId="60FE2697">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3.7</w:t>
      </w:r>
      <w:r>
        <w:rPr>
          <w:rFonts w:hint="eastAsia" w:asciiTheme="minorEastAsia" w:hAnsiTheme="minorEastAsia" w:eastAsiaTheme="minorEastAsia" w:cstheme="minorEastAsia"/>
          <w:b/>
          <w:bCs/>
          <w:color w:val="auto"/>
          <w:kern w:val="0"/>
          <w:szCs w:val="21"/>
          <w:highlight w:val="none"/>
        </w:rPr>
        <w:t>综合评议。</w:t>
      </w:r>
      <w:r>
        <w:rPr>
          <w:rFonts w:hint="eastAsia" w:asciiTheme="minorEastAsia" w:hAnsiTheme="minorEastAsia" w:eastAsiaTheme="minorEastAsia" w:cstheme="minorEastAsia"/>
          <w:color w:val="auto"/>
          <w:kern w:val="0"/>
          <w:szCs w:val="21"/>
          <w:highlight w:val="none"/>
        </w:rPr>
        <w:t>评分汇总（汇总各评委的评分，计算所有评委评出的总分的算术平均值作为供应商的综合得分）；按综合得分从高到低排序。</w:t>
      </w:r>
    </w:p>
    <w:p w14:paraId="7EC85FBC">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3.8</w:t>
      </w:r>
      <w:r>
        <w:rPr>
          <w:rFonts w:hint="eastAsia" w:asciiTheme="minorEastAsia" w:hAnsiTheme="minorEastAsia" w:eastAsiaTheme="minorEastAsia" w:cstheme="minorEastAsia"/>
          <w:b/>
          <w:bCs/>
          <w:color w:val="auto"/>
          <w:kern w:val="0"/>
          <w:szCs w:val="21"/>
          <w:highlight w:val="none"/>
        </w:rPr>
        <w:t>磋商小组根据综合评分情况</w:t>
      </w:r>
      <w:r>
        <w:rPr>
          <w:rFonts w:hint="eastAsia" w:asciiTheme="minorEastAsia" w:hAnsiTheme="minorEastAsia" w:eastAsiaTheme="minorEastAsia" w:cstheme="minorEastAsia"/>
          <w:color w:val="auto"/>
          <w:kern w:val="0"/>
          <w:szCs w:val="21"/>
          <w:highlight w:val="none"/>
        </w:rPr>
        <w:t>，按照评审得分由高到低顺序推荐3名成交候选供应商。评审得分相同的，按照最后报价由低到高的顺序推荐。评审得分且最后报价相同的，按照技术指标优劣顺序推荐。</w:t>
      </w:r>
    </w:p>
    <w:p w14:paraId="4F370A7A">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3.9编写评标报告。</w:t>
      </w:r>
      <w:r>
        <w:rPr>
          <w:rFonts w:hint="eastAsia" w:asciiTheme="minorEastAsia" w:hAnsiTheme="minorEastAsia" w:eastAsiaTheme="minorEastAsia" w:cstheme="minorEastAsia"/>
          <w:color w:val="auto"/>
          <w:kern w:val="0"/>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ADD46B6">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四、评审中的其他事项</w:t>
      </w:r>
    </w:p>
    <w:p w14:paraId="57DAAC47">
      <w:pPr>
        <w:pStyle w:val="51"/>
        <w:spacing w:before="0"/>
        <w:ind w:firstLine="422"/>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4.1响应澄清、说明或者补正。</w:t>
      </w:r>
      <w:r>
        <w:rPr>
          <w:rFonts w:hint="eastAsia" w:asciiTheme="minorEastAsia" w:hAnsiTheme="minorEastAsia" w:eastAsiaTheme="minorEastAsia" w:cstheme="minorEastAsia"/>
          <w:color w:val="auto"/>
          <w:kern w:val="0"/>
          <w:sz w:val="21"/>
          <w:szCs w:val="21"/>
          <w:highlight w:val="none"/>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作出必要的澄清、说明或者补正的，磋商小组和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的澄清、说明或者补正不得超出响应文件的范围或者改变响应文件的实质性内容。</w:t>
      </w:r>
    </w:p>
    <w:p w14:paraId="1B5AF400">
      <w:pPr>
        <w:pStyle w:val="10"/>
        <w:spacing w:line="360" w:lineRule="auto"/>
        <w:ind w:firstLine="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4.2响应无效的情形。</w:t>
      </w:r>
    </w:p>
    <w:p w14:paraId="4093BF7B">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4.2.1 没有响应</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文件实质性要求的响应将被视为无效响应。</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文件要求的，应认定其响应无效。</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修改、补正响应文件后，不影响磋商小组对其响应文件所作的评价和评分结果。</w:t>
      </w:r>
    </w:p>
    <w:p w14:paraId="02802E68">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4.2.2 在电子开评标时，如发现下列情形之一的，将被视为无效响应文件：</w:t>
      </w:r>
    </w:p>
    <w:p w14:paraId="59D42FCC">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4.2.2.1电子投标文件解密失败的；</w:t>
      </w:r>
    </w:p>
    <w:p w14:paraId="1EB7BB00">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4.2.2.2响应文件未按</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文件要求加密、签字、盖章的；</w:t>
      </w:r>
    </w:p>
    <w:p w14:paraId="5749A3C4">
      <w:pPr>
        <w:spacing w:line="360" w:lineRule="auto"/>
        <w:ind w:firstLine="422" w:firstLineChars="200"/>
        <w:rPr>
          <w:rFonts w:hint="default"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4.2.2.3本项目原中标人投标的；</w:t>
      </w:r>
    </w:p>
    <w:p w14:paraId="1D44B30A">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 在资格审查、符合性审查和商务评审时，如发现下列情形之一的，将被视为无效响应文件：</w:t>
      </w:r>
    </w:p>
    <w:p w14:paraId="717EDD59">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4.2.3.1 资格证明文件不全的或者不符合</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文件标明的资格要求的；</w:t>
      </w:r>
    </w:p>
    <w:p w14:paraId="184D99A2">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4.2.3.2 响应文件未按</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文件要求签署、盖章的；</w:t>
      </w:r>
    </w:p>
    <w:p w14:paraId="7C1FA014">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4.2.3.3 响应代表人未能出具身份证明或身份证明与法定代表授权委托书不符的。</w:t>
      </w:r>
    </w:p>
    <w:p w14:paraId="08DD24E2">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4.2.3.4 响应文件格式不规范、项目不齐全或者内容虚假的；</w:t>
      </w:r>
    </w:p>
    <w:p w14:paraId="171991CF">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文件要求的（经磋商小组认定并允许其当场更正的笔误除外）；</w:t>
      </w:r>
    </w:p>
    <w:p w14:paraId="45EA5F70">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4.2.3.6 响应有效期、交货时间、质保期等商务条款不能满足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文件要求的；</w:t>
      </w:r>
    </w:p>
    <w:p w14:paraId="10710B01">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4.2.3.7 带“▲”的条款不能满足</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文件要求、未实质性响应</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文件要求或者响应文件有采购人不能接受的附加条件的；</w:t>
      </w:r>
    </w:p>
    <w:p w14:paraId="6C768504">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4.2.3.8 单位负责人为同一人或者存在直接控股、管理关系的不同供应商参加同一合同项下的采购活动的；</w:t>
      </w:r>
    </w:p>
    <w:p w14:paraId="245E54FD">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4.2.3.9 为采购项目提供整体设计、规范编制或者项目管理、监理、检测等服务的供应商参加该采购项目的其他采购活动的；</w:t>
      </w:r>
    </w:p>
    <w:p w14:paraId="4500BEF8">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4.2.3.10 商务技术文件中出现本项目磋商报价或单价的。</w:t>
      </w:r>
    </w:p>
    <w:p w14:paraId="0AA642AE">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4.3.在技术评审时，如发现下列情形之一的，将被视为无效响应文件：</w:t>
      </w:r>
    </w:p>
    <w:p w14:paraId="298660B2">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4.3.1未提供或未如实提供磋商货物的技术参数，或者响应文件标明的响应或偏离与事实不符或虚假响应的；</w:t>
      </w:r>
    </w:p>
    <w:p w14:paraId="0FAEE0B0">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4.3.2 明显不符合竞争性磋商文件要求的规格型号、质量标准，或者与竞争性磋商文件中标“▲”的技术指标、主要功能项目发生实质性偏离的；</w:t>
      </w:r>
    </w:p>
    <w:p w14:paraId="1E888850">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4.3.3 允许偏离的技术、性能指标或辅助功能项目发生负偏离达/项（含）以上的；</w:t>
      </w:r>
    </w:p>
    <w:p w14:paraId="350211DF">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4.3.4 技术方案不明确，存在一个或一个以上备选（替代）技术方案的；</w:t>
      </w:r>
    </w:p>
    <w:p w14:paraId="14DB3542">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4.3.5 与其他参加本次磋商</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的响应文件（技术文件）的文字表述内容差错相同2处以上的；</w:t>
      </w:r>
    </w:p>
    <w:p w14:paraId="29BB62BD">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4.3.6 采购人拟采购的产品属于政府强制采购的节能产品品目清单范围的，</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未按竞争性磋商文件要求提供国家确定的认证机构出具的、处于有效期之内的节能产品认证证书的。</w:t>
      </w:r>
    </w:p>
    <w:p w14:paraId="2D473F41">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 在报价评审时，如发现下列情形之一的，响应文件将被视为无效：</w:t>
      </w:r>
    </w:p>
    <w:p w14:paraId="372C0539">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4.4.1 未采用人民币报价或者未按照竞争性磋商文件标明的币种报价的；</w:t>
      </w:r>
    </w:p>
    <w:p w14:paraId="0A51DE28">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4.4.2 报价超过</w:t>
      </w:r>
      <w:r>
        <w:rPr>
          <w:rFonts w:hint="eastAsia" w:ascii="宋体" w:hAnsi="宋体" w:cs="宋体"/>
          <w:bCs/>
          <w:snapToGrid w:val="0"/>
          <w:color w:val="auto"/>
          <w:szCs w:val="21"/>
          <w:highlight w:val="none"/>
        </w:rPr>
        <w:t>最高综合折扣率的</w:t>
      </w:r>
      <w:r>
        <w:rPr>
          <w:rFonts w:hint="eastAsia" w:asciiTheme="minorEastAsia" w:hAnsiTheme="minorEastAsia" w:eastAsiaTheme="minorEastAsia" w:cstheme="minorEastAsia"/>
          <w:color w:val="auto"/>
          <w:kern w:val="0"/>
          <w:szCs w:val="21"/>
          <w:highlight w:val="none"/>
        </w:rPr>
        <w:t>；</w:t>
      </w:r>
    </w:p>
    <w:p w14:paraId="7B461FD6">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4.4.3 磋商报价具有选择性的；</w:t>
      </w:r>
    </w:p>
    <w:p w14:paraId="35471F2A">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4.4.4 磋商报价中出现缺项、漏项或被磋商小组认定为有可能影响产品质量或者不能诚信履约的且不能在合理的时间内证明其报价合理性的；</w:t>
      </w:r>
    </w:p>
    <w:p w14:paraId="3917EB15">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4.4.5供应商对根据修正原则修正后的报价不确认的。</w:t>
      </w:r>
    </w:p>
    <w:p w14:paraId="2C2E6F6E">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4.5其他无效情形：</w:t>
      </w:r>
    </w:p>
    <w:p w14:paraId="74FDBF34">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4.5.1 不同</w:t>
      </w:r>
      <w:r>
        <w:rPr>
          <w:rFonts w:hint="eastAsia" w:asciiTheme="minorEastAsia" w:hAnsiTheme="minorEastAsia" w:eastAsiaTheme="minorEastAsia" w:cstheme="minorEastAsia"/>
          <w:color w:val="auto"/>
          <w:kern w:val="0"/>
          <w:szCs w:val="21"/>
          <w:highlight w:val="none"/>
          <w:lang w:val="zh-CN"/>
        </w:rPr>
        <w:t>供应商</w:t>
      </w:r>
      <w:r>
        <w:rPr>
          <w:rFonts w:hint="eastAsia" w:asciiTheme="minorEastAsia" w:hAnsiTheme="minorEastAsia" w:eastAsiaTheme="minorEastAsia" w:cstheme="minorEastAsia"/>
          <w:color w:val="auto"/>
          <w:kern w:val="0"/>
          <w:szCs w:val="21"/>
          <w:highlight w:val="none"/>
        </w:rPr>
        <w:t>的响应文件出自同一终端设备或在相同Internet主机分配地址（相同IP地址）进行网上报名、磋商的；</w:t>
      </w:r>
    </w:p>
    <w:p w14:paraId="3BC0A4EB">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4.5.2 法律、法规、规章（适用本市的）及省级以上规范性文件（适用本市的）规定的其他无效情形。</w:t>
      </w:r>
    </w:p>
    <w:p w14:paraId="5FE693EF">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5.采购终止的情形。</w:t>
      </w:r>
      <w:r>
        <w:rPr>
          <w:rFonts w:hint="eastAsia" w:asciiTheme="minorEastAsia" w:hAnsiTheme="minorEastAsia" w:eastAsiaTheme="minorEastAsia" w:cstheme="minorEastAsia"/>
          <w:color w:val="auto"/>
          <w:kern w:val="0"/>
          <w:szCs w:val="21"/>
          <w:highlight w:val="none"/>
        </w:rPr>
        <w:t>在本项目磋商采购中，出现下列情形之一的，应当终止竞争性磋商采购活动，发布项目终止公告并说明原因，重新开展采购活动：</w:t>
      </w:r>
    </w:p>
    <w:p w14:paraId="4F1BC550">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5.1因情况变化，不再符合规定的竞争性磋商采购方式适用情形的；</w:t>
      </w:r>
    </w:p>
    <w:p w14:paraId="645335FF">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5.2出现影响采购公正的违法、违规行为的；</w:t>
      </w:r>
    </w:p>
    <w:p w14:paraId="0A121CC0">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AA09F0D">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5.4电子交易平台无法正常运行，无法保证电子交易的公平、公正和安全的情况。</w:t>
      </w:r>
    </w:p>
    <w:p w14:paraId="26C98E12">
      <w:pPr>
        <w:pStyle w:val="10"/>
        <w:snapToGrid w:val="0"/>
        <w:spacing w:line="360" w:lineRule="auto"/>
        <w:ind w:firstLine="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6.修改竞争性磋商文件，重新组织采购活动。</w:t>
      </w:r>
      <w:r>
        <w:rPr>
          <w:rFonts w:hint="eastAsia" w:asciiTheme="minorEastAsia" w:hAnsiTheme="minorEastAsia" w:eastAsiaTheme="minorEastAsia" w:cstheme="minorEastAsia"/>
          <w:color w:val="auto"/>
          <w:sz w:val="21"/>
          <w:szCs w:val="21"/>
          <w:highlight w:val="none"/>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0B35FBA">
      <w:pPr>
        <w:pStyle w:val="10"/>
        <w:adjustRightInd w:val="0"/>
        <w:snapToGrid w:val="0"/>
        <w:spacing w:line="360" w:lineRule="auto"/>
        <w:ind w:firstLine="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03724F14">
      <w:pPr>
        <w:pStyle w:val="10"/>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7.1未确定成交或者成交人的，终止本次采购活动，重新开展采购活动。</w:t>
      </w:r>
    </w:p>
    <w:p w14:paraId="02F1FA1D">
      <w:pPr>
        <w:pStyle w:val="10"/>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7.2已确定成交或者成交人但尚未签订采购合同的，成交或者成交结果无效，重新开展采购活动。</w:t>
      </w:r>
    </w:p>
    <w:p w14:paraId="37F16F4E">
      <w:pPr>
        <w:pStyle w:val="10"/>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7.3采购合同已签订但尚未履行的，撤销合同，重新开展采购活动。</w:t>
      </w:r>
    </w:p>
    <w:p w14:paraId="330FA9F3">
      <w:pPr>
        <w:pStyle w:val="10"/>
        <w:adjustRightInd w:val="0"/>
        <w:snapToGrid w:val="0"/>
        <w:spacing w:line="360" w:lineRule="auto"/>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7.4采购合同已经履行，给采购人、供应商造成损失的，由责任人承担赔偿责任。</w:t>
      </w:r>
    </w:p>
    <w:p w14:paraId="3E58FED3">
      <w:pPr>
        <w:pStyle w:val="10"/>
        <w:adjustRightInd w:val="0"/>
        <w:snapToGrid w:val="0"/>
        <w:spacing w:line="360" w:lineRule="auto"/>
        <w:ind w:firstLine="42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21"/>
          <w:szCs w:val="21"/>
          <w:highlight w:val="none"/>
        </w:rPr>
        <w:t>7.5采购当事人有其他违反采购法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r>
        <w:rPr>
          <w:rFonts w:hint="eastAsia" w:asciiTheme="minorEastAsia" w:hAnsiTheme="minorEastAsia" w:eastAsiaTheme="minorEastAsia" w:cstheme="minorEastAsia"/>
          <w:b/>
          <w:color w:val="auto"/>
          <w:sz w:val="36"/>
          <w:szCs w:val="36"/>
          <w:highlight w:val="none"/>
        </w:rPr>
        <w:br w:type="page"/>
      </w:r>
    </w:p>
    <w:p w14:paraId="5BCEC730">
      <w:pPr>
        <w:pStyle w:val="17"/>
        <w:pageBreakBefore/>
        <w:rPr>
          <w:color w:val="auto"/>
          <w:highlight w:val="none"/>
        </w:rPr>
      </w:pPr>
      <w:r>
        <w:rPr>
          <w:rFonts w:hint="eastAsia" w:asciiTheme="minorEastAsia" w:hAnsiTheme="minorEastAsia" w:eastAsiaTheme="minorEastAsia" w:cstheme="minorEastAsia"/>
          <w:color w:val="auto"/>
          <w:kern w:val="2"/>
          <w:sz w:val="36"/>
          <w:szCs w:val="36"/>
          <w:highlight w:val="none"/>
        </w:rPr>
        <w:t xml:space="preserve"> 第五部分 </w:t>
      </w:r>
      <w:r>
        <w:rPr>
          <w:rFonts w:hint="eastAsia"/>
          <w:color w:val="auto"/>
          <w:highlight w:val="none"/>
        </w:rPr>
        <w:t>合同主要条款</w:t>
      </w:r>
    </w:p>
    <w:p w14:paraId="3B7E6269">
      <w:pPr>
        <w:rPr>
          <w:color w:val="auto"/>
          <w:highlight w:val="none"/>
        </w:rPr>
      </w:pPr>
    </w:p>
    <w:p w14:paraId="202FFA87">
      <w:pPr>
        <w:rPr>
          <w:color w:val="auto"/>
          <w:highlight w:val="none"/>
        </w:rPr>
      </w:pPr>
    </w:p>
    <w:p w14:paraId="63B35079">
      <w:pPr>
        <w:rPr>
          <w:color w:val="auto"/>
          <w:highlight w:val="none"/>
        </w:rPr>
      </w:pPr>
    </w:p>
    <w:p w14:paraId="138F6D7B">
      <w:pPr>
        <w:rPr>
          <w:color w:val="auto"/>
          <w:highlight w:val="none"/>
        </w:rPr>
      </w:pPr>
    </w:p>
    <w:p w14:paraId="5DB76FBC">
      <w:pPr>
        <w:rPr>
          <w:color w:val="auto"/>
          <w:highlight w:val="none"/>
        </w:rPr>
      </w:pPr>
    </w:p>
    <w:p w14:paraId="4E63FAD5">
      <w:pPr>
        <w:rPr>
          <w:color w:val="auto"/>
          <w:highlight w:val="none"/>
        </w:rPr>
      </w:pPr>
    </w:p>
    <w:p w14:paraId="5EC07071">
      <w:pPr>
        <w:rPr>
          <w:color w:val="auto"/>
          <w:highlight w:val="none"/>
        </w:rPr>
      </w:pPr>
    </w:p>
    <w:p w14:paraId="1640E2AE">
      <w:pPr>
        <w:rPr>
          <w:color w:val="auto"/>
          <w:highlight w:val="none"/>
        </w:rPr>
      </w:pPr>
    </w:p>
    <w:p w14:paraId="0FE130D5">
      <w:pPr>
        <w:spacing w:before="120" w:line="36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项目名称：</w:t>
      </w:r>
      <w:r>
        <w:rPr>
          <w:rFonts w:hint="eastAsia" w:ascii="宋体" w:hAnsi="宋体" w:cs="仿宋"/>
          <w:color w:val="auto"/>
          <w:sz w:val="24"/>
          <w:highlight w:val="none"/>
          <w:u w:val="single"/>
        </w:rPr>
        <w:t xml:space="preserve">                                   </w:t>
      </w:r>
    </w:p>
    <w:p w14:paraId="3BE8A4EF">
      <w:pPr>
        <w:pStyle w:val="44"/>
        <w:spacing w:before="120"/>
        <w:rPr>
          <w:rFonts w:ascii="宋体" w:hAnsi="宋体" w:eastAsia="宋体" w:cs="仿宋"/>
          <w:color w:val="auto"/>
          <w:szCs w:val="24"/>
          <w:highlight w:val="none"/>
        </w:rPr>
      </w:pPr>
    </w:p>
    <w:p w14:paraId="5E64C4FA">
      <w:pPr>
        <w:pStyle w:val="44"/>
        <w:spacing w:before="120"/>
        <w:rPr>
          <w:rFonts w:ascii="宋体" w:hAnsi="宋体" w:eastAsia="宋体" w:cs="仿宋"/>
          <w:color w:val="auto"/>
          <w:szCs w:val="24"/>
          <w:highlight w:val="none"/>
        </w:rPr>
      </w:pPr>
    </w:p>
    <w:p w14:paraId="42FAE052">
      <w:pPr>
        <w:rPr>
          <w:rFonts w:ascii="宋体" w:hAnsi="宋体" w:cs="仿宋"/>
          <w:color w:val="auto"/>
          <w:highlight w:val="none"/>
        </w:rPr>
      </w:pPr>
    </w:p>
    <w:p w14:paraId="6857BF12">
      <w:pPr>
        <w:rPr>
          <w:rFonts w:ascii="宋体" w:hAnsi="宋体" w:cs="仿宋"/>
          <w:color w:val="auto"/>
          <w:highlight w:val="none"/>
        </w:rPr>
      </w:pPr>
    </w:p>
    <w:p w14:paraId="0FE6588A">
      <w:pPr>
        <w:rPr>
          <w:rFonts w:ascii="宋体" w:hAnsi="宋体" w:cs="仿宋"/>
          <w:color w:val="auto"/>
          <w:highlight w:val="none"/>
        </w:rPr>
      </w:pPr>
    </w:p>
    <w:p w14:paraId="145C9F96">
      <w:pPr>
        <w:rPr>
          <w:rFonts w:ascii="宋体" w:hAnsi="宋体" w:cs="仿宋"/>
          <w:color w:val="auto"/>
          <w:highlight w:val="none"/>
        </w:rPr>
      </w:pPr>
    </w:p>
    <w:p w14:paraId="7CD9DA77">
      <w:pPr>
        <w:rPr>
          <w:rFonts w:ascii="宋体" w:hAnsi="宋体" w:cs="仿宋"/>
          <w:color w:val="auto"/>
          <w:highlight w:val="none"/>
        </w:rPr>
      </w:pPr>
    </w:p>
    <w:p w14:paraId="6DCB9F8C">
      <w:pPr>
        <w:rPr>
          <w:rFonts w:ascii="宋体" w:hAnsi="宋体" w:cs="仿宋"/>
          <w:color w:val="auto"/>
          <w:highlight w:val="none"/>
        </w:rPr>
      </w:pPr>
    </w:p>
    <w:p w14:paraId="47D0C57A">
      <w:pPr>
        <w:rPr>
          <w:rFonts w:ascii="宋体" w:hAnsi="宋体" w:cs="仿宋"/>
          <w:color w:val="auto"/>
          <w:highlight w:val="none"/>
        </w:rPr>
      </w:pPr>
    </w:p>
    <w:p w14:paraId="09BF58C6">
      <w:pPr>
        <w:rPr>
          <w:rFonts w:ascii="宋体" w:hAnsi="宋体" w:cs="仿宋"/>
          <w:color w:val="auto"/>
          <w:highlight w:val="none"/>
        </w:rPr>
      </w:pPr>
    </w:p>
    <w:p w14:paraId="23C9CC0D">
      <w:pPr>
        <w:rPr>
          <w:rFonts w:ascii="宋体" w:hAnsi="宋体" w:cs="仿宋"/>
          <w:color w:val="auto"/>
          <w:highlight w:val="none"/>
        </w:rPr>
      </w:pPr>
    </w:p>
    <w:p w14:paraId="1DFDA907">
      <w:pPr>
        <w:spacing w:line="360" w:lineRule="auto"/>
        <w:rPr>
          <w:rFonts w:ascii="宋体" w:hAnsi="宋体" w:cs="仿宋"/>
          <w:color w:val="auto"/>
          <w:sz w:val="24"/>
          <w:highlight w:val="none"/>
        </w:rPr>
      </w:pPr>
    </w:p>
    <w:p w14:paraId="68EF9136">
      <w:pP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甲方：</w:t>
      </w:r>
      <w:r>
        <w:rPr>
          <w:rFonts w:hint="eastAsia" w:ascii="宋体" w:hAnsi="宋体" w:cs="仿宋"/>
          <w:color w:val="auto"/>
          <w:sz w:val="24"/>
          <w:highlight w:val="none"/>
          <w:u w:val="single"/>
        </w:rPr>
        <w:t xml:space="preserve">                                       </w:t>
      </w:r>
    </w:p>
    <w:p w14:paraId="12F86E44">
      <w:pP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乙方：</w:t>
      </w:r>
      <w:r>
        <w:rPr>
          <w:rFonts w:hint="eastAsia" w:ascii="宋体" w:hAnsi="宋体" w:cs="仿宋"/>
          <w:color w:val="auto"/>
          <w:sz w:val="24"/>
          <w:highlight w:val="none"/>
          <w:u w:val="single"/>
        </w:rPr>
        <w:t xml:space="preserve">                                       </w:t>
      </w:r>
    </w:p>
    <w:p w14:paraId="7E977E24">
      <w:pP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签订地：</w:t>
      </w:r>
      <w:r>
        <w:rPr>
          <w:rFonts w:hint="eastAsia" w:ascii="宋体" w:hAnsi="宋体" w:cs="仿宋"/>
          <w:color w:val="auto"/>
          <w:sz w:val="24"/>
          <w:highlight w:val="none"/>
          <w:u w:val="single"/>
        </w:rPr>
        <w:t xml:space="preserve">                                     </w:t>
      </w:r>
    </w:p>
    <w:p w14:paraId="0D9AA7DE">
      <w:pP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01D3E506">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u w:val="single"/>
          <w:lang w:val="zh-CN"/>
        </w:rPr>
        <w:br w:type="page"/>
      </w:r>
      <w:r>
        <w:rPr>
          <w:rFonts w:hint="eastAsia" w:ascii="宋体" w:hAnsi="宋体" w:cs="仿宋"/>
          <w:color w:val="auto"/>
          <w:sz w:val="24"/>
          <w:highlight w:val="none"/>
          <w:u w:val="single"/>
          <w:lang w:val="zh-CN"/>
        </w:rPr>
        <w:t xml:space="preserve">        </w:t>
      </w:r>
      <w:r>
        <w:rPr>
          <w:rFonts w:hint="eastAsia" w:ascii="宋体" w:hAnsi="宋体" w:cs="仿宋"/>
          <w:color w:val="auto"/>
          <w:sz w:val="24"/>
          <w:highlight w:val="none"/>
          <w:lang w:val="zh-CN"/>
        </w:rPr>
        <w:t>年</w:t>
      </w:r>
      <w:r>
        <w:rPr>
          <w:rFonts w:hint="eastAsia" w:ascii="宋体" w:hAnsi="宋体" w:cs="仿宋"/>
          <w:color w:val="auto"/>
          <w:sz w:val="24"/>
          <w:highlight w:val="none"/>
          <w:u w:val="single"/>
          <w:lang w:val="zh-CN"/>
        </w:rPr>
        <w:t xml:space="preserve">     </w:t>
      </w:r>
      <w:r>
        <w:rPr>
          <w:rFonts w:hint="eastAsia" w:ascii="宋体" w:hAnsi="宋体" w:cs="仿宋"/>
          <w:color w:val="auto"/>
          <w:sz w:val="24"/>
          <w:highlight w:val="none"/>
          <w:lang w:val="zh-CN"/>
        </w:rPr>
        <w:t>月</w:t>
      </w:r>
      <w:r>
        <w:rPr>
          <w:rFonts w:hint="eastAsia" w:ascii="宋体" w:hAnsi="宋体" w:cs="仿宋"/>
          <w:color w:val="auto"/>
          <w:sz w:val="24"/>
          <w:highlight w:val="none"/>
          <w:u w:val="single"/>
          <w:lang w:val="zh-CN"/>
        </w:rPr>
        <w:t xml:space="preserve">     </w:t>
      </w:r>
      <w:r>
        <w:rPr>
          <w:rFonts w:hint="eastAsia" w:ascii="宋体" w:hAnsi="宋体" w:cs="仿宋"/>
          <w:color w:val="auto"/>
          <w:sz w:val="24"/>
          <w:highlight w:val="none"/>
          <w:lang w:val="zh-CN"/>
        </w:rPr>
        <w:t>日，</w:t>
      </w:r>
      <w:r>
        <w:rPr>
          <w:rFonts w:hint="eastAsia" w:ascii="宋体" w:hAnsi="宋体" w:cs="仿宋"/>
          <w:color w:val="auto"/>
          <w:sz w:val="24"/>
          <w:highlight w:val="none"/>
          <w:u w:val="single"/>
          <w:lang w:val="zh-CN"/>
        </w:rPr>
        <w:t xml:space="preserve">   （采购人）   </w:t>
      </w:r>
      <w:r>
        <w:rPr>
          <w:rFonts w:hint="eastAsia" w:ascii="宋体" w:hAnsi="宋体" w:cs="仿宋"/>
          <w:color w:val="auto"/>
          <w:sz w:val="24"/>
          <w:highlight w:val="none"/>
          <w:lang w:val="zh-CN"/>
        </w:rPr>
        <w:t>以</w:t>
      </w:r>
      <w:r>
        <w:rPr>
          <w:rFonts w:hint="eastAsia" w:ascii="宋体" w:hAnsi="宋体" w:cs="仿宋"/>
          <w:color w:val="auto"/>
          <w:sz w:val="24"/>
          <w:highlight w:val="none"/>
          <w:u w:val="single"/>
          <w:lang w:val="zh-CN"/>
        </w:rPr>
        <w:t xml:space="preserve"> 公开招标采购方式  </w:t>
      </w:r>
      <w:r>
        <w:rPr>
          <w:rFonts w:hint="eastAsia" w:ascii="宋体" w:hAnsi="宋体" w:cs="仿宋"/>
          <w:color w:val="auto"/>
          <w:sz w:val="24"/>
          <w:highlight w:val="none"/>
          <w:lang w:val="zh-CN"/>
        </w:rPr>
        <w:t>对</w:t>
      </w:r>
      <w:r>
        <w:rPr>
          <w:rFonts w:hint="eastAsia" w:ascii="宋体" w:hAnsi="宋体" w:cs="仿宋"/>
          <w:color w:val="auto"/>
          <w:sz w:val="24"/>
          <w:highlight w:val="none"/>
          <w:u w:val="single"/>
          <w:lang w:val="zh-CN"/>
        </w:rPr>
        <w:t xml:space="preserve">   （同前页项目名称）   </w:t>
      </w:r>
      <w:r>
        <w:rPr>
          <w:rFonts w:hint="eastAsia" w:ascii="宋体" w:hAnsi="宋体" w:cs="仿宋"/>
          <w:color w:val="auto"/>
          <w:sz w:val="24"/>
          <w:highlight w:val="none"/>
          <w:lang w:val="zh-CN"/>
        </w:rPr>
        <w:t>项目进行了采购。经</w:t>
      </w:r>
      <w:r>
        <w:rPr>
          <w:rFonts w:hint="eastAsia" w:ascii="宋体" w:hAnsi="宋体" w:cs="仿宋"/>
          <w:color w:val="auto"/>
          <w:sz w:val="24"/>
          <w:highlight w:val="none"/>
          <w:u w:val="single"/>
          <w:lang w:val="zh-CN"/>
        </w:rPr>
        <w:t xml:space="preserve">  评审小组 </w:t>
      </w:r>
      <w:r>
        <w:rPr>
          <w:rFonts w:hint="eastAsia" w:ascii="宋体" w:hAnsi="宋体" w:cs="仿宋"/>
          <w:color w:val="auto"/>
          <w:sz w:val="24"/>
          <w:highlight w:val="none"/>
          <w:lang w:val="zh-CN"/>
        </w:rPr>
        <w:t>评定，</w:t>
      </w:r>
      <w:r>
        <w:rPr>
          <w:rFonts w:hint="eastAsia" w:ascii="宋体" w:hAnsi="宋体" w:cs="仿宋"/>
          <w:color w:val="auto"/>
          <w:sz w:val="24"/>
          <w:highlight w:val="none"/>
          <w:u w:val="single"/>
          <w:lang w:val="zh-CN"/>
        </w:rPr>
        <w:t xml:space="preserve">   （中标供应商名称）</w:t>
      </w:r>
      <w:r>
        <w:rPr>
          <w:rFonts w:hint="eastAsia" w:ascii="宋体" w:hAnsi="宋体" w:cs="仿宋"/>
          <w:color w:val="auto"/>
          <w:sz w:val="24"/>
          <w:highlight w:val="none"/>
          <w:lang w:val="zh-CN"/>
        </w:rPr>
        <w:t>为该项目中标供应商。现于</w:t>
      </w:r>
      <w:r>
        <w:rPr>
          <w:rFonts w:hint="eastAsia" w:ascii="宋体" w:hAnsi="宋体" w:cs="仿宋"/>
          <w:color w:val="auto"/>
          <w:sz w:val="24"/>
          <w:highlight w:val="none"/>
        </w:rPr>
        <w:t>成交通知书发出</w:t>
      </w:r>
      <w:r>
        <w:rPr>
          <w:rFonts w:hint="eastAsia" w:ascii="宋体" w:hAnsi="宋体" w:cs="仿宋"/>
          <w:color w:val="auto"/>
          <w:sz w:val="24"/>
          <w:highlight w:val="none"/>
          <w:lang w:val="zh-CN"/>
        </w:rPr>
        <w:t>之日起</w:t>
      </w:r>
      <w:r>
        <w:rPr>
          <w:rFonts w:hint="eastAsia" w:ascii="宋体" w:hAnsi="宋体" w:cs="仿宋"/>
          <w:color w:val="auto"/>
          <w:sz w:val="24"/>
          <w:highlight w:val="none"/>
        </w:rPr>
        <w:t>十五日内</w:t>
      </w:r>
      <w:r>
        <w:rPr>
          <w:rFonts w:hint="eastAsia" w:ascii="宋体" w:hAnsi="宋体" w:cs="仿宋"/>
          <w:color w:val="auto"/>
          <w:sz w:val="24"/>
          <w:highlight w:val="none"/>
          <w:lang w:val="zh-CN"/>
        </w:rPr>
        <w:t>，按照采购文件确定的事项签订本合同。</w:t>
      </w:r>
    </w:p>
    <w:p w14:paraId="12ACFDFA">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仿宋"/>
          <w:color w:val="auto"/>
          <w:sz w:val="24"/>
          <w:highlight w:val="none"/>
          <w:u w:val="single"/>
        </w:rPr>
        <w:t xml:space="preserve">   （采购人）   </w:t>
      </w:r>
      <w:r>
        <w:rPr>
          <w:rFonts w:hint="eastAsia" w:ascii="宋体" w:hAnsi="宋体" w:cs="仿宋"/>
          <w:color w:val="auto"/>
          <w:sz w:val="24"/>
          <w:highlight w:val="none"/>
          <w:lang w:val="zh-CN"/>
        </w:rPr>
        <w:t>(以下简称：甲方)和</w:t>
      </w:r>
      <w:r>
        <w:rPr>
          <w:rFonts w:hint="eastAsia" w:ascii="宋体" w:hAnsi="宋体" w:cs="仿宋"/>
          <w:color w:val="auto"/>
          <w:sz w:val="24"/>
          <w:highlight w:val="none"/>
          <w:u w:val="single"/>
        </w:rPr>
        <w:t xml:space="preserve">   （中标供应商名称）   </w:t>
      </w:r>
      <w:r>
        <w:rPr>
          <w:rFonts w:hint="eastAsia" w:ascii="宋体" w:hAnsi="宋体" w:cs="仿宋"/>
          <w:color w:val="auto"/>
          <w:sz w:val="24"/>
          <w:highlight w:val="none"/>
          <w:lang w:val="zh-CN"/>
        </w:rPr>
        <w:t>(以下简称：乙方)协商一致，约定以下合同</w:t>
      </w:r>
      <w:r>
        <w:rPr>
          <w:rFonts w:hint="eastAsia" w:ascii="宋体" w:hAnsi="宋体" w:cs="仿宋"/>
          <w:color w:val="auto"/>
          <w:sz w:val="24"/>
          <w:highlight w:val="none"/>
        </w:rPr>
        <w:t>条款，以兹共同遵守、全面履行。</w:t>
      </w:r>
    </w:p>
    <w:p w14:paraId="4CA5A654">
      <w:pPr>
        <w:keepNext w:val="0"/>
        <w:keepLines w:val="0"/>
        <w:pageBreakBefore w:val="0"/>
        <w:kinsoku/>
        <w:wordWrap/>
        <w:overflowPunct/>
        <w:topLinePunct w:val="0"/>
        <w:bidi w:val="0"/>
        <w:adjustRightInd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1、服务内容</w:t>
      </w:r>
    </w:p>
    <w:p w14:paraId="20BD37A3">
      <w:pPr>
        <w:keepNext w:val="0"/>
        <w:keepLines w:val="0"/>
        <w:pageBreakBefore w:val="0"/>
        <w:kinsoku/>
        <w:wordWrap/>
        <w:overflowPunct/>
        <w:topLinePunct w:val="0"/>
        <w:bidi w:val="0"/>
        <w:adjustRightInd w:val="0"/>
        <w:spacing w:line="400" w:lineRule="exact"/>
        <w:ind w:firstLine="420" w:firstLineChars="200"/>
        <w:textAlignment w:val="auto"/>
        <w:outlineLvl w:val="0"/>
        <w:rPr>
          <w:rFonts w:hint="eastAsia"/>
          <w:color w:val="auto"/>
          <w:highlight w:val="none"/>
        </w:rPr>
      </w:pPr>
      <w:r>
        <w:rPr>
          <w:rFonts w:hint="eastAsia" w:ascii="宋体" w:hAnsi="宋体" w:cs="宋体"/>
          <w:color w:val="auto"/>
          <w:szCs w:val="21"/>
          <w:highlight w:val="none"/>
        </w:rPr>
        <w:t>1.1采购内容为</w:t>
      </w:r>
      <w:r>
        <w:rPr>
          <w:rFonts w:hint="eastAsia"/>
          <w:color w:val="auto"/>
          <w:highlight w:val="none"/>
        </w:rPr>
        <w:t>2025年蜜桃音乐节舞美搭建及宣传</w:t>
      </w:r>
      <w:r>
        <w:rPr>
          <w:rFonts w:hint="eastAsia" w:hAnsi="宋体" w:cs="宋体"/>
          <w:color w:val="auto"/>
          <w:highlight w:val="none"/>
          <w:lang w:val="en-US"/>
        </w:rPr>
        <w:t>服</w:t>
      </w:r>
      <w:r>
        <w:rPr>
          <w:rFonts w:hint="eastAsia"/>
          <w:color w:val="auto"/>
          <w:highlight w:val="none"/>
          <w:lang w:val="en-US"/>
        </w:rPr>
        <w:t>务</w:t>
      </w:r>
      <w:r>
        <w:rPr>
          <w:rFonts w:hint="eastAsia"/>
          <w:color w:val="auto"/>
          <w:highlight w:val="none"/>
        </w:rPr>
        <w:t>。</w:t>
      </w:r>
    </w:p>
    <w:p w14:paraId="65252865">
      <w:pPr>
        <w:keepNext w:val="0"/>
        <w:keepLines w:val="0"/>
        <w:pageBreakBefore w:val="0"/>
        <w:kinsoku/>
        <w:wordWrap/>
        <w:overflowPunct/>
        <w:topLinePunct w:val="0"/>
        <w:bidi w:val="0"/>
        <w:adjustRightInd w:val="0"/>
        <w:spacing w:line="400" w:lineRule="exact"/>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1.2、活动时间：</w:t>
      </w:r>
    </w:p>
    <w:p w14:paraId="4CAB273B">
      <w:pPr>
        <w:keepNext w:val="0"/>
        <w:keepLines w:val="0"/>
        <w:pageBreakBefore w:val="0"/>
        <w:kinsoku/>
        <w:wordWrap/>
        <w:overflowPunct/>
        <w:topLinePunct w:val="0"/>
        <w:bidi w:val="0"/>
        <w:adjustRightInd w:val="0"/>
        <w:spacing w:line="400" w:lineRule="exact"/>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1.3、活动地点：</w:t>
      </w:r>
    </w:p>
    <w:p w14:paraId="662821B4">
      <w:pPr>
        <w:keepNext w:val="0"/>
        <w:keepLines w:val="0"/>
        <w:pageBreakBefore w:val="0"/>
        <w:kinsoku/>
        <w:wordWrap/>
        <w:overflowPunct/>
        <w:topLinePunct w:val="0"/>
        <w:bidi w:val="0"/>
        <w:adjustRightInd w:val="0"/>
        <w:spacing w:line="400" w:lineRule="exact"/>
        <w:ind w:firstLine="420" w:firstLineChars="200"/>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1.4、观众人数：</w:t>
      </w:r>
    </w:p>
    <w:p w14:paraId="1A49C01E">
      <w:pPr>
        <w:keepNext w:val="0"/>
        <w:keepLines w:val="0"/>
        <w:pageBreakBefore w:val="0"/>
        <w:kinsoku/>
        <w:wordWrap/>
        <w:overflowPunct/>
        <w:topLinePunct w:val="0"/>
        <w:bidi w:val="0"/>
        <w:adjustRightInd w:val="0"/>
        <w:spacing w:line="400" w:lineRule="exact"/>
        <w:ind w:firstLine="420" w:firstLineChars="200"/>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1.5、乐队要求：</w:t>
      </w:r>
    </w:p>
    <w:p w14:paraId="13ED0CFC">
      <w:pPr>
        <w:keepNext w:val="0"/>
        <w:keepLines w:val="0"/>
        <w:pageBreakBefore w:val="0"/>
        <w:kinsoku/>
        <w:wordWrap/>
        <w:overflowPunct/>
        <w:topLinePunct w:val="0"/>
        <w:bidi w:val="0"/>
        <w:adjustRightInd w:val="0"/>
        <w:spacing w:line="400" w:lineRule="exact"/>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1.6其他要求：</w:t>
      </w:r>
      <w:r>
        <w:rPr>
          <w:rFonts w:hint="eastAsia" w:ascii="宋体" w:hAnsi="宋体" w:cs="宋体"/>
          <w:color w:val="auto"/>
          <w:szCs w:val="21"/>
          <w:highlight w:val="none"/>
          <w:u w:val="single"/>
        </w:rPr>
        <w:t xml:space="preserve">               </w:t>
      </w:r>
    </w:p>
    <w:p w14:paraId="55969F4E">
      <w:pPr>
        <w:keepNext w:val="0"/>
        <w:keepLines w:val="0"/>
        <w:pageBreakBefore w:val="0"/>
        <w:kinsoku/>
        <w:wordWrap/>
        <w:overflowPunct/>
        <w:topLinePunct w:val="0"/>
        <w:bidi w:val="0"/>
        <w:adjustRightInd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2、价款</w:t>
      </w:r>
    </w:p>
    <w:p w14:paraId="0B652339">
      <w:pPr>
        <w:keepNext w:val="0"/>
        <w:keepLines w:val="0"/>
        <w:pageBreakBefore w:val="0"/>
        <w:kinsoku/>
        <w:wordWrap/>
        <w:overflowPunct/>
        <w:topLinePunct w:val="0"/>
        <w:bidi w:val="0"/>
        <w:adjustRightInd w:val="0"/>
        <w:spacing w:line="400" w:lineRule="exact"/>
        <w:ind w:firstLine="480" w:firstLineChars="200"/>
        <w:textAlignment w:val="auto"/>
        <w:outlineLvl w:val="0"/>
        <w:rPr>
          <w:rFonts w:ascii="宋体" w:hAnsi="宋体" w:cs="仿宋"/>
          <w:b/>
          <w:color w:val="auto"/>
          <w:sz w:val="24"/>
          <w:highlight w:val="none"/>
        </w:rPr>
      </w:pPr>
      <w:r>
        <w:rPr>
          <w:rFonts w:hint="eastAsia" w:ascii="宋体" w:hAnsi="宋体" w:cs="仿宋"/>
          <w:color w:val="auto"/>
          <w:sz w:val="24"/>
          <w:highlight w:val="none"/>
        </w:rPr>
        <w:t>本合同总价为：￥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元（大写：</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元人民币）。</w:t>
      </w:r>
    </w:p>
    <w:p w14:paraId="45A51615">
      <w:pPr>
        <w:keepNext w:val="0"/>
        <w:keepLines w:val="0"/>
        <w:pageBreakBefore w:val="0"/>
        <w:kinsoku/>
        <w:wordWrap/>
        <w:overflowPunct/>
        <w:topLinePunct w:val="0"/>
        <w:bidi w:val="0"/>
        <w:adjustRightInd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3、付款方式、时间和条件</w:t>
      </w:r>
    </w:p>
    <w:p w14:paraId="6CC416F6">
      <w:pPr>
        <w:keepNext w:val="0"/>
        <w:keepLines w:val="0"/>
        <w:pageBreakBefore w:val="0"/>
        <w:widowControl/>
        <w:kinsoku/>
        <w:wordWrap/>
        <w:overflowPunct/>
        <w:topLinePunct w:val="0"/>
        <w:bidi w:val="0"/>
        <w:spacing w:line="400" w:lineRule="exact"/>
        <w:ind w:firstLine="480"/>
        <w:jc w:val="left"/>
        <w:textAlignment w:val="auto"/>
        <w:rPr>
          <w:rFonts w:ascii="宋体" w:hAnsi="宋体" w:cs="仿宋"/>
          <w:b/>
          <w:bCs/>
          <w:i/>
          <w:iCs/>
          <w:color w:val="auto"/>
          <w:sz w:val="24"/>
          <w:highlight w:val="none"/>
          <w:u w:val="single"/>
        </w:rPr>
      </w:pPr>
      <w:r>
        <w:rPr>
          <w:rFonts w:hint="eastAsia" w:ascii="宋体" w:hAnsi="宋体" w:cs="仿宋"/>
          <w:color w:val="auto"/>
          <w:sz w:val="24"/>
          <w:highlight w:val="none"/>
        </w:rPr>
        <w:t>3.1 资金支付的方式、时间和条件：</w:t>
      </w:r>
      <w:r>
        <w:rPr>
          <w:rFonts w:hint="eastAsia" w:ascii="宋体" w:hAnsi="宋体" w:cs="仿宋"/>
          <w:b/>
          <w:bCs/>
          <w:i/>
          <w:iCs/>
          <w:color w:val="auto"/>
          <w:sz w:val="24"/>
          <w:highlight w:val="none"/>
          <w:u w:val="single"/>
        </w:rPr>
        <w:t xml:space="preserve">                       </w:t>
      </w:r>
    </w:p>
    <w:p w14:paraId="6CA3AB23">
      <w:pPr>
        <w:keepNext w:val="0"/>
        <w:keepLines w:val="0"/>
        <w:pageBreakBefore w:val="0"/>
        <w:widowControl/>
        <w:kinsoku/>
        <w:wordWrap/>
        <w:overflowPunct/>
        <w:topLinePunct w:val="0"/>
        <w:bidi w:val="0"/>
        <w:spacing w:line="400" w:lineRule="exact"/>
        <w:ind w:firstLine="480"/>
        <w:jc w:val="left"/>
        <w:textAlignment w:val="auto"/>
        <w:rPr>
          <w:rFonts w:ascii="宋体" w:hAnsi="宋体" w:cs="仿宋"/>
          <w:color w:val="auto"/>
          <w:sz w:val="24"/>
          <w:highlight w:val="none"/>
        </w:rPr>
      </w:pPr>
      <w:r>
        <w:rPr>
          <w:rFonts w:hint="eastAsia" w:ascii="宋体" w:hAnsi="宋体" w:cs="仿宋"/>
          <w:color w:val="auto"/>
          <w:sz w:val="24"/>
          <w:highlight w:val="none"/>
        </w:rPr>
        <w:t>3.2 乙方收款账户：</w:t>
      </w:r>
    </w:p>
    <w:p w14:paraId="6D4ABDE0">
      <w:pPr>
        <w:keepNext w:val="0"/>
        <w:keepLines w:val="0"/>
        <w:pageBreakBefore w:val="0"/>
        <w:kinsoku/>
        <w:wordWrap/>
        <w:overflowPunct/>
        <w:topLinePunct w:val="0"/>
        <w:autoSpaceDE w:val="0"/>
        <w:autoSpaceDN w:val="0"/>
        <w:bidi w:val="0"/>
        <w:spacing w:line="400" w:lineRule="exact"/>
        <w:ind w:left="1470" w:leftChars="700"/>
        <w:textAlignment w:val="auto"/>
        <w:rPr>
          <w:rFonts w:ascii="宋体" w:hAnsi="宋体" w:cs="仿宋"/>
          <w:color w:val="auto"/>
          <w:sz w:val="24"/>
          <w:highlight w:val="none"/>
        </w:rPr>
      </w:pPr>
      <w:r>
        <w:rPr>
          <w:rFonts w:hint="eastAsia" w:ascii="宋体" w:hAnsi="宋体" w:cs="仿宋"/>
          <w:color w:val="auto"/>
          <w:sz w:val="24"/>
          <w:highlight w:val="none"/>
        </w:rPr>
        <w:t>开户银行：</w:t>
      </w:r>
      <w:r>
        <w:rPr>
          <w:rFonts w:hint="eastAsia" w:ascii="宋体" w:hAnsi="宋体" w:cs="仿宋"/>
          <w:b/>
          <w:bCs/>
          <w:i/>
          <w:iCs/>
          <w:color w:val="auto"/>
          <w:sz w:val="24"/>
          <w:highlight w:val="none"/>
          <w:u w:val="single"/>
        </w:rPr>
        <w:t xml:space="preserve">                          </w:t>
      </w:r>
      <w:r>
        <w:rPr>
          <w:rFonts w:hint="eastAsia" w:ascii="宋体" w:hAnsi="宋体" w:cs="仿宋"/>
          <w:color w:val="auto"/>
          <w:sz w:val="24"/>
          <w:highlight w:val="none"/>
        </w:rPr>
        <w:t xml:space="preserve">                          </w:t>
      </w:r>
    </w:p>
    <w:p w14:paraId="3C153D07">
      <w:pPr>
        <w:keepNext w:val="0"/>
        <w:keepLines w:val="0"/>
        <w:pageBreakBefore w:val="0"/>
        <w:kinsoku/>
        <w:wordWrap/>
        <w:overflowPunct/>
        <w:topLinePunct w:val="0"/>
        <w:autoSpaceDE w:val="0"/>
        <w:autoSpaceDN w:val="0"/>
        <w:bidi w:val="0"/>
        <w:spacing w:line="400" w:lineRule="exact"/>
        <w:ind w:left="1470" w:leftChars="700"/>
        <w:textAlignment w:val="auto"/>
        <w:rPr>
          <w:rFonts w:ascii="宋体" w:hAnsi="宋体" w:cs="仿宋"/>
          <w:color w:val="auto"/>
          <w:sz w:val="24"/>
          <w:highlight w:val="none"/>
        </w:rPr>
      </w:pPr>
      <w:r>
        <w:rPr>
          <w:rFonts w:hint="eastAsia" w:ascii="宋体" w:hAnsi="宋体" w:cs="仿宋"/>
          <w:color w:val="auto"/>
          <w:sz w:val="24"/>
          <w:highlight w:val="none"/>
        </w:rPr>
        <w:t>开户名称：</w:t>
      </w:r>
      <w:r>
        <w:rPr>
          <w:rFonts w:hint="eastAsia" w:ascii="宋体" w:hAnsi="宋体" w:cs="仿宋"/>
          <w:b/>
          <w:bCs/>
          <w:i/>
          <w:iCs/>
          <w:color w:val="auto"/>
          <w:sz w:val="24"/>
          <w:highlight w:val="none"/>
          <w:u w:val="single"/>
        </w:rPr>
        <w:t xml:space="preserve">                           </w:t>
      </w:r>
      <w:r>
        <w:rPr>
          <w:rFonts w:hint="eastAsia" w:ascii="宋体" w:hAnsi="宋体" w:cs="仿宋"/>
          <w:color w:val="auto"/>
          <w:sz w:val="24"/>
          <w:highlight w:val="none"/>
        </w:rPr>
        <w:t xml:space="preserve">                             </w:t>
      </w:r>
    </w:p>
    <w:p w14:paraId="026780DB">
      <w:pPr>
        <w:keepNext w:val="0"/>
        <w:keepLines w:val="0"/>
        <w:pageBreakBefore w:val="0"/>
        <w:kinsoku/>
        <w:wordWrap/>
        <w:overflowPunct/>
        <w:topLinePunct w:val="0"/>
        <w:bidi w:val="0"/>
        <w:adjustRightInd w:val="0"/>
        <w:spacing w:line="400" w:lineRule="exact"/>
        <w:ind w:firstLine="1440" w:firstLineChars="600"/>
        <w:textAlignment w:val="auto"/>
        <w:outlineLvl w:val="0"/>
        <w:rPr>
          <w:rFonts w:ascii="宋体" w:hAnsi="宋体" w:cs="仿宋"/>
          <w:b/>
          <w:color w:val="auto"/>
          <w:sz w:val="24"/>
          <w:highlight w:val="none"/>
        </w:rPr>
      </w:pPr>
      <w:r>
        <w:rPr>
          <w:rFonts w:hint="eastAsia" w:ascii="宋体" w:hAnsi="宋体" w:cs="仿宋"/>
          <w:color w:val="auto"/>
          <w:sz w:val="24"/>
          <w:highlight w:val="none"/>
        </w:rPr>
        <w:t>开户账号：</w:t>
      </w:r>
      <w:r>
        <w:rPr>
          <w:rFonts w:hint="eastAsia" w:ascii="宋体" w:hAnsi="宋体" w:cs="仿宋"/>
          <w:b/>
          <w:bCs/>
          <w:i/>
          <w:iCs/>
          <w:color w:val="auto"/>
          <w:sz w:val="24"/>
          <w:highlight w:val="none"/>
          <w:u w:val="single"/>
        </w:rPr>
        <w:t xml:space="preserve">                           </w:t>
      </w:r>
    </w:p>
    <w:p w14:paraId="4B9944E6">
      <w:pPr>
        <w:keepNext w:val="0"/>
        <w:keepLines w:val="0"/>
        <w:pageBreakBefore w:val="0"/>
        <w:kinsoku/>
        <w:wordWrap/>
        <w:overflowPunct/>
        <w:topLinePunct w:val="0"/>
        <w:bidi w:val="0"/>
        <w:adjustRightInd w:val="0"/>
        <w:spacing w:line="400" w:lineRule="exact"/>
        <w:textAlignment w:val="auto"/>
        <w:outlineLvl w:val="0"/>
        <w:rPr>
          <w:rFonts w:ascii="宋体" w:hAnsi="宋体" w:cs="仿宋"/>
          <w:b/>
          <w:color w:val="auto"/>
          <w:sz w:val="24"/>
          <w:highlight w:val="none"/>
        </w:rPr>
      </w:pPr>
    </w:p>
    <w:p w14:paraId="389B4DBE">
      <w:pPr>
        <w:keepNext w:val="0"/>
        <w:keepLines w:val="0"/>
        <w:pageBreakBefore w:val="0"/>
        <w:kinsoku/>
        <w:wordWrap/>
        <w:overflowPunct/>
        <w:topLinePunct w:val="0"/>
        <w:bidi w:val="0"/>
        <w:adjustRightInd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4、</w:t>
      </w:r>
      <w:r>
        <w:rPr>
          <w:rFonts w:hint="eastAsia" w:ascii="宋体" w:hAnsi="宋体" w:cs="宋体"/>
          <w:b/>
          <w:bCs/>
          <w:color w:val="auto"/>
          <w:sz w:val="24"/>
          <w:highlight w:val="none"/>
        </w:rPr>
        <w:t>双方权利义务</w:t>
      </w:r>
    </w:p>
    <w:p w14:paraId="6945D020">
      <w:pPr>
        <w:keepNext w:val="0"/>
        <w:keepLines w:val="0"/>
        <w:pageBreakBefore w:val="0"/>
        <w:kinsoku/>
        <w:wordWrap/>
        <w:overflowPunct/>
        <w:topLinePunct w:val="0"/>
        <w:bidi w:val="0"/>
        <w:adjustRightInd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4.1</w:t>
      </w:r>
      <w:r>
        <w:rPr>
          <w:rFonts w:hint="eastAsia" w:ascii="宋体" w:hAnsi="宋体" w:cs="宋体"/>
          <w:b/>
          <w:bCs/>
          <w:color w:val="auto"/>
          <w:sz w:val="24"/>
          <w:highlight w:val="none"/>
        </w:rPr>
        <w:t>甲方权利义务</w:t>
      </w:r>
    </w:p>
    <w:p w14:paraId="72BD70DD">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4.1.1甲方和乙方均保证其具备签署并履行本协议所需的资质与能力。</w:t>
      </w:r>
    </w:p>
    <w:p w14:paraId="08F86487">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4.1.2未经另一方书面同意，任何一方均不得将本协议项下的权利义务单独或全部转让给第三方，否则视为违约，守约方有权要求违约方支付合同金额30%的违约金。</w:t>
      </w:r>
    </w:p>
    <w:p w14:paraId="0934A732">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4.1.3甲方有权对乙方提供的服务履约情况进行检查，以确保乙方所提供的服务能够依约满足甲方之项目需求，但不得因履约检查妨碍乙方的正常工作，乙方应予积极配合；</w:t>
      </w:r>
    </w:p>
    <w:p w14:paraId="3DC8F81D">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4.1.4合同履行期间，甲方有权将履行过程中出现的问题反馈给乙方，双方当事人应以书面形式约定需要完善和改进的内容。</w:t>
      </w:r>
    </w:p>
    <w:p w14:paraId="795DBB68">
      <w:pPr>
        <w:keepNext w:val="0"/>
        <w:keepLines w:val="0"/>
        <w:pageBreakBefore w:val="0"/>
        <w:kinsoku/>
        <w:wordWrap/>
        <w:overflowPunct/>
        <w:topLinePunct w:val="0"/>
        <w:bidi w:val="0"/>
        <w:adjustRightInd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4.2</w:t>
      </w:r>
      <w:r>
        <w:rPr>
          <w:rFonts w:hint="eastAsia" w:ascii="宋体" w:hAnsi="宋体" w:cs="宋体"/>
          <w:b/>
          <w:bCs/>
          <w:color w:val="auto"/>
          <w:sz w:val="24"/>
          <w:highlight w:val="none"/>
        </w:rPr>
        <w:t>乙方权利义务</w:t>
      </w:r>
    </w:p>
    <w:p w14:paraId="2E8C01C6">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4.2.1乙方在提供服务过程中保证根据本协议约定的时间、内容及要求按时完成服务内容。</w:t>
      </w:r>
    </w:p>
    <w:p w14:paraId="59E325CF">
      <w:pPr>
        <w:pStyle w:val="15"/>
        <w:keepNext w:val="0"/>
        <w:keepLines w:val="0"/>
        <w:pageBreakBefore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仿宋"/>
          <w:color w:val="auto"/>
          <w:sz w:val="24"/>
          <w:highlight w:val="none"/>
        </w:rPr>
        <w:t>4.2.2</w:t>
      </w:r>
      <w:r>
        <w:rPr>
          <w:rFonts w:hint="eastAsia" w:ascii="宋体" w:hAnsi="宋体" w:cs="宋体"/>
          <w:color w:val="auto"/>
          <w:sz w:val="24"/>
          <w:highlight w:val="none"/>
        </w:rPr>
        <w:t>乙方保证本协议约定的乐队准时、准点参加此次演出活动，且做好接待对接和协调工作，因乙方原因导致乐队无法按时参加活动的，相关责任均由乙方承担。</w:t>
      </w:r>
    </w:p>
    <w:p w14:paraId="23F77451">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4.2.3乙方有权依据合同约定和项目需要，向甲方了解有关情况，调阅有关资料等，甲方应予积极配合；</w:t>
      </w:r>
    </w:p>
    <w:p w14:paraId="6BB314B1">
      <w:pPr>
        <w:keepNext w:val="0"/>
        <w:keepLines w:val="0"/>
        <w:pageBreakBefore w:val="0"/>
        <w:kinsoku/>
        <w:wordWrap/>
        <w:overflowPunct/>
        <w:topLinePunct w:val="0"/>
        <w:bidi w:val="0"/>
        <w:spacing w:line="400" w:lineRule="exact"/>
        <w:ind w:firstLine="480" w:firstLineChars="200"/>
        <w:textAlignment w:val="auto"/>
        <w:rPr>
          <w:rFonts w:ascii="宋体" w:hAnsi="宋体" w:cs="仿宋"/>
          <w:b/>
          <w:color w:val="auto"/>
          <w:sz w:val="24"/>
          <w:highlight w:val="none"/>
        </w:rPr>
      </w:pPr>
      <w:r>
        <w:rPr>
          <w:rFonts w:hint="eastAsia" w:ascii="宋体" w:hAnsi="宋体" w:cs="仿宋"/>
          <w:color w:val="auto"/>
          <w:sz w:val="24"/>
          <w:highlight w:val="none"/>
        </w:rPr>
        <w:t>4.2.4在履行合同时，乙方服务人员及设备的相关风险均由乙方自行承担。</w:t>
      </w:r>
    </w:p>
    <w:p w14:paraId="1DA149AF">
      <w:pPr>
        <w:keepNext w:val="0"/>
        <w:keepLines w:val="0"/>
        <w:pageBreakBefore w:val="0"/>
        <w:kinsoku/>
        <w:wordWrap/>
        <w:overflowPunct/>
        <w:topLinePunct w:val="0"/>
        <w:bidi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5、违约责任</w:t>
      </w:r>
    </w:p>
    <w:p w14:paraId="59B0AFEF">
      <w:pPr>
        <w:keepNext w:val="0"/>
        <w:keepLines w:val="0"/>
        <w:pageBreakBefore w:val="0"/>
        <w:kinsoku/>
        <w:wordWrap/>
        <w:overflowPunct/>
        <w:topLinePunct w:val="0"/>
        <w:bidi w:val="0"/>
        <w:spacing w:line="400" w:lineRule="exact"/>
        <w:ind w:firstLine="480" w:firstLineChars="200"/>
        <w:textAlignment w:val="auto"/>
        <w:outlineLvl w:val="0"/>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rPr>
        <w:t>5.1 除不可抗力外，如果乙方拒绝履行合同，或没有按照本合同约定的期限、标准和要求完成服务，那么甲方可要求乙方支付所产生的相关费用及损失（指甲方为履行本合同已发生的费用及延期履行所产生的额外费用，包括但不限于物料费、人工费、差旅费、税金等一切费用）由乙方承担，甲方并有权要求解除合同。</w:t>
      </w:r>
      <w:r>
        <w:rPr>
          <w:rFonts w:hint="eastAsia" w:ascii="宋体" w:hAnsi="宋体" w:cs="仿宋"/>
          <w:color w:val="auto"/>
          <w:sz w:val="24"/>
          <w:highlight w:val="none"/>
          <w:lang w:val="en-US" w:eastAsia="zh-CN"/>
        </w:rPr>
        <w:t>甲方因非不可抗力取消或延期本次活动，</w:t>
      </w:r>
      <w:r>
        <w:rPr>
          <w:rFonts w:hint="eastAsia" w:ascii="宋体" w:hAnsi="宋体" w:cs="仿宋"/>
          <w:color w:val="auto"/>
          <w:sz w:val="24"/>
          <w:highlight w:val="none"/>
        </w:rPr>
        <w:t>所产生的相关费用及损失（指乙方为履行本合同已发生的费用及延期履行所产生的额外费用，包括但不限于物料费、人工费、差旅费、税金等一切费用）由甲方承担。未执行部分不予支付（包括但不限于活动舞台搭建、</w:t>
      </w:r>
      <w:r>
        <w:rPr>
          <w:rFonts w:hint="eastAsia" w:ascii="宋体" w:hAnsi="宋体" w:cs="仿宋"/>
          <w:color w:val="auto"/>
          <w:sz w:val="24"/>
          <w:highlight w:val="none"/>
          <w:lang w:val="en-US" w:eastAsia="zh-CN"/>
        </w:rPr>
        <w:t>广告制作费、物料费、人工费</w:t>
      </w:r>
      <w:r>
        <w:rPr>
          <w:rFonts w:hint="eastAsia" w:ascii="宋体" w:hAnsi="宋体" w:cs="仿宋"/>
          <w:color w:val="auto"/>
          <w:sz w:val="24"/>
          <w:highlight w:val="none"/>
        </w:rPr>
        <w:t>等</w:t>
      </w:r>
      <w:r>
        <w:rPr>
          <w:rFonts w:hint="eastAsia" w:ascii="宋体" w:hAnsi="宋体" w:cs="仿宋"/>
          <w:color w:val="auto"/>
          <w:sz w:val="24"/>
          <w:highlight w:val="none"/>
          <w:lang w:val="en-US" w:eastAsia="zh-CN"/>
        </w:rPr>
        <w:t>费用</w:t>
      </w:r>
      <w:r>
        <w:rPr>
          <w:rFonts w:hint="eastAsia" w:ascii="宋体" w:hAnsi="宋体" w:cs="仿宋"/>
          <w:color w:val="auto"/>
          <w:sz w:val="24"/>
          <w:highlight w:val="none"/>
        </w:rPr>
        <w:t>）</w:t>
      </w:r>
      <w:r>
        <w:rPr>
          <w:rFonts w:hint="eastAsia" w:ascii="宋体" w:hAnsi="宋体" w:cs="仿宋"/>
          <w:color w:val="auto"/>
          <w:sz w:val="24"/>
          <w:highlight w:val="none"/>
          <w:lang w:eastAsia="zh-CN"/>
        </w:rPr>
        <w:t>。</w:t>
      </w:r>
    </w:p>
    <w:p w14:paraId="4D6C265E">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5.2 除不可抗力外，如果甲方没有按照本合同约定的付款方式付款，那么乙方可要求甲方支付违约金，违约金按每迟延付款一日的应付而未付款的</w:t>
      </w:r>
      <w:r>
        <w:rPr>
          <w:rFonts w:hint="eastAsia" w:ascii="宋体" w:hAnsi="宋体" w:cs="仿宋"/>
          <w:color w:val="auto"/>
          <w:sz w:val="24"/>
          <w:highlight w:val="none"/>
          <w:u w:val="single"/>
        </w:rPr>
        <w:t xml:space="preserve">  0.05  </w:t>
      </w:r>
      <w:r>
        <w:rPr>
          <w:rFonts w:hint="eastAsia" w:ascii="宋体" w:hAnsi="宋体" w:cs="仿宋"/>
          <w:color w:val="auto"/>
          <w:sz w:val="24"/>
          <w:highlight w:val="none"/>
        </w:rPr>
        <w:t>%计算，最高限额为本合同总价的</w:t>
      </w:r>
      <w:r>
        <w:rPr>
          <w:rFonts w:hint="eastAsia" w:ascii="宋体" w:hAnsi="宋体" w:cs="仿宋"/>
          <w:color w:val="auto"/>
          <w:sz w:val="24"/>
          <w:highlight w:val="none"/>
          <w:u w:val="single"/>
        </w:rPr>
        <w:t xml:space="preserve">  10  </w:t>
      </w:r>
      <w:r>
        <w:rPr>
          <w:rFonts w:hint="eastAsia" w:ascii="宋体" w:hAnsi="宋体" w:cs="仿宋"/>
          <w:color w:val="auto"/>
          <w:sz w:val="24"/>
          <w:highlight w:val="none"/>
        </w:rPr>
        <w:t>%；迟延付款的违约金计算数额达到前述最高限额之日起，乙方有权在要求甲方支付违约金的同时，书面通知甲方解除本合同；</w:t>
      </w:r>
    </w:p>
    <w:p w14:paraId="3D0C2926">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CDC6C5">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0585BB">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834005">
      <w:pPr>
        <w:keepNext w:val="0"/>
        <w:keepLines w:val="0"/>
        <w:pageBreakBefore w:val="0"/>
        <w:kinsoku/>
        <w:wordWrap/>
        <w:overflowPunct/>
        <w:topLinePunct w:val="0"/>
        <w:bidi w:val="0"/>
        <w:spacing w:line="400" w:lineRule="exact"/>
        <w:ind w:firstLine="480" w:firstLineChars="200"/>
        <w:textAlignment w:val="auto"/>
        <w:rPr>
          <w:rFonts w:hint="eastAsia" w:ascii="宋体" w:hAnsi="宋体" w:cs="仿宋"/>
          <w:color w:val="auto"/>
          <w:sz w:val="24"/>
          <w:highlight w:val="none"/>
          <w:lang w:eastAsia="zh-CN"/>
        </w:rPr>
      </w:pPr>
      <w:r>
        <w:rPr>
          <w:rFonts w:hint="eastAsia" w:ascii="宋体" w:hAnsi="宋体" w:cs="仿宋"/>
          <w:color w:val="auto"/>
          <w:sz w:val="24"/>
          <w:highlight w:val="none"/>
        </w:rPr>
        <w:t>5.6 如果出现政府采购监督管理部门在处理投诉事项期间，书面通知甲方暂停采购活动的情形，或者询问或质疑事项可能影响中标结果的，导致甲方中止履行合同的情形，均不视为甲方违约</w:t>
      </w:r>
      <w:r>
        <w:rPr>
          <w:rFonts w:hint="eastAsia" w:ascii="宋体" w:hAnsi="宋体" w:cs="仿宋"/>
          <w:color w:val="auto"/>
          <w:sz w:val="24"/>
          <w:highlight w:val="none"/>
          <w:lang w:eastAsia="zh-CN"/>
        </w:rPr>
        <w:t>。</w:t>
      </w:r>
    </w:p>
    <w:p w14:paraId="69C95B9E">
      <w:pPr>
        <w:pStyle w:val="33"/>
        <w:keepNext w:val="0"/>
        <w:keepLines w:val="0"/>
        <w:pageBreakBefore w:val="0"/>
        <w:kinsoku/>
        <w:wordWrap/>
        <w:overflowPunct/>
        <w:topLinePunct w:val="0"/>
        <w:bidi w:val="0"/>
        <w:spacing w:line="400" w:lineRule="exact"/>
        <w:textAlignment w:val="auto"/>
        <w:rPr>
          <w:rFonts w:hint="eastAsia"/>
          <w:color w:val="auto"/>
          <w:highlight w:val="none"/>
          <w:lang w:val="en-US" w:eastAsia="zh-CN"/>
        </w:rPr>
      </w:pPr>
      <w:r>
        <w:rPr>
          <w:rFonts w:hint="default" w:ascii="宋体" w:hAnsi="宋体" w:eastAsia="宋体" w:cs="仿宋"/>
          <w:color w:val="auto"/>
          <w:kern w:val="2"/>
          <w:sz w:val="24"/>
          <w:szCs w:val="24"/>
          <w:highlight w:val="none"/>
          <w:lang w:eastAsia="zh-CN" w:bidi="ar-SA"/>
        </w:rPr>
        <w:t>5.7</w:t>
      </w:r>
      <w:r>
        <w:rPr>
          <w:rFonts w:hint="eastAsia" w:ascii="宋体" w:hAnsi="宋体" w:eastAsia="宋体" w:cs="仿宋"/>
          <w:color w:val="auto"/>
          <w:kern w:val="2"/>
          <w:sz w:val="24"/>
          <w:szCs w:val="24"/>
          <w:highlight w:val="none"/>
          <w:lang w:val="en-US" w:eastAsia="zh-CN" w:bidi="ar-SA"/>
        </w:rPr>
        <w:t>违约方除承担上述约定的违约责任外，还应承担守约方</w:t>
      </w:r>
      <w:r>
        <w:rPr>
          <w:rFonts w:hint="eastAsia" w:ascii="宋体" w:hAnsi="宋体" w:eastAsia="宋体" w:cs="仿宋"/>
          <w:color w:val="auto"/>
          <w:kern w:val="2"/>
          <w:sz w:val="24"/>
          <w:szCs w:val="24"/>
          <w:highlight w:val="none"/>
          <w:lang w:val="en-US" w:eastAsia="zh-Hans" w:bidi="ar-SA"/>
        </w:rPr>
        <w:t>为主张权利</w:t>
      </w:r>
      <w:r>
        <w:rPr>
          <w:rFonts w:hint="eastAsia" w:ascii="宋体" w:hAnsi="宋体" w:eastAsia="宋体" w:cs="仿宋"/>
          <w:color w:val="auto"/>
          <w:kern w:val="2"/>
          <w:sz w:val="24"/>
          <w:szCs w:val="24"/>
          <w:highlight w:val="none"/>
          <w:lang w:val="en-US" w:eastAsia="zh-CN" w:bidi="ar-SA"/>
        </w:rPr>
        <w:t>而</w:t>
      </w:r>
      <w:r>
        <w:rPr>
          <w:rFonts w:hint="eastAsia" w:ascii="宋体" w:hAnsi="宋体" w:eastAsia="宋体" w:cs="仿宋"/>
          <w:color w:val="auto"/>
          <w:kern w:val="2"/>
          <w:sz w:val="24"/>
          <w:szCs w:val="24"/>
          <w:highlight w:val="none"/>
          <w:lang w:val="en-US" w:eastAsia="zh-Hans" w:bidi="ar-SA"/>
        </w:rPr>
        <w:t>支付的包括但不限于诉讼费、保全费、</w:t>
      </w:r>
      <w:r>
        <w:rPr>
          <w:rFonts w:hint="eastAsia" w:ascii="宋体" w:hAnsi="宋体" w:eastAsia="宋体" w:cs="仿宋"/>
          <w:color w:val="auto"/>
          <w:kern w:val="2"/>
          <w:sz w:val="24"/>
          <w:szCs w:val="24"/>
          <w:highlight w:val="none"/>
          <w:lang w:val="en-US" w:eastAsia="zh-CN" w:bidi="ar-SA"/>
        </w:rPr>
        <w:t>保全担保费或保全保险费</w:t>
      </w:r>
      <w:r>
        <w:rPr>
          <w:rFonts w:hint="eastAsia" w:ascii="宋体" w:hAnsi="宋体" w:eastAsia="宋体" w:cs="仿宋"/>
          <w:color w:val="auto"/>
          <w:kern w:val="2"/>
          <w:sz w:val="24"/>
          <w:szCs w:val="24"/>
          <w:highlight w:val="none"/>
          <w:lang w:val="en-US" w:eastAsia="zh-Hans" w:bidi="ar-SA"/>
        </w:rPr>
        <w:t>、公证费、鉴定费、</w:t>
      </w:r>
      <w:r>
        <w:rPr>
          <w:rFonts w:hint="eastAsia" w:ascii="宋体" w:hAnsi="宋体" w:eastAsia="宋体" w:cs="仿宋"/>
          <w:color w:val="auto"/>
          <w:kern w:val="2"/>
          <w:sz w:val="24"/>
          <w:szCs w:val="24"/>
          <w:highlight w:val="none"/>
          <w:lang w:val="en-US" w:eastAsia="zh-CN" w:bidi="ar-SA"/>
        </w:rPr>
        <w:t>律师费、差旅费等</w:t>
      </w:r>
      <w:r>
        <w:rPr>
          <w:rFonts w:hint="eastAsia" w:ascii="宋体" w:hAnsi="宋体" w:eastAsia="宋体" w:cs="仿宋"/>
          <w:color w:val="auto"/>
          <w:kern w:val="2"/>
          <w:sz w:val="24"/>
          <w:szCs w:val="24"/>
          <w:highlight w:val="none"/>
          <w:lang w:val="en-US" w:eastAsia="zh-Hans" w:bidi="ar-SA"/>
        </w:rPr>
        <w:t>合理</w:t>
      </w:r>
      <w:r>
        <w:rPr>
          <w:rFonts w:hint="eastAsia" w:ascii="宋体" w:hAnsi="宋体" w:eastAsia="宋体" w:cs="仿宋"/>
          <w:color w:val="auto"/>
          <w:kern w:val="2"/>
          <w:sz w:val="24"/>
          <w:szCs w:val="24"/>
          <w:highlight w:val="none"/>
          <w:lang w:val="en-US" w:eastAsia="zh-CN" w:bidi="ar-SA"/>
        </w:rPr>
        <w:t>费用。</w:t>
      </w:r>
    </w:p>
    <w:p w14:paraId="7F6F7DCB">
      <w:pPr>
        <w:keepNext w:val="0"/>
        <w:keepLines w:val="0"/>
        <w:pageBreakBefore w:val="0"/>
        <w:kinsoku/>
        <w:wordWrap/>
        <w:overflowPunct/>
        <w:topLinePunct w:val="0"/>
        <w:bidi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6、不可抗力</w:t>
      </w:r>
    </w:p>
    <w:p w14:paraId="0C198F66">
      <w:pPr>
        <w:keepNext w:val="0"/>
        <w:keepLines w:val="0"/>
        <w:pageBreakBefore w:val="0"/>
        <w:kinsoku/>
        <w:wordWrap/>
        <w:overflowPunct/>
        <w:topLinePunct w:val="0"/>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6.1如果任何一方遭遇法律规定的不可抗力，致使合同履行受阻时，履行合同的期限应予延长，甲乙双方一致同意将演出延期至自此次合同约定的演出之日起三个月内所签约的艺人可提供演出的时间履行，延期履行后甲方仍应按本合同约定的价格标准向乙方支付价款。</w:t>
      </w:r>
    </w:p>
    <w:p w14:paraId="3004082F">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6.2 因不可抗力致使不能实现合同目的的，当事人可以解除合同；</w:t>
      </w:r>
    </w:p>
    <w:p w14:paraId="64967A74">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6.3 因不可抗力致使合同有变更必要的，双方当事人应在不可抗力发生后</w:t>
      </w:r>
      <w:r>
        <w:rPr>
          <w:rFonts w:hint="eastAsia" w:ascii="宋体" w:hAnsi="宋体" w:cs="仿宋"/>
          <w:color w:val="auto"/>
          <w:sz w:val="24"/>
          <w:highlight w:val="none"/>
          <w:u w:val="single"/>
        </w:rPr>
        <w:t xml:space="preserve"> 10 </w:t>
      </w:r>
      <w:r>
        <w:rPr>
          <w:rFonts w:hint="eastAsia" w:ascii="宋体" w:hAnsi="宋体" w:cs="仿宋"/>
          <w:color w:val="auto"/>
          <w:sz w:val="24"/>
          <w:highlight w:val="none"/>
        </w:rPr>
        <w:t>日内以书面形式变更合同；</w:t>
      </w:r>
    </w:p>
    <w:p w14:paraId="226EE79E">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6.4受不可抗力影响的一方在不可抗力发生后，应在</w:t>
      </w:r>
      <w:r>
        <w:rPr>
          <w:rFonts w:hint="eastAsia" w:ascii="宋体" w:hAnsi="宋体" w:cs="仿宋"/>
          <w:color w:val="auto"/>
          <w:sz w:val="24"/>
          <w:highlight w:val="none"/>
          <w:u w:val="single"/>
        </w:rPr>
        <w:t xml:space="preserve">  5  </w:t>
      </w:r>
      <w:r>
        <w:rPr>
          <w:rFonts w:hint="eastAsia" w:ascii="宋体" w:hAnsi="宋体" w:cs="仿宋"/>
          <w:color w:val="auto"/>
          <w:sz w:val="24"/>
          <w:highlight w:val="none"/>
        </w:rPr>
        <w:t>日内以书面形式通知对方当事人，并在</w:t>
      </w:r>
      <w:r>
        <w:rPr>
          <w:rFonts w:hint="eastAsia" w:ascii="宋体" w:hAnsi="宋体" w:cs="仿宋"/>
          <w:color w:val="auto"/>
          <w:sz w:val="24"/>
          <w:highlight w:val="none"/>
          <w:u w:val="single"/>
        </w:rPr>
        <w:t xml:space="preserve">  15  </w:t>
      </w:r>
      <w:r>
        <w:rPr>
          <w:rFonts w:hint="eastAsia" w:ascii="宋体" w:hAnsi="宋体" w:cs="仿宋"/>
          <w:color w:val="auto"/>
          <w:sz w:val="24"/>
          <w:highlight w:val="none"/>
        </w:rPr>
        <w:t>日内，将有关部门出具的证明文件送达对方当事人。</w:t>
      </w:r>
    </w:p>
    <w:p w14:paraId="5D9CD12A">
      <w:pPr>
        <w:keepNext w:val="0"/>
        <w:keepLines w:val="0"/>
        <w:pageBreakBefore w:val="0"/>
        <w:kinsoku/>
        <w:wordWrap/>
        <w:overflowPunct/>
        <w:topLinePunct w:val="0"/>
        <w:bidi w:val="0"/>
        <w:spacing w:line="400" w:lineRule="exact"/>
        <w:ind w:firstLine="480" w:firstLineChars="200"/>
        <w:textAlignment w:val="auto"/>
        <w:outlineLvl w:val="0"/>
        <w:rPr>
          <w:rFonts w:ascii="宋体" w:hAnsi="宋体" w:cs="仿宋"/>
          <w:b/>
          <w:color w:val="auto"/>
          <w:sz w:val="24"/>
          <w:highlight w:val="none"/>
        </w:rPr>
      </w:pPr>
      <w:r>
        <w:rPr>
          <w:rFonts w:hint="eastAsia" w:ascii="宋体" w:hAnsi="宋体" w:cs="仿宋"/>
          <w:color w:val="auto"/>
          <w:sz w:val="24"/>
          <w:highlight w:val="none"/>
        </w:rPr>
        <w:t>6.5因不可抗力致使项目延期或取消，所产生的相关费用及损失（指乙方为履行本合同已发生的费用及延期履行所产生的额外费用，包括但不限于物料费、差旅费等）由甲方承担。</w:t>
      </w:r>
    </w:p>
    <w:p w14:paraId="749784BD">
      <w:pPr>
        <w:keepNext w:val="0"/>
        <w:keepLines w:val="0"/>
        <w:pageBreakBefore w:val="0"/>
        <w:kinsoku/>
        <w:wordWrap/>
        <w:overflowPunct/>
        <w:topLinePunct w:val="0"/>
        <w:bidi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7、合同变更</w:t>
      </w:r>
    </w:p>
    <w:p w14:paraId="1707FD3E">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E50337B">
      <w:pPr>
        <w:keepNext w:val="0"/>
        <w:keepLines w:val="0"/>
        <w:pageBreakBefore w:val="0"/>
        <w:kinsoku/>
        <w:wordWrap/>
        <w:overflowPunct/>
        <w:topLinePunct w:val="0"/>
        <w:bidi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8、合同转让和分包</w:t>
      </w:r>
    </w:p>
    <w:p w14:paraId="500EE572">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E47032">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8.2乙方采取分包方式履行合同的，由乙方向分包供应商支付款项，但不得因分包影响履行合同义务。</w:t>
      </w:r>
    </w:p>
    <w:p w14:paraId="56D3E558">
      <w:pPr>
        <w:keepNext w:val="0"/>
        <w:keepLines w:val="0"/>
        <w:pageBreakBefore w:val="0"/>
        <w:kinsoku/>
        <w:wordWrap/>
        <w:overflowPunct/>
        <w:topLinePunct w:val="0"/>
        <w:bidi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9、税费</w:t>
      </w:r>
    </w:p>
    <w:p w14:paraId="44A936A9">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与合同有关的一切税费，均按照中华人民共和国法律的相关规定。</w:t>
      </w:r>
    </w:p>
    <w:p w14:paraId="009695FD">
      <w:pPr>
        <w:keepNext w:val="0"/>
        <w:keepLines w:val="0"/>
        <w:pageBreakBefore w:val="0"/>
        <w:kinsoku/>
        <w:wordWrap/>
        <w:overflowPunct/>
        <w:topLinePunct w:val="0"/>
        <w:bidi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10、合同争议的解决</w:t>
      </w:r>
    </w:p>
    <w:p w14:paraId="283035FC">
      <w:pPr>
        <w:keepNext w:val="0"/>
        <w:keepLines w:val="0"/>
        <w:pageBreakBefore w:val="0"/>
        <w:kinsoku/>
        <w:wordWrap/>
        <w:overflowPunct/>
        <w:topLinePunct w:val="0"/>
        <w:bidi w:val="0"/>
        <w:adjustRightInd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本合同履行过程中发生的任何争议，双方当事人均可通过和解或者调解解决；不愿和解、调解或者和解、调解不成的，可以向宁波市奉化区人民法院提起诉讼。</w:t>
      </w:r>
    </w:p>
    <w:p w14:paraId="33F76BB6">
      <w:pPr>
        <w:keepNext w:val="0"/>
        <w:keepLines w:val="0"/>
        <w:pageBreakBefore w:val="0"/>
        <w:kinsoku/>
        <w:wordWrap/>
        <w:overflowPunct/>
        <w:topLinePunct w:val="0"/>
        <w:bidi w:val="0"/>
        <w:spacing w:line="400" w:lineRule="exact"/>
        <w:ind w:firstLine="482" w:firstLineChars="200"/>
        <w:textAlignment w:val="auto"/>
        <w:outlineLvl w:val="0"/>
        <w:rPr>
          <w:rFonts w:ascii="宋体" w:hAnsi="宋体" w:cs="仿宋"/>
          <w:b/>
          <w:color w:val="auto"/>
          <w:sz w:val="24"/>
          <w:highlight w:val="none"/>
        </w:rPr>
      </w:pPr>
      <w:r>
        <w:rPr>
          <w:rFonts w:hint="eastAsia" w:ascii="宋体" w:hAnsi="宋体" w:cs="仿宋"/>
          <w:b/>
          <w:color w:val="auto"/>
          <w:sz w:val="24"/>
          <w:highlight w:val="none"/>
        </w:rPr>
        <w:t>11、合同效力</w:t>
      </w:r>
    </w:p>
    <w:p w14:paraId="5A5FD58F">
      <w:pPr>
        <w:keepNext w:val="0"/>
        <w:keepLines w:val="0"/>
        <w:pageBreakBefore w:val="0"/>
        <w:kinsoku/>
        <w:wordWrap/>
        <w:overflowPunct/>
        <w:topLinePunct w:val="0"/>
        <w:bidi w:val="0"/>
        <w:spacing w:line="400" w:lineRule="exact"/>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本合同一式四份，甲乙双方各两份，每份均具有同等法律效力。本合同自双方当事人签字并盖章时生效。</w:t>
      </w:r>
    </w:p>
    <w:p w14:paraId="428D0D96">
      <w:pPr>
        <w:keepNext w:val="0"/>
        <w:keepLines w:val="0"/>
        <w:pageBreakBefore w:val="0"/>
        <w:kinsoku/>
        <w:wordWrap/>
        <w:overflowPunct/>
        <w:topLinePunct w:val="0"/>
        <w:autoSpaceDE w:val="0"/>
        <w:autoSpaceDN w:val="0"/>
        <w:bidi w:val="0"/>
        <w:spacing w:line="400" w:lineRule="exact"/>
        <w:textAlignment w:val="auto"/>
        <w:rPr>
          <w:rFonts w:ascii="宋体" w:hAnsi="宋体" w:cs="仿宋"/>
          <w:b/>
          <w:color w:val="auto"/>
          <w:sz w:val="24"/>
          <w:highlight w:val="none"/>
          <w:lang w:val="zh-CN"/>
        </w:rPr>
      </w:pPr>
    </w:p>
    <w:p w14:paraId="07D89337">
      <w:pPr>
        <w:keepNext w:val="0"/>
        <w:keepLines w:val="0"/>
        <w:pageBreakBefore w:val="0"/>
        <w:kinsoku/>
        <w:wordWrap/>
        <w:overflowPunct/>
        <w:topLinePunct w:val="0"/>
        <w:autoSpaceDE w:val="0"/>
        <w:autoSpaceDN w:val="0"/>
        <w:bidi w:val="0"/>
        <w:spacing w:line="400" w:lineRule="exact"/>
        <w:textAlignment w:val="auto"/>
        <w:rPr>
          <w:rFonts w:ascii="宋体" w:hAnsi="宋体" w:cs="仿宋"/>
          <w:b/>
          <w:color w:val="auto"/>
          <w:sz w:val="24"/>
          <w:highlight w:val="none"/>
          <w:lang w:val="zh-CN"/>
        </w:rPr>
      </w:pPr>
    </w:p>
    <w:p w14:paraId="059CD225">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b/>
          <w:color w:val="auto"/>
          <w:sz w:val="24"/>
          <w:highlight w:val="none"/>
          <w:lang w:val="zh-CN"/>
        </w:rPr>
        <w:t>甲方名称（公章）</w:t>
      </w:r>
      <w:r>
        <w:rPr>
          <w:rFonts w:hint="eastAsia" w:ascii="宋体" w:hAnsi="宋体" w:cs="仿宋"/>
          <w:color w:val="auto"/>
          <w:sz w:val="24"/>
          <w:highlight w:val="none"/>
          <w:lang w:val="zh-CN"/>
        </w:rPr>
        <w:t xml:space="preserve">：                       </w:t>
      </w:r>
      <w:r>
        <w:rPr>
          <w:rFonts w:hint="eastAsia" w:ascii="宋体" w:hAnsi="宋体" w:cs="仿宋"/>
          <w:b/>
          <w:color w:val="auto"/>
          <w:sz w:val="24"/>
          <w:highlight w:val="none"/>
          <w:lang w:val="zh-CN"/>
        </w:rPr>
        <w:t>乙方名称（公章）</w:t>
      </w:r>
      <w:r>
        <w:rPr>
          <w:rFonts w:hint="eastAsia" w:ascii="宋体" w:hAnsi="宋体" w:cs="仿宋"/>
          <w:color w:val="auto"/>
          <w:sz w:val="24"/>
          <w:highlight w:val="none"/>
          <w:lang w:val="zh-CN"/>
        </w:rPr>
        <w:t>：</w:t>
      </w:r>
    </w:p>
    <w:p w14:paraId="09989CC2">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统一社会信用代码：                       统一社会信用代码或身份证号码：</w:t>
      </w:r>
    </w:p>
    <w:p w14:paraId="65FA2ACC">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住所：                                   住所：</w:t>
      </w:r>
    </w:p>
    <w:p w14:paraId="38F816D9">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 xml:space="preserve">法定代表人或授权代表（签字）：       </w:t>
      </w:r>
      <w:r>
        <w:rPr>
          <w:rFonts w:hint="eastAsia" w:ascii="宋体" w:hAnsi="宋体" w:cs="仿宋"/>
          <w:color w:val="auto"/>
          <w:sz w:val="24"/>
          <w:highlight w:val="none"/>
        </w:rPr>
        <w:t xml:space="preserve">   </w:t>
      </w:r>
      <w:r>
        <w:rPr>
          <w:rFonts w:hint="eastAsia" w:ascii="宋体" w:hAnsi="宋体" w:cs="仿宋"/>
          <w:color w:val="auto"/>
          <w:sz w:val="24"/>
          <w:highlight w:val="none"/>
          <w:lang w:val="zh-CN"/>
        </w:rPr>
        <w:t xml:space="preserve"> 法定代表人或授权代表（签字）: </w:t>
      </w:r>
    </w:p>
    <w:p w14:paraId="4E28D61C">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联系人：                                 联系人：</w:t>
      </w:r>
    </w:p>
    <w:p w14:paraId="7D741088">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约定送达地址：                           约定送达地址：</w:t>
      </w:r>
    </w:p>
    <w:p w14:paraId="276B4115">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邮政编码：                               邮政编码：</w:t>
      </w:r>
    </w:p>
    <w:p w14:paraId="1072DD18">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 xml:space="preserve">电话:                                    电话: </w:t>
      </w:r>
    </w:p>
    <w:p w14:paraId="20B5518A">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rPr>
      </w:pPr>
      <w:r>
        <w:rPr>
          <w:rFonts w:hint="eastAsia" w:ascii="宋体" w:hAnsi="宋体" w:cs="仿宋"/>
          <w:color w:val="auto"/>
          <w:sz w:val="24"/>
          <w:highlight w:val="none"/>
          <w:lang w:val="zh-CN"/>
        </w:rPr>
        <w:t>传真:                                    传真:</w:t>
      </w:r>
    </w:p>
    <w:p w14:paraId="1F695FA3">
      <w:pPr>
        <w:pStyle w:val="33"/>
        <w:keepNext w:val="0"/>
        <w:keepLines w:val="0"/>
        <w:pageBreakBefore w:val="0"/>
        <w:kinsoku/>
        <w:wordWrap/>
        <w:overflowPunct/>
        <w:topLinePunct w:val="0"/>
        <w:bidi w:val="0"/>
        <w:spacing w:line="400" w:lineRule="exact"/>
        <w:ind w:firstLine="0" w:firstLineChars="0"/>
        <w:textAlignment w:val="auto"/>
        <w:rPr>
          <w:rFonts w:ascii="宋体" w:hAnsi="宋体" w:cs="仿宋"/>
          <w:b/>
          <w:bCs/>
          <w:color w:val="auto"/>
          <w:sz w:val="24"/>
          <w:highlight w:val="none"/>
        </w:rPr>
      </w:pPr>
    </w:p>
    <w:p w14:paraId="1B49A766">
      <w:pPr>
        <w:pStyle w:val="33"/>
        <w:keepNext w:val="0"/>
        <w:keepLines w:val="0"/>
        <w:pageBreakBefore w:val="0"/>
        <w:kinsoku/>
        <w:wordWrap/>
        <w:overflowPunct/>
        <w:topLinePunct w:val="0"/>
        <w:bidi w:val="0"/>
        <w:spacing w:line="400" w:lineRule="exact"/>
        <w:ind w:firstLine="0" w:firstLineChars="0"/>
        <w:textAlignment w:val="auto"/>
        <w:rPr>
          <w:rFonts w:ascii="宋体" w:hAnsi="宋体" w:cs="仿宋"/>
          <w:b/>
          <w:bCs/>
          <w:color w:val="auto"/>
          <w:sz w:val="24"/>
          <w:highlight w:val="none"/>
        </w:rPr>
      </w:pPr>
    </w:p>
    <w:p w14:paraId="4AA7E370">
      <w:pPr>
        <w:pStyle w:val="33"/>
        <w:keepNext w:val="0"/>
        <w:keepLines w:val="0"/>
        <w:pageBreakBefore w:val="0"/>
        <w:kinsoku/>
        <w:wordWrap/>
        <w:overflowPunct/>
        <w:topLinePunct w:val="0"/>
        <w:bidi w:val="0"/>
        <w:spacing w:line="400" w:lineRule="exact"/>
        <w:ind w:left="0" w:leftChars="0" w:firstLine="0" w:firstLineChars="0"/>
        <w:textAlignment w:val="auto"/>
        <w:rPr>
          <w:rFonts w:ascii="宋体" w:hAnsi="宋体" w:cs="仿宋"/>
          <w:b/>
          <w:bCs/>
          <w:color w:val="auto"/>
          <w:sz w:val="24"/>
          <w:highlight w:val="none"/>
        </w:rPr>
      </w:pPr>
      <w:r>
        <w:rPr>
          <w:rFonts w:hint="eastAsia" w:ascii="宋体" w:hAnsi="宋体" w:cs="仿宋"/>
          <w:b/>
          <w:bCs/>
          <w:color w:val="auto"/>
          <w:sz w:val="24"/>
          <w:highlight w:val="none"/>
        </w:rPr>
        <w:t>见证人（公章）：</w:t>
      </w:r>
    </w:p>
    <w:p w14:paraId="2A70B501">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rPr>
      </w:pPr>
      <w:r>
        <w:rPr>
          <w:rFonts w:hint="eastAsia" w:ascii="宋体" w:hAnsi="宋体" w:cs="仿宋"/>
          <w:color w:val="auto"/>
          <w:sz w:val="24"/>
          <w:highlight w:val="none"/>
        </w:rPr>
        <w:t xml:space="preserve">住所：                             </w:t>
      </w:r>
    </w:p>
    <w:p w14:paraId="716CEC0F">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rPr>
      </w:pPr>
      <w:r>
        <w:rPr>
          <w:rFonts w:hint="eastAsia" w:ascii="宋体" w:hAnsi="宋体" w:cs="仿宋"/>
          <w:color w:val="auto"/>
          <w:sz w:val="24"/>
          <w:highlight w:val="none"/>
        </w:rPr>
        <w:t xml:space="preserve">法定代表人或授权代表（签字）：        </w:t>
      </w:r>
    </w:p>
    <w:p w14:paraId="02B12DC6">
      <w:pPr>
        <w:keepNext w:val="0"/>
        <w:keepLines w:val="0"/>
        <w:pageBreakBefore w:val="0"/>
        <w:kinsoku/>
        <w:wordWrap/>
        <w:overflowPunct/>
        <w:topLinePunct w:val="0"/>
        <w:autoSpaceDE w:val="0"/>
        <w:autoSpaceDN w:val="0"/>
        <w:bidi w:val="0"/>
        <w:spacing w:line="400" w:lineRule="exact"/>
        <w:textAlignment w:val="auto"/>
        <w:rPr>
          <w:rFonts w:ascii="宋体" w:hAnsi="宋体" w:cs="仿宋"/>
          <w:color w:val="auto"/>
          <w:sz w:val="24"/>
          <w:highlight w:val="none"/>
        </w:rPr>
      </w:pPr>
      <w:r>
        <w:rPr>
          <w:rFonts w:hint="eastAsia" w:ascii="宋体" w:hAnsi="宋体" w:cs="仿宋"/>
          <w:color w:val="auto"/>
          <w:sz w:val="24"/>
          <w:highlight w:val="none"/>
        </w:rPr>
        <w:t xml:space="preserve">联系人：                                                                  </w:t>
      </w:r>
    </w:p>
    <w:p w14:paraId="5BE081DB">
      <w:pPr>
        <w:keepNext w:val="0"/>
        <w:keepLines w:val="0"/>
        <w:pageBreakBefore w:val="0"/>
        <w:kinsoku/>
        <w:wordWrap/>
        <w:overflowPunct/>
        <w:topLinePunct w:val="0"/>
        <w:bidi w:val="0"/>
        <w:spacing w:line="400" w:lineRule="exact"/>
        <w:textAlignment w:val="auto"/>
        <w:rPr>
          <w:rFonts w:ascii="宋体" w:hAnsi="宋体" w:cs="宋体"/>
          <w:b/>
          <w:color w:val="auto"/>
          <w:sz w:val="28"/>
          <w:szCs w:val="28"/>
          <w:highlight w:val="none"/>
        </w:rPr>
      </w:pPr>
      <w:r>
        <w:rPr>
          <w:rFonts w:hint="eastAsia" w:ascii="宋体" w:hAnsi="宋体" w:cs="仿宋"/>
          <w:color w:val="auto"/>
          <w:sz w:val="24"/>
          <w:highlight w:val="none"/>
        </w:rPr>
        <w:t xml:space="preserve">电话: </w:t>
      </w:r>
      <w:r>
        <w:rPr>
          <w:rFonts w:hint="eastAsia" w:ascii="宋体" w:hAnsi="宋体" w:cs="仿宋"/>
          <w:color w:val="auto"/>
          <w:sz w:val="24"/>
          <w:highlight w:val="none"/>
          <w:lang w:val="zh-CN"/>
        </w:rPr>
        <w:t xml:space="preserve">                  </w:t>
      </w:r>
    </w:p>
    <w:p w14:paraId="229E94E3">
      <w:pPr>
        <w:rPr>
          <w:color w:val="auto"/>
          <w:highlight w:val="none"/>
        </w:rPr>
      </w:pPr>
    </w:p>
    <w:p w14:paraId="3B58EC9E">
      <w:pPr>
        <w:pStyle w:val="23"/>
        <w:rPr>
          <w:color w:val="auto"/>
          <w:highlight w:val="none"/>
        </w:rPr>
      </w:pPr>
    </w:p>
    <w:p w14:paraId="0A57A7B5">
      <w:pPr>
        <w:rPr>
          <w:color w:val="auto"/>
          <w:highlight w:val="none"/>
        </w:rPr>
      </w:pPr>
    </w:p>
    <w:p w14:paraId="41295BE1">
      <w:pPr>
        <w:pStyle w:val="33"/>
        <w:rPr>
          <w:color w:val="auto"/>
          <w:highlight w:val="none"/>
        </w:rPr>
      </w:pPr>
    </w:p>
    <w:p w14:paraId="7102108A">
      <w:pPr>
        <w:pStyle w:val="33"/>
        <w:rPr>
          <w:color w:val="auto"/>
          <w:highlight w:val="none"/>
        </w:rPr>
      </w:pPr>
    </w:p>
    <w:p w14:paraId="018B23A5">
      <w:pPr>
        <w:pStyle w:val="33"/>
        <w:rPr>
          <w:color w:val="auto"/>
          <w:highlight w:val="none"/>
        </w:rPr>
      </w:pPr>
    </w:p>
    <w:p w14:paraId="0FBE242D">
      <w:pPr>
        <w:pStyle w:val="33"/>
        <w:rPr>
          <w:color w:val="auto"/>
          <w:highlight w:val="none"/>
        </w:rPr>
      </w:pPr>
    </w:p>
    <w:p w14:paraId="4F89A5EC">
      <w:pPr>
        <w:pStyle w:val="33"/>
        <w:rPr>
          <w:color w:val="auto"/>
          <w:highlight w:val="none"/>
        </w:rPr>
      </w:pPr>
    </w:p>
    <w:p w14:paraId="59A5CB57">
      <w:pPr>
        <w:pStyle w:val="33"/>
        <w:rPr>
          <w:color w:val="auto"/>
          <w:highlight w:val="none"/>
        </w:rPr>
      </w:pPr>
    </w:p>
    <w:p w14:paraId="50D121DA">
      <w:pPr>
        <w:pStyle w:val="33"/>
        <w:rPr>
          <w:color w:val="auto"/>
          <w:highlight w:val="none"/>
        </w:rPr>
      </w:pPr>
    </w:p>
    <w:p w14:paraId="03F53B9D">
      <w:pPr>
        <w:pStyle w:val="33"/>
        <w:rPr>
          <w:color w:val="auto"/>
          <w:highlight w:val="none"/>
        </w:rPr>
      </w:pPr>
    </w:p>
    <w:p w14:paraId="11E2FA86">
      <w:pPr>
        <w:pStyle w:val="33"/>
        <w:rPr>
          <w:color w:val="auto"/>
          <w:highlight w:val="none"/>
        </w:rPr>
      </w:pPr>
    </w:p>
    <w:p w14:paraId="52853008">
      <w:pPr>
        <w:pStyle w:val="33"/>
        <w:rPr>
          <w:color w:val="auto"/>
          <w:highlight w:val="none"/>
        </w:rPr>
      </w:pPr>
    </w:p>
    <w:p w14:paraId="072E1B0C">
      <w:pPr>
        <w:pStyle w:val="33"/>
        <w:rPr>
          <w:color w:val="auto"/>
          <w:highlight w:val="none"/>
        </w:rPr>
      </w:pPr>
    </w:p>
    <w:p w14:paraId="5A141AA0">
      <w:pPr>
        <w:pStyle w:val="33"/>
        <w:rPr>
          <w:color w:val="auto"/>
          <w:highlight w:val="none"/>
        </w:rPr>
      </w:pPr>
    </w:p>
    <w:p w14:paraId="098A3C07">
      <w:pPr>
        <w:pStyle w:val="33"/>
        <w:rPr>
          <w:color w:val="auto"/>
          <w:highlight w:val="none"/>
        </w:rPr>
      </w:pPr>
    </w:p>
    <w:p w14:paraId="0C05CDD0">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0"/>
      <w:r>
        <w:rPr>
          <w:rFonts w:hint="eastAsia" w:asciiTheme="minorEastAsia" w:hAnsiTheme="minorEastAsia" w:eastAsiaTheme="minorEastAsia" w:cstheme="minorEastAsia"/>
          <w:b/>
          <w:color w:val="auto"/>
          <w:sz w:val="36"/>
          <w:szCs w:val="20"/>
          <w:highlight w:val="none"/>
        </w:rPr>
        <w:t xml:space="preserve"> </w:t>
      </w:r>
      <w:bookmarkEnd w:id="381"/>
      <w:r>
        <w:rPr>
          <w:rFonts w:hint="eastAsia" w:asciiTheme="minorEastAsia" w:hAnsiTheme="minorEastAsia" w:eastAsiaTheme="minorEastAsia" w:cstheme="minorEastAsia"/>
          <w:b/>
          <w:color w:val="auto"/>
          <w:sz w:val="36"/>
          <w:szCs w:val="20"/>
          <w:highlight w:val="none"/>
        </w:rPr>
        <w:t>应提交的有关格式范例</w:t>
      </w:r>
    </w:p>
    <w:p w14:paraId="43A50641">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5B716F5">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79FA68CA">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6F2ACF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93118E2">
      <w:pPr>
        <w:pStyle w:val="33"/>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有效的企业法人营业执照（或事业法人登记证）、其他组织（个体工商户）的营业执照或者民办非企业单位登记证书；</w:t>
      </w:r>
    </w:p>
    <w:p w14:paraId="2E532325">
      <w:pPr>
        <w:pStyle w:val="33"/>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符合参加政府采购活动应当具备的一般条件的承诺函；</w:t>
      </w:r>
    </w:p>
    <w:p w14:paraId="0E5A137F">
      <w:pPr>
        <w:pStyle w:val="33"/>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落实政府采购政策需满足的资格要求（如有）；</w:t>
      </w:r>
    </w:p>
    <w:p w14:paraId="59AD9780">
      <w:pPr>
        <w:pStyle w:val="33"/>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本项目的特定资格要求（如有）；</w:t>
      </w:r>
    </w:p>
    <w:p w14:paraId="659D0BD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0C496A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符合参加采购活动应当具备的一般条件的承诺函</w:t>
      </w:r>
    </w:p>
    <w:p w14:paraId="6C18C952">
      <w:pPr>
        <w:snapToGrid w:val="0"/>
        <w:spacing w:line="360" w:lineRule="auto"/>
        <w:rPr>
          <w:rFonts w:asciiTheme="minorEastAsia" w:hAnsiTheme="minorEastAsia" w:eastAsiaTheme="minorEastAsia" w:cstheme="minorEastAsia"/>
          <w:color w:val="auto"/>
          <w:sz w:val="24"/>
          <w:highlight w:val="none"/>
          <w:u w:val="single"/>
        </w:rPr>
      </w:pPr>
    </w:p>
    <w:p w14:paraId="21DC005D">
      <w:pPr>
        <w:snapToGrid w:val="0"/>
        <w:spacing w:line="360" w:lineRule="auto"/>
        <w:rPr>
          <w:rFonts w:asciiTheme="minorEastAsia" w:hAnsiTheme="minorEastAsia" w:eastAsiaTheme="minorEastAsia" w:cstheme="minorEastAsia"/>
          <w:color w:val="auto"/>
          <w:sz w:val="24"/>
          <w:highlight w:val="none"/>
          <w:u w:val="single"/>
        </w:rPr>
      </w:pPr>
    </w:p>
    <w:p w14:paraId="3D49A3C5">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47F5B13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（项目名称）【项目编号：         】</w:t>
      </w:r>
      <w:r>
        <w:rPr>
          <w:rFonts w:hint="eastAsia" w:asciiTheme="minorEastAsia" w:hAnsiTheme="minorEastAsia" w:eastAsiaTheme="minorEastAsia" w:cstheme="minorEastAsia"/>
          <w:color w:val="auto"/>
          <w:sz w:val="24"/>
          <w:highlight w:val="none"/>
        </w:rPr>
        <w:t>采购活动，郑重承诺：</w:t>
      </w:r>
    </w:p>
    <w:p w14:paraId="6314E7FA">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5ED342D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616528F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4828C4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4E60844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6B9DBA4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0A86553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39D1E6E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4D306E2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47247E6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1.单位负责人为同一人或者存在直接控股、管理关系的不同供应商参加同一合同项下的采购活动的；</w:t>
      </w:r>
    </w:p>
    <w:p w14:paraId="2371E03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1BDFF021">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7C167641">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5D9237A2">
      <w:pPr>
        <w:spacing w:line="360" w:lineRule="auto"/>
        <w:ind w:right="42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62FDC8DB">
      <w:pPr>
        <w:spacing w:line="360" w:lineRule="auto"/>
        <w:ind w:right="420" w:firstLine="6240" w:firstLineChars="2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40A06A22">
      <w:pPr>
        <w:spacing w:line="360" w:lineRule="auto"/>
        <w:ind w:right="420" w:firstLine="6120" w:firstLineChars="25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06974A2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7DAC9F7">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CE203C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二、落实政府采购政策需满足的资格要求（如适用）</w:t>
      </w:r>
    </w:p>
    <w:p w14:paraId="2F51C79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28FA11FA">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5CD760A">
      <w:pPr>
        <w:widowControl/>
        <w:spacing w:line="360" w:lineRule="auto"/>
        <w:ind w:firstLine="480"/>
        <w:jc w:val="left"/>
        <w:rPr>
          <w:rFonts w:asciiTheme="minorEastAsia" w:hAnsiTheme="minorEastAsia" w:eastAsiaTheme="minorEastAsia" w:cstheme="minorEastAsia"/>
          <w:color w:val="auto"/>
          <w:sz w:val="24"/>
          <w:highlight w:val="none"/>
        </w:rPr>
      </w:pPr>
    </w:p>
    <w:p w14:paraId="729B2F10">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1646A228">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37668ECE">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74FDE537">
      <w:pPr>
        <w:spacing w:line="360" w:lineRule="auto"/>
        <w:rPr>
          <w:rFonts w:asciiTheme="minorEastAsia" w:hAnsiTheme="minorEastAsia" w:eastAsiaTheme="minorEastAsia" w:cstheme="minorEastAsia"/>
          <w:color w:val="auto"/>
          <w:highlight w:val="none"/>
        </w:rPr>
      </w:pPr>
    </w:p>
    <w:p w14:paraId="099ED43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5C0AD3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A085A6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B1C493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A0F342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C5B88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61AC408">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6227EB7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97D3B54">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BF23D6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B66E694">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6ACD9AE4">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4C5DD143">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68D9A58D">
      <w:pPr>
        <w:spacing w:line="360" w:lineRule="auto"/>
        <w:jc w:val="center"/>
        <w:outlineLvl w:val="0"/>
        <w:rPr>
          <w:rFonts w:asciiTheme="minorEastAsia" w:hAnsiTheme="minorEastAsia" w:eastAsiaTheme="minorEastAsia" w:cstheme="minorEastAsia"/>
          <w:b/>
          <w:color w:val="auto"/>
          <w:kern w:val="0"/>
          <w:sz w:val="24"/>
          <w:highlight w:val="none"/>
        </w:rPr>
      </w:pPr>
    </w:p>
    <w:p w14:paraId="7D23E38B">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6BD3CFC4">
      <w:pPr>
        <w:snapToGrid w:val="0"/>
        <w:spacing w:line="360" w:lineRule="auto"/>
        <w:ind w:firstLine="960" w:firstLineChars="400"/>
        <w:rPr>
          <w:rFonts w:asciiTheme="minorEastAsia" w:hAnsiTheme="minorEastAsia" w:eastAsiaTheme="minorEastAsia" w:cstheme="minorEastAsia"/>
          <w:color w:val="auto"/>
          <w:sz w:val="24"/>
          <w:highlight w:val="none"/>
        </w:rPr>
      </w:pPr>
    </w:p>
    <w:p w14:paraId="2886C667">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评分索引表</w:t>
      </w:r>
    </w:p>
    <w:p w14:paraId="1371D958">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2符合性自查表；</w:t>
      </w:r>
    </w:p>
    <w:p w14:paraId="41B65A64">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磋商函；</w:t>
      </w:r>
      <w:r>
        <w:rPr>
          <w:rFonts w:hint="eastAsia" w:asciiTheme="minorEastAsia" w:hAnsiTheme="minorEastAsia" w:eastAsiaTheme="minorEastAsia" w:cstheme="minorEastAsia"/>
          <w:color w:val="auto"/>
          <w:sz w:val="24"/>
          <w:highlight w:val="none"/>
          <w:lang w:val="zh-CN"/>
        </w:rPr>
        <w:t xml:space="preserve"> </w:t>
      </w:r>
    </w:p>
    <w:p w14:paraId="6822E65A">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授权委托书；</w:t>
      </w:r>
    </w:p>
    <w:p w14:paraId="66F62B62">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 供应商情况表；</w:t>
      </w:r>
    </w:p>
    <w:p w14:paraId="2AC9F458">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 距采购人最近或者能为本项目提供最优服务的网点情况表；</w:t>
      </w:r>
    </w:p>
    <w:p w14:paraId="6C12D251">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 评审标准相应的商务技术资料；</w:t>
      </w:r>
    </w:p>
    <w:p w14:paraId="047FC6FF">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 商务偏离表；</w:t>
      </w:r>
    </w:p>
    <w:p w14:paraId="677FA590">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 技术偏离表</w:t>
      </w:r>
    </w:p>
    <w:p w14:paraId="18611DFB">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 同类业绩情况一览表；</w:t>
      </w:r>
    </w:p>
    <w:p w14:paraId="2FB5BC2E">
      <w:pPr>
        <w:adjustRightInd w:val="0"/>
        <w:snapToGrid w:val="0"/>
        <w:spacing w:line="360" w:lineRule="auto"/>
        <w:ind w:firstLine="720" w:firstLineChars="3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11 </w:t>
      </w:r>
      <w:r>
        <w:rPr>
          <w:rFonts w:hint="eastAsia" w:asciiTheme="minorEastAsia" w:hAnsiTheme="minorEastAsia" w:eastAsiaTheme="minorEastAsia" w:cstheme="minorEastAsia"/>
          <w:color w:val="auto"/>
          <w:sz w:val="24"/>
          <w:highlight w:val="none"/>
          <w:lang w:val="zh-CN"/>
        </w:rPr>
        <w:t>采购供应商廉洁自律承诺书；</w:t>
      </w:r>
    </w:p>
    <w:p w14:paraId="6CE4B742">
      <w:pPr>
        <w:adjustRightInd w:val="0"/>
        <w:snapToGrid w:val="0"/>
        <w:spacing w:line="360" w:lineRule="auto"/>
        <w:ind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 其他资料。</w:t>
      </w:r>
    </w:p>
    <w:p w14:paraId="2456E5BC">
      <w:pPr>
        <w:snapToGrid w:val="0"/>
        <w:spacing w:line="360" w:lineRule="auto"/>
        <w:outlineLvl w:val="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p w14:paraId="2D0D5295">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评分索引表</w:t>
      </w:r>
    </w:p>
    <w:p w14:paraId="1BF36039">
      <w:pPr>
        <w:snapToGrid w:val="0"/>
        <w:spacing w:before="50" w:after="50"/>
        <w:rPr>
          <w:rFonts w:ascii="宋体" w:hAnsi="宋体"/>
          <w:b/>
          <w:color w:val="auto"/>
          <w:sz w:val="24"/>
          <w:highlight w:val="none"/>
        </w:rPr>
      </w:pPr>
    </w:p>
    <w:p w14:paraId="265FE3E7">
      <w:pP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5"/>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7AB8A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8EF72B5">
            <w:pPr>
              <w:pStyle w:val="19"/>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6026C844">
            <w:pPr>
              <w:pStyle w:val="19"/>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3C7D6CEA">
            <w:pPr>
              <w:pStyle w:val="19"/>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7391B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C7F323E">
            <w:pPr>
              <w:widowControl/>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028485F3">
            <w:pP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5FB5F4B0">
            <w:pPr>
              <w:jc w:val="center"/>
              <w:rPr>
                <w:rFonts w:ascii="宋体" w:hAnsi="宋体"/>
                <w:bCs/>
                <w:color w:val="auto"/>
                <w:sz w:val="24"/>
                <w:highlight w:val="none"/>
              </w:rPr>
            </w:pPr>
          </w:p>
        </w:tc>
      </w:tr>
      <w:tr w14:paraId="204E8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3D48997">
            <w:pPr>
              <w:widowControl/>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16593458">
            <w:pPr>
              <w:widowControl/>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32E0D89C">
            <w:pPr>
              <w:jc w:val="center"/>
              <w:rPr>
                <w:rFonts w:ascii="宋体" w:hAnsi="宋体"/>
                <w:bCs/>
                <w:color w:val="auto"/>
                <w:sz w:val="24"/>
                <w:highlight w:val="none"/>
              </w:rPr>
            </w:pPr>
          </w:p>
        </w:tc>
      </w:tr>
      <w:tr w14:paraId="7C5AD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65AE1E2">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89050FF">
            <w:pP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8246268">
            <w:pPr>
              <w:jc w:val="center"/>
              <w:rPr>
                <w:rFonts w:ascii="宋体" w:hAnsi="宋体"/>
                <w:bCs/>
                <w:color w:val="auto"/>
                <w:sz w:val="24"/>
                <w:highlight w:val="none"/>
              </w:rPr>
            </w:pPr>
          </w:p>
        </w:tc>
      </w:tr>
      <w:tr w14:paraId="302F7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D831D9F">
            <w:pPr>
              <w:widowControl/>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3C7F04B">
            <w:pPr>
              <w:pStyle w:val="19"/>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71DE959">
            <w:pPr>
              <w:pStyle w:val="19"/>
              <w:ind w:firstLine="562"/>
              <w:jc w:val="center"/>
              <w:rPr>
                <w:rFonts w:ascii="宋体"/>
                <w:b/>
                <w:color w:val="auto"/>
                <w:highlight w:val="none"/>
              </w:rPr>
            </w:pPr>
          </w:p>
        </w:tc>
      </w:tr>
      <w:tr w14:paraId="6AE01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02C57EB">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F43DC6F">
            <w:pP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BA8DEFC">
            <w:pPr>
              <w:jc w:val="center"/>
              <w:rPr>
                <w:rFonts w:ascii="宋体" w:hAnsi="宋体"/>
                <w:bCs/>
                <w:color w:val="auto"/>
                <w:sz w:val="24"/>
                <w:highlight w:val="none"/>
              </w:rPr>
            </w:pPr>
          </w:p>
        </w:tc>
      </w:tr>
      <w:tr w14:paraId="7FB68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70D19FA">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739A3C1">
            <w:pP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5204565">
            <w:pPr>
              <w:pStyle w:val="19"/>
              <w:ind w:firstLine="560"/>
              <w:jc w:val="center"/>
              <w:rPr>
                <w:rFonts w:ascii="宋体"/>
                <w:color w:val="auto"/>
                <w:highlight w:val="none"/>
              </w:rPr>
            </w:pPr>
          </w:p>
        </w:tc>
      </w:tr>
      <w:tr w14:paraId="19A9F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E84EFB8">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C0145D2">
            <w:pP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4CBA3EB">
            <w:pPr>
              <w:pStyle w:val="19"/>
              <w:ind w:firstLine="560"/>
              <w:jc w:val="center"/>
              <w:rPr>
                <w:rFonts w:ascii="宋体"/>
                <w:color w:val="auto"/>
                <w:highlight w:val="none"/>
              </w:rPr>
            </w:pPr>
          </w:p>
        </w:tc>
      </w:tr>
      <w:tr w14:paraId="7971B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3260B4C">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6DDFEE1">
            <w:pPr>
              <w:pStyle w:val="19"/>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547D09D">
            <w:pPr>
              <w:widowControl/>
              <w:jc w:val="center"/>
              <w:rPr>
                <w:rFonts w:ascii="宋体" w:hAnsi="宋体"/>
                <w:b/>
                <w:color w:val="auto"/>
                <w:sz w:val="24"/>
                <w:highlight w:val="none"/>
              </w:rPr>
            </w:pPr>
          </w:p>
        </w:tc>
      </w:tr>
      <w:tr w14:paraId="3F241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687E9F8">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4709D9A">
            <w:pP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235FCE3">
            <w:pPr>
              <w:jc w:val="center"/>
              <w:rPr>
                <w:rFonts w:ascii="宋体" w:hAnsi="宋体"/>
                <w:bCs/>
                <w:color w:val="auto"/>
                <w:sz w:val="24"/>
                <w:highlight w:val="none"/>
              </w:rPr>
            </w:pPr>
          </w:p>
        </w:tc>
      </w:tr>
      <w:tr w14:paraId="505FE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AE86E9E">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AF1AB61">
            <w:pP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641FA1B">
            <w:pPr>
              <w:jc w:val="center"/>
              <w:rPr>
                <w:rFonts w:ascii="宋体" w:hAnsi="宋体"/>
                <w:bCs/>
                <w:color w:val="auto"/>
                <w:sz w:val="24"/>
                <w:highlight w:val="none"/>
              </w:rPr>
            </w:pPr>
          </w:p>
        </w:tc>
      </w:tr>
      <w:tr w14:paraId="10FC4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7F56A9B">
            <w:pPr>
              <w:widowControl/>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E416B14">
            <w:pP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14CA4380">
            <w:pPr>
              <w:jc w:val="center"/>
              <w:rPr>
                <w:rFonts w:ascii="宋体" w:hAnsi="宋体"/>
                <w:bCs/>
                <w:color w:val="auto"/>
                <w:sz w:val="24"/>
                <w:highlight w:val="none"/>
              </w:rPr>
            </w:pPr>
          </w:p>
        </w:tc>
      </w:tr>
    </w:tbl>
    <w:p w14:paraId="55D3AB27">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p>
    <w:p w14:paraId="73EDB9C4">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14:paraId="6B5EC635">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二、符合性自查表</w:t>
      </w:r>
    </w:p>
    <w:tbl>
      <w:tblPr>
        <w:tblStyle w:val="25"/>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2CAC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56E344CA">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2B01CA28">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6ACFC71D">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5A39849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71F1C17A">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4E2979F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547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07" w:type="dxa"/>
            <w:vAlign w:val="center"/>
          </w:tcPr>
          <w:p w14:paraId="67206880">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32DB0AF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511CEB6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685CC2D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E8A461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7E1AE88D">
            <w:pPr>
              <w:spacing w:line="360" w:lineRule="auto"/>
              <w:rPr>
                <w:rFonts w:asciiTheme="minorEastAsia" w:hAnsiTheme="minorEastAsia" w:eastAsiaTheme="minorEastAsia" w:cstheme="minorEastAsia"/>
                <w:color w:val="auto"/>
                <w:sz w:val="24"/>
                <w:highlight w:val="none"/>
              </w:rPr>
            </w:pPr>
          </w:p>
          <w:p w14:paraId="5859EE6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A8556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861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7" w:type="dxa"/>
            <w:vAlign w:val="center"/>
          </w:tcPr>
          <w:p w14:paraId="38A3EC1A">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0B39C3D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126459D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24F6F6A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38B097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5E1EB33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B15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707" w:type="dxa"/>
            <w:vAlign w:val="center"/>
          </w:tcPr>
          <w:p w14:paraId="3FDE971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5899F8E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0F89BF8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49C662E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891A1E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95AC8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547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07" w:type="dxa"/>
            <w:vAlign w:val="center"/>
          </w:tcPr>
          <w:p w14:paraId="51AF59E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2CF642F2">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69256407">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82D72F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38382E6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3DDA1E2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E1C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07" w:type="dxa"/>
            <w:vAlign w:val="center"/>
          </w:tcPr>
          <w:p w14:paraId="7187468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0B08319C">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29FEB446">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A43862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E117F9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7A0C0FD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76360A11">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0A8FB235">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三、磋商</w:t>
      </w:r>
      <w:r>
        <w:rPr>
          <w:rFonts w:hint="eastAsia" w:asciiTheme="minorEastAsia" w:hAnsiTheme="minorEastAsia" w:eastAsiaTheme="minorEastAsia" w:cstheme="minorEastAsia"/>
          <w:b/>
          <w:color w:val="auto"/>
          <w:sz w:val="32"/>
          <w:szCs w:val="32"/>
          <w:highlight w:val="none"/>
        </w:rPr>
        <w:t>函</w:t>
      </w:r>
    </w:p>
    <w:p w14:paraId="2DB32F4E">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569F6A6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（项目名称）【项目编号：             】</w:t>
      </w:r>
      <w:r>
        <w:rPr>
          <w:rFonts w:hint="eastAsia" w:asciiTheme="minorEastAsia" w:hAnsiTheme="minorEastAsia" w:eastAsiaTheme="minorEastAsia" w:cstheme="minorEastAsia"/>
          <w:color w:val="auto"/>
          <w:sz w:val="24"/>
          <w:highlight w:val="none"/>
        </w:rPr>
        <w:t>采购活动，并对此项目进行磋商响应。为此：</w:t>
      </w:r>
    </w:p>
    <w:p w14:paraId="4463D68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天（不少于90天），本响应文件在响应有效期满之前均具有约束力。</w:t>
      </w:r>
    </w:p>
    <w:p w14:paraId="4C32FC3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10D7609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2.1资格文件</w:t>
      </w:r>
    </w:p>
    <w:p w14:paraId="6C9A6ED9">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2.1.1有效的企业法人营业执照（或事业法人登记证）、其他组织（个体工商户）的营业执照或者民办非企业单位登记证书；</w:t>
      </w:r>
    </w:p>
    <w:p w14:paraId="2553B66B">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2.1.2符合参加采购活动应当具备的一般条件的承诺函(格式见第六部分)；</w:t>
      </w:r>
    </w:p>
    <w:p w14:paraId="5FB5884A">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2.1.3本项目的特定资格要求；</w:t>
      </w:r>
    </w:p>
    <w:p w14:paraId="5D1C069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2.1.4其他资料（如有）。</w:t>
      </w:r>
    </w:p>
    <w:p w14:paraId="1D335059">
      <w:pPr>
        <w:snapToGrid w:val="0"/>
        <w:spacing w:line="360" w:lineRule="auto"/>
        <w:ind w:firstLine="422" w:firstLineChars="200"/>
        <w:rPr>
          <w:rFonts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rPr>
        <w:t>2.2</w:t>
      </w:r>
      <w:r>
        <w:rPr>
          <w:rFonts w:hint="eastAsia" w:asciiTheme="minorEastAsia" w:hAnsiTheme="minorEastAsia" w:eastAsiaTheme="minorEastAsia" w:cstheme="minorEastAsia"/>
          <w:b/>
          <w:bCs/>
          <w:color w:val="auto"/>
          <w:szCs w:val="21"/>
          <w:highlight w:val="none"/>
          <w:lang w:val="zh-CN"/>
        </w:rPr>
        <w:t xml:space="preserve"> </w:t>
      </w:r>
      <w:r>
        <w:rPr>
          <w:rFonts w:hint="eastAsia" w:asciiTheme="minorEastAsia" w:hAnsiTheme="minorEastAsia" w:eastAsiaTheme="minorEastAsia" w:cstheme="minorEastAsia"/>
          <w:b/>
          <w:bCs/>
          <w:color w:val="auto"/>
          <w:szCs w:val="21"/>
          <w:highlight w:val="none"/>
        </w:rPr>
        <w:t>商务技术</w:t>
      </w:r>
      <w:r>
        <w:rPr>
          <w:rFonts w:hint="eastAsia" w:asciiTheme="minorEastAsia" w:hAnsiTheme="minorEastAsia" w:eastAsiaTheme="minorEastAsia" w:cstheme="minorEastAsia"/>
          <w:b/>
          <w:bCs/>
          <w:color w:val="auto"/>
          <w:szCs w:val="21"/>
          <w:highlight w:val="none"/>
          <w:lang w:val="zh-CN"/>
        </w:rPr>
        <w:t>文件：</w:t>
      </w:r>
    </w:p>
    <w:p w14:paraId="430984FA">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 评分索引表；</w:t>
      </w:r>
    </w:p>
    <w:p w14:paraId="428DF554">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2.2.2符合性自查表；</w:t>
      </w:r>
    </w:p>
    <w:p w14:paraId="237F61C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2.2.3磋商函；</w:t>
      </w:r>
      <w:r>
        <w:rPr>
          <w:rFonts w:hint="eastAsia" w:asciiTheme="minorEastAsia" w:hAnsiTheme="minorEastAsia" w:eastAsiaTheme="minorEastAsia" w:cstheme="minorEastAsia"/>
          <w:color w:val="auto"/>
          <w:szCs w:val="21"/>
          <w:highlight w:val="none"/>
          <w:lang w:val="zh-CN"/>
        </w:rPr>
        <w:t xml:space="preserve"> </w:t>
      </w:r>
    </w:p>
    <w:p w14:paraId="39DB64E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 授权委托书或法定代表人（单位负责人、自然人本人）身份证明；</w:t>
      </w:r>
    </w:p>
    <w:p w14:paraId="4D6FAEBC">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2.2.5 供应商情况表；</w:t>
      </w:r>
    </w:p>
    <w:p w14:paraId="21B118B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2.2.6 距采购人最近或者能为本项目提供最优服务的网点情况表；</w:t>
      </w:r>
    </w:p>
    <w:p w14:paraId="6732670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2.2.7 评标标准相应的商务技术资料；</w:t>
      </w:r>
    </w:p>
    <w:p w14:paraId="16A4E17D">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2.2.8 商务响应表；</w:t>
      </w:r>
    </w:p>
    <w:p w14:paraId="1900B12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2.2.9 技术偏离表</w:t>
      </w:r>
      <w:r>
        <w:rPr>
          <w:rFonts w:hint="eastAsia" w:ascii="宋体" w:hAnsi="宋体" w:cs="仿宋"/>
          <w:color w:val="auto"/>
          <w:sz w:val="24"/>
          <w:highlight w:val="none"/>
        </w:rPr>
        <w:t>；</w:t>
      </w:r>
    </w:p>
    <w:p w14:paraId="0BB7CAA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2.2.10 同类业绩情况一览表；</w:t>
      </w:r>
    </w:p>
    <w:p w14:paraId="7F9B600C">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2.2.11 </w:t>
      </w:r>
      <w:r>
        <w:rPr>
          <w:rFonts w:hint="eastAsia" w:asciiTheme="minorEastAsia" w:hAnsiTheme="minorEastAsia" w:eastAsiaTheme="minorEastAsia" w:cstheme="minorEastAsia"/>
          <w:color w:val="auto"/>
          <w:szCs w:val="21"/>
          <w:highlight w:val="none"/>
          <w:lang w:val="zh-CN"/>
        </w:rPr>
        <w:t>政府采购供应商廉洁自律承诺书</w:t>
      </w:r>
      <w:r>
        <w:rPr>
          <w:rFonts w:hint="eastAsia" w:asciiTheme="minorEastAsia" w:hAnsiTheme="minorEastAsia" w:eastAsiaTheme="minorEastAsia" w:cstheme="minorEastAsia"/>
          <w:color w:val="auto"/>
          <w:szCs w:val="21"/>
          <w:highlight w:val="none"/>
        </w:rPr>
        <w:t>；</w:t>
      </w:r>
    </w:p>
    <w:p w14:paraId="4CC436AD">
      <w:pP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2.2.12其他资料（如有）</w:t>
      </w:r>
      <w:r>
        <w:rPr>
          <w:rFonts w:hint="eastAsia" w:asciiTheme="minorEastAsia" w:hAnsiTheme="minorEastAsia" w:eastAsiaTheme="minorEastAsia" w:cstheme="minorEastAsia"/>
          <w:color w:val="auto"/>
          <w:szCs w:val="21"/>
          <w:highlight w:val="none"/>
          <w:lang w:val="zh-CN"/>
        </w:rPr>
        <w:t>；</w:t>
      </w:r>
    </w:p>
    <w:p w14:paraId="2DE4C0CB">
      <w:pPr>
        <w:snapToGrid w:val="0"/>
        <w:spacing w:line="360" w:lineRule="auto"/>
        <w:ind w:firstLine="422" w:firstLineChars="200"/>
        <w:rPr>
          <w:rFonts w:asciiTheme="minorEastAsia" w:hAnsiTheme="minorEastAsia" w:eastAsiaTheme="minorEastAsia" w:cstheme="minorEastAsia"/>
          <w:b/>
          <w:bCs/>
          <w:color w:val="auto"/>
          <w:szCs w:val="21"/>
          <w:highlight w:val="none"/>
          <w:u w:val="single"/>
          <w:lang w:val="zh-CN"/>
        </w:rPr>
      </w:pPr>
      <w:r>
        <w:rPr>
          <w:rFonts w:hint="eastAsia" w:asciiTheme="minorEastAsia" w:hAnsiTheme="minorEastAsia" w:eastAsiaTheme="minorEastAsia" w:cstheme="minorEastAsia"/>
          <w:b/>
          <w:bCs/>
          <w:color w:val="auto"/>
          <w:kern w:val="0"/>
          <w:szCs w:val="21"/>
          <w:highlight w:val="none"/>
        </w:rPr>
        <w:t>2.3</w:t>
      </w:r>
      <w:r>
        <w:rPr>
          <w:rFonts w:hint="eastAsia" w:asciiTheme="minorEastAsia" w:hAnsiTheme="minorEastAsia" w:eastAsiaTheme="minorEastAsia" w:cstheme="minorEastAsia"/>
          <w:b/>
          <w:bCs/>
          <w:color w:val="auto"/>
          <w:szCs w:val="21"/>
          <w:highlight w:val="none"/>
        </w:rPr>
        <w:t xml:space="preserve">报价文件： </w:t>
      </w:r>
    </w:p>
    <w:p w14:paraId="03DCECD4">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2.3.1 报价一览表；</w:t>
      </w:r>
    </w:p>
    <w:p w14:paraId="4E64841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2.3.2中小企业声明函；</w:t>
      </w:r>
    </w:p>
    <w:p w14:paraId="3B27F85C">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2.3.3残疾人福利性单位声明函（如有）；</w:t>
      </w:r>
    </w:p>
    <w:p w14:paraId="6D293770">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2.3.4监狱企业的证明文件（如有）；</w:t>
      </w:r>
    </w:p>
    <w:p w14:paraId="44686F48">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2.3.5政府采购统计基础信息表；</w:t>
      </w:r>
    </w:p>
    <w:p w14:paraId="7BA75730">
      <w:pPr>
        <w:snapToGrid w:val="0"/>
        <w:spacing w:line="360" w:lineRule="auto"/>
        <w:ind w:firstLine="42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2.3.6其他资料（如有）。</w:t>
      </w:r>
    </w:p>
    <w:p w14:paraId="0A3CECB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3.我方承诺除商务偏离表列出的偏离外，我方响应采购文件的全部要求。</w:t>
      </w:r>
    </w:p>
    <w:p w14:paraId="6C11947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6A7B1DDB">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1DC9420C">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6F7229EB">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31BDEC85">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4B7A3CB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5.其他补充说明：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6222DD64">
      <w:pPr>
        <w:spacing w:line="360" w:lineRule="auto"/>
        <w:ind w:firstLine="3600" w:firstLineChars="1500"/>
        <w:rPr>
          <w:rFonts w:asciiTheme="minorEastAsia" w:hAnsiTheme="minorEastAsia" w:eastAsiaTheme="minorEastAsia" w:cstheme="minorEastAsia"/>
          <w:color w:val="auto"/>
          <w:sz w:val="24"/>
          <w:highlight w:val="none"/>
        </w:rPr>
      </w:pPr>
    </w:p>
    <w:p w14:paraId="689A93E5">
      <w:pPr>
        <w:spacing w:line="360" w:lineRule="auto"/>
        <w:ind w:firstLine="3600" w:firstLineChars="1500"/>
        <w:rPr>
          <w:rFonts w:asciiTheme="minorEastAsia" w:hAnsiTheme="minorEastAsia" w:eastAsiaTheme="minorEastAsia" w:cstheme="minorEastAsia"/>
          <w:color w:val="auto"/>
          <w:sz w:val="24"/>
          <w:highlight w:val="none"/>
        </w:rPr>
      </w:pPr>
    </w:p>
    <w:p w14:paraId="06589BDA">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55AB2A6C">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048FBC18">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56B280B3">
      <w:pPr>
        <w:spacing w:line="360" w:lineRule="auto"/>
        <w:jc w:val="center"/>
        <w:rPr>
          <w:rFonts w:asciiTheme="minorEastAsia" w:hAnsiTheme="minorEastAsia" w:eastAsiaTheme="minorEastAsia" w:cstheme="minorEastAsia"/>
          <w:b/>
          <w:color w:val="auto"/>
          <w:kern w:val="0"/>
          <w:sz w:val="24"/>
          <w:highlight w:val="none"/>
        </w:rPr>
      </w:pPr>
    </w:p>
    <w:p w14:paraId="024B0B5B">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7D5B0617">
      <w:pPr>
        <w:spacing w:line="360" w:lineRule="auto"/>
        <w:rPr>
          <w:rFonts w:asciiTheme="minorEastAsia" w:hAnsiTheme="minorEastAsia" w:eastAsiaTheme="minorEastAsia" w:cstheme="minorEastAsia"/>
          <w:b/>
          <w:color w:val="auto"/>
          <w:sz w:val="32"/>
          <w:szCs w:val="32"/>
          <w:highlight w:val="none"/>
        </w:rPr>
      </w:pPr>
      <w:bookmarkStart w:id="382" w:name="_Toc488936100"/>
      <w:bookmarkStart w:id="383" w:name="_Toc225223761"/>
      <w:bookmarkStart w:id="384" w:name="_Toc110393361"/>
      <w:bookmarkStart w:id="385" w:name="_Toc14746861"/>
      <w:bookmarkStart w:id="386" w:name="_Toc483379796"/>
      <w:bookmarkStart w:id="387" w:name="_Toc479927873"/>
    </w:p>
    <w:p w14:paraId="523F0BF3">
      <w:p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四、</w:t>
      </w:r>
      <w:r>
        <w:rPr>
          <w:rFonts w:hint="eastAsia" w:asciiTheme="minorEastAsia" w:hAnsiTheme="minorEastAsia" w:eastAsiaTheme="minorEastAsia" w:cstheme="minorEastAsia"/>
          <w:b/>
          <w:color w:val="auto"/>
          <w:kern w:val="0"/>
          <w:sz w:val="32"/>
          <w:szCs w:val="32"/>
          <w:highlight w:val="none"/>
          <w:lang w:val="zh-CN"/>
        </w:rPr>
        <w:t>授权委托书</w:t>
      </w:r>
    </w:p>
    <w:p w14:paraId="4A3420D4">
      <w:pPr>
        <w:spacing w:line="440" w:lineRule="exact"/>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239BE01B">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38B2CB40">
      <w:pPr>
        <w:snapToGrid w:val="0"/>
        <w:spacing w:line="360" w:lineRule="auto"/>
        <w:rPr>
          <w:rFonts w:asciiTheme="minorEastAsia" w:hAnsiTheme="minorEastAsia" w:eastAsiaTheme="minorEastAsia" w:cstheme="minorEastAsia"/>
          <w:bCs/>
          <w:color w:val="auto"/>
          <w:sz w:val="24"/>
          <w:highlight w:val="none"/>
        </w:rPr>
      </w:pPr>
    </w:p>
    <w:p w14:paraId="4F93BB66">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（采购单位名称）</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color w:val="auto"/>
          <w:sz w:val="24"/>
          <w:highlight w:val="none"/>
        </w:rPr>
        <w:t>：</w:t>
      </w:r>
    </w:p>
    <w:p w14:paraId="1750731F">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（供应商名称）的法定代表人，现授权委托本单位在职职工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（姓名）以我方的名义参加</w:t>
      </w:r>
      <w:r>
        <w:rPr>
          <w:rFonts w:hint="eastAsia" w:asciiTheme="minorEastAsia" w:hAnsiTheme="minorEastAsia" w:eastAsiaTheme="minorEastAsia" w:cstheme="minorEastAsia"/>
          <w:color w:val="auto"/>
          <w:sz w:val="24"/>
          <w:highlight w:val="none"/>
          <w:u w:val="single"/>
        </w:rPr>
        <w:t xml:space="preserve">                       采购 </w:t>
      </w:r>
      <w:r>
        <w:rPr>
          <w:rFonts w:hint="eastAsia" w:asciiTheme="minorEastAsia" w:hAnsiTheme="minorEastAsia" w:eastAsiaTheme="minorEastAsia" w:cstheme="minorEastAsia"/>
          <w:color w:val="auto"/>
          <w:sz w:val="24"/>
          <w:highlight w:val="none"/>
        </w:rPr>
        <w:t>项目的磋商采购活动，并代表我方全权办理针对上述项目的磋商、评审、签约等具体事务和签署相关文件。</w:t>
      </w:r>
    </w:p>
    <w:p w14:paraId="6B3E3D22">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我方对被授权人的签名事项负全部责任。</w:t>
      </w:r>
    </w:p>
    <w:p w14:paraId="7E8A393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56F37C8B">
      <w:pPr>
        <w:snapToGrid w:val="0"/>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被授权人无转委托权，特此委托。</w:t>
      </w:r>
    </w:p>
    <w:p w14:paraId="5B0786D4">
      <w:pPr>
        <w:snapToGrid w:val="0"/>
        <w:spacing w:line="360" w:lineRule="auto"/>
        <w:rPr>
          <w:rFonts w:asciiTheme="minorEastAsia" w:hAnsiTheme="minorEastAsia" w:eastAsiaTheme="minorEastAsia" w:cstheme="minorEastAsia"/>
          <w:color w:val="auto"/>
          <w:sz w:val="24"/>
          <w:highlight w:val="none"/>
        </w:rPr>
      </w:pPr>
    </w:p>
    <w:p w14:paraId="250B14A6">
      <w:pPr>
        <w:snapToGrid w:val="0"/>
        <w:spacing w:line="360" w:lineRule="auto"/>
        <w:rPr>
          <w:rFonts w:asciiTheme="minorEastAsia" w:hAnsiTheme="minorEastAsia" w:eastAsiaTheme="minorEastAsia" w:cstheme="minorEastAsia"/>
          <w:color w:val="auto"/>
          <w:sz w:val="24"/>
          <w:highlight w:val="none"/>
        </w:rPr>
      </w:pPr>
    </w:p>
    <w:p w14:paraId="2F3A2633">
      <w:pPr>
        <w:snapToGrid w:val="0"/>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被授权人签名或印章：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法定代表人签名或印章：</w:t>
      </w:r>
      <w:r>
        <w:rPr>
          <w:rFonts w:hint="eastAsia" w:asciiTheme="minorEastAsia" w:hAnsiTheme="minorEastAsia" w:eastAsiaTheme="minorEastAsia" w:cstheme="minorEastAsia"/>
          <w:color w:val="auto"/>
          <w:sz w:val="24"/>
          <w:highlight w:val="none"/>
          <w:u w:val="single"/>
        </w:rPr>
        <w:t xml:space="preserve">          </w:t>
      </w:r>
    </w:p>
    <w:p w14:paraId="69D62F09">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p>
    <w:p w14:paraId="1D2CD3FC">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被授权人身份证号码：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116F8F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2FDAEBC">
      <w:pPr>
        <w:snapToGrid w:val="0"/>
        <w:spacing w:line="360" w:lineRule="auto"/>
        <w:rPr>
          <w:rFonts w:asciiTheme="minorEastAsia" w:hAnsiTheme="minorEastAsia" w:eastAsiaTheme="minorEastAsia" w:cstheme="minorEastAsia"/>
          <w:color w:val="auto"/>
          <w:sz w:val="24"/>
          <w:highlight w:val="none"/>
        </w:rPr>
      </w:pPr>
    </w:p>
    <w:p w14:paraId="6631CDFA">
      <w:pPr>
        <w:spacing w:line="360" w:lineRule="auto"/>
        <w:ind w:firstLine="5520" w:firstLineChars="2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供应商（盖章）：</w:t>
      </w:r>
    </w:p>
    <w:p w14:paraId="19992559">
      <w:pPr>
        <w:spacing w:line="360" w:lineRule="auto"/>
        <w:ind w:firstLine="1440" w:firstLineChars="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w:t>
      </w:r>
    </w:p>
    <w:p w14:paraId="555A839C">
      <w:pPr>
        <w:spacing w:line="360" w:lineRule="auto"/>
        <w:rPr>
          <w:rFonts w:asciiTheme="minorEastAsia" w:hAnsiTheme="minorEastAsia" w:eastAsiaTheme="minorEastAsia" w:cstheme="minorEastAsia"/>
          <w:b/>
          <w:color w:val="auto"/>
          <w:sz w:val="24"/>
          <w:highlight w:val="none"/>
        </w:rPr>
      </w:pPr>
    </w:p>
    <w:p w14:paraId="36EF616E">
      <w:pPr>
        <w:spacing w:line="360" w:lineRule="auto"/>
        <w:rPr>
          <w:rFonts w:asciiTheme="minorEastAsia" w:hAnsiTheme="minorEastAsia" w:eastAsiaTheme="minorEastAsia" w:cstheme="minorEastAsia"/>
          <w:b/>
          <w:color w:val="auto"/>
          <w:sz w:val="24"/>
          <w:highlight w:val="none"/>
        </w:rPr>
      </w:pPr>
    </w:p>
    <w:p w14:paraId="50C1577E">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附：法定代表人身份证复印件（正反面）、授权代表身份证复印件（正反面）：</w:t>
      </w:r>
    </w:p>
    <w:p w14:paraId="0C3CD805">
      <w:pPr>
        <w:snapToGrid w:val="0"/>
        <w:spacing w:line="360" w:lineRule="auto"/>
        <w:rPr>
          <w:rFonts w:asciiTheme="minorEastAsia" w:hAnsiTheme="minorEastAsia" w:eastAsiaTheme="minorEastAsia" w:cstheme="minorEastAsia"/>
          <w:color w:val="auto"/>
          <w:sz w:val="24"/>
          <w:highlight w:val="none"/>
        </w:rPr>
      </w:pPr>
    </w:p>
    <w:p w14:paraId="7192B8AA">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 xml:space="preserve">      </w:t>
      </w:r>
      <w:r>
        <w:rPr>
          <w:rFonts w:hint="eastAsia" w:asciiTheme="minorEastAsia" w:hAnsiTheme="minorEastAsia" w:eastAsiaTheme="minorEastAsia" w:cstheme="minorEastAsia"/>
          <w:b/>
          <w:color w:val="auto"/>
          <w:kern w:val="0"/>
          <w:sz w:val="24"/>
          <w:highlight w:val="none"/>
        </w:rPr>
        <w:t xml:space="preserve"> </w:t>
      </w:r>
    </w:p>
    <w:p w14:paraId="35F4A638">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五、</w:t>
      </w:r>
      <w:r>
        <w:rPr>
          <w:rFonts w:hint="eastAsia" w:asciiTheme="minorEastAsia" w:hAnsiTheme="minorEastAsia" w:eastAsiaTheme="minorEastAsia" w:cstheme="minorEastAsia"/>
          <w:b/>
          <w:color w:val="auto"/>
          <w:kern w:val="0"/>
          <w:sz w:val="32"/>
          <w:szCs w:val="32"/>
          <w:highlight w:val="none"/>
          <w:lang w:val="zh-CN"/>
        </w:rPr>
        <w:t>供应商基本情况</w:t>
      </w:r>
      <w:bookmarkEnd w:id="382"/>
      <w:bookmarkEnd w:id="383"/>
      <w:bookmarkEnd w:id="384"/>
      <w:bookmarkEnd w:id="385"/>
      <w:bookmarkEnd w:id="386"/>
      <w:bookmarkEnd w:id="387"/>
      <w:r>
        <w:rPr>
          <w:rFonts w:hint="eastAsia" w:asciiTheme="minorEastAsia" w:hAnsiTheme="minorEastAsia" w:eastAsiaTheme="minorEastAsia" w:cstheme="minorEastAsia"/>
          <w:b/>
          <w:color w:val="auto"/>
          <w:kern w:val="0"/>
          <w:sz w:val="32"/>
          <w:szCs w:val="32"/>
          <w:highlight w:val="none"/>
          <w:lang w:val="zh-CN"/>
        </w:rPr>
        <w:t>表</w:t>
      </w:r>
    </w:p>
    <w:tbl>
      <w:tblPr>
        <w:tblStyle w:val="25"/>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EAD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5870FF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5A32727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B7D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495F17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7D1B6F2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965AC8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540C08A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F60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C9A278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54CFEDB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396E75C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7247E09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E17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6A928C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46F7F34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78095BB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0630A42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328811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22E681D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9FA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DEE1D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27B027C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1D3AB47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E95D93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4E99AEA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36CC389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B93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34C6A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587E17C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77A9648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7462F9F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106F103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1430B69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265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623A6E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7401C91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3DA7E40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2310012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0D6C9C4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207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B65C35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70274AF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9F8CE0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09D8AF0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0B9CEAF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87D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A0E10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177EE6D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7AFE698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05E5134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3C2C019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E14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3F80F3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3A599B4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B6A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69707B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52602E7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E38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6E38E7C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7130DAA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948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3C545BE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0A16EB5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11F2B3EB">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68FE7F3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1953564E">
      <w:pPr>
        <w:pStyle w:val="33"/>
        <w:spacing w:line="360" w:lineRule="auto"/>
        <w:ind w:firstLine="560"/>
        <w:rPr>
          <w:rFonts w:asciiTheme="minorEastAsia" w:hAnsiTheme="minorEastAsia" w:eastAsiaTheme="minorEastAsia" w:cstheme="minorEastAsia"/>
          <w:color w:val="auto"/>
          <w:highlight w:val="none"/>
          <w:lang w:val="zh-CN"/>
        </w:rPr>
      </w:pPr>
    </w:p>
    <w:p w14:paraId="201C8708">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F02D7B1">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31568127">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6B8B7326">
      <w:pPr>
        <w:snapToGrid w:val="0"/>
        <w:spacing w:line="360" w:lineRule="auto"/>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六、</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50977F2B">
      <w:pPr>
        <w:spacing w:line="360" w:lineRule="auto"/>
        <w:rPr>
          <w:rFonts w:asciiTheme="minorEastAsia" w:hAnsiTheme="minorEastAsia" w:eastAsiaTheme="minorEastAsia" w:cstheme="minorEastAsia"/>
          <w:color w:val="auto"/>
          <w:highlight w:val="none"/>
        </w:rPr>
      </w:pPr>
    </w:p>
    <w:tbl>
      <w:tblPr>
        <w:tblStyle w:val="25"/>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F9F0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1407F3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2D9CB5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E27B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D597D9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796F15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5D4E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B98BB8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56CFC18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468615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41445C1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ABC7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B728D3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30C3FD2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2E0A1A9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7C84E7A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BD16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AD82B3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111A7B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9ABE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0C690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95CAEA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D598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47D867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145449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9FB3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48355F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2AE025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0EBB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55DBAE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5557F4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139D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EF5A12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04F2D4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9572F2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4C8D794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1FF2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B5C94B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58DACC5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6C4BC6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319F16A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1528145E">
      <w:pPr>
        <w:spacing w:line="360" w:lineRule="auto"/>
        <w:rPr>
          <w:rFonts w:asciiTheme="minorEastAsia" w:hAnsiTheme="minorEastAsia" w:eastAsiaTheme="minorEastAsia" w:cstheme="minorEastAsia"/>
          <w:color w:val="auto"/>
          <w:highlight w:val="none"/>
        </w:rPr>
      </w:pPr>
    </w:p>
    <w:p w14:paraId="60776BB0">
      <w:pPr>
        <w:spacing w:line="360" w:lineRule="auto"/>
        <w:rPr>
          <w:rFonts w:asciiTheme="minorEastAsia" w:hAnsiTheme="minorEastAsia" w:eastAsiaTheme="minorEastAsia" w:cstheme="minorEastAsia"/>
          <w:color w:val="auto"/>
          <w:highlight w:val="none"/>
        </w:rPr>
      </w:pPr>
    </w:p>
    <w:p w14:paraId="4C15741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36A41679">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3C5A065">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6BE361E">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581A33E8">
      <w:p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七、</w:t>
      </w:r>
      <w:r>
        <w:rPr>
          <w:rFonts w:hint="eastAsia" w:asciiTheme="minorEastAsia" w:hAnsiTheme="minorEastAsia" w:eastAsiaTheme="minorEastAsia" w:cstheme="minorEastAsia"/>
          <w:b/>
          <w:color w:val="auto"/>
          <w:kern w:val="0"/>
          <w:sz w:val="32"/>
          <w:szCs w:val="32"/>
          <w:highlight w:val="none"/>
          <w:lang w:val="zh-CN"/>
        </w:rPr>
        <w:t>评</w:t>
      </w:r>
      <w:r>
        <w:rPr>
          <w:rFonts w:hint="eastAsia" w:asciiTheme="minorEastAsia" w:hAnsiTheme="minorEastAsia" w:eastAsiaTheme="minorEastAsia" w:cstheme="minorEastAsia"/>
          <w:b/>
          <w:color w:val="auto"/>
          <w:kern w:val="0"/>
          <w:sz w:val="32"/>
          <w:szCs w:val="32"/>
          <w:highlight w:val="none"/>
        </w:rPr>
        <w:t>标</w:t>
      </w:r>
      <w:r>
        <w:rPr>
          <w:rFonts w:hint="eastAsia" w:asciiTheme="minorEastAsia" w:hAnsiTheme="minorEastAsia" w:eastAsiaTheme="minorEastAsia" w:cstheme="minorEastAsia"/>
          <w:b/>
          <w:color w:val="auto"/>
          <w:kern w:val="0"/>
          <w:sz w:val="32"/>
          <w:szCs w:val="32"/>
          <w:highlight w:val="none"/>
          <w:lang w:val="zh-CN"/>
        </w:rPr>
        <w:t>标准相应的商务技术资料</w:t>
      </w:r>
    </w:p>
    <w:p w14:paraId="5E59AC38">
      <w:pPr>
        <w:snapToGrid w:val="0"/>
        <w:spacing w:line="360" w:lineRule="auto"/>
        <w:jc w:val="left"/>
        <w:rPr>
          <w:color w:val="auto"/>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7266A4F8">
      <w:pPr>
        <w:pStyle w:val="33"/>
        <w:ind w:firstLine="0" w:firstLineChars="0"/>
        <w:rPr>
          <w:rFonts w:asciiTheme="minorEastAsia" w:hAnsiTheme="minorEastAsia" w:eastAsiaTheme="minorEastAsia" w:cstheme="minorEastAsia"/>
          <w:color w:val="auto"/>
          <w:highlight w:val="none"/>
          <w:lang w:val="zh-CN"/>
        </w:rPr>
      </w:pPr>
    </w:p>
    <w:p w14:paraId="787744AF">
      <w:p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10020"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6180"/>
        <w:gridCol w:w="1343"/>
        <w:gridCol w:w="1330"/>
      </w:tblGrid>
      <w:tr w14:paraId="21B9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167" w:type="dxa"/>
            <w:vAlign w:val="center"/>
          </w:tcPr>
          <w:p w14:paraId="09FC34D7">
            <w:pPr>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6180" w:type="dxa"/>
            <w:vAlign w:val="center"/>
          </w:tcPr>
          <w:p w14:paraId="2A9852FF">
            <w:pPr>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商务条款要求</w:t>
            </w:r>
          </w:p>
        </w:tc>
        <w:tc>
          <w:tcPr>
            <w:tcW w:w="1343" w:type="dxa"/>
            <w:vAlign w:val="center"/>
          </w:tcPr>
          <w:p w14:paraId="1A3D183B">
            <w:pPr>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响应情况</w:t>
            </w:r>
          </w:p>
        </w:tc>
        <w:tc>
          <w:tcPr>
            <w:tcW w:w="1330" w:type="dxa"/>
            <w:vAlign w:val="center"/>
          </w:tcPr>
          <w:p w14:paraId="4643D838">
            <w:pPr>
              <w:spacing w:beforeLines="50"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优于或偏离情况说明（如有）</w:t>
            </w:r>
          </w:p>
        </w:tc>
      </w:tr>
      <w:tr w14:paraId="50C5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67" w:type="dxa"/>
            <w:vAlign w:val="center"/>
          </w:tcPr>
          <w:p w14:paraId="31DCBB10">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6180" w:type="dxa"/>
            <w:vAlign w:val="center"/>
          </w:tcPr>
          <w:p w14:paraId="20922A7E">
            <w:pPr>
              <w:spacing w:line="360" w:lineRule="exact"/>
              <w:rPr>
                <w:rFonts w:ascii="宋体" w:hAnsi="宋体" w:cs="宋体"/>
                <w:bCs/>
                <w:color w:val="auto"/>
                <w:szCs w:val="21"/>
                <w:highlight w:val="none"/>
              </w:rPr>
            </w:pPr>
          </w:p>
        </w:tc>
        <w:tc>
          <w:tcPr>
            <w:tcW w:w="1343" w:type="dxa"/>
          </w:tcPr>
          <w:p w14:paraId="5A1CB5B9">
            <w:pPr>
              <w:spacing w:line="360" w:lineRule="exact"/>
              <w:rPr>
                <w:rFonts w:ascii="宋体" w:hAnsi="宋体" w:cs="宋体"/>
                <w:bCs/>
                <w:color w:val="auto"/>
                <w:szCs w:val="21"/>
                <w:highlight w:val="none"/>
              </w:rPr>
            </w:pPr>
          </w:p>
        </w:tc>
        <w:tc>
          <w:tcPr>
            <w:tcW w:w="1330" w:type="dxa"/>
          </w:tcPr>
          <w:p w14:paraId="0AF43F0A">
            <w:pPr>
              <w:spacing w:line="360" w:lineRule="exact"/>
              <w:rPr>
                <w:rFonts w:ascii="宋体" w:hAnsi="宋体" w:cs="宋体"/>
                <w:bCs/>
                <w:color w:val="auto"/>
                <w:szCs w:val="21"/>
                <w:highlight w:val="none"/>
              </w:rPr>
            </w:pPr>
          </w:p>
        </w:tc>
      </w:tr>
      <w:tr w14:paraId="20EF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7" w:type="dxa"/>
            <w:vAlign w:val="center"/>
          </w:tcPr>
          <w:p w14:paraId="4AE36C6D">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6180" w:type="dxa"/>
            <w:vAlign w:val="center"/>
          </w:tcPr>
          <w:p w14:paraId="42FBAC41">
            <w:pPr>
              <w:spacing w:line="360" w:lineRule="exact"/>
              <w:rPr>
                <w:rFonts w:ascii="宋体" w:hAnsi="宋体" w:cs="宋体"/>
                <w:bCs/>
                <w:color w:val="auto"/>
                <w:szCs w:val="21"/>
                <w:highlight w:val="none"/>
              </w:rPr>
            </w:pPr>
          </w:p>
        </w:tc>
        <w:tc>
          <w:tcPr>
            <w:tcW w:w="1343" w:type="dxa"/>
          </w:tcPr>
          <w:p w14:paraId="246AD4FE">
            <w:pPr>
              <w:spacing w:line="360" w:lineRule="exact"/>
              <w:rPr>
                <w:rFonts w:ascii="宋体" w:hAnsi="宋体" w:cs="宋体"/>
                <w:bCs/>
                <w:color w:val="auto"/>
                <w:szCs w:val="21"/>
                <w:highlight w:val="none"/>
              </w:rPr>
            </w:pPr>
          </w:p>
        </w:tc>
        <w:tc>
          <w:tcPr>
            <w:tcW w:w="1330" w:type="dxa"/>
          </w:tcPr>
          <w:p w14:paraId="2DC13484">
            <w:pPr>
              <w:spacing w:line="360" w:lineRule="exact"/>
              <w:rPr>
                <w:rFonts w:ascii="宋体" w:hAnsi="宋体" w:cs="宋体"/>
                <w:bCs/>
                <w:color w:val="auto"/>
                <w:szCs w:val="21"/>
                <w:highlight w:val="none"/>
              </w:rPr>
            </w:pPr>
          </w:p>
        </w:tc>
      </w:tr>
      <w:tr w14:paraId="31C0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7" w:type="dxa"/>
            <w:vAlign w:val="center"/>
          </w:tcPr>
          <w:p w14:paraId="49AB8D31">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6180" w:type="dxa"/>
            <w:vAlign w:val="center"/>
          </w:tcPr>
          <w:p w14:paraId="31FC5058">
            <w:pPr>
              <w:spacing w:line="360" w:lineRule="exact"/>
              <w:rPr>
                <w:rFonts w:ascii="宋体" w:hAnsi="宋体" w:cs="宋体"/>
                <w:bCs/>
                <w:color w:val="auto"/>
                <w:szCs w:val="21"/>
                <w:highlight w:val="none"/>
              </w:rPr>
            </w:pPr>
          </w:p>
        </w:tc>
        <w:tc>
          <w:tcPr>
            <w:tcW w:w="1343" w:type="dxa"/>
          </w:tcPr>
          <w:p w14:paraId="1FF4A879">
            <w:pPr>
              <w:spacing w:line="360" w:lineRule="exact"/>
              <w:rPr>
                <w:rFonts w:ascii="宋体" w:hAnsi="宋体" w:cs="宋体"/>
                <w:bCs/>
                <w:color w:val="auto"/>
                <w:szCs w:val="21"/>
                <w:highlight w:val="none"/>
              </w:rPr>
            </w:pPr>
          </w:p>
        </w:tc>
        <w:tc>
          <w:tcPr>
            <w:tcW w:w="1330" w:type="dxa"/>
          </w:tcPr>
          <w:p w14:paraId="0EB355AA">
            <w:pPr>
              <w:spacing w:line="360" w:lineRule="exact"/>
              <w:rPr>
                <w:rFonts w:ascii="宋体" w:hAnsi="宋体" w:cs="宋体"/>
                <w:bCs/>
                <w:color w:val="auto"/>
                <w:szCs w:val="21"/>
                <w:highlight w:val="none"/>
              </w:rPr>
            </w:pPr>
          </w:p>
        </w:tc>
      </w:tr>
      <w:tr w14:paraId="3ADB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7" w:type="dxa"/>
            <w:vAlign w:val="center"/>
          </w:tcPr>
          <w:p w14:paraId="7FC5E325">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6180" w:type="dxa"/>
            <w:vAlign w:val="center"/>
          </w:tcPr>
          <w:p w14:paraId="01ADD44E">
            <w:pPr>
              <w:spacing w:line="360" w:lineRule="exact"/>
              <w:rPr>
                <w:rFonts w:ascii="宋体" w:hAnsi="宋体" w:cs="宋体"/>
                <w:bCs/>
                <w:color w:val="auto"/>
                <w:szCs w:val="21"/>
                <w:highlight w:val="none"/>
              </w:rPr>
            </w:pPr>
          </w:p>
        </w:tc>
        <w:tc>
          <w:tcPr>
            <w:tcW w:w="1343" w:type="dxa"/>
          </w:tcPr>
          <w:p w14:paraId="2E43AD09">
            <w:pPr>
              <w:spacing w:line="360" w:lineRule="exact"/>
              <w:rPr>
                <w:rFonts w:ascii="宋体" w:hAnsi="宋体" w:cs="宋体"/>
                <w:bCs/>
                <w:color w:val="auto"/>
                <w:szCs w:val="21"/>
                <w:highlight w:val="none"/>
              </w:rPr>
            </w:pPr>
          </w:p>
        </w:tc>
        <w:tc>
          <w:tcPr>
            <w:tcW w:w="1330" w:type="dxa"/>
          </w:tcPr>
          <w:p w14:paraId="5844C476">
            <w:pPr>
              <w:spacing w:line="360" w:lineRule="exact"/>
              <w:rPr>
                <w:rFonts w:ascii="宋体" w:hAnsi="宋体" w:cs="宋体"/>
                <w:bCs/>
                <w:color w:val="auto"/>
                <w:szCs w:val="21"/>
                <w:highlight w:val="none"/>
              </w:rPr>
            </w:pPr>
          </w:p>
        </w:tc>
      </w:tr>
      <w:tr w14:paraId="6E95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7" w:type="dxa"/>
            <w:vAlign w:val="center"/>
          </w:tcPr>
          <w:p w14:paraId="0E517C10">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6180" w:type="dxa"/>
            <w:vAlign w:val="center"/>
          </w:tcPr>
          <w:p w14:paraId="1C7415FB">
            <w:pPr>
              <w:spacing w:line="360" w:lineRule="exact"/>
              <w:rPr>
                <w:rFonts w:ascii="宋体" w:hAnsi="宋体" w:cs="宋体"/>
                <w:bCs/>
                <w:color w:val="auto"/>
                <w:szCs w:val="21"/>
                <w:highlight w:val="none"/>
              </w:rPr>
            </w:pPr>
          </w:p>
        </w:tc>
        <w:tc>
          <w:tcPr>
            <w:tcW w:w="1343" w:type="dxa"/>
          </w:tcPr>
          <w:p w14:paraId="4E73F3C4">
            <w:pPr>
              <w:spacing w:line="360" w:lineRule="exact"/>
              <w:rPr>
                <w:rFonts w:ascii="宋体" w:hAnsi="宋体" w:cs="宋体"/>
                <w:bCs/>
                <w:color w:val="auto"/>
                <w:szCs w:val="21"/>
                <w:highlight w:val="none"/>
              </w:rPr>
            </w:pPr>
          </w:p>
        </w:tc>
        <w:tc>
          <w:tcPr>
            <w:tcW w:w="1330" w:type="dxa"/>
          </w:tcPr>
          <w:p w14:paraId="3BB9C65E">
            <w:pPr>
              <w:spacing w:line="360" w:lineRule="exact"/>
              <w:rPr>
                <w:rFonts w:ascii="宋体" w:hAnsi="宋体" w:cs="宋体"/>
                <w:bCs/>
                <w:color w:val="auto"/>
                <w:szCs w:val="21"/>
                <w:highlight w:val="none"/>
              </w:rPr>
            </w:pPr>
          </w:p>
        </w:tc>
      </w:tr>
      <w:tr w14:paraId="6AD0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7" w:type="dxa"/>
            <w:vAlign w:val="center"/>
          </w:tcPr>
          <w:p w14:paraId="2603A923">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6180" w:type="dxa"/>
            <w:vAlign w:val="center"/>
          </w:tcPr>
          <w:p w14:paraId="54A6C0C1">
            <w:pPr>
              <w:spacing w:line="360" w:lineRule="exact"/>
              <w:rPr>
                <w:rFonts w:ascii="宋体" w:hAnsi="宋体" w:cs="宋体"/>
                <w:bCs/>
                <w:color w:val="auto"/>
                <w:szCs w:val="21"/>
                <w:highlight w:val="none"/>
              </w:rPr>
            </w:pPr>
          </w:p>
        </w:tc>
        <w:tc>
          <w:tcPr>
            <w:tcW w:w="1343" w:type="dxa"/>
          </w:tcPr>
          <w:p w14:paraId="0347F20D">
            <w:pPr>
              <w:spacing w:line="360" w:lineRule="exact"/>
              <w:rPr>
                <w:rFonts w:ascii="宋体" w:hAnsi="宋体" w:cs="宋体"/>
                <w:bCs/>
                <w:color w:val="auto"/>
                <w:szCs w:val="21"/>
                <w:highlight w:val="none"/>
              </w:rPr>
            </w:pPr>
          </w:p>
        </w:tc>
        <w:tc>
          <w:tcPr>
            <w:tcW w:w="1330" w:type="dxa"/>
          </w:tcPr>
          <w:p w14:paraId="5C48DB04">
            <w:pPr>
              <w:spacing w:line="360" w:lineRule="exact"/>
              <w:rPr>
                <w:rFonts w:ascii="宋体" w:hAnsi="宋体" w:cs="宋体"/>
                <w:bCs/>
                <w:color w:val="auto"/>
                <w:szCs w:val="21"/>
                <w:highlight w:val="none"/>
              </w:rPr>
            </w:pPr>
          </w:p>
        </w:tc>
      </w:tr>
      <w:tr w14:paraId="3D51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7" w:type="dxa"/>
            <w:vAlign w:val="center"/>
          </w:tcPr>
          <w:p w14:paraId="7A6C8E93">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6180" w:type="dxa"/>
            <w:vAlign w:val="center"/>
          </w:tcPr>
          <w:p w14:paraId="75ED14FF">
            <w:pPr>
              <w:spacing w:line="360" w:lineRule="exact"/>
              <w:rPr>
                <w:rFonts w:ascii="宋体" w:hAnsi="宋体" w:cs="宋体"/>
                <w:bCs/>
                <w:color w:val="auto"/>
                <w:szCs w:val="21"/>
                <w:highlight w:val="none"/>
              </w:rPr>
            </w:pPr>
          </w:p>
        </w:tc>
        <w:tc>
          <w:tcPr>
            <w:tcW w:w="1343" w:type="dxa"/>
          </w:tcPr>
          <w:p w14:paraId="43859EBD">
            <w:pPr>
              <w:spacing w:line="360" w:lineRule="exact"/>
              <w:rPr>
                <w:rFonts w:ascii="宋体" w:hAnsi="宋体" w:cs="宋体"/>
                <w:bCs/>
                <w:color w:val="auto"/>
                <w:szCs w:val="21"/>
                <w:highlight w:val="none"/>
              </w:rPr>
            </w:pPr>
          </w:p>
        </w:tc>
        <w:tc>
          <w:tcPr>
            <w:tcW w:w="1330" w:type="dxa"/>
          </w:tcPr>
          <w:p w14:paraId="4844217F">
            <w:pPr>
              <w:spacing w:line="360" w:lineRule="exact"/>
              <w:rPr>
                <w:rFonts w:ascii="宋体" w:hAnsi="宋体" w:cs="宋体"/>
                <w:bCs/>
                <w:color w:val="auto"/>
                <w:szCs w:val="21"/>
                <w:highlight w:val="none"/>
              </w:rPr>
            </w:pPr>
          </w:p>
        </w:tc>
      </w:tr>
      <w:tr w14:paraId="42BF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7" w:type="dxa"/>
            <w:vAlign w:val="center"/>
          </w:tcPr>
          <w:p w14:paraId="4F057229">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6180" w:type="dxa"/>
            <w:vAlign w:val="center"/>
          </w:tcPr>
          <w:p w14:paraId="6D07F5B2">
            <w:pPr>
              <w:spacing w:line="360" w:lineRule="exact"/>
              <w:rPr>
                <w:rFonts w:ascii="宋体" w:hAnsi="宋体" w:cs="宋体"/>
                <w:bCs/>
                <w:color w:val="auto"/>
                <w:szCs w:val="21"/>
                <w:highlight w:val="none"/>
              </w:rPr>
            </w:pPr>
          </w:p>
        </w:tc>
        <w:tc>
          <w:tcPr>
            <w:tcW w:w="1343" w:type="dxa"/>
          </w:tcPr>
          <w:p w14:paraId="053A85C4">
            <w:pPr>
              <w:spacing w:line="360" w:lineRule="exact"/>
              <w:rPr>
                <w:rFonts w:ascii="宋体" w:hAnsi="宋体" w:cs="宋体"/>
                <w:bCs/>
                <w:color w:val="auto"/>
                <w:szCs w:val="21"/>
                <w:highlight w:val="none"/>
              </w:rPr>
            </w:pPr>
          </w:p>
        </w:tc>
        <w:tc>
          <w:tcPr>
            <w:tcW w:w="1330" w:type="dxa"/>
          </w:tcPr>
          <w:p w14:paraId="4B3AB987">
            <w:pPr>
              <w:spacing w:line="360" w:lineRule="exact"/>
              <w:rPr>
                <w:rFonts w:ascii="宋体" w:hAnsi="宋体" w:cs="宋体"/>
                <w:bCs/>
                <w:color w:val="auto"/>
                <w:szCs w:val="21"/>
                <w:highlight w:val="none"/>
              </w:rPr>
            </w:pPr>
          </w:p>
        </w:tc>
      </w:tr>
      <w:tr w14:paraId="1F07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67" w:type="dxa"/>
            <w:vAlign w:val="center"/>
          </w:tcPr>
          <w:p w14:paraId="68AC1C93">
            <w:pPr>
              <w:spacing w:line="360" w:lineRule="exact"/>
              <w:jc w:val="center"/>
              <w:rPr>
                <w:rFonts w:ascii="宋体" w:hAnsi="宋体" w:cs="宋体"/>
                <w:bCs/>
                <w:color w:val="auto"/>
                <w:szCs w:val="21"/>
                <w:highlight w:val="none"/>
              </w:rPr>
            </w:pPr>
          </w:p>
        </w:tc>
        <w:tc>
          <w:tcPr>
            <w:tcW w:w="6180" w:type="dxa"/>
            <w:vAlign w:val="center"/>
          </w:tcPr>
          <w:p w14:paraId="6F9D1A8D">
            <w:pPr>
              <w:spacing w:line="360" w:lineRule="exact"/>
              <w:rPr>
                <w:rFonts w:ascii="宋体" w:hAnsi="宋体" w:cs="宋体"/>
                <w:bCs/>
                <w:color w:val="auto"/>
                <w:szCs w:val="21"/>
                <w:highlight w:val="none"/>
              </w:rPr>
            </w:pPr>
          </w:p>
        </w:tc>
        <w:tc>
          <w:tcPr>
            <w:tcW w:w="1343" w:type="dxa"/>
          </w:tcPr>
          <w:p w14:paraId="7F40D83E">
            <w:pPr>
              <w:spacing w:line="360" w:lineRule="exact"/>
              <w:rPr>
                <w:rFonts w:ascii="宋体" w:hAnsi="宋体" w:cs="宋体"/>
                <w:bCs/>
                <w:color w:val="auto"/>
                <w:szCs w:val="21"/>
                <w:highlight w:val="none"/>
              </w:rPr>
            </w:pPr>
          </w:p>
        </w:tc>
        <w:tc>
          <w:tcPr>
            <w:tcW w:w="1330" w:type="dxa"/>
          </w:tcPr>
          <w:p w14:paraId="0FD030E4">
            <w:pPr>
              <w:spacing w:line="360" w:lineRule="exact"/>
              <w:rPr>
                <w:rFonts w:ascii="宋体" w:hAnsi="宋体" w:cs="宋体"/>
                <w:bCs/>
                <w:color w:val="auto"/>
                <w:szCs w:val="21"/>
                <w:highlight w:val="none"/>
              </w:rPr>
            </w:pPr>
          </w:p>
        </w:tc>
      </w:tr>
    </w:tbl>
    <w:p w14:paraId="533777B1">
      <w:pPr>
        <w:spacing w:line="360" w:lineRule="auto"/>
        <w:ind w:firstLine="240" w:firstLineChars="1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注：根据采购文件第三章 商务要求  逐项填写。</w:t>
      </w:r>
    </w:p>
    <w:p w14:paraId="255F3448">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投标人保证：1、除商务偏离表列出的偏离外，投标人响应招标文件的全部商务要求。</w:t>
      </w:r>
    </w:p>
    <w:p w14:paraId="09A7BAE2">
      <w:pPr>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cs="仿宋" w:asciiTheme="majorEastAsia" w:hAnsiTheme="majorEastAsia" w:eastAsiaTheme="majorEastAsia"/>
          <w:color w:val="auto"/>
          <w:kern w:val="0"/>
          <w:sz w:val="24"/>
          <w:highlight w:val="none"/>
        </w:rPr>
        <w:t xml:space="preserve">          2、响应情况填写“响应”即为满足采购文件的要求，填写“正偏离”为优于采购文件的要求，填写“负偏离”为不能满足采购文件的要求，响应条款有“正偏离”和“负偏离”的应当在“优于或偏离情况说明”栏进行明确描述，响应情况由评标小组认定。</w:t>
      </w:r>
    </w:p>
    <w:p w14:paraId="2F35FF69">
      <w:pPr>
        <w:autoSpaceDE w:val="0"/>
        <w:autoSpaceDN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FDB8F98">
      <w:pPr>
        <w:autoSpaceDE w:val="0"/>
        <w:autoSpaceDN w:val="0"/>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供应商（盖章）：</w:t>
      </w:r>
    </w:p>
    <w:p w14:paraId="69FCB82A">
      <w:pPr>
        <w:autoSpaceDE w:val="0"/>
        <w:autoSpaceDN w:val="0"/>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p>
    <w:p w14:paraId="3ADD639D">
      <w:pPr>
        <w:pStyle w:val="33"/>
        <w:ind w:firstLine="560"/>
        <w:rPr>
          <w:color w:val="auto"/>
          <w:highlight w:val="none"/>
          <w:lang w:val="zh-CN"/>
        </w:rPr>
      </w:pPr>
    </w:p>
    <w:p w14:paraId="7B8A15AB">
      <w:pPr>
        <w:snapToGrid w:val="0"/>
        <w:spacing w:line="360" w:lineRule="auto"/>
        <w:outlineLvl w:val="0"/>
        <w:rPr>
          <w:rFonts w:asciiTheme="minorEastAsia" w:hAnsiTheme="minorEastAsia" w:eastAsiaTheme="minorEastAsia" w:cstheme="minorEastAsia"/>
          <w:b/>
          <w:color w:val="auto"/>
          <w:kern w:val="0"/>
          <w:sz w:val="32"/>
          <w:szCs w:val="32"/>
          <w:highlight w:val="none"/>
        </w:rPr>
      </w:pPr>
    </w:p>
    <w:p w14:paraId="7BA764BC">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九、技术偏离表</w:t>
      </w:r>
    </w:p>
    <w:p w14:paraId="46C770E8">
      <w:pPr>
        <w:spacing w:line="360" w:lineRule="auto"/>
        <w:jc w:val="center"/>
        <w:rPr>
          <w:color w:val="auto"/>
          <w:highlight w:val="none"/>
        </w:rPr>
      </w:pPr>
      <w:r>
        <w:rPr>
          <w:rFonts w:hint="eastAsia" w:ascii="宋体" w:hAnsi="宋体" w:cs="宋体"/>
          <w:b/>
          <w:color w:val="auto"/>
          <w:highlight w:val="none"/>
        </w:rPr>
        <w:t>1.带▲条款响应一览表</w:t>
      </w:r>
    </w:p>
    <w:p w14:paraId="6AB21739">
      <w:pP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4E91F3AF">
      <w:pP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7C32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6F7C88F">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52BD2A69">
            <w:pP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4A8EAAAC">
            <w:pP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33BA44E7">
            <w:pP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65F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E8078E">
            <w:pPr>
              <w:rPr>
                <w:rFonts w:ascii="宋体" w:hAnsi="宋体" w:cs="宋体"/>
                <w:color w:val="auto"/>
                <w:highlight w:val="none"/>
              </w:rPr>
            </w:pPr>
          </w:p>
        </w:tc>
        <w:tc>
          <w:tcPr>
            <w:tcW w:w="2787" w:type="dxa"/>
          </w:tcPr>
          <w:p w14:paraId="4EF25602">
            <w:pPr>
              <w:rPr>
                <w:rFonts w:ascii="宋体" w:hAnsi="宋体" w:cs="宋体"/>
                <w:color w:val="auto"/>
                <w:highlight w:val="none"/>
              </w:rPr>
            </w:pPr>
          </w:p>
        </w:tc>
        <w:tc>
          <w:tcPr>
            <w:tcW w:w="2788" w:type="dxa"/>
          </w:tcPr>
          <w:p w14:paraId="0BC34B28">
            <w:pPr>
              <w:rPr>
                <w:rFonts w:ascii="宋体" w:hAnsi="宋体" w:cs="宋体"/>
                <w:color w:val="auto"/>
                <w:highlight w:val="none"/>
              </w:rPr>
            </w:pPr>
          </w:p>
        </w:tc>
        <w:tc>
          <w:tcPr>
            <w:tcW w:w="2788" w:type="dxa"/>
          </w:tcPr>
          <w:p w14:paraId="06ECBE5D">
            <w:pPr>
              <w:rPr>
                <w:rFonts w:ascii="宋体" w:hAnsi="宋体" w:cs="宋体"/>
                <w:color w:val="auto"/>
                <w:highlight w:val="none"/>
              </w:rPr>
            </w:pPr>
          </w:p>
        </w:tc>
      </w:tr>
      <w:tr w14:paraId="2EBB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BD69613">
            <w:pPr>
              <w:rPr>
                <w:rFonts w:ascii="宋体" w:hAnsi="宋体" w:cs="宋体"/>
                <w:color w:val="auto"/>
                <w:highlight w:val="none"/>
              </w:rPr>
            </w:pPr>
          </w:p>
        </w:tc>
        <w:tc>
          <w:tcPr>
            <w:tcW w:w="2787" w:type="dxa"/>
          </w:tcPr>
          <w:p w14:paraId="449698BF">
            <w:pPr>
              <w:rPr>
                <w:rFonts w:ascii="宋体" w:hAnsi="宋体" w:cs="宋体"/>
                <w:color w:val="auto"/>
                <w:highlight w:val="none"/>
              </w:rPr>
            </w:pPr>
          </w:p>
        </w:tc>
        <w:tc>
          <w:tcPr>
            <w:tcW w:w="2788" w:type="dxa"/>
          </w:tcPr>
          <w:p w14:paraId="220AC8F1">
            <w:pPr>
              <w:rPr>
                <w:rFonts w:ascii="宋体" w:hAnsi="宋体" w:cs="宋体"/>
                <w:color w:val="auto"/>
                <w:highlight w:val="none"/>
              </w:rPr>
            </w:pPr>
          </w:p>
        </w:tc>
        <w:tc>
          <w:tcPr>
            <w:tcW w:w="2788" w:type="dxa"/>
          </w:tcPr>
          <w:p w14:paraId="499D6A28">
            <w:pPr>
              <w:rPr>
                <w:rFonts w:ascii="宋体" w:hAnsi="宋体" w:cs="宋体"/>
                <w:color w:val="auto"/>
                <w:highlight w:val="none"/>
              </w:rPr>
            </w:pPr>
          </w:p>
        </w:tc>
      </w:tr>
      <w:tr w14:paraId="14C9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5B13CA3">
            <w:pPr>
              <w:rPr>
                <w:rFonts w:ascii="宋体" w:hAnsi="宋体" w:cs="宋体"/>
                <w:color w:val="auto"/>
                <w:highlight w:val="none"/>
              </w:rPr>
            </w:pPr>
          </w:p>
        </w:tc>
        <w:tc>
          <w:tcPr>
            <w:tcW w:w="2787" w:type="dxa"/>
          </w:tcPr>
          <w:p w14:paraId="3C61ABA3">
            <w:pPr>
              <w:rPr>
                <w:rFonts w:ascii="宋体" w:hAnsi="宋体" w:cs="宋体"/>
                <w:color w:val="auto"/>
                <w:highlight w:val="none"/>
              </w:rPr>
            </w:pPr>
          </w:p>
        </w:tc>
        <w:tc>
          <w:tcPr>
            <w:tcW w:w="2788" w:type="dxa"/>
          </w:tcPr>
          <w:p w14:paraId="7921C29E">
            <w:pPr>
              <w:rPr>
                <w:rFonts w:ascii="宋体" w:hAnsi="宋体" w:cs="宋体"/>
                <w:color w:val="auto"/>
                <w:highlight w:val="none"/>
              </w:rPr>
            </w:pPr>
          </w:p>
        </w:tc>
        <w:tc>
          <w:tcPr>
            <w:tcW w:w="2788" w:type="dxa"/>
          </w:tcPr>
          <w:p w14:paraId="3A0E6453">
            <w:pPr>
              <w:rPr>
                <w:rFonts w:ascii="宋体" w:hAnsi="宋体" w:cs="宋体"/>
                <w:color w:val="auto"/>
                <w:highlight w:val="none"/>
              </w:rPr>
            </w:pPr>
          </w:p>
        </w:tc>
      </w:tr>
      <w:tr w14:paraId="6FC7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00E38C3">
            <w:pPr>
              <w:rPr>
                <w:rFonts w:ascii="宋体" w:hAnsi="宋体" w:cs="宋体"/>
                <w:color w:val="auto"/>
                <w:highlight w:val="none"/>
              </w:rPr>
            </w:pPr>
          </w:p>
        </w:tc>
        <w:tc>
          <w:tcPr>
            <w:tcW w:w="2787" w:type="dxa"/>
          </w:tcPr>
          <w:p w14:paraId="79FBB204">
            <w:pPr>
              <w:rPr>
                <w:rFonts w:ascii="宋体" w:hAnsi="宋体" w:cs="宋体"/>
                <w:color w:val="auto"/>
                <w:highlight w:val="none"/>
              </w:rPr>
            </w:pPr>
          </w:p>
        </w:tc>
        <w:tc>
          <w:tcPr>
            <w:tcW w:w="2788" w:type="dxa"/>
          </w:tcPr>
          <w:p w14:paraId="3D4BACD9">
            <w:pPr>
              <w:rPr>
                <w:rFonts w:ascii="宋体" w:hAnsi="宋体" w:cs="宋体"/>
                <w:color w:val="auto"/>
                <w:highlight w:val="none"/>
              </w:rPr>
            </w:pPr>
          </w:p>
        </w:tc>
        <w:tc>
          <w:tcPr>
            <w:tcW w:w="2788" w:type="dxa"/>
          </w:tcPr>
          <w:p w14:paraId="5D62C117">
            <w:pPr>
              <w:rPr>
                <w:rFonts w:ascii="宋体" w:hAnsi="宋体" w:cs="宋体"/>
                <w:color w:val="auto"/>
                <w:highlight w:val="none"/>
              </w:rPr>
            </w:pPr>
          </w:p>
        </w:tc>
      </w:tr>
      <w:tr w14:paraId="597A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21F23F">
            <w:pPr>
              <w:rPr>
                <w:rFonts w:ascii="宋体" w:hAnsi="宋体" w:cs="宋体"/>
                <w:color w:val="auto"/>
                <w:highlight w:val="none"/>
              </w:rPr>
            </w:pPr>
          </w:p>
        </w:tc>
        <w:tc>
          <w:tcPr>
            <w:tcW w:w="2787" w:type="dxa"/>
          </w:tcPr>
          <w:p w14:paraId="6166E734">
            <w:pPr>
              <w:rPr>
                <w:rFonts w:ascii="宋体" w:hAnsi="宋体" w:cs="宋体"/>
                <w:color w:val="auto"/>
                <w:highlight w:val="none"/>
              </w:rPr>
            </w:pPr>
          </w:p>
        </w:tc>
        <w:tc>
          <w:tcPr>
            <w:tcW w:w="2788" w:type="dxa"/>
          </w:tcPr>
          <w:p w14:paraId="188E1BCF">
            <w:pPr>
              <w:rPr>
                <w:rFonts w:ascii="宋体" w:hAnsi="宋体" w:cs="宋体"/>
                <w:color w:val="auto"/>
                <w:highlight w:val="none"/>
              </w:rPr>
            </w:pPr>
          </w:p>
        </w:tc>
        <w:tc>
          <w:tcPr>
            <w:tcW w:w="2788" w:type="dxa"/>
          </w:tcPr>
          <w:p w14:paraId="7FD48583">
            <w:pPr>
              <w:rPr>
                <w:rFonts w:ascii="宋体" w:hAnsi="宋体" w:cs="宋体"/>
                <w:color w:val="auto"/>
                <w:highlight w:val="none"/>
              </w:rPr>
            </w:pPr>
          </w:p>
        </w:tc>
      </w:tr>
      <w:tr w14:paraId="6A5D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4017115">
            <w:pPr>
              <w:rPr>
                <w:rFonts w:ascii="宋体" w:hAnsi="宋体" w:cs="宋体"/>
                <w:color w:val="auto"/>
                <w:highlight w:val="none"/>
              </w:rPr>
            </w:pPr>
            <w:r>
              <w:rPr>
                <w:rFonts w:hint="eastAsia" w:ascii="宋体" w:hAnsi="宋体" w:cs="宋体"/>
                <w:color w:val="auto"/>
                <w:highlight w:val="none"/>
              </w:rPr>
              <w:t>……</w:t>
            </w:r>
          </w:p>
        </w:tc>
        <w:tc>
          <w:tcPr>
            <w:tcW w:w="2787" w:type="dxa"/>
          </w:tcPr>
          <w:p w14:paraId="023F9A55">
            <w:pPr>
              <w:rPr>
                <w:rFonts w:ascii="宋体" w:hAnsi="宋体" w:cs="宋体"/>
                <w:color w:val="auto"/>
                <w:highlight w:val="none"/>
              </w:rPr>
            </w:pPr>
          </w:p>
        </w:tc>
        <w:tc>
          <w:tcPr>
            <w:tcW w:w="2788" w:type="dxa"/>
          </w:tcPr>
          <w:p w14:paraId="480C5E3C">
            <w:pPr>
              <w:rPr>
                <w:rFonts w:ascii="宋体" w:hAnsi="宋体" w:cs="宋体"/>
                <w:color w:val="auto"/>
                <w:highlight w:val="none"/>
              </w:rPr>
            </w:pPr>
          </w:p>
        </w:tc>
        <w:tc>
          <w:tcPr>
            <w:tcW w:w="2788" w:type="dxa"/>
          </w:tcPr>
          <w:p w14:paraId="2973B8D8">
            <w:pPr>
              <w:rPr>
                <w:rFonts w:ascii="宋体" w:hAnsi="宋体" w:cs="宋体"/>
                <w:color w:val="auto"/>
                <w:highlight w:val="none"/>
              </w:rPr>
            </w:pPr>
          </w:p>
        </w:tc>
      </w:tr>
    </w:tbl>
    <w:p w14:paraId="091BFF8F">
      <w:pPr>
        <w:spacing w:line="360" w:lineRule="auto"/>
        <w:ind w:firstLine="420" w:firstLineChars="200"/>
        <w:jc w:val="left"/>
        <w:rPr>
          <w:rFonts w:ascii="宋体" w:hAnsi="宋体" w:cs="宋体"/>
          <w:color w:val="auto"/>
          <w:highlight w:val="none"/>
        </w:rPr>
      </w:pPr>
    </w:p>
    <w:p w14:paraId="65F0AE7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注：投标人必须对应采购文件</w:t>
      </w:r>
      <w:r>
        <w:rPr>
          <w:rFonts w:hint="eastAsia" w:asciiTheme="minorEastAsia" w:hAnsiTheme="minorEastAsia" w:eastAsiaTheme="minorEastAsia" w:cstheme="minorEastAsia"/>
          <w:color w:val="auto"/>
          <w:szCs w:val="21"/>
          <w:highlight w:val="none"/>
        </w:rPr>
        <w:t>“第三部分  采购需求”</w:t>
      </w:r>
      <w:r>
        <w:rPr>
          <w:rFonts w:hint="eastAsia" w:ascii="宋体" w:hAnsi="宋体" w:cs="宋体"/>
          <w:color w:val="auto"/>
          <w:highlight w:val="none"/>
        </w:rPr>
        <w:t>带“</w:t>
      </w:r>
      <w:r>
        <w:rPr>
          <w:rFonts w:hint="eastAsia" w:ascii="宋体" w:hAnsi="宋体" w:cs="宋体"/>
          <w:b/>
          <w:color w:val="auto"/>
          <w:highlight w:val="none"/>
        </w:rPr>
        <w:t>▲</w:t>
      </w:r>
      <w:r>
        <w:rPr>
          <w:rFonts w:hint="eastAsia" w:ascii="宋体" w:hAnsi="宋体" w:cs="宋体"/>
          <w:color w:val="auto"/>
          <w:highlight w:val="none"/>
        </w:rPr>
        <w:t>”的条款逐条应答并按要求填写上表。条款如要求提供的相关证明资料必须一并提供，否则视为不响应。</w:t>
      </w:r>
    </w:p>
    <w:p w14:paraId="23397579">
      <w:pPr>
        <w:spacing w:line="360" w:lineRule="auto"/>
        <w:ind w:firstLine="211" w:firstLineChars="100"/>
        <w:rPr>
          <w:rFonts w:ascii="宋体" w:hAnsi="宋体" w:cs="宋体"/>
          <w:b/>
          <w:color w:val="auto"/>
          <w:highlight w:val="none"/>
        </w:rPr>
      </w:pPr>
    </w:p>
    <w:p w14:paraId="31545627">
      <w:pP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2254E213">
      <w:pP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198BA3BC">
      <w:pP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0D488AE7">
      <w:pPr>
        <w:pStyle w:val="73"/>
        <w:ind w:firstLine="0" w:firstLineChars="0"/>
        <w:rPr>
          <w:rFonts w:ascii="宋体" w:hAnsi="宋体" w:cs="宋体"/>
          <w:b/>
          <w:color w:val="auto"/>
          <w:highlight w:val="none"/>
        </w:rPr>
      </w:pPr>
    </w:p>
    <w:p w14:paraId="16C4433D">
      <w:pPr>
        <w:pStyle w:val="73"/>
        <w:ind w:firstLine="0" w:firstLineChars="0"/>
        <w:rPr>
          <w:rFonts w:ascii="宋体" w:hAnsi="宋体" w:cs="宋体"/>
          <w:b/>
          <w:color w:val="auto"/>
          <w:highlight w:val="none"/>
        </w:rPr>
      </w:pPr>
    </w:p>
    <w:p w14:paraId="28C142BF">
      <w:pPr>
        <w:pStyle w:val="73"/>
        <w:ind w:left="420" w:firstLine="0" w:firstLineChars="0"/>
        <w:jc w:val="center"/>
        <w:rPr>
          <w:rFonts w:ascii="宋体" w:hAnsi="宋体" w:cs="宋体"/>
          <w:b/>
          <w:color w:val="auto"/>
          <w:highlight w:val="none"/>
        </w:rPr>
      </w:pPr>
    </w:p>
    <w:p w14:paraId="77E6CCF8">
      <w:pPr>
        <w:pStyle w:val="73"/>
        <w:ind w:left="420" w:firstLine="0" w:firstLineChars="0"/>
        <w:jc w:val="center"/>
        <w:rPr>
          <w:rFonts w:ascii="宋体" w:hAnsi="宋体" w:cs="宋体"/>
          <w:b/>
          <w:color w:val="auto"/>
          <w:highlight w:val="none"/>
        </w:rPr>
      </w:pPr>
    </w:p>
    <w:p w14:paraId="302FD992">
      <w:pPr>
        <w:pStyle w:val="73"/>
        <w:ind w:left="420" w:firstLine="0" w:firstLineChars="0"/>
        <w:jc w:val="center"/>
        <w:rPr>
          <w:rFonts w:ascii="宋体" w:hAnsi="宋体" w:cs="宋体"/>
          <w:color w:val="auto"/>
          <w:highlight w:val="none"/>
        </w:rPr>
      </w:pPr>
      <w:r>
        <w:rPr>
          <w:rFonts w:hint="eastAsia" w:ascii="宋体" w:hAnsi="宋体" w:cs="宋体"/>
          <w:b/>
          <w:color w:val="auto"/>
          <w:highlight w:val="none"/>
        </w:rPr>
        <w:t>2.一般性条款响应一览表</w:t>
      </w:r>
    </w:p>
    <w:p w14:paraId="4C6B36B4">
      <w:pPr>
        <w:ind w:firstLine="420" w:firstLineChars="200"/>
        <w:rPr>
          <w:rFonts w:ascii="宋体" w:hAnsi="宋体" w:cs="宋体"/>
          <w:color w:val="auto"/>
          <w:highlight w:val="none"/>
        </w:rPr>
      </w:pPr>
      <w:r>
        <w:rPr>
          <w:rFonts w:hint="eastAsia" w:ascii="宋体" w:hAnsi="宋体" w:cs="宋体"/>
          <w:color w:val="auto"/>
          <w:highlight w:val="none"/>
        </w:rPr>
        <w:t xml:space="preserve">项目名称：     </w:t>
      </w:r>
    </w:p>
    <w:p w14:paraId="463B4953">
      <w:pPr>
        <w:pStyle w:val="73"/>
        <w:ind w:left="420" w:firstLine="0" w:firstLineChars="0"/>
        <w:rPr>
          <w:rFonts w:ascii="宋体" w:hAnsi="宋体" w:cs="宋体"/>
          <w:color w:val="auto"/>
          <w:highlight w:val="none"/>
        </w:rPr>
      </w:pPr>
      <w:r>
        <w:rPr>
          <w:rFonts w:hint="eastAsia" w:ascii="宋体" w:hAnsi="宋体" w:cs="宋体"/>
          <w:color w:val="auto"/>
          <w:highlight w:val="none"/>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1932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0F41F22">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483F9D48">
            <w:pP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228BC7A3">
            <w:pP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2B243374">
            <w:pP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B35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F157234">
            <w:pPr>
              <w:rPr>
                <w:rFonts w:ascii="宋体" w:hAnsi="宋体" w:cs="宋体"/>
                <w:color w:val="auto"/>
                <w:highlight w:val="none"/>
              </w:rPr>
            </w:pPr>
          </w:p>
        </w:tc>
        <w:tc>
          <w:tcPr>
            <w:tcW w:w="2787" w:type="dxa"/>
          </w:tcPr>
          <w:p w14:paraId="72088A0B">
            <w:pPr>
              <w:rPr>
                <w:rFonts w:ascii="宋体" w:hAnsi="宋体" w:cs="宋体"/>
                <w:color w:val="auto"/>
                <w:highlight w:val="none"/>
              </w:rPr>
            </w:pPr>
          </w:p>
        </w:tc>
        <w:tc>
          <w:tcPr>
            <w:tcW w:w="2788" w:type="dxa"/>
          </w:tcPr>
          <w:p w14:paraId="49800F7C">
            <w:pPr>
              <w:rPr>
                <w:rFonts w:ascii="宋体" w:hAnsi="宋体" w:cs="宋体"/>
                <w:color w:val="auto"/>
                <w:highlight w:val="none"/>
              </w:rPr>
            </w:pPr>
          </w:p>
        </w:tc>
        <w:tc>
          <w:tcPr>
            <w:tcW w:w="2788" w:type="dxa"/>
          </w:tcPr>
          <w:p w14:paraId="02A9E06F">
            <w:pPr>
              <w:rPr>
                <w:rFonts w:ascii="宋体" w:hAnsi="宋体" w:cs="宋体"/>
                <w:color w:val="auto"/>
                <w:highlight w:val="none"/>
              </w:rPr>
            </w:pPr>
          </w:p>
        </w:tc>
      </w:tr>
      <w:tr w14:paraId="44F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7057B1B">
            <w:pPr>
              <w:rPr>
                <w:rFonts w:ascii="宋体" w:hAnsi="宋体" w:cs="宋体"/>
                <w:color w:val="auto"/>
                <w:highlight w:val="none"/>
              </w:rPr>
            </w:pPr>
          </w:p>
        </w:tc>
        <w:tc>
          <w:tcPr>
            <w:tcW w:w="2787" w:type="dxa"/>
          </w:tcPr>
          <w:p w14:paraId="0981895F">
            <w:pPr>
              <w:rPr>
                <w:rFonts w:ascii="宋体" w:hAnsi="宋体" w:cs="宋体"/>
                <w:color w:val="auto"/>
                <w:highlight w:val="none"/>
              </w:rPr>
            </w:pPr>
          </w:p>
        </w:tc>
        <w:tc>
          <w:tcPr>
            <w:tcW w:w="2788" w:type="dxa"/>
          </w:tcPr>
          <w:p w14:paraId="2309636E">
            <w:pPr>
              <w:rPr>
                <w:rFonts w:ascii="宋体" w:hAnsi="宋体" w:cs="宋体"/>
                <w:color w:val="auto"/>
                <w:highlight w:val="none"/>
              </w:rPr>
            </w:pPr>
          </w:p>
        </w:tc>
        <w:tc>
          <w:tcPr>
            <w:tcW w:w="2788" w:type="dxa"/>
          </w:tcPr>
          <w:p w14:paraId="0179230B">
            <w:pPr>
              <w:rPr>
                <w:rFonts w:ascii="宋体" w:hAnsi="宋体" w:cs="宋体"/>
                <w:color w:val="auto"/>
                <w:highlight w:val="none"/>
              </w:rPr>
            </w:pPr>
          </w:p>
        </w:tc>
      </w:tr>
      <w:tr w14:paraId="079E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A69D02">
            <w:pPr>
              <w:rPr>
                <w:rFonts w:ascii="宋体" w:hAnsi="宋体" w:cs="宋体"/>
                <w:color w:val="auto"/>
                <w:highlight w:val="none"/>
              </w:rPr>
            </w:pPr>
          </w:p>
        </w:tc>
        <w:tc>
          <w:tcPr>
            <w:tcW w:w="2787" w:type="dxa"/>
          </w:tcPr>
          <w:p w14:paraId="12FE46BC">
            <w:pPr>
              <w:rPr>
                <w:rFonts w:ascii="宋体" w:hAnsi="宋体" w:cs="宋体"/>
                <w:color w:val="auto"/>
                <w:highlight w:val="none"/>
              </w:rPr>
            </w:pPr>
          </w:p>
        </w:tc>
        <w:tc>
          <w:tcPr>
            <w:tcW w:w="2788" w:type="dxa"/>
          </w:tcPr>
          <w:p w14:paraId="46B093BE">
            <w:pPr>
              <w:rPr>
                <w:rFonts w:ascii="宋体" w:hAnsi="宋体" w:cs="宋体"/>
                <w:color w:val="auto"/>
                <w:highlight w:val="none"/>
              </w:rPr>
            </w:pPr>
          </w:p>
        </w:tc>
        <w:tc>
          <w:tcPr>
            <w:tcW w:w="2788" w:type="dxa"/>
          </w:tcPr>
          <w:p w14:paraId="42BF4F64">
            <w:pPr>
              <w:rPr>
                <w:rFonts w:ascii="宋体" w:hAnsi="宋体" w:cs="宋体"/>
                <w:color w:val="auto"/>
                <w:highlight w:val="none"/>
              </w:rPr>
            </w:pPr>
          </w:p>
        </w:tc>
      </w:tr>
      <w:tr w14:paraId="0340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84A3190">
            <w:pPr>
              <w:rPr>
                <w:rFonts w:ascii="宋体" w:hAnsi="宋体" w:cs="宋体"/>
                <w:color w:val="auto"/>
                <w:highlight w:val="none"/>
              </w:rPr>
            </w:pPr>
          </w:p>
        </w:tc>
        <w:tc>
          <w:tcPr>
            <w:tcW w:w="2787" w:type="dxa"/>
          </w:tcPr>
          <w:p w14:paraId="75E96D6B">
            <w:pPr>
              <w:rPr>
                <w:rFonts w:ascii="宋体" w:hAnsi="宋体" w:cs="宋体"/>
                <w:color w:val="auto"/>
                <w:highlight w:val="none"/>
              </w:rPr>
            </w:pPr>
          </w:p>
        </w:tc>
        <w:tc>
          <w:tcPr>
            <w:tcW w:w="2788" w:type="dxa"/>
          </w:tcPr>
          <w:p w14:paraId="51EB6FAD">
            <w:pPr>
              <w:rPr>
                <w:rFonts w:ascii="宋体" w:hAnsi="宋体" w:cs="宋体"/>
                <w:color w:val="auto"/>
                <w:highlight w:val="none"/>
              </w:rPr>
            </w:pPr>
          </w:p>
        </w:tc>
        <w:tc>
          <w:tcPr>
            <w:tcW w:w="2788" w:type="dxa"/>
          </w:tcPr>
          <w:p w14:paraId="0E7B2117">
            <w:pPr>
              <w:rPr>
                <w:rFonts w:ascii="宋体" w:hAnsi="宋体" w:cs="宋体"/>
                <w:color w:val="auto"/>
                <w:highlight w:val="none"/>
              </w:rPr>
            </w:pPr>
          </w:p>
        </w:tc>
      </w:tr>
      <w:tr w14:paraId="2353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8074AE">
            <w:pPr>
              <w:rPr>
                <w:rFonts w:ascii="宋体" w:hAnsi="宋体" w:cs="宋体"/>
                <w:color w:val="auto"/>
                <w:highlight w:val="none"/>
              </w:rPr>
            </w:pPr>
          </w:p>
        </w:tc>
        <w:tc>
          <w:tcPr>
            <w:tcW w:w="2787" w:type="dxa"/>
          </w:tcPr>
          <w:p w14:paraId="72DCDB37">
            <w:pPr>
              <w:rPr>
                <w:rFonts w:ascii="宋体" w:hAnsi="宋体" w:cs="宋体"/>
                <w:color w:val="auto"/>
                <w:highlight w:val="none"/>
              </w:rPr>
            </w:pPr>
          </w:p>
        </w:tc>
        <w:tc>
          <w:tcPr>
            <w:tcW w:w="2788" w:type="dxa"/>
          </w:tcPr>
          <w:p w14:paraId="409EBF83">
            <w:pPr>
              <w:rPr>
                <w:rFonts w:ascii="宋体" w:hAnsi="宋体" w:cs="宋体"/>
                <w:color w:val="auto"/>
                <w:highlight w:val="none"/>
              </w:rPr>
            </w:pPr>
          </w:p>
        </w:tc>
        <w:tc>
          <w:tcPr>
            <w:tcW w:w="2788" w:type="dxa"/>
          </w:tcPr>
          <w:p w14:paraId="69890ECF">
            <w:pPr>
              <w:rPr>
                <w:rFonts w:ascii="宋体" w:hAnsi="宋体" w:cs="宋体"/>
                <w:color w:val="auto"/>
                <w:highlight w:val="none"/>
              </w:rPr>
            </w:pPr>
          </w:p>
        </w:tc>
      </w:tr>
      <w:tr w14:paraId="3A00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280738">
            <w:pPr>
              <w:rPr>
                <w:rFonts w:ascii="宋体" w:hAnsi="宋体" w:cs="宋体"/>
                <w:color w:val="auto"/>
                <w:highlight w:val="none"/>
              </w:rPr>
            </w:pPr>
            <w:r>
              <w:rPr>
                <w:rFonts w:hint="eastAsia" w:ascii="宋体" w:hAnsi="宋体" w:cs="宋体"/>
                <w:color w:val="auto"/>
                <w:highlight w:val="none"/>
              </w:rPr>
              <w:t>……</w:t>
            </w:r>
          </w:p>
        </w:tc>
        <w:tc>
          <w:tcPr>
            <w:tcW w:w="2787" w:type="dxa"/>
          </w:tcPr>
          <w:p w14:paraId="02E8A170">
            <w:pPr>
              <w:rPr>
                <w:rFonts w:ascii="宋体" w:hAnsi="宋体" w:cs="宋体"/>
                <w:color w:val="auto"/>
                <w:highlight w:val="none"/>
              </w:rPr>
            </w:pPr>
          </w:p>
        </w:tc>
        <w:tc>
          <w:tcPr>
            <w:tcW w:w="2788" w:type="dxa"/>
          </w:tcPr>
          <w:p w14:paraId="4E20C202">
            <w:pPr>
              <w:rPr>
                <w:rFonts w:ascii="宋体" w:hAnsi="宋体" w:cs="宋体"/>
                <w:color w:val="auto"/>
                <w:highlight w:val="none"/>
              </w:rPr>
            </w:pPr>
          </w:p>
        </w:tc>
        <w:tc>
          <w:tcPr>
            <w:tcW w:w="2788" w:type="dxa"/>
          </w:tcPr>
          <w:p w14:paraId="246D619B">
            <w:pPr>
              <w:rPr>
                <w:rFonts w:ascii="宋体" w:hAnsi="宋体" w:cs="宋体"/>
                <w:color w:val="auto"/>
                <w:highlight w:val="none"/>
              </w:rPr>
            </w:pPr>
          </w:p>
        </w:tc>
      </w:tr>
    </w:tbl>
    <w:p w14:paraId="75AEB56B">
      <w:pPr>
        <w:spacing w:line="360" w:lineRule="auto"/>
        <w:ind w:firstLine="420" w:firstLineChars="200"/>
        <w:rPr>
          <w:rFonts w:ascii="宋体" w:hAnsi="宋体" w:cs="宋体"/>
          <w:color w:val="auto"/>
          <w:highlight w:val="none"/>
        </w:rPr>
      </w:pPr>
    </w:p>
    <w:p w14:paraId="2EE5C7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注：投标人必须对应采购文件</w:t>
      </w:r>
      <w:r>
        <w:rPr>
          <w:rFonts w:hint="eastAsia" w:asciiTheme="minorEastAsia" w:hAnsiTheme="minorEastAsia" w:eastAsiaTheme="minorEastAsia" w:cstheme="minorEastAsia"/>
          <w:color w:val="auto"/>
          <w:szCs w:val="21"/>
          <w:highlight w:val="none"/>
        </w:rPr>
        <w:t>“第三部分  采购需求”</w:t>
      </w:r>
      <w:r>
        <w:rPr>
          <w:rFonts w:hint="eastAsia" w:ascii="宋体" w:hAnsi="宋体" w:cs="宋体"/>
          <w:color w:val="auto"/>
          <w:highlight w:val="none"/>
        </w:rPr>
        <w:t>一般条款逐条应答并按要求填写上表。条款如要求提供的相关证明资料必须一并提供，否则视为不响应。</w:t>
      </w:r>
    </w:p>
    <w:p w14:paraId="60949DA2">
      <w:pPr>
        <w:spacing w:line="360" w:lineRule="auto"/>
        <w:rPr>
          <w:rFonts w:ascii="宋体" w:hAnsi="宋体" w:cs="宋体"/>
          <w:color w:val="auto"/>
          <w:highlight w:val="none"/>
        </w:rPr>
      </w:pPr>
    </w:p>
    <w:p w14:paraId="0AFA5F8A">
      <w:pPr>
        <w:spacing w:line="360" w:lineRule="auto"/>
        <w:ind w:firstLine="4410" w:firstLineChars="2100"/>
        <w:rPr>
          <w:rFonts w:ascii="宋体" w:hAnsi="宋体" w:cs="宋体"/>
          <w:color w:val="auto"/>
          <w:highlight w:val="none"/>
        </w:rPr>
      </w:pPr>
      <w:r>
        <w:rPr>
          <w:rFonts w:hint="eastAsia" w:ascii="宋体" w:hAnsi="宋体" w:cs="宋体"/>
          <w:color w:val="auto"/>
          <w:highlight w:val="none"/>
        </w:rPr>
        <w:t>法定代表人或其授权委托人（签名或印章）：</w:t>
      </w:r>
    </w:p>
    <w:p w14:paraId="4385130E">
      <w:pPr>
        <w:spacing w:line="360" w:lineRule="auto"/>
        <w:ind w:firstLine="4410" w:firstLineChars="2100"/>
        <w:rPr>
          <w:rFonts w:ascii="宋体" w:hAnsi="宋体" w:cs="宋体"/>
          <w:color w:val="auto"/>
          <w:highlight w:val="none"/>
        </w:rPr>
      </w:pPr>
      <w:r>
        <w:rPr>
          <w:rFonts w:hint="eastAsia" w:ascii="宋体" w:hAnsi="宋体" w:cs="宋体"/>
          <w:color w:val="auto"/>
          <w:highlight w:val="none"/>
        </w:rPr>
        <w:t>投标人（盖章）：</w:t>
      </w:r>
    </w:p>
    <w:p w14:paraId="68B56279">
      <w:pP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439D3F74">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7ACCCD75">
      <w:p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t>十、同类业绩情况一览表</w:t>
      </w:r>
    </w:p>
    <w:p w14:paraId="484DD85A">
      <w:pPr>
        <w:spacing w:line="360" w:lineRule="auto"/>
        <w:jc w:val="center"/>
        <w:rPr>
          <w:rFonts w:asciiTheme="minorEastAsia" w:hAnsiTheme="minorEastAsia" w:eastAsiaTheme="minorEastAsia" w:cstheme="minorEastAsia"/>
          <w:color w:val="auto"/>
          <w:highlight w:val="none"/>
        </w:rPr>
      </w:pPr>
    </w:p>
    <w:tbl>
      <w:tblPr>
        <w:tblStyle w:val="25"/>
        <w:tblW w:w="9796"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2D20B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0E72E06C">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16263EF4">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0CCC36C1">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6352BE8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357EEA10">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351EB1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E2368F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4AF2D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2093FCB">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303474FE">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6B13E33">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CA8A075">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21A2EA4">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2233356">
            <w:pPr>
              <w:spacing w:line="360" w:lineRule="auto"/>
              <w:jc w:val="left"/>
              <w:rPr>
                <w:rFonts w:asciiTheme="minorEastAsia" w:hAnsiTheme="minorEastAsia" w:eastAsiaTheme="minorEastAsia" w:cstheme="minorEastAsia"/>
                <w:color w:val="auto"/>
                <w:kern w:val="0"/>
                <w:sz w:val="24"/>
                <w:highlight w:val="none"/>
              </w:rPr>
            </w:pPr>
          </w:p>
        </w:tc>
      </w:tr>
      <w:tr w14:paraId="54B1C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1909ED9">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34A6D8F5">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16AF6AE">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88DD4FE">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1CCE20C">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7196064">
            <w:pPr>
              <w:spacing w:line="360" w:lineRule="auto"/>
              <w:jc w:val="left"/>
              <w:rPr>
                <w:rFonts w:asciiTheme="minorEastAsia" w:hAnsiTheme="minorEastAsia" w:eastAsiaTheme="minorEastAsia" w:cstheme="minorEastAsia"/>
                <w:color w:val="auto"/>
                <w:kern w:val="0"/>
                <w:sz w:val="24"/>
                <w:highlight w:val="none"/>
              </w:rPr>
            </w:pPr>
          </w:p>
        </w:tc>
      </w:tr>
      <w:tr w14:paraId="1670A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8954A5B">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31C783E6">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3E9B7A3">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F850BF6">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655AAF7">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8225B32">
            <w:pPr>
              <w:spacing w:line="360" w:lineRule="auto"/>
              <w:jc w:val="left"/>
              <w:rPr>
                <w:rFonts w:asciiTheme="minorEastAsia" w:hAnsiTheme="minorEastAsia" w:eastAsiaTheme="minorEastAsia" w:cstheme="minorEastAsia"/>
                <w:color w:val="auto"/>
                <w:kern w:val="0"/>
                <w:sz w:val="24"/>
                <w:highlight w:val="none"/>
              </w:rPr>
            </w:pPr>
          </w:p>
        </w:tc>
      </w:tr>
      <w:tr w14:paraId="4C4AD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AEF7BA6">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62986030">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6F18C2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34D6259">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44F0C83">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75AA082">
            <w:pPr>
              <w:spacing w:line="360" w:lineRule="auto"/>
              <w:jc w:val="left"/>
              <w:rPr>
                <w:rFonts w:asciiTheme="minorEastAsia" w:hAnsiTheme="minorEastAsia" w:eastAsiaTheme="minorEastAsia" w:cstheme="minorEastAsia"/>
                <w:color w:val="auto"/>
                <w:kern w:val="0"/>
                <w:sz w:val="24"/>
                <w:highlight w:val="none"/>
              </w:rPr>
            </w:pPr>
          </w:p>
        </w:tc>
      </w:tr>
      <w:tr w14:paraId="7198D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44EBCCE">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5A08F904">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EE944B4">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53A6087">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F48BD34">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1A085DB">
            <w:pPr>
              <w:spacing w:line="360" w:lineRule="auto"/>
              <w:jc w:val="left"/>
              <w:rPr>
                <w:rFonts w:asciiTheme="minorEastAsia" w:hAnsiTheme="minorEastAsia" w:eastAsiaTheme="minorEastAsia" w:cstheme="minorEastAsia"/>
                <w:color w:val="auto"/>
                <w:kern w:val="0"/>
                <w:sz w:val="24"/>
                <w:highlight w:val="none"/>
              </w:rPr>
            </w:pPr>
          </w:p>
        </w:tc>
      </w:tr>
    </w:tbl>
    <w:p w14:paraId="1FE79B24">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7D2D1BE9">
      <w:pPr>
        <w:spacing w:line="360" w:lineRule="auto"/>
        <w:jc w:val="left"/>
        <w:rPr>
          <w:rFonts w:asciiTheme="minorEastAsia" w:hAnsiTheme="minorEastAsia" w:eastAsiaTheme="minorEastAsia" w:cstheme="minorEastAsia"/>
          <w:color w:val="auto"/>
          <w:kern w:val="0"/>
          <w:sz w:val="24"/>
          <w:highlight w:val="none"/>
        </w:rPr>
      </w:pPr>
    </w:p>
    <w:p w14:paraId="406F3A6B">
      <w:pPr>
        <w:spacing w:line="360" w:lineRule="auto"/>
        <w:jc w:val="left"/>
        <w:rPr>
          <w:rFonts w:asciiTheme="minorEastAsia" w:hAnsiTheme="minorEastAsia" w:eastAsiaTheme="minorEastAsia" w:cstheme="minorEastAsia"/>
          <w:color w:val="auto"/>
          <w:kern w:val="0"/>
          <w:sz w:val="24"/>
          <w:highlight w:val="none"/>
        </w:rPr>
      </w:pPr>
    </w:p>
    <w:p w14:paraId="4A232173">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B152AD9">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4345D251">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370E9392">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54A322EC">
      <w:p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十一、</w:t>
      </w:r>
      <w:r>
        <w:rPr>
          <w:rFonts w:hint="eastAsia" w:asciiTheme="minorEastAsia" w:hAnsiTheme="minorEastAsia" w:eastAsiaTheme="minorEastAsia" w:cstheme="minorEastAsia"/>
          <w:b/>
          <w:color w:val="auto"/>
          <w:kern w:val="0"/>
          <w:sz w:val="32"/>
          <w:szCs w:val="32"/>
          <w:highlight w:val="none"/>
          <w:lang w:val="zh-CN"/>
        </w:rPr>
        <w:t>采购供应商廉洁自律承诺书</w:t>
      </w:r>
    </w:p>
    <w:p w14:paraId="62FFDA71">
      <w:pPr>
        <w:snapToGrid w:val="0"/>
        <w:spacing w:line="360" w:lineRule="auto"/>
        <w:rPr>
          <w:rFonts w:asciiTheme="minorEastAsia" w:hAnsiTheme="minorEastAsia" w:eastAsiaTheme="minorEastAsia" w:cstheme="minorEastAsia"/>
          <w:color w:val="auto"/>
          <w:sz w:val="24"/>
          <w:highlight w:val="none"/>
        </w:rPr>
      </w:pPr>
    </w:p>
    <w:p w14:paraId="4760EB42">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5A5F87D5">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58439B5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2322FF28">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5805BDD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5A73125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6F4C0BF0">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4A26F6C2">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1C50E63">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254EC32F">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7E62FE46">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49DDFC48">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7DE2D821">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702EA935">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2C8D98E">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3912182">
      <w:pPr>
        <w:spacing w:line="360" w:lineRule="auto"/>
        <w:ind w:left="4620" w:leftChars="2200"/>
        <w:rPr>
          <w:rFonts w:asciiTheme="minorEastAsia" w:hAnsiTheme="minorEastAsia" w:eastAsiaTheme="minorEastAsia" w:cstheme="minorEastAsia"/>
          <w:color w:val="auto"/>
          <w:sz w:val="24"/>
          <w:highlight w:val="none"/>
        </w:rPr>
      </w:pPr>
    </w:p>
    <w:p w14:paraId="37EE4BA9">
      <w:pPr>
        <w:spacing w:line="360" w:lineRule="auto"/>
        <w:jc w:val="center"/>
        <w:rPr>
          <w:rFonts w:asciiTheme="minorEastAsia" w:hAnsiTheme="minorEastAsia" w:eastAsiaTheme="minorEastAsia" w:cstheme="minorEastAsia"/>
          <w:b/>
          <w:bCs/>
          <w:color w:val="auto"/>
          <w:sz w:val="24"/>
          <w:highlight w:val="none"/>
        </w:rPr>
      </w:pPr>
    </w:p>
    <w:p w14:paraId="6B7BC212">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21A0BE0">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8DCB6C2">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77551B2C">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158F96B4">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2076B6C1">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6C1EB246">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中小企业声明函（如有）；</w:t>
      </w:r>
    </w:p>
    <w:p w14:paraId="4AEC67F0">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残疾人福利性单位声明函（如有）；</w:t>
      </w:r>
    </w:p>
    <w:p w14:paraId="17EEAD52">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监狱企业的证明文件（如有）；</w:t>
      </w:r>
    </w:p>
    <w:p w14:paraId="362845E9">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5采购采购统计基础信息表；</w:t>
      </w:r>
    </w:p>
    <w:p w14:paraId="6C5B6937">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其他资料（如有）。</w:t>
      </w:r>
    </w:p>
    <w:p w14:paraId="3A762115">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32FC2862">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A22BB37">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一、报价一览表（初次报价表）</w:t>
      </w:r>
    </w:p>
    <w:p w14:paraId="3DFC1A4D">
      <w:pPr>
        <w:snapToGrid w:val="0"/>
        <w:rPr>
          <w:rFonts w:ascii="宋体" w:hAnsi="宋体" w:cs="仿宋"/>
          <w:color w:val="auto"/>
          <w:kern w:val="0"/>
          <w:sz w:val="24"/>
          <w:highlight w:val="none"/>
          <w:u w:val="single"/>
        </w:rPr>
      </w:pPr>
      <w:r>
        <w:rPr>
          <w:rFonts w:hint="eastAsia" w:ascii="宋体" w:hAnsi="宋体" w:cs="仿宋"/>
          <w:color w:val="auto"/>
          <w:sz w:val="24"/>
          <w:highlight w:val="none"/>
        </w:rPr>
        <w:t>（采购人）、（采购代理机构）</w:t>
      </w:r>
      <w:r>
        <w:rPr>
          <w:rFonts w:hint="eastAsia" w:ascii="宋体" w:hAnsi="宋体" w:cs="仿宋"/>
          <w:color w:val="auto"/>
          <w:kern w:val="0"/>
          <w:sz w:val="24"/>
          <w:highlight w:val="none"/>
          <w:lang w:val="zh-CN"/>
        </w:rPr>
        <w:t>：</w:t>
      </w:r>
      <w:r>
        <w:rPr>
          <w:rFonts w:hint="eastAsia" w:ascii="宋体" w:hAnsi="宋体" w:cs="仿宋"/>
          <w:color w:val="auto"/>
          <w:kern w:val="0"/>
          <w:sz w:val="24"/>
          <w:highlight w:val="none"/>
          <w:u w:val="single"/>
        </w:rPr>
        <w:t xml:space="preserve">                                     </w:t>
      </w:r>
    </w:p>
    <w:p w14:paraId="578407C0">
      <w:pPr>
        <w:snapToGrid w:val="0"/>
        <w:ind w:firstLine="482"/>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仿宋"/>
          <w:color w:val="auto"/>
          <w:sz w:val="24"/>
          <w:highlight w:val="none"/>
        </w:rPr>
        <w:t>（项目名称）</w:t>
      </w:r>
      <w:r>
        <w:rPr>
          <w:rFonts w:hint="eastAsia" w:ascii="宋体" w:hAnsi="宋体" w:cs="仿宋"/>
          <w:color w:val="auto"/>
          <w:kern w:val="0"/>
          <w:sz w:val="24"/>
          <w:highlight w:val="none"/>
          <w:lang w:val="zh-CN"/>
        </w:rPr>
        <w:t>【招标编号：</w:t>
      </w:r>
      <w:r>
        <w:rPr>
          <w:rFonts w:hint="eastAsia" w:ascii="宋体" w:hAnsi="宋体" w:cs="仿宋"/>
          <w:color w:val="auto"/>
          <w:sz w:val="24"/>
          <w:highlight w:val="none"/>
        </w:rPr>
        <w:t>（采购编号）】的实施</w:t>
      </w:r>
      <w:r>
        <w:rPr>
          <w:rFonts w:hint="eastAsia" w:ascii="宋体" w:hAnsi="宋体" w:cs="仿宋"/>
          <w:color w:val="auto"/>
          <w:kern w:val="0"/>
          <w:sz w:val="24"/>
          <w:highlight w:val="none"/>
          <w:lang w:val="zh-CN"/>
        </w:rPr>
        <w:t>。</w:t>
      </w:r>
    </w:p>
    <w:p w14:paraId="7B9FB27A">
      <w:pPr>
        <w:jc w:val="center"/>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开标一览表（报价表）(单位均为人民币元)</w:t>
      </w:r>
    </w:p>
    <w:tbl>
      <w:tblPr>
        <w:tblStyle w:val="25"/>
        <w:tblW w:w="8662"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2825"/>
        <w:gridCol w:w="2400"/>
      </w:tblGrid>
      <w:tr w14:paraId="20BA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262" w:type="dxa"/>
            <w:gridSpan w:val="2"/>
            <w:vAlign w:val="center"/>
          </w:tcPr>
          <w:p w14:paraId="2F7A906C">
            <w:pPr>
              <w:spacing w:line="360" w:lineRule="auto"/>
              <w:jc w:val="center"/>
              <w:rPr>
                <w:rFonts w:ascii="宋体" w:hAnsi="宋体" w:cs="仿宋"/>
                <w:color w:val="auto"/>
                <w:sz w:val="24"/>
                <w:highlight w:val="none"/>
              </w:rPr>
            </w:pPr>
            <w:r>
              <w:rPr>
                <w:rFonts w:hint="eastAsia" w:ascii="宋体" w:hAnsi="宋体" w:cs="仿宋"/>
                <w:color w:val="auto"/>
                <w:sz w:val="24"/>
                <w:highlight w:val="none"/>
              </w:rPr>
              <w:t>项目名称</w:t>
            </w:r>
          </w:p>
        </w:tc>
        <w:tc>
          <w:tcPr>
            <w:tcW w:w="2400" w:type="dxa"/>
            <w:vAlign w:val="center"/>
          </w:tcPr>
          <w:p w14:paraId="03510256">
            <w:pPr>
              <w:spacing w:line="360" w:lineRule="auto"/>
              <w:jc w:val="center"/>
              <w:rPr>
                <w:rFonts w:ascii="宋体" w:hAnsi="宋体" w:cs="仿宋"/>
                <w:color w:val="auto"/>
                <w:sz w:val="24"/>
                <w:highlight w:val="none"/>
              </w:rPr>
            </w:pPr>
            <w:r>
              <w:rPr>
                <w:rFonts w:hint="eastAsia" w:ascii="宋体" w:hAnsi="宋体" w:cs="仿宋"/>
                <w:color w:val="auto"/>
                <w:sz w:val="24"/>
                <w:highlight w:val="none"/>
              </w:rPr>
              <w:t>备注</w:t>
            </w:r>
          </w:p>
        </w:tc>
      </w:tr>
      <w:tr w14:paraId="7818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262" w:type="dxa"/>
            <w:gridSpan w:val="2"/>
            <w:vAlign w:val="center"/>
          </w:tcPr>
          <w:p w14:paraId="04B36044">
            <w:pPr>
              <w:spacing w:line="360" w:lineRule="auto"/>
              <w:jc w:val="center"/>
              <w:rPr>
                <w:rFonts w:ascii="宋体" w:hAnsi="宋体" w:cs="仿宋"/>
                <w:color w:val="auto"/>
                <w:sz w:val="24"/>
                <w:highlight w:val="none"/>
              </w:rPr>
            </w:pPr>
          </w:p>
        </w:tc>
        <w:tc>
          <w:tcPr>
            <w:tcW w:w="2400" w:type="dxa"/>
            <w:vAlign w:val="center"/>
          </w:tcPr>
          <w:p w14:paraId="7B99EF02">
            <w:pPr>
              <w:spacing w:line="360" w:lineRule="auto"/>
              <w:jc w:val="center"/>
              <w:rPr>
                <w:rFonts w:ascii="宋体" w:hAnsi="宋体" w:cs="仿宋"/>
                <w:color w:val="auto"/>
                <w:sz w:val="24"/>
                <w:highlight w:val="none"/>
              </w:rPr>
            </w:pPr>
          </w:p>
        </w:tc>
      </w:tr>
      <w:tr w14:paraId="7AB4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437" w:type="dxa"/>
            <w:vAlign w:val="center"/>
          </w:tcPr>
          <w:p w14:paraId="19134594">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投标报价（小写）</w:t>
            </w:r>
          </w:p>
        </w:tc>
        <w:tc>
          <w:tcPr>
            <w:tcW w:w="5225" w:type="dxa"/>
            <w:gridSpan w:val="2"/>
            <w:vAlign w:val="center"/>
          </w:tcPr>
          <w:p w14:paraId="7C4F797D">
            <w:pPr>
              <w:spacing w:line="360" w:lineRule="auto"/>
              <w:jc w:val="center"/>
              <w:rPr>
                <w:rFonts w:ascii="宋体" w:hAnsi="宋体" w:cs="仿宋"/>
                <w:color w:val="auto"/>
                <w:sz w:val="24"/>
                <w:highlight w:val="none"/>
              </w:rPr>
            </w:pPr>
          </w:p>
        </w:tc>
      </w:tr>
      <w:tr w14:paraId="6FFA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437" w:type="dxa"/>
            <w:vAlign w:val="center"/>
          </w:tcPr>
          <w:p w14:paraId="7501BC78">
            <w:pPr>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投标报价（大写）</w:t>
            </w:r>
          </w:p>
        </w:tc>
        <w:tc>
          <w:tcPr>
            <w:tcW w:w="5225" w:type="dxa"/>
            <w:gridSpan w:val="2"/>
            <w:vAlign w:val="center"/>
          </w:tcPr>
          <w:p w14:paraId="1F8D2DB0">
            <w:pPr>
              <w:spacing w:line="360" w:lineRule="auto"/>
              <w:jc w:val="center"/>
              <w:rPr>
                <w:rFonts w:ascii="宋体" w:hAnsi="宋体" w:cs="仿宋"/>
                <w:color w:val="auto"/>
                <w:sz w:val="24"/>
                <w:highlight w:val="none"/>
              </w:rPr>
            </w:pPr>
          </w:p>
        </w:tc>
      </w:tr>
    </w:tbl>
    <w:p w14:paraId="20120619">
      <w:pPr>
        <w:snapToGrid w:val="0"/>
        <w:ind w:left="480"/>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注：</w:t>
      </w:r>
    </w:p>
    <w:p w14:paraId="3A800EA4">
      <w:pPr>
        <w:ind w:left="-2" w:leftChars="-1"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1、投标人需按本表格式填写，不得自行更改。</w:t>
      </w:r>
    </w:p>
    <w:p w14:paraId="2CE22A64">
      <w:pPr>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2、有关本项目实施所涉及的一切费用均计入报价。</w:t>
      </w:r>
      <w:r>
        <w:rPr>
          <w:rFonts w:hint="eastAsia" w:ascii="宋体" w:hAnsi="宋体" w:cs="仿宋"/>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仿宋"/>
          <w:color w:val="auto"/>
          <w:kern w:val="0"/>
          <w:sz w:val="24"/>
          <w:highlight w:val="none"/>
          <w:lang w:val="zh-CN"/>
        </w:rPr>
        <w:t>，</w:t>
      </w:r>
      <w:r>
        <w:rPr>
          <w:rFonts w:hint="eastAsia" w:ascii="宋体" w:hAnsi="宋体" w:cs="仿宋"/>
          <w:b/>
          <w:color w:val="auto"/>
          <w:kern w:val="0"/>
          <w:sz w:val="24"/>
          <w:highlight w:val="none"/>
          <w:lang w:val="zh-CN"/>
        </w:rPr>
        <w:t>不得出现“0元”“免费赠送”等形式的无偿报价，</w:t>
      </w:r>
      <w:r>
        <w:rPr>
          <w:rFonts w:hint="eastAsia" w:ascii="宋体" w:hAnsi="宋体" w:cs="仿宋"/>
          <w:b/>
          <w:color w:val="auto"/>
          <w:kern w:val="0"/>
          <w:sz w:val="24"/>
          <w:highlight w:val="none"/>
        </w:rPr>
        <w:t>否则视为</w:t>
      </w:r>
      <w:r>
        <w:rPr>
          <w:rFonts w:hint="eastAsia" w:ascii="宋体" w:hAnsi="宋体" w:cs="仿宋"/>
          <w:b/>
          <w:color w:val="auto"/>
          <w:sz w:val="24"/>
          <w:highlight w:val="none"/>
        </w:rPr>
        <w:t>投标文件含有采购人不能接受的附加条件的，投标无效</w:t>
      </w:r>
      <w:r>
        <w:rPr>
          <w:rFonts w:hint="eastAsia" w:ascii="宋体" w:hAnsi="宋体" w:cs="仿宋"/>
          <w:b/>
          <w:color w:val="auto"/>
          <w:kern w:val="0"/>
          <w:sz w:val="24"/>
          <w:highlight w:val="none"/>
          <w:lang w:val="zh-CN"/>
        </w:rPr>
        <w:t>。</w:t>
      </w:r>
    </w:p>
    <w:p w14:paraId="36D8FFA8">
      <w:pPr>
        <w:pStyle w:val="33"/>
        <w:ind w:firstLine="0" w:firstLineChars="0"/>
        <w:rPr>
          <w:rFonts w:ascii="宋体" w:hAnsi="宋体" w:eastAsia="宋体" w:cs="仿宋"/>
          <w:color w:val="auto"/>
          <w:sz w:val="32"/>
          <w:szCs w:val="32"/>
          <w:highlight w:val="none"/>
        </w:rPr>
      </w:pPr>
    </w:p>
    <w:p w14:paraId="1858976A">
      <w:pPr>
        <w:pStyle w:val="33"/>
        <w:ind w:firstLine="0" w:firstLineChars="0"/>
        <w:rPr>
          <w:rFonts w:ascii="宋体" w:hAnsi="宋体" w:eastAsia="宋体" w:cs="仿宋"/>
          <w:color w:val="auto"/>
          <w:sz w:val="32"/>
          <w:szCs w:val="32"/>
          <w:highlight w:val="none"/>
        </w:rPr>
      </w:pPr>
    </w:p>
    <w:p w14:paraId="6D8DD482">
      <w:pPr>
        <w:rPr>
          <w:rFonts w:ascii="宋体" w:hAnsi="宋体" w:cs="仿宋"/>
          <w:color w:val="auto"/>
          <w:sz w:val="24"/>
          <w:highlight w:val="none"/>
        </w:rPr>
      </w:pPr>
      <w:r>
        <w:rPr>
          <w:rFonts w:hint="eastAsia" w:ascii="宋体" w:hAnsi="宋体" w:cs="仿宋"/>
          <w:color w:val="auto"/>
          <w:sz w:val="24"/>
          <w:highlight w:val="none"/>
        </w:rPr>
        <w:t xml:space="preserve">法定代表人或其授权委托人（签名或印章）：        </w:t>
      </w:r>
    </w:p>
    <w:p w14:paraId="06DF27FD">
      <w:pPr>
        <w:rPr>
          <w:rFonts w:ascii="宋体" w:hAnsi="宋体" w:cs="仿宋"/>
          <w:color w:val="auto"/>
          <w:sz w:val="24"/>
          <w:highlight w:val="none"/>
        </w:rPr>
      </w:pPr>
      <w:r>
        <w:rPr>
          <w:rFonts w:hint="eastAsia" w:ascii="宋体" w:hAnsi="宋体" w:cs="仿宋"/>
          <w:color w:val="auto"/>
          <w:sz w:val="24"/>
          <w:highlight w:val="none"/>
        </w:rPr>
        <w:t xml:space="preserve">投标人（盖章）：         </w:t>
      </w:r>
    </w:p>
    <w:p w14:paraId="343DBDD3">
      <w:pPr>
        <w:rPr>
          <w:rFonts w:ascii="宋体" w:hAnsi="宋体" w:cs="仿宋"/>
          <w:color w:val="auto"/>
          <w:sz w:val="24"/>
          <w:highlight w:val="none"/>
        </w:rPr>
      </w:pPr>
      <w:r>
        <w:rPr>
          <w:rFonts w:hint="eastAsia" w:ascii="宋体" w:hAnsi="宋体" w:cs="仿宋"/>
          <w:color w:val="auto"/>
          <w:sz w:val="24"/>
          <w:highlight w:val="none"/>
        </w:rPr>
        <w:t xml:space="preserve">日  期： </w:t>
      </w:r>
    </w:p>
    <w:p w14:paraId="7FD048E8">
      <w:pPr>
        <w:pStyle w:val="33"/>
        <w:ind w:firstLine="480"/>
        <w:rPr>
          <w:rFonts w:ascii="宋体" w:hAnsi="宋体" w:cs="仿宋"/>
          <w:color w:val="auto"/>
          <w:sz w:val="24"/>
          <w:highlight w:val="none"/>
        </w:rPr>
        <w:sectPr>
          <w:pgSz w:w="11906" w:h="16838"/>
          <w:pgMar w:top="1247" w:right="1418" w:bottom="1276" w:left="1418" w:header="851" w:footer="992" w:gutter="0"/>
          <w:cols w:space="720" w:num="1"/>
          <w:titlePg/>
          <w:docGrid w:linePitch="312" w:charSpace="0"/>
        </w:sectPr>
      </w:pPr>
    </w:p>
    <w:p w14:paraId="7FDB9093">
      <w:pPr>
        <w:pStyle w:val="45"/>
        <w:keepNext w:val="0"/>
        <w:pageBreakBefore w:val="0"/>
        <w:tabs>
          <w:tab w:val="clear" w:pos="720"/>
        </w:tabs>
        <w:snapToGrid w:val="0"/>
        <w:spacing w:before="120" w:after="120"/>
        <w:ind w:firstLine="321" w:firstLineChars="100"/>
        <w:outlineLvl w:val="9"/>
        <w:rPr>
          <w:rFonts w:ascii="宋体" w:hAnsi="宋体" w:eastAsia="宋体" w:cs="仿宋"/>
          <w:color w:val="auto"/>
          <w:sz w:val="32"/>
          <w:szCs w:val="32"/>
          <w:highlight w:val="none"/>
        </w:rPr>
      </w:pPr>
      <w:r>
        <w:rPr>
          <w:rFonts w:hint="eastAsia" w:ascii="宋体" w:hAnsi="宋体" w:eastAsia="宋体" w:cs="仿宋"/>
          <w:color w:val="auto"/>
          <w:kern w:val="2"/>
          <w:sz w:val="32"/>
          <w:szCs w:val="32"/>
          <w:highlight w:val="none"/>
        </w:rPr>
        <w:t>二、</w:t>
      </w:r>
      <w:r>
        <w:rPr>
          <w:rFonts w:hint="eastAsia" w:ascii="宋体" w:hAnsi="宋体" w:eastAsia="宋体" w:cs="仿宋"/>
          <w:color w:val="auto"/>
          <w:sz w:val="32"/>
          <w:szCs w:val="32"/>
          <w:highlight w:val="none"/>
        </w:rPr>
        <w:t>中小企业声明函</w:t>
      </w:r>
    </w:p>
    <w:p w14:paraId="53D96BF4">
      <w:pPr>
        <w:widowControl/>
        <w:spacing w:line="360" w:lineRule="auto"/>
        <w:ind w:firstLine="120" w:firstLineChars="50"/>
        <w:jc w:val="left"/>
        <w:rPr>
          <w:rFonts w:ascii="宋体" w:hAnsi="宋体" w:cs="仿宋"/>
          <w:b/>
          <w:color w:val="auto"/>
          <w:sz w:val="24"/>
          <w:highlight w:val="none"/>
        </w:rPr>
      </w:pPr>
      <w:r>
        <w:rPr>
          <w:rFonts w:hint="eastAsia" w:ascii="宋体" w:hAnsi="宋体"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C65BAA2">
      <w:pP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5640260D">
      <w:pPr>
        <w:snapToGrid w:val="0"/>
        <w:spacing w:line="360" w:lineRule="auto"/>
        <w:ind w:firstLine="480" w:firstLineChars="200"/>
        <w:rPr>
          <w:rFonts w:ascii="宋体" w:hAnsi="宋体"/>
          <w:color w:val="auto"/>
          <w:sz w:val="24"/>
          <w:highlight w:val="none"/>
        </w:rPr>
      </w:pPr>
      <w:r>
        <w:rPr>
          <w:rFonts w:hint="eastAsia" w:ascii="宋体" w:hAnsi="宋体" w:cs="仿宋"/>
          <w:color w:val="auto"/>
          <w:kern w:val="0"/>
          <w:sz w:val="24"/>
          <w:highlight w:val="none"/>
        </w:rPr>
        <w:t>本公司郑重声明，根据《政府采购促进中小企业发展管理办法》（财库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号）的规定，本公司参加</w:t>
      </w:r>
      <w:r>
        <w:rPr>
          <w:rFonts w:hint="eastAsia" w:ascii="宋体" w:hAnsi="宋体" w:cs="仿宋"/>
          <w:color w:val="auto"/>
          <w:kern w:val="0"/>
          <w:sz w:val="24"/>
          <w:highlight w:val="none"/>
          <w:u w:val="single"/>
        </w:rPr>
        <w:t xml:space="preserve"> </w:t>
      </w:r>
      <w:r>
        <w:rPr>
          <w:rFonts w:hint="eastAsia" w:ascii="宋体" w:hAnsi="宋体" w:eastAsia="宋体" w:cs="宋体"/>
          <w:color w:val="auto"/>
          <w:sz w:val="24"/>
          <w:highlight w:val="none"/>
          <w:u w:val="single"/>
        </w:rPr>
        <w:t>宁波市奉化区棒集文化旅游发展有限公司</w:t>
      </w:r>
      <w:r>
        <w:rPr>
          <w:rFonts w:hint="eastAsia" w:ascii="宋体" w:hAnsi="宋体" w:cs="宋体"/>
          <w:color w:val="auto"/>
          <w:sz w:val="24"/>
          <w:highlight w:val="none"/>
          <w:u w:val="single"/>
          <w:lang w:val="en-US" w:eastAsia="zh-CN"/>
        </w:rPr>
        <w:t xml:space="preserve"> </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 xml:space="preserve"> </w:t>
      </w:r>
      <w:r>
        <w:rPr>
          <w:rFonts w:hint="eastAsia" w:ascii="宋体" w:hAnsi="宋体" w:eastAsia="宋体" w:cs="宋体"/>
          <w:color w:val="auto"/>
          <w:sz w:val="24"/>
          <w:highlight w:val="none"/>
          <w:u w:val="single"/>
        </w:rPr>
        <w:t>2025年蜜桃音乐节舞美搭建及宣传服务项目</w:t>
      </w:r>
      <w:r>
        <w:rPr>
          <w:rFonts w:hint="eastAsia" w:ascii="宋体" w:hAnsi="宋体" w:cs="宋体"/>
          <w:color w:val="auto"/>
          <w:sz w:val="24"/>
          <w:highlight w:val="none"/>
          <w:u w:val="single"/>
          <w:lang w:val="en-US" w:eastAsia="zh-CN"/>
        </w:rPr>
        <w:t xml:space="preserve"> </w:t>
      </w:r>
      <w:r>
        <w:rPr>
          <w:rFonts w:hint="eastAsia" w:ascii="宋体" w:hAnsi="宋体" w:cs="仿宋"/>
          <w:color w:val="auto"/>
          <w:kern w:val="0"/>
          <w:sz w:val="24"/>
          <w:highlight w:val="none"/>
        </w:rPr>
        <w:t>采购活动，服务全部由符合政策要求的中小企业承接。相关企业（含签订分包意向协议的中小企业）的具体情况如下：</w:t>
      </w:r>
      <w:r>
        <w:rPr>
          <w:rFonts w:ascii="宋体" w:hAnsi="宋体"/>
          <w:color w:val="auto"/>
          <w:sz w:val="24"/>
          <w:highlight w:val="none"/>
        </w:rPr>
        <w:t xml:space="preserve"> </w:t>
      </w:r>
    </w:p>
    <w:p w14:paraId="29A26234">
      <w:pPr>
        <w:snapToGrid w:val="0"/>
        <w:spacing w:line="360" w:lineRule="auto"/>
        <w:ind w:firstLine="240" w:firstLineChars="100"/>
        <w:rPr>
          <w:rFonts w:ascii="宋体" w:hAnsi="宋体" w:cs="仿宋"/>
          <w:color w:val="auto"/>
          <w:kern w:val="0"/>
          <w:sz w:val="24"/>
          <w:highlight w:val="none"/>
        </w:rPr>
      </w:pPr>
      <w:r>
        <w:rPr>
          <w:rFonts w:hint="eastAsia" w:ascii="宋体" w:hAnsi="宋体" w:eastAsia="宋体" w:cs="宋体"/>
          <w:color w:val="auto"/>
          <w:sz w:val="24"/>
          <w:highlight w:val="none"/>
          <w:u w:val="single"/>
        </w:rPr>
        <w:t>2025年蜜桃音乐节舞美搭建及宣传服务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w:t>
      </w:r>
      <w:r>
        <w:rPr>
          <w:rFonts w:hint="eastAsia" w:ascii="宋体" w:hAnsi="宋体" w:cs="仿宋"/>
          <w:color w:val="auto"/>
          <w:kern w:val="0"/>
          <w:sz w:val="24"/>
          <w:highlight w:val="none"/>
        </w:rPr>
        <w:t>属于</w:t>
      </w:r>
      <w:r>
        <w:rPr>
          <w:rFonts w:hint="eastAsia" w:cs="仿宋" w:asciiTheme="majorEastAsia" w:hAnsiTheme="majorEastAsia" w:eastAsiaTheme="majorEastAsia"/>
          <w:color w:val="auto"/>
          <w:sz w:val="24"/>
          <w:highlight w:val="none"/>
          <w:u w:val="single"/>
        </w:rPr>
        <w:t xml:space="preserve"> </w:t>
      </w:r>
      <w:r>
        <w:rPr>
          <w:rFonts w:hint="eastAsia" w:ascii="宋体" w:hAnsi="宋体" w:cs="宋体"/>
          <w:color w:val="auto"/>
          <w:sz w:val="24"/>
          <w:highlight w:val="none"/>
          <w:u w:val="single"/>
        </w:rPr>
        <w:t>租赁和商务服务业</w:t>
      </w:r>
      <w:r>
        <w:rPr>
          <w:rFonts w:hint="eastAsia" w:cs="仿宋" w:asciiTheme="majorEastAsia" w:hAnsiTheme="majorEastAsia" w:eastAsiaTheme="majorEastAsia"/>
          <w:color w:val="auto"/>
          <w:sz w:val="24"/>
          <w:highlight w:val="none"/>
          <w:u w:val="single"/>
        </w:rPr>
        <w:t xml:space="preserve"> </w:t>
      </w:r>
      <w:r>
        <w:rPr>
          <w:rFonts w:hint="eastAsia" w:ascii="宋体" w:hAnsi="宋体" w:cs="仿宋"/>
          <w:color w:val="auto"/>
          <w:kern w:val="0"/>
          <w:sz w:val="24"/>
          <w:highlight w:val="none"/>
        </w:rPr>
        <w:t>；承接企业为</w:t>
      </w:r>
      <w:r>
        <w:rPr>
          <w:rFonts w:hint="eastAsia" w:ascii="宋体" w:hAnsi="宋体" w:cs="仿宋"/>
          <w:color w:val="auto"/>
          <w:kern w:val="0"/>
          <w:sz w:val="24"/>
          <w:highlight w:val="none"/>
          <w:u w:val="single"/>
        </w:rPr>
        <w:t xml:space="preserve">  （企业名称）  </w:t>
      </w:r>
      <w:r>
        <w:rPr>
          <w:rFonts w:hint="eastAsia" w:ascii="宋体" w:hAnsi="宋体" w:cs="仿宋"/>
          <w:color w:val="auto"/>
          <w:kern w:val="0"/>
          <w:sz w:val="24"/>
          <w:highlight w:val="none"/>
        </w:rPr>
        <w:t>，从业人员</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人，营业收入为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万元，资产总额为</w:t>
      </w:r>
      <w:r>
        <w:rPr>
          <w:rFonts w:hint="eastAsia" w:ascii="宋体" w:hAnsi="宋体" w:cs="仿宋"/>
          <w:color w:val="auto"/>
          <w:kern w:val="0"/>
          <w:sz w:val="24"/>
          <w:highlight w:val="none"/>
          <w:u w:val="single"/>
        </w:rPr>
        <w:t xml:space="preserve">       </w:t>
      </w:r>
      <w:r>
        <w:rPr>
          <w:rFonts w:ascii="宋体" w:hAnsi="宋体" w:cs="仿宋"/>
          <w:color w:val="auto"/>
          <w:kern w:val="0"/>
          <w:sz w:val="24"/>
          <w:highlight w:val="none"/>
          <w:u w:val="single"/>
        </w:rPr>
        <w:t xml:space="preserve">   </w:t>
      </w:r>
      <w:r>
        <w:rPr>
          <w:rFonts w:hint="eastAsia" w:ascii="宋体" w:hAnsi="宋体" w:cs="仿宋"/>
          <w:color w:val="auto"/>
          <w:kern w:val="0"/>
          <w:sz w:val="24"/>
          <w:highlight w:val="none"/>
        </w:rPr>
        <w:t>万元，属于</w:t>
      </w:r>
      <w:r>
        <w:rPr>
          <w:rFonts w:hint="eastAsia" w:ascii="宋体" w:hAnsi="宋体" w:cs="仿宋"/>
          <w:color w:val="auto"/>
          <w:kern w:val="0"/>
          <w:sz w:val="24"/>
          <w:highlight w:val="none"/>
          <w:u w:val="single"/>
        </w:rPr>
        <w:t xml:space="preserve">         （中型企业、小型企业、微型企业）</w:t>
      </w:r>
      <w:r>
        <w:rPr>
          <w:rFonts w:hint="eastAsia" w:ascii="宋体" w:hAnsi="宋体" w:cs="仿宋"/>
          <w:color w:val="auto"/>
          <w:kern w:val="0"/>
          <w:sz w:val="24"/>
          <w:highlight w:val="none"/>
        </w:rPr>
        <w:t>；</w:t>
      </w:r>
    </w:p>
    <w:p w14:paraId="74B3A9C8">
      <w:pPr>
        <w:snapToGrid w:val="0"/>
        <w:spacing w:line="360" w:lineRule="auto"/>
        <w:ind w:firstLine="600" w:firstLineChars="25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1D898452">
      <w:pPr>
        <w:snapToGrid w:val="0"/>
        <w:spacing w:line="360" w:lineRule="auto"/>
        <w:ind w:firstLine="600" w:firstLineChars="250"/>
        <w:rPr>
          <w:rFonts w:ascii="宋体" w:hAnsi="宋体"/>
          <w:color w:val="auto"/>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469A12A2">
      <w:pPr>
        <w:snapToGrid w:val="0"/>
        <w:spacing w:line="360" w:lineRule="auto"/>
        <w:ind w:firstLine="600" w:firstLineChars="250"/>
        <w:rPr>
          <w:rFonts w:ascii="宋体" w:hAnsi="宋体"/>
          <w:color w:val="auto"/>
          <w:sz w:val="24"/>
          <w:highlight w:val="none"/>
        </w:rPr>
      </w:pPr>
    </w:p>
    <w:p w14:paraId="59BD6D0F">
      <w:pPr>
        <w:snapToGrid w:val="0"/>
        <w:spacing w:line="360" w:lineRule="auto"/>
        <w:ind w:firstLine="3960" w:firstLineChars="165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 xml:space="preserve">名称（盖章）： </w:t>
      </w:r>
    </w:p>
    <w:p w14:paraId="6D5BAF94">
      <w:pPr>
        <w:snapToGrid w:val="0"/>
        <w:spacing w:line="360" w:lineRule="auto"/>
        <w:ind w:firstLine="3960" w:firstLineChars="1650"/>
        <w:rPr>
          <w:rFonts w:ascii="宋体" w:hAnsi="宋体"/>
          <w:color w:val="auto"/>
          <w:sz w:val="24"/>
          <w:highlight w:val="none"/>
        </w:rPr>
      </w:pPr>
      <w:r>
        <w:rPr>
          <w:rFonts w:ascii="宋体" w:hAnsi="宋体"/>
          <w:color w:val="auto"/>
          <w:sz w:val="24"/>
          <w:highlight w:val="none"/>
        </w:rPr>
        <w:t>日 期：</w:t>
      </w:r>
    </w:p>
    <w:p w14:paraId="639966C6">
      <w:pPr>
        <w:spacing w:line="360" w:lineRule="auto"/>
        <w:ind w:firstLine="310" w:firstLineChars="147"/>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Cs w:val="21"/>
          <w:highlight w:val="none"/>
        </w:rPr>
        <w:t>从业人员、营业收入、资产总额填报上一年度数据，无上一年度数据的新成立企业可不填报。</w:t>
      </w:r>
    </w:p>
    <w:p w14:paraId="4FE9713A">
      <w:pPr>
        <w:spacing w:line="400" w:lineRule="exact"/>
        <w:jc w:val="center"/>
        <w:rPr>
          <w:rFonts w:cs="仿宋" w:asciiTheme="majorEastAsia" w:hAnsiTheme="majorEastAsia" w:eastAsiaTheme="majorEastAsia"/>
          <w:b/>
          <w:bCs/>
          <w:color w:val="auto"/>
          <w:sz w:val="32"/>
          <w:szCs w:val="32"/>
          <w:highlight w:val="none"/>
        </w:rPr>
      </w:pPr>
      <w:r>
        <w:rPr>
          <w:rFonts w:hint="eastAsia" w:cs="仿宋" w:asciiTheme="minorEastAsia" w:hAnsiTheme="minorEastAsia" w:eastAsiaTheme="minorEastAsia"/>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BB20AE">
      <w:pPr>
        <w:spacing w:line="400" w:lineRule="exact"/>
        <w:ind w:right="-283"/>
        <w:rPr>
          <w:rFonts w:asciiTheme="minorEastAsia" w:hAnsiTheme="minorEastAsia" w:eastAsia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p>
    <w:tbl>
      <w:tblPr>
        <w:tblStyle w:val="25"/>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32FA4133">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6BA2C18C">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487CD102">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5A6C3FF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2CEB558A">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03E235B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23F53BA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59C7DCEF">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7E5D5AF4">
            <w:pPr>
              <w:widowControl/>
              <w:jc w:val="left"/>
              <w:rPr>
                <w:rFonts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vAlign w:val="bottom"/>
          </w:tcPr>
          <w:p w14:paraId="7A282D4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14:paraId="69128E5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1ACE45E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14:paraId="6E27FFE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32E60A3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0" w:type="dxa"/>
            <w:tcBorders>
              <w:top w:val="nil"/>
              <w:left w:val="nil"/>
              <w:bottom w:val="single" w:color="auto" w:sz="4" w:space="0"/>
              <w:right w:val="single" w:color="auto" w:sz="4" w:space="0"/>
            </w:tcBorders>
            <w:vAlign w:val="bottom"/>
          </w:tcPr>
          <w:p w14:paraId="242E362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636" w:type="dxa"/>
            <w:tcBorders>
              <w:top w:val="nil"/>
              <w:left w:val="nil"/>
              <w:bottom w:val="single" w:color="auto" w:sz="4" w:space="0"/>
              <w:right w:val="single" w:color="auto" w:sz="4" w:space="0"/>
            </w:tcBorders>
            <w:vAlign w:val="bottom"/>
          </w:tcPr>
          <w:p w14:paraId="26C908A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2BD90AF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14:paraId="2313D40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11F04B9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14:paraId="4FB2FF9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14:paraId="6605258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14:paraId="497885E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54930D1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A901E5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14:paraId="268E35D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31F6307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4D87296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8EC594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1AFF30D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14:paraId="3CB29AC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CF5051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3584343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7B86EB3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F91008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4DF43A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14:paraId="509716A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0CA0198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14:paraId="5881E45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6D204A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24FC888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14:paraId="46F54FD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D36799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4837949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0881B50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3727FC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52A8A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14:paraId="168B7F9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7DB419A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14:paraId="06D0F03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40" w:type="dxa"/>
            <w:tcBorders>
              <w:top w:val="nil"/>
              <w:left w:val="nil"/>
              <w:bottom w:val="single" w:color="auto" w:sz="4" w:space="0"/>
              <w:right w:val="single" w:color="auto" w:sz="4" w:space="0"/>
            </w:tcBorders>
            <w:vAlign w:val="bottom"/>
          </w:tcPr>
          <w:p w14:paraId="0BFD0C4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65C7A76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14:paraId="0BFD1C2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14:paraId="0AD172F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31E5382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51A2BA5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Z＜300</w:t>
            </w:r>
          </w:p>
        </w:tc>
      </w:tr>
      <w:tr w14:paraId="4A408DD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6E6164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14:paraId="27B529E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14:paraId="5150B4B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14:paraId="5D3D134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CAE115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636" w:type="dxa"/>
            <w:tcBorders>
              <w:top w:val="nil"/>
              <w:left w:val="nil"/>
              <w:bottom w:val="single" w:color="auto" w:sz="4" w:space="0"/>
              <w:right w:val="single" w:color="auto" w:sz="4" w:space="0"/>
            </w:tcBorders>
            <w:vAlign w:val="bottom"/>
          </w:tcPr>
          <w:p w14:paraId="147474E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14:paraId="6B99D03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F5FD3A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vAlign w:val="bottom"/>
          </w:tcPr>
          <w:p w14:paraId="11E15E4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vAlign w:val="bottom"/>
          </w:tcPr>
          <w:p w14:paraId="23E9A65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147DBF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65DF1A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14:paraId="536B7C2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14:paraId="4C5CC5C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6337699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9E1AD3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636" w:type="dxa"/>
            <w:tcBorders>
              <w:top w:val="nil"/>
              <w:left w:val="nil"/>
              <w:bottom w:val="single" w:color="auto" w:sz="4" w:space="0"/>
              <w:right w:val="single" w:color="auto" w:sz="4" w:space="0"/>
            </w:tcBorders>
            <w:vAlign w:val="bottom"/>
          </w:tcPr>
          <w:p w14:paraId="65D6254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14:paraId="79640E5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44D79E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3021D2F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0C505E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59C69D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F7D6C8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14:paraId="5C22400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6F1ACE5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14:paraId="4BA386D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3F4A33A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35EA551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14:paraId="06153D2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72DFBC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7D89A90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vAlign w:val="bottom"/>
          </w:tcPr>
          <w:p w14:paraId="7588215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0F42F2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9479CB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14:paraId="7BE17EE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14:paraId="3A870BC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14:paraId="2613943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FAE339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636" w:type="dxa"/>
            <w:tcBorders>
              <w:top w:val="nil"/>
              <w:left w:val="nil"/>
              <w:bottom w:val="single" w:color="auto" w:sz="4" w:space="0"/>
              <w:right w:val="single" w:color="auto" w:sz="4" w:space="0"/>
            </w:tcBorders>
            <w:vAlign w:val="bottom"/>
          </w:tcPr>
          <w:p w14:paraId="71FEFC2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4AFDD12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8F746C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21E249D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7565507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B427EE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78E6DB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14:paraId="47CC499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5E5120A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14:paraId="3078BCB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637C84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7984394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3C38ABD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A3025C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5E0731C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52B8C86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ED6ED2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112604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14:paraId="0F89F57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3286B91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0E7C2AA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632229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37489D4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2A730F3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C0EA13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5CC3BD7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14D19C9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B0A554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28A4B4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14:paraId="0D1102B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394625B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02D154F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D462B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024A3D6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43EBDEF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F2A778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31B30AA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vAlign w:val="bottom"/>
          </w:tcPr>
          <w:p w14:paraId="3C1B5DE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B71792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C04C55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14:paraId="6777A8A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14:paraId="6C4B758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14:paraId="42D599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60BAAA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19190B5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5D72F89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DDED68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C1A52D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67398A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C9D8BB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9DE3424">
            <w:pPr>
              <w:widowControl/>
              <w:jc w:val="left"/>
              <w:rPr>
                <w:rFonts w:ascii="宋体" w:hAnsi="宋体" w:cs="宋体"/>
                <w:color w:val="auto"/>
                <w:kern w:val="0"/>
                <w:sz w:val="20"/>
                <w:highlight w:val="none"/>
              </w:rPr>
            </w:pPr>
            <w:r>
              <w:rPr>
                <w:rFonts w:hint="eastAsia" w:ascii="宋体" w:hAnsi="宋体" w:cs="宋体"/>
                <w:color w:val="auto"/>
                <w:kern w:val="0"/>
                <w:sz w:val="15"/>
                <w:highlight w:val="none"/>
              </w:rPr>
              <w:t>12、软件和信息技术服务业</w:t>
            </w:r>
          </w:p>
        </w:tc>
        <w:tc>
          <w:tcPr>
            <w:tcW w:w="1498" w:type="dxa"/>
            <w:tcBorders>
              <w:top w:val="nil"/>
              <w:left w:val="nil"/>
              <w:bottom w:val="single" w:color="auto" w:sz="4" w:space="0"/>
              <w:right w:val="single" w:color="auto" w:sz="4" w:space="0"/>
            </w:tcBorders>
            <w:vAlign w:val="bottom"/>
          </w:tcPr>
          <w:p w14:paraId="754B3DD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6A02742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14:paraId="4509028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46DC925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3C3BF50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14:paraId="43E2B6B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40D150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80E030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00984A8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3FA3590">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2B19252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14:paraId="0E9917D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230FE64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14:paraId="7B19D78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40" w:type="dxa"/>
            <w:tcBorders>
              <w:top w:val="nil"/>
              <w:left w:val="nil"/>
              <w:bottom w:val="single" w:color="auto" w:sz="4" w:space="0"/>
              <w:right w:val="single" w:color="auto" w:sz="4" w:space="0"/>
            </w:tcBorders>
            <w:vAlign w:val="bottom"/>
          </w:tcPr>
          <w:p w14:paraId="01C89D3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5B304B4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51C4BC1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14:paraId="1B9E923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2C48A70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0E5B4BF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Z＜2000</w:t>
            </w:r>
          </w:p>
        </w:tc>
      </w:tr>
      <w:tr w14:paraId="7D6D62D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2CFF444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14:paraId="27EB6C2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19837B1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14:paraId="56F4679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F53875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636" w:type="dxa"/>
            <w:tcBorders>
              <w:top w:val="nil"/>
              <w:left w:val="nil"/>
              <w:bottom w:val="single" w:color="auto" w:sz="4" w:space="0"/>
              <w:right w:val="single" w:color="auto" w:sz="4" w:space="0"/>
            </w:tcBorders>
            <w:vAlign w:val="bottom"/>
          </w:tcPr>
          <w:p w14:paraId="250425F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14:paraId="4597EA7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658FABE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vAlign w:val="bottom"/>
          </w:tcPr>
          <w:p w14:paraId="0E93812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vAlign w:val="bottom"/>
          </w:tcPr>
          <w:p w14:paraId="3852B6D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AED6526">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64B6D440">
            <w:pPr>
              <w:widowControl/>
              <w:jc w:val="left"/>
              <w:rPr>
                <w:rFonts w:ascii="宋体" w:hAnsi="宋体" w:cs="宋体"/>
                <w:color w:val="auto"/>
                <w:kern w:val="0"/>
                <w:sz w:val="20"/>
                <w:highlight w:val="none"/>
              </w:rPr>
            </w:pPr>
            <w:r>
              <w:rPr>
                <w:rFonts w:hint="eastAsia" w:ascii="宋体" w:hAnsi="宋体" w:cs="宋体"/>
                <w:color w:val="auto"/>
                <w:kern w:val="0"/>
                <w:sz w:val="18"/>
                <w:highlight w:val="none"/>
              </w:rPr>
              <w:t>15、租赁和商务服务业</w:t>
            </w:r>
          </w:p>
        </w:tc>
        <w:tc>
          <w:tcPr>
            <w:tcW w:w="1498" w:type="dxa"/>
            <w:tcBorders>
              <w:top w:val="nil"/>
              <w:left w:val="nil"/>
              <w:bottom w:val="single" w:color="auto" w:sz="4" w:space="0"/>
              <w:right w:val="single" w:color="auto" w:sz="4" w:space="0"/>
            </w:tcBorders>
            <w:vAlign w:val="bottom"/>
          </w:tcPr>
          <w:p w14:paraId="12C4AF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7DD0FC7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4" w:space="0"/>
              <w:right w:val="single" w:color="auto" w:sz="8" w:space="0"/>
            </w:tcBorders>
            <w:vAlign w:val="bottom"/>
          </w:tcPr>
          <w:p w14:paraId="50CB001F">
            <w:pPr>
              <w:widowControl/>
              <w:jc w:val="left"/>
              <w:rPr>
                <w:rFonts w:ascii="宋体" w:hAnsi="宋体" w:cs="宋体"/>
                <w:color w:val="auto"/>
                <w:kern w:val="0"/>
                <w:sz w:val="20"/>
                <w:highlight w:val="none"/>
              </w:rPr>
            </w:pPr>
            <w:r>
              <w:rPr>
                <w:rFonts w:hint="eastAsia" w:ascii="宋体" w:hAnsi="宋体" w:cs="宋体"/>
                <w:color w:val="auto"/>
                <w:kern w:val="0"/>
                <w:sz w:val="18"/>
                <w:highlight w:val="none"/>
              </w:rPr>
              <w:t>8000≤Z＜120000</w:t>
            </w:r>
          </w:p>
        </w:tc>
        <w:tc>
          <w:tcPr>
            <w:tcW w:w="1240" w:type="dxa"/>
            <w:tcBorders>
              <w:top w:val="nil"/>
              <w:left w:val="nil"/>
              <w:bottom w:val="single" w:color="auto" w:sz="4" w:space="0"/>
              <w:right w:val="single" w:color="auto" w:sz="4" w:space="0"/>
            </w:tcBorders>
            <w:vAlign w:val="bottom"/>
          </w:tcPr>
          <w:p w14:paraId="7F954E8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47FBE3E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4" w:space="0"/>
              <w:right w:val="single" w:color="auto" w:sz="8" w:space="0"/>
            </w:tcBorders>
            <w:vAlign w:val="bottom"/>
          </w:tcPr>
          <w:p w14:paraId="6261D65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14:paraId="757F7EA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63FA5A5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4" w:space="0"/>
              <w:right w:val="single" w:color="auto" w:sz="8" w:space="0"/>
            </w:tcBorders>
            <w:vAlign w:val="bottom"/>
          </w:tcPr>
          <w:p w14:paraId="411172D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Z＜100</w:t>
            </w:r>
          </w:p>
        </w:tc>
      </w:tr>
      <w:tr w14:paraId="1074A723">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12A0870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14:paraId="2D120D7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14:paraId="3A87E3D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8" w:space="0"/>
              <w:right w:val="single" w:color="auto" w:sz="8" w:space="0"/>
            </w:tcBorders>
            <w:vAlign w:val="bottom"/>
          </w:tcPr>
          <w:p w14:paraId="3088BB1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8" w:space="0"/>
              <w:right w:val="single" w:color="auto" w:sz="4" w:space="0"/>
            </w:tcBorders>
            <w:vAlign w:val="bottom"/>
          </w:tcPr>
          <w:p w14:paraId="1E8B6E9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8" w:space="0"/>
              <w:right w:val="single" w:color="auto" w:sz="4" w:space="0"/>
            </w:tcBorders>
            <w:vAlign w:val="bottom"/>
          </w:tcPr>
          <w:p w14:paraId="603B424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8" w:space="0"/>
              <w:right w:val="single" w:color="auto" w:sz="8" w:space="0"/>
            </w:tcBorders>
            <w:vAlign w:val="bottom"/>
          </w:tcPr>
          <w:p w14:paraId="1F66F87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8" w:space="0"/>
              <w:right w:val="single" w:color="auto" w:sz="4" w:space="0"/>
            </w:tcBorders>
            <w:vAlign w:val="bottom"/>
          </w:tcPr>
          <w:p w14:paraId="27E2686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vAlign w:val="bottom"/>
          </w:tcPr>
          <w:p w14:paraId="4DEE2A8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8" w:space="0"/>
              <w:right w:val="single" w:color="auto" w:sz="8" w:space="0"/>
            </w:tcBorders>
            <w:vAlign w:val="bottom"/>
          </w:tcPr>
          <w:p w14:paraId="7B258C4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bl>
    <w:p w14:paraId="086970C9">
      <w:pPr>
        <w:spacing w:line="360" w:lineRule="auto"/>
        <w:ind w:right="-283"/>
        <w:rPr>
          <w:rFonts w:asciiTheme="minorEastAsia" w:hAnsiTheme="minorEastAsia" w:eastAsiaTheme="minorEastAsia" w:cstheme="minorEastAsia"/>
          <w:color w:val="auto"/>
          <w:sz w:val="24"/>
          <w:highlight w:val="none"/>
        </w:rPr>
        <w:sectPr>
          <w:pgSz w:w="16838" w:h="11906" w:orient="landscape"/>
          <w:pgMar w:top="1800" w:right="1440" w:bottom="1800" w:left="1440" w:header="851" w:footer="992" w:gutter="0"/>
          <w:cols w:space="425" w:num="1"/>
          <w:docGrid w:type="lines" w:linePitch="312" w:charSpace="0"/>
        </w:sectPr>
      </w:pPr>
    </w:p>
    <w:p w14:paraId="0CF345D3">
      <w:pPr>
        <w:spacing w:line="360" w:lineRule="auto"/>
        <w:ind w:right="-283"/>
        <w:rPr>
          <w:rFonts w:asciiTheme="minorEastAsia" w:hAnsiTheme="minorEastAsia" w:eastAsiaTheme="minorEastAsia" w:cstheme="minorEastAsia"/>
          <w:color w:val="auto"/>
          <w:sz w:val="24"/>
          <w:highlight w:val="none"/>
        </w:rPr>
      </w:pPr>
    </w:p>
    <w:p w14:paraId="48D397FC">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三、残疾人福利性单位声明函</w:t>
      </w:r>
    </w:p>
    <w:p w14:paraId="031362A3">
      <w:pPr>
        <w:spacing w:line="360" w:lineRule="auto"/>
        <w:rPr>
          <w:rFonts w:asciiTheme="minorEastAsia" w:hAnsiTheme="minorEastAsia" w:eastAsiaTheme="minorEastAsia" w:cstheme="minorEastAsia"/>
          <w:b/>
          <w:color w:val="auto"/>
          <w:spacing w:val="6"/>
          <w:sz w:val="30"/>
          <w:szCs w:val="30"/>
          <w:highlight w:val="none"/>
        </w:rPr>
      </w:pPr>
    </w:p>
    <w:p w14:paraId="7C96EAE5">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BA057D">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76651A9">
      <w:pPr>
        <w:spacing w:line="360" w:lineRule="auto"/>
        <w:ind w:firstLine="480" w:firstLineChars="200"/>
        <w:jc w:val="left"/>
        <w:rPr>
          <w:rFonts w:asciiTheme="minorEastAsia" w:hAnsiTheme="minorEastAsia" w:eastAsiaTheme="minorEastAsia" w:cstheme="minorEastAsia"/>
          <w:color w:val="auto"/>
          <w:sz w:val="24"/>
          <w:highlight w:val="none"/>
        </w:rPr>
      </w:pPr>
    </w:p>
    <w:p w14:paraId="7EEED0C3">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p>
    <w:p w14:paraId="7775E645">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F18F18D">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0975F9C">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57AD2EC5">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630A4B26">
      <w:pPr>
        <w:spacing w:line="360" w:lineRule="auto"/>
        <w:rPr>
          <w:rFonts w:asciiTheme="minorEastAsia" w:hAnsiTheme="minorEastAsia" w:eastAsiaTheme="minorEastAsia" w:cstheme="minorEastAsia"/>
          <w:b/>
          <w:color w:val="auto"/>
          <w:sz w:val="32"/>
          <w:szCs w:val="32"/>
          <w:highlight w:val="none"/>
        </w:rPr>
      </w:pPr>
    </w:p>
    <w:p w14:paraId="37B824B1">
      <w:pPr>
        <w:spacing w:line="360" w:lineRule="auto"/>
        <w:ind w:left="2520"/>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四、采购统计基础信息表</w:t>
      </w:r>
    </w:p>
    <w:p w14:paraId="29377729">
      <w:pPr>
        <w:pStyle w:val="33"/>
        <w:spacing w:line="360" w:lineRule="auto"/>
        <w:ind w:firstLine="0" w:firstLineChars="0"/>
        <w:rPr>
          <w:rFonts w:asciiTheme="minorEastAsia" w:hAnsiTheme="minorEastAsia" w:eastAsiaTheme="minorEastAsia" w:cstheme="minorEastAsia"/>
          <w:color w:val="auto"/>
          <w:highlight w:val="none"/>
        </w:rPr>
      </w:pPr>
    </w:p>
    <w:tbl>
      <w:tblPr>
        <w:tblStyle w:val="25"/>
        <w:tblW w:w="8537" w:type="dxa"/>
        <w:jc w:val="center"/>
        <w:tblLayout w:type="fixed"/>
        <w:tblCellMar>
          <w:top w:w="0" w:type="dxa"/>
          <w:left w:w="108" w:type="dxa"/>
          <w:bottom w:w="0" w:type="dxa"/>
          <w:right w:w="108" w:type="dxa"/>
        </w:tblCellMar>
      </w:tblPr>
      <w:tblGrid>
        <w:gridCol w:w="4998"/>
        <w:gridCol w:w="3539"/>
      </w:tblGrid>
      <w:tr w14:paraId="4B8BE95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424D1B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26CCCD07">
            <w:pPr>
              <w:spacing w:line="360" w:lineRule="auto"/>
              <w:rPr>
                <w:rFonts w:asciiTheme="minorEastAsia" w:hAnsiTheme="minorEastAsia" w:eastAsiaTheme="minorEastAsia" w:cstheme="minorEastAsia"/>
                <w:color w:val="auto"/>
                <w:highlight w:val="none"/>
              </w:rPr>
            </w:pPr>
          </w:p>
        </w:tc>
      </w:tr>
      <w:tr w14:paraId="756FB32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F919F9C">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1070636E">
            <w:pPr>
              <w:spacing w:line="360" w:lineRule="auto"/>
              <w:rPr>
                <w:rFonts w:asciiTheme="minorEastAsia" w:hAnsiTheme="minorEastAsia" w:eastAsiaTheme="minorEastAsia" w:cstheme="minorEastAsia"/>
                <w:color w:val="auto"/>
                <w:highlight w:val="none"/>
              </w:rPr>
            </w:pPr>
          </w:p>
        </w:tc>
      </w:tr>
      <w:tr w14:paraId="231DD95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D728819">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69AA26CA">
            <w:pPr>
              <w:spacing w:line="360" w:lineRule="auto"/>
              <w:rPr>
                <w:rFonts w:asciiTheme="minorEastAsia" w:hAnsiTheme="minorEastAsia" w:eastAsiaTheme="minorEastAsia" w:cstheme="minorEastAsia"/>
                <w:color w:val="auto"/>
                <w:highlight w:val="none"/>
              </w:rPr>
            </w:pPr>
          </w:p>
        </w:tc>
      </w:tr>
      <w:tr w14:paraId="798D68B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20B0F5E">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3261573E">
            <w:pPr>
              <w:spacing w:line="360" w:lineRule="auto"/>
              <w:rPr>
                <w:rFonts w:asciiTheme="minorEastAsia" w:hAnsiTheme="minorEastAsia" w:eastAsiaTheme="minorEastAsia" w:cstheme="minorEastAsia"/>
                <w:color w:val="auto"/>
                <w:highlight w:val="none"/>
              </w:rPr>
            </w:pPr>
          </w:p>
        </w:tc>
      </w:tr>
      <w:tr w14:paraId="71E44C6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7638CA9">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229240A8">
            <w:pPr>
              <w:spacing w:line="360" w:lineRule="auto"/>
              <w:rPr>
                <w:rFonts w:asciiTheme="minorEastAsia" w:hAnsiTheme="minorEastAsia" w:eastAsiaTheme="minorEastAsia" w:cstheme="minorEastAsia"/>
                <w:color w:val="auto"/>
                <w:highlight w:val="none"/>
              </w:rPr>
            </w:pPr>
          </w:p>
        </w:tc>
      </w:tr>
      <w:tr w14:paraId="0C7710B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416117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35B2EFC6">
            <w:pPr>
              <w:spacing w:line="360" w:lineRule="auto"/>
              <w:rPr>
                <w:rFonts w:asciiTheme="minorEastAsia" w:hAnsiTheme="minorEastAsia" w:eastAsiaTheme="minorEastAsia" w:cstheme="minorEastAsia"/>
                <w:color w:val="auto"/>
                <w:highlight w:val="none"/>
              </w:rPr>
            </w:pPr>
          </w:p>
        </w:tc>
      </w:tr>
      <w:tr w14:paraId="1D2B31C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A7FDE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01FA2A91">
            <w:pPr>
              <w:spacing w:line="360" w:lineRule="auto"/>
              <w:rPr>
                <w:rFonts w:asciiTheme="minorEastAsia" w:hAnsiTheme="minorEastAsia" w:eastAsiaTheme="minorEastAsia" w:cstheme="minorEastAsia"/>
                <w:color w:val="auto"/>
                <w:highlight w:val="none"/>
              </w:rPr>
            </w:pPr>
          </w:p>
        </w:tc>
      </w:tr>
      <w:tr w14:paraId="3048166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6FA358">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2744B64">
            <w:pPr>
              <w:spacing w:line="360" w:lineRule="auto"/>
              <w:rPr>
                <w:rFonts w:asciiTheme="minorEastAsia" w:hAnsiTheme="minorEastAsia" w:eastAsiaTheme="minorEastAsia" w:cstheme="minorEastAsia"/>
                <w:color w:val="auto"/>
                <w:highlight w:val="none"/>
              </w:rPr>
            </w:pPr>
          </w:p>
        </w:tc>
      </w:tr>
      <w:tr w14:paraId="77F97FC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94E51E">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7F929ECC">
            <w:pPr>
              <w:spacing w:line="360" w:lineRule="auto"/>
              <w:rPr>
                <w:rFonts w:asciiTheme="minorEastAsia" w:hAnsiTheme="minorEastAsia" w:eastAsiaTheme="minorEastAsia" w:cstheme="minorEastAsia"/>
                <w:color w:val="auto"/>
                <w:highlight w:val="none"/>
              </w:rPr>
            </w:pPr>
          </w:p>
        </w:tc>
      </w:tr>
      <w:tr w14:paraId="69AB232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00C48F4">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423B80D">
            <w:pPr>
              <w:spacing w:line="360" w:lineRule="auto"/>
              <w:rPr>
                <w:rFonts w:asciiTheme="minorEastAsia" w:hAnsiTheme="minorEastAsia" w:eastAsiaTheme="minorEastAsia" w:cstheme="minorEastAsia"/>
                <w:color w:val="auto"/>
                <w:highlight w:val="none"/>
              </w:rPr>
            </w:pPr>
          </w:p>
        </w:tc>
      </w:tr>
    </w:tbl>
    <w:p w14:paraId="72B137F6">
      <w:pPr>
        <w:adjustRightInd w:val="0"/>
        <w:spacing w:line="360" w:lineRule="auto"/>
        <w:jc w:val="left"/>
        <w:rPr>
          <w:rFonts w:asciiTheme="minorEastAsia" w:hAnsiTheme="minorEastAsia" w:eastAsiaTheme="minorEastAsia" w:cstheme="minorEastAsia"/>
          <w:color w:val="auto"/>
          <w:sz w:val="24"/>
          <w:highlight w:val="none"/>
        </w:rPr>
      </w:pPr>
    </w:p>
    <w:p w14:paraId="43B26505">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1CE77B06">
      <w:pPr>
        <w:adjustRightInd w:val="0"/>
        <w:spacing w:line="360" w:lineRule="auto"/>
        <w:jc w:val="left"/>
        <w:rPr>
          <w:rFonts w:asciiTheme="minorEastAsia" w:hAnsiTheme="minorEastAsia" w:eastAsiaTheme="minorEastAsia" w:cstheme="minorEastAsia"/>
          <w:color w:val="auto"/>
          <w:sz w:val="24"/>
          <w:highlight w:val="none"/>
        </w:rPr>
      </w:pPr>
    </w:p>
    <w:p w14:paraId="2B8AF2E6">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p>
    <w:p w14:paraId="2B2B11C3">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C8CB705">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1DAA001">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6A0C88DD">
      <w:pPr>
        <w:rPr>
          <w:rFonts w:asciiTheme="minorEastAsia" w:hAnsiTheme="minorEastAsia" w:eastAsiaTheme="minorEastAsia" w:cstheme="minorEastAsia"/>
          <w:color w:val="auto"/>
          <w:kern w:val="0"/>
          <w:sz w:val="24"/>
          <w:highlight w:val="none"/>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39A">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F51780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B9D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3F846D5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BD05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E10ABB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AF74">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2396641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97398">
    <w:pPr>
      <w:pStyle w:val="16"/>
      <w:pBdr>
        <w:bottom w:val="none" w:color="auto" w:sz="0" w:space="0"/>
      </w:pBdr>
      <w:jc w:val="right"/>
      <w:rPr>
        <w:rFonts w:ascii="仿宋_GB2312" w:eastAsia="仿宋_GB2312"/>
        <w:b/>
        <w:i/>
        <w:u w:val="single"/>
      </w:rPr>
    </w:pPr>
    <w:r>
      <w:t></w:t>
    </w:r>
    <w:r>
      <w:rPr>
        <w:rFonts w:hint="eastAsia"/>
      </w:rPr>
      <w:t xml:space="preserve">                                               </w:t>
    </w:r>
  </w:p>
  <w:p w14:paraId="05CB06D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6B26">
    <w:pPr>
      <w:pStyle w:val="16"/>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05D9">
    <w:pPr>
      <w:pStyle w:val="16"/>
      <w:pBdr>
        <w:bottom w:val="none" w:color="auto" w:sz="0" w:space="1"/>
      </w:pBdr>
      <w:jc w:val="right"/>
      <w:rPr>
        <w:rFonts w:ascii="仿宋_GB2312" w:eastAsia="仿宋_GB2312"/>
        <w:b/>
        <w:i/>
        <w:u w:val="single"/>
      </w:rPr>
    </w:pPr>
    <w:r>
      <w:rPr>
        <w:rFonts w:hint="eastAsia"/>
      </w:rPr>
      <w:t xml:space="preserve">                                 </w:t>
    </w:r>
  </w:p>
  <w:p w14:paraId="48B68C7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B676">
    <w:pPr>
      <w:pStyle w:val="1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D602A"/>
    <w:multiLevelType w:val="singleLevel"/>
    <w:tmpl w:val="954D602A"/>
    <w:lvl w:ilvl="0" w:tentative="0">
      <w:start w:val="3"/>
      <w:numFmt w:val="decimal"/>
      <w:suff w:val="nothing"/>
      <w:lvlText w:val="%1、"/>
      <w:lvlJc w:val="left"/>
    </w:lvl>
  </w:abstractNum>
  <w:abstractNum w:abstractNumId="1">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2">
    <w:nsid w:val="495C2BCE"/>
    <w:multiLevelType w:val="singleLevel"/>
    <w:tmpl w:val="495C2BCE"/>
    <w:lvl w:ilvl="0" w:tentative="0">
      <w:start w:val="1"/>
      <w:numFmt w:val="chineseCounting"/>
      <w:suff w:val="nothing"/>
      <w:lvlText w:val="%1、"/>
      <w:lvlJc w:val="left"/>
      <w:rPr>
        <w:rFonts w:hint="eastAsia"/>
      </w:rPr>
    </w:lvl>
  </w:abstractNum>
  <w:abstractNum w:abstractNumId="3">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BiMjhlNGMxN2Y5YWVlMWMxNjY0ZTY1MjRjM2Q1ODIifQ=="/>
  </w:docVars>
  <w:rsids>
    <w:rsidRoot w:val="004E6532"/>
    <w:rsid w:val="00000C57"/>
    <w:rsid w:val="00023D48"/>
    <w:rsid w:val="00034901"/>
    <w:rsid w:val="00036406"/>
    <w:rsid w:val="00052644"/>
    <w:rsid w:val="000633A9"/>
    <w:rsid w:val="000A42DD"/>
    <w:rsid w:val="00107D61"/>
    <w:rsid w:val="00127A19"/>
    <w:rsid w:val="00141566"/>
    <w:rsid w:val="0016702E"/>
    <w:rsid w:val="00183EE1"/>
    <w:rsid w:val="00192CA3"/>
    <w:rsid w:val="001A0E98"/>
    <w:rsid w:val="001C4668"/>
    <w:rsid w:val="001D2B0E"/>
    <w:rsid w:val="001D2B45"/>
    <w:rsid w:val="001D5A01"/>
    <w:rsid w:val="001D6AA9"/>
    <w:rsid w:val="001E2A93"/>
    <w:rsid w:val="00224FF7"/>
    <w:rsid w:val="002622EF"/>
    <w:rsid w:val="002628D6"/>
    <w:rsid w:val="00266319"/>
    <w:rsid w:val="00267D9E"/>
    <w:rsid w:val="002725E3"/>
    <w:rsid w:val="00287020"/>
    <w:rsid w:val="002A0BE4"/>
    <w:rsid w:val="002A2159"/>
    <w:rsid w:val="002B2834"/>
    <w:rsid w:val="002E1797"/>
    <w:rsid w:val="00306111"/>
    <w:rsid w:val="003212F0"/>
    <w:rsid w:val="003320D1"/>
    <w:rsid w:val="00382C9F"/>
    <w:rsid w:val="00391D38"/>
    <w:rsid w:val="003923E5"/>
    <w:rsid w:val="0039401A"/>
    <w:rsid w:val="003C300A"/>
    <w:rsid w:val="003F6AE7"/>
    <w:rsid w:val="00402E3B"/>
    <w:rsid w:val="00427CDE"/>
    <w:rsid w:val="004369B5"/>
    <w:rsid w:val="004427C5"/>
    <w:rsid w:val="004503D5"/>
    <w:rsid w:val="00453F9B"/>
    <w:rsid w:val="00471B0C"/>
    <w:rsid w:val="004A3F9D"/>
    <w:rsid w:val="004D1150"/>
    <w:rsid w:val="004D2F26"/>
    <w:rsid w:val="004D35F7"/>
    <w:rsid w:val="004E6532"/>
    <w:rsid w:val="004F3790"/>
    <w:rsid w:val="005104A4"/>
    <w:rsid w:val="00510E39"/>
    <w:rsid w:val="00517424"/>
    <w:rsid w:val="00521C83"/>
    <w:rsid w:val="00523E94"/>
    <w:rsid w:val="00535688"/>
    <w:rsid w:val="0054723B"/>
    <w:rsid w:val="00554F92"/>
    <w:rsid w:val="005737B6"/>
    <w:rsid w:val="0059488D"/>
    <w:rsid w:val="00595632"/>
    <w:rsid w:val="00597AB0"/>
    <w:rsid w:val="005A4DEB"/>
    <w:rsid w:val="005C3A2F"/>
    <w:rsid w:val="005D5B94"/>
    <w:rsid w:val="005E7505"/>
    <w:rsid w:val="006025D5"/>
    <w:rsid w:val="0061235D"/>
    <w:rsid w:val="006132B3"/>
    <w:rsid w:val="00616EEA"/>
    <w:rsid w:val="00621873"/>
    <w:rsid w:val="00627B17"/>
    <w:rsid w:val="006721D3"/>
    <w:rsid w:val="006924F5"/>
    <w:rsid w:val="006D6A57"/>
    <w:rsid w:val="00720146"/>
    <w:rsid w:val="0072267F"/>
    <w:rsid w:val="007403D0"/>
    <w:rsid w:val="0074580E"/>
    <w:rsid w:val="00771BC5"/>
    <w:rsid w:val="007767F6"/>
    <w:rsid w:val="00777D7E"/>
    <w:rsid w:val="007800AF"/>
    <w:rsid w:val="00795DEF"/>
    <w:rsid w:val="007B204D"/>
    <w:rsid w:val="007D62EE"/>
    <w:rsid w:val="00801E40"/>
    <w:rsid w:val="00803953"/>
    <w:rsid w:val="008176C9"/>
    <w:rsid w:val="00821556"/>
    <w:rsid w:val="008277C4"/>
    <w:rsid w:val="0085433C"/>
    <w:rsid w:val="00877893"/>
    <w:rsid w:val="00883870"/>
    <w:rsid w:val="008859D0"/>
    <w:rsid w:val="0089085D"/>
    <w:rsid w:val="008A29D8"/>
    <w:rsid w:val="008F08A4"/>
    <w:rsid w:val="00911A8C"/>
    <w:rsid w:val="00926E98"/>
    <w:rsid w:val="00967FB6"/>
    <w:rsid w:val="00975E2D"/>
    <w:rsid w:val="009821A7"/>
    <w:rsid w:val="00993EC0"/>
    <w:rsid w:val="009D1BF4"/>
    <w:rsid w:val="009D7CB5"/>
    <w:rsid w:val="009F03FB"/>
    <w:rsid w:val="009F62BE"/>
    <w:rsid w:val="00A05BD4"/>
    <w:rsid w:val="00A219F7"/>
    <w:rsid w:val="00A21E24"/>
    <w:rsid w:val="00A22DD3"/>
    <w:rsid w:val="00A46132"/>
    <w:rsid w:val="00A54768"/>
    <w:rsid w:val="00A55F91"/>
    <w:rsid w:val="00A56428"/>
    <w:rsid w:val="00A57E19"/>
    <w:rsid w:val="00A71625"/>
    <w:rsid w:val="00A76595"/>
    <w:rsid w:val="00AC321F"/>
    <w:rsid w:val="00AE4131"/>
    <w:rsid w:val="00AE5ED2"/>
    <w:rsid w:val="00AF09DF"/>
    <w:rsid w:val="00AF6F87"/>
    <w:rsid w:val="00AF799F"/>
    <w:rsid w:val="00B02217"/>
    <w:rsid w:val="00B230F3"/>
    <w:rsid w:val="00B258CD"/>
    <w:rsid w:val="00B85239"/>
    <w:rsid w:val="00BB56F4"/>
    <w:rsid w:val="00BB78CF"/>
    <w:rsid w:val="00BE700F"/>
    <w:rsid w:val="00BF79F5"/>
    <w:rsid w:val="00C009F8"/>
    <w:rsid w:val="00C15B95"/>
    <w:rsid w:val="00C60F8E"/>
    <w:rsid w:val="00C73030"/>
    <w:rsid w:val="00CA18B8"/>
    <w:rsid w:val="00CA2F82"/>
    <w:rsid w:val="00CA5B51"/>
    <w:rsid w:val="00CA758F"/>
    <w:rsid w:val="00CD3472"/>
    <w:rsid w:val="00CE0209"/>
    <w:rsid w:val="00CF7B54"/>
    <w:rsid w:val="00D05F04"/>
    <w:rsid w:val="00D10611"/>
    <w:rsid w:val="00D20E3E"/>
    <w:rsid w:val="00D43C04"/>
    <w:rsid w:val="00D46994"/>
    <w:rsid w:val="00DD0E84"/>
    <w:rsid w:val="00DD1DEC"/>
    <w:rsid w:val="00DD4C6D"/>
    <w:rsid w:val="00DE7F39"/>
    <w:rsid w:val="00E148E4"/>
    <w:rsid w:val="00E2034C"/>
    <w:rsid w:val="00E318CA"/>
    <w:rsid w:val="00E57D56"/>
    <w:rsid w:val="00E65A54"/>
    <w:rsid w:val="00E7608A"/>
    <w:rsid w:val="00E77EED"/>
    <w:rsid w:val="00E852B1"/>
    <w:rsid w:val="00ED5412"/>
    <w:rsid w:val="00F01506"/>
    <w:rsid w:val="00F05B21"/>
    <w:rsid w:val="00F06043"/>
    <w:rsid w:val="00F134BA"/>
    <w:rsid w:val="00F27D21"/>
    <w:rsid w:val="00F330A6"/>
    <w:rsid w:val="00F41703"/>
    <w:rsid w:val="00F451EA"/>
    <w:rsid w:val="00F74A92"/>
    <w:rsid w:val="00F75C3C"/>
    <w:rsid w:val="00F92B03"/>
    <w:rsid w:val="00FA0F13"/>
    <w:rsid w:val="00FB3DEC"/>
    <w:rsid w:val="00FC251C"/>
    <w:rsid w:val="00FC4926"/>
    <w:rsid w:val="00FE4389"/>
    <w:rsid w:val="017E3702"/>
    <w:rsid w:val="022507A0"/>
    <w:rsid w:val="029C46B6"/>
    <w:rsid w:val="02FC185D"/>
    <w:rsid w:val="02FF0DA1"/>
    <w:rsid w:val="03C41F80"/>
    <w:rsid w:val="04133956"/>
    <w:rsid w:val="04330EDE"/>
    <w:rsid w:val="043F7883"/>
    <w:rsid w:val="04694D1C"/>
    <w:rsid w:val="04756284"/>
    <w:rsid w:val="04F60413"/>
    <w:rsid w:val="050A178C"/>
    <w:rsid w:val="05625B7D"/>
    <w:rsid w:val="05C46291"/>
    <w:rsid w:val="064C314F"/>
    <w:rsid w:val="06FC438C"/>
    <w:rsid w:val="079B6F5A"/>
    <w:rsid w:val="07E67BE5"/>
    <w:rsid w:val="08153A45"/>
    <w:rsid w:val="08C43072"/>
    <w:rsid w:val="08D31906"/>
    <w:rsid w:val="08EC5795"/>
    <w:rsid w:val="08F04266"/>
    <w:rsid w:val="08FA312B"/>
    <w:rsid w:val="08FC70AE"/>
    <w:rsid w:val="09F65C13"/>
    <w:rsid w:val="0A042457"/>
    <w:rsid w:val="0A670558"/>
    <w:rsid w:val="0AEF28D2"/>
    <w:rsid w:val="0B095AB3"/>
    <w:rsid w:val="0BC1638D"/>
    <w:rsid w:val="0C436DA2"/>
    <w:rsid w:val="0CE3725E"/>
    <w:rsid w:val="0D014A54"/>
    <w:rsid w:val="0D0504FC"/>
    <w:rsid w:val="0DA33612"/>
    <w:rsid w:val="0DCE6B40"/>
    <w:rsid w:val="0E8078F3"/>
    <w:rsid w:val="0E9E4764"/>
    <w:rsid w:val="0ECE36AE"/>
    <w:rsid w:val="101C0036"/>
    <w:rsid w:val="102313C5"/>
    <w:rsid w:val="106254AB"/>
    <w:rsid w:val="1081678A"/>
    <w:rsid w:val="10831E66"/>
    <w:rsid w:val="10CC0C9F"/>
    <w:rsid w:val="10FB51A3"/>
    <w:rsid w:val="114A6A5C"/>
    <w:rsid w:val="11B06C88"/>
    <w:rsid w:val="11C43412"/>
    <w:rsid w:val="11D6414B"/>
    <w:rsid w:val="125C6BEE"/>
    <w:rsid w:val="12875ECB"/>
    <w:rsid w:val="137C74D8"/>
    <w:rsid w:val="139722C8"/>
    <w:rsid w:val="13CD7831"/>
    <w:rsid w:val="13E72483"/>
    <w:rsid w:val="142B4CEC"/>
    <w:rsid w:val="14635EBD"/>
    <w:rsid w:val="150C577F"/>
    <w:rsid w:val="155E07DE"/>
    <w:rsid w:val="165E2A90"/>
    <w:rsid w:val="167A1613"/>
    <w:rsid w:val="172F62D6"/>
    <w:rsid w:val="17552F75"/>
    <w:rsid w:val="17AC492E"/>
    <w:rsid w:val="17EC672F"/>
    <w:rsid w:val="181222ED"/>
    <w:rsid w:val="183463C4"/>
    <w:rsid w:val="18C438C2"/>
    <w:rsid w:val="18CF43F8"/>
    <w:rsid w:val="18DB244F"/>
    <w:rsid w:val="19277F03"/>
    <w:rsid w:val="193F64C8"/>
    <w:rsid w:val="19B968F6"/>
    <w:rsid w:val="1A1A55E6"/>
    <w:rsid w:val="1ABD5311"/>
    <w:rsid w:val="1B2D0950"/>
    <w:rsid w:val="1BD47C9F"/>
    <w:rsid w:val="1C7C3DBD"/>
    <w:rsid w:val="1CEA33EA"/>
    <w:rsid w:val="1D217939"/>
    <w:rsid w:val="1D780306"/>
    <w:rsid w:val="1DA358F3"/>
    <w:rsid w:val="1DB47B11"/>
    <w:rsid w:val="1DD67D28"/>
    <w:rsid w:val="1DDC5928"/>
    <w:rsid w:val="1DE35D79"/>
    <w:rsid w:val="1E477A5D"/>
    <w:rsid w:val="1E522E75"/>
    <w:rsid w:val="1E8219AC"/>
    <w:rsid w:val="1E966865"/>
    <w:rsid w:val="1E9C3251"/>
    <w:rsid w:val="1FF55637"/>
    <w:rsid w:val="201B291E"/>
    <w:rsid w:val="209669C5"/>
    <w:rsid w:val="20B47930"/>
    <w:rsid w:val="214116AB"/>
    <w:rsid w:val="21C26A7C"/>
    <w:rsid w:val="222F4C66"/>
    <w:rsid w:val="22C73E32"/>
    <w:rsid w:val="22EF7C72"/>
    <w:rsid w:val="235651B5"/>
    <w:rsid w:val="23A710EC"/>
    <w:rsid w:val="23F0560A"/>
    <w:rsid w:val="240E7E40"/>
    <w:rsid w:val="24681644"/>
    <w:rsid w:val="24CD05CC"/>
    <w:rsid w:val="24D558D4"/>
    <w:rsid w:val="253E0A44"/>
    <w:rsid w:val="25B763DF"/>
    <w:rsid w:val="25CF1F63"/>
    <w:rsid w:val="25F37999"/>
    <w:rsid w:val="260855BB"/>
    <w:rsid w:val="27002F0E"/>
    <w:rsid w:val="272A6E20"/>
    <w:rsid w:val="27545EB0"/>
    <w:rsid w:val="27CA4133"/>
    <w:rsid w:val="27F31225"/>
    <w:rsid w:val="282C43E5"/>
    <w:rsid w:val="2924361A"/>
    <w:rsid w:val="296A5055"/>
    <w:rsid w:val="297E7214"/>
    <w:rsid w:val="2A0B7EDE"/>
    <w:rsid w:val="2A4C32D1"/>
    <w:rsid w:val="2AE87DFC"/>
    <w:rsid w:val="2B49631A"/>
    <w:rsid w:val="2BFC0FF0"/>
    <w:rsid w:val="2C091017"/>
    <w:rsid w:val="2C26606D"/>
    <w:rsid w:val="2C413D86"/>
    <w:rsid w:val="2C5223B6"/>
    <w:rsid w:val="2CAB0320"/>
    <w:rsid w:val="2CB43FBB"/>
    <w:rsid w:val="2DE2114A"/>
    <w:rsid w:val="2E7C0E64"/>
    <w:rsid w:val="2ECE2D78"/>
    <w:rsid w:val="2FD8211D"/>
    <w:rsid w:val="307849BD"/>
    <w:rsid w:val="312E5E6E"/>
    <w:rsid w:val="313D6AF7"/>
    <w:rsid w:val="316A07AA"/>
    <w:rsid w:val="31D42AD9"/>
    <w:rsid w:val="31EB28C2"/>
    <w:rsid w:val="3238450B"/>
    <w:rsid w:val="34F25146"/>
    <w:rsid w:val="355B0F59"/>
    <w:rsid w:val="359853D9"/>
    <w:rsid w:val="35FC7E3E"/>
    <w:rsid w:val="360C1DD5"/>
    <w:rsid w:val="36862842"/>
    <w:rsid w:val="36D45640"/>
    <w:rsid w:val="370A0339"/>
    <w:rsid w:val="38121F62"/>
    <w:rsid w:val="385D6A11"/>
    <w:rsid w:val="39737207"/>
    <w:rsid w:val="39C32847"/>
    <w:rsid w:val="39DD2D7A"/>
    <w:rsid w:val="3A3A0844"/>
    <w:rsid w:val="3AF47A17"/>
    <w:rsid w:val="3B0500A6"/>
    <w:rsid w:val="3B7F55A8"/>
    <w:rsid w:val="3BC136BC"/>
    <w:rsid w:val="3BC7102C"/>
    <w:rsid w:val="3C3025F0"/>
    <w:rsid w:val="3C3803A6"/>
    <w:rsid w:val="3C3976F6"/>
    <w:rsid w:val="3C5928B0"/>
    <w:rsid w:val="3C8660E7"/>
    <w:rsid w:val="3C996B58"/>
    <w:rsid w:val="3D034FD9"/>
    <w:rsid w:val="3D1C45FF"/>
    <w:rsid w:val="3D2708D9"/>
    <w:rsid w:val="3D964084"/>
    <w:rsid w:val="3E682515"/>
    <w:rsid w:val="3EAF2D8C"/>
    <w:rsid w:val="3EF92AA7"/>
    <w:rsid w:val="3F2226C4"/>
    <w:rsid w:val="3F4A6D27"/>
    <w:rsid w:val="3F9424B0"/>
    <w:rsid w:val="3FF12C21"/>
    <w:rsid w:val="3FFC1167"/>
    <w:rsid w:val="401D732F"/>
    <w:rsid w:val="404716EC"/>
    <w:rsid w:val="40565930"/>
    <w:rsid w:val="406E351A"/>
    <w:rsid w:val="4092072B"/>
    <w:rsid w:val="41AE11A5"/>
    <w:rsid w:val="41C317D4"/>
    <w:rsid w:val="41D13F2D"/>
    <w:rsid w:val="420E7D4A"/>
    <w:rsid w:val="424F0C11"/>
    <w:rsid w:val="431421AB"/>
    <w:rsid w:val="43C354C5"/>
    <w:rsid w:val="43D36555"/>
    <w:rsid w:val="44360B32"/>
    <w:rsid w:val="446B4F27"/>
    <w:rsid w:val="44A92F3F"/>
    <w:rsid w:val="44BE7A64"/>
    <w:rsid w:val="45202FCF"/>
    <w:rsid w:val="4533775E"/>
    <w:rsid w:val="45341A3D"/>
    <w:rsid w:val="453643EB"/>
    <w:rsid w:val="45840DA9"/>
    <w:rsid w:val="45A656D1"/>
    <w:rsid w:val="45CF69D6"/>
    <w:rsid w:val="45E836A7"/>
    <w:rsid w:val="45F823D0"/>
    <w:rsid w:val="46431BD8"/>
    <w:rsid w:val="46502789"/>
    <w:rsid w:val="468B7ED5"/>
    <w:rsid w:val="46D6402F"/>
    <w:rsid w:val="47087801"/>
    <w:rsid w:val="470A75E8"/>
    <w:rsid w:val="47484C91"/>
    <w:rsid w:val="47A72359"/>
    <w:rsid w:val="47AE7265"/>
    <w:rsid w:val="48236574"/>
    <w:rsid w:val="48BA396D"/>
    <w:rsid w:val="491D1CBF"/>
    <w:rsid w:val="4A084FAB"/>
    <w:rsid w:val="4A356245"/>
    <w:rsid w:val="4A940235"/>
    <w:rsid w:val="4AF06F8E"/>
    <w:rsid w:val="4BAF77E3"/>
    <w:rsid w:val="4C486305"/>
    <w:rsid w:val="4C871DB8"/>
    <w:rsid w:val="4C8F29A0"/>
    <w:rsid w:val="4C9B6AAD"/>
    <w:rsid w:val="4CE849E2"/>
    <w:rsid w:val="4D1F6F3F"/>
    <w:rsid w:val="4D2D163F"/>
    <w:rsid w:val="4D3B27C8"/>
    <w:rsid w:val="4D410FF3"/>
    <w:rsid w:val="4DA32011"/>
    <w:rsid w:val="4DE566F3"/>
    <w:rsid w:val="4EE51018"/>
    <w:rsid w:val="4FD10CC9"/>
    <w:rsid w:val="4FEE4E74"/>
    <w:rsid w:val="500026E8"/>
    <w:rsid w:val="50083210"/>
    <w:rsid w:val="502A762A"/>
    <w:rsid w:val="50414974"/>
    <w:rsid w:val="512A7553"/>
    <w:rsid w:val="522D3402"/>
    <w:rsid w:val="52875411"/>
    <w:rsid w:val="52AB10AE"/>
    <w:rsid w:val="52C27015"/>
    <w:rsid w:val="535713F1"/>
    <w:rsid w:val="53CC27A6"/>
    <w:rsid w:val="54081F7F"/>
    <w:rsid w:val="541A3E87"/>
    <w:rsid w:val="541A6633"/>
    <w:rsid w:val="54212AF2"/>
    <w:rsid w:val="54926581"/>
    <w:rsid w:val="54EE3508"/>
    <w:rsid w:val="55130C79"/>
    <w:rsid w:val="56920EB1"/>
    <w:rsid w:val="56B269A1"/>
    <w:rsid w:val="571709D7"/>
    <w:rsid w:val="57574F2C"/>
    <w:rsid w:val="586A1CF4"/>
    <w:rsid w:val="59573918"/>
    <w:rsid w:val="5977723A"/>
    <w:rsid w:val="59D94D98"/>
    <w:rsid w:val="59F36282"/>
    <w:rsid w:val="5B361CD5"/>
    <w:rsid w:val="5B864B19"/>
    <w:rsid w:val="5B8B1199"/>
    <w:rsid w:val="5B8D447E"/>
    <w:rsid w:val="5B9F3F13"/>
    <w:rsid w:val="5BAE0A62"/>
    <w:rsid w:val="5BCD355F"/>
    <w:rsid w:val="5C026548"/>
    <w:rsid w:val="5CF733D4"/>
    <w:rsid w:val="5D027239"/>
    <w:rsid w:val="5D256C97"/>
    <w:rsid w:val="5D5849F8"/>
    <w:rsid w:val="5DBB086F"/>
    <w:rsid w:val="5DC759CC"/>
    <w:rsid w:val="5DE27796"/>
    <w:rsid w:val="5E1B6804"/>
    <w:rsid w:val="5E3115FD"/>
    <w:rsid w:val="5F265461"/>
    <w:rsid w:val="6003733E"/>
    <w:rsid w:val="606C4BDB"/>
    <w:rsid w:val="617B0DC1"/>
    <w:rsid w:val="624272DA"/>
    <w:rsid w:val="62456545"/>
    <w:rsid w:val="631C43CA"/>
    <w:rsid w:val="634A36E8"/>
    <w:rsid w:val="638E5CCA"/>
    <w:rsid w:val="63AE1B87"/>
    <w:rsid w:val="63C90AB0"/>
    <w:rsid w:val="63CF7A2D"/>
    <w:rsid w:val="63DD0CDE"/>
    <w:rsid w:val="64005F33"/>
    <w:rsid w:val="64106A0E"/>
    <w:rsid w:val="64CF3B8C"/>
    <w:rsid w:val="64E5191A"/>
    <w:rsid w:val="653B59DE"/>
    <w:rsid w:val="65D07CD0"/>
    <w:rsid w:val="66302032"/>
    <w:rsid w:val="666C6B7A"/>
    <w:rsid w:val="67A06958"/>
    <w:rsid w:val="67D92361"/>
    <w:rsid w:val="68134C25"/>
    <w:rsid w:val="68790F37"/>
    <w:rsid w:val="68C34233"/>
    <w:rsid w:val="694A1AEF"/>
    <w:rsid w:val="69761612"/>
    <w:rsid w:val="69A80F39"/>
    <w:rsid w:val="69DD66F3"/>
    <w:rsid w:val="6A0D369A"/>
    <w:rsid w:val="6B383927"/>
    <w:rsid w:val="6C0E18A9"/>
    <w:rsid w:val="6D064B23"/>
    <w:rsid w:val="6D0A0616"/>
    <w:rsid w:val="6D173526"/>
    <w:rsid w:val="6DC61D87"/>
    <w:rsid w:val="6E1378E8"/>
    <w:rsid w:val="6E2C5088"/>
    <w:rsid w:val="6E2E4A02"/>
    <w:rsid w:val="6E7240CB"/>
    <w:rsid w:val="6EC46A44"/>
    <w:rsid w:val="6ED24445"/>
    <w:rsid w:val="6FDD4CA3"/>
    <w:rsid w:val="70AE3ADC"/>
    <w:rsid w:val="71225995"/>
    <w:rsid w:val="7146712D"/>
    <w:rsid w:val="71704C61"/>
    <w:rsid w:val="71C66D70"/>
    <w:rsid w:val="71DD3F80"/>
    <w:rsid w:val="73454D96"/>
    <w:rsid w:val="73C44180"/>
    <w:rsid w:val="74D95234"/>
    <w:rsid w:val="7654281B"/>
    <w:rsid w:val="772A140E"/>
    <w:rsid w:val="772B1A86"/>
    <w:rsid w:val="773F2524"/>
    <w:rsid w:val="77756B2D"/>
    <w:rsid w:val="77A64F39"/>
    <w:rsid w:val="77B5517C"/>
    <w:rsid w:val="77E67FE5"/>
    <w:rsid w:val="78E8332F"/>
    <w:rsid w:val="792A3C52"/>
    <w:rsid w:val="795F1843"/>
    <w:rsid w:val="79AA2E0B"/>
    <w:rsid w:val="7A0F2BA3"/>
    <w:rsid w:val="7A1E16FE"/>
    <w:rsid w:val="7A564D3B"/>
    <w:rsid w:val="7A5C507C"/>
    <w:rsid w:val="7A770863"/>
    <w:rsid w:val="7A9C2623"/>
    <w:rsid w:val="7AB210C4"/>
    <w:rsid w:val="7ABB6F4D"/>
    <w:rsid w:val="7B3459C8"/>
    <w:rsid w:val="7B764541"/>
    <w:rsid w:val="7B7E4E45"/>
    <w:rsid w:val="7BA0349D"/>
    <w:rsid w:val="7CB00608"/>
    <w:rsid w:val="7CB9598B"/>
    <w:rsid w:val="7CD6006E"/>
    <w:rsid w:val="7CE338D3"/>
    <w:rsid w:val="7D804ED8"/>
    <w:rsid w:val="7D893EF3"/>
    <w:rsid w:val="7DA05EA7"/>
    <w:rsid w:val="7DB87774"/>
    <w:rsid w:val="7DD21BB8"/>
    <w:rsid w:val="7E8A55B4"/>
    <w:rsid w:val="7E996565"/>
    <w:rsid w:val="7EC02D84"/>
    <w:rsid w:val="7EF67AE6"/>
    <w:rsid w:val="7EF97724"/>
    <w:rsid w:val="7F533BF8"/>
    <w:rsid w:val="7FED775F"/>
    <w:rsid w:val="7FF5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ind w:firstLine="425"/>
      <w:outlineLvl w:val="0"/>
    </w:pPr>
    <w:rPr>
      <w:b/>
      <w:bCs/>
      <w:i/>
      <w:iCs/>
      <w:sz w:val="52"/>
      <w:szCs w:val="20"/>
    </w:rPr>
  </w:style>
  <w:style w:type="paragraph" w:styleId="3">
    <w:name w:val="heading 2"/>
    <w:basedOn w:val="1"/>
    <w:next w:val="1"/>
    <w:link w:val="3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after="64" w:line="317" w:lineRule="auto"/>
      <w:outlineLvl w:val="5"/>
    </w:pPr>
    <w:rPr>
      <w:rFonts w:ascii="Cambria" w:hAnsi="Cambria"/>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1"/>
    <w:unhideWhenUsed/>
    <w:qFormat/>
    <w:uiPriority w:val="99"/>
    <w:pPr>
      <w:jc w:val="left"/>
    </w:pPr>
  </w:style>
  <w:style w:type="paragraph" w:styleId="9">
    <w:name w:val="Body Text"/>
    <w:basedOn w:val="1"/>
    <w:next w:val="1"/>
    <w:link w:val="43"/>
    <w:qFormat/>
    <w:uiPriority w:val="0"/>
    <w:pPr>
      <w:autoSpaceDE w:val="0"/>
      <w:autoSpaceDN w:val="0"/>
      <w:spacing w:line="360" w:lineRule="auto"/>
    </w:pPr>
    <w:rPr>
      <w:rFonts w:ascii="宋体" w:hAnsi="Arial" w:cs="Arial"/>
      <w:snapToGrid w:val="0"/>
      <w:sz w:val="24"/>
      <w:szCs w:val="21"/>
      <w:lang w:val="zh-CN"/>
    </w:rPr>
  </w:style>
  <w:style w:type="paragraph" w:styleId="10">
    <w:name w:val="Body Text Indent"/>
    <w:basedOn w:val="1"/>
    <w:next w:val="1"/>
    <w:link w:val="40"/>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link w:val="42"/>
    <w:qFormat/>
    <w:uiPriority w:val="0"/>
    <w:rPr>
      <w:rFonts w:ascii="宋体" w:hAnsi="Courier New" w:cs="Arial"/>
      <w:snapToGrid w:val="0"/>
      <w:szCs w:val="21"/>
    </w:rPr>
  </w:style>
  <w:style w:type="paragraph" w:styleId="13">
    <w:name w:val="Date"/>
    <w:basedOn w:val="1"/>
    <w:next w:val="1"/>
    <w:link w:val="41"/>
    <w:qFormat/>
    <w:uiPriority w:val="0"/>
    <w:pPr>
      <w:ind w:left="100" w:leftChars="2500"/>
    </w:pPr>
    <w:rPr>
      <w:rFonts w:ascii="宋体"/>
      <w:sz w:val="24"/>
      <w:szCs w:val="21"/>
      <w:lang w:val="zh-CN"/>
    </w:rPr>
  </w:style>
  <w:style w:type="paragraph" w:styleId="14">
    <w:name w:val="Balloon Text"/>
    <w:basedOn w:val="1"/>
    <w:link w:val="56"/>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39"/>
    <w:pPr>
      <w:ind w:left="1000" w:leftChars="1000"/>
    </w:pPr>
  </w:style>
  <w:style w:type="paragraph" w:styleId="19">
    <w:name w:val="Body Text Indent 3"/>
    <w:basedOn w:val="1"/>
    <w:qFormat/>
    <w:uiPriority w:val="0"/>
    <w:pPr>
      <w:spacing w:after="120"/>
      <w:ind w:left="420" w:leftChars="200"/>
    </w:pPr>
    <w:rPr>
      <w:rFonts w:ascii="Times New Roman" w:hAnsi="Times New Roman"/>
      <w:sz w:val="16"/>
      <w:szCs w:val="16"/>
    </w:rPr>
  </w:style>
  <w:style w:type="paragraph" w:styleId="20">
    <w:name w:val="HTML Preformatted"/>
    <w:basedOn w:val="1"/>
    <w:qFormat/>
    <w:uiPriority w:val="0"/>
    <w:rPr>
      <w:rFonts w:ascii="Courier New" w:hAnsi="Courier New" w:eastAsia="仿宋_GB2312"/>
      <w:b/>
      <w:sz w:val="32"/>
      <w:szCs w:val="32"/>
      <w:lang w:val="en-GB"/>
    </w:rPr>
  </w:style>
  <w:style w:type="paragraph" w:styleId="21">
    <w:name w:val="Normal (Web)"/>
    <w:basedOn w:val="1"/>
    <w:qFormat/>
    <w:uiPriority w:val="99"/>
    <w:pPr>
      <w:spacing w:before="100" w:beforeAutospacing="1" w:after="100" w:afterAutospacing="1"/>
      <w:jc w:val="left"/>
    </w:pPr>
    <w:rPr>
      <w:kern w:val="0"/>
      <w:sz w:val="24"/>
    </w:rPr>
  </w:style>
  <w:style w:type="paragraph" w:styleId="22">
    <w:name w:val="annotation subject"/>
    <w:basedOn w:val="8"/>
    <w:next w:val="8"/>
    <w:link w:val="62"/>
    <w:unhideWhenUsed/>
    <w:qFormat/>
    <w:uiPriority w:val="99"/>
    <w:rPr>
      <w:b/>
      <w:bCs/>
    </w:rPr>
  </w:style>
  <w:style w:type="paragraph" w:styleId="23">
    <w:name w:val="Body Text First Indent"/>
    <w:basedOn w:val="9"/>
    <w:next w:val="1"/>
    <w:qFormat/>
    <w:uiPriority w:val="0"/>
    <w:pPr>
      <w:adjustRightInd w:val="0"/>
    </w:pPr>
    <w:rPr>
      <w:rFonts w:ascii="Times New Roman" w:hAnsi="Times New Roman" w:cs="Times New Roman"/>
      <w:sz w:val="28"/>
      <w:lang w:val="en-US"/>
    </w:rPr>
  </w:style>
  <w:style w:type="paragraph" w:styleId="24">
    <w:name w:val="Body Text First Indent 2"/>
    <w:basedOn w:val="10"/>
    <w:next w:val="1"/>
    <w:unhideWhenUsed/>
    <w:qFormat/>
    <w:uiPriority w:val="99"/>
    <w:pPr>
      <w:ind w:firstLine="420"/>
    </w:p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basedOn w:val="27"/>
    <w:qFormat/>
    <w:uiPriority w:val="0"/>
    <w:rPr>
      <w:rFonts w:ascii="Arial" w:hAnsi="Arial" w:eastAsia="黑体" w:cs="Arial"/>
      <w:snapToGrid w:val="0"/>
      <w:kern w:val="0"/>
      <w:szCs w:val="21"/>
    </w:rPr>
  </w:style>
  <w:style w:type="character" w:styleId="30">
    <w:name w:val="FollowedHyperlink"/>
    <w:basedOn w:val="27"/>
    <w:semiHidden/>
    <w:unhideWhenUsed/>
    <w:qFormat/>
    <w:uiPriority w:val="99"/>
    <w:rPr>
      <w:color w:val="800080"/>
      <w:u w:val="none"/>
    </w:rPr>
  </w:style>
  <w:style w:type="character" w:styleId="31">
    <w:name w:val="Hyperlink"/>
    <w:qFormat/>
    <w:uiPriority w:val="99"/>
    <w:rPr>
      <w:rFonts w:ascii="Arial" w:hAnsi="Arial" w:eastAsia="黑体" w:cs="Arial"/>
      <w:snapToGrid w:val="0"/>
      <w:color w:val="000000"/>
      <w:kern w:val="0"/>
      <w:sz w:val="18"/>
      <w:szCs w:val="18"/>
      <w:u w:val="none"/>
    </w:rPr>
  </w:style>
  <w:style w:type="character" w:styleId="32">
    <w:name w:val="annotation reference"/>
    <w:basedOn w:val="27"/>
    <w:unhideWhenUsed/>
    <w:qFormat/>
    <w:uiPriority w:val="99"/>
    <w:rPr>
      <w:sz w:val="21"/>
      <w:szCs w:val="21"/>
    </w:rPr>
  </w:style>
  <w:style w:type="paragraph" w:customStyle="1" w:styleId="33">
    <w:name w:val="_Style 3"/>
    <w:basedOn w:val="1"/>
    <w:qFormat/>
    <w:uiPriority w:val="0"/>
    <w:pPr>
      <w:ind w:firstLine="420" w:firstLineChars="200"/>
    </w:pPr>
    <w:rPr>
      <w:rFonts w:eastAsia="仿宋_GB2312"/>
      <w:sz w:val="28"/>
    </w:rPr>
  </w:style>
  <w:style w:type="paragraph" w:customStyle="1" w:styleId="3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5">
    <w:name w:val="列出段落1"/>
    <w:basedOn w:val="1"/>
    <w:qFormat/>
    <w:uiPriority w:val="0"/>
    <w:pPr>
      <w:ind w:firstLine="420" w:firstLineChars="200"/>
    </w:pPr>
    <w:rPr>
      <w:szCs w:val="22"/>
    </w:rPr>
  </w:style>
  <w:style w:type="paragraph" w:customStyle="1" w:styleId="3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Char"/>
    <w:basedOn w:val="27"/>
    <w:link w:val="16"/>
    <w:qFormat/>
    <w:uiPriority w:val="99"/>
    <w:rPr>
      <w:sz w:val="18"/>
      <w:szCs w:val="18"/>
    </w:rPr>
  </w:style>
  <w:style w:type="character" w:customStyle="1" w:styleId="38">
    <w:name w:val="页脚 Char"/>
    <w:basedOn w:val="27"/>
    <w:link w:val="15"/>
    <w:qFormat/>
    <w:uiPriority w:val="99"/>
    <w:rPr>
      <w:sz w:val="18"/>
      <w:szCs w:val="18"/>
    </w:rPr>
  </w:style>
  <w:style w:type="character" w:customStyle="1" w:styleId="39">
    <w:name w:val="标题 2 Char"/>
    <w:basedOn w:val="27"/>
    <w:link w:val="3"/>
    <w:qFormat/>
    <w:uiPriority w:val="0"/>
    <w:rPr>
      <w:rFonts w:ascii="仿宋_GB2312" w:hAnsi="仿宋" w:eastAsia="仿宋_GB2312" w:cs="Times New Roman"/>
      <w:b/>
      <w:bCs/>
      <w:sz w:val="32"/>
      <w:szCs w:val="32"/>
      <w:lang w:val="zh-CN"/>
    </w:rPr>
  </w:style>
  <w:style w:type="character" w:customStyle="1" w:styleId="40">
    <w:name w:val="正文文本缩进 Char"/>
    <w:basedOn w:val="27"/>
    <w:link w:val="10"/>
    <w:qFormat/>
    <w:uiPriority w:val="0"/>
    <w:rPr>
      <w:rFonts w:ascii="宋体" w:hAnsi="宋体" w:eastAsia="宋体" w:cs="Times New Roman"/>
      <w:sz w:val="24"/>
      <w:szCs w:val="24"/>
    </w:rPr>
  </w:style>
  <w:style w:type="character" w:customStyle="1" w:styleId="41">
    <w:name w:val="日期 Char"/>
    <w:basedOn w:val="27"/>
    <w:link w:val="13"/>
    <w:qFormat/>
    <w:uiPriority w:val="0"/>
    <w:rPr>
      <w:rFonts w:ascii="宋体" w:hAnsi="Calibri" w:eastAsia="宋体" w:cs="Times New Roman"/>
      <w:sz w:val="24"/>
      <w:szCs w:val="21"/>
      <w:lang w:val="zh-CN"/>
    </w:rPr>
  </w:style>
  <w:style w:type="character" w:customStyle="1" w:styleId="42">
    <w:name w:val="纯文本 Char"/>
    <w:basedOn w:val="27"/>
    <w:link w:val="12"/>
    <w:qFormat/>
    <w:uiPriority w:val="0"/>
    <w:rPr>
      <w:rFonts w:ascii="宋体" w:hAnsi="Courier New" w:eastAsia="宋体" w:cs="Arial"/>
      <w:snapToGrid w:val="0"/>
      <w:szCs w:val="21"/>
    </w:rPr>
  </w:style>
  <w:style w:type="character" w:customStyle="1" w:styleId="43">
    <w:name w:val="正文文本 Char"/>
    <w:basedOn w:val="27"/>
    <w:link w:val="9"/>
    <w:qFormat/>
    <w:uiPriority w:val="0"/>
    <w:rPr>
      <w:rFonts w:ascii="宋体" w:hAnsi="Arial" w:eastAsia="宋体" w:cs="Arial"/>
      <w:snapToGrid w:val="0"/>
      <w:sz w:val="24"/>
      <w:szCs w:val="21"/>
      <w:lang w:val="zh-CN"/>
    </w:rPr>
  </w:style>
  <w:style w:type="paragraph" w:customStyle="1" w:styleId="44">
    <w:name w:val="索引 11"/>
    <w:basedOn w:val="1"/>
    <w:next w:val="1"/>
    <w:qFormat/>
    <w:uiPriority w:val="99"/>
    <w:pPr>
      <w:spacing w:line="360" w:lineRule="auto"/>
    </w:pPr>
    <w:rPr>
      <w:rFonts w:ascii="仿宋_GB2312" w:eastAsia="仿宋_GB2312"/>
      <w:sz w:val="24"/>
      <w:szCs w:val="20"/>
    </w:rPr>
  </w:style>
  <w:style w:type="paragraph" w:customStyle="1" w:styleId="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qFormat/>
    <w:uiPriority w:val="0"/>
    <w:rPr>
      <w:rFonts w:ascii="宋体" w:hAnsi="Courier New"/>
      <w:kern w:val="0"/>
      <w:sz w:val="20"/>
      <w:szCs w:val="20"/>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qFormat/>
    <w:uiPriority w:val="0"/>
    <w:rPr>
      <w:rFonts w:ascii="宋体" w:hAnsi="Courier New"/>
      <w:szCs w:val="21"/>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Char"/>
    <w:basedOn w:val="27"/>
    <w:link w:val="4"/>
    <w:semiHidden/>
    <w:qFormat/>
    <w:uiPriority w:val="9"/>
    <w:rPr>
      <w:rFonts w:ascii="Calibri" w:hAnsi="Calibri" w:eastAsia="宋体" w:cs="Times New Roman"/>
      <w:b/>
      <w:bCs/>
      <w:sz w:val="32"/>
      <w:szCs w:val="32"/>
    </w:rPr>
  </w:style>
  <w:style w:type="character" w:customStyle="1" w:styleId="54">
    <w:name w:val="标题 4 Char"/>
    <w:basedOn w:val="27"/>
    <w:link w:val="5"/>
    <w:semiHidden/>
    <w:qFormat/>
    <w:uiPriority w:val="9"/>
    <w:rPr>
      <w:rFonts w:asciiTheme="majorHAnsi" w:hAnsiTheme="majorHAnsi" w:eastAsiaTheme="majorEastAsia" w:cstheme="majorBidi"/>
      <w:b/>
      <w:bCs/>
      <w:sz w:val="28"/>
      <w:szCs w:val="28"/>
    </w:rPr>
  </w:style>
  <w:style w:type="paragraph" w:customStyle="1" w:styleId="55">
    <w:name w:val="标题4"/>
    <w:basedOn w:val="1"/>
    <w:qFormat/>
    <w:uiPriority w:val="0"/>
    <w:rPr>
      <w:rFonts w:ascii="Times New Roman" w:hAnsi="Times New Roman" w:eastAsia="仿宋_GB2312"/>
      <w:sz w:val="32"/>
      <w:szCs w:val="20"/>
    </w:rPr>
  </w:style>
  <w:style w:type="character" w:customStyle="1" w:styleId="56">
    <w:name w:val="批注框文本 Char"/>
    <w:basedOn w:val="27"/>
    <w:link w:val="14"/>
    <w:semiHidden/>
    <w:qFormat/>
    <w:uiPriority w:val="99"/>
    <w:rPr>
      <w:rFonts w:ascii="Calibri" w:hAnsi="Calibri" w:eastAsia="宋体" w:cs="Times New Roman"/>
      <w:sz w:val="18"/>
      <w:szCs w:val="18"/>
    </w:rPr>
  </w:style>
  <w:style w:type="character" w:customStyle="1" w:styleId="57">
    <w:name w:val="List Paragraph Char"/>
    <w:link w:val="58"/>
    <w:qFormat/>
    <w:locked/>
    <w:uiPriority w:val="0"/>
    <w:rPr>
      <w:rFonts w:ascii="Times New Roman" w:hAnsi="Times New Roman"/>
      <w:szCs w:val="24"/>
    </w:rPr>
  </w:style>
  <w:style w:type="paragraph" w:customStyle="1" w:styleId="58">
    <w:name w:val="列出段落11"/>
    <w:basedOn w:val="1"/>
    <w:link w:val="57"/>
    <w:qFormat/>
    <w:uiPriority w:val="0"/>
    <w:pPr>
      <w:ind w:firstLine="420" w:firstLineChars="200"/>
    </w:pPr>
    <w:rPr>
      <w:rFonts w:ascii="Times New Roman" w:hAnsi="Times New Roman" w:eastAsiaTheme="minorEastAsia" w:cstheme="minorBidi"/>
    </w:rPr>
  </w:style>
  <w:style w:type="paragraph" w:customStyle="1" w:styleId="59">
    <w:name w:val="列表段落1"/>
    <w:basedOn w:val="1"/>
    <w:qFormat/>
    <w:uiPriority w:val="99"/>
    <w:pPr>
      <w:ind w:firstLine="420" w:firstLineChars="200"/>
    </w:pPr>
  </w:style>
  <w:style w:type="paragraph" w:customStyle="1" w:styleId="60">
    <w:name w:val="修订1"/>
    <w:hidden/>
    <w:semiHidden/>
    <w:qFormat/>
    <w:uiPriority w:val="99"/>
    <w:rPr>
      <w:rFonts w:ascii="Calibri" w:hAnsi="Calibri" w:eastAsia="宋体" w:cs="Times New Roman"/>
      <w:kern w:val="2"/>
      <w:sz w:val="21"/>
      <w:szCs w:val="24"/>
      <w:lang w:val="en-US" w:eastAsia="zh-CN" w:bidi="ar-SA"/>
    </w:rPr>
  </w:style>
  <w:style w:type="character" w:customStyle="1" w:styleId="61">
    <w:name w:val="批注文字 Char"/>
    <w:basedOn w:val="27"/>
    <w:link w:val="8"/>
    <w:semiHidden/>
    <w:qFormat/>
    <w:uiPriority w:val="99"/>
    <w:rPr>
      <w:rFonts w:ascii="Calibri" w:hAnsi="Calibri"/>
      <w:kern w:val="2"/>
      <w:sz w:val="21"/>
      <w:szCs w:val="24"/>
    </w:rPr>
  </w:style>
  <w:style w:type="character" w:customStyle="1" w:styleId="62">
    <w:name w:val="批注主题 Char"/>
    <w:basedOn w:val="61"/>
    <w:link w:val="22"/>
    <w:semiHidden/>
    <w:qFormat/>
    <w:uiPriority w:val="99"/>
    <w:rPr>
      <w:rFonts w:ascii="Calibri" w:hAnsi="Calibri"/>
      <w:b/>
      <w:bCs/>
      <w:kern w:val="2"/>
      <w:sz w:val="21"/>
      <w:szCs w:val="24"/>
    </w:rPr>
  </w:style>
  <w:style w:type="paragraph" w:customStyle="1" w:styleId="63">
    <w:name w:val="修订2"/>
    <w:hidden/>
    <w:semiHidden/>
    <w:qFormat/>
    <w:uiPriority w:val="99"/>
    <w:rPr>
      <w:rFonts w:ascii="Calibri" w:hAnsi="Calibri" w:eastAsia="宋体" w:cs="Times New Roman"/>
      <w:kern w:val="2"/>
      <w:sz w:val="21"/>
      <w:szCs w:val="24"/>
      <w:lang w:val="en-US" w:eastAsia="zh-CN" w:bidi="ar-SA"/>
    </w:rPr>
  </w:style>
  <w:style w:type="paragraph" w:customStyle="1" w:styleId="64">
    <w:name w:val="修订3"/>
    <w:hidden/>
    <w:semiHidden/>
    <w:qFormat/>
    <w:uiPriority w:val="99"/>
    <w:rPr>
      <w:rFonts w:ascii="Calibri" w:hAnsi="Calibri" w:eastAsia="宋体" w:cs="Times New Roman"/>
      <w:kern w:val="2"/>
      <w:sz w:val="21"/>
      <w:szCs w:val="24"/>
      <w:lang w:val="en-US" w:eastAsia="zh-CN" w:bidi="ar-SA"/>
    </w:rPr>
  </w:style>
  <w:style w:type="character" w:customStyle="1" w:styleId="65">
    <w:name w:val="textcolor1"/>
    <w:basedOn w:val="27"/>
    <w:qFormat/>
    <w:uiPriority w:val="0"/>
    <w:rPr>
      <w:color w:val="FF660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公告正文"/>
    <w:basedOn w:val="1"/>
    <w:qFormat/>
    <w:uiPriority w:val="0"/>
    <w:pPr>
      <w:spacing w:line="400" w:lineRule="atLeast"/>
      <w:ind w:firstLine="437"/>
    </w:pPr>
    <w:rPr>
      <w:rFonts w:ascii="宋体" w:hAnsi="宋体"/>
      <w:kern w:val="0"/>
      <w:sz w:val="24"/>
    </w:rPr>
  </w:style>
  <w:style w:type="paragraph" w:customStyle="1" w:styleId="68">
    <w:name w:val="须知二级小标题"/>
    <w:basedOn w:val="1"/>
    <w:qFormat/>
    <w:uiPriority w:val="0"/>
    <w:pPr>
      <w:spacing w:line="500" w:lineRule="exact"/>
    </w:pPr>
    <w:rPr>
      <w:rFonts w:ascii="宋体"/>
      <w:b/>
      <w:sz w:val="24"/>
    </w:rPr>
  </w:style>
  <w:style w:type="paragraph" w:customStyle="1" w:styleId="69">
    <w:name w:val="纯文本2"/>
    <w:basedOn w:val="1"/>
    <w:qFormat/>
    <w:uiPriority w:val="0"/>
    <w:rPr>
      <w:rFonts w:ascii="宋体" w:hAnsi="Courier New" w:eastAsia="Times New Roman"/>
      <w:kern w:val="0"/>
      <w:sz w:val="20"/>
      <w:szCs w:val="20"/>
    </w:rPr>
  </w:style>
  <w:style w:type="paragraph" w:customStyle="1" w:styleId="70">
    <w:name w:val="[Normal]"/>
    <w:qFormat/>
    <w:uiPriority w:val="0"/>
    <w:rPr>
      <w:rFonts w:ascii="宋体" w:hAnsi="宋体" w:eastAsia="宋体" w:cs="Times New Roman"/>
      <w:sz w:val="24"/>
      <w:szCs w:val="22"/>
      <w:lang w:val="zh-CN" w:eastAsia="zh-CN" w:bidi="ar-SA"/>
    </w:rPr>
  </w:style>
  <w:style w:type="paragraph" w:customStyle="1" w:styleId="71">
    <w:name w:val="正文1"/>
    <w:basedOn w:val="1"/>
    <w:next w:val="1"/>
    <w:qFormat/>
    <w:uiPriority w:val="0"/>
    <w:pPr>
      <w:widowControl/>
    </w:pPr>
    <w:rPr>
      <w:szCs w:val="21"/>
    </w:rPr>
  </w:style>
  <w:style w:type="character" w:customStyle="1" w:styleId="72">
    <w:name w:val="NormalCharacter"/>
    <w:qFormat/>
    <w:uiPriority w:val="0"/>
  </w:style>
  <w:style w:type="paragraph" w:styleId="7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13927</Words>
  <Characters>15436</Characters>
  <Lines>227</Lines>
  <Paragraphs>63</Paragraphs>
  <TotalTime>17</TotalTime>
  <ScaleCrop>false</ScaleCrop>
  <LinksUpToDate>false</LinksUpToDate>
  <CharactersWithSpaces>15752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彧シ燊シ粼</cp:lastModifiedBy>
  <cp:lastPrinted>2025-06-25T07:51:00Z</cp:lastPrinted>
  <dcterms:modified xsi:type="dcterms:W3CDTF">2025-06-25T08:03:34Z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7A9E812B218E42FF931816B62EA3C3D2_13</vt:lpwstr>
  </property>
  <property fmtid="{D5CDD505-2E9C-101B-9397-08002B2CF9AE}" pid="4" name="KSOTemplateDocerSaveRecord">
    <vt:lpwstr>eyJoZGlkIjoiZTBiMjhlNGMxN2Y5YWVlMWMxNjY0ZTY1MjRjM2Q1ODIiLCJ1c2VySWQiOiIyMzg1ODMyNzcifQ==</vt:lpwstr>
  </property>
</Properties>
</file>