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F184E">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457046B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22D98174">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b/>
          <w:color w:val="auto"/>
          <w:kern w:val="0"/>
          <w:sz w:val="52"/>
          <w:szCs w:val="52"/>
          <w:highlight w:val="none"/>
        </w:rPr>
        <w:t>公开招标采购文件</w:t>
      </w:r>
    </w:p>
    <w:p w14:paraId="74220779">
      <w:pPr>
        <w:autoSpaceDE w:val="0"/>
        <w:autoSpaceDN w:val="0"/>
        <w:adjustRightInd w:val="0"/>
        <w:spacing w:line="360" w:lineRule="auto"/>
        <w:jc w:val="center"/>
        <w:rPr>
          <w:rFonts w:hint="eastAsia" w:ascii="宋体" w:eastAsia="宋体" w:cs="Times New Roman"/>
          <w:color w:val="auto"/>
          <w:kern w:val="0"/>
          <w:sz w:val="28"/>
          <w:highlight w:val="none"/>
          <w:u w:val="single"/>
          <w:lang w:eastAsia="zh-CN"/>
        </w:rPr>
      </w:pPr>
    </w:p>
    <w:p w14:paraId="0FF99E5E">
      <w:pPr>
        <w:autoSpaceDE w:val="0"/>
        <w:autoSpaceDN w:val="0"/>
        <w:adjustRightInd w:val="0"/>
        <w:spacing w:line="360" w:lineRule="auto"/>
        <w:jc w:val="center"/>
        <w:rPr>
          <w:rFonts w:hint="eastAsia" w:ascii="宋体" w:eastAsia="宋体" w:cs="Times New Roman"/>
          <w:color w:val="auto"/>
          <w:kern w:val="0"/>
          <w:sz w:val="28"/>
          <w:highlight w:val="none"/>
          <w:u w:val="single"/>
        </w:rPr>
      </w:pPr>
      <w:r>
        <w:rPr>
          <w:rFonts w:hint="eastAsia" w:ascii="宋体" w:eastAsia="宋体" w:cs="Times New Roman"/>
          <w:color w:val="auto"/>
          <w:kern w:val="0"/>
          <w:sz w:val="28"/>
          <w:highlight w:val="none"/>
          <w:u w:val="single"/>
          <w:lang w:val="en-US" w:eastAsia="zh-CN"/>
        </w:rPr>
        <w:t>项目编号：</w:t>
      </w:r>
      <w:r>
        <w:rPr>
          <w:rFonts w:hint="eastAsia" w:ascii="宋体" w:cs="Times New Roman"/>
          <w:color w:val="auto"/>
          <w:kern w:val="0"/>
          <w:sz w:val="28"/>
          <w:highlight w:val="none"/>
          <w:u w:val="single"/>
          <w:lang w:val="en-US" w:eastAsia="zh-CN"/>
        </w:rPr>
        <w:t>TZCCC-【2025】-048号</w:t>
      </w:r>
    </w:p>
    <w:p w14:paraId="14291871">
      <w:pPr>
        <w:rPr>
          <w:color w:val="auto"/>
          <w:highlight w:val="none"/>
        </w:rPr>
      </w:pPr>
    </w:p>
    <w:p w14:paraId="4906E856">
      <w:pPr>
        <w:autoSpaceDE w:val="0"/>
        <w:autoSpaceDN w:val="0"/>
        <w:adjustRightInd w:val="0"/>
        <w:spacing w:line="360" w:lineRule="auto"/>
        <w:jc w:val="left"/>
        <w:rPr>
          <w:rFonts w:ascii="宋体"/>
          <w:color w:val="auto"/>
          <w:kern w:val="0"/>
          <w:sz w:val="28"/>
          <w:highlight w:val="none"/>
        </w:rPr>
      </w:pPr>
    </w:p>
    <w:p w14:paraId="048EC4E6">
      <w:pPr>
        <w:autoSpaceDE w:val="0"/>
        <w:autoSpaceDN w:val="0"/>
        <w:adjustRightInd w:val="0"/>
        <w:spacing w:line="360" w:lineRule="auto"/>
        <w:rPr>
          <w:rFonts w:hint="eastAsia" w:ascii="宋体"/>
          <w:color w:val="auto"/>
          <w:kern w:val="0"/>
          <w:sz w:val="28"/>
          <w:highlight w:val="none"/>
        </w:rPr>
      </w:pPr>
    </w:p>
    <w:p w14:paraId="752A94BA">
      <w:pPr>
        <w:autoSpaceDE w:val="0"/>
        <w:autoSpaceDN w:val="0"/>
        <w:adjustRightInd w:val="0"/>
        <w:spacing w:line="360" w:lineRule="auto"/>
        <w:jc w:val="center"/>
        <w:rPr>
          <w:rFonts w:hint="eastAsia" w:ascii="宋体"/>
          <w:color w:val="auto"/>
          <w:kern w:val="0"/>
          <w:sz w:val="28"/>
          <w:highlight w:val="none"/>
        </w:rPr>
      </w:pPr>
      <w:r>
        <w:rPr>
          <w:rFonts w:hint="eastAsia" w:ascii="宋体"/>
          <w:color w:val="auto"/>
          <w:kern w:val="0"/>
          <w:sz w:val="28"/>
          <w:highlight w:val="none"/>
        </w:rPr>
        <w:t>采购项目：</w:t>
      </w:r>
      <w:r>
        <w:rPr>
          <w:rFonts w:hint="eastAsia" w:ascii="宋体"/>
          <w:color w:val="auto"/>
          <w:kern w:val="0"/>
          <w:sz w:val="28"/>
          <w:highlight w:val="none"/>
          <w:u w:val="single"/>
          <w:lang w:eastAsia="zh-CN"/>
        </w:rPr>
        <w:t>台州市2025年水利工程安全运行技术支撑</w:t>
      </w:r>
    </w:p>
    <w:p w14:paraId="49ED519D">
      <w:pPr>
        <w:autoSpaceDE w:val="0"/>
        <w:autoSpaceDN w:val="0"/>
        <w:adjustRightInd w:val="0"/>
        <w:spacing w:line="360" w:lineRule="auto"/>
        <w:rPr>
          <w:rFonts w:hint="eastAsia" w:ascii="宋体"/>
          <w:color w:val="auto"/>
          <w:kern w:val="0"/>
          <w:sz w:val="28"/>
          <w:highlight w:val="none"/>
        </w:rPr>
      </w:pPr>
    </w:p>
    <w:p w14:paraId="3DA0D62A">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u w:val="single"/>
          <w:lang w:eastAsia="zh-CN"/>
        </w:rPr>
        <w:t>台州市防汛防旱事务中心</w:t>
      </w:r>
      <w:r>
        <w:rPr>
          <w:rFonts w:hint="eastAsia" w:ascii="宋体"/>
          <w:color w:val="auto"/>
          <w:kern w:val="0"/>
          <w:sz w:val="28"/>
          <w:highlight w:val="none"/>
          <w:u w:val="single"/>
        </w:rPr>
        <w:t>（盖章）</w:t>
      </w:r>
    </w:p>
    <w:p w14:paraId="0FC9A61A">
      <w:pPr>
        <w:autoSpaceDE w:val="0"/>
        <w:autoSpaceDN w:val="0"/>
        <w:adjustRightInd w:val="0"/>
        <w:spacing w:line="360" w:lineRule="auto"/>
        <w:rPr>
          <w:rFonts w:ascii="宋体"/>
          <w:color w:val="auto"/>
          <w:kern w:val="0"/>
          <w:sz w:val="28"/>
          <w:highlight w:val="none"/>
        </w:rPr>
      </w:pPr>
    </w:p>
    <w:p w14:paraId="0195BB3D">
      <w:pPr>
        <w:autoSpaceDE w:val="0"/>
        <w:autoSpaceDN w:val="0"/>
        <w:adjustRightInd w:val="0"/>
        <w:spacing w:line="360" w:lineRule="auto"/>
        <w:rPr>
          <w:rFonts w:ascii="宋体"/>
          <w:color w:val="auto"/>
          <w:kern w:val="0"/>
          <w:sz w:val="28"/>
          <w:highlight w:val="none"/>
        </w:rPr>
      </w:pPr>
    </w:p>
    <w:p w14:paraId="411065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5DD804A2">
      <w:pPr>
        <w:pStyle w:val="18"/>
        <w:ind w:left="0" w:leftChars="0" w:firstLine="0" w:firstLineChars="0"/>
        <w:rPr>
          <w:color w:val="auto"/>
          <w:highlight w:val="none"/>
        </w:rPr>
      </w:pPr>
    </w:p>
    <w:p w14:paraId="694581AD">
      <w:pPr>
        <w:rPr>
          <w:color w:val="auto"/>
          <w:highlight w:val="none"/>
        </w:rPr>
      </w:pPr>
    </w:p>
    <w:p w14:paraId="7E147DD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5A13E68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7F962BE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台州市建设咨询有限公司（盖章）</w:t>
      </w:r>
    </w:p>
    <w:p w14:paraId="3461F2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u w:val="single"/>
          <w:lang w:val="en-US" w:eastAsia="zh-CN"/>
        </w:rPr>
        <w:t>2025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lang w:val="en-US" w:eastAsia="zh-CN"/>
        </w:rPr>
        <w:t>07</w:t>
      </w:r>
      <w:r>
        <w:rPr>
          <w:rFonts w:hint="eastAsia" w:ascii="宋体" w:hAnsi="宋体" w:cs="宋体"/>
          <w:color w:val="auto"/>
          <w:kern w:val="0"/>
          <w:sz w:val="28"/>
          <w:szCs w:val="28"/>
          <w:highlight w:val="none"/>
        </w:rPr>
        <w:t>月</w:t>
      </w:r>
    </w:p>
    <w:p w14:paraId="5F6AE762">
      <w:pPr>
        <w:spacing w:line="360" w:lineRule="auto"/>
        <w:rPr>
          <w:color w:val="auto"/>
          <w:highlight w:val="none"/>
        </w:rPr>
      </w:pPr>
    </w:p>
    <w:p w14:paraId="285F779B">
      <w:pPr>
        <w:pStyle w:val="18"/>
        <w:ind w:left="0" w:leftChars="0" w:firstLine="0" w:firstLineChars="0"/>
        <w:rPr>
          <w:color w:val="auto"/>
          <w:highlight w:val="none"/>
        </w:rPr>
      </w:pPr>
    </w:p>
    <w:p w14:paraId="48D4A9C7">
      <w:pPr>
        <w:pStyle w:val="46"/>
        <w:rPr>
          <w:color w:val="auto"/>
          <w:highlight w:val="none"/>
        </w:rPr>
      </w:pPr>
    </w:p>
    <w:p w14:paraId="26F4597E">
      <w:pPr>
        <w:spacing w:line="480" w:lineRule="auto"/>
        <w:jc w:val="center"/>
        <w:rPr>
          <w:rFonts w:ascii="宋体" w:hAnsi="宋体"/>
          <w:b/>
          <w:bCs/>
          <w:color w:val="auto"/>
          <w:sz w:val="36"/>
          <w:szCs w:val="36"/>
          <w:highlight w:val="none"/>
        </w:rPr>
      </w:pPr>
      <w:bookmarkStart w:id="0" w:name="_Toc25017_WPSOffice_Type1"/>
    </w:p>
    <w:p w14:paraId="083BB7EE">
      <w:pPr>
        <w:pStyle w:val="18"/>
        <w:rPr>
          <w:rFonts w:ascii="宋体" w:hAnsi="宋体"/>
          <w:b/>
          <w:bCs/>
          <w:color w:val="auto"/>
          <w:sz w:val="36"/>
          <w:szCs w:val="36"/>
          <w:highlight w:val="none"/>
        </w:rPr>
      </w:pPr>
    </w:p>
    <w:p w14:paraId="2DB67DFE">
      <w:pPr>
        <w:pStyle w:val="18"/>
        <w:rPr>
          <w:color w:val="auto"/>
          <w:highlight w:val="none"/>
        </w:rPr>
      </w:pPr>
    </w:p>
    <w:p w14:paraId="147AF5F7">
      <w:pPr>
        <w:spacing w:line="480" w:lineRule="auto"/>
        <w:jc w:val="center"/>
        <w:rPr>
          <w:rFonts w:ascii="宋体" w:hAnsi="宋体"/>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25048E56">
      <w:pPr>
        <w:pStyle w:val="23"/>
        <w:rPr>
          <w:color w:val="auto"/>
          <w:highlight w:val="none"/>
        </w:rPr>
      </w:pPr>
    </w:p>
    <w:p w14:paraId="0BF031E3">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color w:val="auto"/>
          <w:sz w:val="28"/>
          <w:szCs w:val="28"/>
          <w:highlight w:val="none"/>
        </w:rPr>
        <w:t>第一章 投标邀请</w:t>
      </w:r>
      <w:r>
        <w:rPr>
          <w:color w:val="auto"/>
          <w:sz w:val="28"/>
          <w:szCs w:val="28"/>
          <w:highlight w:val="none"/>
        </w:rPr>
        <w:tab/>
      </w:r>
      <w:bookmarkStart w:id="1" w:name="_Toc4350_WPSOffice_Level1Page"/>
      <w:r>
        <w:rPr>
          <w:color w:val="auto"/>
          <w:sz w:val="28"/>
          <w:szCs w:val="28"/>
          <w:highlight w:val="none"/>
        </w:rPr>
        <w:t>3</w:t>
      </w:r>
      <w:bookmarkEnd w:id="1"/>
      <w:r>
        <w:rPr>
          <w:color w:val="auto"/>
          <w:sz w:val="28"/>
          <w:szCs w:val="28"/>
          <w:highlight w:val="none"/>
        </w:rPr>
        <w:fldChar w:fldCharType="end"/>
      </w:r>
    </w:p>
    <w:p w14:paraId="2E2A28A2">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color w:val="auto"/>
          <w:sz w:val="28"/>
          <w:szCs w:val="28"/>
          <w:highlight w:val="none"/>
        </w:rPr>
        <w:t>第二章 供应商须知</w:t>
      </w:r>
      <w:r>
        <w:rPr>
          <w:color w:val="auto"/>
          <w:sz w:val="28"/>
          <w:szCs w:val="28"/>
          <w:highlight w:val="none"/>
        </w:rPr>
        <w:tab/>
      </w:r>
      <w:r>
        <w:rPr>
          <w:rFonts w:hint="eastAsia"/>
          <w:color w:val="auto"/>
          <w:sz w:val="28"/>
          <w:szCs w:val="28"/>
          <w:highlight w:val="none"/>
        </w:rPr>
        <w:t>6</w:t>
      </w:r>
      <w:r>
        <w:rPr>
          <w:rFonts w:hint="eastAsia"/>
          <w:color w:val="auto"/>
          <w:sz w:val="28"/>
          <w:szCs w:val="28"/>
          <w:highlight w:val="none"/>
        </w:rPr>
        <w:fldChar w:fldCharType="end"/>
      </w:r>
    </w:p>
    <w:p w14:paraId="1AB6A02A">
      <w:pPr>
        <w:pStyle w:val="16"/>
        <w:tabs>
          <w:tab w:val="right" w:leader="dot" w:pos="8620"/>
        </w:tabs>
        <w:ind w:right="638" w:rightChars="304"/>
        <w:rPr>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rPr>
        <w:t>7</w:t>
      </w:r>
    </w:p>
    <w:p w14:paraId="229CFB30">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color w:val="auto"/>
          <w:sz w:val="28"/>
          <w:szCs w:val="28"/>
          <w:highlight w:val="none"/>
        </w:rPr>
        <w:t>第四章 评标</w:t>
      </w:r>
      <w:r>
        <w:rPr>
          <w:color w:val="auto"/>
          <w:sz w:val="28"/>
          <w:szCs w:val="28"/>
          <w:highlight w:val="none"/>
        </w:rPr>
        <w:tab/>
      </w:r>
      <w:bookmarkStart w:id="2" w:name="_Toc31173_WPSOffice_Level1Page"/>
      <w:r>
        <w:rPr>
          <w:color w:val="auto"/>
          <w:sz w:val="28"/>
          <w:szCs w:val="28"/>
          <w:highlight w:val="none"/>
        </w:rPr>
        <w:t>2</w:t>
      </w:r>
      <w:bookmarkEnd w:id="2"/>
      <w:r>
        <w:rPr>
          <w:rFonts w:hint="eastAsia"/>
          <w:color w:val="auto"/>
          <w:sz w:val="28"/>
          <w:szCs w:val="28"/>
          <w:highlight w:val="none"/>
        </w:rPr>
        <w:t>0</w:t>
      </w:r>
      <w:r>
        <w:rPr>
          <w:rFonts w:hint="eastAsia"/>
          <w:color w:val="auto"/>
          <w:sz w:val="28"/>
          <w:szCs w:val="28"/>
          <w:highlight w:val="none"/>
        </w:rPr>
        <w:fldChar w:fldCharType="end"/>
      </w:r>
    </w:p>
    <w:p w14:paraId="10AA08C9">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8</w:t>
      </w:r>
    </w:p>
    <w:p w14:paraId="5D07AC07">
      <w:pPr>
        <w:pStyle w:val="16"/>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3</w:t>
      </w:r>
    </w:p>
    <w:bookmarkEnd w:id="0"/>
    <w:p w14:paraId="4BEA366C">
      <w:pPr>
        <w:spacing w:line="480" w:lineRule="auto"/>
        <w:rPr>
          <w:color w:val="auto"/>
          <w:sz w:val="28"/>
          <w:szCs w:val="28"/>
          <w:highlight w:val="none"/>
        </w:rPr>
      </w:pPr>
    </w:p>
    <w:p w14:paraId="21807952">
      <w:pPr>
        <w:spacing w:line="360" w:lineRule="auto"/>
        <w:rPr>
          <w:color w:val="auto"/>
          <w:highlight w:val="none"/>
        </w:rPr>
      </w:pPr>
    </w:p>
    <w:p w14:paraId="4C414BC9">
      <w:pPr>
        <w:spacing w:line="360" w:lineRule="auto"/>
        <w:rPr>
          <w:color w:val="auto"/>
          <w:highlight w:val="none"/>
        </w:rPr>
      </w:pPr>
    </w:p>
    <w:p w14:paraId="2DDA4143">
      <w:pPr>
        <w:spacing w:line="360" w:lineRule="auto"/>
        <w:rPr>
          <w:color w:val="auto"/>
          <w:highlight w:val="none"/>
        </w:rPr>
      </w:pPr>
    </w:p>
    <w:p w14:paraId="38E47D4A">
      <w:pPr>
        <w:spacing w:line="360" w:lineRule="auto"/>
        <w:rPr>
          <w:color w:val="auto"/>
          <w:highlight w:val="none"/>
        </w:rPr>
      </w:pPr>
    </w:p>
    <w:p w14:paraId="40F5ACCB">
      <w:pPr>
        <w:spacing w:line="360" w:lineRule="auto"/>
        <w:rPr>
          <w:color w:val="auto"/>
          <w:highlight w:val="none"/>
        </w:rPr>
      </w:pPr>
    </w:p>
    <w:p w14:paraId="4F3C7049">
      <w:pPr>
        <w:spacing w:line="360" w:lineRule="auto"/>
        <w:rPr>
          <w:color w:val="auto"/>
          <w:highlight w:val="none"/>
        </w:rPr>
      </w:pPr>
    </w:p>
    <w:p w14:paraId="2D5C7877">
      <w:pPr>
        <w:spacing w:line="360" w:lineRule="auto"/>
        <w:rPr>
          <w:color w:val="auto"/>
          <w:highlight w:val="none"/>
        </w:rPr>
      </w:pPr>
    </w:p>
    <w:p w14:paraId="4411F399">
      <w:pPr>
        <w:spacing w:line="360" w:lineRule="auto"/>
        <w:rPr>
          <w:color w:val="auto"/>
          <w:highlight w:val="none"/>
        </w:rPr>
      </w:pPr>
    </w:p>
    <w:p w14:paraId="25B85E3E">
      <w:pPr>
        <w:spacing w:line="360" w:lineRule="auto"/>
        <w:rPr>
          <w:color w:val="auto"/>
          <w:highlight w:val="none"/>
        </w:rPr>
      </w:pPr>
    </w:p>
    <w:p w14:paraId="37B02CD3">
      <w:pPr>
        <w:spacing w:line="360" w:lineRule="auto"/>
        <w:rPr>
          <w:color w:val="auto"/>
          <w:highlight w:val="none"/>
        </w:rPr>
      </w:pPr>
    </w:p>
    <w:p w14:paraId="10CE3F77">
      <w:pPr>
        <w:spacing w:line="360" w:lineRule="auto"/>
        <w:rPr>
          <w:color w:val="auto"/>
          <w:highlight w:val="none"/>
        </w:rPr>
      </w:pPr>
    </w:p>
    <w:p w14:paraId="6BE15E12">
      <w:pPr>
        <w:spacing w:line="360" w:lineRule="auto"/>
        <w:rPr>
          <w:color w:val="auto"/>
          <w:highlight w:val="none"/>
        </w:rPr>
      </w:pPr>
    </w:p>
    <w:p w14:paraId="692E6CDA">
      <w:pPr>
        <w:spacing w:line="360" w:lineRule="auto"/>
        <w:rPr>
          <w:color w:val="auto"/>
          <w:highlight w:val="none"/>
        </w:rPr>
      </w:pPr>
    </w:p>
    <w:p w14:paraId="07204A08">
      <w:pPr>
        <w:spacing w:line="360" w:lineRule="auto"/>
        <w:rPr>
          <w:color w:val="auto"/>
          <w:highlight w:val="none"/>
        </w:rPr>
      </w:pPr>
    </w:p>
    <w:p w14:paraId="5ACC33A4">
      <w:pPr>
        <w:spacing w:line="360" w:lineRule="auto"/>
        <w:rPr>
          <w:color w:val="auto"/>
          <w:highlight w:val="none"/>
        </w:rPr>
      </w:pPr>
    </w:p>
    <w:p w14:paraId="7C2341AC">
      <w:pPr>
        <w:rPr>
          <w:rFonts w:ascii="宋体" w:hAnsi="宋体"/>
          <w:b/>
          <w:color w:val="auto"/>
          <w:sz w:val="36"/>
          <w:szCs w:val="36"/>
          <w:highlight w:val="none"/>
        </w:rPr>
      </w:pPr>
    </w:p>
    <w:p w14:paraId="010C3856">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sectPr>
          <w:footerReference r:id="rId3" w:type="default"/>
          <w:pgSz w:w="11906" w:h="16838"/>
          <w:pgMar w:top="1701" w:right="1448" w:bottom="1531" w:left="1418" w:header="851" w:footer="851" w:gutter="0"/>
          <w:cols w:space="720" w:num="1"/>
          <w:titlePg/>
          <w:docGrid w:linePitch="312" w:charSpace="0"/>
        </w:sectPr>
      </w:pPr>
      <w:bookmarkStart w:id="3" w:name="_Toc4350_WPSOffice_Level1"/>
    </w:p>
    <w:p w14:paraId="7879DDE3">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第一章  投标邀请</w:t>
      </w:r>
      <w:bookmarkEnd w:id="3"/>
    </w:p>
    <w:p w14:paraId="2770F6E2">
      <w:pPr>
        <w:pStyle w:val="3"/>
        <w:spacing w:line="312" w:lineRule="auto"/>
        <w:ind w:firstLine="480" w:firstLineChars="200"/>
        <w:rPr>
          <w:rFonts w:cs="宋体"/>
          <w:b w:val="0"/>
          <w:color w:val="auto"/>
          <w:sz w:val="24"/>
          <w:szCs w:val="24"/>
          <w:highlight w:val="none"/>
        </w:rPr>
      </w:pPr>
      <w:bookmarkStart w:id="4" w:name="_Toc28359002"/>
      <w:bookmarkStart w:id="5" w:name="_Toc35393621"/>
      <w:bookmarkStart w:id="6" w:name="_Toc35393790"/>
      <w:bookmarkStart w:id="7" w:name="_Toc28359079"/>
      <w:bookmarkStart w:id="8"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台州市防汛防旱事务中心</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台州市2025年水利工程安全运行技术支撑</w:t>
      </w:r>
      <w:r>
        <w:rPr>
          <w:rFonts w:hint="eastAsia" w:cs="宋体"/>
          <w:b w:val="0"/>
          <w:color w:val="auto"/>
          <w:sz w:val="24"/>
          <w:szCs w:val="24"/>
          <w:highlight w:val="none"/>
        </w:rPr>
        <w:t>进行公开招标，欢迎符合资格条件的国内供应商参加投标。</w:t>
      </w:r>
    </w:p>
    <w:p w14:paraId="093C7169">
      <w:pPr>
        <w:pStyle w:val="3"/>
        <w:spacing w:line="312" w:lineRule="auto"/>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4"/>
      <w:bookmarkEnd w:id="5"/>
      <w:bookmarkEnd w:id="6"/>
      <w:bookmarkEnd w:id="7"/>
    </w:p>
    <w:p w14:paraId="22A32D15">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bookmarkEnd w:id="8"/>
      <w:r>
        <w:rPr>
          <w:rFonts w:hint="eastAsia" w:ascii="宋体" w:hAnsi="宋体" w:cs="宋体"/>
          <w:color w:val="auto"/>
          <w:sz w:val="24"/>
          <w:highlight w:val="none"/>
          <w:lang w:eastAsia="zh-CN"/>
        </w:rPr>
        <w:t>TZCCC-【2025】-048号</w:t>
      </w:r>
    </w:p>
    <w:p w14:paraId="7B99D164">
      <w:pPr>
        <w:spacing w:line="312" w:lineRule="auto"/>
        <w:ind w:firstLine="480" w:firstLineChars="200"/>
        <w:rPr>
          <w:rFonts w:hint="eastAsia"/>
          <w:color w:val="auto"/>
          <w:highlight w:val="none"/>
        </w:rPr>
      </w:pPr>
      <w:r>
        <w:rPr>
          <w:rFonts w:hint="eastAsia" w:ascii="宋体" w:hAnsi="宋体" w:cs="宋体"/>
          <w:color w:val="auto"/>
          <w:sz w:val="24"/>
          <w:highlight w:val="none"/>
        </w:rPr>
        <w:t>项目名称：</w:t>
      </w:r>
      <w:r>
        <w:rPr>
          <w:rFonts w:hint="eastAsia" w:ascii="宋体" w:hAnsi="宋体"/>
          <w:color w:val="auto"/>
          <w:sz w:val="24"/>
          <w:highlight w:val="none"/>
          <w:lang w:eastAsia="zh-CN"/>
        </w:rPr>
        <w:t>台州市2025年水利工程安全运行技术支撑</w:t>
      </w:r>
    </w:p>
    <w:tbl>
      <w:tblPr>
        <w:tblStyle w:val="25"/>
        <w:tblpPr w:leftFromText="181" w:rightFromText="181" w:bottomFromText="17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04"/>
        <w:gridCol w:w="2474"/>
        <w:gridCol w:w="689"/>
        <w:gridCol w:w="706"/>
        <w:gridCol w:w="970"/>
        <w:gridCol w:w="1110"/>
      </w:tblGrid>
      <w:tr w14:paraId="0F92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 w:type="dxa"/>
            <w:noWrap w:val="0"/>
            <w:vAlign w:val="center"/>
          </w:tcPr>
          <w:p w14:paraId="36E5EA83">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2504" w:type="dxa"/>
            <w:noWrap w:val="0"/>
            <w:vAlign w:val="center"/>
          </w:tcPr>
          <w:p w14:paraId="12F5EB20">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2474" w:type="dxa"/>
            <w:noWrap w:val="0"/>
            <w:vAlign w:val="center"/>
          </w:tcPr>
          <w:p w14:paraId="11A6B43F">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689" w:type="dxa"/>
            <w:noWrap w:val="0"/>
            <w:vAlign w:val="center"/>
          </w:tcPr>
          <w:p w14:paraId="7D5344FB">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06" w:type="dxa"/>
            <w:noWrap w:val="0"/>
            <w:vAlign w:val="center"/>
          </w:tcPr>
          <w:p w14:paraId="712B89B8">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970" w:type="dxa"/>
            <w:noWrap w:val="0"/>
            <w:vAlign w:val="center"/>
          </w:tcPr>
          <w:p w14:paraId="38975BC2">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预算</w:t>
            </w:r>
          </w:p>
          <w:p w14:paraId="5DCA50F9">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110" w:type="dxa"/>
            <w:noWrap w:val="0"/>
            <w:vAlign w:val="center"/>
          </w:tcPr>
          <w:p w14:paraId="37C9E720">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05AADA42">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2F15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8" w:type="dxa"/>
            <w:noWrap w:val="0"/>
            <w:vAlign w:val="center"/>
          </w:tcPr>
          <w:p w14:paraId="50345C5A">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04" w:type="dxa"/>
            <w:noWrap w:val="0"/>
            <w:vAlign w:val="center"/>
          </w:tcPr>
          <w:p w14:paraId="6D617043">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台州市2025年水利工程安全运行技术支撑</w:t>
            </w:r>
          </w:p>
        </w:tc>
        <w:tc>
          <w:tcPr>
            <w:tcW w:w="2474" w:type="dxa"/>
            <w:noWrap w:val="0"/>
            <w:vAlign w:val="center"/>
          </w:tcPr>
          <w:p w14:paraId="6708D0FC">
            <w:pPr>
              <w:spacing w:line="312"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689" w:type="dxa"/>
            <w:noWrap w:val="0"/>
            <w:vAlign w:val="center"/>
          </w:tcPr>
          <w:p w14:paraId="67D030CA">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noWrap w:val="0"/>
            <w:vAlign w:val="center"/>
          </w:tcPr>
          <w:p w14:paraId="037D34F3">
            <w:pPr>
              <w:spacing w:line="312"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970" w:type="dxa"/>
            <w:noWrap w:val="0"/>
            <w:vAlign w:val="center"/>
          </w:tcPr>
          <w:p w14:paraId="755FC91B">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110" w:type="dxa"/>
            <w:noWrap w:val="0"/>
            <w:vAlign w:val="center"/>
          </w:tcPr>
          <w:p w14:paraId="087F8784">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r>
    </w:tbl>
    <w:p w14:paraId="7AD1396D">
      <w:pPr>
        <w:pStyle w:val="3"/>
        <w:tabs>
          <w:tab w:val="left" w:pos="9660"/>
          <w:tab w:val="clear" w:pos="8280"/>
        </w:tabs>
        <w:spacing w:line="312" w:lineRule="auto"/>
        <w:ind w:right="23" w:firstLine="482" w:firstLineChars="200"/>
        <w:jc w:val="left"/>
        <w:rPr>
          <w:rFonts w:cs="宋体"/>
          <w:bCs/>
          <w:color w:val="auto"/>
          <w:sz w:val="24"/>
          <w:szCs w:val="24"/>
          <w:highlight w:val="none"/>
        </w:rPr>
      </w:pPr>
      <w:bookmarkStart w:id="9" w:name="_Toc35393622"/>
      <w:bookmarkStart w:id="10" w:name="_Toc28359080"/>
      <w:bookmarkStart w:id="11" w:name="_Toc35393791"/>
      <w:bookmarkStart w:id="12" w:name="_Toc28359003"/>
      <w:r>
        <w:rPr>
          <w:rFonts w:hint="eastAsia" w:cs="宋体"/>
          <w:bCs/>
          <w:color w:val="auto"/>
          <w:sz w:val="24"/>
          <w:szCs w:val="24"/>
          <w:highlight w:val="none"/>
        </w:rPr>
        <w:t>二、供应商的资格要求</w:t>
      </w:r>
      <w:bookmarkEnd w:id="9"/>
      <w:bookmarkEnd w:id="10"/>
      <w:bookmarkEnd w:id="11"/>
      <w:bookmarkEnd w:id="12"/>
    </w:p>
    <w:p w14:paraId="09990DB3">
      <w:pPr>
        <w:spacing w:line="312"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59C49F2A">
      <w:pPr>
        <w:spacing w:line="312" w:lineRule="auto"/>
        <w:ind w:left="12" w:firstLine="480" w:firstLineChars="200"/>
        <w:jc w:val="left"/>
        <w:rPr>
          <w:rFonts w:hint="eastAsia" w:ascii="宋体" w:hAnsi="宋体" w:cs="宋体"/>
          <w:color w:val="auto"/>
          <w:sz w:val="24"/>
          <w:highlight w:val="none"/>
        </w:rPr>
      </w:pPr>
      <w:bookmarkStart w:id="13" w:name="_Toc28359004"/>
      <w:bookmarkStart w:id="14" w:name="_Toc28359081"/>
      <w:bookmarkStart w:id="15" w:name="_Toc35393623"/>
      <w:bookmarkStart w:id="16" w:name="_Toc35393792"/>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57A90575">
      <w:pPr>
        <w:spacing w:line="312" w:lineRule="auto"/>
        <w:ind w:left="12" w:firstLine="480" w:firstLineChars="200"/>
        <w:jc w:val="left"/>
        <w:rPr>
          <w:rFonts w:hint="eastAsia"/>
          <w:color w:val="auto"/>
          <w:highlight w:val="none"/>
        </w:rPr>
      </w:pPr>
      <w:r>
        <w:rPr>
          <w:rFonts w:hint="eastAsia" w:ascii="宋体" w:hAnsi="宋体" w:cs="宋体"/>
          <w:color w:val="auto"/>
          <w:sz w:val="24"/>
          <w:highlight w:val="none"/>
        </w:rPr>
        <w:t>（三）本次不接受联合体投标。</w:t>
      </w:r>
    </w:p>
    <w:p w14:paraId="2928E87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w:t>
      </w:r>
    </w:p>
    <w:p w14:paraId="1FCC548B">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491999BB">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w:t>
      </w:r>
      <w:bookmarkStart w:id="75" w:name="_GoBack"/>
      <w:bookmarkEnd w:id="75"/>
      <w:r>
        <w:rPr>
          <w:rFonts w:hint="eastAsia" w:ascii="宋体" w:hAnsi="宋体" w:cs="宋体"/>
          <w:color w:val="auto"/>
          <w:sz w:val="24"/>
          <w:highlight w:val="none"/>
        </w:rPr>
        <w:t>、检测等服务的供应商，不得再参与本项目投标。（联合体投标的，联合体各方均须满足该条款）。</w:t>
      </w:r>
    </w:p>
    <w:p w14:paraId="3D7E77F7">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54B3AE78">
      <w:pPr>
        <w:pStyle w:val="3"/>
        <w:tabs>
          <w:tab w:val="left" w:pos="9660"/>
          <w:tab w:val="clear" w:pos="8280"/>
        </w:tabs>
        <w:spacing w:line="312" w:lineRule="auto"/>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w:t>
      </w:r>
      <w:bookmarkEnd w:id="13"/>
      <w:bookmarkEnd w:id="14"/>
      <w:bookmarkEnd w:id="15"/>
      <w:bookmarkEnd w:id="16"/>
      <w:r>
        <w:rPr>
          <w:rFonts w:hint="eastAsia" w:cs="宋体"/>
          <w:bCs/>
          <w:color w:val="auto"/>
          <w:sz w:val="24"/>
          <w:szCs w:val="24"/>
          <w:highlight w:val="none"/>
        </w:rPr>
        <w:t>采购文件</w:t>
      </w:r>
    </w:p>
    <w:p w14:paraId="18950E4C">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rPr>
        <w:t>发布之日起</w:t>
      </w:r>
      <w:r>
        <w:rPr>
          <w:rFonts w:hint="eastAsia" w:ascii="宋体" w:hAnsi="宋体" w:cs="宋体"/>
          <w:color w:val="auto"/>
          <w:sz w:val="24"/>
          <w:highlight w:val="none"/>
        </w:rPr>
        <w:t>至</w:t>
      </w:r>
      <w:r>
        <w:rPr>
          <w:rFonts w:hint="eastAsia" w:ascii="宋体" w:hAnsi="宋体" w:cs="宋体"/>
          <w:color w:val="auto"/>
          <w:sz w:val="24"/>
          <w:highlight w:val="none"/>
          <w:u w:val="single"/>
        </w:rPr>
        <w:t>开标截止时间</w:t>
      </w:r>
    </w:p>
    <w:p w14:paraId="37BD1C58">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（二）方式：浙江政府采购网（</w:t>
      </w:r>
      <w:r>
        <w:rPr>
          <w:rFonts w:ascii="宋体" w:hAnsi="宋体" w:cs="宋体"/>
          <w:color w:val="auto"/>
          <w:sz w:val="24"/>
          <w:highlight w:val="none"/>
        </w:rPr>
        <w:t>https://zfcg.czt.zj.gov.cn</w:t>
      </w:r>
      <w:r>
        <w:rPr>
          <w:rFonts w:hint="eastAsia" w:ascii="宋体" w:hAnsi="宋体" w:cs="宋体"/>
          <w:color w:val="auto"/>
          <w:sz w:val="24"/>
          <w:highlight w:val="none"/>
        </w:rPr>
        <w:t>）免费下载</w:t>
      </w:r>
    </w:p>
    <w:p w14:paraId="4942D3E0">
      <w:pPr>
        <w:pStyle w:val="3"/>
        <w:spacing w:line="312" w:lineRule="auto"/>
        <w:ind w:right="0" w:firstLine="482" w:firstLineChars="200"/>
        <w:rPr>
          <w:rFonts w:cs="宋体"/>
          <w:bCs/>
          <w:color w:val="auto"/>
          <w:sz w:val="24"/>
          <w:szCs w:val="24"/>
          <w:highlight w:val="none"/>
        </w:rPr>
      </w:pPr>
      <w:bookmarkStart w:id="17" w:name="_Toc28359082"/>
      <w:bookmarkStart w:id="18" w:name="_Toc35393793"/>
      <w:bookmarkStart w:id="19" w:name="_Toc28359005"/>
      <w:bookmarkStart w:id="20" w:name="_Toc35393624"/>
      <w:r>
        <w:rPr>
          <w:rFonts w:hint="eastAsia" w:cs="宋体"/>
          <w:bCs/>
          <w:color w:val="auto"/>
          <w:sz w:val="24"/>
          <w:szCs w:val="24"/>
          <w:highlight w:val="none"/>
        </w:rPr>
        <w:t>四、提交投标文件</w:t>
      </w:r>
      <w:bookmarkEnd w:id="17"/>
      <w:bookmarkEnd w:id="18"/>
      <w:bookmarkEnd w:id="19"/>
      <w:bookmarkEnd w:id="20"/>
    </w:p>
    <w:p w14:paraId="22392F08">
      <w:pPr>
        <w:spacing w:line="312" w:lineRule="auto"/>
        <w:ind w:firstLine="480" w:firstLineChars="200"/>
        <w:jc w:val="left"/>
        <w:rPr>
          <w:rFonts w:ascii="宋体" w:hAnsi="宋体" w:cs="宋体"/>
          <w:color w:val="auto"/>
          <w:sz w:val="24"/>
          <w:highlight w:val="none"/>
        </w:rPr>
      </w:pPr>
      <w:bookmarkStart w:id="21" w:name="_Toc28359084"/>
      <w:bookmarkStart w:id="22" w:name="_Toc35393794"/>
      <w:bookmarkStart w:id="23" w:name="_Toc28359007"/>
      <w:bookmarkStart w:id="24" w:name="_Toc35393625"/>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07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25 </w:t>
      </w:r>
      <w:r>
        <w:rPr>
          <w:rFonts w:hint="eastAsia" w:ascii="宋体" w:hAnsi="宋体" w:cs="宋体"/>
          <w:bCs/>
          <w:color w:val="auto"/>
          <w:sz w:val="24"/>
          <w:highlight w:val="none"/>
          <w:u w:val="single"/>
        </w:rPr>
        <w:t>日9点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14:paraId="1FA1B18F">
      <w:pPr>
        <w:spacing w:line="312"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（二）投标</w:t>
      </w: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color w:val="auto"/>
          <w:sz w:val="24"/>
          <w:highlight w:val="none"/>
          <w:u w:val="none"/>
        </w:rPr>
        <w:t>浙江省台州市</w:t>
      </w:r>
      <w:r>
        <w:rPr>
          <w:rFonts w:hint="eastAsia" w:ascii="宋体" w:hAnsi="宋体" w:cs="宋体"/>
          <w:color w:val="auto"/>
          <w:sz w:val="24"/>
          <w:highlight w:val="none"/>
          <w:u w:val="none"/>
          <w:lang w:val="en-US" w:eastAsia="zh-CN"/>
        </w:rPr>
        <w:t>椒江区</w:t>
      </w:r>
      <w:r>
        <w:rPr>
          <w:rFonts w:hint="eastAsia" w:ascii="宋体" w:hAnsi="宋体" w:cs="宋体"/>
          <w:color w:val="auto"/>
          <w:sz w:val="24"/>
          <w:highlight w:val="none"/>
          <w:u w:val="none"/>
        </w:rPr>
        <w:t>市府大道</w:t>
      </w:r>
      <w:r>
        <w:rPr>
          <w:rFonts w:hint="eastAsia" w:ascii="宋体" w:hAnsi="宋体" w:cs="宋体"/>
          <w:color w:val="auto"/>
          <w:sz w:val="24"/>
          <w:highlight w:val="none"/>
          <w:u w:val="none"/>
          <w:lang w:val="en-US" w:eastAsia="zh-CN"/>
        </w:rPr>
        <w:t>507</w:t>
      </w:r>
      <w:r>
        <w:rPr>
          <w:rFonts w:hint="eastAsia" w:ascii="宋体" w:hAnsi="宋体" w:cs="宋体"/>
          <w:color w:val="auto"/>
          <w:sz w:val="24"/>
          <w:highlight w:val="none"/>
          <w:u w:val="none"/>
        </w:rPr>
        <w:t>号</w:t>
      </w:r>
      <w:r>
        <w:rPr>
          <w:rFonts w:hint="eastAsia" w:ascii="宋体" w:hAnsi="宋体" w:cs="宋体"/>
          <w:color w:val="auto"/>
          <w:sz w:val="24"/>
          <w:highlight w:val="none"/>
          <w:u w:val="none"/>
          <w:lang w:val="en-US" w:eastAsia="zh-CN"/>
        </w:rPr>
        <w:t>台州国际商务广场1幢3楼</w:t>
      </w:r>
      <w:r>
        <w:rPr>
          <w:rFonts w:hint="eastAsia" w:ascii="宋体" w:hAnsi="宋体" w:cs="宋体"/>
          <w:color w:val="auto"/>
          <w:sz w:val="24"/>
          <w:highlight w:val="none"/>
          <w:u w:val="none"/>
        </w:rPr>
        <w:t>开标室</w:t>
      </w:r>
      <w:r>
        <w:rPr>
          <w:rFonts w:hint="eastAsia" w:ascii="宋体" w:hAnsi="宋体" w:cs="宋体"/>
          <w:color w:val="auto"/>
          <w:sz w:val="24"/>
          <w:highlight w:val="none"/>
          <w:u w:val="none"/>
          <w:lang w:eastAsia="zh-CN"/>
        </w:rPr>
        <w:t>。</w:t>
      </w:r>
    </w:p>
    <w:bookmarkEnd w:id="21"/>
    <w:bookmarkEnd w:id="22"/>
    <w:bookmarkEnd w:id="23"/>
    <w:bookmarkEnd w:id="24"/>
    <w:p w14:paraId="292B320E">
      <w:pPr>
        <w:pStyle w:val="24"/>
        <w:spacing w:after="0" w:line="312"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4B1DB66D">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65A72A3A">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2FB54089">
      <w:pPr>
        <w:pStyle w:val="3"/>
        <w:spacing w:line="312" w:lineRule="auto"/>
        <w:ind w:right="0" w:firstLine="482" w:firstLineChars="200"/>
        <w:rPr>
          <w:rFonts w:cs="宋体"/>
          <w:bCs/>
          <w:color w:val="auto"/>
          <w:sz w:val="24"/>
          <w:szCs w:val="24"/>
          <w:highlight w:val="none"/>
        </w:rPr>
      </w:pPr>
      <w:bookmarkStart w:id="25" w:name="_Toc35393627"/>
      <w:bookmarkStart w:id="26" w:name="_Toc28359008"/>
      <w:bookmarkStart w:id="27" w:name="_Toc35393796"/>
      <w:bookmarkStart w:id="28" w:name="_Toc28359085"/>
      <w:r>
        <w:rPr>
          <w:rFonts w:hint="eastAsia" w:cs="宋体"/>
          <w:bCs/>
          <w:color w:val="auto"/>
          <w:sz w:val="24"/>
          <w:szCs w:val="24"/>
          <w:highlight w:val="none"/>
          <w:lang w:val="en-US" w:eastAsia="zh-CN"/>
        </w:rPr>
        <w:t>六</w:t>
      </w:r>
      <w:r>
        <w:rPr>
          <w:rFonts w:hint="eastAsia" w:cs="宋体"/>
          <w:bCs/>
          <w:color w:val="auto"/>
          <w:sz w:val="24"/>
          <w:szCs w:val="24"/>
          <w:highlight w:val="none"/>
        </w:rPr>
        <w:t>、</w:t>
      </w:r>
      <w:bookmarkEnd w:id="25"/>
      <w:bookmarkEnd w:id="26"/>
      <w:bookmarkEnd w:id="27"/>
      <w:bookmarkEnd w:id="28"/>
      <w:r>
        <w:rPr>
          <w:rFonts w:hint="eastAsia" w:cs="宋体"/>
          <w:bCs/>
          <w:color w:val="auto"/>
          <w:sz w:val="24"/>
          <w:szCs w:val="24"/>
          <w:highlight w:val="none"/>
        </w:rPr>
        <w:t>联系方式</w:t>
      </w:r>
    </w:p>
    <w:p w14:paraId="0646580C">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（一）采购人（受理采购文件相关质疑及答复） </w:t>
      </w:r>
    </w:p>
    <w:p w14:paraId="1A5361F6">
      <w:pPr>
        <w:spacing w:line="312" w:lineRule="auto"/>
        <w:ind w:firstLine="480" w:firstLineChars="200"/>
        <w:rPr>
          <w:rFonts w:hint="eastAsia" w:ascii="宋体" w:hAnsi="宋体" w:eastAsia="宋体" w:cs="宋体"/>
          <w:color w:val="auto"/>
          <w:sz w:val="24"/>
          <w:highlight w:val="none"/>
          <w:u w:val="single"/>
          <w:lang w:val="en"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台州市防汛防旱事务中心</w:t>
      </w:r>
    </w:p>
    <w:p w14:paraId="1E317DD7">
      <w:pPr>
        <w:spacing w:line="312"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浙江省台州市椒江区白云山西路300号</w:t>
      </w:r>
    </w:p>
    <w:p w14:paraId="33A7C66E">
      <w:pPr>
        <w:spacing w:line="312" w:lineRule="auto"/>
        <w:ind w:firstLine="480" w:firstLineChars="200"/>
        <w:rPr>
          <w:rFonts w:hint="default" w:ascii="宋体" w:hAnsi="宋体" w:cs="宋体"/>
          <w:color w:val="auto"/>
          <w:sz w:val="24"/>
          <w:highlight w:val="none"/>
          <w:u w:val="single"/>
          <w:lang w:val="en-US"/>
        </w:rPr>
      </w:pPr>
      <w:r>
        <w:rPr>
          <w:rFonts w:hint="eastAsia" w:ascii="宋体" w:hAnsi="宋体" w:cs="宋体"/>
          <w:color w:val="auto"/>
          <w:sz w:val="24"/>
          <w:highlight w:val="none"/>
        </w:rPr>
        <w:t>联系人：</w:t>
      </w:r>
      <w:bookmarkStart w:id="29" w:name="_Toc28359086"/>
      <w:bookmarkStart w:id="30" w:name="_Toc28359009"/>
      <w:r>
        <w:rPr>
          <w:rFonts w:hint="eastAsia" w:ascii="宋体" w:hAnsi="宋体" w:cs="宋体"/>
          <w:color w:val="auto"/>
          <w:sz w:val="24"/>
          <w:highlight w:val="none"/>
          <w:u w:val="single"/>
          <w:lang w:val="en-US" w:eastAsia="zh-CN"/>
        </w:rPr>
        <w:t>任文杰</w:t>
      </w:r>
    </w:p>
    <w:p w14:paraId="759264DC">
      <w:pPr>
        <w:spacing w:line="312" w:lineRule="auto"/>
        <w:ind w:firstLine="480" w:firstLineChars="200"/>
        <w:rPr>
          <w:rFonts w:hint="default" w:ascii="宋体" w:hAnsi="宋体" w:cs="宋体"/>
          <w:color w:val="auto"/>
          <w:sz w:val="24"/>
          <w:highlight w:val="none"/>
          <w:u w:val="single"/>
          <w:lang w:eastAsia="zh-CN"/>
        </w:rPr>
      </w:pPr>
      <w:r>
        <w:rPr>
          <w:rFonts w:hint="eastAsia" w:ascii="宋体" w:hAnsi="宋体" w:cs="宋体"/>
          <w:color w:val="auto"/>
          <w:sz w:val="24"/>
          <w:highlight w:val="none"/>
        </w:rPr>
        <w:t>联系电话：</w:t>
      </w:r>
      <w:bookmarkEnd w:id="29"/>
      <w:bookmarkEnd w:id="30"/>
      <w:r>
        <w:rPr>
          <w:rFonts w:hint="eastAsia" w:ascii="宋体" w:hAnsi="宋体" w:cs="宋体"/>
          <w:color w:val="auto"/>
          <w:sz w:val="24"/>
          <w:highlight w:val="none"/>
          <w:u w:val="single"/>
          <w:lang w:val="en-US" w:eastAsia="zh-CN"/>
        </w:rPr>
        <w:t>0576-88686593</w:t>
      </w:r>
    </w:p>
    <w:p w14:paraId="375D9C1E">
      <w:pPr>
        <w:spacing w:line="312"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58E47C79">
      <w:pPr>
        <w:spacing w:line="312" w:lineRule="auto"/>
        <w:ind w:firstLine="480" w:firstLineChars="200"/>
        <w:rPr>
          <w:rFonts w:ascii="宋体" w:hAnsi="宋体" w:cs="宋体"/>
          <w:color w:val="auto"/>
          <w:sz w:val="24"/>
          <w:highlight w:val="none"/>
          <w:u w:val="single"/>
        </w:rPr>
      </w:pPr>
      <w:bookmarkStart w:id="31" w:name="_Toc28359087"/>
      <w:bookmarkStart w:id="32"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4824866B">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楼</w:t>
      </w:r>
    </w:p>
    <w:p w14:paraId="6A37C0BE">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w:t>
      </w:r>
    </w:p>
    <w:p w14:paraId="025AF59B">
      <w:pPr>
        <w:spacing w:line="312" w:lineRule="auto"/>
        <w:ind w:firstLine="480" w:firstLineChars="200"/>
        <w:rPr>
          <w:rFonts w:hint="default" w:ascii="宋体" w:hAnsi="宋体" w:cs="宋体"/>
          <w:color w:val="auto"/>
          <w:sz w:val="24"/>
          <w:highlight w:val="none"/>
          <w:u w:val="single"/>
          <w:lang w:val="en-US"/>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w:t>
      </w:r>
      <w:r>
        <w:rPr>
          <w:rFonts w:hint="eastAsia" w:ascii="宋体" w:hAnsi="宋体" w:cs="宋体"/>
          <w:color w:val="auto"/>
          <w:sz w:val="24"/>
          <w:highlight w:val="none"/>
          <w:u w:val="single"/>
          <w:lang w:val="en-US" w:eastAsia="zh-CN"/>
        </w:rPr>
        <w:t>91</w:t>
      </w:r>
    </w:p>
    <w:p w14:paraId="447E023E">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徐瑜（受理相关质疑及答复）</w:t>
      </w:r>
    </w:p>
    <w:p w14:paraId="5C9B54B2">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541E76E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02E75C1C">
      <w:pPr>
        <w:widowControl/>
        <w:spacing w:line="312" w:lineRule="auto"/>
        <w:ind w:firstLine="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p>
    <w:bookmarkEnd w:id="31"/>
    <w:bookmarkEnd w:id="32"/>
    <w:p w14:paraId="3CFE677E">
      <w:pPr>
        <w:spacing w:line="312" w:lineRule="auto"/>
        <w:rPr>
          <w:rFonts w:ascii="宋体" w:hAnsi="宋体"/>
          <w:b/>
          <w:color w:val="auto"/>
          <w:sz w:val="36"/>
          <w:szCs w:val="36"/>
          <w:highlight w:val="none"/>
        </w:rPr>
        <w:sectPr>
          <w:pgSz w:w="11906" w:h="16838"/>
          <w:pgMar w:top="1701" w:right="1448" w:bottom="1531" w:left="1418" w:header="851" w:footer="851" w:gutter="0"/>
          <w:cols w:space="720" w:num="1"/>
          <w:docGrid w:linePitch="312" w:charSpace="0"/>
        </w:sectPr>
      </w:pPr>
      <w:bookmarkStart w:id="33" w:name="_Toc25017_WPSOffice_Level1"/>
    </w:p>
    <w:p w14:paraId="5A0A47A5">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bookmarkEnd w:id="33"/>
    </w:p>
    <w:p w14:paraId="52D6F5DA">
      <w:pPr>
        <w:numPr>
          <w:ilvl w:val="0"/>
          <w:numId w:val="1"/>
        </w:numPr>
        <w:ind w:firstLine="482" w:firstLineChars="200"/>
        <w:rPr>
          <w:color w:val="auto"/>
          <w:highlight w:val="none"/>
        </w:rPr>
      </w:pPr>
      <w:r>
        <w:rPr>
          <w:rFonts w:hint="eastAsia" w:ascii="宋体" w:hAnsi="宋体"/>
          <w:b/>
          <w:color w:val="auto"/>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0638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D7E136E">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8C32D48">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4782AC2">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0613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63EFAB7">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EEDC041">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715DE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 否</w:t>
            </w:r>
          </w:p>
        </w:tc>
      </w:tr>
      <w:tr w14:paraId="52E6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8387586">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E03C6F7">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F4E24D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是（但主体部分不得分包，详见招标需求内容）/☑否</w:t>
            </w:r>
          </w:p>
        </w:tc>
      </w:tr>
      <w:tr w14:paraId="4991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468048">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3CE20A">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1AA3B8B6">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A2AF125">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3C94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4EE42E8">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4EC611A">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质疑</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答复</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82D017F">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eastAsia="宋体" w:cs="宋体"/>
                <w:color w:val="auto"/>
                <w:highlight w:val="none"/>
              </w:rPr>
              <w:t>。</w:t>
            </w:r>
          </w:p>
          <w:p w14:paraId="10E2B14E">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书面质疑接收人：徐瑜</w:t>
            </w:r>
          </w:p>
          <w:p w14:paraId="36800422">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0576-8851778</w:t>
            </w:r>
            <w:r>
              <w:rPr>
                <w:rFonts w:hint="eastAsia" w:ascii="宋体" w:hAnsi="宋体" w:eastAsia="宋体" w:cs="宋体"/>
                <w:color w:val="auto"/>
                <w:highlight w:val="none"/>
                <w:lang w:val="en-US" w:eastAsia="zh-CN"/>
              </w:rPr>
              <w:t>6</w:t>
            </w:r>
          </w:p>
          <w:p w14:paraId="3E1AFF88">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书面质疑接收地址：</w:t>
            </w:r>
            <w:r>
              <w:rPr>
                <w:rFonts w:hint="eastAsia" w:ascii="宋体" w:hAnsi="宋体" w:eastAsia="宋体" w:cs="宋体"/>
                <w:color w:val="auto"/>
                <w:highlight w:val="none"/>
                <w:lang w:eastAsia="zh-CN"/>
              </w:rPr>
              <w:t>浙江省台州市椒江区市府大道507号台州国际商务广场1幢</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楼</w:t>
            </w:r>
          </w:p>
        </w:tc>
      </w:tr>
      <w:tr w14:paraId="16F9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EF28C8A">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45D9DE">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文件组成</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D0C6C66">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资格证明文件、商务与技术文件</w:t>
            </w:r>
            <w:r>
              <w:rPr>
                <w:rFonts w:hint="eastAsia" w:ascii="宋体" w:hAnsi="宋体" w:eastAsia="宋体" w:cs="宋体"/>
                <w:color w:val="auto"/>
                <w:highlight w:val="none"/>
                <w:lang w:eastAsia="zh-CN"/>
              </w:rPr>
              <w:t>、报价文件各需正本 1 份、副本 4 份。</w:t>
            </w:r>
          </w:p>
        </w:tc>
      </w:tr>
      <w:tr w14:paraId="0BC9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6BE0E33">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97AD340">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采购响应文件递交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515B8FF">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见招标公告；</w:t>
            </w:r>
          </w:p>
          <w:p w14:paraId="7D4176FD">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逾期送达的采购响应文件恕不接受。</w:t>
            </w:r>
          </w:p>
        </w:tc>
      </w:tr>
      <w:tr w14:paraId="70EA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668A338">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E8392DA">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开标时间及地点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363E62F">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见招标公告</w:t>
            </w:r>
          </w:p>
        </w:tc>
      </w:tr>
      <w:tr w14:paraId="2F56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B3F3489">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B1AF3AD">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821E99">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本项目不设置投标保证金</w:t>
            </w:r>
          </w:p>
        </w:tc>
      </w:tr>
      <w:tr w14:paraId="62AB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B03F8E8">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B313A55">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14DF70E">
            <w:pPr>
              <w:spacing w:line="30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14:paraId="25E2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E930E57">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02062F">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F1D835F">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采购人确认</w:t>
            </w:r>
            <w:r>
              <w:rPr>
                <w:rFonts w:hint="eastAsia" w:ascii="宋体" w:hAnsi="宋体" w:eastAsia="宋体" w:cs="宋体"/>
                <w:color w:val="auto"/>
                <w:highlight w:val="none"/>
                <w:lang w:eastAsia="zh-CN"/>
              </w:rPr>
              <w:t>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个工作日内，中标公告发布于上述媒体</w:t>
            </w:r>
          </w:p>
        </w:tc>
      </w:tr>
      <w:tr w14:paraId="1F10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F8ED2AB">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B60B4C7">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1A6700F">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中标通知书发出后30日内</w:t>
            </w:r>
          </w:p>
        </w:tc>
      </w:tr>
      <w:tr w14:paraId="4117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4EE683C">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F572F6">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14:paraId="2CADEAE7">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E8D60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 /</w:t>
            </w:r>
            <w:r>
              <w:rPr>
                <w:rFonts w:hint="eastAsia" w:ascii="宋体" w:hAnsi="宋体" w:cs="宋体"/>
                <w:color w:val="auto"/>
                <w:highlight w:val="none"/>
                <w:lang w:eastAsia="zh-CN"/>
              </w:rPr>
              <w:t>☑</w:t>
            </w:r>
            <w:r>
              <w:rPr>
                <w:rFonts w:hint="eastAsia" w:ascii="宋体" w:hAnsi="宋体" w:cs="宋体"/>
                <w:color w:val="auto"/>
                <w:highlight w:val="none"/>
              </w:rPr>
              <w:t xml:space="preserve"> 否)属于专门面向中小企业采购的项目。</w:t>
            </w:r>
          </w:p>
        </w:tc>
      </w:tr>
      <w:tr w14:paraId="19F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209CB3">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4D1035A">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14:paraId="3DE0608E">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84014B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服务类 </w:t>
            </w:r>
          </w:p>
          <w:p w14:paraId="6B11FE0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1CCEF282">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ascii="宋体" w:hAnsi="宋体" w:cs="宋体"/>
                <w:color w:val="auto"/>
                <w:szCs w:val="21"/>
                <w:highlight w:val="none"/>
                <w:u w:val="single"/>
                <w:lang w:val="en-US" w:eastAsia="zh-CN"/>
              </w:rPr>
              <w:t>台州市2025年水利工程安全运行技术支撑</w:t>
            </w:r>
            <w:r>
              <w:rPr>
                <w:rFonts w:hint="eastAsia" w:ascii="宋体" w:hAnsi="宋体" w:cs="宋体"/>
                <w:color w:val="auto"/>
                <w:szCs w:val="21"/>
                <w:highlight w:val="none"/>
              </w:rPr>
              <w:t>，所属行业</w:t>
            </w:r>
            <w:r>
              <w:rPr>
                <w:rFonts w:hint="eastAsia" w:ascii="宋体" w:hAnsi="宋体" w:cs="宋体"/>
                <w:color w:val="auto"/>
                <w:szCs w:val="21"/>
                <w:highlight w:val="none"/>
                <w:u w:val="single"/>
              </w:rPr>
              <w:t>：（十六）其他未列明行业</w:t>
            </w:r>
          </w:p>
          <w:p w14:paraId="47477451">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w:t>
            </w:r>
          </w:p>
          <w:p w14:paraId="394E7280">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4C962AF8">
            <w:pPr>
              <w:spacing w:line="300" w:lineRule="auto"/>
              <w:rPr>
                <w:rFonts w:ascii="宋体" w:hAnsi="宋体" w:cs="宋体"/>
                <w:color w:val="auto"/>
                <w:highlight w:val="none"/>
              </w:rPr>
            </w:pPr>
            <w:r>
              <w:rPr>
                <w:rFonts w:hint="eastAsia" w:ascii="宋体" w:hAnsi="宋体" w:cs="宋体"/>
                <w:color w:val="auto"/>
                <w:highlight w:val="none"/>
              </w:rPr>
              <w:t>（注：未提供以上材料的，均不给予小微企业认定）</w:t>
            </w:r>
          </w:p>
        </w:tc>
      </w:tr>
      <w:tr w14:paraId="3DE5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DD1863F">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AB418DC">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投标文件递交要求</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6459123">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下列人员经采购人（招标代理机构）确认身份后再签名报到，以证明其出席开标会议：</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法定代表人或委托代理人应持本人有效身份证原件</w:t>
            </w:r>
            <w:r>
              <w:rPr>
                <w:rFonts w:hint="eastAsia" w:ascii="宋体" w:hAnsi="宋体" w:eastAsia="宋体" w:cs="宋体"/>
                <w:color w:val="auto"/>
                <w:szCs w:val="21"/>
                <w:highlight w:val="none"/>
                <w:lang w:val="en-US" w:eastAsia="zh-CN"/>
              </w:rPr>
              <w:t>和本项目</w:t>
            </w:r>
            <w:r>
              <w:rPr>
                <w:rFonts w:hint="eastAsia" w:ascii="宋体" w:hAnsi="宋体" w:eastAsia="宋体" w:cs="宋体"/>
                <w:color w:val="auto"/>
                <w:szCs w:val="21"/>
                <w:highlight w:val="none"/>
              </w:rPr>
              <w:t>授权委托书原件参加开标会议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如为法定代表人参加的无需本项目</w:t>
            </w:r>
            <w:r>
              <w:rPr>
                <w:rFonts w:hint="eastAsia" w:ascii="宋体" w:hAnsi="宋体" w:eastAsia="宋体" w:cs="宋体"/>
                <w:color w:val="auto"/>
                <w:szCs w:val="21"/>
                <w:highlight w:val="none"/>
              </w:rPr>
              <w:t>授权委托书。</w:t>
            </w:r>
          </w:p>
        </w:tc>
      </w:tr>
      <w:tr w14:paraId="2A48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353319">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A189096">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D9B6917">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50D7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00C0EC9">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A9F5626">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B364285">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4207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5915A2">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8EA3B3C">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AF3F645">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4DD4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E68AABE">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1E997FF">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B434084">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本采购文件解释权属于采购人和采购组织机构。</w:t>
            </w:r>
          </w:p>
        </w:tc>
      </w:tr>
      <w:tr w14:paraId="4AE5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88FF7B">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9FCC4AC">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62EC4A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本项目投标应以人民币报价；</w:t>
            </w:r>
          </w:p>
          <w:p w14:paraId="16DC0FF6">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不论投标结果如何，供应商均应自行承担所有与投标有关的全部费用；</w:t>
            </w:r>
          </w:p>
          <w:p w14:paraId="37DB7485">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本项目招标代理费</w:t>
            </w:r>
            <w:r>
              <w:rPr>
                <w:rFonts w:hint="eastAsia" w:ascii="宋体" w:hAnsi="宋体" w:cs="宋体"/>
                <w:color w:val="auto"/>
                <w:highlight w:val="none"/>
                <w:u w:val="single"/>
                <w:lang w:val="en-US" w:eastAsia="zh-CN"/>
              </w:rPr>
              <w:t xml:space="preserve"> 4000</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成交供应商</w:t>
            </w:r>
            <w:r>
              <w:rPr>
                <w:rFonts w:hint="eastAsia" w:ascii="宋体" w:hAnsi="宋体" w:cs="宋体"/>
                <w:color w:val="auto"/>
                <w:highlight w:val="none"/>
              </w:rPr>
              <w:t>支付。</w:t>
            </w:r>
          </w:p>
        </w:tc>
      </w:tr>
    </w:tbl>
    <w:p w14:paraId="2828F40A">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14:paraId="78249E8B">
      <w:pPr>
        <w:pStyle w:val="13"/>
        <w:numPr>
          <w:ilvl w:val="0"/>
          <w:numId w:val="2"/>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14:paraId="48F5ECAC">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本</w:t>
      </w:r>
      <w:r>
        <w:rPr>
          <w:rFonts w:hint="eastAsia" w:ascii="宋体" w:hAnsi="宋体"/>
          <w:color w:val="auto"/>
          <w:sz w:val="24"/>
          <w:highlight w:val="none"/>
        </w:rPr>
        <w:t>采购文件</w:t>
      </w:r>
      <w:r>
        <w:rPr>
          <w:rFonts w:ascii="宋体" w:hAnsi="宋体"/>
          <w:color w:val="auto"/>
          <w:sz w:val="24"/>
          <w:highlight w:val="none"/>
        </w:rPr>
        <w:t>依据《中华人民共和国政府采购法》、《中华人民共和国政府采购法实施条例》（国务院令第658号）和《政府采购货物和服务招标投标管理办法》（财政部令第87号）及国家和</w:t>
      </w:r>
      <w:r>
        <w:rPr>
          <w:rFonts w:hint="eastAsia" w:ascii="宋体" w:hAnsi="宋体"/>
          <w:color w:val="auto"/>
          <w:sz w:val="24"/>
          <w:highlight w:val="none"/>
        </w:rPr>
        <w:t>浙江省</w:t>
      </w:r>
      <w:r>
        <w:rPr>
          <w:rFonts w:ascii="宋体" w:hAnsi="宋体"/>
          <w:color w:val="auto"/>
          <w:sz w:val="24"/>
          <w:highlight w:val="none"/>
        </w:rPr>
        <w:t>有关法律、法规、规章编制。</w:t>
      </w:r>
    </w:p>
    <w:p w14:paraId="0F52D8C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w:t>
      </w:r>
      <w:r>
        <w:rPr>
          <w:rFonts w:ascii="宋体" w:hAnsi="宋体"/>
          <w:color w:val="auto"/>
          <w:sz w:val="24"/>
          <w:highlight w:val="none"/>
        </w:rPr>
        <w:t>应仔细阅读本项目招标公告及</w:t>
      </w:r>
      <w:r>
        <w:rPr>
          <w:rFonts w:hint="eastAsia" w:ascii="宋体" w:hAnsi="宋体"/>
          <w:color w:val="auto"/>
          <w:sz w:val="24"/>
          <w:highlight w:val="none"/>
        </w:rPr>
        <w:t>采购文件</w:t>
      </w:r>
      <w:r>
        <w:rPr>
          <w:rFonts w:ascii="宋体" w:hAnsi="宋体"/>
          <w:color w:val="auto"/>
          <w:sz w:val="24"/>
          <w:highlight w:val="none"/>
        </w:rPr>
        <w:t>的所有内容（包括变更、补充、澄清以及修改等，且均为</w:t>
      </w:r>
      <w:r>
        <w:rPr>
          <w:rFonts w:hint="eastAsia" w:ascii="宋体" w:hAnsi="宋体"/>
          <w:color w:val="auto"/>
          <w:sz w:val="24"/>
          <w:highlight w:val="none"/>
        </w:rPr>
        <w:t>采购文件</w:t>
      </w:r>
      <w:r>
        <w:rPr>
          <w:rFonts w:ascii="宋体" w:hAnsi="宋体"/>
          <w:color w:val="auto"/>
          <w:sz w:val="24"/>
          <w:highlight w:val="none"/>
        </w:rPr>
        <w:t>的组成部分），按照</w:t>
      </w:r>
      <w:r>
        <w:rPr>
          <w:rFonts w:hint="eastAsia" w:ascii="宋体" w:hAnsi="宋体"/>
          <w:color w:val="auto"/>
          <w:sz w:val="24"/>
          <w:highlight w:val="none"/>
        </w:rPr>
        <w:t>采购文件</w:t>
      </w:r>
      <w:r>
        <w:rPr>
          <w:rFonts w:ascii="宋体" w:hAnsi="宋体"/>
          <w:color w:val="auto"/>
          <w:sz w:val="24"/>
          <w:highlight w:val="none"/>
        </w:rPr>
        <w:t>要求以及格式编制投标文件，并保证其真实性，否则</w:t>
      </w:r>
      <w:r>
        <w:rPr>
          <w:rFonts w:hint="eastAsia"/>
          <w:color w:val="auto"/>
          <w:sz w:val="24"/>
          <w:highlight w:val="none"/>
        </w:rPr>
        <w:t>由此引起的一切后果应由</w:t>
      </w:r>
      <w:r>
        <w:rPr>
          <w:rFonts w:hint="eastAsia" w:ascii="宋体" w:hAnsi="宋体"/>
          <w:color w:val="auto"/>
          <w:sz w:val="24"/>
          <w:highlight w:val="none"/>
        </w:rPr>
        <w:t>供应商</w:t>
      </w:r>
      <w:r>
        <w:rPr>
          <w:rFonts w:hint="eastAsia"/>
          <w:color w:val="auto"/>
          <w:sz w:val="24"/>
          <w:highlight w:val="none"/>
        </w:rPr>
        <w:t>承担。</w:t>
      </w:r>
    </w:p>
    <w:p w14:paraId="11DAAE2E">
      <w:pPr>
        <w:numPr>
          <w:ilvl w:val="0"/>
          <w:numId w:val="2"/>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14:paraId="6622C7B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本采购文件适用于</w:t>
      </w:r>
      <w:r>
        <w:rPr>
          <w:rFonts w:hint="eastAsia" w:ascii="宋体" w:hAnsi="宋体"/>
          <w:bCs/>
          <w:color w:val="auto"/>
          <w:sz w:val="24"/>
          <w:highlight w:val="none"/>
        </w:rPr>
        <w:t>本次</w:t>
      </w:r>
      <w:r>
        <w:rPr>
          <w:rFonts w:hint="eastAsia" w:ascii="宋体" w:hAnsi="宋体"/>
          <w:color w:val="auto"/>
          <w:sz w:val="24"/>
          <w:highlight w:val="none"/>
        </w:rPr>
        <w:t>项目的招标、投标、评标、定标、验收、合同履约、付款等行为（法律、法规另有规定的，从其规定）。</w:t>
      </w:r>
    </w:p>
    <w:p w14:paraId="68061A6F">
      <w:pPr>
        <w:pStyle w:val="8"/>
        <w:spacing w:line="360" w:lineRule="auto"/>
        <w:ind w:firstLine="480" w:firstLineChars="200"/>
        <w:rPr>
          <w:color w:val="auto"/>
          <w:highlight w:val="none"/>
        </w:rPr>
      </w:pPr>
      <w:r>
        <w:rPr>
          <w:color w:val="auto"/>
          <w:highlight w:val="none"/>
        </w:rPr>
        <w:t>本</w:t>
      </w:r>
      <w:r>
        <w:rPr>
          <w:rFonts w:hint="eastAsia"/>
          <w:color w:val="auto"/>
          <w:highlight w:val="none"/>
        </w:rPr>
        <w:t>采购文件</w:t>
      </w:r>
      <w:r>
        <w:rPr>
          <w:color w:val="auto"/>
          <w:highlight w:val="none"/>
        </w:rPr>
        <w:t>仅适用于本次招标公告中所涉及的项目和内容。</w:t>
      </w:r>
    </w:p>
    <w:p w14:paraId="7EDC1FC5">
      <w:pPr>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14:paraId="33C98862">
      <w:pPr>
        <w:pStyle w:val="4"/>
        <w:keepNext w:val="0"/>
        <w:keepLines w:val="0"/>
        <w:tabs>
          <w:tab w:val="left" w:pos="0"/>
          <w:tab w:val="left" w:pos="851"/>
        </w:tabs>
        <w:snapToGrid w:val="0"/>
        <w:spacing w:before="0" w:after="0" w:line="360" w:lineRule="auto"/>
        <w:ind w:firstLine="480" w:firstLineChars="200"/>
        <w:rPr>
          <w:rFonts w:ascii="宋体" w:hAnsi="宋体"/>
          <w:bCs w:val="0"/>
          <w:color w:val="auto"/>
          <w:sz w:val="24"/>
          <w:szCs w:val="24"/>
          <w:highlight w:val="none"/>
        </w:rPr>
      </w:pPr>
      <w:r>
        <w:rPr>
          <w:rFonts w:hint="eastAsia" w:ascii="宋体" w:hAnsi="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color w:val="auto"/>
          <w:sz w:val="24"/>
          <w:szCs w:val="24"/>
          <w:highlight w:val="none"/>
        </w:rPr>
        <w:t>是</w:t>
      </w:r>
      <w:r>
        <w:rPr>
          <w:rFonts w:hint="eastAsia"/>
          <w:bCs w:val="0"/>
          <w:color w:val="auto"/>
          <w:sz w:val="24"/>
          <w:szCs w:val="24"/>
          <w:highlight w:val="none"/>
          <w:lang w:val="zh-CN"/>
        </w:rPr>
        <w:t>指采购人委托组织招标的采购代理机构；</w:t>
      </w:r>
    </w:p>
    <w:p w14:paraId="506A60A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2.采购人：是指依法进行政府采购的国家机关、事业单位和团体组织；</w:t>
      </w:r>
    </w:p>
    <w:p w14:paraId="787BAC6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3.供应商：是</w:t>
      </w:r>
      <w:r>
        <w:rPr>
          <w:rFonts w:ascii="宋体" w:hAnsi="宋体"/>
          <w:color w:val="auto"/>
          <w:sz w:val="24"/>
          <w:highlight w:val="none"/>
        </w:rPr>
        <w:t>指</w:t>
      </w:r>
      <w:r>
        <w:rPr>
          <w:rFonts w:hint="eastAsia" w:ascii="宋体" w:hAnsi="宋体"/>
          <w:color w:val="auto"/>
          <w:sz w:val="24"/>
          <w:highlight w:val="none"/>
        </w:rPr>
        <w:t>响应招标、参加投标竞争的法人、其他组织或者自然人；</w:t>
      </w:r>
    </w:p>
    <w:p w14:paraId="3173FF9F">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成交供应商：是指经评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委员会评审确定的对采购文件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委员会推荐的中标候选人中确定的或受采购人委托直接确认的，与采购人签订合同资格的供应商</w:t>
      </w:r>
      <w:r>
        <w:rPr>
          <w:rFonts w:hint="eastAsia" w:ascii="宋体" w:hAnsi="宋体"/>
          <w:color w:val="auto"/>
          <w:sz w:val="24"/>
          <w:highlight w:val="none"/>
        </w:rPr>
        <w:t>；</w:t>
      </w:r>
    </w:p>
    <w:p w14:paraId="0D3AFF29">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两个或两个以上法人或者其他组织可以组成一个联合体，以一个供应商的身份共同投标。</w:t>
      </w:r>
    </w:p>
    <w:p w14:paraId="5B356412">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四</w:t>
      </w:r>
      <w:r>
        <w:rPr>
          <w:rFonts w:hint="eastAsia"/>
          <w:b/>
          <w:bCs/>
          <w:color w:val="auto"/>
          <w:sz w:val="24"/>
          <w:highlight w:val="none"/>
        </w:rPr>
        <w:t>）</w:t>
      </w:r>
      <w:r>
        <w:rPr>
          <w:b/>
          <w:bCs/>
          <w:color w:val="auto"/>
          <w:sz w:val="24"/>
          <w:highlight w:val="none"/>
        </w:rPr>
        <w:t>语言文字以及度量单位</w:t>
      </w:r>
    </w:p>
    <w:p w14:paraId="2C2CF3C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1.投标文件以及供应商与</w:t>
      </w:r>
      <w:r>
        <w:rPr>
          <w:rFonts w:hint="eastAsia" w:ascii="宋体" w:hAnsi="宋体" w:cs="宋体"/>
          <w:color w:val="auto"/>
          <w:kern w:val="0"/>
          <w:sz w:val="24"/>
          <w:highlight w:val="none"/>
        </w:rPr>
        <w:t>采购代理机构名称</w:t>
      </w:r>
      <w:r>
        <w:rPr>
          <w:rFonts w:hint="eastAsia" w:ascii="宋体" w:hAnsi="宋体"/>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1737DE2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2.所有计量均采用中国法定的计量单位。</w:t>
      </w:r>
    </w:p>
    <w:p w14:paraId="54574403">
      <w:pPr>
        <w:snapToGrid w:val="0"/>
        <w:spacing w:line="360" w:lineRule="auto"/>
        <w:ind w:firstLine="480" w:firstLineChars="200"/>
        <w:rPr>
          <w:color w:val="auto"/>
          <w:sz w:val="24"/>
          <w:highlight w:val="none"/>
        </w:rPr>
      </w:pPr>
      <w:r>
        <w:rPr>
          <w:rFonts w:hint="eastAsia" w:ascii="宋体" w:hAnsi="宋体"/>
          <w:color w:val="auto"/>
          <w:sz w:val="24"/>
          <w:highlight w:val="none"/>
        </w:rPr>
        <w:t>3.所有</w:t>
      </w:r>
      <w:r>
        <w:rPr>
          <w:color w:val="auto"/>
          <w:sz w:val="24"/>
          <w:highlight w:val="none"/>
        </w:rPr>
        <w:t>报价一律使用人民币，货币单位：元。</w:t>
      </w:r>
    </w:p>
    <w:p w14:paraId="229D9220">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五</w:t>
      </w:r>
      <w:r>
        <w:rPr>
          <w:rFonts w:hint="eastAsia"/>
          <w:b/>
          <w:bCs/>
          <w:color w:val="auto"/>
          <w:sz w:val="24"/>
          <w:highlight w:val="none"/>
        </w:rPr>
        <w:t>）</w:t>
      </w:r>
      <w:r>
        <w:rPr>
          <w:b/>
          <w:bCs/>
          <w:color w:val="auto"/>
          <w:sz w:val="24"/>
          <w:highlight w:val="none"/>
        </w:rPr>
        <w:t>现场踏勘</w:t>
      </w:r>
    </w:p>
    <w:p w14:paraId="7D193A9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1.采购文件规定组织踏勘现场的，采购人按采购文件规定的时间、地点组织供应商踏勘项目现场。</w:t>
      </w:r>
    </w:p>
    <w:p w14:paraId="2261315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2.供应商自行承担踏勘现场发生的责任、风险和自身费用。</w:t>
      </w:r>
    </w:p>
    <w:p w14:paraId="1960DE09">
      <w:pPr>
        <w:snapToGrid w:val="0"/>
        <w:spacing w:line="360" w:lineRule="auto"/>
        <w:ind w:firstLine="480" w:firstLineChars="200"/>
        <w:rPr>
          <w:color w:val="auto"/>
          <w:sz w:val="24"/>
          <w:highlight w:val="none"/>
        </w:rPr>
      </w:pPr>
      <w:r>
        <w:rPr>
          <w:rFonts w:hint="eastAsia" w:ascii="宋体" w:hAnsi="宋体"/>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采购文件</w:t>
      </w:r>
      <w:r>
        <w:rPr>
          <w:color w:val="auto"/>
          <w:sz w:val="24"/>
          <w:highlight w:val="none"/>
        </w:rPr>
        <w:t>的修改或不作为</w:t>
      </w:r>
      <w:r>
        <w:rPr>
          <w:rFonts w:hint="eastAsia"/>
          <w:color w:val="auto"/>
          <w:sz w:val="24"/>
          <w:highlight w:val="none"/>
        </w:rPr>
        <w:t>供应商</w:t>
      </w:r>
      <w:r>
        <w:rPr>
          <w:color w:val="auto"/>
          <w:sz w:val="24"/>
          <w:highlight w:val="none"/>
        </w:rPr>
        <w:t>编制投标文件的依据。</w:t>
      </w:r>
    </w:p>
    <w:p w14:paraId="4933F66B">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w:t>
      </w:r>
      <w:r>
        <w:rPr>
          <w:rFonts w:hint="eastAsia" w:hAnsi="宋体"/>
          <w:b/>
          <w:color w:val="auto"/>
          <w:sz w:val="24"/>
          <w:highlight w:val="none"/>
          <w:lang w:val="en-US" w:eastAsia="zh-CN"/>
        </w:rPr>
        <w:t>六</w:t>
      </w:r>
      <w:r>
        <w:rPr>
          <w:rFonts w:hint="eastAsia" w:hAnsi="宋体"/>
          <w:b/>
          <w:color w:val="auto"/>
          <w:sz w:val="24"/>
          <w:highlight w:val="none"/>
        </w:rPr>
        <w:t>）特别说明</w:t>
      </w:r>
    </w:p>
    <w:p w14:paraId="06E78B1E">
      <w:pPr>
        <w:pStyle w:val="12"/>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1.供应商</w:t>
      </w:r>
      <w:r>
        <w:rPr>
          <w:rFonts w:hAnsi="宋体"/>
          <w:color w:val="auto"/>
          <w:sz w:val="24"/>
          <w:highlight w:val="none"/>
        </w:rPr>
        <w:t>投标所使用的资格、信誉、荣誉、业绩与企业认证必须为本法人所拥有</w:t>
      </w:r>
      <w:r>
        <w:rPr>
          <w:rFonts w:hint="eastAsia" w:hAnsi="宋体"/>
          <w:color w:val="auto"/>
          <w:sz w:val="24"/>
          <w:highlight w:val="none"/>
        </w:rPr>
        <w:t>且所提供的资料都是真实有效的</w:t>
      </w:r>
      <w:r>
        <w:rPr>
          <w:rFonts w:hAnsi="宋体"/>
          <w:color w:val="auto"/>
          <w:sz w:val="24"/>
          <w:highlight w:val="none"/>
        </w:rPr>
        <w:t>。</w:t>
      </w:r>
      <w:r>
        <w:rPr>
          <w:rFonts w:hint="eastAsia" w:hAnsi="宋体"/>
          <w:color w:val="auto"/>
          <w:sz w:val="24"/>
          <w:highlight w:val="none"/>
        </w:rPr>
        <w:t>供应商</w:t>
      </w:r>
      <w:r>
        <w:rPr>
          <w:rFonts w:hAnsi="宋体"/>
          <w:color w:val="auto"/>
          <w:sz w:val="24"/>
          <w:highlight w:val="none"/>
        </w:rPr>
        <w:t>投标所使用的采购项目实施人员必须为本法人员工。</w:t>
      </w:r>
    </w:p>
    <w:p w14:paraId="6DB6DA8E">
      <w:pPr>
        <w:pStyle w:val="37"/>
        <w:snapToGrid w:val="0"/>
        <w:spacing w:line="360" w:lineRule="auto"/>
        <w:ind w:firstLine="480"/>
        <w:rPr>
          <w:rFonts w:ascii="宋体" w:hAnsi="宋体" w:cs="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应仔细阅读招标文件的所有内容，按照招标文件的要求提交投标文件，并对所提供的全部资料的真实性承担法律责任。</w:t>
      </w:r>
    </w:p>
    <w:p w14:paraId="7CFD02B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三、采购文件</w:t>
      </w:r>
    </w:p>
    <w:p w14:paraId="035CBC95">
      <w:pPr>
        <w:pStyle w:val="37"/>
        <w:snapToGrid w:val="0"/>
        <w:spacing w:line="360" w:lineRule="auto"/>
        <w:ind w:firstLine="480"/>
        <w:rPr>
          <w:rFonts w:ascii="宋体" w:hAnsi="宋体"/>
          <w:color w:val="auto"/>
          <w:sz w:val="24"/>
          <w:highlight w:val="none"/>
        </w:rPr>
      </w:pPr>
      <w:r>
        <w:rPr>
          <w:rFonts w:hint="eastAsia" w:ascii="宋体" w:hAnsi="宋体"/>
          <w:color w:val="auto"/>
          <w:sz w:val="24"/>
          <w:highlight w:val="none"/>
        </w:rPr>
        <w:t>（一）采购文件由采购文件目录所列内容组成。</w:t>
      </w:r>
    </w:p>
    <w:p w14:paraId="590AF87F">
      <w:pPr>
        <w:pStyle w:val="37"/>
        <w:snapToGrid w:val="0"/>
        <w:spacing w:line="360" w:lineRule="auto"/>
        <w:ind w:firstLine="480"/>
        <w:rPr>
          <w:rFonts w:ascii="宋体" w:hAnsi="宋体"/>
          <w:color w:val="auto"/>
          <w:sz w:val="24"/>
          <w:highlight w:val="none"/>
        </w:rPr>
      </w:pPr>
      <w:r>
        <w:rPr>
          <w:rFonts w:hint="eastAsia" w:ascii="宋体" w:hAnsi="宋体"/>
          <w:color w:val="auto"/>
          <w:sz w:val="24"/>
          <w:highlight w:val="none"/>
        </w:rPr>
        <w:t>（二）供应商在规定的时间内未对采购文件提出疑问、质疑或要求澄清的，将视其为无异议。</w:t>
      </w:r>
    </w:p>
    <w:p w14:paraId="1AE780AF">
      <w:pPr>
        <w:pStyle w:val="37"/>
        <w:snapToGrid w:val="0"/>
        <w:spacing w:line="360" w:lineRule="auto"/>
        <w:ind w:firstLine="480"/>
        <w:rPr>
          <w:rFonts w:ascii="宋体" w:hAnsi="宋体"/>
          <w:color w:val="auto"/>
          <w:sz w:val="24"/>
          <w:highlight w:val="none"/>
        </w:rPr>
      </w:pPr>
      <w:r>
        <w:rPr>
          <w:rFonts w:hint="eastAsia" w:ascii="宋体" w:hAnsi="宋体"/>
          <w:color w:val="auto"/>
          <w:sz w:val="24"/>
          <w:highlight w:val="none"/>
        </w:rPr>
        <w:t>（三）对采购文件中描述有歧义或前后不一致的地方，评标委员会有权进行评判，但对同一条款的评判应适用于每个供应商。</w:t>
      </w:r>
    </w:p>
    <w:p w14:paraId="51A508C8">
      <w:pPr>
        <w:pStyle w:val="37"/>
        <w:snapToGrid w:val="0"/>
        <w:spacing w:line="360" w:lineRule="auto"/>
        <w:ind w:firstLine="480"/>
        <w:rPr>
          <w:rFonts w:ascii="宋体" w:hAnsi="宋体"/>
          <w:color w:val="auto"/>
          <w:sz w:val="24"/>
          <w:highlight w:val="none"/>
        </w:rPr>
      </w:pPr>
      <w:r>
        <w:rPr>
          <w:rFonts w:hint="eastAsia" w:ascii="宋体" w:hAnsi="宋体"/>
          <w:color w:val="auto"/>
          <w:sz w:val="24"/>
          <w:highlight w:val="none"/>
        </w:rPr>
        <w:t>（四）采购组织机构对采购文件进行必要的澄清更正的，澄清或者修改的内容可能影响投标文件编制的，于投标截止时间的15日前在浙江省政府采购网上以更正公告的形式通知各潜在的供应商；不足15日的，采购组织机构应当顺延提交投标文件的截止时间。</w:t>
      </w:r>
    </w:p>
    <w:p w14:paraId="44F55559">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四、投标文件</w:t>
      </w:r>
    </w:p>
    <w:p w14:paraId="62AE1AA9">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（一）投标文件的编制</w:t>
      </w:r>
    </w:p>
    <w:p w14:paraId="4FE08175">
      <w:pPr>
        <w:pStyle w:val="5"/>
        <w:spacing w:line="360" w:lineRule="auto"/>
        <w:ind w:firstLine="480" w:firstLineChars="200"/>
        <w:rPr>
          <w:rFonts w:ascii="宋体" w:hAnsi="宋体"/>
          <w:bCs/>
          <w:color w:val="auto"/>
          <w:kern w:val="0"/>
          <w:sz w:val="24"/>
          <w:highlight w:val="none"/>
        </w:rPr>
      </w:pPr>
      <w:r>
        <w:rPr>
          <w:rFonts w:hint="eastAsia" w:ascii="宋体" w:hAnsi="宋体"/>
          <w:color w:val="auto"/>
          <w:kern w:val="0"/>
          <w:sz w:val="24"/>
          <w:highlight w:val="none"/>
        </w:rPr>
        <w:t>供应商获取采购文件后，按照采购组织机构的要求提供：资格证明文件、商务与技术文件和报价</w:t>
      </w:r>
      <w:r>
        <w:rPr>
          <w:rFonts w:hint="eastAsia" w:ascii="宋体" w:hAnsi="宋体"/>
          <w:color w:val="auto"/>
          <w:kern w:val="0"/>
          <w:sz w:val="24"/>
          <w:highlight w:val="none"/>
          <w:lang w:val="zh-CN"/>
        </w:rPr>
        <w:t>文件。【特别提示：如在投标时有要求提供资料原件的，将原件扫描放入投标文件】若参与多标项投标的，则按每个标项分别独立编制投标文件。</w:t>
      </w:r>
    </w:p>
    <w:p w14:paraId="605D30AA">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w:t>
      </w:r>
      <w:r>
        <w:rPr>
          <w:rFonts w:ascii="宋体" w:hAnsi="宋体"/>
          <w:b/>
          <w:color w:val="auto"/>
          <w:sz w:val="24"/>
          <w:highlight w:val="none"/>
        </w:rPr>
        <w:t>文件</w:t>
      </w:r>
      <w:r>
        <w:rPr>
          <w:rFonts w:hint="eastAsia" w:ascii="宋体" w:hAnsi="宋体"/>
          <w:b/>
          <w:color w:val="auto"/>
          <w:sz w:val="24"/>
          <w:highlight w:val="none"/>
        </w:rPr>
        <w:t>的组成</w:t>
      </w:r>
    </w:p>
    <w:p w14:paraId="585F3986">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0CF59C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336F0ABA">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）法人或者其他组织的营业执照等证明文件，自然人的身份证明；</w:t>
      </w:r>
    </w:p>
    <w:p w14:paraId="29C88538">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）具有依法缴纳税收和社会保障资金证明的承诺函（附件3）；</w:t>
      </w:r>
    </w:p>
    <w:p w14:paraId="1D4E73E8">
      <w:pPr>
        <w:snapToGrid w:val="0"/>
        <w:spacing w:line="360" w:lineRule="auto"/>
        <w:ind w:firstLine="480" w:firstLineChars="200"/>
        <w:rPr>
          <w:rFonts w:ascii="宋体" w:hAnsi="宋体" w:cs="宋体"/>
          <w:b/>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）具有良好的商业信誉和健全的财务会计制度的承诺函</w:t>
      </w:r>
      <w:r>
        <w:rPr>
          <w:rFonts w:hint="eastAsia" w:ascii="宋体" w:hAnsi="宋体" w:cs="宋体"/>
          <w:color w:val="auto"/>
          <w:sz w:val="24"/>
          <w:highlight w:val="none"/>
        </w:rPr>
        <w:t>（附件4）</w:t>
      </w:r>
      <w:r>
        <w:rPr>
          <w:rFonts w:hint="eastAsia" w:ascii="宋体" w:hAnsi="宋体" w:cs="宋体"/>
          <w:b/>
          <w:bCs/>
          <w:color w:val="auto"/>
          <w:sz w:val="24"/>
          <w:highlight w:val="none"/>
        </w:rPr>
        <w:t>；</w:t>
      </w:r>
    </w:p>
    <w:p w14:paraId="6F30D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）具有履行合同所必须的设备和专业技术能力的承诺函（附件5）；</w:t>
      </w:r>
    </w:p>
    <w:p w14:paraId="022674AB">
      <w:pPr>
        <w:snapToGrid w:val="0"/>
        <w:spacing w:line="360" w:lineRule="auto"/>
        <w:ind w:firstLine="480" w:firstLineChars="200"/>
        <w:rPr>
          <w:color w:val="auto"/>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hint="eastAsia" w:ascii="宋体" w:hAnsi="宋体"/>
          <w:bCs/>
          <w:color w:val="auto"/>
          <w:sz w:val="24"/>
          <w:highlight w:val="none"/>
        </w:rPr>
        <w:t>需要说明的其他资料（如有）。</w:t>
      </w:r>
    </w:p>
    <w:p w14:paraId="14C487B1">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2.商务与技术文件的组成</w:t>
      </w:r>
    </w:p>
    <w:p w14:paraId="3FE7837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供应商基本情况表（附件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66DE2C14">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（2）服务方案（供应商根据招标需求和评标办法自行拟定）；</w:t>
      </w:r>
    </w:p>
    <w:p w14:paraId="04B6C0A5">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5CA6202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1794E8F5">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bCs/>
          <w:color w:val="auto"/>
          <w:sz w:val="24"/>
          <w:highlight w:val="none"/>
          <w:lang w:val="en-US" w:eastAsia="zh-CN"/>
        </w:rPr>
        <w:t>9</w:t>
      </w:r>
      <w:r>
        <w:rPr>
          <w:rFonts w:hint="eastAsia" w:ascii="Calibri" w:hAnsi="Calibri" w:cs="Calibri"/>
          <w:color w:val="auto"/>
          <w:sz w:val="24"/>
          <w:highlight w:val="none"/>
        </w:rPr>
        <w:t>）；</w:t>
      </w:r>
    </w:p>
    <w:p w14:paraId="5568B25B">
      <w:pPr>
        <w:pStyle w:val="5"/>
        <w:widowControl/>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4BD28A30">
      <w:pPr>
        <w:pStyle w:val="5"/>
        <w:widowControl/>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7BFB3177">
      <w:pPr>
        <w:pStyle w:val="5"/>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（8）符合招标文件规定的其他证明文件及评分标准中涉及的其他材料</w:t>
      </w:r>
      <w:r>
        <w:rPr>
          <w:rFonts w:hint="eastAsia" w:ascii="宋体" w:hAnsi="宋体"/>
          <w:color w:val="auto"/>
          <w:kern w:val="0"/>
          <w:sz w:val="24"/>
          <w:highlight w:val="none"/>
        </w:rPr>
        <w:t>（如有）</w:t>
      </w:r>
      <w:r>
        <w:rPr>
          <w:rFonts w:hint="eastAsia"/>
          <w:color w:val="auto"/>
          <w:sz w:val="24"/>
          <w:szCs w:val="24"/>
          <w:highlight w:val="none"/>
        </w:rPr>
        <w:t>。</w:t>
      </w:r>
    </w:p>
    <w:p w14:paraId="0CA850ED">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w:t>
      </w:r>
      <w:r>
        <w:rPr>
          <w:rFonts w:hint="eastAsia" w:ascii="宋体" w:hAnsi="宋体"/>
          <w:b/>
          <w:color w:val="auto"/>
          <w:kern w:val="0"/>
          <w:sz w:val="24"/>
          <w:highlight w:val="none"/>
          <w:lang w:val="en-US" w:eastAsia="zh-CN"/>
        </w:rPr>
        <w:t>文件</w:t>
      </w:r>
      <w:r>
        <w:rPr>
          <w:rFonts w:hint="eastAsia" w:ascii="宋体" w:hAnsi="宋体"/>
          <w:b/>
          <w:color w:val="auto"/>
          <w:kern w:val="0"/>
          <w:sz w:val="24"/>
          <w:highlight w:val="none"/>
        </w:rPr>
        <w:t>的组成</w:t>
      </w:r>
    </w:p>
    <w:p w14:paraId="30934971">
      <w:pPr>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（1）开标一览表（附件1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w:t>
      </w:r>
    </w:p>
    <w:p w14:paraId="6E0F1436">
      <w:pPr>
        <w:snapToGrid w:val="0"/>
        <w:spacing w:line="360" w:lineRule="auto"/>
        <w:ind w:firstLine="480" w:firstLineChars="200"/>
        <w:rPr>
          <w:rFonts w:hint="eastAsia" w:ascii="宋体" w:hAnsi="宋体" w:cs="宋体"/>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cs="宋体"/>
          <w:color w:val="auto"/>
          <w:sz w:val="24"/>
          <w:highlight w:val="none"/>
        </w:rPr>
        <w:t>中小企</w:t>
      </w:r>
      <w:r>
        <w:rPr>
          <w:rFonts w:hint="eastAsia" w:ascii="宋体" w:hAnsi="宋体"/>
          <w:color w:val="auto"/>
          <w:kern w:val="0"/>
          <w:sz w:val="24"/>
          <w:highlight w:val="none"/>
        </w:rPr>
        <w:t>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等声明函（附件</w:t>
      </w:r>
      <w:r>
        <w:rPr>
          <w:rFonts w:hint="eastAsia" w:ascii="宋体" w:hAnsi="宋体"/>
          <w:color w:val="auto"/>
          <w:kern w:val="0"/>
          <w:sz w:val="24"/>
          <w:highlight w:val="none"/>
          <w:lang w:val="en-US" w:eastAsia="zh-CN"/>
        </w:rPr>
        <w:t>13</w:t>
      </w:r>
      <w:r>
        <w:rPr>
          <w:rFonts w:hint="eastAsia" w:ascii="宋体" w:hAnsi="宋体"/>
          <w:color w:val="auto"/>
          <w:kern w:val="0"/>
          <w:sz w:val="24"/>
          <w:highlight w:val="none"/>
        </w:rPr>
        <w:t>）；</w:t>
      </w:r>
    </w:p>
    <w:p w14:paraId="21DF8F7F">
      <w:pPr>
        <w:snapToGrid w:val="0"/>
        <w:spacing w:line="360" w:lineRule="auto"/>
        <w:ind w:firstLine="480" w:firstLineChars="200"/>
        <w:rPr>
          <w:rFonts w:ascii="宋体" w:hAnsi="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olor w:val="auto"/>
          <w:kern w:val="0"/>
          <w:sz w:val="24"/>
          <w:highlight w:val="none"/>
        </w:rPr>
        <w:t>针对报价供应商认为其他需要说明的（如有）。</w:t>
      </w:r>
    </w:p>
    <w:p w14:paraId="2086520E">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14:paraId="14D58A87">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1.供应商应按照招标需求内容、责任范围以及合同条款进行报价。并按“开标一览表”规定的格式报出总价和分项价格。投标总价中不得包含采购文件要求以外的内容，否则，在评标时不予核减。</w:t>
      </w:r>
    </w:p>
    <w:p w14:paraId="7F7D843A">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投标报价是履行合同的最终价格，应包括但不限于管理费、基本工资、岗位津贴、奖金、劳保福利、社保、工伤费、材料费、机械使用费（含交通费）、利润、规费、税金、招标代理服务费及处理一切伤亡事故等完成合同所需的一切本身和不可或缺的所有工作开支、政策性文件规定及合同包含的所有风险、责任等各项全部费用。各</w:t>
      </w:r>
      <w:r>
        <w:rPr>
          <w:rFonts w:hint="eastAsia" w:ascii="宋体" w:hAnsi="宋体"/>
          <w:bCs/>
          <w:color w:val="auto"/>
          <w:kern w:val="0"/>
          <w:sz w:val="24"/>
          <w:highlight w:val="none"/>
          <w:lang w:eastAsia="zh-CN"/>
        </w:rPr>
        <w:t>供应商</w:t>
      </w:r>
      <w:r>
        <w:rPr>
          <w:rFonts w:hint="eastAsia" w:ascii="宋体" w:hAnsi="宋体"/>
          <w:bCs/>
          <w:color w:val="auto"/>
          <w:kern w:val="0"/>
          <w:sz w:val="24"/>
          <w:highlight w:val="none"/>
        </w:rPr>
        <w:t>应根据招标人提供的技术资料，以及本工程实际情况和自身的综合实力，竞报投标报价。总报价以人民币元计。知识产权等由</w:t>
      </w:r>
      <w:r>
        <w:rPr>
          <w:rFonts w:hint="eastAsia" w:ascii="宋体" w:hAnsi="宋体"/>
          <w:bCs/>
          <w:color w:val="auto"/>
          <w:kern w:val="0"/>
          <w:sz w:val="24"/>
          <w:highlight w:val="none"/>
          <w:lang w:eastAsia="zh-CN"/>
        </w:rPr>
        <w:t>供应商</w:t>
      </w:r>
      <w:r>
        <w:rPr>
          <w:rFonts w:hint="eastAsia" w:ascii="宋体" w:hAnsi="宋体"/>
          <w:bCs/>
          <w:color w:val="auto"/>
          <w:kern w:val="0"/>
          <w:sz w:val="24"/>
          <w:highlight w:val="none"/>
        </w:rPr>
        <w:t>在投标报价时综合考虑，以后不作任何调整。</w:t>
      </w:r>
    </w:p>
    <w:p w14:paraId="7E946B0E">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14:paraId="2A8C70A7">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4.</w:t>
      </w:r>
      <w:r>
        <w:rPr>
          <w:rFonts w:hint="eastAsia" w:ascii="宋体" w:hAnsi="宋体" w:cs="宋体"/>
          <w:color w:val="auto"/>
          <w:sz w:val="24"/>
          <w:highlight w:val="none"/>
        </w:rPr>
        <w:t>投标文件只允许有一个报价，有选择的或有条件的报价将不予接受</w:t>
      </w:r>
    </w:p>
    <w:p w14:paraId="33ED9868">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（三）投标文件的有效期</w:t>
      </w:r>
    </w:p>
    <w:p w14:paraId="2FCC25CE">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1.投标文件有效期为</w:t>
      </w:r>
      <w:r>
        <w:rPr>
          <w:rFonts w:hint="eastAsia" w:ascii="宋体" w:hAnsi="宋体" w:cs="宋体"/>
          <w:color w:val="auto"/>
          <w:sz w:val="24"/>
          <w:highlight w:val="none"/>
          <w:lang w:val="en-GB"/>
        </w:rPr>
        <w:t>投标截止日起90天。</w:t>
      </w:r>
    </w:p>
    <w:p w14:paraId="2E54CA7A">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在特殊情况下，采购人可与供应商协商延长投标文件的有效期，</w:t>
      </w:r>
      <w:r>
        <w:rPr>
          <w:rFonts w:hint="eastAsia" w:ascii="宋体" w:hAnsi="宋体"/>
          <w:color w:val="auto"/>
          <w:sz w:val="24"/>
          <w:highlight w:val="none"/>
          <w:lang w:val="en-GB"/>
        </w:rPr>
        <w:t>这种要求和答复均以书面形式进行</w:t>
      </w:r>
      <w:r>
        <w:rPr>
          <w:rFonts w:hint="eastAsia" w:ascii="宋体" w:hAnsi="宋体" w:cs="宋体"/>
          <w:color w:val="auto"/>
          <w:sz w:val="24"/>
          <w:highlight w:val="none"/>
          <w:lang w:val="en-GB"/>
        </w:rPr>
        <w:t>。</w:t>
      </w:r>
    </w:p>
    <w:p w14:paraId="2765FF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3.成交供应商的投标文件自开标之日起至合同履行完毕均应保持有效。</w:t>
      </w:r>
    </w:p>
    <w:p w14:paraId="246439AA">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（四）投标文件的签署</w:t>
      </w:r>
    </w:p>
    <w:p w14:paraId="0F0A4F9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ascii="宋体" w:hAnsi="宋体"/>
          <w:color w:val="auto"/>
          <w:sz w:val="24"/>
          <w:highlight w:val="none"/>
        </w:rPr>
        <w:t>应</w:t>
      </w:r>
      <w:r>
        <w:rPr>
          <w:rFonts w:hint="eastAsia" w:ascii="宋体" w:hAnsi="宋体"/>
          <w:color w:val="auto"/>
          <w:sz w:val="24"/>
          <w:highlight w:val="none"/>
        </w:rPr>
        <w:t>按</w:t>
      </w:r>
      <w:r>
        <w:rPr>
          <w:rFonts w:ascii="宋体" w:hAnsi="宋体"/>
          <w:color w:val="auto"/>
          <w:sz w:val="24"/>
          <w:highlight w:val="none"/>
        </w:rPr>
        <w:t>本招标文件规定的格式和顺序编制、装订投标文件，投标文件内容不完整、编排混乱导致投标文件被误读、漏读或者查找不到相关内容的，是</w:t>
      </w:r>
      <w:r>
        <w:rPr>
          <w:rFonts w:hint="eastAsia" w:ascii="宋体" w:hAnsi="宋体"/>
          <w:color w:val="auto"/>
          <w:sz w:val="24"/>
          <w:highlight w:val="none"/>
          <w:lang w:eastAsia="zh-CN"/>
        </w:rPr>
        <w:t>供应商</w:t>
      </w:r>
      <w:r>
        <w:rPr>
          <w:rFonts w:ascii="宋体" w:hAnsi="宋体"/>
          <w:color w:val="auto"/>
          <w:sz w:val="24"/>
          <w:highlight w:val="none"/>
        </w:rPr>
        <w:t>的责任。</w:t>
      </w:r>
    </w:p>
    <w:p w14:paraId="053CA585">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应按</w:t>
      </w:r>
      <w:r>
        <w:rPr>
          <w:rFonts w:hint="eastAsia" w:ascii="宋体" w:hAnsi="宋体"/>
          <w:color w:val="auto"/>
          <w:sz w:val="24"/>
          <w:highlight w:val="none"/>
          <w:lang w:eastAsia="zh-CN"/>
        </w:rPr>
        <w:t>报价文件</w:t>
      </w:r>
      <w:r>
        <w:rPr>
          <w:rFonts w:hint="eastAsia" w:ascii="宋体" w:hAnsi="宋体"/>
          <w:color w:val="auto"/>
          <w:sz w:val="24"/>
          <w:highlight w:val="none"/>
        </w:rPr>
        <w:t>、</w:t>
      </w:r>
      <w:r>
        <w:rPr>
          <w:rFonts w:hint="eastAsia" w:ascii="宋体" w:hAnsi="宋体"/>
          <w:color w:val="auto"/>
          <w:sz w:val="24"/>
          <w:highlight w:val="none"/>
          <w:lang w:val="en-US" w:eastAsia="zh-CN"/>
        </w:rPr>
        <w:t>商务与技术</w:t>
      </w:r>
      <w:r>
        <w:rPr>
          <w:rFonts w:hint="eastAsia" w:ascii="宋体" w:hAnsi="宋体"/>
          <w:color w:val="auto"/>
          <w:sz w:val="24"/>
          <w:highlight w:val="none"/>
          <w:lang w:eastAsia="zh-CN"/>
        </w:rPr>
        <w:t>文件、</w:t>
      </w:r>
      <w:r>
        <w:rPr>
          <w:rFonts w:hint="eastAsia" w:ascii="宋体" w:hAnsi="宋体"/>
          <w:color w:val="auto"/>
          <w:sz w:val="24"/>
          <w:highlight w:val="none"/>
          <w:lang w:val="en-US" w:eastAsia="zh-CN"/>
        </w:rPr>
        <w:t>资格证明文件</w:t>
      </w:r>
      <w:r>
        <w:rPr>
          <w:rFonts w:hint="eastAsia" w:ascii="宋体" w:hAnsi="宋体"/>
          <w:color w:val="auto"/>
          <w:sz w:val="24"/>
          <w:highlight w:val="none"/>
        </w:rPr>
        <w:t>分别编制并单独装订成册（各需正本</w:t>
      </w:r>
      <w:r>
        <w:rPr>
          <w:rFonts w:hint="eastAsia" w:ascii="宋体" w:hAnsi="宋体" w:cs="Arial"/>
          <w:color w:val="auto"/>
          <w:sz w:val="24"/>
          <w:highlight w:val="none"/>
        </w:rPr>
        <w:t>一</w:t>
      </w:r>
      <w:r>
        <w:rPr>
          <w:rFonts w:hint="eastAsia" w:ascii="宋体" w:hAnsi="宋体"/>
          <w:color w:val="auto"/>
          <w:sz w:val="24"/>
          <w:highlight w:val="none"/>
        </w:rPr>
        <w:t>份，副本</w:t>
      </w:r>
      <w:r>
        <w:rPr>
          <w:rFonts w:hint="eastAsia" w:ascii="宋体" w:hAnsi="宋体" w:cs="Arial"/>
          <w:color w:val="auto"/>
          <w:sz w:val="24"/>
          <w:highlight w:val="none"/>
        </w:rPr>
        <w:t>四</w:t>
      </w:r>
      <w:r>
        <w:rPr>
          <w:rFonts w:hint="eastAsia" w:ascii="宋体" w:hAnsi="宋体"/>
          <w:color w:val="auto"/>
          <w:sz w:val="24"/>
          <w:highlight w:val="none"/>
        </w:rPr>
        <w:t>份）。投标文件的封面应注明“正本”、“副本”字样。如投标文件封面未注明正副本，则由工作人员或评标委员会成员随机抽取一本作为正本。</w:t>
      </w:r>
    </w:p>
    <w:p w14:paraId="78AD73A0">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投标文件的正本需打印或用不褪色的墨水填写，投标文件正本除本</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ascii="宋体" w:hAnsi="宋体"/>
          <w:color w:val="auto"/>
          <w:sz w:val="24"/>
          <w:highlight w:val="none"/>
        </w:rPr>
        <w:t>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60691F9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投标文件须由</w:t>
      </w:r>
      <w:r>
        <w:rPr>
          <w:rFonts w:hint="eastAsia" w:ascii="宋体" w:hAnsi="宋体"/>
          <w:color w:val="auto"/>
          <w:sz w:val="24"/>
          <w:highlight w:val="none"/>
          <w:lang w:eastAsia="zh-CN"/>
        </w:rPr>
        <w:t>供应商</w:t>
      </w:r>
      <w:r>
        <w:rPr>
          <w:rFonts w:ascii="宋体" w:hAnsi="宋体"/>
          <w:color w:val="auto"/>
          <w:sz w:val="24"/>
          <w:highlight w:val="none"/>
        </w:rPr>
        <w:t>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lang w:eastAsia="zh-CN"/>
        </w:rPr>
        <w:t>供应商</w:t>
      </w:r>
      <w:r>
        <w:rPr>
          <w:rFonts w:ascii="宋体" w:hAnsi="宋体"/>
          <w:color w:val="auto"/>
          <w:sz w:val="24"/>
          <w:highlight w:val="none"/>
        </w:rPr>
        <w:t>应写全称。</w:t>
      </w:r>
    </w:p>
    <w:p w14:paraId="31E5909B">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w:t>
      </w:r>
      <w:r>
        <w:rPr>
          <w:rFonts w:hint="eastAsia" w:ascii="宋体" w:hAnsi="宋体"/>
          <w:color w:val="auto"/>
          <w:sz w:val="24"/>
          <w:highlight w:val="none"/>
          <w:lang w:eastAsia="zh-CN"/>
        </w:rPr>
        <w:t>供应商</w:t>
      </w:r>
      <w:r>
        <w:rPr>
          <w:rFonts w:ascii="宋体" w:hAnsi="宋体"/>
          <w:color w:val="auto"/>
          <w:sz w:val="24"/>
          <w:highlight w:val="none"/>
        </w:rPr>
        <w:t>负责。</w:t>
      </w:r>
    </w:p>
    <w:p w14:paraId="0C27924C">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w:t>
      </w:r>
      <w:r>
        <w:rPr>
          <w:rFonts w:hint="eastAsia" w:ascii="宋体" w:hAnsi="宋体"/>
          <w:b/>
          <w:bCs/>
          <w:color w:val="auto"/>
          <w:sz w:val="24"/>
          <w:highlight w:val="none"/>
          <w:lang w:val="en-US" w:eastAsia="zh-CN"/>
        </w:rPr>
        <w:t>、</w:t>
      </w:r>
      <w:r>
        <w:rPr>
          <w:rFonts w:hint="eastAsia" w:ascii="宋体" w:hAnsi="宋体"/>
          <w:b/>
          <w:bCs/>
          <w:color w:val="auto"/>
          <w:sz w:val="24"/>
          <w:highlight w:val="none"/>
        </w:rPr>
        <w:t>递交</w:t>
      </w:r>
      <w:r>
        <w:rPr>
          <w:rFonts w:hint="eastAsia" w:ascii="宋体" w:hAnsi="宋体"/>
          <w:b/>
          <w:bCs/>
          <w:color w:val="auto"/>
          <w:sz w:val="24"/>
          <w:highlight w:val="none"/>
          <w:lang w:eastAsia="zh-CN"/>
        </w:rPr>
        <w:t>、</w:t>
      </w:r>
      <w:r>
        <w:rPr>
          <w:rFonts w:hint="eastAsia" w:ascii="宋体" w:hAnsi="宋体"/>
          <w:b/>
          <w:color w:val="auto"/>
          <w:sz w:val="24"/>
          <w:highlight w:val="none"/>
        </w:rPr>
        <w:t>修改和撤回</w:t>
      </w:r>
      <w:r>
        <w:rPr>
          <w:rFonts w:hint="eastAsia" w:ascii="宋体" w:hAnsi="宋体"/>
          <w:b/>
          <w:bCs/>
          <w:color w:val="auto"/>
          <w:sz w:val="24"/>
          <w:highlight w:val="none"/>
        </w:rPr>
        <w:t>要求</w:t>
      </w:r>
    </w:p>
    <w:p w14:paraId="5BCEC6F9">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1.投标文件的</w:t>
      </w:r>
      <w:r>
        <w:rPr>
          <w:rFonts w:hint="eastAsia" w:ascii="宋体" w:hAnsi="宋体"/>
          <w:b/>
          <w:color w:val="auto"/>
          <w:sz w:val="24"/>
          <w:highlight w:val="none"/>
          <w:lang w:val="en-US" w:eastAsia="zh-CN"/>
        </w:rPr>
        <w:t>资格证明文件</w:t>
      </w:r>
      <w:r>
        <w:rPr>
          <w:rFonts w:hint="eastAsia" w:ascii="宋体" w:hAnsi="宋体"/>
          <w:b/>
          <w:color w:val="auto"/>
          <w:sz w:val="24"/>
          <w:highlight w:val="none"/>
        </w:rPr>
        <w:t>、</w:t>
      </w:r>
      <w:r>
        <w:rPr>
          <w:rFonts w:hint="eastAsia" w:ascii="宋体" w:hAnsi="宋体"/>
          <w:b/>
          <w:color w:val="auto"/>
          <w:sz w:val="24"/>
          <w:highlight w:val="none"/>
          <w:lang w:val="en-US" w:eastAsia="zh-CN"/>
        </w:rPr>
        <w:t>商务与技术</w:t>
      </w:r>
      <w:r>
        <w:rPr>
          <w:rFonts w:hint="eastAsia" w:ascii="宋体" w:hAnsi="宋体"/>
          <w:b/>
          <w:color w:val="auto"/>
          <w:sz w:val="24"/>
          <w:highlight w:val="none"/>
          <w:lang w:eastAsia="zh-CN"/>
        </w:rPr>
        <w:t>文件、报价文件</w:t>
      </w:r>
      <w:r>
        <w:rPr>
          <w:rFonts w:hint="eastAsia" w:ascii="宋体" w:hAnsi="宋体"/>
          <w:b/>
          <w:color w:val="auto"/>
          <w:sz w:val="24"/>
          <w:highlight w:val="none"/>
        </w:rPr>
        <w:t>应分开密封在不同的档案袋中。</w:t>
      </w:r>
      <w:r>
        <w:rPr>
          <w:rFonts w:hint="eastAsia" w:ascii="宋体" w:hAnsi="宋体"/>
          <w:color w:val="auto"/>
          <w:sz w:val="24"/>
          <w:highlight w:val="none"/>
        </w:rPr>
        <w:t>投标文件的包装封面上应注明</w:t>
      </w: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lang w:eastAsia="zh-CN"/>
        </w:rPr>
        <w:t>供应商</w:t>
      </w:r>
      <w:r>
        <w:rPr>
          <w:rFonts w:hint="eastAsia" w:ascii="宋体" w:hAnsi="宋体"/>
          <w:color w:val="auto"/>
          <w:sz w:val="24"/>
          <w:highlight w:val="none"/>
        </w:rPr>
        <w:t>地址、投标文件名称</w:t>
      </w:r>
    </w:p>
    <w:p w14:paraId="3D9C490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2.未按规定密封或标记的投标文件将被拒绝，由此造成投标文件被误投或提前拆封的风险由</w:t>
      </w:r>
      <w:r>
        <w:rPr>
          <w:rFonts w:hint="eastAsia" w:ascii="宋体" w:hAnsi="宋体"/>
          <w:color w:val="auto"/>
          <w:sz w:val="24"/>
          <w:highlight w:val="none"/>
          <w:lang w:eastAsia="zh-CN"/>
        </w:rPr>
        <w:t>供应商</w:t>
      </w:r>
      <w:r>
        <w:rPr>
          <w:rFonts w:hint="eastAsia" w:ascii="宋体" w:hAnsi="宋体"/>
          <w:color w:val="auto"/>
          <w:sz w:val="24"/>
          <w:highlight w:val="none"/>
        </w:rPr>
        <w:t>承担。</w:t>
      </w:r>
    </w:p>
    <w:p w14:paraId="625E937A">
      <w:pPr>
        <w:snapToGrid w:val="0"/>
        <w:spacing w:line="360" w:lineRule="auto"/>
        <w:ind w:firstLine="420"/>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在投标截止时间之前，可以对已提交的投标文件进行修改或撤回，并书面通知招标采购单位；投标截止时间后，</w:t>
      </w:r>
      <w:r>
        <w:rPr>
          <w:rFonts w:hint="eastAsia" w:ascii="宋体" w:hAnsi="宋体"/>
          <w:color w:val="auto"/>
          <w:sz w:val="24"/>
          <w:highlight w:val="none"/>
          <w:lang w:eastAsia="zh-CN"/>
        </w:rPr>
        <w:t>供应商</w:t>
      </w:r>
      <w:r>
        <w:rPr>
          <w:rFonts w:hint="eastAsia" w:ascii="宋体" w:hAnsi="宋体"/>
          <w:color w:val="auto"/>
          <w:sz w:val="24"/>
          <w:highlight w:val="none"/>
        </w:rPr>
        <w:t>不得撤回、修改投标文件。修改后重新递交的投标文件应当按本招标文件的要求签署、盖章和密封。</w:t>
      </w:r>
    </w:p>
    <w:p w14:paraId="254DA79D">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五、开标</w:t>
      </w:r>
    </w:p>
    <w:p w14:paraId="662B74F9">
      <w:pPr>
        <w:autoSpaceDE w:val="0"/>
        <w:autoSpaceDN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（一）开</w:t>
      </w:r>
      <w:r>
        <w:rPr>
          <w:rFonts w:hint="eastAsia" w:ascii="宋体" w:hAnsi="宋体"/>
          <w:b/>
          <w:color w:val="auto"/>
          <w:sz w:val="24"/>
          <w:highlight w:val="none"/>
        </w:rPr>
        <w:t>标</w:t>
      </w:r>
      <w:r>
        <w:rPr>
          <w:rFonts w:ascii="宋体" w:hAnsi="宋体"/>
          <w:b/>
          <w:color w:val="auto"/>
          <w:sz w:val="24"/>
          <w:highlight w:val="none"/>
        </w:rPr>
        <w:t>程序</w:t>
      </w:r>
    </w:p>
    <w:p w14:paraId="0412DDD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1、开标会由招标项目负责人主持，主持人宣布开标会议开始；</w:t>
      </w:r>
    </w:p>
    <w:p w14:paraId="21603F3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2、主持人介绍参加开标会的人员名单； </w:t>
      </w:r>
    </w:p>
    <w:p w14:paraId="7B58BB7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3、主持人宣布评标期间的有关事项，告知应当回避的情形,提请有关人员回避；</w:t>
      </w:r>
    </w:p>
    <w:p w14:paraId="5AF12BD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或其当场推荐的代表，检查投标文件密封的完整性；</w:t>
      </w:r>
    </w:p>
    <w:p w14:paraId="55B5A74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按</w:t>
      </w:r>
      <w:r>
        <w:rPr>
          <w:rFonts w:hint="eastAsia" w:ascii="宋体" w:hAnsi="宋体"/>
          <w:color w:val="auto"/>
          <w:sz w:val="24"/>
          <w:highlight w:val="none"/>
          <w:lang w:eastAsia="zh-CN"/>
        </w:rPr>
        <w:t>供应商</w:t>
      </w:r>
      <w:r>
        <w:rPr>
          <w:rFonts w:hint="eastAsia" w:ascii="宋体" w:hAnsi="宋体"/>
          <w:color w:val="auto"/>
          <w:sz w:val="24"/>
          <w:highlight w:val="none"/>
        </w:rPr>
        <w:t>签到的先后顺序当场拆封</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，评标委员会先对</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7247BCA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、按先后顺序当场拆封</w:t>
      </w:r>
      <w:r>
        <w:rPr>
          <w:rFonts w:hint="eastAsia" w:ascii="宋体" w:hAnsi="宋体"/>
          <w:color w:val="auto"/>
          <w:sz w:val="24"/>
          <w:highlight w:val="none"/>
          <w:lang w:eastAsia="zh-CN"/>
        </w:rPr>
        <w:t>商务与技术文件</w:t>
      </w:r>
      <w:r>
        <w:rPr>
          <w:rFonts w:hint="eastAsia" w:ascii="宋体" w:hAnsi="宋体"/>
          <w:color w:val="auto"/>
          <w:sz w:val="24"/>
          <w:highlight w:val="none"/>
        </w:rPr>
        <w:t>，评标委员会对</w:t>
      </w:r>
      <w:r>
        <w:rPr>
          <w:rFonts w:hint="eastAsia" w:ascii="宋体" w:hAnsi="宋体"/>
          <w:color w:val="auto"/>
          <w:sz w:val="24"/>
          <w:highlight w:val="none"/>
          <w:lang w:eastAsia="zh-CN"/>
        </w:rPr>
        <w:t>商务与技术文件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391E89C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、按顺序当场拆封</w:t>
      </w:r>
      <w:r>
        <w:rPr>
          <w:rFonts w:hint="eastAsia" w:ascii="宋体" w:hAnsi="宋体"/>
          <w:color w:val="auto"/>
          <w:sz w:val="24"/>
          <w:highlight w:val="none"/>
          <w:lang w:eastAsia="zh-CN"/>
        </w:rPr>
        <w:t>报价文件</w:t>
      </w:r>
      <w:r>
        <w:rPr>
          <w:rFonts w:hint="eastAsia" w:ascii="宋体" w:hAnsi="宋体"/>
          <w:color w:val="auto"/>
          <w:sz w:val="24"/>
          <w:highlight w:val="none"/>
        </w:rPr>
        <w:t>书，并现场宣读《开标一览表》中的投标报价，以及采购人认为有必要宣读的其他内容；</w:t>
      </w:r>
    </w:p>
    <w:p w14:paraId="45B030B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、采购人做开标记录,</w:t>
      </w:r>
      <w:r>
        <w:rPr>
          <w:rFonts w:hint="eastAsia" w:ascii="宋体" w:hAnsi="宋体"/>
          <w:color w:val="auto"/>
          <w:sz w:val="24"/>
          <w:highlight w:val="none"/>
          <w:lang w:eastAsia="zh-CN"/>
        </w:rPr>
        <w:t>供应商</w:t>
      </w:r>
      <w:r>
        <w:rPr>
          <w:rFonts w:hint="eastAsia" w:ascii="宋体" w:hAnsi="宋体"/>
          <w:color w:val="auto"/>
          <w:sz w:val="24"/>
          <w:highlight w:val="none"/>
        </w:rPr>
        <w:t>代表对开标记录进行当场校核及勘误，并签字确认。同时由记录人、监督人当场签字确认。</w:t>
      </w:r>
      <w:r>
        <w:rPr>
          <w:rFonts w:hint="eastAsia" w:ascii="宋体" w:hAnsi="宋体"/>
          <w:color w:val="auto"/>
          <w:sz w:val="24"/>
          <w:highlight w:val="none"/>
          <w:lang w:eastAsia="zh-CN"/>
        </w:rPr>
        <w:t>供应商</w:t>
      </w:r>
      <w:r>
        <w:rPr>
          <w:rFonts w:hint="eastAsia" w:ascii="宋体" w:hAnsi="宋体"/>
          <w:color w:val="auto"/>
          <w:sz w:val="24"/>
          <w:highlight w:val="none"/>
        </w:rPr>
        <w:t>代表未到场签字确认或者拒绝签字确认的，不影响评标过程；</w:t>
      </w:r>
    </w:p>
    <w:p w14:paraId="1877B97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、评标委员会对</w:t>
      </w:r>
      <w:r>
        <w:rPr>
          <w:rFonts w:hint="eastAsia" w:ascii="宋体" w:hAnsi="宋体"/>
          <w:color w:val="auto"/>
          <w:sz w:val="24"/>
          <w:highlight w:val="none"/>
          <w:lang w:eastAsia="zh-CN"/>
        </w:rPr>
        <w:t>报价文件</w:t>
      </w:r>
      <w:r>
        <w:rPr>
          <w:rFonts w:hint="eastAsia" w:ascii="宋体" w:hAnsi="宋体"/>
          <w:color w:val="auto"/>
          <w:sz w:val="24"/>
          <w:highlight w:val="none"/>
        </w:rPr>
        <w:t>书进行评审及必要的询标，计算价格分及总得分；</w:t>
      </w:r>
    </w:p>
    <w:p w14:paraId="3918DF3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、评标委员会进行资质后审，确定预中标供应商，编写评标报告；</w:t>
      </w:r>
    </w:p>
    <w:p w14:paraId="6DEEEAB4">
      <w:pPr>
        <w:pStyle w:val="12"/>
        <w:spacing w:beforeLines="0" w:afterLines="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11、宣布评标结果，开标会议结束。</w:t>
      </w:r>
    </w:p>
    <w:p w14:paraId="3163DF74">
      <w:pPr>
        <w:pStyle w:val="5"/>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7C808B55">
      <w:pPr>
        <w:pStyle w:val="5"/>
        <w:spacing w:line="360" w:lineRule="auto"/>
        <w:ind w:firstLine="480" w:firstLineChars="200"/>
        <w:rPr>
          <w:color w:val="auto"/>
          <w:sz w:val="24"/>
          <w:szCs w:val="22"/>
          <w:highlight w:val="none"/>
        </w:rPr>
      </w:pPr>
      <w:r>
        <w:rPr>
          <w:rFonts w:hint="eastAsia"/>
          <w:color w:val="auto"/>
          <w:sz w:val="24"/>
          <w:szCs w:val="22"/>
          <w:highlight w:val="none"/>
        </w:rPr>
        <w:t>供应商代表对开标过程和开标记录有疑义，以及认为采购人、采购组织机构相关工作人员有需要回避的情形的，应当场提出询问或者回避申请，开标会议结束后不再接受相关询问、质疑或者回避申请。</w:t>
      </w:r>
    </w:p>
    <w:p w14:paraId="74B0C39B">
      <w:pPr>
        <w:pStyle w:val="5"/>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供应商不足三家，不得开标。</w:t>
      </w:r>
    </w:p>
    <w:p w14:paraId="7345BE8E">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14:paraId="7708970B">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14:paraId="5EDB10FE">
      <w:pPr>
        <w:pStyle w:val="22"/>
        <w:spacing w:before="0" w:beforeAutospacing="0" w:after="0" w:afterAutospacing="0" w:line="360" w:lineRule="auto"/>
        <w:ind w:firstLine="482" w:firstLineChars="200"/>
        <w:jc w:val="both"/>
        <w:rPr>
          <w:rFonts w:hint="default"/>
          <w:b/>
          <w:bCs/>
          <w:color w:val="auto"/>
          <w:highlight w:val="none"/>
        </w:rPr>
      </w:pPr>
      <w:r>
        <w:rPr>
          <w:b/>
          <w:bCs/>
          <w:color w:val="auto"/>
          <w:highlight w:val="none"/>
        </w:rPr>
        <w:t>（一）确定成交供应商</w:t>
      </w:r>
    </w:p>
    <w:p w14:paraId="1FC50161">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评标委员会根据采购单位的《授权意见确认书》，推荐中标候选人或确定成交供应商。其中推荐中标候选人的，采购组织机构在评标结束后2个工作日内将评标报告送采购人，采购人自收到评标报告之日起5个工作日内在评标报告推荐的中标候选人中确定成交供应商。</w:t>
      </w:r>
    </w:p>
    <w:p w14:paraId="07BE6BD7">
      <w:pPr>
        <w:spacing w:line="360" w:lineRule="auto"/>
        <w:ind w:firstLine="482" w:firstLineChars="200"/>
        <w:rPr>
          <w:rFonts w:ascii="宋体" w:hAnsi="宋体"/>
          <w:b/>
          <w:bCs/>
          <w:color w:val="auto"/>
          <w:kern w:val="0"/>
          <w:sz w:val="24"/>
          <w:highlight w:val="none"/>
        </w:rPr>
      </w:pPr>
      <w:r>
        <w:rPr>
          <w:rFonts w:hint="eastAsia" w:ascii="宋体" w:hAnsi="宋体"/>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706EE0ED">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72DC4D9E">
      <w:pPr>
        <w:pStyle w:val="7"/>
        <w:numPr>
          <w:ilvl w:val="0"/>
          <w:numId w:val="2"/>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025284CB">
      <w:pPr>
        <w:pStyle w:val="7"/>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线下</w:t>
      </w:r>
      <w:r>
        <w:rPr>
          <w:rFonts w:hint="eastAsia" w:ascii="宋体" w:hAnsi="宋体"/>
          <w:color w:val="auto"/>
          <w:kern w:val="0"/>
          <w:sz w:val="24"/>
          <w:highlight w:val="none"/>
        </w:rPr>
        <w:t>向成交供应商发出中标通知书。</w:t>
      </w:r>
    </w:p>
    <w:p w14:paraId="520073A3">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14:paraId="2ADCDF62">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35D8E4DD">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1.采购人应当自中标通知书发出之日起30日内，按照采购文件和成交供应商投标文件内容要求，与成交供应商签订合同。所签订的合同不得对采购文件确定的事项和成交供应商投标文件作实质性修改。</w:t>
      </w:r>
    </w:p>
    <w:p w14:paraId="0614BE8C">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2.采购人不得向成交供应商提出任何不合理的要求作为签订合同的条件。</w:t>
      </w:r>
    </w:p>
    <w:p w14:paraId="7757591F">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3.成交供应商无故拖延、拒签合同的，将取消中标资格。</w:t>
      </w:r>
    </w:p>
    <w:p w14:paraId="5539F4E7">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成交供应商拒绝与采购人签订合同的，采购人可以按照评标报告推荐的中标候选人名单排序，确定下一候选人为成交供应商，也可以重新开展政府采购活动。同时，拒绝与采购人签订合同的成交供应商，由同级财政部门依法作出处理。</w:t>
      </w:r>
    </w:p>
    <w:p w14:paraId="26F68FD9">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14:paraId="0F5E6807">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72E90FE1">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33E509D5">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供应商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0E8EDAA">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70190E6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参与</w:t>
      </w:r>
      <w:r>
        <w:rPr>
          <w:rFonts w:hint="eastAsia" w:ascii="宋体" w:hAnsi="宋体"/>
          <w:color w:val="auto"/>
          <w:sz w:val="24"/>
          <w:highlight w:val="none"/>
        </w:rPr>
        <w:t>本项目的供应商认为采购文件、采购过程和中标结果使自己的权益受到损害的，</w:t>
      </w:r>
      <w:r>
        <w:rPr>
          <w:rFonts w:hint="eastAsia" w:ascii="宋体" w:hAnsi="宋体"/>
          <w:color w:val="auto"/>
          <w:sz w:val="24"/>
          <w:highlight w:val="none"/>
          <w:lang w:val="en-US" w:eastAsia="zh-CN"/>
        </w:rPr>
        <w:t>可</w:t>
      </w:r>
      <w:r>
        <w:rPr>
          <w:rFonts w:hint="eastAsia" w:ascii="宋体" w:hAnsi="宋体"/>
          <w:color w:val="auto"/>
          <w:sz w:val="24"/>
          <w:highlight w:val="none"/>
        </w:rPr>
        <w:t>一次性向采购人或采购组织机构提出质疑：</w:t>
      </w:r>
    </w:p>
    <w:p w14:paraId="2D92829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（1）供应商认为采购文件的内容损害其权益的，应当自获取之日起（获取截止日之后收到采购文件的，以获取截止日为准）7个工作日内提出质疑；</w:t>
      </w:r>
    </w:p>
    <w:p w14:paraId="5F3AA25B">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14:paraId="4E944D87">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14:paraId="7198A4AA">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2.采购人或采购组织机构在收到供应商的书面质疑后7个工作日内作出答复，并以书面形式回复质疑供应商和其他有关供应商，但答复内容不涉及商业秘密。</w:t>
      </w:r>
    </w:p>
    <w:p w14:paraId="1DF35A56">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E3AC344">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3A54460E">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供应商对采购人或采购组织机构的质疑答复不满意或在规定时间内未得到答复的，可以在答复期满后15个工作日内，向同级政府采购监督管理机构投诉。</w:t>
      </w:r>
    </w:p>
    <w:p w14:paraId="4F5EA66E">
      <w:pPr>
        <w:spacing w:line="360" w:lineRule="auto"/>
        <w:jc w:val="center"/>
        <w:rPr>
          <w:rFonts w:hint="eastAsia" w:ascii="宋体" w:hAnsi="宋体"/>
          <w:b/>
          <w:color w:val="auto"/>
          <w:sz w:val="36"/>
          <w:szCs w:val="36"/>
          <w:highlight w:val="none"/>
        </w:rPr>
      </w:pPr>
      <w:bookmarkStart w:id="34" w:name="_Toc13072_WPSOffice_Level1"/>
    </w:p>
    <w:p w14:paraId="194AE765">
      <w:pPr>
        <w:spacing w:line="360" w:lineRule="auto"/>
        <w:jc w:val="center"/>
        <w:rPr>
          <w:rFonts w:hint="eastAsia" w:ascii="宋体" w:hAnsi="宋体"/>
          <w:b/>
          <w:color w:val="auto"/>
          <w:sz w:val="36"/>
          <w:szCs w:val="36"/>
          <w:highlight w:val="none"/>
        </w:rPr>
        <w:sectPr>
          <w:pgSz w:w="11906" w:h="16838"/>
          <w:pgMar w:top="1701" w:right="1448" w:bottom="1531" w:left="1418" w:header="851" w:footer="851" w:gutter="0"/>
          <w:cols w:space="720" w:num="1"/>
          <w:docGrid w:linePitch="312" w:charSpace="0"/>
        </w:sectPr>
      </w:pPr>
    </w:p>
    <w:p w14:paraId="49F70A3B">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第三章   招标需求</w:t>
      </w:r>
      <w:bookmarkEnd w:id="34"/>
    </w:p>
    <w:p w14:paraId="7CE614B9">
      <w:pPr>
        <w:pStyle w:val="12"/>
        <w:snapToGrid w:val="0"/>
        <w:spacing w:beforeLines="0" w:afterLines="0" w:line="360" w:lineRule="auto"/>
        <w:ind w:firstLine="117" w:firstLineChars="49"/>
        <w:outlineLvl w:val="0"/>
        <w:rPr>
          <w:rFonts w:hint="eastAsia" w:hAnsi="宋体" w:eastAsia="宋体" w:cs="宋体"/>
          <w:color w:val="auto"/>
          <w:sz w:val="24"/>
          <w:szCs w:val="24"/>
          <w:highlight w:val="none"/>
          <w:lang w:eastAsia="zh-CN"/>
        </w:rPr>
      </w:pPr>
      <w:bookmarkStart w:id="35" w:name="_Toc31173_WPSOffice_Level1"/>
      <w:r>
        <w:rPr>
          <w:rFonts w:hint="eastAsia" w:hAnsi="宋体" w:cs="宋体"/>
          <w:color w:val="auto"/>
          <w:sz w:val="24"/>
          <w:szCs w:val="24"/>
          <w:highlight w:val="none"/>
        </w:rPr>
        <w:t>编号：</w:t>
      </w:r>
      <w:r>
        <w:rPr>
          <w:rFonts w:hint="eastAsia" w:hAnsi="宋体" w:cs="宋体"/>
          <w:color w:val="auto"/>
          <w:sz w:val="24"/>
          <w:szCs w:val="24"/>
          <w:highlight w:val="none"/>
          <w:lang w:eastAsia="zh-CN"/>
        </w:rPr>
        <w:t>TZCCC-【2025】-048号</w:t>
      </w:r>
    </w:p>
    <w:p w14:paraId="7F022B63">
      <w:pPr>
        <w:pStyle w:val="12"/>
        <w:snapToGrid w:val="0"/>
        <w:spacing w:beforeLines="0" w:afterLines="0" w:line="360" w:lineRule="auto"/>
        <w:ind w:firstLine="117" w:firstLineChars="49"/>
        <w:outlineLvl w:val="0"/>
        <w:rPr>
          <w:rFonts w:hint="eastAsia" w:hAnsi="宋体" w:eastAsia="宋体" w:cs="宋体"/>
          <w:b/>
          <w:bCs/>
          <w:color w:val="auto"/>
          <w:sz w:val="24"/>
          <w:szCs w:val="24"/>
          <w:highlight w:val="none"/>
          <w:lang w:eastAsia="zh-CN"/>
        </w:rPr>
      </w:pPr>
      <w:r>
        <w:rPr>
          <w:rFonts w:hint="eastAsia" w:hAnsi="宋体" w:cs="宋体"/>
          <w:color w:val="auto"/>
          <w:sz w:val="24"/>
          <w:szCs w:val="24"/>
          <w:highlight w:val="none"/>
        </w:rPr>
        <w:t>采购项目名称：</w:t>
      </w:r>
      <w:r>
        <w:rPr>
          <w:rFonts w:hint="eastAsia" w:hAnsi="宋体" w:cs="宋体"/>
          <w:color w:val="auto"/>
          <w:sz w:val="24"/>
          <w:szCs w:val="24"/>
          <w:highlight w:val="none"/>
          <w:lang w:eastAsia="zh-CN"/>
        </w:rPr>
        <w:t>台州市2025年水利工程安全运行技术支撑</w:t>
      </w:r>
    </w:p>
    <w:p w14:paraId="089F0A52">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right="199" w:rightChars="95" w:firstLine="0" w:firstLineChars="0"/>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一、工作内容和要求</w:t>
      </w:r>
    </w:p>
    <w:p w14:paraId="64A5F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根据《浙江省水利工程安全管理条例》等相关文件和规定要求，开展台州市水利工程运行管理抽查指导和水利工程安全鉴定抽查复核等技术支撑。本项目具体需求如下：</w:t>
      </w:r>
    </w:p>
    <w:p w14:paraId="775C15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水利工程运行管理抽查指导。包括水利工程安全运行监督指导、除险加固建设项目监督指导、大中型水库调度运用指导服务等。数量包括大中型水库8座/次以上，小型水库20座/次以上，海塘水闸等其它工程20处/次以上。</w:t>
      </w:r>
    </w:p>
    <w:p w14:paraId="069409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水利工程安全运行监督指导。根据《浙江省大中型水库运行管理规程》、《浙江省小型水库运行管理规程》、《浙江省大中型水闸工程运行管理规程》、《浙江省海塘工程运行管理规程》等相关规定规程，组织专业技术人员，对全市水库、海塘、水闸等水利工程的运行管理状况包括物业承担单位的工作开展情况开展技术支撑和指导。</w:t>
      </w:r>
    </w:p>
    <w:p w14:paraId="3F6DBD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（2）水库除险加固建设项目监督指导。根据《小型水库安全运行监督检査办法》、《小型病险水库除险加固项目管理办法》等相关规定要求，对2025年实施除险加固建设的水库、水闸、海塘等工程开展监督指导。</w:t>
      </w:r>
    </w:p>
    <w:p w14:paraId="2E79FA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（3）大中型水库调度运用指导服务。根据《水利部关于修订印发汛限水位监督管理规定（试行）的通知》等相关规定要求，对全市大中型水库调度运用进行实地技术指导。</w:t>
      </w:r>
    </w:p>
    <w:p w14:paraId="5ACA98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水利工程安全鉴定抽查复核技术支撑。根据《水库大坝安全评价导则》、《海塘工程安全评价导则》等规定规范，对2024-2025年完成安全评价（鉴定）的水利工程开展安全鉴定抽查复核，评价安全评价（鉴定）工作是否规范，并出具复核报告。数量不少于8个。</w:t>
      </w:r>
    </w:p>
    <w:p w14:paraId="22CABC74">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right="199" w:rightChars="95" w:firstLine="0" w:firstLineChars="0"/>
        <w:rPr>
          <w:rFonts w:hint="eastAsia" w:ascii="宋体" w:hAnsi="宋体" w:eastAsia="宋体" w:cs="宋体"/>
          <w:b/>
          <w:color w:val="auto"/>
          <w:sz w:val="24"/>
          <w:szCs w:val="24"/>
          <w:highlight w:val="none"/>
          <w:shd w:val="clear" w:color="auto" w:fill="auto"/>
          <w:lang w:val="en-US" w:eastAsia="zh-CN"/>
        </w:rPr>
      </w:pPr>
      <w:bookmarkStart w:id="36" w:name="_Toc49410077"/>
      <w:r>
        <w:rPr>
          <w:rFonts w:hint="eastAsia" w:ascii="宋体" w:hAnsi="宋体" w:eastAsia="宋体" w:cs="宋体"/>
          <w:b/>
          <w:color w:val="auto"/>
          <w:sz w:val="24"/>
          <w:szCs w:val="24"/>
          <w:highlight w:val="none"/>
          <w:shd w:val="clear" w:color="auto" w:fill="auto"/>
          <w:lang w:val="en-US" w:eastAsia="zh-CN"/>
        </w:rPr>
        <w:t>二、服务期</w:t>
      </w:r>
      <w:bookmarkEnd w:id="36"/>
    </w:p>
    <w:p w14:paraId="3E92A8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trike/>
          <w:dstrike w:val="0"/>
          <w:color w:val="auto"/>
          <w:sz w:val="24"/>
          <w:szCs w:val="32"/>
          <w:highlight w:val="none"/>
          <w:lang w:val="en-US" w:eastAsia="zh-CN"/>
        </w:rPr>
      </w:pPr>
      <w:r>
        <w:rPr>
          <w:rFonts w:hint="eastAsia" w:ascii="宋体" w:hAnsi="宋体"/>
          <w:b w:val="0"/>
          <w:color w:val="auto"/>
          <w:sz w:val="24"/>
          <w:szCs w:val="24"/>
          <w:highlight w:val="none"/>
        </w:rPr>
        <w:t>现场</w:t>
      </w:r>
      <w:r>
        <w:rPr>
          <w:rFonts w:hint="eastAsia" w:ascii="宋体" w:hAnsi="宋体"/>
          <w:b w:val="0"/>
          <w:color w:val="auto"/>
          <w:sz w:val="24"/>
          <w:szCs w:val="24"/>
          <w:highlight w:val="none"/>
          <w:lang w:eastAsia="zh-CN"/>
        </w:rPr>
        <w:t>服务</w:t>
      </w:r>
      <w:r>
        <w:rPr>
          <w:rFonts w:hint="eastAsia" w:ascii="宋体" w:hAnsi="宋体"/>
          <w:b w:val="0"/>
          <w:color w:val="auto"/>
          <w:sz w:val="24"/>
          <w:szCs w:val="24"/>
          <w:highlight w:val="none"/>
        </w:rPr>
        <w:t>于</w:t>
      </w:r>
      <w:r>
        <w:rPr>
          <w:rFonts w:hint="eastAsia" w:ascii="宋体" w:hAnsi="宋体"/>
          <w:b w:val="0"/>
          <w:color w:val="auto"/>
          <w:sz w:val="24"/>
          <w:szCs w:val="24"/>
          <w:highlight w:val="none"/>
          <w:lang w:val="en-US" w:eastAsia="zh-CN"/>
        </w:rPr>
        <w:t>2025</w:t>
      </w:r>
      <w:r>
        <w:rPr>
          <w:rFonts w:hint="eastAsia" w:ascii="宋体" w:hAnsi="宋体"/>
          <w:b w:val="0"/>
          <w:color w:val="auto"/>
          <w:sz w:val="24"/>
          <w:szCs w:val="24"/>
          <w:highlight w:val="none"/>
        </w:rPr>
        <w:t>年10月</w:t>
      </w:r>
      <w:r>
        <w:rPr>
          <w:rFonts w:hint="eastAsia" w:ascii="宋体" w:hAnsi="宋体"/>
          <w:b w:val="0"/>
          <w:color w:val="auto"/>
          <w:sz w:val="24"/>
          <w:szCs w:val="24"/>
          <w:highlight w:val="none"/>
          <w:lang w:val="en-US" w:eastAsia="zh-CN"/>
        </w:rPr>
        <w:t>30</w:t>
      </w:r>
      <w:r>
        <w:rPr>
          <w:rFonts w:hint="eastAsia" w:ascii="宋体" w:hAnsi="宋体"/>
          <w:b w:val="0"/>
          <w:color w:val="auto"/>
          <w:sz w:val="24"/>
          <w:szCs w:val="24"/>
          <w:highlight w:val="none"/>
        </w:rPr>
        <w:t>日前完成，总结</w:t>
      </w:r>
      <w:r>
        <w:rPr>
          <w:rFonts w:hint="eastAsia" w:ascii="宋体" w:hAnsi="宋体"/>
          <w:b w:val="0"/>
          <w:color w:val="auto"/>
          <w:sz w:val="24"/>
          <w:szCs w:val="24"/>
          <w:highlight w:val="none"/>
          <w:lang w:eastAsia="zh-CN"/>
        </w:rPr>
        <w:t>成果</w:t>
      </w:r>
      <w:r>
        <w:rPr>
          <w:rFonts w:hint="eastAsia" w:ascii="宋体" w:hAnsi="宋体"/>
          <w:b w:val="0"/>
          <w:color w:val="auto"/>
          <w:sz w:val="24"/>
          <w:szCs w:val="24"/>
          <w:highlight w:val="none"/>
        </w:rPr>
        <w:t>报告于</w:t>
      </w:r>
      <w:r>
        <w:rPr>
          <w:rFonts w:hint="eastAsia" w:ascii="宋体" w:hAnsi="宋体"/>
          <w:b w:val="0"/>
          <w:color w:val="auto"/>
          <w:sz w:val="24"/>
          <w:szCs w:val="24"/>
          <w:highlight w:val="none"/>
          <w:lang w:val="en-US" w:eastAsia="zh-CN"/>
        </w:rPr>
        <w:t>2025</w:t>
      </w:r>
      <w:r>
        <w:rPr>
          <w:rFonts w:hint="eastAsia" w:ascii="宋体" w:hAnsi="宋体"/>
          <w:b w:val="0"/>
          <w:color w:val="auto"/>
          <w:sz w:val="24"/>
          <w:szCs w:val="24"/>
          <w:highlight w:val="none"/>
        </w:rPr>
        <w:t>年11月15日前完成</w:t>
      </w:r>
    </w:p>
    <w:p w14:paraId="0210A4DE">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right="199" w:rightChars="95" w:firstLine="0" w:firstLineChars="0"/>
        <w:rPr>
          <w:rFonts w:hint="eastAsia" w:ascii="宋体" w:hAnsi="宋体" w:eastAsia="宋体" w:cs="宋体"/>
          <w:b/>
          <w:color w:val="auto"/>
          <w:sz w:val="24"/>
          <w:szCs w:val="24"/>
          <w:highlight w:val="none"/>
          <w:shd w:val="clear" w:color="auto" w:fill="auto"/>
          <w:lang w:val="en-US" w:eastAsia="zh-CN"/>
        </w:rPr>
      </w:pPr>
      <w:bookmarkStart w:id="37" w:name="_Toc49410078"/>
      <w:r>
        <w:rPr>
          <w:rFonts w:hint="eastAsia" w:ascii="宋体" w:hAnsi="宋体" w:eastAsia="宋体" w:cs="宋体"/>
          <w:b/>
          <w:color w:val="auto"/>
          <w:sz w:val="24"/>
          <w:szCs w:val="24"/>
          <w:highlight w:val="none"/>
          <w:shd w:val="clear" w:color="auto" w:fill="auto"/>
          <w:lang w:val="en-US" w:eastAsia="zh-CN"/>
        </w:rPr>
        <w:t>三、质量要求</w:t>
      </w:r>
      <w:bookmarkEnd w:id="37"/>
    </w:p>
    <w:p w14:paraId="4F1EF9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现场服务前应制定工作计划，提前了解工程基础资料和相关技术要点，做好指导服务准备。按照要求开展实地现场和线上技术指导，做好过程中文字、照片等工作记录，如发现明显影响水利工程安全运行的突出问题，要详细做好记录，当场向水管单位反馈，并于之后24小时内向委托方书面反馈，配合委托方对发现的问题提出书面整改意见并跟踪。</w:t>
      </w:r>
    </w:p>
    <w:p w14:paraId="76FAC9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合同签订后10个工作日内启动相关工作，项目完成后提交总结报告。</w:t>
      </w:r>
    </w:p>
    <w:p w14:paraId="2119F6C5">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right="199" w:rightChars="95" w:firstLine="0" w:firstLineChars="0"/>
        <w:rPr>
          <w:rFonts w:hint="eastAsia" w:ascii="宋体" w:hAnsi="宋体" w:eastAsia="宋体" w:cs="宋体"/>
          <w:b/>
          <w:color w:val="auto"/>
          <w:sz w:val="24"/>
          <w:szCs w:val="24"/>
          <w:highlight w:val="none"/>
          <w:shd w:val="clear" w:color="auto" w:fill="auto"/>
          <w:lang w:val="en-US" w:eastAsia="zh-CN"/>
        </w:rPr>
      </w:pPr>
      <w:bookmarkStart w:id="38" w:name="_Toc49410079"/>
      <w:r>
        <w:rPr>
          <w:rFonts w:hint="eastAsia" w:ascii="宋体" w:hAnsi="宋体" w:eastAsia="宋体" w:cs="宋体"/>
          <w:b/>
          <w:color w:val="auto"/>
          <w:sz w:val="24"/>
          <w:szCs w:val="24"/>
          <w:highlight w:val="none"/>
          <w:shd w:val="clear" w:color="auto" w:fill="auto"/>
          <w:lang w:val="en-US" w:eastAsia="zh-CN"/>
        </w:rPr>
        <w:t>四、人员要求</w:t>
      </w:r>
      <w:bookmarkEnd w:id="38"/>
    </w:p>
    <w:p w14:paraId="0881AE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bookmarkStart w:id="39" w:name="_Hlk67469411"/>
      <w:r>
        <w:rPr>
          <w:rFonts w:hint="eastAsia"/>
          <w:b w:val="0"/>
          <w:bCs w:val="0"/>
          <w:color w:val="auto"/>
          <w:sz w:val="24"/>
          <w:szCs w:val="32"/>
          <w:highlight w:val="none"/>
          <w:lang w:val="en-US" w:eastAsia="zh-CN"/>
        </w:rPr>
        <w:t>（1）实施单位要保证项目组成员不少于4名工作人员，配备项目负责人1名，其他人员3名，并且指定专人负责全程技术支撑指导和业务沟通联系等工作。实地现场服务每次不少于3人（不含驾驶员），至少1名水利专业工程师及以上职称人员。</w:t>
      </w:r>
    </w:p>
    <w:p w14:paraId="510B3F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（2）项目组所有人员的食宿和交通工具的各项支出费用自行承担。</w:t>
      </w:r>
    </w:p>
    <w:p w14:paraId="6AA80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（3）项目高峰期实施单位应听从采购单位要求安排人员到位。</w:t>
      </w:r>
    </w:p>
    <w:p w14:paraId="29F703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（4）与本项目相关的人员、车辆、设备等安全由实施单位负责。</w:t>
      </w:r>
    </w:p>
    <w:bookmarkEnd w:id="39"/>
    <w:p w14:paraId="2D840A22">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leftChars="0" w:right="199" w:rightChars="95" w:firstLine="0" w:firstLineChars="0"/>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五、付款方式</w:t>
      </w:r>
    </w:p>
    <w:p w14:paraId="55212A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（1）合同签订后一个月内，成交供应商提交工作方案，经采购人确认后支付合同价款的50%。</w:t>
      </w:r>
    </w:p>
    <w:p w14:paraId="369003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（2）合同执行结束时，成交供应商提交成果资料，</w:t>
      </w:r>
      <w:r>
        <w:rPr>
          <w:rFonts w:hint="eastAsia" w:eastAsia="宋体"/>
          <w:b w:val="0"/>
          <w:bCs w:val="0"/>
          <w:color w:val="auto"/>
          <w:sz w:val="24"/>
          <w:szCs w:val="32"/>
          <w:highlight w:val="none"/>
          <w:lang w:val="en-US" w:eastAsia="zh-CN"/>
        </w:rPr>
        <w:t>经采购人</w:t>
      </w:r>
      <w:r>
        <w:rPr>
          <w:rFonts w:hint="eastAsia" w:hAnsi="Times New Roman" w:eastAsia="宋体" w:cs="Times New Roman"/>
          <w:color w:val="auto"/>
          <w:sz w:val="24"/>
          <w:szCs w:val="32"/>
          <w:highlight w:val="none"/>
          <w:lang w:val="en-US" w:eastAsia="zh-CN"/>
        </w:rPr>
        <w:t>组织验收后30个工作日</w:t>
      </w:r>
      <w:r>
        <w:rPr>
          <w:rFonts w:hint="eastAsia" w:hAnsi="Times New Roman" w:eastAsia="宋体" w:cs="Times New Roman"/>
          <w:color w:val="auto"/>
          <w:sz w:val="24"/>
          <w:szCs w:val="32"/>
          <w:highlight w:val="none"/>
          <w:lang w:eastAsia="zh-CN"/>
        </w:rPr>
        <w:t>内</w:t>
      </w:r>
      <w:r>
        <w:rPr>
          <w:rFonts w:hint="eastAsia" w:eastAsia="宋体"/>
          <w:b w:val="0"/>
          <w:bCs w:val="0"/>
          <w:color w:val="auto"/>
          <w:sz w:val="24"/>
          <w:szCs w:val="32"/>
          <w:highlight w:val="none"/>
          <w:lang w:val="en-US" w:eastAsia="zh-CN"/>
        </w:rPr>
        <w:t>支付余款。</w:t>
      </w:r>
    </w:p>
    <w:p w14:paraId="395E29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highlight w:val="none"/>
          <w:lang w:val="en-US" w:eastAsia="zh-CN"/>
        </w:rPr>
      </w:pPr>
      <w:r>
        <w:rPr>
          <w:rFonts w:hint="eastAsia"/>
          <w:b w:val="0"/>
          <w:bCs w:val="0"/>
          <w:color w:val="auto"/>
          <w:sz w:val="24"/>
          <w:szCs w:val="32"/>
          <w:highlight w:val="none"/>
          <w:lang w:val="en-US" w:eastAsia="zh-CN"/>
        </w:rPr>
        <w:t>注：</w:t>
      </w:r>
      <w:r>
        <w:rPr>
          <w:rFonts w:hint="eastAsia" w:ascii="Times New Roman" w:hAnsi="宋体" w:eastAsia="宋体" w:cs="宋体"/>
          <w:color w:val="auto"/>
          <w:sz w:val="24"/>
          <w:szCs w:val="24"/>
          <w:highlight w:val="none"/>
          <w:lang w:val="en-US" w:eastAsia="zh-CN" w:bidi="ar"/>
        </w:rPr>
        <w:t>采购人</w:t>
      </w:r>
      <w:r>
        <w:rPr>
          <w:rFonts w:hint="eastAsia" w:ascii="Times New Roman" w:hAnsi="宋体" w:eastAsia="宋体" w:cs="宋体"/>
          <w:color w:val="auto"/>
          <w:sz w:val="24"/>
          <w:szCs w:val="24"/>
          <w:highlight w:val="none"/>
          <w:lang w:bidi="ar"/>
        </w:rPr>
        <w:t>每次付款前，</w:t>
      </w:r>
      <w:r>
        <w:rPr>
          <w:rFonts w:hint="eastAsia" w:ascii="Times New Roman" w:hAnsi="宋体" w:eastAsia="宋体" w:cs="宋体"/>
          <w:color w:val="auto"/>
          <w:sz w:val="24"/>
          <w:szCs w:val="24"/>
          <w:highlight w:val="none"/>
          <w:lang w:val="en-US" w:eastAsia="zh-CN" w:bidi="ar"/>
        </w:rPr>
        <w:t>成交供应商</w:t>
      </w:r>
      <w:r>
        <w:rPr>
          <w:rFonts w:hint="eastAsia" w:ascii="Times New Roman" w:hAnsi="宋体" w:eastAsia="宋体" w:cs="宋体"/>
          <w:color w:val="auto"/>
          <w:sz w:val="24"/>
          <w:szCs w:val="24"/>
          <w:highlight w:val="none"/>
          <w:lang w:bidi="ar"/>
        </w:rPr>
        <w:t>应向</w:t>
      </w:r>
      <w:r>
        <w:rPr>
          <w:rFonts w:hint="eastAsia" w:ascii="Times New Roman" w:hAnsi="宋体" w:eastAsia="宋体" w:cs="宋体"/>
          <w:color w:val="auto"/>
          <w:sz w:val="24"/>
          <w:szCs w:val="24"/>
          <w:highlight w:val="none"/>
          <w:lang w:val="en-US" w:eastAsia="zh-CN" w:bidi="ar"/>
        </w:rPr>
        <w:t>采购人</w:t>
      </w:r>
      <w:r>
        <w:rPr>
          <w:rFonts w:hint="eastAsia" w:ascii="Times New Roman" w:hAnsi="宋体" w:eastAsia="宋体" w:cs="宋体"/>
          <w:color w:val="auto"/>
          <w:sz w:val="24"/>
          <w:szCs w:val="24"/>
          <w:highlight w:val="none"/>
          <w:lang w:bidi="ar"/>
        </w:rPr>
        <w:t>开具等额有效的增值税发票，</w:t>
      </w:r>
      <w:r>
        <w:rPr>
          <w:rFonts w:hint="eastAsia" w:ascii="Times New Roman" w:hAnsi="宋体" w:eastAsia="宋体" w:cs="宋体"/>
          <w:color w:val="auto"/>
          <w:sz w:val="24"/>
          <w:szCs w:val="24"/>
          <w:highlight w:val="none"/>
          <w:lang w:val="en-US" w:eastAsia="zh-CN" w:bidi="ar"/>
        </w:rPr>
        <w:t>采购人</w:t>
      </w:r>
      <w:r>
        <w:rPr>
          <w:rFonts w:hint="eastAsia" w:ascii="Times New Roman" w:hAnsi="宋体" w:eastAsia="宋体" w:cs="宋体"/>
          <w:color w:val="auto"/>
          <w:sz w:val="24"/>
          <w:szCs w:val="24"/>
          <w:highlight w:val="none"/>
          <w:lang w:bidi="ar"/>
        </w:rPr>
        <w:t>未收到发票的，有权不予支付相应款项，并不承担延迟付款责任。</w:t>
      </w:r>
    </w:p>
    <w:p w14:paraId="2A34C99C">
      <w:pPr>
        <w:autoSpaceDE w:val="0"/>
        <w:autoSpaceDN w:val="0"/>
        <w:adjustRightInd w:val="0"/>
        <w:snapToGrid w:val="0"/>
        <w:spacing w:line="360" w:lineRule="auto"/>
        <w:textAlignment w:val="bottom"/>
        <w:rPr>
          <w:rFonts w:hAnsi="宋体"/>
          <w:b/>
          <w:color w:val="auto"/>
          <w:sz w:val="28"/>
          <w:szCs w:val="28"/>
          <w:highlight w:val="none"/>
        </w:rPr>
      </w:pPr>
      <w:r>
        <w:rPr>
          <w:rFonts w:hint="eastAsia" w:hAnsi="宋体"/>
          <w:b/>
          <w:color w:val="auto"/>
          <w:sz w:val="28"/>
          <w:szCs w:val="28"/>
          <w:highlight w:val="none"/>
          <w:lang w:val="en-US" w:eastAsia="zh-CN"/>
        </w:rPr>
        <w:t>六</w:t>
      </w:r>
      <w:r>
        <w:rPr>
          <w:rFonts w:hAnsi="宋体"/>
          <w:b/>
          <w:color w:val="auto"/>
          <w:sz w:val="28"/>
          <w:szCs w:val="28"/>
          <w:highlight w:val="none"/>
        </w:rPr>
        <w:t>、商务需求表</w:t>
      </w:r>
    </w:p>
    <w:tbl>
      <w:tblPr>
        <w:tblStyle w:val="25"/>
        <w:tblW w:w="8821"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263"/>
      </w:tblGrid>
      <w:tr w14:paraId="4B501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2C401ADF">
            <w:pPr>
              <w:snapToGrid w:val="0"/>
              <w:spacing w:line="360" w:lineRule="auto"/>
              <w:rPr>
                <w:rFonts w:ascii="宋体" w:hAnsi="宋体"/>
                <w:color w:val="auto"/>
                <w:sz w:val="24"/>
                <w:highlight w:val="none"/>
              </w:rPr>
            </w:pPr>
            <w:r>
              <w:rPr>
                <w:rFonts w:hint="eastAsia" w:ascii="宋体" w:hAnsi="宋体"/>
                <w:color w:val="auto"/>
                <w:sz w:val="24"/>
                <w:highlight w:val="none"/>
              </w:rPr>
              <w:t>总体要求</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3CBF021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 xml:space="preserve">需按本技术规格书的要求完成    </w:t>
            </w:r>
            <w:r>
              <w:rPr>
                <w:rFonts w:ascii="宋体" w:hAnsi="宋体"/>
                <w:bCs/>
                <w:color w:val="auto"/>
                <w:sz w:val="24"/>
                <w:highlight w:val="none"/>
                <w:u w:val="single"/>
              </w:rPr>
              <w:t xml:space="preserve">                                   </w:t>
            </w:r>
            <w:r>
              <w:rPr>
                <w:rFonts w:hint="eastAsia" w:ascii="宋体" w:hAnsi="宋体" w:cs="宋体"/>
                <w:b/>
                <w:bCs/>
                <w:color w:val="auto"/>
                <w:kern w:val="2"/>
                <w:sz w:val="24"/>
                <w:szCs w:val="24"/>
                <w:highlight w:val="none"/>
                <w:u w:val="single"/>
                <w:lang w:val="en-US" w:eastAsia="zh-CN" w:bidi="ar-SA"/>
              </w:rPr>
              <w:t>台州市2025年水利工程安全运行技术支撑</w:t>
            </w:r>
            <w:r>
              <w:rPr>
                <w:rFonts w:hint="eastAsia" w:ascii="宋体" w:hAnsi="宋体"/>
                <w:color w:val="auto"/>
                <w:sz w:val="24"/>
                <w:highlight w:val="none"/>
              </w:rPr>
              <w:t>，按工作顺序提交所需的资料，所有资料必须符合本技术规格书的要求。费用应全部包含在总报价中。</w:t>
            </w:r>
          </w:p>
        </w:tc>
      </w:tr>
      <w:tr w14:paraId="46A57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055031D9">
            <w:pPr>
              <w:snapToGrid w:val="0"/>
              <w:spacing w:line="360" w:lineRule="auto"/>
              <w:rPr>
                <w:rFonts w:hint="eastAsia" w:ascii="宋体" w:hAnsi="宋体"/>
                <w:color w:val="auto"/>
                <w:sz w:val="24"/>
                <w:highlight w:val="none"/>
              </w:rPr>
            </w:pPr>
            <w:r>
              <w:rPr>
                <w:rFonts w:hint="eastAsia" w:ascii="宋体" w:hAnsi="宋体"/>
                <w:color w:val="auto"/>
                <w:sz w:val="24"/>
                <w:highlight w:val="none"/>
              </w:rPr>
              <w:t>投标总报价</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4A53A1F2">
            <w:pPr>
              <w:snapToGrid w:val="0"/>
              <w:spacing w:line="360" w:lineRule="auto"/>
              <w:rPr>
                <w:rFonts w:hint="eastAsia" w:ascii="宋体" w:hAnsi="宋体"/>
                <w:color w:val="auto"/>
                <w:sz w:val="24"/>
                <w:highlight w:val="none"/>
              </w:rPr>
            </w:pPr>
            <w:r>
              <w:rPr>
                <w:rFonts w:hint="eastAsia" w:ascii="宋体" w:hAnsi="宋体"/>
                <w:bCs/>
                <w:color w:val="auto"/>
                <w:kern w:val="0"/>
                <w:sz w:val="24"/>
                <w:highlight w:val="none"/>
              </w:rPr>
              <w:t>投标报价是履行合同的最终价格，应包括但不限于管理费、基本工资、岗位津贴、奖金、劳保福利、社保、工伤费、材料费、机械使用费（含交通费）、利润、规费、税金、招标代理服务费及处理一切伤亡事故等完成合同所需的一切本身和不可或缺的所有工作开支、政策性文件规定及合同包含的所有风险、责任等各项全部费用。各</w:t>
            </w:r>
            <w:r>
              <w:rPr>
                <w:rFonts w:hint="eastAsia" w:ascii="宋体" w:hAnsi="宋体"/>
                <w:bCs/>
                <w:color w:val="auto"/>
                <w:kern w:val="0"/>
                <w:sz w:val="24"/>
                <w:highlight w:val="none"/>
                <w:lang w:eastAsia="zh-CN"/>
              </w:rPr>
              <w:t>供应商</w:t>
            </w:r>
            <w:r>
              <w:rPr>
                <w:rFonts w:hint="eastAsia" w:ascii="宋体" w:hAnsi="宋体"/>
                <w:bCs/>
                <w:color w:val="auto"/>
                <w:kern w:val="0"/>
                <w:sz w:val="24"/>
                <w:highlight w:val="none"/>
              </w:rPr>
              <w:t>应根据招标人提供的技术资料，以及本工程实际情况和自身的综合实力，竞报投标报价。总报价以人民币元计。知识产权等由</w:t>
            </w:r>
            <w:r>
              <w:rPr>
                <w:rFonts w:hint="eastAsia" w:ascii="宋体" w:hAnsi="宋体"/>
                <w:bCs/>
                <w:color w:val="auto"/>
                <w:kern w:val="0"/>
                <w:sz w:val="24"/>
                <w:highlight w:val="none"/>
                <w:lang w:eastAsia="zh-CN"/>
              </w:rPr>
              <w:t>供应商</w:t>
            </w:r>
            <w:r>
              <w:rPr>
                <w:rFonts w:hint="eastAsia" w:ascii="宋体" w:hAnsi="宋体"/>
                <w:bCs/>
                <w:color w:val="auto"/>
                <w:kern w:val="0"/>
                <w:sz w:val="24"/>
                <w:highlight w:val="none"/>
              </w:rPr>
              <w:t>在投标报价时综合考虑，以后不作任何调整。</w:t>
            </w:r>
          </w:p>
        </w:tc>
      </w:tr>
      <w:tr w14:paraId="11E34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1356D59B">
            <w:pPr>
              <w:snapToGrid w:val="0"/>
              <w:spacing w:line="360" w:lineRule="auto"/>
              <w:rPr>
                <w:rFonts w:ascii="宋体" w:hAnsi="宋体"/>
                <w:color w:val="auto"/>
                <w:sz w:val="24"/>
                <w:highlight w:val="none"/>
              </w:rPr>
            </w:pPr>
            <w:r>
              <w:rPr>
                <w:rFonts w:hint="eastAsia" w:ascii="宋体" w:hAnsi="宋体"/>
                <w:color w:val="auto"/>
                <w:sz w:val="24"/>
                <w:highlight w:val="none"/>
              </w:rPr>
              <w:t>招标范围</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21C4BD32">
            <w:pPr>
              <w:snapToGrid w:val="0"/>
              <w:spacing w:line="360" w:lineRule="auto"/>
              <w:rPr>
                <w:rFonts w:hint="eastAsia" w:ascii="宋体" w:hAnsi="宋体"/>
                <w:color w:val="auto"/>
                <w:sz w:val="24"/>
                <w:highlight w:val="none"/>
              </w:rPr>
            </w:pPr>
            <w:r>
              <w:rPr>
                <w:rFonts w:hint="eastAsia" w:ascii="宋体" w:hAnsi="宋体"/>
                <w:color w:val="auto"/>
                <w:sz w:val="24"/>
                <w:highlight w:val="none"/>
              </w:rPr>
              <w:t>招标范围为采购人提供的技术规格书中所包含的</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cs="宋体"/>
                <w:b/>
                <w:bCs/>
                <w:color w:val="auto"/>
                <w:kern w:val="2"/>
                <w:sz w:val="24"/>
                <w:szCs w:val="24"/>
                <w:highlight w:val="none"/>
                <w:u w:val="single"/>
                <w:lang w:val="en-US" w:eastAsia="zh-CN" w:bidi="ar-SA"/>
              </w:rPr>
              <w:t>台州市2025年水利工程安全运行技术支撑</w:t>
            </w:r>
            <w:r>
              <w:rPr>
                <w:rFonts w:hint="eastAsia" w:ascii="宋体" w:hAnsi="宋体"/>
                <w:color w:val="auto"/>
                <w:sz w:val="24"/>
                <w:highlight w:val="none"/>
              </w:rPr>
              <w:t>所有内容。</w:t>
            </w:r>
          </w:p>
        </w:tc>
      </w:tr>
      <w:tr w14:paraId="3C368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32521904">
            <w:pPr>
              <w:snapToGrid w:val="0"/>
              <w:spacing w:line="360" w:lineRule="auto"/>
              <w:rPr>
                <w:rFonts w:ascii="宋体" w:hAnsi="宋体"/>
                <w:color w:val="auto"/>
                <w:sz w:val="24"/>
                <w:highlight w:val="none"/>
              </w:rPr>
            </w:pPr>
            <w:r>
              <w:rPr>
                <w:rFonts w:hint="eastAsia" w:ascii="宋体" w:hAnsi="宋体"/>
                <w:color w:val="auto"/>
                <w:sz w:val="24"/>
                <w:highlight w:val="none"/>
              </w:rPr>
              <w:t>地点</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07754891">
            <w:pPr>
              <w:spacing w:line="360" w:lineRule="auto"/>
              <w:rPr>
                <w:rFonts w:ascii="宋体" w:hAnsi="宋体"/>
                <w:color w:val="auto"/>
                <w:sz w:val="24"/>
                <w:highlight w:val="none"/>
              </w:rPr>
            </w:pPr>
            <w:r>
              <w:rPr>
                <w:rFonts w:hint="eastAsia" w:ascii="宋体" w:hAnsi="宋体"/>
                <w:color w:val="auto"/>
                <w:sz w:val="24"/>
                <w:highlight w:val="none"/>
              </w:rPr>
              <w:t>服务地点：采购人指定地点。</w:t>
            </w:r>
          </w:p>
        </w:tc>
      </w:tr>
      <w:tr w14:paraId="715F3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49DD9D16">
            <w:pPr>
              <w:snapToGrid w:val="0"/>
              <w:spacing w:line="360" w:lineRule="auto"/>
              <w:rPr>
                <w:rFonts w:ascii="宋体" w:hAnsi="宋体"/>
                <w:color w:val="auto"/>
                <w:sz w:val="24"/>
                <w:highlight w:val="none"/>
              </w:rPr>
            </w:pPr>
            <w:r>
              <w:rPr>
                <w:rFonts w:hint="eastAsia" w:ascii="宋体" w:hAnsi="宋体"/>
                <w:color w:val="auto"/>
                <w:sz w:val="24"/>
                <w:highlight w:val="none"/>
              </w:rPr>
              <w:t>付款条件</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4F06979A">
            <w:pPr>
              <w:snapToGrid w:val="0"/>
              <w:spacing w:line="360" w:lineRule="auto"/>
              <w:rPr>
                <w:color w:val="auto"/>
                <w:highlight w:val="none"/>
              </w:rPr>
            </w:pPr>
            <w:r>
              <w:rPr>
                <w:rFonts w:hint="eastAsia" w:ascii="宋体" w:hAnsi="宋体" w:eastAsia="宋体" w:cs="Times New Roman"/>
                <w:color w:val="auto"/>
                <w:sz w:val="24"/>
                <w:highlight w:val="none"/>
              </w:rPr>
              <w:t>详见本章“付款方式”</w:t>
            </w:r>
          </w:p>
        </w:tc>
      </w:tr>
    </w:tbl>
    <w:p w14:paraId="57385543">
      <w:pPr>
        <w:spacing w:line="360" w:lineRule="auto"/>
        <w:jc w:val="center"/>
        <w:rPr>
          <w:rFonts w:hint="eastAsia" w:ascii="宋体" w:hAnsi="宋体"/>
          <w:b/>
          <w:color w:val="auto"/>
          <w:sz w:val="36"/>
          <w:szCs w:val="36"/>
          <w:highlight w:val="none"/>
        </w:rPr>
      </w:pPr>
    </w:p>
    <w:p w14:paraId="62C5A3EC">
      <w:pPr>
        <w:spacing w:line="360" w:lineRule="auto"/>
        <w:jc w:val="both"/>
        <w:rPr>
          <w:rFonts w:hint="eastAsia" w:ascii="宋体" w:hAnsi="宋体"/>
          <w:b/>
          <w:color w:val="auto"/>
          <w:sz w:val="36"/>
          <w:szCs w:val="36"/>
          <w:highlight w:val="none"/>
        </w:rPr>
        <w:sectPr>
          <w:footerReference r:id="rId4" w:type="default"/>
          <w:pgSz w:w="11906" w:h="16838"/>
          <w:pgMar w:top="1247" w:right="1361" w:bottom="1247" w:left="1361" w:header="851" w:footer="851" w:gutter="0"/>
          <w:cols w:space="720" w:num="1"/>
          <w:docGrid w:type="lines" w:linePitch="312" w:charSpace="0"/>
        </w:sectPr>
      </w:pPr>
    </w:p>
    <w:p w14:paraId="24743A24">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第四章    评  标</w:t>
      </w:r>
      <w:bookmarkEnd w:id="35"/>
    </w:p>
    <w:p w14:paraId="4AB7B14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333870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（一）评标活动遵循公平、公正、科学和择优的原则，以采购文件和投标文件为评标的基本依据，并按照采购文件规定的评标方法和评标标准进行评标。</w:t>
      </w:r>
    </w:p>
    <w:p w14:paraId="048A5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（二）任何单位和个人不得干扰、影响评标的正常进行；评标委员会及有关工作人员应不带任何倾向性和启发性，不得向外界透露任何与评标有关的内容，不得私下与供应商接触。</w:t>
      </w:r>
    </w:p>
    <w:p w14:paraId="68C1419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72A5CB58">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综合评分法，是指投标文件满足采购文件全部实质性要求，且按照评审因素的量化指标评审得分最高的供应商为中标候选人的评标方法。</w:t>
      </w:r>
    </w:p>
    <w:p w14:paraId="6DEA056B">
      <w:pPr>
        <w:pStyle w:val="24"/>
        <w:spacing w:after="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三、评标委员会</w:t>
      </w:r>
    </w:p>
    <w:p w14:paraId="4CC4A8C1">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70679EEA">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0967F19E">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1.参加采购活动前3年内与供应商存在劳动关系；</w:t>
      </w:r>
    </w:p>
    <w:p w14:paraId="5356EB50">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2.参加采购活动前3年内担任供应商的董事、监事；</w:t>
      </w:r>
    </w:p>
    <w:p w14:paraId="324493F2">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141DF47F">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1531C9D5">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5E863E6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6.法律法规规定的其他情形。</w:t>
      </w:r>
    </w:p>
    <w:p w14:paraId="54EA33E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（三）评标委员会负责具体评标事务，并独立履行下列职责：</w:t>
      </w:r>
    </w:p>
    <w:p w14:paraId="64FB5C1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1.审查、评价投标文件是否符合采购文件的商务、技术等实质性要求；</w:t>
      </w:r>
    </w:p>
    <w:p w14:paraId="6FE80981">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2.要求供应商对投标文件有关事项作出澄清或者说明；</w:t>
      </w:r>
    </w:p>
    <w:p w14:paraId="2A04E479">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3.对投标文件进行比较和评价；</w:t>
      </w:r>
    </w:p>
    <w:p w14:paraId="75247E0D">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4.确定中标候选人名单，以及根据采购人委托直接确定成交供应商；</w:t>
      </w:r>
    </w:p>
    <w:p w14:paraId="727695E0">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0641317A">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6.法律法规规定的其他职责。</w:t>
      </w:r>
    </w:p>
    <w:p w14:paraId="0271ECE3">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四、无效标情形</w:t>
      </w:r>
    </w:p>
    <w:p w14:paraId="5C4E8032">
      <w:pPr>
        <w:adjustRightInd w:val="0"/>
        <w:snapToGrid w:val="0"/>
        <w:spacing w:line="360" w:lineRule="auto"/>
        <w:ind w:firstLine="480" w:firstLineChars="200"/>
        <w:rPr>
          <w:rFonts w:ascii="宋体" w:hAnsi="宋体"/>
          <w:b/>
          <w:bCs/>
          <w:color w:val="auto"/>
          <w:sz w:val="24"/>
          <w:highlight w:val="none"/>
        </w:rPr>
      </w:pPr>
      <w:r>
        <w:rPr>
          <w:rFonts w:hint="eastAsia" w:ascii="宋体" w:hAnsi="宋体"/>
          <w:color w:val="auto"/>
          <w:kern w:val="0"/>
          <w:sz w:val="24"/>
          <w:highlight w:val="none"/>
        </w:rPr>
        <w:t>（一）在</w:t>
      </w:r>
      <w:r>
        <w:rPr>
          <w:rFonts w:hint="eastAsia" w:ascii="宋体" w:hAnsi="宋体"/>
          <w:color w:val="auto"/>
          <w:kern w:val="0"/>
          <w:sz w:val="24"/>
          <w:highlight w:val="none"/>
          <w:lang w:val="en-US" w:eastAsia="zh-CN"/>
        </w:rPr>
        <w:t>商务与技术</w:t>
      </w:r>
      <w:r>
        <w:rPr>
          <w:rFonts w:hint="eastAsia" w:ascii="宋体" w:hAnsi="宋体"/>
          <w:color w:val="auto"/>
          <w:kern w:val="0"/>
          <w:sz w:val="24"/>
          <w:highlight w:val="none"/>
        </w:rPr>
        <w:t>文件中出现投标报价的，或者报价文件中报价的服务跟</w:t>
      </w:r>
      <w:r>
        <w:rPr>
          <w:rFonts w:hint="eastAsia" w:ascii="宋体" w:hAnsi="宋体"/>
          <w:color w:val="auto"/>
          <w:kern w:val="0"/>
          <w:sz w:val="24"/>
          <w:highlight w:val="none"/>
          <w:lang w:val="en-US" w:eastAsia="zh-CN"/>
        </w:rPr>
        <w:t>商务与技术</w:t>
      </w:r>
      <w:r>
        <w:rPr>
          <w:rFonts w:hint="eastAsia" w:ascii="宋体" w:hAnsi="宋体"/>
          <w:color w:val="auto"/>
          <w:kern w:val="0"/>
          <w:sz w:val="24"/>
          <w:highlight w:val="none"/>
        </w:rPr>
        <w:t>文件中的投标服务出现重大偏差的；</w:t>
      </w:r>
    </w:p>
    <w:p w14:paraId="3ADF7948">
      <w:pPr>
        <w:pStyle w:val="22"/>
        <w:tabs>
          <w:tab w:val="left" w:pos="7380"/>
        </w:tabs>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（二）不具备采购文件中规定的资格要求的；</w:t>
      </w:r>
    </w:p>
    <w:p w14:paraId="20C7644A">
      <w:pPr>
        <w:pStyle w:val="22"/>
        <w:adjustRightInd w:val="0"/>
        <w:snapToGrid w:val="0"/>
        <w:spacing w:before="0" w:beforeAutospacing="0" w:after="0" w:afterAutospacing="0" w:line="360" w:lineRule="auto"/>
        <w:ind w:firstLine="480" w:firstLineChars="200"/>
        <w:jc w:val="both"/>
        <w:rPr>
          <w:rFonts w:hint="default"/>
          <w:color w:val="auto"/>
          <w:highlight w:val="none"/>
        </w:rPr>
      </w:pPr>
      <w:r>
        <w:rPr>
          <w:color w:val="auto"/>
          <w:highlight w:val="none"/>
        </w:rPr>
        <w:t>（三）投标文件含有采购人不能接受的附加条件的；</w:t>
      </w:r>
    </w:p>
    <w:p w14:paraId="32913E2C">
      <w:pPr>
        <w:pStyle w:val="7"/>
        <w:spacing w:afterAutospacing="0" w:line="360" w:lineRule="auto"/>
        <w:ind w:firstLine="480" w:firstLineChars="200"/>
        <w:jc w:val="both"/>
        <w:rPr>
          <w:rFonts w:ascii="宋体" w:hAnsi="宋体"/>
          <w:bCs/>
          <w:color w:val="auto"/>
          <w:kern w:val="0"/>
          <w:sz w:val="24"/>
          <w:highlight w:val="none"/>
        </w:rPr>
      </w:pPr>
      <w:r>
        <w:rPr>
          <w:rFonts w:hint="eastAsia" w:ascii="宋体" w:hAnsi="宋体"/>
          <w:color w:val="auto"/>
          <w:kern w:val="0"/>
          <w:sz w:val="24"/>
          <w:highlight w:val="none"/>
        </w:rPr>
        <w:t>（四）评标委员会认为供应商的报价明显低于其他通过符合性审查供应商的报价，有可能影响服务质量或者不能诚信履约的，供应商在限定的时间内不能证明其报价合理性的，评标委员会应当将其作为无效投标处理；</w:t>
      </w:r>
    </w:p>
    <w:p w14:paraId="7F623DA6">
      <w:pPr>
        <w:pStyle w:val="22"/>
        <w:adjustRightInd w:val="0"/>
        <w:snapToGrid w:val="0"/>
        <w:spacing w:before="86" w:beforeLines="27" w:beforeAutospacing="0" w:after="0" w:afterAutospacing="0" w:line="360" w:lineRule="auto"/>
        <w:ind w:firstLine="480" w:firstLineChars="200"/>
        <w:jc w:val="both"/>
        <w:rPr>
          <w:rFonts w:hint="default"/>
          <w:color w:val="auto"/>
          <w:highlight w:val="none"/>
        </w:rPr>
      </w:pPr>
      <w:r>
        <w:rPr>
          <w:color w:val="auto"/>
          <w:highlight w:val="none"/>
        </w:rPr>
        <w:t xml:space="preserve">（五）报价超过采购文件中规定的预算金额/最高限价或未填写投标报价的； </w:t>
      </w:r>
    </w:p>
    <w:p w14:paraId="71733CC8">
      <w:pPr>
        <w:tabs>
          <w:tab w:val="left" w:pos="1898"/>
        </w:tabs>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（六）投标文件存在虚假材料的；</w:t>
      </w:r>
    </w:p>
    <w:p w14:paraId="0130C578">
      <w:pPr>
        <w:tabs>
          <w:tab w:val="left" w:pos="1898"/>
        </w:tabs>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（七）有</w:t>
      </w:r>
      <w:r>
        <w:rPr>
          <w:rFonts w:ascii="宋体" w:hAnsi="宋体"/>
          <w:color w:val="auto"/>
          <w:kern w:val="0"/>
          <w:sz w:val="24"/>
          <w:highlight w:val="none"/>
        </w:rPr>
        <w:t>中华人民共和国财政部令第87号《政府采购货物和服务招标投标管理办法》第三十七条情形之一的，视为</w:t>
      </w:r>
      <w:r>
        <w:rPr>
          <w:rFonts w:hint="eastAsia" w:ascii="宋体" w:hAnsi="宋体"/>
          <w:color w:val="auto"/>
          <w:kern w:val="0"/>
          <w:sz w:val="24"/>
          <w:highlight w:val="none"/>
        </w:rPr>
        <w:t>供应商</w:t>
      </w:r>
      <w:r>
        <w:rPr>
          <w:rFonts w:ascii="宋体" w:hAnsi="宋体"/>
          <w:color w:val="auto"/>
          <w:kern w:val="0"/>
          <w:sz w:val="24"/>
          <w:highlight w:val="none"/>
        </w:rPr>
        <w:t>串通投标，其投标无效</w:t>
      </w:r>
      <w:r>
        <w:rPr>
          <w:rFonts w:hint="eastAsia" w:ascii="宋体" w:hAnsi="宋体"/>
          <w:color w:val="auto"/>
          <w:kern w:val="0"/>
          <w:sz w:val="24"/>
          <w:highlight w:val="none"/>
        </w:rPr>
        <w:t>，并移送采购监管部门</w:t>
      </w:r>
      <w:r>
        <w:rPr>
          <w:rFonts w:ascii="宋体" w:hAnsi="宋体"/>
          <w:color w:val="auto"/>
          <w:kern w:val="0"/>
          <w:sz w:val="24"/>
          <w:highlight w:val="none"/>
        </w:rPr>
        <w:t>：</w:t>
      </w:r>
    </w:p>
    <w:p w14:paraId="6FCF2E5A">
      <w:pPr>
        <w:tabs>
          <w:tab w:val="left" w:pos="1898"/>
        </w:tabs>
        <w:autoSpaceDE w:val="0"/>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的投标文件由同一单位或者个人编制；</w:t>
      </w:r>
    </w:p>
    <w:p w14:paraId="4E9218F5">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2.不同供应商委托同一单位或者个人办理投标事宜；</w:t>
      </w:r>
    </w:p>
    <w:p w14:paraId="4980AE34">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3.不同供应商的投标文件载明的项目管理成员或者联系人员为同一人；</w:t>
      </w:r>
    </w:p>
    <w:p w14:paraId="732DA316">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4.不同供应商的投标文件异常一致或者投标报价呈规律性差异；</w:t>
      </w:r>
    </w:p>
    <w:p w14:paraId="7C002120">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5.不同供应商的投标文件相互混装。</w:t>
      </w:r>
    </w:p>
    <w:p w14:paraId="70139271">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（八）</w:t>
      </w:r>
      <w:r>
        <w:rPr>
          <w:rFonts w:cs="宋体"/>
          <w:color w:val="auto"/>
          <w:highlight w:val="none"/>
        </w:rPr>
        <w:t>实质性要求（采购文件中打“▲”内容）不响应的；</w:t>
      </w:r>
    </w:p>
    <w:p w14:paraId="5289D54E">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（九）商务条款不响应的；</w:t>
      </w:r>
    </w:p>
    <w:p w14:paraId="7BB329C3">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（十）投标文件有效期不足的；</w:t>
      </w:r>
    </w:p>
    <w:p w14:paraId="0A57A559">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（十一）逾期或未按要求提交投标文件的；</w:t>
      </w:r>
    </w:p>
    <w:p w14:paraId="3348EF65">
      <w:pPr>
        <w:pStyle w:val="5"/>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（十二）其他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2E5666E6">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5BF7A495">
      <w:pPr>
        <w:pStyle w:val="22"/>
        <w:spacing w:before="0" w:beforeAutospacing="0" w:after="0" w:afterAutospacing="0" w:line="360" w:lineRule="auto"/>
        <w:ind w:firstLine="480" w:firstLineChars="200"/>
        <w:jc w:val="both"/>
        <w:rPr>
          <w:rFonts w:hint="default" w:cs="宋体"/>
          <w:color w:val="auto"/>
          <w:highlight w:val="none"/>
        </w:rPr>
      </w:pPr>
      <w:r>
        <w:rPr>
          <w:color w:val="auto"/>
          <w:highlight w:val="none"/>
        </w:rPr>
        <w:t>（一）</w:t>
      </w:r>
      <w:r>
        <w:rPr>
          <w:rFonts w:cs="宋体"/>
          <w:color w:val="auto"/>
          <w:highlight w:val="none"/>
        </w:rPr>
        <w:t>出现影响采购公正的违法、违规行为的；</w:t>
      </w:r>
    </w:p>
    <w:p w14:paraId="2890F1CB">
      <w:pPr>
        <w:pStyle w:val="22"/>
        <w:spacing w:before="0" w:beforeAutospacing="0" w:after="0" w:afterAutospacing="0" w:line="360" w:lineRule="auto"/>
        <w:ind w:firstLine="480" w:firstLineChars="200"/>
        <w:jc w:val="both"/>
        <w:rPr>
          <w:rFonts w:hint="default" w:cs="宋体"/>
          <w:b/>
          <w:bCs/>
          <w:color w:val="auto"/>
          <w:highlight w:val="none"/>
        </w:rPr>
      </w:pPr>
      <w:r>
        <w:rPr>
          <w:color w:val="auto"/>
          <w:highlight w:val="none"/>
        </w:rPr>
        <w:t>（二）</w:t>
      </w:r>
      <w:r>
        <w:rPr>
          <w:rFonts w:cs="宋体"/>
          <w:color w:val="auto"/>
          <w:highlight w:val="none"/>
        </w:rPr>
        <w:t>评标委员会发现采购文件存在歧义、重大缺陷导致评标工作无法进行，或者采购文件内容违反国家有关强制性规定的；</w:t>
      </w:r>
    </w:p>
    <w:p w14:paraId="7448579B">
      <w:pPr>
        <w:pStyle w:val="22"/>
        <w:spacing w:before="0" w:beforeAutospacing="0" w:after="0" w:afterAutospacing="0" w:line="360" w:lineRule="auto"/>
        <w:ind w:firstLine="480" w:firstLineChars="200"/>
        <w:jc w:val="both"/>
        <w:rPr>
          <w:rFonts w:hint="default" w:cs="宋体"/>
          <w:color w:val="auto"/>
          <w:highlight w:val="none"/>
        </w:rPr>
      </w:pPr>
      <w:r>
        <w:rPr>
          <w:color w:val="auto"/>
          <w:highlight w:val="none"/>
        </w:rPr>
        <w:t>（三）</w:t>
      </w:r>
      <w:r>
        <w:rPr>
          <w:rFonts w:cs="宋体"/>
          <w:color w:val="auto"/>
          <w:highlight w:val="none"/>
        </w:rPr>
        <w:t>因重大变故，采购任务取消的；</w:t>
      </w:r>
    </w:p>
    <w:p w14:paraId="6424F2E2">
      <w:pPr>
        <w:pStyle w:val="22"/>
        <w:spacing w:before="0" w:beforeAutospacing="0" w:after="0" w:afterAutospacing="0" w:line="360" w:lineRule="auto"/>
        <w:ind w:firstLine="480" w:firstLineChars="200"/>
        <w:jc w:val="both"/>
        <w:rPr>
          <w:rFonts w:hint="default" w:cs="宋体"/>
          <w:color w:val="auto"/>
          <w:highlight w:val="none"/>
        </w:rPr>
      </w:pPr>
      <w:r>
        <w:rPr>
          <w:color w:val="auto"/>
          <w:highlight w:val="none"/>
        </w:rPr>
        <w:t>（四）</w:t>
      </w:r>
      <w:r>
        <w:rPr>
          <w:rFonts w:cs="宋体"/>
          <w:color w:val="auto"/>
          <w:highlight w:val="none"/>
        </w:rPr>
        <w:t>法律、法规和采购文件规定的其他导致评标结果无效的。</w:t>
      </w:r>
    </w:p>
    <w:p w14:paraId="6E4E7A69">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7E3690F1">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本项目评标过程实行全程录音、录像监控，政府采购监管部门视情进行现场监督，供应商在评标过程中所进行的试图影响评标结果的不公正活动，可能导致其投标被拒绝。</w:t>
      </w:r>
    </w:p>
    <w:p w14:paraId="4F403110">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6D08C5B7">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24F9D493">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w:t>
      </w:r>
      <w:r>
        <w:rPr>
          <w:rFonts w:hint="eastAsia" w:ascii="宋体"/>
          <w:color w:val="auto"/>
          <w:sz w:val="24"/>
          <w:highlight w:val="none"/>
          <w:lang w:val="en-US" w:eastAsia="zh-CN"/>
        </w:rPr>
        <w:t>6</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小微企业采购政策。</w:t>
      </w:r>
    </w:p>
    <w:p w14:paraId="0329EBF7">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color w:val="auto"/>
          <w:sz w:val="24"/>
          <w:highlight w:val="none"/>
        </w:rPr>
        <w:t>采购</w:t>
      </w:r>
      <w:r>
        <w:rPr>
          <w:rFonts w:hint="eastAsia" w:ascii="宋体"/>
          <w:color w:val="auto"/>
          <w:sz w:val="24"/>
          <w:highlight w:val="none"/>
          <w:lang w:val="zh-CN"/>
        </w:rPr>
        <w:t>政策。</w:t>
      </w:r>
    </w:p>
    <w:p w14:paraId="16A20392">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lang w:val="en-US" w:eastAsia="zh-CN"/>
        </w:rPr>
        <w:t>6</w:t>
      </w:r>
      <w:r>
        <w:rPr>
          <w:rFonts w:hint="eastAsia" w:ascii="宋体"/>
          <w:color w:val="auto"/>
          <w:sz w:val="24"/>
          <w:highlight w:val="none"/>
          <w:lang w:val="zh-CN"/>
        </w:rPr>
        <w:t>），视同小型、微型企业，享受小微企业政府采购政策。</w:t>
      </w:r>
    </w:p>
    <w:p w14:paraId="3515F121">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4E609D5B">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rPr>
        <w:t>%</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73F2CC58">
      <w:pPr>
        <w:pStyle w:val="12"/>
        <w:snapToGrid w:val="0"/>
        <w:spacing w:line="360" w:lineRule="auto"/>
        <w:ind w:firstLine="482" w:firstLineChars="200"/>
        <w:rPr>
          <w:rFonts w:hAnsi="宋体"/>
          <w:b/>
          <w:color w:val="auto"/>
          <w:sz w:val="24"/>
          <w:highlight w:val="none"/>
        </w:rPr>
      </w:pPr>
      <w:r>
        <w:rPr>
          <w:rFonts w:hint="eastAsia" w:hAnsi="宋体"/>
          <w:b/>
          <w:bCs/>
          <w:color w:val="auto"/>
          <w:sz w:val="24"/>
          <w:highlight w:val="none"/>
        </w:rPr>
        <w:t>八、</w:t>
      </w:r>
      <w:r>
        <w:rPr>
          <w:rFonts w:hAnsi="宋体"/>
          <w:b/>
          <w:bCs/>
          <w:color w:val="auto"/>
          <w:sz w:val="24"/>
          <w:highlight w:val="none"/>
        </w:rPr>
        <w:t>评标程序</w:t>
      </w:r>
    </w:p>
    <w:p w14:paraId="5C82ED69">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（一）资格</w:t>
      </w:r>
      <w:r>
        <w:rPr>
          <w:rFonts w:ascii="宋体" w:hAnsi="宋体"/>
          <w:b/>
          <w:bCs/>
          <w:color w:val="auto"/>
          <w:sz w:val="24"/>
          <w:highlight w:val="none"/>
        </w:rPr>
        <w:t>审查</w:t>
      </w:r>
    </w:p>
    <w:p w14:paraId="78226560">
      <w:pPr>
        <w:pStyle w:val="7"/>
        <w:spacing w:line="360" w:lineRule="auto"/>
        <w:ind w:firstLine="480" w:firstLineChars="200"/>
        <w:jc w:val="both"/>
        <w:rPr>
          <w:rFonts w:ascii="宋体" w:hAnsi="宋体"/>
          <w:color w:val="auto"/>
          <w:sz w:val="24"/>
          <w:highlight w:val="none"/>
        </w:rPr>
      </w:pPr>
      <w:r>
        <w:rPr>
          <w:rFonts w:hint="eastAsia" w:ascii="宋体" w:hAnsi="宋体" w:cs="宋体"/>
          <w:color w:val="auto"/>
          <w:sz w:val="24"/>
          <w:highlight w:val="none"/>
        </w:rPr>
        <w:t>投标文件</w:t>
      </w:r>
      <w:r>
        <w:rPr>
          <w:rFonts w:hint="eastAsia" w:ascii="宋体" w:hAnsi="宋体" w:cs="宋体"/>
          <w:color w:val="auto"/>
          <w:sz w:val="24"/>
          <w:highlight w:val="none"/>
          <w:lang w:val="en-US" w:eastAsia="zh-CN"/>
        </w:rPr>
        <w:t>拆封</w:t>
      </w:r>
      <w:r>
        <w:rPr>
          <w:rFonts w:hint="eastAsia" w:ascii="宋体" w:hAnsi="宋体" w:cs="宋体"/>
          <w:color w:val="auto"/>
          <w:sz w:val="24"/>
          <w:highlight w:val="none"/>
        </w:rPr>
        <w:t>后</w:t>
      </w:r>
      <w:r>
        <w:rPr>
          <w:rFonts w:ascii="宋体" w:hAnsi="宋体"/>
          <w:color w:val="auto"/>
          <w:sz w:val="24"/>
          <w:highlight w:val="none"/>
        </w:rPr>
        <w:t>，采购人或采购组织机构依法对</w:t>
      </w:r>
      <w:r>
        <w:rPr>
          <w:rFonts w:hint="eastAsia" w:ascii="宋体" w:hAnsi="宋体"/>
          <w:color w:val="auto"/>
          <w:sz w:val="24"/>
          <w:highlight w:val="none"/>
        </w:rPr>
        <w:t>供应商</w:t>
      </w:r>
      <w:r>
        <w:rPr>
          <w:rFonts w:ascii="宋体" w:hAnsi="宋体"/>
          <w:color w:val="auto"/>
          <w:sz w:val="24"/>
          <w:highlight w:val="none"/>
        </w:rPr>
        <w:t>的资格进行审查，对审查发现无效的进行必要的</w:t>
      </w:r>
      <w:r>
        <w:rPr>
          <w:rFonts w:hint="eastAsia" w:ascii="宋体" w:hAnsi="宋体" w:cs="宋体"/>
          <w:color w:val="auto"/>
          <w:sz w:val="24"/>
          <w:highlight w:val="none"/>
        </w:rPr>
        <w:t>询问</w:t>
      </w:r>
      <w:r>
        <w:rPr>
          <w:rFonts w:ascii="宋体" w:hAnsi="宋体"/>
          <w:color w:val="auto"/>
          <w:sz w:val="24"/>
          <w:highlight w:val="none"/>
        </w:rPr>
        <w:t>，</w:t>
      </w:r>
      <w:r>
        <w:rPr>
          <w:rFonts w:hint="eastAsia"/>
          <w:color w:val="auto"/>
          <w:sz w:val="24"/>
          <w:highlight w:val="none"/>
          <w:lang w:val="en-US" w:eastAsia="zh-CN"/>
        </w:rPr>
        <w:t>并</w:t>
      </w:r>
      <w:r>
        <w:rPr>
          <w:rFonts w:hint="eastAsia"/>
          <w:color w:val="auto"/>
          <w:sz w:val="24"/>
          <w:highlight w:val="none"/>
        </w:rPr>
        <w:t>公布</w:t>
      </w:r>
      <w:r>
        <w:rPr>
          <w:rFonts w:ascii="宋体" w:hAnsi="宋体"/>
          <w:color w:val="auto"/>
          <w:sz w:val="24"/>
          <w:highlight w:val="none"/>
        </w:rPr>
        <w:t>无效投标的</w:t>
      </w:r>
      <w:r>
        <w:rPr>
          <w:rFonts w:hint="eastAsia" w:ascii="宋体" w:hAnsi="宋体"/>
          <w:color w:val="auto"/>
          <w:sz w:val="24"/>
          <w:highlight w:val="none"/>
        </w:rPr>
        <w:t>供应商</w:t>
      </w:r>
      <w:r>
        <w:rPr>
          <w:rFonts w:ascii="宋体" w:hAnsi="宋体"/>
          <w:color w:val="auto"/>
          <w:sz w:val="24"/>
          <w:highlight w:val="none"/>
        </w:rPr>
        <w:t>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4F81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2FCC5780">
            <w:pPr>
              <w:pStyle w:val="38"/>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noWrap w:val="0"/>
            <w:tcMar>
              <w:top w:w="57" w:type="dxa"/>
              <w:left w:w="108" w:type="dxa"/>
              <w:bottom w:w="0" w:type="dxa"/>
              <w:right w:w="108" w:type="dxa"/>
            </w:tcMar>
            <w:vAlign w:val="center"/>
          </w:tcPr>
          <w:p w14:paraId="6298962B">
            <w:pPr>
              <w:pStyle w:val="38"/>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w:t>
            </w:r>
            <w:r>
              <w:rPr>
                <w:rFonts w:hint="eastAsia"/>
                <w:color w:val="auto"/>
                <w:szCs w:val="21"/>
                <w:highlight w:val="none"/>
                <w:lang w:val="en-US" w:eastAsia="zh-CN"/>
              </w:rPr>
              <w:t>复印件</w:t>
            </w:r>
            <w:r>
              <w:rPr>
                <w:rFonts w:hint="eastAsia"/>
                <w:color w:val="auto"/>
                <w:szCs w:val="21"/>
                <w:highlight w:val="none"/>
              </w:rPr>
              <w:t>。</w:t>
            </w:r>
          </w:p>
        </w:tc>
      </w:tr>
      <w:tr w14:paraId="4194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44109FB">
            <w:pPr>
              <w:pStyle w:val="38"/>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45B13199">
            <w:pPr>
              <w:pStyle w:val="38"/>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14:paraId="5002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68944B48">
            <w:pPr>
              <w:pStyle w:val="38"/>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noWrap w:val="0"/>
            <w:tcMar>
              <w:top w:w="57" w:type="dxa"/>
              <w:left w:w="108" w:type="dxa"/>
              <w:bottom w:w="0" w:type="dxa"/>
              <w:right w:w="108" w:type="dxa"/>
            </w:tcMar>
            <w:vAlign w:val="center"/>
          </w:tcPr>
          <w:p w14:paraId="01B22073">
            <w:pPr>
              <w:pStyle w:val="38"/>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60DF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25D5F40">
            <w:pPr>
              <w:pStyle w:val="38"/>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22C61AF8">
            <w:pPr>
              <w:pStyle w:val="38"/>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0F42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69DF1598">
            <w:pPr>
              <w:pStyle w:val="38"/>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noWrap w:val="0"/>
            <w:tcMar>
              <w:top w:w="57" w:type="dxa"/>
              <w:left w:w="108" w:type="dxa"/>
              <w:bottom w:w="0" w:type="dxa"/>
              <w:right w:w="108" w:type="dxa"/>
            </w:tcMar>
            <w:vAlign w:val="center"/>
          </w:tcPr>
          <w:p w14:paraId="096E2D64">
            <w:pPr>
              <w:pStyle w:val="38"/>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27CE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0C6FB11">
            <w:pPr>
              <w:pStyle w:val="38"/>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noWrap w:val="0"/>
            <w:tcMar>
              <w:top w:w="57" w:type="dxa"/>
              <w:left w:w="108" w:type="dxa"/>
              <w:bottom w:w="0" w:type="dxa"/>
              <w:right w:w="108" w:type="dxa"/>
            </w:tcMar>
            <w:vAlign w:val="center"/>
          </w:tcPr>
          <w:p w14:paraId="66231217">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510C6505">
            <w:pPr>
              <w:spacing w:line="300" w:lineRule="auto"/>
              <w:ind w:left="15" w:leftChars="7" w:right="-17" w:rightChars="-8" w:firstLine="403" w:firstLineChars="192"/>
              <w:rPr>
                <w:rFonts w:hint="eastAsia" w:ascii="宋体" w:hAnsi="宋体" w:cs="宋体"/>
                <w:color w:val="auto"/>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p>
          <w:p w14:paraId="36B6EEDF">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3.使用规则：供应商未被列入“信用中国”失信被执行人或重大税收违法案件当事人名单；未处于“中国政府采购网”政府采购严重违法失信行为信息记录中的禁止参加政府采购活动期间。</w:t>
            </w:r>
          </w:p>
        </w:tc>
      </w:tr>
      <w:tr w14:paraId="3DB5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4904EABA">
            <w:pPr>
              <w:pStyle w:val="38"/>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noWrap w:val="0"/>
            <w:tcMar>
              <w:top w:w="57" w:type="dxa"/>
              <w:left w:w="108" w:type="dxa"/>
              <w:bottom w:w="0" w:type="dxa"/>
              <w:right w:w="108" w:type="dxa"/>
            </w:tcMar>
            <w:vAlign w:val="center"/>
          </w:tcPr>
          <w:p w14:paraId="643C1E0D">
            <w:pPr>
              <w:pStyle w:val="38"/>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5CA46AD1">
            <w:pPr>
              <w:pStyle w:val="38"/>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44204CE3">
            <w:pPr>
              <w:pStyle w:val="38"/>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w:t>
            </w:r>
          </w:p>
        </w:tc>
      </w:tr>
      <w:tr w14:paraId="3B3C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572FED40">
            <w:pPr>
              <w:pStyle w:val="38"/>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noWrap w:val="0"/>
            <w:tcMar>
              <w:top w:w="57" w:type="dxa"/>
              <w:left w:w="108" w:type="dxa"/>
              <w:bottom w:w="0" w:type="dxa"/>
              <w:right w:w="108" w:type="dxa"/>
            </w:tcMar>
            <w:vAlign w:val="center"/>
          </w:tcPr>
          <w:p w14:paraId="1E90ABCF">
            <w:pPr>
              <w:pStyle w:val="38"/>
              <w:spacing w:before="48" w:line="300" w:lineRule="auto"/>
              <w:ind w:left="15" w:leftChars="7" w:right="-17" w:rightChars="-8" w:firstLine="403" w:firstLineChars="192"/>
              <w:rPr>
                <w:rFonts w:hint="eastAsia"/>
                <w:color w:val="auto"/>
                <w:szCs w:val="21"/>
                <w:highlight w:val="none"/>
              </w:rPr>
            </w:pPr>
            <w:r>
              <w:rPr>
                <w:rFonts w:hint="eastAsia"/>
                <w:b w:val="0"/>
                <w:bCs w:val="0"/>
                <w:color w:val="auto"/>
                <w:szCs w:val="21"/>
                <w:highlight w:val="none"/>
              </w:rPr>
              <w:t>本次不接受联合体投标。</w:t>
            </w:r>
          </w:p>
        </w:tc>
      </w:tr>
      <w:tr w14:paraId="2C41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noWrap w:val="0"/>
            <w:tcMar>
              <w:top w:w="57" w:type="dxa"/>
              <w:left w:w="108" w:type="dxa"/>
              <w:bottom w:w="0" w:type="dxa"/>
              <w:right w:w="108" w:type="dxa"/>
            </w:tcMar>
            <w:vAlign w:val="center"/>
          </w:tcPr>
          <w:p w14:paraId="483452B8">
            <w:pPr>
              <w:pStyle w:val="38"/>
              <w:spacing w:line="300" w:lineRule="auto"/>
              <w:ind w:right="3" w:hanging="10"/>
              <w:jc w:val="center"/>
              <w:rPr>
                <w:color w:val="auto"/>
                <w:szCs w:val="21"/>
                <w:highlight w:val="none"/>
              </w:rPr>
            </w:pPr>
            <w:r>
              <w:rPr>
                <w:rFonts w:hint="eastAsia"/>
                <w:color w:val="auto"/>
                <w:szCs w:val="21"/>
                <w:highlight w:val="none"/>
              </w:rPr>
              <w:t>资质</w:t>
            </w:r>
          </w:p>
        </w:tc>
        <w:tc>
          <w:tcPr>
            <w:tcW w:w="7092" w:type="dxa"/>
            <w:noWrap w:val="0"/>
            <w:tcMar>
              <w:top w:w="57" w:type="dxa"/>
              <w:left w:w="108" w:type="dxa"/>
              <w:bottom w:w="0" w:type="dxa"/>
              <w:right w:w="108" w:type="dxa"/>
            </w:tcMar>
            <w:vAlign w:val="center"/>
          </w:tcPr>
          <w:p w14:paraId="3A393434">
            <w:pPr>
              <w:pStyle w:val="38"/>
              <w:spacing w:before="48" w:line="300" w:lineRule="auto"/>
              <w:ind w:left="15" w:leftChars="7" w:right="-17" w:rightChars="-8" w:firstLine="403" w:firstLineChars="192"/>
              <w:rPr>
                <w:rFonts w:hint="default" w:eastAsia="宋体"/>
                <w:color w:val="auto"/>
                <w:szCs w:val="21"/>
                <w:highlight w:val="none"/>
                <w:lang w:val="en-US" w:eastAsia="zh-CN"/>
              </w:rPr>
            </w:pPr>
            <w:r>
              <w:rPr>
                <w:rFonts w:hint="eastAsia"/>
                <w:color w:val="auto"/>
                <w:szCs w:val="21"/>
                <w:highlight w:val="none"/>
                <w:lang w:val="en-US" w:eastAsia="zh-CN"/>
              </w:rPr>
              <w:t>无</w:t>
            </w:r>
          </w:p>
        </w:tc>
      </w:tr>
      <w:tr w14:paraId="3446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3F5D8C1C">
            <w:pPr>
              <w:pStyle w:val="38"/>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noWrap w:val="0"/>
            <w:tcMar>
              <w:top w:w="57" w:type="dxa"/>
              <w:left w:w="108" w:type="dxa"/>
              <w:bottom w:w="0" w:type="dxa"/>
              <w:right w:w="108" w:type="dxa"/>
            </w:tcMar>
            <w:vAlign w:val="center"/>
          </w:tcPr>
          <w:p w14:paraId="3834539A">
            <w:pPr>
              <w:pStyle w:val="7"/>
              <w:spacing w:line="300" w:lineRule="auto"/>
              <w:ind w:left="15" w:leftChars="7" w:right="-17" w:rightChars="-8" w:firstLine="403" w:firstLineChars="192"/>
              <w:jc w:val="both"/>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非</w:t>
            </w:r>
            <w:r>
              <w:rPr>
                <w:rFonts w:hint="eastAsia" w:ascii="宋体" w:hAnsi="宋体" w:cs="宋体"/>
                <w:color w:val="auto"/>
                <w:szCs w:val="21"/>
                <w:highlight w:val="none"/>
              </w:rPr>
              <w:t>专门面向中小企业采购</w:t>
            </w:r>
          </w:p>
        </w:tc>
      </w:tr>
    </w:tbl>
    <w:p w14:paraId="4CDAE436">
      <w:pPr>
        <w:pStyle w:val="7"/>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符合性审查</w:t>
      </w:r>
    </w:p>
    <w:p w14:paraId="55FFC431">
      <w:pPr>
        <w:pStyle w:val="7"/>
        <w:spacing w:line="360" w:lineRule="auto"/>
        <w:ind w:firstLine="480" w:firstLineChars="200"/>
        <w:rPr>
          <w:rFonts w:ascii="宋体" w:hAnsi="宋体"/>
          <w:color w:val="auto"/>
          <w:sz w:val="24"/>
          <w:highlight w:val="none"/>
        </w:rPr>
      </w:pPr>
      <w:r>
        <w:rPr>
          <w:rFonts w:ascii="宋体" w:hAnsi="宋体"/>
          <w:color w:val="auto"/>
          <w:sz w:val="24"/>
          <w:highlight w:val="none"/>
        </w:rPr>
        <w:t>评标委员会应当对符合资格的</w:t>
      </w:r>
      <w:r>
        <w:rPr>
          <w:rFonts w:hint="eastAsia" w:ascii="宋体" w:hAnsi="宋体"/>
          <w:color w:val="auto"/>
          <w:sz w:val="24"/>
          <w:highlight w:val="none"/>
        </w:rPr>
        <w:t>供应商</w:t>
      </w:r>
      <w:r>
        <w:rPr>
          <w:rFonts w:ascii="宋体" w:hAnsi="宋体"/>
          <w:color w:val="auto"/>
          <w:sz w:val="24"/>
          <w:highlight w:val="none"/>
        </w:rPr>
        <w:t>的投标文件进行符合性审查，以确定其是否满足</w:t>
      </w:r>
      <w:r>
        <w:rPr>
          <w:rFonts w:hint="eastAsia" w:ascii="宋体" w:hAnsi="宋体"/>
          <w:color w:val="auto"/>
          <w:sz w:val="24"/>
          <w:highlight w:val="none"/>
        </w:rPr>
        <w:t>采购文件</w:t>
      </w:r>
      <w:r>
        <w:rPr>
          <w:rFonts w:ascii="宋体" w:hAnsi="宋体"/>
          <w:color w:val="auto"/>
          <w:sz w:val="24"/>
          <w:highlight w:val="none"/>
        </w:rPr>
        <w:t>的实质性要求，对审查发现无效的进行必要的</w:t>
      </w:r>
      <w:r>
        <w:rPr>
          <w:rFonts w:hint="eastAsia" w:ascii="宋体" w:hAnsi="宋体"/>
          <w:color w:val="auto"/>
          <w:sz w:val="24"/>
          <w:highlight w:val="none"/>
        </w:rPr>
        <w:t>询问</w:t>
      </w:r>
      <w:r>
        <w:rPr>
          <w:rFonts w:ascii="宋体" w:hAnsi="宋体"/>
          <w:color w:val="auto"/>
          <w:sz w:val="24"/>
          <w:highlight w:val="none"/>
        </w:rPr>
        <w:t>，</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公布无效投标的供应商名单、投标无效的原因</w:t>
      </w:r>
      <w:r>
        <w:rPr>
          <w:rFonts w:hint="eastAsia" w:ascii="宋体" w:hAnsi="宋体"/>
          <w:color w:val="auto"/>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3DD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20117E14">
            <w:pPr>
              <w:pStyle w:val="38"/>
              <w:spacing w:line="300" w:lineRule="auto"/>
              <w:ind w:right="3" w:hanging="10"/>
              <w:jc w:val="center"/>
              <w:rPr>
                <w:color w:val="auto"/>
                <w:szCs w:val="21"/>
                <w:highlight w:val="none"/>
              </w:rPr>
            </w:pPr>
            <w:r>
              <w:rPr>
                <w:rFonts w:hint="eastAsia"/>
                <w:color w:val="auto"/>
                <w:szCs w:val="21"/>
                <w:highlight w:val="none"/>
              </w:rPr>
              <w:t>投标文件</w:t>
            </w:r>
          </w:p>
        </w:tc>
        <w:tc>
          <w:tcPr>
            <w:tcW w:w="7183" w:type="dxa"/>
            <w:noWrap w:val="0"/>
            <w:tcMar>
              <w:top w:w="57" w:type="dxa"/>
              <w:left w:w="108" w:type="dxa"/>
              <w:bottom w:w="0" w:type="dxa"/>
              <w:right w:w="108" w:type="dxa"/>
            </w:tcMar>
            <w:vAlign w:val="center"/>
          </w:tcPr>
          <w:p w14:paraId="71DF075A">
            <w:pPr>
              <w:pStyle w:val="7"/>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0EF5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61116178">
            <w:pPr>
              <w:pStyle w:val="38"/>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noWrap w:val="0"/>
            <w:tcMar>
              <w:top w:w="57" w:type="dxa"/>
              <w:left w:w="108" w:type="dxa"/>
              <w:bottom w:w="0" w:type="dxa"/>
              <w:right w:w="108" w:type="dxa"/>
            </w:tcMar>
            <w:vAlign w:val="center"/>
          </w:tcPr>
          <w:p w14:paraId="18E7F99B">
            <w:pPr>
              <w:pStyle w:val="7"/>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0966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1CA0ED2B">
            <w:pPr>
              <w:pStyle w:val="38"/>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noWrap w:val="0"/>
            <w:tcMar>
              <w:top w:w="57" w:type="dxa"/>
              <w:left w:w="108" w:type="dxa"/>
              <w:bottom w:w="0" w:type="dxa"/>
              <w:right w:w="108" w:type="dxa"/>
            </w:tcMar>
            <w:vAlign w:val="center"/>
          </w:tcPr>
          <w:p w14:paraId="577C5DD0">
            <w:pPr>
              <w:pStyle w:val="7"/>
              <w:spacing w:line="300" w:lineRule="auto"/>
              <w:ind w:left="15" w:leftChars="7" w:right="-17" w:rightChars="-8" w:firstLine="403" w:firstLineChars="192"/>
              <w:jc w:val="both"/>
              <w:rPr>
                <w:color w:val="auto"/>
                <w:highlight w:val="none"/>
              </w:rPr>
            </w:pPr>
            <w:r>
              <w:rPr>
                <w:rFonts w:hint="eastAsia"/>
                <w:color w:val="auto"/>
                <w:highlight w:val="none"/>
              </w:rPr>
              <w:t>“▲”实质性条款必须满足采购文件要求。</w:t>
            </w:r>
          </w:p>
        </w:tc>
      </w:tr>
      <w:tr w14:paraId="47D9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05EBA7E5">
            <w:pPr>
              <w:pStyle w:val="38"/>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noWrap w:val="0"/>
            <w:tcMar>
              <w:top w:w="57" w:type="dxa"/>
              <w:left w:w="108" w:type="dxa"/>
              <w:bottom w:w="0" w:type="dxa"/>
              <w:right w:w="108" w:type="dxa"/>
            </w:tcMar>
            <w:vAlign w:val="center"/>
          </w:tcPr>
          <w:p w14:paraId="15259B03">
            <w:pPr>
              <w:pStyle w:val="7"/>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2A99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22BE3183">
            <w:pPr>
              <w:pStyle w:val="38"/>
              <w:spacing w:line="300" w:lineRule="auto"/>
              <w:ind w:right="3" w:hanging="10"/>
              <w:jc w:val="center"/>
              <w:rPr>
                <w:color w:val="auto"/>
                <w:szCs w:val="21"/>
                <w:highlight w:val="none"/>
              </w:rPr>
            </w:pPr>
            <w:r>
              <w:rPr>
                <w:rFonts w:hint="eastAsia"/>
                <w:color w:val="auto"/>
                <w:szCs w:val="21"/>
                <w:highlight w:val="none"/>
              </w:rPr>
              <w:t>附加条件</w:t>
            </w:r>
          </w:p>
        </w:tc>
        <w:tc>
          <w:tcPr>
            <w:tcW w:w="7183" w:type="dxa"/>
            <w:noWrap w:val="0"/>
            <w:tcMar>
              <w:top w:w="57" w:type="dxa"/>
              <w:left w:w="108" w:type="dxa"/>
              <w:bottom w:w="0" w:type="dxa"/>
              <w:right w:w="108" w:type="dxa"/>
            </w:tcMar>
            <w:vAlign w:val="center"/>
          </w:tcPr>
          <w:p w14:paraId="2D40AB1D">
            <w:pPr>
              <w:pStyle w:val="7"/>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41DA1E44">
      <w:pPr>
        <w:pStyle w:val="22"/>
        <w:spacing w:before="0" w:beforeAutospacing="0" w:after="0" w:afterAutospacing="0" w:line="360" w:lineRule="auto"/>
        <w:ind w:firstLine="482" w:firstLineChars="200"/>
        <w:jc w:val="both"/>
        <w:rPr>
          <w:rFonts w:hint="default" w:cs="宋体"/>
          <w:color w:val="auto"/>
          <w:highlight w:val="none"/>
        </w:rPr>
      </w:pPr>
      <w:r>
        <w:rPr>
          <w:b/>
          <w:bCs/>
          <w:color w:val="auto"/>
          <w:highlight w:val="none"/>
        </w:rPr>
        <w:t>（三）</w:t>
      </w:r>
      <w:r>
        <w:rPr>
          <w:rFonts w:hint="eastAsia"/>
          <w:b/>
          <w:bCs/>
          <w:color w:val="auto"/>
          <w:highlight w:val="none"/>
          <w:lang w:val="en-US" w:eastAsia="zh-CN"/>
        </w:rPr>
        <w:t>商务与技术</w:t>
      </w:r>
      <w:r>
        <w:rPr>
          <w:rFonts w:ascii="Arial" w:hAnsi="Arial" w:cs="Arial"/>
          <w:b/>
          <w:bCs/>
          <w:color w:val="auto"/>
          <w:highlight w:val="none"/>
        </w:rPr>
        <w:t>及</w:t>
      </w:r>
      <w:r>
        <w:rPr>
          <w:rFonts w:hint="eastAsia" w:ascii="Arial" w:hAnsi="Arial" w:cs="Arial"/>
          <w:b/>
          <w:bCs/>
          <w:color w:val="auto"/>
          <w:highlight w:val="none"/>
          <w:lang w:val="en-US" w:eastAsia="zh-CN"/>
        </w:rPr>
        <w:t>报价</w:t>
      </w:r>
      <w:r>
        <w:rPr>
          <w:rFonts w:ascii="Arial" w:hAnsi="Arial" w:cs="Arial"/>
          <w:b/>
          <w:bCs/>
          <w:color w:val="auto"/>
          <w:highlight w:val="none"/>
        </w:rPr>
        <w:t>评审</w:t>
      </w:r>
    </w:p>
    <w:p w14:paraId="0E89AF04">
      <w:pPr>
        <w:pStyle w:val="22"/>
        <w:spacing w:before="0" w:beforeAutospacing="0" w:after="0" w:afterAutospacing="0" w:line="360" w:lineRule="auto"/>
        <w:ind w:firstLine="480" w:firstLineChars="200"/>
        <w:jc w:val="both"/>
        <w:rPr>
          <w:color w:val="auto"/>
          <w:highlight w:val="none"/>
        </w:rPr>
      </w:pPr>
      <w:r>
        <w:rPr>
          <w:color w:val="auto"/>
          <w:highlight w:val="none"/>
        </w:rPr>
        <w:t>项目评标方法为综合评分法，</w:t>
      </w:r>
      <w:r>
        <w:rPr>
          <w:rFonts w:hint="eastAsia"/>
          <w:color w:val="auto"/>
          <w:highlight w:val="none"/>
          <w:lang w:val="en-US" w:eastAsia="zh-CN"/>
        </w:rPr>
        <w:t>商务与技术分90分，报价分10分，</w:t>
      </w:r>
      <w:r>
        <w:rPr>
          <w:color w:val="auto"/>
          <w:highlight w:val="none"/>
        </w:rPr>
        <w:t>总计100分，评标按以下标准及要求进行。</w:t>
      </w:r>
      <w:r>
        <w:rPr>
          <w:rFonts w:cs="宋体"/>
          <w:color w:val="auto"/>
          <w:highlight w:val="none"/>
        </w:rPr>
        <w:t>评标委员会成员按商务与技术文件的评分标准，在分值范围内各自打分。</w:t>
      </w:r>
      <w:r>
        <w:rPr>
          <w:rFonts w:hint="eastAsia" w:cs="宋体"/>
          <w:color w:val="auto"/>
          <w:highlight w:val="none"/>
          <w:lang w:val="en-US" w:eastAsia="zh-CN"/>
        </w:rPr>
        <w:t>商务与技术</w:t>
      </w:r>
      <w:r>
        <w:rPr>
          <w:rFonts w:cs="宋体"/>
          <w:color w:val="auto"/>
          <w:highlight w:val="none"/>
        </w:rPr>
        <w:t>文件分按照评标委员会成员的评分结果取平均值，为供应商的</w:t>
      </w:r>
      <w:r>
        <w:rPr>
          <w:rFonts w:hint="eastAsia" w:cs="宋体"/>
          <w:color w:val="auto"/>
          <w:highlight w:val="none"/>
          <w:lang w:val="en-US" w:eastAsia="zh-CN"/>
        </w:rPr>
        <w:t>商务与技术</w:t>
      </w:r>
      <w:r>
        <w:rPr>
          <w:rFonts w:cs="宋体"/>
          <w:color w:val="auto"/>
          <w:highlight w:val="none"/>
        </w:rPr>
        <w:t>文件得分。（评委评分结果每项保留1位小数，第2位四舍五入；平均值小数点后保留2位，第3位四舍五入）</w:t>
      </w:r>
      <w:r>
        <w:rPr>
          <w:color w:val="auto"/>
          <w:highlight w:val="none"/>
        </w:rPr>
        <w:t>：</w:t>
      </w:r>
    </w:p>
    <w:p w14:paraId="1E5B2788">
      <w:pPr>
        <w:numPr>
          <w:ilvl w:val="0"/>
          <w:numId w:val="0"/>
        </w:numPr>
        <w:autoSpaceDE w:val="0"/>
        <w:autoSpaceDN w:val="0"/>
        <w:adjustRightInd w:val="0"/>
        <w:spacing w:line="360" w:lineRule="auto"/>
        <w:ind w:right="85" w:rightChars="0"/>
        <w:rPr>
          <w:rFonts w:hint="eastAsia" w:ascii="宋体"/>
          <w:b/>
          <w:bCs/>
          <w:color w:val="auto"/>
          <w:sz w:val="24"/>
          <w:highlight w:val="none"/>
          <w:lang w:val="en-US" w:eastAsia="zh-CN"/>
        </w:rPr>
      </w:pPr>
      <w:r>
        <w:rPr>
          <w:rFonts w:hint="eastAsia" w:ascii="宋体"/>
          <w:b/>
          <w:bCs/>
          <w:color w:val="auto"/>
          <w:sz w:val="24"/>
          <w:highlight w:val="none"/>
          <w:lang w:val="en-US" w:eastAsia="zh-CN"/>
        </w:rPr>
        <w:t>1、商务与技术标</w:t>
      </w:r>
    </w:p>
    <w:p w14:paraId="0F8246F0">
      <w:pPr>
        <w:numPr>
          <w:ilvl w:val="0"/>
          <w:numId w:val="0"/>
        </w:numPr>
        <w:autoSpaceDE w:val="0"/>
        <w:autoSpaceDN w:val="0"/>
        <w:adjustRightInd w:val="0"/>
        <w:spacing w:line="360" w:lineRule="auto"/>
        <w:ind w:right="85" w:rightChars="0" w:firstLine="241" w:firstLineChars="100"/>
        <w:rPr>
          <w:rFonts w:hint="eastAsia" w:ascii="宋体"/>
          <w:b/>
          <w:bCs/>
          <w:color w:val="auto"/>
          <w:sz w:val="24"/>
          <w:highlight w:val="none"/>
        </w:rPr>
      </w:pPr>
      <w:r>
        <w:rPr>
          <w:rFonts w:hint="eastAsia" w:ascii="宋体"/>
          <w:b/>
          <w:bCs/>
          <w:color w:val="auto"/>
          <w:sz w:val="24"/>
          <w:highlight w:val="none"/>
          <w:lang w:eastAsia="zh-CN"/>
        </w:rPr>
        <w:t>（</w:t>
      </w:r>
      <w:r>
        <w:rPr>
          <w:rFonts w:hint="eastAsia" w:ascii="宋体"/>
          <w:b/>
          <w:bCs/>
          <w:color w:val="auto"/>
          <w:sz w:val="24"/>
          <w:highlight w:val="none"/>
          <w:lang w:val="en-US" w:eastAsia="zh-CN"/>
        </w:rPr>
        <w:t>1</w:t>
      </w:r>
      <w:r>
        <w:rPr>
          <w:rFonts w:hint="eastAsia" w:ascii="宋体"/>
          <w:b/>
          <w:bCs/>
          <w:color w:val="auto"/>
          <w:sz w:val="24"/>
          <w:highlight w:val="none"/>
          <w:lang w:eastAsia="zh-CN"/>
        </w:rPr>
        <w:t>）</w:t>
      </w:r>
      <w:r>
        <w:rPr>
          <w:rFonts w:hint="eastAsia" w:ascii="宋体"/>
          <w:b/>
          <w:bCs/>
          <w:color w:val="auto"/>
          <w:sz w:val="24"/>
          <w:highlight w:val="none"/>
        </w:rPr>
        <w:t>评分标准</w:t>
      </w:r>
      <w:r>
        <w:rPr>
          <w:rFonts w:hint="eastAsia" w:ascii="宋体"/>
          <w:b/>
          <w:bCs/>
          <w:color w:val="auto"/>
          <w:sz w:val="24"/>
          <w:highlight w:val="none"/>
          <w:lang w:eastAsia="zh-CN"/>
        </w:rPr>
        <w:t>：</w:t>
      </w:r>
    </w:p>
    <w:tbl>
      <w:tblPr>
        <w:tblStyle w:val="25"/>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243"/>
        <w:gridCol w:w="6649"/>
        <w:gridCol w:w="762"/>
      </w:tblGrid>
      <w:tr w14:paraId="1A83F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701" w:type="dxa"/>
            <w:noWrap w:val="0"/>
            <w:vAlign w:val="center"/>
          </w:tcPr>
          <w:p w14:paraId="1D34B061">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序号</w:t>
            </w:r>
          </w:p>
        </w:tc>
        <w:tc>
          <w:tcPr>
            <w:tcW w:w="1243" w:type="dxa"/>
            <w:noWrap w:val="0"/>
            <w:vAlign w:val="center"/>
          </w:tcPr>
          <w:p w14:paraId="3F9E7EA1">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评分内容</w:t>
            </w:r>
          </w:p>
        </w:tc>
        <w:tc>
          <w:tcPr>
            <w:tcW w:w="6649" w:type="dxa"/>
            <w:noWrap w:val="0"/>
            <w:vAlign w:val="center"/>
          </w:tcPr>
          <w:p w14:paraId="6233DB36">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评审细则</w:t>
            </w:r>
          </w:p>
        </w:tc>
        <w:tc>
          <w:tcPr>
            <w:tcW w:w="762" w:type="dxa"/>
            <w:noWrap w:val="0"/>
            <w:vAlign w:val="center"/>
          </w:tcPr>
          <w:p w14:paraId="1DB0FCD5">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分值</w:t>
            </w:r>
          </w:p>
        </w:tc>
      </w:tr>
      <w:tr w14:paraId="53C1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23D42AB1">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c>
          <w:tcPr>
            <w:tcW w:w="1243" w:type="dxa"/>
            <w:tcBorders>
              <w:top w:val="single" w:color="auto" w:sz="4" w:space="0"/>
            </w:tcBorders>
            <w:noWrap w:val="0"/>
            <w:vAlign w:val="center"/>
          </w:tcPr>
          <w:p w14:paraId="70A701E8">
            <w:pPr>
              <w:jc w:val="center"/>
              <w:rPr>
                <w:rFonts w:hint="eastAsia" w:ascii="宋体" w:hAnsi="宋体"/>
                <w:color w:val="auto"/>
                <w:kern w:val="0"/>
                <w:sz w:val="24"/>
                <w:highlight w:val="none"/>
              </w:rPr>
            </w:pPr>
            <w:r>
              <w:rPr>
                <w:rFonts w:hint="eastAsia" w:ascii="宋体" w:hAnsi="宋体"/>
                <w:color w:val="auto"/>
                <w:kern w:val="0"/>
                <w:sz w:val="24"/>
                <w:highlight w:val="none"/>
              </w:rPr>
              <w:t>供应商总</w:t>
            </w:r>
          </w:p>
          <w:p w14:paraId="4524194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rPr>
              <w:t>体情况</w:t>
            </w:r>
          </w:p>
        </w:tc>
        <w:tc>
          <w:tcPr>
            <w:tcW w:w="6649" w:type="dxa"/>
            <w:tcBorders>
              <w:top w:val="single" w:color="000000" w:sz="4" w:space="0"/>
            </w:tcBorders>
            <w:noWrap w:val="0"/>
            <w:vAlign w:val="center"/>
          </w:tcPr>
          <w:p w14:paraId="195BF91B">
            <w:pPr>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质量</w:t>
            </w:r>
            <w:r>
              <w:rPr>
                <w:rFonts w:ascii="宋体" w:hAnsi="宋体" w:cs="宋体"/>
                <w:color w:val="auto"/>
                <w:sz w:val="24"/>
                <w:highlight w:val="none"/>
              </w:rPr>
              <w:t>管理、</w:t>
            </w:r>
            <w:r>
              <w:rPr>
                <w:rFonts w:hint="eastAsia" w:ascii="宋体" w:hAnsi="宋体" w:cs="宋体"/>
                <w:color w:val="auto"/>
                <w:sz w:val="24"/>
                <w:highlight w:val="none"/>
              </w:rPr>
              <w:t>职业健康安全管理</w:t>
            </w:r>
            <w:r>
              <w:rPr>
                <w:rFonts w:ascii="宋体" w:hAnsi="宋体" w:cs="宋体"/>
                <w:color w:val="auto"/>
                <w:sz w:val="24"/>
                <w:highlight w:val="none"/>
              </w:rPr>
              <w:t>、</w:t>
            </w:r>
            <w:r>
              <w:rPr>
                <w:rFonts w:hint="eastAsia" w:ascii="宋体" w:hAnsi="宋体" w:cs="宋体"/>
                <w:color w:val="auto"/>
                <w:sz w:val="24"/>
                <w:highlight w:val="none"/>
              </w:rPr>
              <w:t>环境管理体系认证证书，每个得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kern w:val="0"/>
                <w:sz w:val="24"/>
                <w:highlight w:val="none"/>
              </w:rPr>
              <w:t>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r>
              <w:rPr>
                <w:rFonts w:hint="eastAsia" w:ascii="宋体" w:hAnsi="宋体" w:eastAsia="宋体" w:cs="Times New Roman"/>
                <w:color w:val="auto"/>
                <w:kern w:val="0"/>
                <w:sz w:val="24"/>
                <w:szCs w:val="24"/>
                <w:highlight w:val="none"/>
                <w:lang w:val="en-US" w:eastAsia="zh-CN" w:bidi="ar-SA"/>
              </w:rPr>
              <w:t>。（</w:t>
            </w:r>
            <w:r>
              <w:rPr>
                <w:rFonts w:hint="eastAsia" w:ascii="宋体" w:hAnsi="宋体" w:eastAsia="宋体" w:cs="Times New Roman"/>
                <w:color w:val="auto"/>
                <w:sz w:val="24"/>
                <w:highlight w:val="none"/>
                <w:lang w:val="en-US" w:eastAsia="zh-CN"/>
              </w:rPr>
              <w:t>须提供有效的认证证书复印件</w:t>
            </w:r>
            <w:r>
              <w:rPr>
                <w:rFonts w:hint="eastAsia" w:ascii="宋体" w:hAnsi="宋体" w:cs="Times New Roman"/>
                <w:color w:val="auto"/>
                <w:kern w:val="0"/>
                <w:sz w:val="24"/>
                <w:szCs w:val="24"/>
                <w:highlight w:val="none"/>
                <w:lang w:val="en-US" w:eastAsia="zh-CN" w:bidi="ar-SA"/>
              </w:rPr>
              <w:t>，未提供不得分。）</w:t>
            </w:r>
          </w:p>
        </w:tc>
        <w:tc>
          <w:tcPr>
            <w:tcW w:w="762" w:type="dxa"/>
            <w:tcBorders>
              <w:top w:val="single" w:color="auto" w:sz="4" w:space="0"/>
            </w:tcBorders>
            <w:noWrap w:val="0"/>
            <w:vAlign w:val="center"/>
          </w:tcPr>
          <w:p w14:paraId="71E9EAC7">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3</w:t>
            </w:r>
          </w:p>
        </w:tc>
      </w:tr>
      <w:tr w14:paraId="01DA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3E1636E7">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p>
        </w:tc>
        <w:tc>
          <w:tcPr>
            <w:tcW w:w="1243" w:type="dxa"/>
            <w:tcBorders>
              <w:top w:val="single" w:color="auto" w:sz="4" w:space="0"/>
            </w:tcBorders>
            <w:noWrap w:val="0"/>
            <w:vAlign w:val="center"/>
          </w:tcPr>
          <w:p w14:paraId="3C7F84E6">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类似业绩</w:t>
            </w:r>
          </w:p>
        </w:tc>
        <w:tc>
          <w:tcPr>
            <w:tcW w:w="6649" w:type="dxa"/>
            <w:tcBorders>
              <w:top w:val="single" w:color="000000" w:sz="4" w:space="0"/>
            </w:tcBorders>
            <w:noWrap w:val="0"/>
            <w:vAlign w:val="center"/>
          </w:tcPr>
          <w:p w14:paraId="48612120">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投标人自</w:t>
            </w:r>
            <w:r>
              <w:rPr>
                <w:rFonts w:hint="eastAsia" w:ascii="宋体" w:hAnsi="宋体" w:cs="Times New Roman"/>
                <w:color w:val="auto"/>
                <w:kern w:val="0"/>
                <w:sz w:val="24"/>
                <w:szCs w:val="24"/>
                <w:highlight w:val="none"/>
                <w:lang w:val="en-US" w:eastAsia="zh-CN" w:bidi="ar-SA"/>
              </w:rPr>
              <w:t>2022</w:t>
            </w:r>
            <w:r>
              <w:rPr>
                <w:rFonts w:hint="eastAsia" w:ascii="宋体" w:hAnsi="宋体" w:eastAsia="宋体" w:cs="Times New Roman"/>
                <w:color w:val="auto"/>
                <w:kern w:val="0"/>
                <w:sz w:val="24"/>
                <w:szCs w:val="24"/>
                <w:highlight w:val="none"/>
                <w:lang w:val="en-US" w:eastAsia="zh-CN" w:bidi="ar-SA"/>
              </w:rPr>
              <w:t>年1月</w:t>
            </w:r>
            <w:r>
              <w:rPr>
                <w:rFonts w:hint="eastAsia" w:ascii="宋体" w:hAnsi="宋体" w:cs="Times New Roman"/>
                <w:color w:val="auto"/>
                <w:kern w:val="0"/>
                <w:sz w:val="24"/>
                <w:szCs w:val="24"/>
                <w:highlight w:val="none"/>
                <w:lang w:val="en-US" w:eastAsia="zh-CN" w:bidi="ar-SA"/>
              </w:rPr>
              <w:t>1日</w:t>
            </w:r>
            <w:r>
              <w:rPr>
                <w:rFonts w:hint="eastAsia" w:ascii="宋体" w:hAnsi="宋体" w:eastAsia="宋体" w:cs="Times New Roman"/>
                <w:color w:val="auto"/>
                <w:kern w:val="0"/>
                <w:sz w:val="24"/>
                <w:szCs w:val="24"/>
                <w:highlight w:val="none"/>
                <w:lang w:val="en-US" w:eastAsia="zh-CN" w:bidi="ar-SA"/>
              </w:rPr>
              <w:t>以来（以合同签订时间为准）承担过</w:t>
            </w:r>
            <w:r>
              <w:rPr>
                <w:rFonts w:hint="eastAsia" w:ascii="宋体" w:hAnsi="宋体" w:cs="Times New Roman"/>
                <w:color w:val="auto"/>
                <w:kern w:val="0"/>
                <w:sz w:val="24"/>
                <w:szCs w:val="24"/>
                <w:highlight w:val="none"/>
                <w:lang w:val="en-US" w:eastAsia="zh-CN" w:bidi="ar-SA"/>
              </w:rPr>
              <w:t>与本项目类似</w:t>
            </w:r>
            <w:r>
              <w:rPr>
                <w:rFonts w:hint="eastAsia" w:ascii="宋体" w:hAnsi="宋体" w:eastAsia="宋体" w:cs="Times New Roman"/>
                <w:color w:val="auto"/>
                <w:kern w:val="0"/>
                <w:sz w:val="24"/>
                <w:szCs w:val="24"/>
                <w:highlight w:val="none"/>
                <w:lang w:val="en-US" w:eastAsia="zh-CN" w:bidi="ar-SA"/>
              </w:rPr>
              <w:t>业绩的，每项得</w:t>
            </w:r>
            <w:r>
              <w:rPr>
                <w:rFonts w:hint="eastAsia" w:ascii="宋体" w:hAnsi="宋体" w:cs="Times New Roman"/>
                <w:color w:val="auto"/>
                <w:kern w:val="0"/>
                <w:sz w:val="24"/>
                <w:szCs w:val="24"/>
                <w:highlight w:val="none"/>
                <w:lang w:val="en-US" w:eastAsia="zh-CN" w:bidi="ar-SA"/>
              </w:rPr>
              <w:t>0.5</w:t>
            </w:r>
            <w:r>
              <w:rPr>
                <w:rFonts w:hint="eastAsia" w:ascii="宋体" w:hAnsi="宋体" w:eastAsia="宋体" w:cs="Times New Roman"/>
                <w:color w:val="auto"/>
                <w:kern w:val="0"/>
                <w:sz w:val="24"/>
                <w:szCs w:val="24"/>
                <w:highlight w:val="none"/>
                <w:lang w:val="en-US" w:eastAsia="zh-CN" w:bidi="ar-SA"/>
              </w:rPr>
              <w:t>分，最高得</w:t>
            </w: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分。</w:t>
            </w:r>
          </w:p>
          <w:p w14:paraId="50B7901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（提供业绩合同复印件</w:t>
            </w:r>
            <w:r>
              <w:rPr>
                <w:rFonts w:hint="eastAsia" w:ascii="宋体" w:hAnsi="宋体" w:cs="Times New Roman"/>
                <w:color w:val="auto"/>
                <w:kern w:val="0"/>
                <w:sz w:val="24"/>
                <w:szCs w:val="24"/>
                <w:highlight w:val="none"/>
                <w:lang w:val="en-US" w:eastAsia="zh-CN" w:bidi="ar-SA"/>
              </w:rPr>
              <w:t>，未提供不得分。</w:t>
            </w:r>
            <w:r>
              <w:rPr>
                <w:rFonts w:hint="eastAsia" w:ascii="宋体" w:hAnsi="宋体" w:eastAsia="宋体" w:cs="Times New Roman"/>
                <w:color w:val="auto"/>
                <w:kern w:val="0"/>
                <w:sz w:val="24"/>
                <w:szCs w:val="24"/>
                <w:highlight w:val="none"/>
                <w:lang w:val="en-US" w:eastAsia="zh-CN" w:bidi="ar-SA"/>
              </w:rPr>
              <w:t>）</w:t>
            </w:r>
          </w:p>
        </w:tc>
        <w:tc>
          <w:tcPr>
            <w:tcW w:w="762" w:type="dxa"/>
            <w:tcBorders>
              <w:top w:val="single" w:color="auto" w:sz="4" w:space="0"/>
            </w:tcBorders>
            <w:noWrap w:val="0"/>
            <w:vAlign w:val="center"/>
          </w:tcPr>
          <w:p w14:paraId="6F65D8C2">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r>
      <w:tr w14:paraId="12FFF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3296FC5B">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3</w:t>
            </w:r>
          </w:p>
        </w:tc>
        <w:tc>
          <w:tcPr>
            <w:tcW w:w="1243" w:type="dxa"/>
            <w:noWrap w:val="0"/>
            <w:vAlign w:val="center"/>
          </w:tcPr>
          <w:p w14:paraId="675CAD6C">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项目负责人情况</w:t>
            </w:r>
          </w:p>
        </w:tc>
        <w:tc>
          <w:tcPr>
            <w:tcW w:w="6649" w:type="dxa"/>
            <w:noWrap w:val="0"/>
            <w:vAlign w:val="center"/>
          </w:tcPr>
          <w:p w14:paraId="3801D542">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1.项目负责人具有水利类高级工程师及以上职称的得2分</w:t>
            </w:r>
            <w:r>
              <w:rPr>
                <w:rFonts w:hint="eastAsia" w:ascii="宋体" w:hAnsi="宋体" w:eastAsia="宋体" w:cs="Times New Roman"/>
                <w:color w:val="auto"/>
                <w:kern w:val="0"/>
                <w:sz w:val="24"/>
                <w:szCs w:val="24"/>
                <w:highlight w:val="none"/>
                <w:lang w:val="en-US" w:eastAsia="zh-CN" w:bidi="ar-SA"/>
              </w:rPr>
              <w:t>；</w:t>
            </w:r>
          </w:p>
          <w:p w14:paraId="70921644">
            <w:pP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项目负责人</w:t>
            </w:r>
            <w:r>
              <w:rPr>
                <w:rFonts w:hint="eastAsia" w:ascii="宋体" w:hAnsi="宋体" w:eastAsia="宋体" w:cs="宋体"/>
                <w:color w:val="auto"/>
                <w:sz w:val="24"/>
                <w:szCs w:val="24"/>
                <w:highlight w:val="none"/>
                <w:lang w:val="zh-CN" w:eastAsia="zh-CN"/>
              </w:rPr>
              <w:t>具有注册土木工程师</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水利水电工程</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证书</w:t>
            </w:r>
            <w:r>
              <w:rPr>
                <w:rFonts w:hint="eastAsia" w:ascii="宋体" w:hAnsi="宋体" w:eastAsia="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202CF85C">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w:t>
            </w:r>
            <w:r>
              <w:rPr>
                <w:rFonts w:hint="eastAsia" w:ascii="宋体" w:hAnsi="宋体" w:cs="Times New Roman"/>
                <w:color w:val="auto"/>
                <w:kern w:val="0"/>
                <w:sz w:val="24"/>
                <w:szCs w:val="24"/>
                <w:highlight w:val="none"/>
                <w:lang w:val="en-US" w:eastAsia="zh-CN" w:bidi="ar-SA"/>
              </w:rPr>
              <w:t>清晰复印件</w:t>
            </w:r>
            <w:r>
              <w:rPr>
                <w:rFonts w:hint="eastAsia" w:ascii="宋体" w:hAnsi="宋体" w:eastAsia="宋体" w:cs="Times New Roman"/>
                <w:color w:val="auto"/>
                <w:kern w:val="0"/>
                <w:sz w:val="24"/>
                <w:szCs w:val="24"/>
                <w:highlight w:val="none"/>
                <w:lang w:val="en-US" w:eastAsia="zh-CN" w:bidi="ar-SA"/>
              </w:rPr>
              <w:t>以及投标单位为其缴纳的近三个月中其中一个月社保证明，未提供不得分。）</w:t>
            </w:r>
          </w:p>
        </w:tc>
        <w:tc>
          <w:tcPr>
            <w:tcW w:w="762" w:type="dxa"/>
            <w:tcBorders>
              <w:bottom w:val="single" w:color="auto" w:sz="4" w:space="0"/>
            </w:tcBorders>
            <w:noWrap w:val="0"/>
            <w:vAlign w:val="center"/>
          </w:tcPr>
          <w:p w14:paraId="6BE2FA17">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4</w:t>
            </w:r>
          </w:p>
        </w:tc>
      </w:tr>
      <w:tr w14:paraId="78794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4152E031">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4</w:t>
            </w:r>
          </w:p>
        </w:tc>
        <w:tc>
          <w:tcPr>
            <w:tcW w:w="1243" w:type="dxa"/>
            <w:noWrap w:val="0"/>
            <w:vAlign w:val="center"/>
          </w:tcPr>
          <w:p w14:paraId="77B51E28">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w:t>
            </w:r>
          </w:p>
        </w:tc>
        <w:tc>
          <w:tcPr>
            <w:tcW w:w="6649" w:type="dxa"/>
            <w:noWrap w:val="0"/>
            <w:vAlign w:val="center"/>
          </w:tcPr>
          <w:p w14:paraId="39218A5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项目组成员（项目负责人除外）</w:t>
            </w:r>
          </w:p>
          <w:p w14:paraId="4AF7D631">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具有水利相关专业中级职称证的，每人得1分；</w:t>
            </w:r>
          </w:p>
          <w:p w14:paraId="02714600">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具有水利相关专业高级工程师及以上职称的，每人得2分；</w:t>
            </w:r>
          </w:p>
          <w:p w14:paraId="0D716C81">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本项最高</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4BF754C">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（须提供证书原件清晰复印件以及投标单位为其缴纳的近三个月中其中一个月社保证明，未提供不得分。</w:t>
            </w:r>
            <w:r>
              <w:rPr>
                <w:rFonts w:hint="eastAsia" w:ascii="宋体" w:hAnsi="宋体" w:cs="Times New Roman"/>
                <w:color w:val="auto"/>
                <w:kern w:val="0"/>
                <w:sz w:val="24"/>
                <w:szCs w:val="24"/>
                <w:highlight w:val="none"/>
                <w:lang w:val="en-US" w:eastAsia="zh-CN" w:bidi="ar-SA"/>
              </w:rPr>
              <w:t>）</w:t>
            </w:r>
          </w:p>
        </w:tc>
        <w:tc>
          <w:tcPr>
            <w:tcW w:w="762" w:type="dxa"/>
            <w:tcBorders>
              <w:bottom w:val="single" w:color="auto" w:sz="4" w:space="0"/>
            </w:tcBorders>
            <w:noWrap w:val="0"/>
            <w:vAlign w:val="center"/>
          </w:tcPr>
          <w:p w14:paraId="4CD85E08">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D136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701" w:type="dxa"/>
            <w:noWrap w:val="0"/>
            <w:vAlign w:val="center"/>
          </w:tcPr>
          <w:p w14:paraId="35EAC65D">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w:t>
            </w:r>
          </w:p>
        </w:tc>
        <w:tc>
          <w:tcPr>
            <w:tcW w:w="1243" w:type="dxa"/>
            <w:noWrap w:val="0"/>
            <w:vAlign w:val="center"/>
          </w:tcPr>
          <w:p w14:paraId="675C6825">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服务数量</w:t>
            </w:r>
          </w:p>
        </w:tc>
        <w:tc>
          <w:tcPr>
            <w:tcW w:w="6649" w:type="dxa"/>
            <w:noWrap w:val="0"/>
            <w:vAlign w:val="center"/>
          </w:tcPr>
          <w:p w14:paraId="2C59B389">
            <w:pP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水利工程运行管理抽查指导中</w:t>
            </w:r>
            <w:r>
              <w:rPr>
                <w:rFonts w:hint="eastAsia" w:ascii="宋体" w:hAnsi="宋体" w:cs="Times New Roman"/>
                <w:color w:val="auto"/>
                <w:kern w:val="0"/>
                <w:sz w:val="24"/>
                <w:szCs w:val="24"/>
                <w:highlight w:val="none"/>
                <w:lang w:val="en-US" w:eastAsia="zh-CN" w:bidi="ar-SA"/>
              </w:rPr>
              <w:t>大中型水库每增加1个得1分，小型水库、海塘水闸每增加2个得1分，最高得4分。</w:t>
            </w:r>
          </w:p>
          <w:p w14:paraId="1567A509">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r>
              <w:rPr>
                <w:rFonts w:hint="default" w:ascii="宋体" w:hAnsi="宋体" w:cs="Times New Roman"/>
                <w:color w:val="auto"/>
                <w:kern w:val="0"/>
                <w:sz w:val="24"/>
                <w:szCs w:val="24"/>
                <w:highlight w:val="none"/>
                <w:lang w:val="en-US" w:eastAsia="zh-CN" w:bidi="ar-SA"/>
              </w:rPr>
              <w:t>水利工程安全鉴定抽查复核数量</w:t>
            </w:r>
            <w:r>
              <w:rPr>
                <w:rFonts w:hint="eastAsia" w:ascii="宋体" w:hAnsi="宋体" w:cs="Times New Roman"/>
                <w:color w:val="auto"/>
                <w:kern w:val="0"/>
                <w:sz w:val="24"/>
                <w:szCs w:val="24"/>
                <w:highlight w:val="none"/>
                <w:lang w:val="en-US" w:eastAsia="zh-CN" w:bidi="ar-SA"/>
              </w:rPr>
              <w:t>每增加1个得1分，最高得2分</w:t>
            </w:r>
            <w:r>
              <w:rPr>
                <w:rFonts w:hint="default" w:ascii="宋体" w:hAnsi="宋体" w:cs="Times New Roman"/>
                <w:color w:val="auto"/>
                <w:kern w:val="0"/>
                <w:sz w:val="24"/>
                <w:szCs w:val="24"/>
                <w:highlight w:val="none"/>
                <w:lang w:val="en-US" w:eastAsia="zh-CN" w:bidi="ar-SA"/>
              </w:rPr>
              <w:t>。</w:t>
            </w:r>
          </w:p>
        </w:tc>
        <w:tc>
          <w:tcPr>
            <w:tcW w:w="762" w:type="dxa"/>
            <w:tcBorders>
              <w:bottom w:val="single" w:color="auto" w:sz="4" w:space="0"/>
            </w:tcBorders>
            <w:noWrap w:val="0"/>
            <w:vAlign w:val="center"/>
          </w:tcPr>
          <w:p w14:paraId="2D2E6DD6">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1E7F6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701" w:type="dxa"/>
            <w:noWrap w:val="0"/>
            <w:vAlign w:val="center"/>
          </w:tcPr>
          <w:p w14:paraId="1738231E">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c>
          <w:tcPr>
            <w:tcW w:w="1243" w:type="dxa"/>
            <w:noWrap w:val="0"/>
            <w:vAlign w:val="center"/>
          </w:tcPr>
          <w:p w14:paraId="682DC894">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工作基础</w:t>
            </w:r>
          </w:p>
        </w:tc>
        <w:tc>
          <w:tcPr>
            <w:tcW w:w="6649" w:type="dxa"/>
            <w:noWrap w:val="0"/>
            <w:vAlign w:val="center"/>
          </w:tcPr>
          <w:p w14:paraId="53E4267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bidi="ar-SA"/>
              </w:rPr>
              <w:t>工作</w:t>
            </w:r>
            <w:r>
              <w:rPr>
                <w:rFonts w:hint="eastAsia" w:ascii="宋体" w:hAnsi="宋体" w:cs="宋体"/>
                <w:color w:val="auto"/>
                <w:sz w:val="24"/>
                <w:szCs w:val="24"/>
                <w:highlight w:val="none"/>
                <w:lang w:val="en-US" w:eastAsia="zh-CN" w:bidi="ar-SA"/>
              </w:rPr>
              <w:t>基础的熟悉掌握情况</w:t>
            </w:r>
            <w:r>
              <w:rPr>
                <w:rFonts w:hint="eastAsia" w:ascii="宋体" w:hAnsi="宋体" w:eastAsia="宋体" w:cs="宋体"/>
                <w:color w:val="auto"/>
                <w:sz w:val="24"/>
                <w:szCs w:val="24"/>
                <w:highlight w:val="none"/>
                <w:lang w:val="en-US" w:eastAsia="zh-CN"/>
              </w:rPr>
              <w:t>进行综合评审</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bidi="ar-SA"/>
              </w:rPr>
              <w:t>包括本项目工作的文件规范等依据及要点、水利工程管理现状等</w:t>
            </w:r>
            <w:r>
              <w:rPr>
                <w:rFonts w:hint="eastAsia" w:ascii="宋体" w:hAnsi="宋体" w:eastAsia="宋体" w:cs="宋体"/>
                <w:color w:val="auto"/>
                <w:sz w:val="24"/>
                <w:szCs w:val="24"/>
                <w:highlight w:val="none"/>
                <w:lang w:val="en-US" w:eastAsia="zh-CN"/>
              </w:rPr>
              <w:t>。</w:t>
            </w:r>
          </w:p>
          <w:p w14:paraId="5BFEA0E7">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shd w:val="clear" w:color="auto" w:fill="auto"/>
                <w:lang w:val="en-US" w:eastAsia="zh-CN"/>
              </w:rPr>
              <w:t>.对</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bidi="ar-SA"/>
              </w:rPr>
              <w:t>工作</w:t>
            </w:r>
            <w:r>
              <w:rPr>
                <w:rFonts w:hint="eastAsia" w:ascii="宋体" w:hAnsi="宋体" w:cs="宋体"/>
                <w:color w:val="auto"/>
                <w:sz w:val="24"/>
                <w:szCs w:val="24"/>
                <w:highlight w:val="none"/>
                <w:lang w:val="en-US" w:eastAsia="zh-CN" w:bidi="ar-SA"/>
              </w:rPr>
              <w:t>基础掌握全面准确、重点清晰</w:t>
            </w:r>
            <w:r>
              <w:rPr>
                <w:rFonts w:hint="eastAsia" w:ascii="宋体" w:hAnsi="宋体" w:eastAsia="宋体" w:cs="宋体"/>
                <w:color w:val="auto"/>
                <w:sz w:val="24"/>
                <w:szCs w:val="24"/>
                <w:highlight w:val="none"/>
                <w:shd w:val="clear" w:color="auto" w:fill="auto"/>
                <w:lang w:val="en-US" w:eastAsia="zh-CN"/>
              </w:rPr>
              <w:t>，得</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分；</w:t>
            </w:r>
          </w:p>
          <w:p w14:paraId="187E963C">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2.对</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bidi="ar-SA"/>
              </w:rPr>
              <w:t>工作</w:t>
            </w:r>
            <w:r>
              <w:rPr>
                <w:rFonts w:hint="eastAsia" w:ascii="宋体" w:hAnsi="宋体" w:cs="宋体"/>
                <w:color w:val="auto"/>
                <w:sz w:val="24"/>
                <w:szCs w:val="24"/>
                <w:highlight w:val="none"/>
                <w:lang w:val="en-US" w:eastAsia="zh-CN" w:bidi="ar-SA"/>
              </w:rPr>
              <w:t>基础掌握比较全面准确、重点比较清晰</w:t>
            </w:r>
            <w:r>
              <w:rPr>
                <w:rFonts w:hint="eastAsia" w:ascii="宋体" w:hAnsi="宋体" w:eastAsia="宋体" w:cs="宋体"/>
                <w:color w:val="auto"/>
                <w:sz w:val="24"/>
                <w:szCs w:val="24"/>
                <w:highlight w:val="none"/>
                <w:shd w:val="clear" w:color="auto" w:fill="auto"/>
                <w:lang w:val="en-US" w:eastAsia="zh-CN"/>
              </w:rPr>
              <w:t>，得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分；</w:t>
            </w:r>
          </w:p>
          <w:p w14:paraId="268EF2D9">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3.对</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bidi="ar-SA"/>
              </w:rPr>
              <w:t>工作</w:t>
            </w:r>
            <w:r>
              <w:rPr>
                <w:rFonts w:hint="eastAsia" w:ascii="宋体" w:hAnsi="宋体" w:cs="宋体"/>
                <w:color w:val="auto"/>
                <w:sz w:val="24"/>
                <w:szCs w:val="24"/>
                <w:highlight w:val="none"/>
                <w:lang w:val="en-US" w:eastAsia="zh-CN" w:bidi="ar-SA"/>
              </w:rPr>
              <w:t>基础掌握情况一般，不够全面准确或重点不够清晰</w:t>
            </w:r>
            <w:r>
              <w:rPr>
                <w:rFonts w:hint="eastAsia" w:ascii="宋体" w:hAnsi="宋体" w:eastAsia="宋体" w:cs="宋体"/>
                <w:color w:val="auto"/>
                <w:sz w:val="24"/>
                <w:szCs w:val="24"/>
                <w:highlight w:val="none"/>
                <w:shd w:val="clear" w:color="auto" w:fill="auto"/>
                <w:lang w:val="en-US" w:eastAsia="zh-CN"/>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分；</w:t>
            </w:r>
          </w:p>
          <w:p w14:paraId="54F9E125">
            <w:pPr>
              <w:rPr>
                <w:rFonts w:hint="eastAsia" w:ascii="宋体" w:hAnsi="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4.未提供不得分。</w:t>
            </w:r>
          </w:p>
        </w:tc>
        <w:tc>
          <w:tcPr>
            <w:tcW w:w="762" w:type="dxa"/>
            <w:tcBorders>
              <w:bottom w:val="single" w:color="auto" w:sz="4" w:space="0"/>
            </w:tcBorders>
            <w:noWrap w:val="0"/>
            <w:vAlign w:val="center"/>
          </w:tcPr>
          <w:p w14:paraId="4B251BDD">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626E7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vMerge w:val="restart"/>
            <w:noWrap w:val="0"/>
            <w:vAlign w:val="center"/>
          </w:tcPr>
          <w:p w14:paraId="5A7D0BFA">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c>
          <w:tcPr>
            <w:tcW w:w="1243" w:type="dxa"/>
            <w:vMerge w:val="restart"/>
            <w:noWrap w:val="0"/>
            <w:vAlign w:val="center"/>
          </w:tcPr>
          <w:p w14:paraId="45B23E27">
            <w:pPr>
              <w:jc w:val="center"/>
              <w:rPr>
                <w:rFonts w:hint="eastAsia" w:ascii="宋体" w:hAnsi="宋体"/>
                <w:color w:val="auto"/>
                <w:kern w:val="0"/>
                <w:sz w:val="24"/>
                <w:highlight w:val="none"/>
              </w:rPr>
            </w:pPr>
            <w:r>
              <w:rPr>
                <w:rFonts w:hint="eastAsia" w:ascii="宋体" w:hAnsi="宋体"/>
                <w:color w:val="auto"/>
                <w:kern w:val="0"/>
                <w:sz w:val="24"/>
                <w:highlight w:val="none"/>
              </w:rPr>
              <w:t>项目重难点分析</w:t>
            </w:r>
          </w:p>
        </w:tc>
        <w:tc>
          <w:tcPr>
            <w:tcW w:w="6649" w:type="dxa"/>
            <w:noWrap w:val="0"/>
            <w:vAlign w:val="center"/>
          </w:tcPr>
          <w:p w14:paraId="134C81C9">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根据供应商对本项目重难点把握进行分析。</w:t>
            </w:r>
          </w:p>
          <w:p w14:paraId="4B561E6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本项目重难点把握</w:t>
            </w:r>
            <w:r>
              <w:rPr>
                <w:rFonts w:hint="eastAsia" w:ascii="宋体" w:hAnsi="宋体" w:cs="宋体"/>
                <w:color w:val="auto"/>
                <w:sz w:val="24"/>
                <w:szCs w:val="24"/>
                <w:highlight w:val="none"/>
                <w:shd w:val="clear" w:color="auto" w:fill="auto"/>
                <w:lang w:val="en-US" w:eastAsia="zh-CN"/>
              </w:rPr>
              <w:t>准确、</w:t>
            </w:r>
            <w:r>
              <w:rPr>
                <w:rFonts w:hint="eastAsia" w:ascii="宋体" w:hAnsi="宋体" w:cs="Times New Roman"/>
                <w:color w:val="auto"/>
                <w:kern w:val="0"/>
                <w:sz w:val="24"/>
                <w:szCs w:val="24"/>
                <w:highlight w:val="none"/>
                <w:lang w:val="en-US" w:eastAsia="zh-CN" w:bidi="ar-SA"/>
              </w:rPr>
              <w:t>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64409E25">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本项目重难点把握</w:t>
            </w:r>
            <w:r>
              <w:rPr>
                <w:rFonts w:hint="eastAsia" w:ascii="宋体" w:hAnsi="宋体" w:cs="宋体"/>
                <w:color w:val="auto"/>
                <w:sz w:val="24"/>
                <w:szCs w:val="24"/>
                <w:highlight w:val="none"/>
                <w:shd w:val="clear" w:color="auto" w:fill="auto"/>
                <w:lang w:val="en-US" w:eastAsia="zh-CN"/>
              </w:rPr>
              <w:t>较准确、</w:t>
            </w:r>
            <w:r>
              <w:rPr>
                <w:rFonts w:hint="eastAsia" w:ascii="宋体" w:hAnsi="宋体" w:cs="Times New Roman"/>
                <w:color w:val="auto"/>
                <w:kern w:val="0"/>
                <w:sz w:val="24"/>
                <w:szCs w:val="24"/>
                <w:highlight w:val="none"/>
                <w:lang w:val="en-US" w:eastAsia="zh-CN" w:bidi="ar-SA"/>
              </w:rPr>
              <w:t>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12694FA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本项目重难点把握</w:t>
            </w:r>
            <w:r>
              <w:rPr>
                <w:rFonts w:hint="eastAsia" w:ascii="宋体" w:hAnsi="宋体" w:cs="宋体"/>
                <w:color w:val="auto"/>
                <w:sz w:val="24"/>
                <w:szCs w:val="24"/>
                <w:highlight w:val="none"/>
                <w:shd w:val="clear" w:color="auto" w:fill="auto"/>
                <w:lang w:val="en-US" w:eastAsia="zh-CN"/>
              </w:rPr>
              <w:t>欠准确、</w:t>
            </w:r>
            <w:r>
              <w:rPr>
                <w:rFonts w:hint="eastAsia" w:ascii="宋体" w:hAnsi="宋体" w:cs="Times New Roman"/>
                <w:color w:val="auto"/>
                <w:kern w:val="0"/>
                <w:sz w:val="24"/>
                <w:szCs w:val="24"/>
                <w:highlight w:val="none"/>
                <w:lang w:val="en-US" w:eastAsia="zh-CN" w:bidi="ar-SA"/>
              </w:rPr>
              <w:t>欠合理的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3A105D3E">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0C245A45">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32ACB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vMerge w:val="continue"/>
            <w:noWrap w:val="0"/>
            <w:vAlign w:val="center"/>
          </w:tcPr>
          <w:p w14:paraId="654D713E">
            <w:pPr>
              <w:jc w:val="center"/>
              <w:rPr>
                <w:rFonts w:hint="eastAsia" w:ascii="宋体" w:hAnsi="宋体" w:cs="Times New Roman"/>
                <w:color w:val="auto"/>
                <w:kern w:val="0"/>
                <w:sz w:val="24"/>
                <w:szCs w:val="24"/>
                <w:highlight w:val="none"/>
                <w:lang w:val="en-US" w:eastAsia="zh-CN" w:bidi="ar-SA"/>
              </w:rPr>
            </w:pPr>
          </w:p>
        </w:tc>
        <w:tc>
          <w:tcPr>
            <w:tcW w:w="1243" w:type="dxa"/>
            <w:vMerge w:val="continue"/>
            <w:noWrap w:val="0"/>
            <w:vAlign w:val="center"/>
          </w:tcPr>
          <w:p w14:paraId="5CDFB60B">
            <w:pPr>
              <w:jc w:val="center"/>
              <w:rPr>
                <w:rFonts w:hint="eastAsia" w:ascii="宋体" w:hAnsi="宋体"/>
                <w:color w:val="auto"/>
                <w:kern w:val="0"/>
                <w:sz w:val="24"/>
                <w:highlight w:val="none"/>
              </w:rPr>
            </w:pPr>
          </w:p>
        </w:tc>
        <w:tc>
          <w:tcPr>
            <w:tcW w:w="6649" w:type="dxa"/>
            <w:noWrap w:val="0"/>
            <w:vAlign w:val="center"/>
          </w:tcPr>
          <w:p w14:paraId="67DC355A">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根据供应商对本项目对</w:t>
            </w:r>
            <w:r>
              <w:rPr>
                <w:rFonts w:hint="eastAsia" w:ascii="宋体" w:hAnsi="宋体" w:eastAsia="宋体" w:cs="Times New Roman"/>
                <w:color w:val="auto"/>
                <w:kern w:val="0"/>
                <w:sz w:val="24"/>
                <w:szCs w:val="24"/>
                <w:highlight w:val="none"/>
                <w:lang w:val="en-US" w:eastAsia="zh-CN" w:bidi="ar-SA"/>
              </w:rPr>
              <w:t>水利工程运行管理</w:t>
            </w:r>
            <w:r>
              <w:rPr>
                <w:rFonts w:hint="eastAsia" w:ascii="宋体" w:hAnsi="宋体" w:cs="Times New Roman"/>
                <w:color w:val="auto"/>
                <w:kern w:val="0"/>
                <w:sz w:val="24"/>
                <w:szCs w:val="24"/>
                <w:highlight w:val="none"/>
                <w:lang w:val="en-US" w:eastAsia="zh-CN" w:bidi="ar-SA"/>
              </w:rPr>
              <w:t>和</w:t>
            </w:r>
            <w:r>
              <w:rPr>
                <w:rFonts w:hint="default" w:ascii="宋体" w:hAnsi="宋体" w:cs="Times New Roman"/>
                <w:color w:val="auto"/>
                <w:kern w:val="0"/>
                <w:sz w:val="24"/>
                <w:szCs w:val="24"/>
                <w:highlight w:val="none"/>
                <w:lang w:val="en-US" w:eastAsia="zh-CN" w:bidi="ar-SA"/>
              </w:rPr>
              <w:t>安全鉴定</w:t>
            </w:r>
            <w:r>
              <w:rPr>
                <w:rFonts w:hint="eastAsia" w:ascii="宋体" w:hAnsi="宋体" w:cs="Times New Roman"/>
                <w:color w:val="auto"/>
                <w:kern w:val="0"/>
                <w:sz w:val="24"/>
                <w:szCs w:val="24"/>
                <w:highlight w:val="none"/>
                <w:lang w:val="en-US" w:eastAsia="zh-CN" w:bidi="ar-SA"/>
              </w:rPr>
              <w:t>可能</w:t>
            </w:r>
            <w:r>
              <w:rPr>
                <w:rFonts w:hint="eastAsia" w:ascii="宋体" w:hAnsi="宋体" w:eastAsia="宋体" w:cs="宋体"/>
                <w:color w:val="auto"/>
                <w:sz w:val="24"/>
                <w:szCs w:val="24"/>
                <w:highlight w:val="none"/>
                <w:shd w:val="clear" w:color="auto" w:fill="auto"/>
                <w:lang w:val="en-US" w:eastAsia="zh-CN"/>
              </w:rPr>
              <w:t>存在的</w:t>
            </w:r>
            <w:r>
              <w:rPr>
                <w:rFonts w:hint="eastAsia" w:ascii="宋体" w:hAnsi="宋体" w:cs="宋体"/>
                <w:color w:val="auto"/>
                <w:sz w:val="24"/>
                <w:szCs w:val="24"/>
                <w:highlight w:val="none"/>
                <w:shd w:val="clear" w:color="auto" w:fill="auto"/>
                <w:lang w:val="en-US" w:eastAsia="zh-CN"/>
              </w:rPr>
              <w:t>主要</w:t>
            </w:r>
            <w:r>
              <w:rPr>
                <w:rFonts w:hint="eastAsia" w:ascii="宋体" w:hAnsi="宋体" w:eastAsia="宋体" w:cs="宋体"/>
                <w:color w:val="auto"/>
                <w:sz w:val="24"/>
                <w:szCs w:val="24"/>
                <w:highlight w:val="none"/>
                <w:shd w:val="clear" w:color="auto" w:fill="auto"/>
                <w:lang w:val="en-US" w:eastAsia="zh-CN"/>
              </w:rPr>
              <w:t>问题进行分析。</w:t>
            </w:r>
          </w:p>
          <w:p w14:paraId="2B2A4896">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w:t>
            </w:r>
            <w:r>
              <w:rPr>
                <w:rFonts w:hint="eastAsia" w:ascii="宋体" w:hAnsi="宋体" w:eastAsia="宋体" w:cs="Times New Roman"/>
                <w:color w:val="auto"/>
                <w:kern w:val="0"/>
                <w:sz w:val="24"/>
                <w:szCs w:val="24"/>
                <w:highlight w:val="none"/>
                <w:lang w:val="en-US" w:eastAsia="zh-CN" w:bidi="ar-SA"/>
              </w:rPr>
              <w:t>水利工程运行管理</w:t>
            </w:r>
            <w:r>
              <w:rPr>
                <w:rFonts w:hint="eastAsia" w:ascii="宋体" w:hAnsi="宋体" w:cs="Times New Roman"/>
                <w:color w:val="auto"/>
                <w:kern w:val="0"/>
                <w:sz w:val="24"/>
                <w:szCs w:val="24"/>
                <w:highlight w:val="none"/>
                <w:lang w:val="en-US" w:eastAsia="zh-CN" w:bidi="ar-SA"/>
              </w:rPr>
              <w:t>和</w:t>
            </w:r>
            <w:r>
              <w:rPr>
                <w:rFonts w:hint="default" w:ascii="宋体" w:hAnsi="宋体" w:cs="Times New Roman"/>
                <w:color w:val="auto"/>
                <w:kern w:val="0"/>
                <w:sz w:val="24"/>
                <w:szCs w:val="24"/>
                <w:highlight w:val="none"/>
                <w:lang w:val="en-US" w:eastAsia="zh-CN" w:bidi="ar-SA"/>
              </w:rPr>
              <w:t>安全鉴定</w:t>
            </w:r>
            <w:r>
              <w:rPr>
                <w:rFonts w:hint="eastAsia" w:ascii="宋体" w:hAnsi="宋体" w:eastAsia="宋体" w:cs="宋体"/>
                <w:color w:val="auto"/>
                <w:sz w:val="24"/>
                <w:szCs w:val="24"/>
                <w:highlight w:val="none"/>
                <w:shd w:val="clear" w:color="auto" w:fill="auto"/>
                <w:lang w:val="en-US" w:eastAsia="zh-CN"/>
              </w:rPr>
              <w:t>存在的问题</w:t>
            </w:r>
            <w:r>
              <w:rPr>
                <w:rFonts w:hint="eastAsia" w:ascii="宋体" w:hAnsi="宋体" w:cs="Times New Roman"/>
                <w:color w:val="auto"/>
                <w:kern w:val="0"/>
                <w:sz w:val="24"/>
                <w:szCs w:val="24"/>
                <w:highlight w:val="none"/>
                <w:lang w:val="en-US" w:eastAsia="zh-CN" w:bidi="ar-SA"/>
              </w:rPr>
              <w:t>分析合理的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659A6A4E">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w:t>
            </w:r>
            <w:r>
              <w:rPr>
                <w:rFonts w:hint="eastAsia" w:ascii="宋体" w:hAnsi="宋体" w:eastAsia="宋体" w:cs="Times New Roman"/>
                <w:color w:val="auto"/>
                <w:kern w:val="0"/>
                <w:sz w:val="24"/>
                <w:szCs w:val="24"/>
                <w:highlight w:val="none"/>
                <w:lang w:val="en-US" w:eastAsia="zh-CN" w:bidi="ar-SA"/>
              </w:rPr>
              <w:t>水利工程运行管理</w:t>
            </w:r>
            <w:r>
              <w:rPr>
                <w:rFonts w:hint="eastAsia" w:ascii="宋体" w:hAnsi="宋体" w:cs="Times New Roman"/>
                <w:color w:val="auto"/>
                <w:kern w:val="0"/>
                <w:sz w:val="24"/>
                <w:szCs w:val="24"/>
                <w:highlight w:val="none"/>
                <w:lang w:val="en-US" w:eastAsia="zh-CN" w:bidi="ar-SA"/>
              </w:rPr>
              <w:t>和</w:t>
            </w:r>
            <w:r>
              <w:rPr>
                <w:rFonts w:hint="default" w:ascii="宋体" w:hAnsi="宋体" w:cs="Times New Roman"/>
                <w:color w:val="auto"/>
                <w:kern w:val="0"/>
                <w:sz w:val="24"/>
                <w:szCs w:val="24"/>
                <w:highlight w:val="none"/>
                <w:lang w:val="en-US" w:eastAsia="zh-CN" w:bidi="ar-SA"/>
              </w:rPr>
              <w:t>安全鉴定</w:t>
            </w:r>
            <w:r>
              <w:rPr>
                <w:rFonts w:hint="eastAsia" w:ascii="宋体" w:hAnsi="宋体" w:eastAsia="宋体" w:cs="宋体"/>
                <w:color w:val="auto"/>
                <w:sz w:val="24"/>
                <w:szCs w:val="24"/>
                <w:highlight w:val="none"/>
                <w:shd w:val="clear" w:color="auto" w:fill="auto"/>
                <w:lang w:val="en-US" w:eastAsia="zh-CN"/>
              </w:rPr>
              <w:t>存在的问题</w:t>
            </w:r>
            <w:r>
              <w:rPr>
                <w:rFonts w:hint="eastAsia" w:ascii="宋体" w:hAnsi="宋体" w:cs="Times New Roman"/>
                <w:color w:val="auto"/>
                <w:kern w:val="0"/>
                <w:sz w:val="24"/>
                <w:szCs w:val="24"/>
                <w:highlight w:val="none"/>
                <w:lang w:val="en-US" w:eastAsia="zh-CN" w:bidi="ar-SA"/>
              </w:rPr>
              <w:t>分析较合理的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2182FA4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color w:val="auto"/>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本项目</w:t>
            </w:r>
            <w:r>
              <w:rPr>
                <w:rFonts w:hint="eastAsia" w:ascii="宋体" w:hAnsi="宋体" w:eastAsia="宋体" w:cs="Times New Roman"/>
                <w:color w:val="auto"/>
                <w:kern w:val="0"/>
                <w:sz w:val="24"/>
                <w:szCs w:val="24"/>
                <w:highlight w:val="none"/>
                <w:lang w:val="en-US" w:eastAsia="zh-CN" w:bidi="ar-SA"/>
              </w:rPr>
              <w:t>水利工程运行管理</w:t>
            </w:r>
            <w:r>
              <w:rPr>
                <w:rFonts w:hint="eastAsia" w:ascii="宋体" w:hAnsi="宋体" w:cs="Times New Roman"/>
                <w:color w:val="auto"/>
                <w:kern w:val="0"/>
                <w:sz w:val="24"/>
                <w:szCs w:val="24"/>
                <w:highlight w:val="none"/>
                <w:lang w:val="en-US" w:eastAsia="zh-CN" w:bidi="ar-SA"/>
              </w:rPr>
              <w:t>和</w:t>
            </w:r>
            <w:r>
              <w:rPr>
                <w:rFonts w:hint="default" w:ascii="宋体" w:hAnsi="宋体" w:cs="Times New Roman"/>
                <w:color w:val="auto"/>
                <w:kern w:val="0"/>
                <w:sz w:val="24"/>
                <w:szCs w:val="24"/>
                <w:highlight w:val="none"/>
                <w:lang w:val="en-US" w:eastAsia="zh-CN" w:bidi="ar-SA"/>
              </w:rPr>
              <w:t>安全鉴定</w:t>
            </w:r>
            <w:r>
              <w:rPr>
                <w:rFonts w:hint="eastAsia" w:ascii="宋体" w:hAnsi="宋体" w:eastAsia="宋体" w:cs="宋体"/>
                <w:color w:val="auto"/>
                <w:sz w:val="24"/>
                <w:szCs w:val="24"/>
                <w:highlight w:val="none"/>
                <w:shd w:val="clear" w:color="auto" w:fill="auto"/>
                <w:lang w:val="en-US" w:eastAsia="zh-CN"/>
              </w:rPr>
              <w:t>存在的问题</w:t>
            </w:r>
            <w:r>
              <w:rPr>
                <w:rFonts w:hint="eastAsia" w:ascii="宋体" w:hAnsi="宋体" w:cs="Times New Roman"/>
                <w:color w:val="auto"/>
                <w:kern w:val="0"/>
                <w:sz w:val="24"/>
                <w:szCs w:val="24"/>
                <w:highlight w:val="none"/>
                <w:lang w:val="en-US" w:eastAsia="zh-CN" w:bidi="ar-SA"/>
              </w:rPr>
              <w:t>欠合理的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379F9C07">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255B504B">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3760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3" w:hRule="atLeast"/>
          <w:jc w:val="center"/>
        </w:trPr>
        <w:tc>
          <w:tcPr>
            <w:tcW w:w="701" w:type="dxa"/>
            <w:vMerge w:val="restart"/>
            <w:noWrap w:val="0"/>
            <w:vAlign w:val="center"/>
          </w:tcPr>
          <w:p w14:paraId="2EEB7C99">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8</w:t>
            </w:r>
          </w:p>
        </w:tc>
        <w:tc>
          <w:tcPr>
            <w:tcW w:w="1243" w:type="dxa"/>
            <w:vMerge w:val="restart"/>
            <w:noWrap w:val="0"/>
            <w:vAlign w:val="center"/>
          </w:tcPr>
          <w:p w14:paraId="44227C29">
            <w:pPr>
              <w:jc w:val="center"/>
              <w:rPr>
                <w:rFonts w:hint="eastAsia" w:ascii="宋体" w:hAnsi="宋体"/>
                <w:color w:val="auto"/>
                <w:kern w:val="0"/>
                <w:sz w:val="24"/>
                <w:highlight w:val="none"/>
              </w:rPr>
            </w:pPr>
            <w:r>
              <w:rPr>
                <w:rFonts w:hint="eastAsia" w:ascii="宋体" w:hAnsi="宋体" w:cs="Times New Roman"/>
                <w:color w:val="auto"/>
                <w:kern w:val="0"/>
                <w:sz w:val="24"/>
                <w:szCs w:val="24"/>
                <w:highlight w:val="none"/>
                <w:lang w:val="en-US" w:eastAsia="zh-CN" w:bidi="ar-SA"/>
              </w:rPr>
              <w:t>现场工作方案</w:t>
            </w:r>
          </w:p>
        </w:tc>
        <w:tc>
          <w:tcPr>
            <w:tcW w:w="6649" w:type="dxa"/>
            <w:noWrap w:val="0"/>
            <w:vAlign w:val="center"/>
          </w:tcPr>
          <w:p w14:paraId="4EB7B77F">
            <w:pP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根据本项目提供针对本</w:t>
            </w: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现场工作</w:t>
            </w:r>
            <w:r>
              <w:rPr>
                <w:rFonts w:hint="eastAsia" w:ascii="宋体" w:hAnsi="宋体" w:eastAsia="宋体" w:cs="宋体"/>
                <w:b w:val="0"/>
                <w:bCs w:val="0"/>
                <w:color w:val="auto"/>
                <w:sz w:val="24"/>
                <w:szCs w:val="24"/>
                <w:highlight w:val="none"/>
              </w:rPr>
              <w:t>方案</w:t>
            </w:r>
            <w:r>
              <w:rPr>
                <w:rFonts w:hint="eastAsia" w:ascii="宋体" w:hAnsi="宋体" w:eastAsia="宋体" w:cs="宋体"/>
                <w:color w:val="auto"/>
                <w:sz w:val="24"/>
                <w:szCs w:val="24"/>
                <w:highlight w:val="none"/>
                <w:lang w:val="en-US" w:eastAsia="zh-CN"/>
              </w:rPr>
              <w:t>进行综合评审</w:t>
            </w:r>
            <w:r>
              <w:rPr>
                <w:rFonts w:hint="eastAsia" w:ascii="宋体" w:hAnsi="宋体" w:cs="宋体"/>
                <w:color w:val="auto"/>
                <w:sz w:val="24"/>
                <w:szCs w:val="24"/>
                <w:highlight w:val="none"/>
                <w:lang w:val="en-US" w:eastAsia="zh-CN"/>
              </w:rPr>
              <w:t>，包括</w:t>
            </w:r>
            <w:r>
              <w:rPr>
                <w:rFonts w:hint="eastAsia" w:ascii="宋体" w:hAnsi="宋体" w:cs="宋体"/>
                <w:color w:val="auto"/>
                <w:sz w:val="24"/>
                <w:szCs w:val="24"/>
                <w:highlight w:val="none"/>
                <w:lang w:eastAsia="zh-CN"/>
              </w:rPr>
              <w:t>是否</w:t>
            </w:r>
            <w:r>
              <w:rPr>
                <w:rFonts w:hint="eastAsia" w:ascii="宋体" w:hAnsi="宋体" w:eastAsia="宋体" w:cs="宋体"/>
                <w:color w:val="auto"/>
                <w:sz w:val="24"/>
                <w:szCs w:val="24"/>
                <w:highlight w:val="none"/>
              </w:rPr>
              <w:t>符合实际情况和招标文件提出的要求</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内容合理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、条理性</w:t>
            </w:r>
            <w:r>
              <w:rPr>
                <w:rFonts w:hint="eastAsia" w:ascii="宋体" w:hAnsi="宋体" w:eastAsia="宋体" w:cs="宋体"/>
                <w:color w:val="auto"/>
                <w:sz w:val="24"/>
                <w:szCs w:val="24"/>
                <w:highlight w:val="none"/>
                <w:lang w:val="en-US" w:eastAsia="zh-CN"/>
              </w:rPr>
              <w:t>。</w:t>
            </w:r>
          </w:p>
          <w:p w14:paraId="3B066F44">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现场工作</w:t>
            </w:r>
            <w:r>
              <w:rPr>
                <w:rFonts w:hint="eastAsia" w:ascii="宋体" w:hAnsi="宋体" w:eastAsia="宋体" w:cs="宋体"/>
                <w:b w:val="0"/>
                <w:bCs w:val="0"/>
                <w:color w:val="auto"/>
                <w:sz w:val="24"/>
                <w:szCs w:val="24"/>
                <w:highlight w:val="none"/>
              </w:rPr>
              <w:t>方案</w:t>
            </w:r>
            <w:r>
              <w:rPr>
                <w:rFonts w:hint="eastAsia" w:ascii="宋体" w:hAnsi="宋体" w:cs="宋体"/>
                <w:color w:val="auto"/>
                <w:sz w:val="24"/>
                <w:szCs w:val="24"/>
                <w:highlight w:val="none"/>
                <w:lang w:val="en-US" w:eastAsia="zh-CN"/>
              </w:rPr>
              <w:t>符合要求、</w:t>
            </w:r>
            <w:r>
              <w:rPr>
                <w:rFonts w:hint="eastAsia" w:ascii="宋体" w:hAnsi="宋体" w:eastAsia="宋体" w:cs="宋体"/>
                <w:color w:val="auto"/>
                <w:sz w:val="24"/>
                <w:szCs w:val="24"/>
                <w:highlight w:val="none"/>
              </w:rPr>
              <w:t>内容合理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7</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C70CDCA">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现场工作</w:t>
            </w:r>
            <w:r>
              <w:rPr>
                <w:rFonts w:hint="eastAsia" w:ascii="宋体" w:hAnsi="宋体" w:eastAsia="宋体" w:cs="宋体"/>
                <w:b w:val="0"/>
                <w:bCs w:val="0"/>
                <w:color w:val="auto"/>
                <w:sz w:val="24"/>
                <w:szCs w:val="24"/>
                <w:highlight w:val="none"/>
              </w:rPr>
              <w:t>方案</w:t>
            </w:r>
            <w:r>
              <w:rPr>
                <w:rFonts w:hint="eastAsia" w:ascii="宋体" w:hAnsi="宋体" w:cs="宋体"/>
                <w:color w:val="auto"/>
                <w:sz w:val="24"/>
                <w:szCs w:val="24"/>
                <w:highlight w:val="none"/>
                <w:lang w:val="en-US" w:eastAsia="zh-CN"/>
              </w:rPr>
              <w:t>较符合要求、</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p>
          <w:p w14:paraId="6B8B15CA">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现场工作</w:t>
            </w:r>
            <w:r>
              <w:rPr>
                <w:rFonts w:hint="eastAsia" w:ascii="宋体" w:hAnsi="宋体" w:eastAsia="宋体" w:cs="宋体"/>
                <w:b w:val="0"/>
                <w:bCs w:val="0"/>
                <w:color w:val="auto"/>
                <w:sz w:val="24"/>
                <w:szCs w:val="24"/>
                <w:highlight w:val="none"/>
              </w:rPr>
              <w:t>方案</w:t>
            </w:r>
            <w:r>
              <w:rPr>
                <w:rFonts w:hint="eastAsia" w:ascii="宋体" w:hAnsi="宋体" w:cs="宋体"/>
                <w:color w:val="auto"/>
                <w:sz w:val="24"/>
                <w:szCs w:val="24"/>
                <w:highlight w:val="none"/>
                <w:lang w:val="en-US" w:eastAsia="zh-CN"/>
              </w:rPr>
              <w:t>欠符合要求、</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72D1C5CA">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546C2BA5">
            <w:pPr>
              <w:jc w:val="cente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r>
      <w:tr w14:paraId="486B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3" w:hRule="atLeast"/>
          <w:jc w:val="center"/>
        </w:trPr>
        <w:tc>
          <w:tcPr>
            <w:tcW w:w="701" w:type="dxa"/>
            <w:vMerge w:val="continue"/>
            <w:noWrap w:val="0"/>
            <w:vAlign w:val="center"/>
          </w:tcPr>
          <w:p w14:paraId="7AE9DABB">
            <w:pPr>
              <w:jc w:val="center"/>
              <w:rPr>
                <w:rFonts w:hint="eastAsia" w:ascii="宋体" w:hAnsi="宋体" w:cs="Times New Roman"/>
                <w:color w:val="auto"/>
                <w:kern w:val="0"/>
                <w:sz w:val="24"/>
                <w:szCs w:val="24"/>
                <w:highlight w:val="none"/>
                <w:lang w:val="en-US" w:eastAsia="zh-CN" w:bidi="ar-SA"/>
              </w:rPr>
            </w:pPr>
          </w:p>
        </w:tc>
        <w:tc>
          <w:tcPr>
            <w:tcW w:w="1243" w:type="dxa"/>
            <w:vMerge w:val="continue"/>
            <w:noWrap w:val="0"/>
            <w:vAlign w:val="center"/>
          </w:tcPr>
          <w:p w14:paraId="544C1F16">
            <w:pPr>
              <w:jc w:val="center"/>
              <w:rPr>
                <w:rFonts w:hint="eastAsia" w:ascii="宋体" w:hAnsi="宋体" w:cs="Times New Roman"/>
                <w:color w:val="auto"/>
                <w:kern w:val="0"/>
                <w:sz w:val="24"/>
                <w:szCs w:val="24"/>
                <w:highlight w:val="none"/>
                <w:lang w:val="en-US" w:eastAsia="zh-CN" w:bidi="ar-SA"/>
              </w:rPr>
            </w:pPr>
          </w:p>
        </w:tc>
        <w:tc>
          <w:tcPr>
            <w:tcW w:w="6649" w:type="dxa"/>
            <w:noWrap w:val="0"/>
            <w:vAlign w:val="center"/>
          </w:tcPr>
          <w:p w14:paraId="640B1AD0">
            <w:pP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根据本项目提供针对本</w:t>
            </w:r>
            <w:r>
              <w:rPr>
                <w:rFonts w:hint="eastAsia" w:ascii="宋体" w:hAnsi="宋体" w:eastAsia="宋体" w:cs="宋体"/>
                <w:b w:val="0"/>
                <w:bCs w:val="0"/>
                <w:color w:val="auto"/>
                <w:sz w:val="24"/>
                <w:szCs w:val="24"/>
                <w:highlight w:val="none"/>
              </w:rPr>
              <w:t>项目</w:t>
            </w:r>
            <w:r>
              <w:rPr>
                <w:rFonts w:hint="eastAsia" w:ascii="宋体" w:hAnsi="宋体" w:cs="宋体"/>
                <w:b w:val="0"/>
                <w:bCs w:val="0"/>
                <w:color w:val="auto"/>
                <w:sz w:val="24"/>
                <w:szCs w:val="24"/>
                <w:highlight w:val="none"/>
                <w:lang w:val="en-US" w:eastAsia="zh-CN"/>
              </w:rPr>
              <w:t>现场工作</w:t>
            </w:r>
            <w:r>
              <w:rPr>
                <w:rFonts w:hint="eastAsia" w:ascii="宋体" w:hAnsi="宋体" w:eastAsia="宋体" w:cs="宋体"/>
                <w:b w:val="0"/>
                <w:bCs w:val="0"/>
                <w:color w:val="auto"/>
                <w:sz w:val="24"/>
                <w:szCs w:val="24"/>
                <w:highlight w:val="none"/>
              </w:rPr>
              <w:t>方案</w:t>
            </w:r>
            <w:r>
              <w:rPr>
                <w:rFonts w:hint="eastAsia" w:ascii="宋体" w:hAnsi="宋体" w:eastAsia="宋体" w:cs="宋体"/>
                <w:color w:val="auto"/>
                <w:sz w:val="24"/>
                <w:szCs w:val="24"/>
                <w:highlight w:val="none"/>
                <w:lang w:val="en-US" w:eastAsia="zh-CN"/>
              </w:rPr>
              <w:t>进行综合评审</w:t>
            </w:r>
            <w:r>
              <w:rPr>
                <w:rFonts w:hint="eastAsia" w:ascii="宋体" w:hAnsi="宋体" w:cs="宋体"/>
                <w:color w:val="auto"/>
                <w:sz w:val="24"/>
                <w:szCs w:val="24"/>
                <w:highlight w:val="none"/>
                <w:lang w:val="en-US" w:eastAsia="zh-CN"/>
              </w:rPr>
              <w:t>，如</w:t>
            </w:r>
            <w:r>
              <w:rPr>
                <w:rFonts w:hint="eastAsia" w:ascii="宋体" w:hAnsi="宋体" w:cs="宋体"/>
                <w:color w:val="auto"/>
                <w:sz w:val="24"/>
                <w:szCs w:val="24"/>
                <w:highlight w:val="none"/>
                <w:lang w:eastAsia="zh-CN"/>
              </w:rPr>
              <w:t>事前沟通准备、事中处置记录、事后跟踪反馈等</w:t>
            </w:r>
            <w:r>
              <w:rPr>
                <w:rFonts w:hint="eastAsia" w:ascii="宋体" w:hAnsi="宋体" w:eastAsia="宋体" w:cs="宋体"/>
                <w:color w:val="auto"/>
                <w:sz w:val="24"/>
                <w:szCs w:val="24"/>
                <w:highlight w:val="none"/>
              </w:rPr>
              <w:t>内容合理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、条理性</w:t>
            </w:r>
            <w:r>
              <w:rPr>
                <w:rFonts w:hint="eastAsia" w:ascii="宋体" w:hAnsi="宋体" w:eastAsia="宋体" w:cs="宋体"/>
                <w:color w:val="auto"/>
                <w:sz w:val="24"/>
                <w:szCs w:val="24"/>
                <w:highlight w:val="none"/>
                <w:lang w:val="en-US" w:eastAsia="zh-CN"/>
              </w:rPr>
              <w:t>。</w:t>
            </w:r>
          </w:p>
          <w:p w14:paraId="13AF7EB4">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提供针对</w:t>
            </w:r>
            <w:r>
              <w:rPr>
                <w:rFonts w:hint="eastAsia" w:ascii="宋体" w:hAnsi="宋体" w:cs="宋体"/>
                <w:color w:val="auto"/>
                <w:sz w:val="24"/>
                <w:szCs w:val="24"/>
                <w:highlight w:val="none"/>
                <w:lang w:eastAsia="zh-CN"/>
              </w:rPr>
              <w:t>事前沟通准备、事中处置记录、事后跟踪反馈</w:t>
            </w:r>
            <w:r>
              <w:rPr>
                <w:rFonts w:hint="eastAsia" w:ascii="宋体" w:hAnsi="宋体" w:eastAsia="宋体" w:cs="宋体"/>
                <w:color w:val="auto"/>
                <w:sz w:val="24"/>
                <w:szCs w:val="24"/>
                <w:highlight w:val="none"/>
              </w:rPr>
              <w:t>内容合理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7</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7239E62C">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提供针对</w:t>
            </w:r>
            <w:r>
              <w:rPr>
                <w:rFonts w:hint="eastAsia" w:ascii="宋体" w:hAnsi="宋体" w:cs="宋体"/>
                <w:color w:val="auto"/>
                <w:sz w:val="24"/>
                <w:szCs w:val="24"/>
                <w:highlight w:val="none"/>
                <w:lang w:eastAsia="zh-CN"/>
              </w:rPr>
              <w:t>事前沟通准备、事中处置记录、事后跟踪反馈</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p>
          <w:p w14:paraId="12C7B684">
            <w:pPr>
              <w:spacing w:line="24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提供针对</w:t>
            </w:r>
            <w:r>
              <w:rPr>
                <w:rFonts w:hint="eastAsia" w:ascii="宋体" w:hAnsi="宋体" w:cs="宋体"/>
                <w:color w:val="auto"/>
                <w:sz w:val="24"/>
                <w:szCs w:val="24"/>
                <w:highlight w:val="none"/>
                <w:lang w:eastAsia="zh-CN"/>
              </w:rPr>
              <w:t>事前沟通准备、事中处置记录、事后跟踪反馈</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40BB4653">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3FDA0F62">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r>
      <w:tr w14:paraId="2160C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175B970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9</w:t>
            </w:r>
          </w:p>
        </w:tc>
        <w:tc>
          <w:tcPr>
            <w:tcW w:w="1243" w:type="dxa"/>
            <w:vMerge w:val="restart"/>
            <w:noWrap w:val="0"/>
            <w:vAlign w:val="center"/>
          </w:tcPr>
          <w:p w14:paraId="27B0BEA0">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技术路线</w:t>
            </w:r>
          </w:p>
        </w:tc>
        <w:tc>
          <w:tcPr>
            <w:tcW w:w="6649" w:type="dxa"/>
            <w:noWrap w:val="0"/>
            <w:vAlign w:val="center"/>
          </w:tcPr>
          <w:p w14:paraId="6A325FFE">
            <w:pP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承担本项目的优势及工作基础</w:t>
            </w:r>
            <w:r>
              <w:rPr>
                <w:rFonts w:hint="eastAsia" w:ascii="宋体" w:hAnsi="宋体" w:eastAsia="宋体" w:cs="宋体"/>
                <w:color w:val="auto"/>
                <w:sz w:val="24"/>
                <w:szCs w:val="24"/>
                <w:highlight w:val="none"/>
                <w:lang w:val="en-US" w:eastAsia="zh-CN" w:bidi="ar-SA"/>
              </w:rPr>
              <w:t>等工作内容</w:t>
            </w:r>
            <w:r>
              <w:rPr>
                <w:rFonts w:hint="eastAsia" w:ascii="宋体" w:hAnsi="宋体" w:eastAsia="宋体" w:cs="宋体"/>
                <w:color w:val="auto"/>
                <w:sz w:val="24"/>
                <w:szCs w:val="24"/>
                <w:highlight w:val="none"/>
                <w:lang w:val="en-US" w:eastAsia="zh-CN"/>
              </w:rPr>
              <w:t>进行综合评审。</w:t>
            </w:r>
          </w:p>
          <w:p w14:paraId="1778A68D">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宋体"/>
                <w:b w:val="0"/>
                <w:bCs w:val="0"/>
                <w:color w:val="auto"/>
                <w:sz w:val="24"/>
                <w:szCs w:val="24"/>
                <w:highlight w:val="none"/>
              </w:rPr>
              <w:t>承担本项目的优势及工作基础</w:t>
            </w:r>
            <w:r>
              <w:rPr>
                <w:rFonts w:hint="eastAsia" w:ascii="宋体" w:hAnsi="宋体" w:cs="宋体"/>
                <w:b w:val="0"/>
                <w:bCs w:val="0"/>
                <w:color w:val="auto"/>
                <w:sz w:val="24"/>
                <w:szCs w:val="24"/>
                <w:highlight w:val="none"/>
                <w:lang w:val="en-US" w:eastAsia="zh-CN"/>
              </w:rPr>
              <w:t>方案合理的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7</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232A9551">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宋体"/>
                <w:b w:val="0"/>
                <w:bCs w:val="0"/>
                <w:color w:val="auto"/>
                <w:sz w:val="24"/>
                <w:szCs w:val="24"/>
                <w:highlight w:val="none"/>
              </w:rPr>
              <w:t>承担本项目的优势及工作基础</w:t>
            </w:r>
            <w:r>
              <w:rPr>
                <w:rFonts w:hint="eastAsia" w:ascii="宋体" w:hAnsi="宋体" w:cs="宋体"/>
                <w:b w:val="0"/>
                <w:bCs w:val="0"/>
                <w:color w:val="auto"/>
                <w:sz w:val="24"/>
                <w:szCs w:val="24"/>
                <w:highlight w:val="none"/>
                <w:lang w:val="en-US" w:eastAsia="zh-CN"/>
              </w:rPr>
              <w:t>方案较合理的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p>
          <w:p w14:paraId="4A326A03">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宋体"/>
                <w:b w:val="0"/>
                <w:bCs w:val="0"/>
                <w:color w:val="auto"/>
                <w:sz w:val="24"/>
                <w:szCs w:val="24"/>
                <w:highlight w:val="none"/>
              </w:rPr>
              <w:t>承担本项目的优势及工作基础</w:t>
            </w:r>
            <w:r>
              <w:rPr>
                <w:rFonts w:hint="eastAsia" w:ascii="宋体" w:hAnsi="宋体" w:cs="宋体"/>
                <w:b w:val="0"/>
                <w:bCs w:val="0"/>
                <w:color w:val="auto"/>
                <w:sz w:val="24"/>
                <w:szCs w:val="24"/>
                <w:highlight w:val="none"/>
                <w:lang w:val="en-US" w:eastAsia="zh-CN"/>
              </w:rPr>
              <w:t>方案欠合理的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42D9B22D">
            <w:pPr>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5BA9ABA7">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r>
      <w:tr w14:paraId="584B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7527D08D">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10</w:t>
            </w:r>
          </w:p>
        </w:tc>
        <w:tc>
          <w:tcPr>
            <w:tcW w:w="1243" w:type="dxa"/>
            <w:vMerge w:val="continue"/>
            <w:noWrap w:val="0"/>
            <w:vAlign w:val="center"/>
          </w:tcPr>
          <w:p w14:paraId="0676665D">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414134F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根据供应商提供对本项目工作内容全面、重点突出要求，对关键思路要求把握合理性由专家评分进行综合评审。</w:t>
            </w:r>
          </w:p>
          <w:p w14:paraId="342F9D14">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color w:val="auto"/>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7</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167FCA81">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color w:val="auto"/>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p>
          <w:p w14:paraId="46A459F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color w:val="auto"/>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28340C31">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73D19D5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r>
      <w:tr w14:paraId="2332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6620164E">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11</w:t>
            </w:r>
          </w:p>
        </w:tc>
        <w:tc>
          <w:tcPr>
            <w:tcW w:w="1243" w:type="dxa"/>
            <w:vMerge w:val="restart"/>
            <w:noWrap w:val="0"/>
            <w:vAlign w:val="center"/>
          </w:tcPr>
          <w:p w14:paraId="5F4CFEB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项目进度控制</w:t>
            </w:r>
          </w:p>
        </w:tc>
        <w:tc>
          <w:tcPr>
            <w:tcW w:w="6649" w:type="dxa"/>
            <w:noWrap w:val="0"/>
            <w:vAlign w:val="center"/>
          </w:tcPr>
          <w:p w14:paraId="01470F35">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w:t>
            </w:r>
            <w:r>
              <w:rPr>
                <w:rFonts w:hint="eastAsia" w:ascii="宋体" w:hAnsi="宋体" w:cs="Times New Roman"/>
                <w:color w:val="auto"/>
                <w:kern w:val="0"/>
                <w:sz w:val="24"/>
                <w:szCs w:val="24"/>
                <w:highlight w:val="none"/>
                <w:lang w:val="en-US" w:eastAsia="zh-CN" w:bidi="ar-SA"/>
              </w:rPr>
              <w:t>针对</w:t>
            </w:r>
            <w:r>
              <w:rPr>
                <w:rFonts w:hint="eastAsia" w:ascii="宋体" w:hAnsi="宋体" w:eastAsia="宋体" w:cs="Times New Roman"/>
                <w:color w:val="auto"/>
                <w:kern w:val="0"/>
                <w:sz w:val="24"/>
                <w:szCs w:val="24"/>
                <w:highlight w:val="none"/>
                <w:lang w:val="en-US" w:eastAsia="zh-CN" w:bidi="ar-SA"/>
              </w:rPr>
              <w:t>的进度安排符合招标要求，节点时间进度细化合理，应对变化</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进度控制措施进行综合评审。</w:t>
            </w:r>
          </w:p>
          <w:p w14:paraId="6160442D">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1.提供针对的进度安排符合要求，节点时间进度细化合理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，进度控制措施</w:t>
            </w:r>
            <w:r>
              <w:rPr>
                <w:rFonts w:hint="eastAsia" w:ascii="宋体" w:hAnsi="宋体" w:cs="Times New Roman"/>
                <w:color w:val="auto"/>
                <w:kern w:val="0"/>
                <w:sz w:val="24"/>
                <w:szCs w:val="24"/>
                <w:highlight w:val="none"/>
                <w:lang w:val="en-US" w:eastAsia="zh-CN" w:bidi="ar-SA"/>
              </w:rPr>
              <w:t>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6A5C390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2.提供针对的进度安排</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符合要求，节点时间进度细化</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，进度控制措施</w:t>
            </w:r>
            <w:r>
              <w:rPr>
                <w:rFonts w:hint="eastAsia" w:ascii="宋体" w:hAnsi="宋体" w:cs="Times New Roman"/>
                <w:color w:val="auto"/>
                <w:kern w:val="0"/>
                <w:sz w:val="24"/>
                <w:szCs w:val="24"/>
                <w:highlight w:val="none"/>
                <w:lang w:val="en-US" w:eastAsia="zh-CN" w:bidi="ar-SA"/>
              </w:rPr>
              <w:t>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67BE5EBF">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3.提供针对的进度安排</w:t>
            </w:r>
            <w:r>
              <w:rPr>
                <w:rFonts w:hint="eastAsia" w:ascii="宋体" w:hAnsi="宋体" w:cs="Times New Roman"/>
                <w:color w:val="auto"/>
                <w:kern w:val="0"/>
                <w:sz w:val="24"/>
                <w:szCs w:val="24"/>
                <w:highlight w:val="none"/>
                <w:lang w:val="en-US" w:eastAsia="zh-CN" w:bidi="ar-SA"/>
              </w:rPr>
              <w:t>较欠</w:t>
            </w:r>
            <w:r>
              <w:rPr>
                <w:rFonts w:hint="eastAsia" w:ascii="宋体" w:hAnsi="宋体" w:eastAsia="宋体" w:cs="Times New Roman"/>
                <w:color w:val="auto"/>
                <w:kern w:val="0"/>
                <w:sz w:val="24"/>
                <w:szCs w:val="24"/>
                <w:highlight w:val="none"/>
                <w:lang w:val="en-US" w:eastAsia="zh-CN" w:bidi="ar-SA"/>
              </w:rPr>
              <w:t>符合要求，节点时间进度细化</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，进度控制措施</w:t>
            </w:r>
            <w:r>
              <w:rPr>
                <w:rFonts w:hint="eastAsia" w:ascii="宋体" w:hAnsi="宋体" w:cs="Times New Roman"/>
                <w:color w:val="auto"/>
                <w:kern w:val="0"/>
                <w:sz w:val="24"/>
                <w:szCs w:val="24"/>
                <w:highlight w:val="none"/>
                <w:lang w:val="en-US" w:eastAsia="zh-CN" w:bidi="ar-SA"/>
              </w:rPr>
              <w:t>欠合理的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75ACE974">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1A0BBA13">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5EAE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7" w:hRule="atLeast"/>
          <w:jc w:val="center"/>
        </w:trPr>
        <w:tc>
          <w:tcPr>
            <w:tcW w:w="701" w:type="dxa"/>
            <w:noWrap w:val="0"/>
            <w:vAlign w:val="center"/>
          </w:tcPr>
          <w:p w14:paraId="3D70E744">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12</w:t>
            </w:r>
          </w:p>
        </w:tc>
        <w:tc>
          <w:tcPr>
            <w:tcW w:w="1243" w:type="dxa"/>
            <w:noWrap w:val="0"/>
            <w:vAlign w:val="center"/>
          </w:tcPr>
          <w:p w14:paraId="59967293">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质量保证</w:t>
            </w:r>
          </w:p>
        </w:tc>
        <w:tc>
          <w:tcPr>
            <w:tcW w:w="6649" w:type="dxa"/>
            <w:noWrap w:val="0"/>
            <w:vAlign w:val="center"/>
          </w:tcPr>
          <w:p w14:paraId="4D49C72C">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根据供应商提供的质量管理方案</w:t>
            </w:r>
            <w:r>
              <w:rPr>
                <w:rFonts w:hint="eastAsia" w:ascii="宋体" w:hAnsi="宋体" w:cs="Times New Roman"/>
                <w:color w:val="auto"/>
                <w:kern w:val="0"/>
                <w:sz w:val="24"/>
                <w:szCs w:val="24"/>
                <w:highlight w:val="none"/>
                <w:lang w:val="en-US" w:eastAsia="zh-CN" w:bidi="ar-SA"/>
              </w:rPr>
              <w:t>可行性、合理性</w:t>
            </w:r>
            <w:r>
              <w:rPr>
                <w:rFonts w:hint="eastAsia" w:ascii="宋体" w:hAnsi="宋体" w:eastAsia="宋体" w:cs="Times New Roman"/>
                <w:color w:val="auto"/>
                <w:kern w:val="0"/>
                <w:sz w:val="24"/>
                <w:szCs w:val="24"/>
                <w:highlight w:val="none"/>
                <w:lang w:val="en-US" w:eastAsia="zh-CN" w:bidi="ar-SA"/>
              </w:rPr>
              <w:t>进行综合评审。</w:t>
            </w:r>
          </w:p>
          <w:p w14:paraId="1BB3B796">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1.提供的质量管理方案</w:t>
            </w:r>
            <w:r>
              <w:rPr>
                <w:rFonts w:hint="eastAsia" w:ascii="宋体" w:hAnsi="宋体" w:cs="Times New Roman"/>
                <w:color w:val="auto"/>
                <w:kern w:val="0"/>
                <w:sz w:val="24"/>
                <w:szCs w:val="24"/>
                <w:highlight w:val="none"/>
                <w:lang w:val="en-US" w:eastAsia="zh-CN" w:bidi="ar-SA"/>
              </w:rPr>
              <w:t>可行、合理的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8B5683E">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2.提供的质量管理方案较</w:t>
            </w:r>
            <w:r>
              <w:rPr>
                <w:rFonts w:hint="eastAsia" w:ascii="宋体" w:hAnsi="宋体" w:cs="Times New Roman"/>
                <w:color w:val="auto"/>
                <w:kern w:val="0"/>
                <w:sz w:val="24"/>
                <w:szCs w:val="24"/>
                <w:highlight w:val="none"/>
                <w:lang w:val="en-US" w:eastAsia="zh-CN" w:bidi="ar-SA"/>
              </w:rPr>
              <w:t>可行、较合理的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56F522A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3.提供的质量管理方案欠</w:t>
            </w:r>
            <w:r>
              <w:rPr>
                <w:rFonts w:hint="eastAsia" w:ascii="宋体" w:hAnsi="宋体" w:cs="Times New Roman"/>
                <w:color w:val="auto"/>
                <w:kern w:val="0"/>
                <w:sz w:val="24"/>
                <w:szCs w:val="24"/>
                <w:highlight w:val="none"/>
                <w:lang w:val="en-US" w:eastAsia="zh-CN" w:bidi="ar-SA"/>
              </w:rPr>
              <w:t>可行、欠合理的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7C4B27AC">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326E212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w:t>
            </w:r>
          </w:p>
        </w:tc>
      </w:tr>
      <w:tr w14:paraId="5581C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4C771B9A">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13</w:t>
            </w:r>
          </w:p>
        </w:tc>
        <w:tc>
          <w:tcPr>
            <w:tcW w:w="1243" w:type="dxa"/>
            <w:noWrap w:val="0"/>
            <w:vAlign w:val="center"/>
          </w:tcPr>
          <w:p w14:paraId="5139A3CC">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合理化建议</w:t>
            </w:r>
          </w:p>
        </w:tc>
        <w:tc>
          <w:tcPr>
            <w:tcW w:w="6649" w:type="dxa"/>
            <w:noWrap w:val="0"/>
            <w:vAlign w:val="center"/>
          </w:tcPr>
          <w:p w14:paraId="5F41CC2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针对本项目特点，提出合理化建议</w:t>
            </w:r>
            <w:r>
              <w:rPr>
                <w:rFonts w:hint="eastAsia" w:ascii="宋体" w:hAnsi="宋体" w:eastAsia="宋体" w:cs="Times New Roman"/>
                <w:color w:val="auto"/>
                <w:kern w:val="0"/>
                <w:sz w:val="24"/>
                <w:szCs w:val="24"/>
                <w:highlight w:val="none"/>
                <w:lang w:val="en-US" w:eastAsia="zh-CN" w:bidi="ar-SA"/>
              </w:rPr>
              <w:t>进行综合评审</w:t>
            </w:r>
            <w:r>
              <w:rPr>
                <w:rFonts w:hint="eastAsia" w:ascii="宋体" w:hAnsi="宋体" w:eastAsia="宋体" w:cs="宋体"/>
                <w:color w:val="auto"/>
                <w:sz w:val="24"/>
                <w:szCs w:val="24"/>
                <w:highlight w:val="none"/>
                <w:lang w:eastAsia="zh-CN"/>
              </w:rPr>
              <w:t>。</w:t>
            </w:r>
          </w:p>
          <w:p w14:paraId="50B0C1B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宋体"/>
                <w:color w:val="auto"/>
                <w:sz w:val="24"/>
                <w:szCs w:val="24"/>
                <w:highlight w:val="none"/>
              </w:rPr>
              <w:t>针对本项目特点</w:t>
            </w:r>
            <w:r>
              <w:rPr>
                <w:rFonts w:hint="eastAsia" w:ascii="宋体" w:hAnsi="宋体" w:eastAsia="宋体" w:cs="宋体"/>
                <w:color w:val="auto"/>
                <w:sz w:val="24"/>
                <w:szCs w:val="24"/>
                <w:highlight w:val="none"/>
                <w:lang w:val="en-US" w:eastAsia="zh-CN"/>
              </w:rPr>
              <w:t>提出的</w:t>
            </w:r>
            <w:r>
              <w:rPr>
                <w:rFonts w:hint="eastAsia" w:ascii="宋体" w:hAnsi="宋体" w:cs="宋体"/>
                <w:color w:val="auto"/>
                <w:sz w:val="24"/>
                <w:szCs w:val="24"/>
                <w:highlight w:val="none"/>
                <w:lang w:val="en-US" w:eastAsia="zh-CN"/>
              </w:rPr>
              <w:t>建议合理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73D0750F">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宋体"/>
                <w:color w:val="auto"/>
                <w:sz w:val="24"/>
                <w:szCs w:val="24"/>
                <w:highlight w:val="none"/>
              </w:rPr>
              <w:t>针对本项目特点</w:t>
            </w:r>
            <w:r>
              <w:rPr>
                <w:rFonts w:hint="eastAsia" w:ascii="宋体" w:hAnsi="宋体" w:eastAsia="宋体" w:cs="宋体"/>
                <w:color w:val="auto"/>
                <w:sz w:val="24"/>
                <w:szCs w:val="24"/>
                <w:highlight w:val="none"/>
                <w:lang w:val="en-US" w:eastAsia="zh-CN"/>
              </w:rPr>
              <w:t>提出的</w:t>
            </w:r>
            <w:r>
              <w:rPr>
                <w:rFonts w:hint="eastAsia" w:ascii="宋体" w:hAnsi="宋体" w:cs="宋体"/>
                <w:color w:val="auto"/>
                <w:sz w:val="24"/>
                <w:szCs w:val="24"/>
                <w:highlight w:val="none"/>
                <w:lang w:val="en-US" w:eastAsia="zh-CN"/>
              </w:rPr>
              <w:t>建议较合理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66BD71CF">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宋体"/>
                <w:color w:val="auto"/>
                <w:sz w:val="24"/>
                <w:szCs w:val="24"/>
                <w:highlight w:val="none"/>
              </w:rPr>
              <w:t>针对本项目特点</w:t>
            </w:r>
            <w:r>
              <w:rPr>
                <w:rFonts w:hint="eastAsia" w:ascii="宋体" w:hAnsi="宋体" w:eastAsia="宋体" w:cs="宋体"/>
                <w:color w:val="auto"/>
                <w:sz w:val="24"/>
                <w:szCs w:val="24"/>
                <w:highlight w:val="none"/>
                <w:lang w:val="en-US" w:eastAsia="zh-CN"/>
              </w:rPr>
              <w:t>提出的</w:t>
            </w:r>
            <w:r>
              <w:rPr>
                <w:rFonts w:hint="eastAsia" w:ascii="宋体" w:hAnsi="宋体" w:cs="宋体"/>
                <w:color w:val="auto"/>
                <w:sz w:val="24"/>
                <w:szCs w:val="24"/>
                <w:highlight w:val="none"/>
                <w:lang w:val="en-US" w:eastAsia="zh-CN"/>
              </w:rPr>
              <w:t>建议建议欠合理</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73D8DADA">
            <w:pPr>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4B9C1095">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4FB9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701" w:type="dxa"/>
            <w:noWrap w:val="0"/>
            <w:vAlign w:val="center"/>
          </w:tcPr>
          <w:p w14:paraId="140B39AB">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14</w:t>
            </w:r>
          </w:p>
        </w:tc>
        <w:tc>
          <w:tcPr>
            <w:tcW w:w="1243" w:type="dxa"/>
            <w:noWrap w:val="0"/>
            <w:vAlign w:val="center"/>
          </w:tcPr>
          <w:p w14:paraId="42FAB166">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服务承诺</w:t>
            </w:r>
          </w:p>
        </w:tc>
        <w:tc>
          <w:tcPr>
            <w:tcW w:w="6649" w:type="dxa"/>
            <w:noWrap w:val="0"/>
            <w:vAlign w:val="center"/>
          </w:tcPr>
          <w:p w14:paraId="64A614F7">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提出的全程服务及后续服务内容合理全面进行综合评审。</w:t>
            </w:r>
          </w:p>
          <w:p w14:paraId="3CCF5E6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1.全程服务及后续服务内容合理全面</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6</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7E06BBC">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2.全程服务及后续服务内容</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合理全面</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4D6F5A55">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3.全程服务及后续服务内容</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合理全面</w:t>
            </w:r>
            <w:r>
              <w:rPr>
                <w:rFonts w:hint="eastAsia" w:ascii="宋体" w:hAnsi="宋体" w:cs="Times New Roman"/>
                <w:color w:val="auto"/>
                <w:kern w:val="0"/>
                <w:sz w:val="24"/>
                <w:szCs w:val="24"/>
                <w:highlight w:val="none"/>
                <w:lang w:val="en-US" w:eastAsia="zh-CN" w:bidi="ar-SA"/>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46E935CD">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4.未提供不得分。</w:t>
            </w:r>
          </w:p>
        </w:tc>
        <w:tc>
          <w:tcPr>
            <w:tcW w:w="762" w:type="dxa"/>
            <w:noWrap w:val="0"/>
            <w:vAlign w:val="center"/>
          </w:tcPr>
          <w:p w14:paraId="1CE75743">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bl>
    <w:p w14:paraId="0D12E631">
      <w:pPr>
        <w:pStyle w:val="13"/>
        <w:ind w:left="0" w:leftChars="0" w:firstLine="0" w:firstLineChars="0"/>
        <w:rPr>
          <w:rFonts w:hint="eastAsia" w:hAnsi="宋体"/>
          <w:b/>
          <w:color w:val="auto"/>
          <w:sz w:val="24"/>
          <w:highlight w:val="none"/>
        </w:rPr>
      </w:pPr>
    </w:p>
    <w:p w14:paraId="188559A3">
      <w:pPr>
        <w:pStyle w:val="12"/>
        <w:snapToGrid w:val="0"/>
        <w:spacing w:before="159" w:beforeLines="50" w:beforeAutospacing="0" w:after="63" w:afterLines="20" w:afterAutospacing="0" w:line="360" w:lineRule="auto"/>
        <w:ind w:firstLine="482" w:firstLineChars="200"/>
        <w:rPr>
          <w:rFonts w:hint="default" w:asciiTheme="minorEastAsia" w:hAnsiTheme="minorEastAsia" w:eastAsiaTheme="minorEastAsia"/>
          <w:b/>
          <w:bCs w:val="0"/>
          <w:color w:val="auto"/>
          <w:sz w:val="24"/>
          <w:highlight w:val="none"/>
          <w:lang w:val="en-US" w:eastAsia="zh-CN"/>
        </w:rPr>
      </w:pPr>
      <w:r>
        <w:rPr>
          <w:rFonts w:hint="eastAsia" w:asciiTheme="minorEastAsia" w:hAnsiTheme="minorEastAsia" w:eastAsiaTheme="minorEastAsia"/>
          <w:b/>
          <w:bCs w:val="0"/>
          <w:color w:val="auto"/>
          <w:sz w:val="24"/>
          <w:highlight w:val="none"/>
          <w:lang w:val="en-US" w:eastAsia="zh-CN"/>
        </w:rPr>
        <w:t>2.报价评审（10分）</w:t>
      </w:r>
    </w:p>
    <w:p w14:paraId="03F07992">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）报价文件评定分值为</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0分。（以下除注明外，计算结果小数点后保留2位，第3位四舍五入）。</w:t>
      </w:r>
    </w:p>
    <w:p w14:paraId="15A49511">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价格分采用低价优先法计算，以最低有效投标报价作为评标基准价，其价格分为</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0分。其他投标人的价格分统一按照下列公式计算：</w:t>
      </w:r>
    </w:p>
    <w:p w14:paraId="5265CEED">
      <w:pPr>
        <w:pStyle w:val="12"/>
        <w:snapToGrid w:val="0"/>
        <w:spacing w:before="159" w:beforeLines="50" w:beforeAutospacing="0" w:after="63" w:afterLines="20" w:afterAutospacing="0" w:line="360" w:lineRule="auto"/>
        <w:ind w:firstLine="480" w:firstLineChars="200"/>
        <w:rPr>
          <w:rFonts w:hint="eastAsia" w:ascii="宋体" w:hAnsi="宋体" w:eastAsia="宋体" w:cs="宋体"/>
          <w:b/>
          <w:bCs/>
          <w:color w:val="auto"/>
          <w:sz w:val="24"/>
          <w:highlight w:val="none"/>
        </w:rPr>
      </w:pPr>
      <w:r>
        <w:rPr>
          <w:rFonts w:hint="eastAsia" w:asciiTheme="minorEastAsia" w:hAnsiTheme="minorEastAsia" w:eastAsiaTheme="minorEastAsia"/>
          <w:b w:val="0"/>
          <w:bCs/>
          <w:color w:val="auto"/>
          <w:sz w:val="24"/>
          <w:highlight w:val="none"/>
        </w:rPr>
        <w:t>报价文件得分=(评标基准价／投标报价)×</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w:t>
      </w:r>
    </w:p>
    <w:p w14:paraId="381606B1">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.评审要求</w:t>
      </w:r>
    </w:p>
    <w:p w14:paraId="0AF5905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（1）评标委员会应当按照采购文件中规定的评标方法和标准，对符合性审查合格的投标文件的商务</w:t>
      </w:r>
      <w:r>
        <w:rPr>
          <w:rFonts w:hint="eastAsia" w:ascii="宋体" w:hAnsi="宋体" w:cs="宋体"/>
          <w:color w:val="auto"/>
          <w:sz w:val="24"/>
          <w:highlight w:val="none"/>
          <w:lang w:val="en-US" w:eastAsia="zh-CN"/>
        </w:rPr>
        <w:t>与</w:t>
      </w:r>
      <w:r>
        <w:rPr>
          <w:rFonts w:hint="eastAsia" w:ascii="宋体" w:hAnsi="宋体" w:eastAsia="宋体" w:cs="宋体"/>
          <w:color w:val="auto"/>
          <w:sz w:val="24"/>
          <w:highlight w:val="none"/>
        </w:rPr>
        <w:t>技术部分进行综合比较与评价，其中</w:t>
      </w:r>
      <w:r>
        <w:rPr>
          <w:rFonts w:hint="eastAsia" w:ascii="宋体" w:hAnsi="宋体" w:eastAsia="宋体" w:cs="宋体"/>
          <w:color w:val="auto"/>
          <w:sz w:val="24"/>
          <w:highlight w:val="none"/>
          <w:lang w:val="zh-CN"/>
        </w:rPr>
        <w:t>客观</w:t>
      </w:r>
      <w:r>
        <w:rPr>
          <w:rFonts w:hint="eastAsia" w:ascii="宋体" w:hAnsi="宋体" w:eastAsia="宋体" w:cs="宋体"/>
          <w:color w:val="auto"/>
          <w:sz w:val="24"/>
          <w:highlight w:val="none"/>
        </w:rPr>
        <w:t>评分项的分值</w:t>
      </w:r>
      <w:r>
        <w:rPr>
          <w:rFonts w:hint="eastAsia" w:ascii="宋体" w:hAnsi="宋体" w:eastAsia="宋体" w:cs="宋体"/>
          <w:color w:val="auto"/>
          <w:sz w:val="24"/>
          <w:highlight w:val="none"/>
          <w:lang w:val="zh-CN"/>
        </w:rPr>
        <w:t>应当一致。</w:t>
      </w:r>
    </w:p>
    <w:p w14:paraId="621222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BC8E68B">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（3）对于投标文件报</w:t>
      </w:r>
      <w:r>
        <w:rPr>
          <w:rFonts w:hint="eastAsia" w:ascii="宋体" w:hAnsi="宋体" w:cs="宋体"/>
          <w:color w:val="auto"/>
          <w:sz w:val="24"/>
          <w:highlight w:val="none"/>
        </w:rPr>
        <w:t>价出现前后不一致的，除采购文件另有规定外，按照下列规定修正：</w:t>
      </w:r>
    </w:p>
    <w:p w14:paraId="0DE2BD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①</w:t>
      </w:r>
      <w:r>
        <w:rPr>
          <w:rFonts w:hint="eastAsia" w:ascii="宋体" w:hAnsi="宋体" w:cs="宋体"/>
          <w:color w:val="auto"/>
          <w:sz w:val="24"/>
          <w:highlight w:val="none"/>
        </w:rPr>
        <w:t>投标文件中开标一览表（报价表）内容与投标文件中相应内容不一致的，以开标一览表（报价表）为准；</w:t>
      </w:r>
    </w:p>
    <w:p w14:paraId="6E6E1B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②</w:t>
      </w:r>
      <w:r>
        <w:rPr>
          <w:rFonts w:hint="eastAsia" w:ascii="宋体" w:hAnsi="宋体" w:cs="宋体"/>
          <w:color w:val="auto"/>
          <w:sz w:val="24"/>
          <w:highlight w:val="none"/>
        </w:rPr>
        <w:t>大写金额和小写金额不一致的，以大写金额为准；</w:t>
      </w:r>
    </w:p>
    <w:p w14:paraId="1B1AA5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③</w:t>
      </w:r>
      <w:r>
        <w:rPr>
          <w:rFonts w:hint="eastAsia" w:ascii="宋体" w:hAnsi="宋体" w:cs="宋体"/>
          <w:color w:val="auto"/>
          <w:sz w:val="24"/>
          <w:highlight w:val="none"/>
        </w:rPr>
        <w:t>单价金额小数点或者百分比有明显错位的，以开标一览表的总价为准，并修改单价；</w:t>
      </w:r>
    </w:p>
    <w:p w14:paraId="46C090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④</w:t>
      </w:r>
      <w:r>
        <w:rPr>
          <w:rFonts w:hint="eastAsia" w:ascii="宋体" w:hAnsi="宋体" w:cs="宋体"/>
          <w:color w:val="auto"/>
          <w:sz w:val="24"/>
          <w:highlight w:val="none"/>
        </w:rPr>
        <w:t>总价金额与按单价汇总金额不一致的，以单价金额计算结果为准。</w:t>
      </w:r>
    </w:p>
    <w:p w14:paraId="4B329B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1B7461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）对于投标文件中含义不明确、同类问题表述不一致或者有明显文字和计算错误的内容，评标委员会应当要求供应商作出必要的澄清、说明或者补正。</w:t>
      </w:r>
    </w:p>
    <w:p w14:paraId="2C61EE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）供应商的澄清、说明或者补正采用书面形式，并加盖公章或者由法定代表人或授权代表签字，且不得超出投标文件的范围或者改变投标文件的实质性内容。</w:t>
      </w:r>
    </w:p>
    <w:p w14:paraId="210E0C29">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5F6FC085">
      <w:pPr>
        <w:spacing w:line="360" w:lineRule="auto"/>
        <w:ind w:left="420"/>
        <w:rPr>
          <w:rFonts w:ascii="宋体" w:hAnsi="宋体" w:cs="宋体"/>
          <w:bCs/>
          <w:color w:val="auto"/>
          <w:sz w:val="24"/>
          <w:highlight w:val="none"/>
        </w:rPr>
      </w:pPr>
      <w:r>
        <w:rPr>
          <w:rFonts w:hint="eastAsia" w:ascii="宋体" w:hAnsi="宋体" w:cs="宋体"/>
          <w:b/>
          <w:color w:val="auto"/>
          <w:sz w:val="24"/>
          <w:highlight w:val="none"/>
        </w:rPr>
        <w:t>评标总得分的确定：</w:t>
      </w:r>
    </w:p>
    <w:p w14:paraId="3C19FB0A">
      <w:pPr>
        <w:spacing w:line="360" w:lineRule="auto"/>
        <w:ind w:left="420"/>
        <w:rPr>
          <w:rFonts w:ascii="宋体" w:hAnsi="宋体" w:cs="宋体"/>
          <w:bCs/>
          <w:color w:val="auto"/>
          <w:sz w:val="24"/>
          <w:highlight w:val="none"/>
        </w:rPr>
      </w:pPr>
      <w:r>
        <w:rPr>
          <w:rFonts w:hint="eastAsia" w:ascii="宋体" w:hAnsi="宋体" w:cs="宋体"/>
          <w:bCs/>
          <w:color w:val="auto"/>
          <w:sz w:val="24"/>
          <w:highlight w:val="none"/>
        </w:rPr>
        <w:t>供应商的总得分＝</w:t>
      </w:r>
      <w:r>
        <w:rPr>
          <w:rFonts w:hint="eastAsia" w:ascii="宋体" w:hAnsi="宋体" w:cs="宋体"/>
          <w:bCs/>
          <w:color w:val="auto"/>
          <w:sz w:val="24"/>
          <w:highlight w:val="none"/>
          <w:lang w:val="en-US" w:eastAsia="zh-CN"/>
        </w:rPr>
        <w:t>商务与技术</w:t>
      </w:r>
      <w:r>
        <w:rPr>
          <w:rFonts w:hint="eastAsia" w:ascii="宋体" w:hAnsi="宋体" w:cs="宋体"/>
          <w:bCs/>
          <w:color w:val="auto"/>
          <w:sz w:val="24"/>
          <w:highlight w:val="none"/>
        </w:rPr>
        <w:t>文件得分+报价文件得分。</w:t>
      </w:r>
    </w:p>
    <w:p w14:paraId="2696CEFA">
      <w:pPr>
        <w:spacing w:line="360" w:lineRule="auto"/>
        <w:ind w:left="420"/>
        <w:rPr>
          <w:rFonts w:ascii="宋体" w:hAnsi="宋体" w:cs="宋体"/>
          <w:b/>
          <w:color w:val="auto"/>
          <w:sz w:val="24"/>
          <w:highlight w:val="none"/>
        </w:rPr>
      </w:pPr>
      <w:r>
        <w:rPr>
          <w:rFonts w:hint="eastAsia" w:ascii="宋体" w:hAnsi="宋体" w:cs="宋体"/>
          <w:b/>
          <w:color w:val="auto"/>
          <w:sz w:val="24"/>
          <w:highlight w:val="none"/>
        </w:rPr>
        <w:t>中标候选人的确定：</w:t>
      </w:r>
    </w:p>
    <w:p w14:paraId="4229A7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en-US" w:eastAsia="zh-CN"/>
        </w:rPr>
        <w:t>综合</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en-US" w:eastAsia="zh-CN"/>
        </w:rPr>
        <w:t>综合</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按照评审因素的量化指标评审得分最高的供应商为排名第一的中标候选人。</w:t>
      </w:r>
    </w:p>
    <w:p w14:paraId="7758848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22508F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14:paraId="3C00698B">
      <w:pPr>
        <w:pStyle w:val="48"/>
        <w:ind w:left="0" w:leftChars="0" w:firstLine="0" w:firstLineChars="0"/>
        <w:jc w:val="both"/>
        <w:textAlignment w:val="baseline"/>
        <w:rPr>
          <w:rFonts w:hint="eastAsia"/>
          <w:b/>
          <w:bCs/>
          <w:color w:val="auto"/>
          <w:sz w:val="36"/>
          <w:szCs w:val="36"/>
          <w:highlight w:val="none"/>
        </w:rPr>
        <w:sectPr>
          <w:pgSz w:w="11906" w:h="16838"/>
          <w:pgMar w:top="1247" w:right="1361" w:bottom="1247" w:left="1361" w:header="851" w:footer="851" w:gutter="0"/>
          <w:cols w:space="720" w:num="1"/>
          <w:docGrid w:type="lines" w:linePitch="312" w:charSpace="0"/>
        </w:sectPr>
      </w:pPr>
      <w:bookmarkStart w:id="40" w:name="_Toc5481_WPSOffice_Level1"/>
    </w:p>
    <w:p w14:paraId="6BC4A0AC">
      <w:pPr>
        <w:pStyle w:val="2"/>
        <w:spacing w:line="360" w:lineRule="auto"/>
        <w:ind w:left="0"/>
        <w:rPr>
          <w:rFonts w:ascii="宋体" w:hAnsi="宋体"/>
          <w:b w:val="0"/>
          <w:color w:val="auto"/>
          <w:sz w:val="36"/>
          <w:szCs w:val="36"/>
          <w:highlight w:val="none"/>
        </w:rPr>
      </w:pPr>
      <w:r>
        <w:rPr>
          <w:rFonts w:hint="eastAsia" w:ascii="宋体" w:hAnsi="宋体"/>
          <w:color w:val="auto"/>
          <w:sz w:val="36"/>
          <w:szCs w:val="36"/>
          <w:highlight w:val="none"/>
        </w:rPr>
        <w:t>第五章  拟签订的合同文本</w:t>
      </w:r>
    </w:p>
    <w:p w14:paraId="4BF2BFD5">
      <w:pPr>
        <w:widowControl/>
        <w:shd w:val="clear" w:color="auto" w:fill="FFFFFF"/>
        <w:spacing w:line="360" w:lineRule="auto"/>
        <w:ind w:firstLine="480" w:firstLineChars="200"/>
        <w:rPr>
          <w:rFonts w:ascii="宋体" w:hAnsi="宋体" w:cs="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lang w:eastAsia="zh-CN"/>
        </w:rPr>
        <w:t>成交供应商</w:t>
      </w:r>
      <w:r>
        <w:rPr>
          <w:rFonts w:ascii="宋体" w:hAnsi="宋体"/>
          <w:color w:val="auto"/>
          <w:sz w:val="24"/>
          <w:highlight w:val="none"/>
        </w:rPr>
        <w:t>不得提出实质性的修改，关于专用条款将由采购人与</w:t>
      </w:r>
      <w:r>
        <w:rPr>
          <w:rFonts w:hint="eastAsia" w:ascii="宋体" w:hAnsi="宋体"/>
          <w:color w:val="auto"/>
          <w:sz w:val="24"/>
          <w:highlight w:val="none"/>
          <w:lang w:eastAsia="zh-CN"/>
        </w:rPr>
        <w:t>成交供应商</w:t>
      </w:r>
      <w:r>
        <w:rPr>
          <w:rFonts w:ascii="宋体" w:hAnsi="宋体"/>
          <w:color w:val="auto"/>
          <w:sz w:val="24"/>
          <w:highlight w:val="none"/>
        </w:rPr>
        <w:t>结合本项目具体情况协商后签订。</w:t>
      </w:r>
    </w:p>
    <w:p w14:paraId="7ADF44A2">
      <w:pPr>
        <w:pStyle w:val="12"/>
        <w:snapToGrid w:val="0"/>
        <w:spacing w:before="120" w:after="120" w:line="360" w:lineRule="auto"/>
        <w:rPr>
          <w:rFonts w:hint="eastAsia" w:hAnsi="宋体" w:cs="宋体"/>
          <w:color w:val="auto"/>
          <w:sz w:val="24"/>
          <w:highlight w:val="none"/>
        </w:rPr>
      </w:pPr>
    </w:p>
    <w:p w14:paraId="52FD07A6">
      <w:pPr>
        <w:pStyle w:val="12"/>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项目名称： </w:t>
      </w:r>
      <w:r>
        <w:rPr>
          <w:rFonts w:hint="eastAsia" w:hAnsi="宋体" w:cs="宋体"/>
          <w:color w:val="auto"/>
          <w:sz w:val="24"/>
          <w:highlight w:val="none"/>
          <w:lang w:val="en-US" w:eastAsia="zh-CN"/>
        </w:rPr>
        <w:t>台州市2025年水利工程安全运行技术支撑</w:t>
      </w:r>
      <w:r>
        <w:rPr>
          <w:rFonts w:hint="eastAsia" w:hAnsi="宋体" w:cs="宋体"/>
          <w:color w:val="auto"/>
          <w:sz w:val="24"/>
          <w:highlight w:val="none"/>
        </w:rPr>
        <w:t xml:space="preserve">  </w:t>
      </w:r>
    </w:p>
    <w:p w14:paraId="4721579E">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val="en-US" w:eastAsia="zh-CN"/>
        </w:rPr>
        <w:t xml:space="preserve"> TZCCC-【2025】-048号</w:t>
      </w:r>
    </w:p>
    <w:p w14:paraId="734D86D2">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甲方：（采购单位）</w:t>
      </w:r>
      <w:r>
        <w:rPr>
          <w:rFonts w:hint="eastAsia" w:hAnsi="宋体" w:cs="宋体"/>
          <w:color w:val="auto"/>
          <w:sz w:val="24"/>
          <w:highlight w:val="none"/>
          <w:lang w:val="en-US" w:eastAsia="zh-CN"/>
        </w:rPr>
        <w:t>台州市防汛防旱事务中心</w:t>
      </w:r>
    </w:p>
    <w:p w14:paraId="5C340EC8">
      <w:pPr>
        <w:pStyle w:val="12"/>
        <w:snapToGrid w:val="0"/>
        <w:spacing w:before="120" w:afterAutospacing="0" w:line="360" w:lineRule="auto"/>
        <w:rPr>
          <w:rFonts w:hint="eastAsia" w:hAnsi="宋体" w:cs="宋体"/>
          <w:color w:val="auto"/>
          <w:sz w:val="24"/>
          <w:highlight w:val="none"/>
        </w:rPr>
      </w:pPr>
      <w:r>
        <w:rPr>
          <w:rFonts w:hint="eastAsia" w:hAnsi="宋体" w:cs="宋体"/>
          <w:color w:val="auto"/>
          <w:sz w:val="24"/>
          <w:highlight w:val="none"/>
        </w:rPr>
        <w:t>乙方：（中标供应商）</w:t>
      </w:r>
    </w:p>
    <w:p w14:paraId="48558CEB">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甲、乙双方根据关于</w:t>
      </w:r>
      <w:r>
        <w:rPr>
          <w:rFonts w:hint="eastAsia" w:hAnsi="宋体" w:cs="宋体"/>
          <w:color w:val="auto"/>
          <w:sz w:val="24"/>
          <w:highlight w:val="none"/>
          <w:u w:val="single"/>
          <w:lang w:val="en-US" w:eastAsia="zh-CN"/>
        </w:rPr>
        <w:t xml:space="preserve"> 台州市2025年水利工程安全运行技术支撑 </w:t>
      </w:r>
      <w:r>
        <w:rPr>
          <w:rFonts w:hint="eastAsia" w:hAnsi="宋体" w:cs="宋体"/>
          <w:color w:val="auto"/>
          <w:sz w:val="24"/>
          <w:highlight w:val="none"/>
        </w:rPr>
        <w:t>公开招标的成交结果，签署本合同。</w:t>
      </w:r>
    </w:p>
    <w:p w14:paraId="07A25420">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一、服务内容</w:t>
      </w:r>
    </w:p>
    <w:p w14:paraId="076A0D33">
      <w:pPr>
        <w:pStyle w:val="12"/>
        <w:snapToGrid w:val="0"/>
        <w:spacing w:beforeAutospacing="0" w:afterAutospacing="0" w:line="360" w:lineRule="auto"/>
        <w:rPr>
          <w:rFonts w:hint="eastAsia" w:hAnsi="宋体" w:cs="宋体"/>
          <w:bCs/>
          <w:color w:val="auto"/>
          <w:kern w:val="0"/>
          <w:sz w:val="24"/>
          <w:highlight w:val="none"/>
        </w:rPr>
      </w:pPr>
      <w:r>
        <w:rPr>
          <w:rFonts w:hint="eastAsia" w:ascii="宋体" w:hAnsi="宋体" w:eastAsia="宋体" w:cs="仿宋_GB2312"/>
          <w:color w:val="auto"/>
          <w:sz w:val="24"/>
          <w:szCs w:val="24"/>
          <w:highlight w:val="none"/>
          <w:lang w:eastAsia="zh-CN"/>
        </w:rPr>
        <w:t>（详见招标文件的第</w:t>
      </w:r>
      <w:r>
        <w:rPr>
          <w:rFonts w:hint="eastAsia" w:hAnsi="宋体" w:cs="仿宋_GB2312"/>
          <w:color w:val="auto"/>
          <w:sz w:val="24"/>
          <w:szCs w:val="24"/>
          <w:highlight w:val="none"/>
          <w:lang w:val="en-US" w:eastAsia="zh-CN"/>
        </w:rPr>
        <w:t>三</w:t>
      </w:r>
      <w:r>
        <w:rPr>
          <w:rFonts w:hint="eastAsia" w:ascii="宋体" w:hAnsi="宋体" w:eastAsia="宋体" w:cs="仿宋_GB2312"/>
          <w:color w:val="auto"/>
          <w:sz w:val="24"/>
          <w:szCs w:val="24"/>
          <w:highlight w:val="none"/>
          <w:lang w:eastAsia="zh-CN"/>
        </w:rPr>
        <w:t>章</w:t>
      </w:r>
      <w:r>
        <w:rPr>
          <w:rFonts w:hint="eastAsia" w:hAnsi="宋体" w:cs="仿宋_GB2312"/>
          <w:color w:val="auto"/>
          <w:sz w:val="24"/>
          <w:szCs w:val="24"/>
          <w:highlight w:val="none"/>
          <w:lang w:val="en-US" w:eastAsia="zh-CN"/>
        </w:rPr>
        <w:t>招标</w:t>
      </w:r>
      <w:r>
        <w:rPr>
          <w:rFonts w:ascii="宋体" w:hAnsi="宋体" w:eastAsia="宋体" w:cs="仿宋_GB2312"/>
          <w:color w:val="auto"/>
          <w:sz w:val="24"/>
          <w:szCs w:val="24"/>
          <w:highlight w:val="none"/>
          <w:lang w:eastAsia="zh-CN"/>
        </w:rPr>
        <w:t>需求</w:t>
      </w:r>
      <w:r>
        <w:rPr>
          <w:rFonts w:hint="eastAsia" w:ascii="宋体" w:hAnsi="宋体" w:eastAsia="宋体" w:cs="仿宋_GB2312"/>
          <w:color w:val="auto"/>
          <w:sz w:val="24"/>
          <w:szCs w:val="24"/>
          <w:highlight w:val="none"/>
          <w:lang w:eastAsia="zh-CN"/>
        </w:rPr>
        <w:t>服务</w:t>
      </w:r>
      <w:r>
        <w:rPr>
          <w:rFonts w:ascii="宋体" w:hAnsi="宋体" w:eastAsia="宋体" w:cs="仿宋_GB2312"/>
          <w:color w:val="auto"/>
          <w:sz w:val="24"/>
          <w:szCs w:val="24"/>
          <w:highlight w:val="none"/>
          <w:lang w:eastAsia="zh-CN"/>
        </w:rPr>
        <w:t>范围</w:t>
      </w:r>
      <w:r>
        <w:rPr>
          <w:rFonts w:hint="eastAsia" w:ascii="宋体" w:hAnsi="宋体" w:eastAsia="宋体" w:cs="仿宋_GB2312"/>
          <w:color w:val="auto"/>
          <w:sz w:val="24"/>
          <w:szCs w:val="24"/>
          <w:highlight w:val="none"/>
          <w:lang w:eastAsia="zh-CN"/>
        </w:rPr>
        <w:t>）</w:t>
      </w:r>
      <w:r>
        <w:rPr>
          <w:rFonts w:hint="eastAsia" w:hAnsi="宋体" w:cs="宋体"/>
          <w:bCs/>
          <w:color w:val="auto"/>
          <w:kern w:val="0"/>
          <w:sz w:val="24"/>
          <w:highlight w:val="none"/>
        </w:rPr>
        <w:t>。</w:t>
      </w:r>
    </w:p>
    <w:p w14:paraId="1DD19667">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二、合同金额</w:t>
      </w:r>
    </w:p>
    <w:p w14:paraId="652DCF34">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本合同金额为（大写）：__________________元（￥_______________元）人民币。</w:t>
      </w:r>
    </w:p>
    <w:p w14:paraId="1DE2448E">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三、技术资料</w:t>
      </w:r>
    </w:p>
    <w:p w14:paraId="628FE3EE">
      <w:pPr>
        <w:pStyle w:val="12"/>
        <w:snapToGrid w:val="0"/>
        <w:spacing w:beforeAutospacing="0" w:afterAutospacing="0" w:line="360" w:lineRule="auto"/>
        <w:ind w:left="380" w:leftChars="100" w:hanging="170" w:hangingChars="71"/>
        <w:rPr>
          <w:rFonts w:hint="eastAsia" w:hAnsi="宋体" w:cs="宋体"/>
          <w:color w:val="auto"/>
          <w:sz w:val="24"/>
          <w:highlight w:val="none"/>
        </w:rPr>
      </w:pPr>
      <w:r>
        <w:rPr>
          <w:rFonts w:hint="eastAsia" w:hAnsi="宋体" w:cs="宋体"/>
          <w:color w:val="auto"/>
          <w:sz w:val="24"/>
          <w:highlight w:val="none"/>
        </w:rPr>
        <w:t>1.乙方应按采购文件规定的时间向甲方提供有关成果。</w:t>
      </w:r>
    </w:p>
    <w:p w14:paraId="41E2D7A5">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3AFB401D">
      <w:pPr>
        <w:pStyle w:val="12"/>
        <w:snapToGrid w:val="0"/>
        <w:spacing w:beforeAutospacing="0" w:afterAutospacing="0" w:line="360" w:lineRule="auto"/>
        <w:ind w:left="412" w:hanging="412" w:hangingChars="171"/>
        <w:rPr>
          <w:rFonts w:hint="eastAsia" w:hAnsi="宋体" w:cs="宋体"/>
          <w:b/>
          <w:color w:val="auto"/>
          <w:sz w:val="24"/>
          <w:highlight w:val="none"/>
        </w:rPr>
      </w:pPr>
      <w:r>
        <w:rPr>
          <w:rFonts w:hint="eastAsia" w:hAnsi="宋体" w:cs="宋体"/>
          <w:b/>
          <w:color w:val="auto"/>
          <w:sz w:val="24"/>
          <w:highlight w:val="none"/>
        </w:rPr>
        <w:t>四、知识产权</w:t>
      </w:r>
    </w:p>
    <w:p w14:paraId="1C4CE048">
      <w:pPr>
        <w:pStyle w:val="12"/>
        <w:snapToGrid w:val="0"/>
        <w:spacing w:beforeAutospacing="0" w:afterAutospacing="0" w:line="360" w:lineRule="auto"/>
        <w:ind w:left="0" w:leftChars="0" w:firstLine="240" w:firstLineChars="100"/>
        <w:rPr>
          <w:rFonts w:hint="eastAsia" w:hAnsi="宋体" w:cs="宋体"/>
          <w:b/>
          <w:bCs/>
          <w:color w:val="auto"/>
          <w:sz w:val="24"/>
          <w:highlight w:val="none"/>
        </w:rPr>
      </w:pPr>
      <w:r>
        <w:rPr>
          <w:rFonts w:hint="eastAsia" w:hAnsi="宋体" w:cs="宋体"/>
          <w:color w:val="auto"/>
          <w:sz w:val="24"/>
          <w:highlight w:val="none"/>
        </w:rPr>
        <w:t>乙方应保证提供服务过程中不会侵犯任何第三方的</w:t>
      </w:r>
      <w:r>
        <w:rPr>
          <w:rFonts w:hint="eastAsia" w:hAnsi="宋体" w:cs="宋体"/>
          <w:b w:val="0"/>
          <w:bCs/>
          <w:color w:val="auto"/>
          <w:sz w:val="24"/>
          <w:highlight w:val="none"/>
        </w:rPr>
        <w:t>知识产权，否则必须承担全部责任。如果任何第三方提出侵权指控，由乙方负责与第三方交涉并承担可能发生的一切费用和相关法律责任，甲方不承担由此引起的一切经济和法律责任。</w:t>
      </w:r>
    </w:p>
    <w:p w14:paraId="291BE1B5">
      <w:pPr>
        <w:pStyle w:val="12"/>
        <w:snapToGrid w:val="0"/>
        <w:spacing w:beforeAutospacing="0" w:afterAutospacing="0" w:line="360" w:lineRule="auto"/>
        <w:ind w:left="410" w:hanging="410" w:hangingChars="170"/>
        <w:rPr>
          <w:rFonts w:hint="eastAsia" w:hAnsi="宋体" w:cs="宋体"/>
          <w:color w:val="auto"/>
          <w:kern w:val="0"/>
          <w:sz w:val="24"/>
          <w:highlight w:val="none"/>
        </w:rPr>
      </w:pPr>
      <w:r>
        <w:rPr>
          <w:rFonts w:hint="eastAsia" w:hAnsi="宋体" w:cs="宋体"/>
          <w:b/>
          <w:color w:val="auto"/>
          <w:sz w:val="24"/>
          <w:highlight w:val="none"/>
        </w:rPr>
        <w:t>五、转包或分包</w:t>
      </w:r>
    </w:p>
    <w:p w14:paraId="64B0D56D">
      <w:pPr>
        <w:snapToGrid w:val="0"/>
        <w:spacing w:beforeAutospacing="0" w:afterAutospacing="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2AA1143C">
      <w:pPr>
        <w:snapToGrid w:val="0"/>
        <w:spacing w:beforeAutospacing="0" w:afterAutospacing="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2.如有转让和未经甲方同意的分包行为，甲方有权解除合同，并追究乙方的违约责任。</w:t>
      </w:r>
    </w:p>
    <w:p w14:paraId="548C3D78">
      <w:pPr>
        <w:pStyle w:val="12"/>
        <w:snapToGrid w:val="0"/>
        <w:spacing w:beforeAutospacing="0" w:afterAutospacing="0" w:line="360" w:lineRule="auto"/>
        <w:rPr>
          <w:rFonts w:hint="default" w:hAnsi="宋体" w:eastAsia="宋体" w:cs="宋体"/>
          <w:color w:val="auto"/>
          <w:sz w:val="24"/>
          <w:highlight w:val="none"/>
          <w:lang w:val="en-US" w:eastAsia="zh-CN"/>
        </w:rPr>
      </w:pPr>
      <w:r>
        <w:rPr>
          <w:rFonts w:hint="eastAsia" w:hAnsi="宋体" w:cs="宋体"/>
          <w:b/>
          <w:color w:val="auto"/>
          <w:sz w:val="24"/>
          <w:highlight w:val="none"/>
        </w:rPr>
        <w:t>六、</w:t>
      </w:r>
      <w:r>
        <w:rPr>
          <w:rFonts w:hint="eastAsia" w:hAnsi="宋体" w:cs="宋体"/>
          <w:b/>
          <w:color w:val="auto"/>
          <w:sz w:val="24"/>
          <w:highlight w:val="none"/>
          <w:lang w:val="en-US" w:eastAsia="zh-CN"/>
        </w:rPr>
        <w:t>成果提交</w:t>
      </w:r>
    </w:p>
    <w:p w14:paraId="4EBF97A1">
      <w:pPr>
        <w:pStyle w:val="12"/>
        <w:snapToGrid w:val="0"/>
        <w:spacing w:beforeAutospacing="0" w:afterAutospacing="0" w:line="360" w:lineRule="auto"/>
        <w:ind w:firstLine="480" w:firstLineChars="200"/>
        <w:rPr>
          <w:rFonts w:hint="eastAsia" w:ascii="宋体" w:hAnsi="宋体" w:eastAsia="宋体" w:cs="Times New Roman"/>
          <w:b w:val="0"/>
          <w:bCs/>
          <w:color w:val="auto"/>
          <w:kern w:val="0"/>
          <w:sz w:val="24"/>
          <w:szCs w:val="24"/>
          <w:highlight w:val="none"/>
          <w:lang w:val="en-US" w:eastAsia="zh-CN"/>
        </w:rPr>
      </w:pPr>
      <w:r>
        <w:rPr>
          <w:rFonts w:hint="eastAsia"/>
          <w:b w:val="0"/>
          <w:bCs w:val="0"/>
          <w:color w:val="auto"/>
          <w:sz w:val="24"/>
          <w:szCs w:val="32"/>
          <w:highlight w:val="none"/>
          <w:lang w:val="en-US" w:eastAsia="zh-CN"/>
        </w:rPr>
        <w:t>合同签订后10个工作日内启动相关工作，项目完成后提交总结报告。</w:t>
      </w:r>
    </w:p>
    <w:p w14:paraId="4DA758C9">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七、合同履行时间、履行方式及履行地点</w:t>
      </w:r>
    </w:p>
    <w:p w14:paraId="3C86B0B1">
      <w:pPr>
        <w:pStyle w:val="12"/>
        <w:snapToGrid w:val="0"/>
        <w:spacing w:beforeAutospacing="0" w:afterAutospacing="0" w:line="360" w:lineRule="auto"/>
        <w:ind w:firstLine="240" w:firstLineChars="100"/>
        <w:rPr>
          <w:rFonts w:hint="default" w:ascii="宋体" w:hAnsi="宋体" w:eastAsia="宋体" w:cs="宋体"/>
          <w:bCs/>
          <w:color w:val="auto"/>
          <w:sz w:val="24"/>
          <w:highlight w:val="none"/>
          <w:lang w:val="en-US" w:eastAsia="zh-CN"/>
        </w:rPr>
      </w:pPr>
      <w:r>
        <w:rPr>
          <w:rFonts w:hint="eastAsia" w:hAnsi="宋体" w:cs="宋体"/>
          <w:bCs/>
          <w:color w:val="auto"/>
          <w:sz w:val="24"/>
          <w:highlight w:val="none"/>
        </w:rPr>
        <w:t xml:space="preserve">1. </w:t>
      </w:r>
      <w:r>
        <w:rPr>
          <w:rFonts w:hint="eastAsia" w:hAnsi="宋体" w:cs="宋体"/>
          <w:color w:val="auto"/>
          <w:sz w:val="24"/>
          <w:highlight w:val="none"/>
        </w:rPr>
        <w:t>履行时间</w:t>
      </w:r>
      <w:r>
        <w:rPr>
          <w:rFonts w:hint="eastAsia" w:hAnsi="宋体" w:cs="宋体"/>
          <w:bCs/>
          <w:color w:val="auto"/>
          <w:sz w:val="24"/>
          <w:highlight w:val="none"/>
        </w:rPr>
        <w:t>：现场</w:t>
      </w:r>
      <w:r>
        <w:rPr>
          <w:rFonts w:hint="eastAsia" w:hAnsi="宋体" w:cs="宋体"/>
          <w:bCs/>
          <w:color w:val="auto"/>
          <w:sz w:val="24"/>
          <w:highlight w:val="none"/>
          <w:lang w:eastAsia="zh-CN"/>
        </w:rPr>
        <w:t>服务</w:t>
      </w:r>
      <w:r>
        <w:rPr>
          <w:rFonts w:hint="eastAsia" w:hAnsi="宋体" w:cs="宋体"/>
          <w:bCs/>
          <w:color w:val="auto"/>
          <w:sz w:val="24"/>
          <w:highlight w:val="none"/>
        </w:rPr>
        <w:t>于</w:t>
      </w:r>
      <w:r>
        <w:rPr>
          <w:rFonts w:hint="eastAsia" w:hAnsi="宋体" w:cs="宋体"/>
          <w:bCs/>
          <w:color w:val="auto"/>
          <w:sz w:val="24"/>
          <w:highlight w:val="none"/>
          <w:lang w:val="en-US" w:eastAsia="zh-CN"/>
        </w:rPr>
        <w:t>2025</w:t>
      </w:r>
      <w:r>
        <w:rPr>
          <w:rFonts w:hint="eastAsia" w:hAnsi="宋体" w:cs="宋体"/>
          <w:bCs/>
          <w:color w:val="auto"/>
          <w:sz w:val="24"/>
          <w:highlight w:val="none"/>
        </w:rPr>
        <w:t>年10月</w:t>
      </w:r>
      <w:r>
        <w:rPr>
          <w:rFonts w:hint="eastAsia" w:hAnsi="宋体" w:cs="宋体"/>
          <w:bCs/>
          <w:color w:val="auto"/>
          <w:sz w:val="24"/>
          <w:highlight w:val="none"/>
          <w:lang w:val="en-US" w:eastAsia="zh-CN"/>
        </w:rPr>
        <w:t>30</w:t>
      </w:r>
      <w:r>
        <w:rPr>
          <w:rFonts w:hint="eastAsia" w:hAnsi="宋体" w:cs="宋体"/>
          <w:bCs/>
          <w:color w:val="auto"/>
          <w:sz w:val="24"/>
          <w:highlight w:val="none"/>
        </w:rPr>
        <w:t>日前完成，总结</w:t>
      </w:r>
      <w:r>
        <w:rPr>
          <w:rFonts w:hint="eastAsia" w:hAnsi="宋体" w:cs="宋体"/>
          <w:bCs/>
          <w:color w:val="auto"/>
          <w:sz w:val="24"/>
          <w:highlight w:val="none"/>
          <w:lang w:eastAsia="zh-CN"/>
        </w:rPr>
        <w:t>成果</w:t>
      </w:r>
      <w:r>
        <w:rPr>
          <w:rFonts w:hint="eastAsia" w:hAnsi="宋体" w:cs="宋体"/>
          <w:bCs/>
          <w:color w:val="auto"/>
          <w:sz w:val="24"/>
          <w:highlight w:val="none"/>
        </w:rPr>
        <w:t>报告于</w:t>
      </w:r>
      <w:r>
        <w:rPr>
          <w:rFonts w:hint="eastAsia" w:hAnsi="宋体" w:cs="宋体"/>
          <w:bCs/>
          <w:color w:val="auto"/>
          <w:sz w:val="24"/>
          <w:highlight w:val="none"/>
          <w:lang w:val="en-US" w:eastAsia="zh-CN"/>
        </w:rPr>
        <w:t>2025</w:t>
      </w:r>
      <w:r>
        <w:rPr>
          <w:rFonts w:hint="eastAsia" w:hAnsi="宋体" w:cs="宋体"/>
          <w:bCs/>
          <w:color w:val="auto"/>
          <w:sz w:val="24"/>
          <w:highlight w:val="none"/>
        </w:rPr>
        <w:t>年11月15日前完成</w:t>
      </w:r>
    </w:p>
    <w:p w14:paraId="5E3F7174">
      <w:pPr>
        <w:pStyle w:val="12"/>
        <w:snapToGrid w:val="0"/>
        <w:spacing w:beforeAutospacing="0" w:afterAutospacing="0" w:line="360" w:lineRule="auto"/>
        <w:ind w:firstLine="240" w:firstLineChars="100"/>
        <w:rPr>
          <w:rFonts w:hint="default" w:hAnsi="宋体" w:eastAsia="宋体" w:cs="宋体"/>
          <w:bCs/>
          <w:color w:val="auto"/>
          <w:sz w:val="24"/>
          <w:highlight w:val="none"/>
          <w:lang w:val="en-US" w:eastAsia="zh-CN"/>
        </w:rPr>
      </w:pPr>
      <w:r>
        <w:rPr>
          <w:rFonts w:hint="eastAsia" w:hAnsi="宋体" w:cs="宋体"/>
          <w:bCs/>
          <w:color w:val="auto"/>
          <w:sz w:val="24"/>
          <w:highlight w:val="none"/>
        </w:rPr>
        <w:t xml:space="preserve">2. </w:t>
      </w:r>
      <w:r>
        <w:rPr>
          <w:rFonts w:hint="eastAsia" w:hAnsi="宋体" w:cs="宋体"/>
          <w:color w:val="auto"/>
          <w:sz w:val="24"/>
          <w:highlight w:val="none"/>
        </w:rPr>
        <w:t>履行方式</w:t>
      </w:r>
      <w:r>
        <w:rPr>
          <w:rFonts w:hint="eastAsia" w:hAnsi="宋体" w:cs="宋体"/>
          <w:bCs/>
          <w:color w:val="auto"/>
          <w:sz w:val="24"/>
          <w:highlight w:val="none"/>
        </w:rPr>
        <w:t>：</w:t>
      </w:r>
      <w:r>
        <w:rPr>
          <w:rFonts w:hint="eastAsia" w:hAnsi="宋体" w:cs="宋体"/>
          <w:bCs/>
          <w:color w:val="auto"/>
          <w:sz w:val="24"/>
          <w:highlight w:val="none"/>
          <w:lang w:val="en-US" w:eastAsia="zh-CN"/>
        </w:rPr>
        <w:t>按招标需求完成项目内容。</w:t>
      </w:r>
    </w:p>
    <w:p w14:paraId="0ECBC647">
      <w:pPr>
        <w:pStyle w:val="12"/>
        <w:snapToGrid w:val="0"/>
        <w:spacing w:beforeAutospacing="0" w:afterAutospacing="0" w:line="360" w:lineRule="auto"/>
        <w:ind w:firstLine="240" w:firstLineChars="100"/>
        <w:rPr>
          <w:rFonts w:hint="eastAsia" w:hAnsi="宋体" w:eastAsia="宋体" w:cs="宋体"/>
          <w:color w:val="auto"/>
          <w:sz w:val="24"/>
          <w:highlight w:val="none"/>
          <w:lang w:val="en-US" w:eastAsia="zh-CN"/>
        </w:rPr>
      </w:pPr>
      <w:r>
        <w:rPr>
          <w:rFonts w:hint="eastAsia" w:hAnsi="宋体" w:cs="宋体"/>
          <w:bCs/>
          <w:color w:val="auto"/>
          <w:sz w:val="24"/>
          <w:highlight w:val="none"/>
        </w:rPr>
        <w:t xml:space="preserve">3. </w:t>
      </w:r>
      <w:r>
        <w:rPr>
          <w:rFonts w:hint="eastAsia" w:hAnsi="宋体" w:cs="宋体"/>
          <w:color w:val="auto"/>
          <w:sz w:val="24"/>
          <w:highlight w:val="none"/>
        </w:rPr>
        <w:t>履行地点</w:t>
      </w:r>
      <w:r>
        <w:rPr>
          <w:rFonts w:hint="eastAsia" w:hAnsi="宋体" w:cs="宋体"/>
          <w:bCs/>
          <w:color w:val="auto"/>
          <w:sz w:val="24"/>
          <w:highlight w:val="none"/>
        </w:rPr>
        <w:t>：</w:t>
      </w:r>
      <w:r>
        <w:rPr>
          <w:rFonts w:hint="eastAsia" w:hAnsi="宋体" w:cs="宋体"/>
          <w:bCs/>
          <w:color w:val="auto"/>
          <w:sz w:val="24"/>
          <w:highlight w:val="none"/>
          <w:lang w:val="en-US" w:eastAsia="zh-CN"/>
        </w:rPr>
        <w:t>台州市</w:t>
      </w:r>
    </w:p>
    <w:p w14:paraId="48831F3D">
      <w:pPr>
        <w:pStyle w:val="12"/>
        <w:snapToGrid w:val="0"/>
        <w:spacing w:beforeAutospacing="0" w:after="54" w:afterAutospacing="0" w:line="360" w:lineRule="auto"/>
        <w:rPr>
          <w:rFonts w:hint="eastAsia" w:hAnsi="宋体" w:cs="宋体"/>
          <w:b/>
          <w:color w:val="auto"/>
          <w:sz w:val="24"/>
          <w:highlight w:val="none"/>
          <w:lang w:val="en-US" w:eastAsia="zh-CN"/>
        </w:rPr>
      </w:pPr>
      <w:r>
        <w:rPr>
          <w:rFonts w:hint="eastAsia" w:hAnsi="宋体" w:cs="宋体"/>
          <w:b/>
          <w:color w:val="auto"/>
          <w:sz w:val="24"/>
          <w:highlight w:val="none"/>
        </w:rPr>
        <w:t>八、</w:t>
      </w:r>
      <w:r>
        <w:rPr>
          <w:rFonts w:hint="eastAsia" w:hAnsi="宋体" w:cs="宋体"/>
          <w:b/>
          <w:color w:val="auto"/>
          <w:sz w:val="24"/>
          <w:highlight w:val="none"/>
          <w:lang w:val="en-US" w:eastAsia="zh-CN"/>
        </w:rPr>
        <w:t>验收方式</w:t>
      </w:r>
    </w:p>
    <w:p w14:paraId="554AD953">
      <w:pPr>
        <w:pStyle w:val="12"/>
        <w:snapToGrid w:val="0"/>
        <w:spacing w:before="120" w:after="120" w:line="360" w:lineRule="auto"/>
        <w:ind w:firstLine="240" w:firstLineChars="100"/>
        <w:rPr>
          <w:rFonts w:hint="eastAsia" w:hAnsi="宋体" w:cs="仿宋_GB2312"/>
          <w:color w:val="auto"/>
          <w:sz w:val="24"/>
          <w:highlight w:val="none"/>
        </w:rPr>
      </w:pPr>
      <w:r>
        <w:rPr>
          <w:rFonts w:hint="eastAsia" w:hAnsi="宋体" w:cs="仿宋_GB2312"/>
          <w:color w:val="auto"/>
          <w:sz w:val="24"/>
          <w:highlight w:val="none"/>
        </w:rPr>
        <w:t>1.乙方应按要求向甲方提供服务，验收以通过甲方组织审查验收为主。乙方所提供的成果质量必须满足</w:t>
      </w:r>
      <w:r>
        <w:rPr>
          <w:rFonts w:hint="eastAsia" w:hAnsi="宋体" w:cs="仿宋_GB2312"/>
          <w:color w:val="auto"/>
          <w:sz w:val="24"/>
          <w:highlight w:val="none"/>
          <w:lang w:eastAsia="zh-CN"/>
        </w:rPr>
        <w:t>招标</w:t>
      </w:r>
      <w:r>
        <w:rPr>
          <w:rFonts w:hint="eastAsia" w:hAnsi="宋体" w:cs="仿宋_GB2312"/>
          <w:color w:val="auto"/>
          <w:sz w:val="24"/>
          <w:highlight w:val="none"/>
        </w:rPr>
        <w:t>文件中的项目需求</w:t>
      </w:r>
      <w:r>
        <w:rPr>
          <w:rFonts w:hint="eastAsia" w:hAnsi="宋体" w:cs="仿宋_GB2312"/>
          <w:color w:val="auto"/>
          <w:sz w:val="24"/>
          <w:highlight w:val="none"/>
          <w:lang w:eastAsia="zh-CN"/>
        </w:rPr>
        <w:t>，同时</w:t>
      </w:r>
      <w:r>
        <w:rPr>
          <w:rFonts w:hint="eastAsia" w:hAnsi="宋体" w:cs="仿宋_GB2312"/>
          <w:color w:val="auto"/>
          <w:sz w:val="24"/>
          <w:highlight w:val="none"/>
        </w:rPr>
        <w:t>符合本行业的质量标准。</w:t>
      </w:r>
    </w:p>
    <w:p w14:paraId="4FBAE947">
      <w:pPr>
        <w:pStyle w:val="12"/>
        <w:snapToGrid w:val="0"/>
        <w:spacing w:before="120" w:after="120" w:line="360" w:lineRule="auto"/>
        <w:ind w:firstLine="240" w:firstLineChars="100"/>
        <w:rPr>
          <w:rFonts w:hint="eastAsia" w:hAnsi="宋体" w:cs="仿宋_GB2312"/>
          <w:color w:val="auto"/>
          <w:sz w:val="24"/>
          <w:highlight w:val="none"/>
        </w:rPr>
      </w:pPr>
      <w:r>
        <w:rPr>
          <w:rFonts w:hint="eastAsia" w:hAnsi="宋体" w:cs="仿宋_GB2312"/>
          <w:color w:val="auto"/>
          <w:sz w:val="24"/>
          <w:highlight w:val="none"/>
        </w:rPr>
        <w:t>2.乙方应在约定的时间内提供相关成果。</w:t>
      </w:r>
    </w:p>
    <w:p w14:paraId="570C0F3F">
      <w:pPr>
        <w:pStyle w:val="12"/>
        <w:snapToGrid w:val="0"/>
        <w:spacing w:beforeAutospacing="0" w:afterAutospacing="0" w:line="360" w:lineRule="auto"/>
        <w:ind w:firstLine="240" w:firstLineChars="100"/>
        <w:rPr>
          <w:rFonts w:hint="eastAsia" w:hAnsi="宋体" w:cs="宋体"/>
          <w:bCs/>
          <w:color w:val="auto"/>
          <w:sz w:val="24"/>
          <w:highlight w:val="none"/>
        </w:rPr>
      </w:pPr>
      <w:r>
        <w:rPr>
          <w:rFonts w:hint="eastAsia" w:hAnsi="宋体" w:cs="仿宋_GB2312"/>
          <w:color w:val="auto"/>
          <w:sz w:val="24"/>
          <w:highlight w:val="none"/>
        </w:rPr>
        <w:t>3.甲方应在收到乙方提交的</w:t>
      </w:r>
      <w:r>
        <w:rPr>
          <w:rFonts w:hint="eastAsia" w:hAnsi="宋体" w:cs="仿宋_GB2312"/>
          <w:color w:val="auto"/>
          <w:sz w:val="24"/>
          <w:highlight w:val="none"/>
          <w:lang w:eastAsia="zh-CN"/>
        </w:rPr>
        <w:t>成果报告</w:t>
      </w:r>
      <w:r>
        <w:rPr>
          <w:rFonts w:hint="eastAsia" w:hAnsi="宋体" w:cs="仿宋_GB2312"/>
          <w:color w:val="auto"/>
          <w:sz w:val="24"/>
          <w:highlight w:val="none"/>
        </w:rPr>
        <w:t>送审稿</w:t>
      </w:r>
      <w:r>
        <w:rPr>
          <w:rFonts w:hint="eastAsia" w:hAnsi="宋体" w:cs="仿宋_GB2312"/>
          <w:color w:val="auto"/>
          <w:sz w:val="24"/>
          <w:highlight w:val="none"/>
          <w:lang w:val="en-US" w:eastAsia="zh-CN"/>
        </w:rPr>
        <w:t>3</w:t>
      </w:r>
      <w:r>
        <w:rPr>
          <w:rFonts w:hint="eastAsia" w:hAnsi="宋体" w:cs="仿宋_GB2312"/>
          <w:color w:val="auto"/>
          <w:sz w:val="24"/>
          <w:highlight w:val="none"/>
        </w:rPr>
        <w:t>0个工作日内组织开展审查。</w:t>
      </w:r>
    </w:p>
    <w:p w14:paraId="0FD8004C">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lang w:val="en-US" w:eastAsia="zh-CN"/>
        </w:rPr>
        <w:t>九、</w:t>
      </w:r>
      <w:r>
        <w:rPr>
          <w:rFonts w:hint="eastAsia" w:hAnsi="宋体" w:cs="宋体"/>
          <w:b/>
          <w:color w:val="auto"/>
          <w:sz w:val="24"/>
          <w:highlight w:val="none"/>
        </w:rPr>
        <w:t>款项支付</w:t>
      </w:r>
    </w:p>
    <w:p w14:paraId="492DE623">
      <w:pPr>
        <w:pStyle w:val="12"/>
        <w:snapToGrid w:val="0"/>
        <w:spacing w:before="120" w:after="120" w:line="360" w:lineRule="auto"/>
        <w:ind w:firstLine="240" w:firstLineChars="100"/>
        <w:rPr>
          <w:rFonts w:hint="default" w:hAnsi="宋体" w:cs="仿宋_GB2312"/>
          <w:color w:val="auto"/>
          <w:sz w:val="24"/>
          <w:highlight w:val="none"/>
          <w:lang w:val="en-US" w:eastAsia="zh-CN"/>
        </w:rPr>
      </w:pPr>
      <w:r>
        <w:rPr>
          <w:rFonts w:hint="eastAsia" w:hAnsi="宋体" w:cs="仿宋_GB2312"/>
          <w:color w:val="auto"/>
          <w:sz w:val="24"/>
          <w:highlight w:val="none"/>
          <w:lang w:val="en-US" w:eastAsia="zh-CN"/>
        </w:rPr>
        <w:t>1.</w:t>
      </w:r>
      <w:r>
        <w:rPr>
          <w:rFonts w:hint="default" w:hAnsi="宋体" w:cs="仿宋_GB2312"/>
          <w:color w:val="auto"/>
          <w:sz w:val="24"/>
          <w:highlight w:val="none"/>
          <w:lang w:val="en-US" w:eastAsia="zh-CN"/>
        </w:rPr>
        <w:t>合同签订后一个月内，</w:t>
      </w:r>
      <w:r>
        <w:rPr>
          <w:rFonts w:hint="eastAsia" w:hAnsi="宋体" w:cs="仿宋_GB2312"/>
          <w:color w:val="auto"/>
          <w:sz w:val="24"/>
          <w:highlight w:val="none"/>
          <w:lang w:val="en-US" w:eastAsia="zh-CN"/>
        </w:rPr>
        <w:t>乙方</w:t>
      </w:r>
      <w:r>
        <w:rPr>
          <w:rFonts w:hint="default" w:hAnsi="宋体" w:cs="仿宋_GB2312"/>
          <w:color w:val="auto"/>
          <w:sz w:val="24"/>
          <w:highlight w:val="none"/>
          <w:lang w:val="en-US" w:eastAsia="zh-CN"/>
        </w:rPr>
        <w:t>提交工作方案，经</w:t>
      </w:r>
      <w:r>
        <w:rPr>
          <w:rFonts w:hint="eastAsia" w:hAnsi="宋体" w:cs="仿宋_GB2312"/>
          <w:color w:val="auto"/>
          <w:sz w:val="24"/>
          <w:highlight w:val="none"/>
          <w:lang w:val="en-US" w:eastAsia="zh-CN"/>
        </w:rPr>
        <w:t>甲方</w:t>
      </w:r>
      <w:r>
        <w:rPr>
          <w:rFonts w:hint="default" w:hAnsi="宋体" w:cs="仿宋_GB2312"/>
          <w:color w:val="auto"/>
          <w:sz w:val="24"/>
          <w:highlight w:val="none"/>
          <w:lang w:val="en-US" w:eastAsia="zh-CN"/>
        </w:rPr>
        <w:t>确认后支付合同价款的50%。</w:t>
      </w:r>
    </w:p>
    <w:p w14:paraId="0B121B18">
      <w:pPr>
        <w:pStyle w:val="12"/>
        <w:snapToGrid w:val="0"/>
        <w:spacing w:beforeAutospacing="0" w:afterAutospacing="0" w:line="360" w:lineRule="auto"/>
        <w:ind w:firstLine="240" w:firstLineChars="100"/>
        <w:rPr>
          <w:rFonts w:hint="default" w:ascii="宋体" w:hAnsi="宋体" w:eastAsia="宋体" w:cs="宋体"/>
          <w:bCs/>
          <w:color w:val="auto"/>
          <w:sz w:val="24"/>
          <w:highlight w:val="none"/>
          <w:lang w:val="en-US" w:eastAsia="zh-CN"/>
        </w:rPr>
      </w:pPr>
      <w:r>
        <w:rPr>
          <w:rFonts w:hint="eastAsia" w:hAnsi="宋体" w:cs="仿宋_GB2312"/>
          <w:color w:val="auto"/>
          <w:sz w:val="24"/>
          <w:highlight w:val="none"/>
          <w:lang w:val="en-US" w:eastAsia="zh-CN"/>
        </w:rPr>
        <w:t>2.</w:t>
      </w:r>
      <w:r>
        <w:rPr>
          <w:rFonts w:hint="default" w:hAnsi="宋体" w:cs="仿宋_GB2312"/>
          <w:color w:val="auto"/>
          <w:sz w:val="24"/>
          <w:highlight w:val="none"/>
          <w:lang w:val="en-US" w:eastAsia="zh-CN"/>
        </w:rPr>
        <w:t>合同执行结束时，</w:t>
      </w:r>
      <w:r>
        <w:rPr>
          <w:rFonts w:hint="eastAsia" w:hAnsi="宋体" w:cs="仿宋_GB2312"/>
          <w:color w:val="auto"/>
          <w:sz w:val="24"/>
          <w:highlight w:val="none"/>
          <w:lang w:val="en-US" w:eastAsia="zh-CN"/>
        </w:rPr>
        <w:t>乙方</w:t>
      </w:r>
      <w:r>
        <w:rPr>
          <w:rFonts w:hint="default" w:hAnsi="宋体" w:cs="仿宋_GB2312"/>
          <w:color w:val="auto"/>
          <w:sz w:val="24"/>
          <w:highlight w:val="none"/>
          <w:lang w:val="en-US" w:eastAsia="zh-CN"/>
        </w:rPr>
        <w:t>提交成果</w:t>
      </w:r>
      <w:r>
        <w:rPr>
          <w:rFonts w:hint="eastAsia" w:hAnsi="宋体" w:cs="仿宋_GB2312"/>
          <w:color w:val="auto"/>
          <w:sz w:val="24"/>
          <w:highlight w:val="none"/>
          <w:lang w:val="en-US" w:eastAsia="zh-CN"/>
        </w:rPr>
        <w:t>报告</w:t>
      </w:r>
      <w:r>
        <w:rPr>
          <w:rFonts w:hint="default" w:hAnsi="宋体" w:cs="仿宋_GB2312"/>
          <w:color w:val="auto"/>
          <w:sz w:val="24"/>
          <w:highlight w:val="none"/>
          <w:lang w:val="en-US" w:eastAsia="zh-CN"/>
        </w:rPr>
        <w:t>，经</w:t>
      </w:r>
      <w:r>
        <w:rPr>
          <w:rFonts w:hint="eastAsia" w:hAnsi="宋体" w:cs="仿宋_GB2312"/>
          <w:color w:val="auto"/>
          <w:sz w:val="24"/>
          <w:highlight w:val="none"/>
          <w:lang w:val="en-US" w:eastAsia="zh-CN"/>
        </w:rPr>
        <w:t>甲方</w:t>
      </w:r>
      <w:r>
        <w:rPr>
          <w:rFonts w:hint="default" w:hAnsi="宋体" w:cs="仿宋_GB2312"/>
          <w:color w:val="auto"/>
          <w:sz w:val="24"/>
          <w:highlight w:val="none"/>
          <w:lang w:val="en-US" w:eastAsia="zh-CN"/>
        </w:rPr>
        <w:t>组织验收后</w:t>
      </w:r>
      <w:r>
        <w:rPr>
          <w:rFonts w:hint="eastAsia" w:hAnsi="宋体" w:cs="宋体"/>
          <w:color w:val="auto"/>
          <w:sz w:val="24"/>
          <w:highlight w:val="none"/>
          <w:lang w:val="en-US" w:eastAsia="zh-CN"/>
        </w:rPr>
        <w:t>30个工作日</w:t>
      </w:r>
      <w:r>
        <w:rPr>
          <w:rFonts w:hint="eastAsia" w:hAnsi="宋体" w:cs="宋体"/>
          <w:color w:val="auto"/>
          <w:sz w:val="24"/>
          <w:highlight w:val="none"/>
          <w:lang w:eastAsia="zh-CN"/>
        </w:rPr>
        <w:t>内</w:t>
      </w:r>
      <w:r>
        <w:rPr>
          <w:rFonts w:hint="default" w:hAnsi="宋体" w:cs="仿宋_GB2312"/>
          <w:color w:val="auto"/>
          <w:sz w:val="24"/>
          <w:highlight w:val="none"/>
          <w:lang w:val="en-US" w:eastAsia="zh-CN"/>
        </w:rPr>
        <w:t>支付余款。</w:t>
      </w:r>
    </w:p>
    <w:p w14:paraId="7DF835D5">
      <w:pPr>
        <w:pStyle w:val="12"/>
        <w:snapToGrid w:val="0"/>
        <w:spacing w:beforeAutospacing="0" w:afterAutospacing="0" w:line="360" w:lineRule="auto"/>
        <w:ind w:firstLine="240" w:firstLineChars="1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注：甲方</w:t>
      </w:r>
      <w:r>
        <w:rPr>
          <w:rFonts w:hint="default" w:ascii="宋体" w:hAnsi="宋体" w:eastAsia="宋体" w:cs="宋体"/>
          <w:bCs/>
          <w:color w:val="auto"/>
          <w:sz w:val="24"/>
          <w:highlight w:val="none"/>
          <w:lang w:val="en-US" w:eastAsia="zh-CN"/>
        </w:rPr>
        <w:t>每次付款前，</w:t>
      </w:r>
      <w:r>
        <w:rPr>
          <w:rFonts w:hint="eastAsia" w:ascii="宋体" w:hAnsi="宋体" w:eastAsia="宋体" w:cs="宋体"/>
          <w:bCs/>
          <w:color w:val="auto"/>
          <w:sz w:val="24"/>
          <w:highlight w:val="none"/>
          <w:lang w:val="en-US" w:eastAsia="zh-CN"/>
        </w:rPr>
        <w:t>乙方</w:t>
      </w:r>
      <w:r>
        <w:rPr>
          <w:rFonts w:hint="default" w:ascii="宋体" w:hAnsi="宋体" w:eastAsia="宋体" w:cs="宋体"/>
          <w:bCs/>
          <w:color w:val="auto"/>
          <w:sz w:val="24"/>
          <w:highlight w:val="none"/>
          <w:lang w:val="en-US" w:eastAsia="zh-CN"/>
        </w:rPr>
        <w:t>应向采购人开具等额有效的增值税发票，</w:t>
      </w:r>
      <w:r>
        <w:rPr>
          <w:rFonts w:hint="eastAsia" w:ascii="宋体" w:hAnsi="宋体" w:eastAsia="宋体" w:cs="宋体"/>
          <w:bCs/>
          <w:color w:val="auto"/>
          <w:sz w:val="24"/>
          <w:highlight w:val="none"/>
          <w:lang w:val="en-US" w:eastAsia="zh-CN"/>
        </w:rPr>
        <w:t>甲方</w:t>
      </w:r>
      <w:r>
        <w:rPr>
          <w:rFonts w:hint="default" w:ascii="宋体" w:hAnsi="宋体" w:eastAsia="宋体" w:cs="宋体"/>
          <w:bCs/>
          <w:color w:val="auto"/>
          <w:sz w:val="24"/>
          <w:highlight w:val="none"/>
          <w:lang w:val="en-US" w:eastAsia="zh-CN"/>
        </w:rPr>
        <w:t>未收到发票的，有权不予支付相应款项，并不承担延迟付款责任。</w:t>
      </w:r>
    </w:p>
    <w:p w14:paraId="4B593866">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lang w:val="en-US" w:eastAsia="zh-CN"/>
        </w:rPr>
        <w:t>十</w:t>
      </w:r>
      <w:r>
        <w:rPr>
          <w:rFonts w:hint="eastAsia" w:hAnsi="宋体" w:cs="宋体"/>
          <w:b/>
          <w:color w:val="auto"/>
          <w:sz w:val="24"/>
          <w:highlight w:val="none"/>
        </w:rPr>
        <w:t>、税费</w:t>
      </w:r>
    </w:p>
    <w:p w14:paraId="0728B322">
      <w:pPr>
        <w:snapToGrid w:val="0"/>
        <w:spacing w:beforeAutospacing="0" w:afterAutospacing="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38CB2D8C">
      <w:pPr>
        <w:pStyle w:val="12"/>
        <w:snapToGrid w:val="0"/>
        <w:spacing w:beforeAutospacing="0" w:afterAutospacing="0" w:line="360" w:lineRule="auto"/>
        <w:ind w:left="412" w:hanging="412" w:hangingChars="171"/>
        <w:rPr>
          <w:rFonts w:hint="eastAsia" w:hAnsi="宋体" w:cs="宋体"/>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一</w:t>
      </w:r>
      <w:r>
        <w:rPr>
          <w:rFonts w:hint="eastAsia" w:hAnsi="宋体" w:cs="宋体"/>
          <w:b/>
          <w:color w:val="auto"/>
          <w:sz w:val="24"/>
          <w:highlight w:val="none"/>
        </w:rPr>
        <w:t>、质量保证及后续服务</w:t>
      </w:r>
    </w:p>
    <w:p w14:paraId="08BCCCA8">
      <w:pPr>
        <w:pStyle w:val="12"/>
        <w:snapToGrid w:val="0"/>
        <w:spacing w:beforeAutospacing="0" w:afterAutospacing="0" w:line="360" w:lineRule="auto"/>
        <w:ind w:left="0" w:leftChars="0" w:firstLine="240" w:firstLineChars="100"/>
        <w:rPr>
          <w:rFonts w:hint="eastAsia" w:hAnsi="宋体" w:cs="宋体"/>
          <w:b w:val="0"/>
          <w:bCs/>
          <w:color w:val="auto"/>
          <w:sz w:val="24"/>
          <w:highlight w:val="none"/>
        </w:rPr>
      </w:pPr>
      <w:r>
        <w:rPr>
          <w:rFonts w:hint="eastAsia" w:hAnsi="宋体" w:cs="宋体"/>
          <w:b w:val="0"/>
          <w:bCs/>
          <w:color w:val="auto"/>
          <w:sz w:val="24"/>
          <w:highlight w:val="none"/>
        </w:rPr>
        <w:t>1．</w:t>
      </w:r>
      <w:r>
        <w:rPr>
          <w:rFonts w:hint="eastAsia" w:hAnsi="宋体" w:cs="宋体"/>
          <w:b w:val="0"/>
          <w:bCs/>
          <w:color w:val="auto"/>
          <w:sz w:val="24"/>
          <w:highlight w:val="none"/>
          <w:lang w:val="en-US" w:eastAsia="zh-CN"/>
        </w:rPr>
        <w:t>乙方应按不低于招标文件、投标文件、本合同规定和承诺的标准向甲方提供成果、服务</w:t>
      </w:r>
      <w:r>
        <w:rPr>
          <w:rFonts w:hint="eastAsia" w:hAnsi="宋体" w:cs="宋体"/>
          <w:b w:val="0"/>
          <w:bCs/>
          <w:color w:val="auto"/>
          <w:sz w:val="24"/>
          <w:highlight w:val="none"/>
        </w:rPr>
        <w:t>。</w:t>
      </w:r>
    </w:p>
    <w:p w14:paraId="62CAA76D">
      <w:pPr>
        <w:pStyle w:val="12"/>
        <w:snapToGrid w:val="0"/>
        <w:spacing w:beforeAutospacing="0" w:afterAutospacing="0" w:line="360" w:lineRule="auto"/>
        <w:ind w:left="0" w:leftChars="0" w:firstLine="240" w:firstLineChars="100"/>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乙方提供的服务成果得不到认可的，乙方应负责免费提供后续服务，直到得到认可为止。对达不到要求者，根据实际情况，经双方协商，可按以下办法处理</w:t>
      </w:r>
      <w:r>
        <w:rPr>
          <w:rFonts w:hint="eastAsia" w:hAnsi="宋体" w:cs="宋体"/>
          <w:b w:val="0"/>
          <w:bCs/>
          <w:color w:val="auto"/>
          <w:sz w:val="24"/>
          <w:highlight w:val="none"/>
        </w:rPr>
        <w:t>：</w:t>
      </w:r>
    </w:p>
    <w:p w14:paraId="6D450484">
      <w:pPr>
        <w:pStyle w:val="12"/>
        <w:snapToGrid w:val="0"/>
        <w:spacing w:beforeAutospacing="0" w:afterAutospacing="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⑴重做：</w:t>
      </w:r>
      <w:r>
        <w:rPr>
          <w:rFonts w:hint="eastAsia" w:hAnsi="宋体" w:cs="宋体"/>
          <w:b w:val="0"/>
          <w:bCs/>
          <w:color w:val="auto"/>
          <w:sz w:val="24"/>
          <w:highlight w:val="none"/>
          <w:lang w:val="en-US" w:eastAsia="zh-CN"/>
        </w:rPr>
        <w:t>由乙方承担所发生的全部费用。如乙方重做的成果未在本合同约定期限内得到评审专家认可、完成终验的，甲方有权追究乙方违约责任</w:t>
      </w:r>
      <w:r>
        <w:rPr>
          <w:rFonts w:hint="eastAsia" w:hAnsi="宋体" w:cs="宋体"/>
          <w:b w:val="0"/>
          <w:bCs/>
          <w:color w:val="auto"/>
          <w:sz w:val="24"/>
          <w:highlight w:val="none"/>
        </w:rPr>
        <w:t>。</w:t>
      </w:r>
    </w:p>
    <w:p w14:paraId="49C50F30">
      <w:pPr>
        <w:pStyle w:val="12"/>
        <w:snapToGrid w:val="0"/>
        <w:spacing w:beforeAutospacing="0" w:afterAutospacing="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⑵贬值处理：由甲乙双方合议定价。</w:t>
      </w:r>
    </w:p>
    <w:p w14:paraId="128F9CCE">
      <w:pPr>
        <w:pStyle w:val="12"/>
        <w:snapToGrid w:val="0"/>
        <w:spacing w:beforeAutospacing="0" w:afterAutospacing="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⑶解除合同。</w:t>
      </w:r>
    </w:p>
    <w:p w14:paraId="09F45B58">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b w:val="0"/>
          <w:bCs/>
          <w:color w:val="auto"/>
          <w:sz w:val="24"/>
          <w:highlight w:val="none"/>
        </w:rPr>
        <w:t>3．</w:t>
      </w:r>
      <w:r>
        <w:rPr>
          <w:rFonts w:hint="eastAsia" w:hAnsi="宋体" w:cs="宋体"/>
          <w:b w:val="0"/>
          <w:bCs/>
          <w:color w:val="auto"/>
          <w:sz w:val="24"/>
          <w:highlight w:val="none"/>
          <w:lang w:val="en-US" w:eastAsia="zh-CN"/>
        </w:rPr>
        <w:t>合同履行完毕后，如发现存在缺失、错误或其他原因需对项目成果进行调整或修改的，乙方需负责免费对项目成果进行调整或修改</w:t>
      </w:r>
      <w:r>
        <w:rPr>
          <w:rFonts w:hint="eastAsia" w:hAnsi="宋体" w:cs="宋体"/>
          <w:b w:val="0"/>
          <w:bCs/>
          <w:color w:val="auto"/>
          <w:sz w:val="24"/>
          <w:highlight w:val="none"/>
        </w:rPr>
        <w:t>。</w:t>
      </w:r>
    </w:p>
    <w:p w14:paraId="54497996">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二</w:t>
      </w:r>
      <w:r>
        <w:rPr>
          <w:rFonts w:hint="eastAsia" w:hAnsi="宋体" w:cs="宋体"/>
          <w:b/>
          <w:color w:val="auto"/>
          <w:sz w:val="24"/>
          <w:highlight w:val="none"/>
        </w:rPr>
        <w:t>、违约责任</w:t>
      </w:r>
    </w:p>
    <w:p w14:paraId="7D5CCEC6">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1.甲方违约责任</w:t>
      </w:r>
    </w:p>
    <w:p w14:paraId="0131E67B">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（1）甲方无正当理由</w:t>
      </w:r>
      <w:r>
        <w:rPr>
          <w:rFonts w:hint="eastAsia" w:hAnsi="宋体" w:cs="宋体"/>
          <w:color w:val="auto"/>
          <w:sz w:val="24"/>
          <w:highlight w:val="none"/>
          <w:lang w:eastAsia="zh-CN"/>
        </w:rPr>
        <w:t>拒绝</w:t>
      </w:r>
      <w:r>
        <w:rPr>
          <w:rFonts w:hint="eastAsia" w:hAnsi="宋体" w:cs="宋体"/>
          <w:color w:val="auto"/>
          <w:sz w:val="24"/>
          <w:highlight w:val="none"/>
        </w:rPr>
        <w:t>接受服务，甲方向乙方偿付本合同总金额的5%的违约金。</w:t>
      </w:r>
    </w:p>
    <w:p w14:paraId="7E914B57">
      <w:pPr>
        <w:pStyle w:val="12"/>
        <w:numPr>
          <w:ilvl w:val="255"/>
          <w:numId w:val="0"/>
        </w:numPr>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eastAsia="zh-CN"/>
        </w:rPr>
        <w:t>乙方提交最终成果报告后，</w:t>
      </w:r>
      <w:r>
        <w:rPr>
          <w:rFonts w:hint="eastAsia" w:hAnsi="宋体" w:cs="宋体"/>
          <w:color w:val="auto"/>
          <w:sz w:val="24"/>
          <w:highlight w:val="none"/>
        </w:rPr>
        <w:t>甲方无故</w:t>
      </w:r>
      <w:r>
        <w:rPr>
          <w:rFonts w:hint="eastAsia" w:hAnsi="宋体" w:cs="宋体"/>
          <w:color w:val="auto"/>
          <w:sz w:val="24"/>
          <w:highlight w:val="none"/>
          <w:lang w:eastAsia="zh-CN"/>
        </w:rPr>
        <w:t>逾期</w:t>
      </w:r>
      <w:r>
        <w:rPr>
          <w:rFonts w:hint="eastAsia" w:hAnsi="宋体" w:cs="宋体"/>
          <w:color w:val="auto"/>
          <w:sz w:val="24"/>
          <w:highlight w:val="none"/>
        </w:rPr>
        <w:t>办理款项支付手续的</w:t>
      </w:r>
      <w:r>
        <w:rPr>
          <w:rFonts w:hint="eastAsia" w:hAnsi="宋体" w:cs="宋体"/>
          <w:color w:val="auto"/>
          <w:sz w:val="24"/>
          <w:highlight w:val="none"/>
          <w:lang w:eastAsia="zh-CN"/>
        </w:rPr>
        <w:t>，从组织验收后</w:t>
      </w:r>
      <w:r>
        <w:rPr>
          <w:rFonts w:hint="eastAsia" w:hAnsi="宋体" w:cs="宋体"/>
          <w:color w:val="auto"/>
          <w:sz w:val="24"/>
          <w:highlight w:val="none"/>
          <w:lang w:val="en-US" w:eastAsia="zh-CN"/>
        </w:rPr>
        <w:t>30个工作日起</w:t>
      </w:r>
      <w:r>
        <w:rPr>
          <w:rFonts w:hint="eastAsia" w:hAnsi="宋体" w:cs="宋体"/>
          <w:color w:val="auto"/>
          <w:sz w:val="24"/>
          <w:highlight w:val="none"/>
          <w:lang w:eastAsia="zh-CN"/>
        </w:rPr>
        <w:t>，</w:t>
      </w:r>
      <w:r>
        <w:rPr>
          <w:rFonts w:hint="eastAsia" w:hAnsi="宋体" w:cs="宋体"/>
          <w:color w:val="auto"/>
          <w:sz w:val="24"/>
          <w:highlight w:val="none"/>
        </w:rPr>
        <w:t>甲方按逾期付款总额每日万分之五向乙方支付违约金，但最高不超过合同总金额的20%。</w:t>
      </w:r>
    </w:p>
    <w:p w14:paraId="1A4143FB">
      <w:pPr>
        <w:pStyle w:val="12"/>
        <w:numPr>
          <w:ilvl w:val="255"/>
          <w:numId w:val="0"/>
        </w:numPr>
        <w:snapToGrid w:val="0"/>
        <w:spacing w:before="120" w:after="120" w:line="360" w:lineRule="auto"/>
        <w:ind w:left="210" w:leftChars="100"/>
        <w:rPr>
          <w:rFonts w:hint="eastAsia" w:hAnsi="宋体" w:cs="宋体"/>
          <w:color w:val="auto"/>
          <w:sz w:val="24"/>
          <w:highlight w:val="none"/>
        </w:rPr>
      </w:pPr>
      <w:r>
        <w:rPr>
          <w:rFonts w:hint="eastAsia" w:hAnsi="宋体" w:cs="宋体"/>
          <w:color w:val="auto"/>
          <w:sz w:val="24"/>
          <w:highlight w:val="none"/>
        </w:rPr>
        <w:t>2.乙方违约责任</w:t>
      </w:r>
    </w:p>
    <w:p w14:paraId="25FE2A78">
      <w:pPr>
        <w:autoSpaceDE w:val="0"/>
        <w:autoSpaceDN w:val="0"/>
        <w:adjustRightInd w:val="0"/>
        <w:snapToGrid w:val="0"/>
        <w:spacing w:line="360" w:lineRule="auto"/>
        <w:ind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（1）</w:t>
      </w:r>
      <w:r>
        <w:rPr>
          <w:rFonts w:hint="eastAsia" w:ascii="宋体" w:hAnsi="宋体" w:eastAsia="宋体" w:cs="宋体"/>
          <w:color w:val="auto"/>
          <w:sz w:val="24"/>
          <w:highlight w:val="none"/>
        </w:rPr>
        <w:t>乙方无故未按合同约定的工作内容与技术要求提供服务，致使服务内容与服务成果不符合要求，乙方应向甲方承担本合同总金额5%的违约金。经整改后仍不符合要求或成果验收不合格的，甲方有权解除合同，并要求乙方返还甲方已支付的款项，并且乙方应向甲方承担本合同总金额10%的违约金</w:t>
      </w:r>
      <w:r>
        <w:rPr>
          <w:rFonts w:hint="eastAsia" w:ascii="宋体" w:hAnsi="宋体" w:eastAsia="宋体" w:cs="宋体"/>
          <w:color w:val="auto"/>
          <w:sz w:val="24"/>
          <w:highlight w:val="none"/>
          <w:lang w:eastAsia="zh-CN"/>
        </w:rPr>
        <w:t>，</w:t>
      </w:r>
      <w:r>
        <w:rPr>
          <w:rFonts w:hint="eastAsia" w:ascii="宋体" w:hAnsi="宋体" w:eastAsia="宋体" w:cs="宋体"/>
          <w:color w:val="auto"/>
          <w:kern w:val="2"/>
          <w:sz w:val="24"/>
          <w:szCs w:val="24"/>
          <w:highlight w:val="none"/>
          <w:lang w:val="en-US" w:eastAsia="zh-CN" w:bidi="ar-SA"/>
        </w:rPr>
        <w:t>如造成甲方损失超过违约金的，超出部分由乙方继续承担赔偿责任</w:t>
      </w:r>
      <w:r>
        <w:rPr>
          <w:rFonts w:hint="eastAsia" w:ascii="宋体" w:hAnsi="宋体" w:eastAsia="宋体" w:cs="宋体"/>
          <w:color w:val="auto"/>
          <w:sz w:val="24"/>
          <w:highlight w:val="none"/>
        </w:rPr>
        <w:t>。</w:t>
      </w:r>
    </w:p>
    <w:p w14:paraId="6003840F">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2）乙方无故未按合同约定期限完成的，逾期按1000元/日承担违约责任（提前完成的不奖），逾期超过15日仍未完成的，甲方有权解除合同，乙方除向甲方返还已支付的合同款之外，还应向甲方支付本合同总金额5%的违约金，如造成甲方损失超过违约金的，超出部分由乙方继续承担赔偿责任。</w:t>
      </w:r>
    </w:p>
    <w:p w14:paraId="18E07825">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乙方无故未按合同保密约定执行，留存、使用、转让合同成果，或违反保密义务向第三方泄露项目资料的，甲方有权解除本合同，乙方除向甲方返还已支付的合同款之外，还应向甲方支付本合同总金额5%的违约金，如造成甲方损失超过违约金的，超出部分由乙方继续承担赔偿责任。</w:t>
      </w:r>
    </w:p>
    <w:p w14:paraId="3BFC5F50">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三</w:t>
      </w:r>
      <w:r>
        <w:rPr>
          <w:rFonts w:hint="eastAsia" w:hAnsi="宋体" w:cs="宋体"/>
          <w:b/>
          <w:color w:val="auto"/>
          <w:sz w:val="24"/>
          <w:highlight w:val="none"/>
        </w:rPr>
        <w:t>、不可抗力事件处理</w:t>
      </w:r>
    </w:p>
    <w:p w14:paraId="1D821960">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14:paraId="3BA13ABC">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14:paraId="117EAAFD">
      <w:pPr>
        <w:pStyle w:val="12"/>
        <w:snapToGrid w:val="0"/>
        <w:spacing w:beforeAutospacing="0" w:afterAutospacing="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3．不可抗力事件延续120天以上，双方应通过友好协商，确定是否继续履行合同。</w:t>
      </w:r>
    </w:p>
    <w:p w14:paraId="7C0EB186">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四</w:t>
      </w:r>
      <w:r>
        <w:rPr>
          <w:rFonts w:hint="eastAsia" w:hAnsi="宋体" w:cs="宋体"/>
          <w:b/>
          <w:color w:val="auto"/>
          <w:sz w:val="24"/>
          <w:highlight w:val="none"/>
        </w:rPr>
        <w:t>、争议的解决办法</w:t>
      </w:r>
    </w:p>
    <w:p w14:paraId="570B1FD5">
      <w:pPr>
        <w:pStyle w:val="12"/>
        <w:snapToGrid w:val="0"/>
        <w:spacing w:beforeAutospacing="0" w:after="0" w:line="360" w:lineRule="auto"/>
        <w:ind w:left="0" w:leftChars="0" w:firstLine="240" w:firstLineChars="100"/>
        <w:jc w:val="left"/>
        <w:rPr>
          <w:rFonts w:hint="eastAsia" w:hAnsi="宋体" w:cs="宋体"/>
          <w:b w:val="0"/>
          <w:bCs/>
          <w:color w:val="auto"/>
          <w:sz w:val="24"/>
          <w:highlight w:val="none"/>
        </w:rPr>
      </w:pPr>
      <w:r>
        <w:rPr>
          <w:rFonts w:hint="eastAsia" w:hAnsi="宋体" w:cs="宋体"/>
          <w:b w:val="0"/>
          <w:bCs/>
          <w:color w:val="auto"/>
          <w:sz w:val="24"/>
          <w:highlight w:val="none"/>
        </w:rPr>
        <w:t>1.采购文件、投标文件也是合同的组成部分。凡有关本合同或执行本合同中发生的争端，双方应通过友好协商，妥善解决。如通过协商不能解决时，可向台州仲裁委员会申请调解或仲裁。</w:t>
      </w:r>
    </w:p>
    <w:p w14:paraId="3C8C5851">
      <w:pPr>
        <w:pStyle w:val="12"/>
        <w:snapToGrid w:val="0"/>
        <w:spacing w:before="0" w:afterAutospacing="0" w:line="360" w:lineRule="auto"/>
        <w:ind w:left="0" w:leftChars="0" w:firstLine="240" w:firstLineChars="100"/>
        <w:jc w:val="left"/>
        <w:rPr>
          <w:rFonts w:hint="eastAsia" w:hAnsi="宋体" w:cs="宋体"/>
          <w:b w:val="0"/>
          <w:bCs/>
          <w:color w:val="auto"/>
          <w:sz w:val="24"/>
          <w:highlight w:val="none"/>
        </w:rPr>
      </w:pPr>
      <w:r>
        <w:rPr>
          <w:rFonts w:hint="eastAsia" w:hAnsi="宋体" w:cs="宋体"/>
          <w:b w:val="0"/>
          <w:bCs/>
          <w:color w:val="auto"/>
          <w:sz w:val="24"/>
          <w:highlight w:val="none"/>
        </w:rPr>
        <w:t>2.为维护自身合法权益产生的一切费用（包括但不限于差旅费、律师费、仲裁费、诉讼费、保全费等）由违约方承担。</w:t>
      </w:r>
    </w:p>
    <w:p w14:paraId="1B07C048">
      <w:pPr>
        <w:pStyle w:val="12"/>
        <w:snapToGrid w:val="0"/>
        <w:spacing w:beforeAutospacing="0" w:afterAutospacing="0" w:line="360" w:lineRule="auto"/>
        <w:ind w:left="0" w:leftChars="0" w:firstLine="240" w:firstLineChars="100"/>
        <w:rPr>
          <w:rFonts w:hint="eastAsia" w:hAnsi="宋体" w:cs="宋体"/>
          <w:b w:val="0"/>
          <w:bCs/>
          <w:color w:val="auto"/>
          <w:sz w:val="24"/>
          <w:highlight w:val="none"/>
        </w:rPr>
      </w:pPr>
      <w:r>
        <w:rPr>
          <w:rFonts w:hint="eastAsia" w:hAnsi="宋体" w:cs="宋体"/>
          <w:b w:val="0"/>
          <w:bCs/>
          <w:color w:val="auto"/>
          <w:sz w:val="24"/>
          <w:highlight w:val="none"/>
        </w:rPr>
        <w:t>3.在仲裁期间，除正在进行仲裁的部分外，本合同其他部分应继续执行。</w:t>
      </w:r>
    </w:p>
    <w:p w14:paraId="1AF3F5A0">
      <w:pPr>
        <w:pStyle w:val="12"/>
        <w:snapToGrid w:val="0"/>
        <w:spacing w:beforeAutospacing="0" w:afterAutospacing="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五</w:t>
      </w:r>
      <w:r>
        <w:rPr>
          <w:rFonts w:hint="eastAsia" w:hAnsi="宋体" w:cs="宋体"/>
          <w:b/>
          <w:color w:val="auto"/>
          <w:sz w:val="24"/>
          <w:highlight w:val="none"/>
        </w:rPr>
        <w:t>、合同生效及其它</w:t>
      </w:r>
    </w:p>
    <w:p w14:paraId="77DD8D43">
      <w:pPr>
        <w:pStyle w:val="12"/>
        <w:snapToGrid w:val="0"/>
        <w:spacing w:beforeAutospacing="0" w:afterAutospacing="0" w:line="360" w:lineRule="auto"/>
        <w:ind w:firstLine="240" w:firstLineChars="100"/>
        <w:rPr>
          <w:rFonts w:hint="eastAsia" w:hAnsi="宋体" w:cs="宋体"/>
          <w:color w:val="auto"/>
          <w:sz w:val="24"/>
          <w:highlight w:val="none"/>
        </w:rPr>
      </w:pPr>
      <w:r>
        <w:rPr>
          <w:rFonts w:hint="eastAsia" w:hAnsi="宋体" w:cs="宋体"/>
          <w:color w:val="auto"/>
          <w:sz w:val="24"/>
          <w:highlight w:val="none"/>
        </w:rPr>
        <w:t>1.合同经双方法定代表人或授权代表签字并加盖单位公章后生效。</w:t>
      </w:r>
    </w:p>
    <w:p w14:paraId="12AFEDB2">
      <w:pPr>
        <w:pStyle w:val="12"/>
        <w:snapToGrid w:val="0"/>
        <w:spacing w:beforeAutospacing="0" w:afterAutospacing="0" w:line="360" w:lineRule="auto"/>
        <w:ind w:left="479" w:leftChars="114" w:hanging="240" w:hangingChars="100"/>
        <w:rPr>
          <w:rFonts w:hint="eastAsia" w:hAnsi="宋体" w:cs="宋体"/>
          <w:color w:val="auto"/>
          <w:sz w:val="24"/>
          <w:highlight w:val="none"/>
        </w:rPr>
      </w:pPr>
      <w:r>
        <w:rPr>
          <w:rFonts w:hint="eastAsia" w:hAnsi="宋体" w:cs="宋体"/>
          <w:color w:val="auto"/>
          <w:sz w:val="24"/>
          <w:highlight w:val="none"/>
        </w:rPr>
        <w:t>2.本合同未尽事宜，遵照《民法典》有关条文执行。</w:t>
      </w:r>
    </w:p>
    <w:p w14:paraId="7CB124D8">
      <w:pPr>
        <w:widowControl/>
        <w:spacing w:beforeAutospacing="0" w:afterAutospacing="0"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本合同一式</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份。甲、乙双方各执</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份。本项目未尽事宜以采购文件、投标文件及澄清文件等为准。</w:t>
      </w:r>
    </w:p>
    <w:p w14:paraId="0D82D93D">
      <w:pPr>
        <w:spacing w:beforeAutospacing="0" w:after="156" w:afterLines="50" w:line="360" w:lineRule="auto"/>
        <w:rPr>
          <w:rFonts w:ascii="宋体" w:hAnsi="宋体" w:cs="宋体"/>
          <w:b/>
          <w:color w:val="auto"/>
          <w:sz w:val="24"/>
          <w:highlight w:val="none"/>
        </w:rPr>
      </w:pPr>
      <w:r>
        <w:rPr>
          <w:rFonts w:hint="eastAsia" w:ascii="宋体" w:hAnsi="宋体" w:cs="宋体"/>
          <w:b/>
          <w:color w:val="auto"/>
          <w:sz w:val="24"/>
          <w:highlight w:val="none"/>
        </w:rPr>
        <w:t>甲方：                                   乙方：</w:t>
      </w:r>
    </w:p>
    <w:p w14:paraId="1DA61BBC">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地址：                                   地址：</w:t>
      </w:r>
    </w:p>
    <w:p w14:paraId="5F624AC7">
      <w:pPr>
        <w:spacing w:before="156" w:beforeLines="50" w:after="156" w:afterLines="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法定(授权)代表人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法定(授权)代表人</w:t>
      </w:r>
      <w:r>
        <w:rPr>
          <w:rFonts w:hint="eastAsia" w:ascii="宋体" w:hAnsi="宋体" w:cs="宋体"/>
          <w:color w:val="auto"/>
          <w:sz w:val="24"/>
          <w:highlight w:val="none"/>
          <w:lang w:eastAsia="zh-CN"/>
        </w:rPr>
        <w:t>：</w:t>
      </w:r>
    </w:p>
    <w:p w14:paraId="69C361E0">
      <w:pPr>
        <w:pStyle w:val="5"/>
        <w:spacing w:line="360" w:lineRule="auto"/>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签字日期：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签字日期</w:t>
      </w:r>
      <w:r>
        <w:rPr>
          <w:rFonts w:hint="eastAsia" w:ascii="宋体" w:hAnsi="宋体" w:cs="宋体"/>
          <w:color w:val="auto"/>
          <w:sz w:val="24"/>
          <w:szCs w:val="24"/>
          <w:highlight w:val="none"/>
          <w:lang w:eastAsia="zh-CN"/>
        </w:rPr>
        <w:t>：</w:t>
      </w:r>
    </w:p>
    <w:p w14:paraId="3B242552">
      <w:pPr>
        <w:rPr>
          <w:rFonts w:hint="eastAsia" w:ascii="宋体" w:hAnsi="宋体" w:cs="宋体"/>
          <w:color w:val="auto"/>
          <w:sz w:val="24"/>
          <w:szCs w:val="24"/>
          <w:highlight w:val="none"/>
          <w:lang w:eastAsia="zh-CN"/>
        </w:rPr>
      </w:pPr>
    </w:p>
    <w:p w14:paraId="32C78FC0">
      <w:pPr>
        <w:kinsoku/>
        <w:wordWrap/>
        <w:topLinePunct w:val="0"/>
        <w:bidi w:val="0"/>
        <w:adjustRightInd/>
        <w:snapToGrid/>
        <w:spacing w:before="157" w:beforeLines="50" w:line="360" w:lineRule="auto"/>
        <w:ind w:firstLine="221" w:firstLineChars="100"/>
        <w:jc w:val="both"/>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注：本合同作为示范文本，具体以成交供应商与采购人所签定正式合同为准。</w:t>
      </w:r>
    </w:p>
    <w:p w14:paraId="2D215ABA">
      <w:pPr>
        <w:kinsoku/>
        <w:wordWrap/>
        <w:topLinePunct w:val="0"/>
        <w:bidi w:val="0"/>
        <w:adjustRightInd/>
        <w:snapToGrid/>
        <w:spacing w:before="157" w:beforeLines="50" w:line="360" w:lineRule="auto"/>
        <w:ind w:firstLine="210" w:firstLineChars="100"/>
        <w:jc w:val="both"/>
        <w:rPr>
          <w:rFonts w:hint="eastAsia" w:ascii="宋体" w:hAnsi="宋体" w:eastAsia="宋体" w:cs="宋体"/>
          <w:color w:val="auto"/>
          <w:sz w:val="21"/>
          <w:szCs w:val="21"/>
          <w:highlight w:val="none"/>
        </w:rPr>
      </w:pPr>
    </w:p>
    <w:p w14:paraId="079FED2C">
      <w:pPr>
        <w:rPr>
          <w:rFonts w:hint="eastAsia"/>
          <w:color w:val="auto"/>
          <w:highlight w:val="none"/>
          <w:lang w:eastAsia="zh-CN"/>
        </w:rPr>
        <w:sectPr>
          <w:pgSz w:w="11906" w:h="16838"/>
          <w:pgMar w:top="1247" w:right="1361" w:bottom="1247" w:left="1361" w:header="851" w:footer="851" w:gutter="0"/>
          <w:cols w:space="720" w:num="1"/>
          <w:docGrid w:type="lines" w:linePitch="312" w:charSpace="0"/>
        </w:sectPr>
      </w:pPr>
    </w:p>
    <w:p w14:paraId="576E168D">
      <w:pPr>
        <w:widowControl/>
        <w:jc w:val="center"/>
        <w:rPr>
          <w:rFonts w:ascii="宋体" w:hAnsi="宋体"/>
          <w:b/>
          <w:color w:val="auto"/>
          <w:sz w:val="36"/>
          <w:szCs w:val="36"/>
          <w:highlight w:val="none"/>
        </w:rPr>
      </w:pPr>
      <w:r>
        <w:rPr>
          <w:rFonts w:hint="eastAsia" w:ascii="宋体" w:hAnsi="宋体"/>
          <w:b/>
          <w:color w:val="auto"/>
          <w:sz w:val="36"/>
          <w:szCs w:val="36"/>
          <w:highlight w:val="none"/>
        </w:rPr>
        <w:t>第六章 投标文件格式</w:t>
      </w:r>
      <w:bookmarkEnd w:id="40"/>
    </w:p>
    <w:p w14:paraId="709A28EC">
      <w:pPr>
        <w:rPr>
          <w:rFonts w:ascii="宋体" w:hAnsi="宋体"/>
          <w:color w:val="auto"/>
          <w:sz w:val="36"/>
          <w:szCs w:val="36"/>
          <w:highlight w:val="none"/>
        </w:rPr>
      </w:pPr>
    </w:p>
    <w:p w14:paraId="0932EBAE">
      <w:pPr>
        <w:pStyle w:val="18"/>
        <w:ind w:left="0" w:leftChars="0" w:firstLine="0" w:firstLineChars="0"/>
        <w:rPr>
          <w:color w:val="auto"/>
          <w:highlight w:val="none"/>
        </w:rPr>
      </w:pPr>
    </w:p>
    <w:p w14:paraId="3C5D59F7">
      <w:pPr>
        <w:rPr>
          <w:rFonts w:ascii="宋体" w:hAnsi="宋体"/>
          <w:color w:val="auto"/>
          <w:sz w:val="36"/>
          <w:szCs w:val="36"/>
          <w:highlight w:val="none"/>
        </w:rPr>
      </w:pPr>
    </w:p>
    <w:p w14:paraId="4BEEA9E5">
      <w:pPr>
        <w:spacing w:line="360" w:lineRule="auto"/>
        <w:jc w:val="center"/>
        <w:rPr>
          <w:color w:val="auto"/>
          <w:sz w:val="52"/>
          <w:szCs w:val="52"/>
          <w:highlight w:val="none"/>
        </w:rPr>
      </w:pPr>
      <w:bookmarkStart w:id="41" w:name="_Toc4956_WPSOffice_Level1"/>
      <w:bookmarkStart w:id="42" w:name="_Toc32372_WPSOffice_Level1"/>
      <w:bookmarkStart w:id="43" w:name="_Toc19093_WPSOffice_Level1"/>
      <w:r>
        <w:rPr>
          <w:rFonts w:hint="eastAsia"/>
          <w:color w:val="auto"/>
          <w:sz w:val="52"/>
          <w:szCs w:val="52"/>
          <w:highlight w:val="none"/>
        </w:rPr>
        <w:t>项目名称</w:t>
      </w:r>
    </w:p>
    <w:p w14:paraId="40C3971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69A7FF5D">
      <w:pPr>
        <w:pStyle w:val="24"/>
        <w:spacing w:line="360" w:lineRule="auto"/>
        <w:ind w:left="0" w:leftChars="0" w:firstLine="0" w:firstLineChars="0"/>
        <w:rPr>
          <w:color w:val="auto"/>
          <w:highlight w:val="none"/>
        </w:rPr>
      </w:pPr>
    </w:p>
    <w:p w14:paraId="193C578B">
      <w:pPr>
        <w:spacing w:line="360" w:lineRule="auto"/>
        <w:jc w:val="center"/>
        <w:rPr>
          <w:color w:val="auto"/>
          <w:sz w:val="84"/>
          <w:szCs w:val="84"/>
          <w:highlight w:val="none"/>
          <w:lang w:val="zh-CN"/>
        </w:rPr>
      </w:pPr>
      <w:r>
        <w:rPr>
          <w:rFonts w:hint="eastAsia"/>
          <w:color w:val="auto"/>
          <w:sz w:val="84"/>
          <w:szCs w:val="84"/>
          <w:highlight w:val="none"/>
          <w:lang w:val="zh-CN"/>
        </w:rPr>
        <w:t>投</w:t>
      </w:r>
    </w:p>
    <w:p w14:paraId="32BEB588">
      <w:pPr>
        <w:spacing w:line="360" w:lineRule="auto"/>
        <w:jc w:val="center"/>
        <w:rPr>
          <w:color w:val="auto"/>
          <w:sz w:val="84"/>
          <w:szCs w:val="84"/>
          <w:highlight w:val="none"/>
          <w:lang w:val="zh-CN"/>
        </w:rPr>
      </w:pPr>
      <w:r>
        <w:rPr>
          <w:rFonts w:hint="eastAsia"/>
          <w:color w:val="auto"/>
          <w:sz w:val="84"/>
          <w:szCs w:val="84"/>
          <w:highlight w:val="none"/>
          <w:lang w:val="zh-CN"/>
        </w:rPr>
        <w:t>标</w:t>
      </w:r>
    </w:p>
    <w:p w14:paraId="25A7F43D">
      <w:pPr>
        <w:spacing w:line="360" w:lineRule="auto"/>
        <w:jc w:val="center"/>
        <w:rPr>
          <w:color w:val="auto"/>
          <w:sz w:val="84"/>
          <w:szCs w:val="84"/>
          <w:highlight w:val="none"/>
        </w:rPr>
      </w:pPr>
      <w:r>
        <w:rPr>
          <w:rFonts w:hint="eastAsia"/>
          <w:color w:val="auto"/>
          <w:sz w:val="84"/>
          <w:szCs w:val="84"/>
          <w:highlight w:val="none"/>
          <w:lang w:val="zh-CN"/>
        </w:rPr>
        <w:t>文</w:t>
      </w:r>
    </w:p>
    <w:p w14:paraId="7FD4F132">
      <w:pPr>
        <w:spacing w:line="360" w:lineRule="auto"/>
        <w:jc w:val="center"/>
        <w:rPr>
          <w:color w:val="auto"/>
          <w:sz w:val="84"/>
          <w:szCs w:val="84"/>
          <w:highlight w:val="none"/>
          <w:lang w:val="zh-CN"/>
        </w:rPr>
      </w:pPr>
      <w:r>
        <w:rPr>
          <w:rFonts w:hint="eastAsia"/>
          <w:color w:val="auto"/>
          <w:sz w:val="84"/>
          <w:szCs w:val="84"/>
          <w:highlight w:val="none"/>
          <w:lang w:val="zh-CN"/>
        </w:rPr>
        <w:t>件</w:t>
      </w:r>
    </w:p>
    <w:p w14:paraId="7431D580">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14:paraId="57C3A754">
      <w:pPr>
        <w:pStyle w:val="24"/>
        <w:spacing w:line="360" w:lineRule="auto"/>
        <w:rPr>
          <w:color w:val="auto"/>
          <w:highlight w:val="none"/>
        </w:rPr>
      </w:pPr>
    </w:p>
    <w:p w14:paraId="2620105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全称（公章）：</w:t>
      </w:r>
    </w:p>
    <w:p w14:paraId="3FC23787">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7DF386CD">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77875EDC">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123410AF">
      <w:pPr>
        <w:spacing w:line="360" w:lineRule="auto"/>
        <w:rPr>
          <w:rFonts w:ascii="宋体" w:hAnsi="宋体"/>
          <w:b/>
          <w:color w:val="auto"/>
          <w:sz w:val="28"/>
          <w:highlight w:val="none"/>
        </w:rPr>
      </w:pPr>
    </w:p>
    <w:p w14:paraId="213264FF">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4F852DD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37C78502">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）法人或者其他组织的营业执照等证明文件，自然人的身份证明；</w:t>
      </w:r>
    </w:p>
    <w:p w14:paraId="615D0A57">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）具有依法缴纳税收和社会保障资金证明的承诺函（附件3）；</w:t>
      </w:r>
    </w:p>
    <w:p w14:paraId="68B165A6">
      <w:pPr>
        <w:snapToGrid w:val="0"/>
        <w:spacing w:line="360" w:lineRule="auto"/>
        <w:ind w:firstLine="480" w:firstLineChars="200"/>
        <w:rPr>
          <w:rFonts w:ascii="宋体" w:hAnsi="宋体" w:cs="宋体"/>
          <w:b/>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）具有良好的商业信誉和健全的财务会计制度的承诺函</w:t>
      </w:r>
      <w:r>
        <w:rPr>
          <w:rFonts w:hint="eastAsia" w:ascii="宋体" w:hAnsi="宋体" w:cs="宋体"/>
          <w:color w:val="auto"/>
          <w:sz w:val="24"/>
          <w:highlight w:val="none"/>
        </w:rPr>
        <w:t>（附件4）</w:t>
      </w:r>
      <w:r>
        <w:rPr>
          <w:rFonts w:hint="eastAsia" w:ascii="宋体" w:hAnsi="宋体" w:cs="宋体"/>
          <w:b/>
          <w:bCs/>
          <w:color w:val="auto"/>
          <w:sz w:val="24"/>
          <w:highlight w:val="none"/>
        </w:rPr>
        <w:t>；</w:t>
      </w:r>
    </w:p>
    <w:p w14:paraId="66C1C0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）具有履行合同所必须的设备和专业技术能力的承诺函（附件5）；</w:t>
      </w:r>
    </w:p>
    <w:p w14:paraId="7DC1636B">
      <w:pPr>
        <w:snapToGrid w:val="0"/>
        <w:spacing w:line="360" w:lineRule="auto"/>
        <w:ind w:firstLine="480" w:firstLineChars="200"/>
        <w:rPr>
          <w:color w:val="auto"/>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hint="eastAsia" w:ascii="宋体" w:hAnsi="宋体"/>
          <w:bCs/>
          <w:color w:val="auto"/>
          <w:sz w:val="24"/>
          <w:highlight w:val="none"/>
        </w:rPr>
        <w:t>需要说明的其他资料（如有）。</w:t>
      </w:r>
    </w:p>
    <w:p w14:paraId="4EDC095C">
      <w:pPr>
        <w:snapToGrid w:val="0"/>
        <w:spacing w:line="360" w:lineRule="auto"/>
        <w:ind w:firstLine="480" w:firstLineChars="200"/>
        <w:rPr>
          <w:rFonts w:ascii="宋体" w:hAnsi="宋体" w:cs="宋体"/>
          <w:color w:val="auto"/>
          <w:sz w:val="24"/>
          <w:highlight w:val="none"/>
        </w:rPr>
      </w:pPr>
    </w:p>
    <w:p w14:paraId="0DD99A7C">
      <w:pPr>
        <w:spacing w:line="360" w:lineRule="auto"/>
        <w:jc w:val="both"/>
        <w:rPr>
          <w:rFonts w:hint="eastAsia"/>
          <w:color w:val="auto"/>
          <w:sz w:val="52"/>
          <w:szCs w:val="52"/>
          <w:highlight w:val="none"/>
        </w:rPr>
      </w:pPr>
    </w:p>
    <w:p w14:paraId="1ADFC44D">
      <w:pPr>
        <w:spacing w:line="360" w:lineRule="auto"/>
        <w:rPr>
          <w:rFonts w:hint="eastAsia" w:ascii="宋体" w:hAnsi="宋体"/>
          <w:b/>
          <w:color w:val="auto"/>
          <w:sz w:val="28"/>
          <w:highlight w:val="none"/>
        </w:rPr>
      </w:pPr>
    </w:p>
    <w:p w14:paraId="7C12C3BE">
      <w:pPr>
        <w:spacing w:line="360" w:lineRule="auto"/>
        <w:rPr>
          <w:rFonts w:hint="eastAsia" w:ascii="宋体" w:hAnsi="宋体"/>
          <w:b/>
          <w:color w:val="auto"/>
          <w:sz w:val="28"/>
          <w:highlight w:val="none"/>
        </w:rPr>
      </w:pPr>
    </w:p>
    <w:p w14:paraId="5D078D01">
      <w:pPr>
        <w:spacing w:line="360" w:lineRule="auto"/>
        <w:rPr>
          <w:rFonts w:hint="eastAsia" w:ascii="宋体" w:hAnsi="宋体"/>
          <w:b/>
          <w:color w:val="auto"/>
          <w:sz w:val="28"/>
          <w:highlight w:val="none"/>
        </w:rPr>
      </w:pPr>
    </w:p>
    <w:p w14:paraId="0BD11CB3">
      <w:pPr>
        <w:spacing w:line="360" w:lineRule="auto"/>
        <w:rPr>
          <w:rFonts w:hint="eastAsia" w:ascii="宋体" w:hAnsi="宋体"/>
          <w:b/>
          <w:color w:val="auto"/>
          <w:sz w:val="28"/>
          <w:highlight w:val="none"/>
        </w:rPr>
      </w:pPr>
    </w:p>
    <w:p w14:paraId="7AAB2AF8">
      <w:pPr>
        <w:spacing w:line="360" w:lineRule="auto"/>
        <w:rPr>
          <w:rFonts w:hint="eastAsia" w:ascii="宋体" w:hAnsi="宋体"/>
          <w:b/>
          <w:color w:val="auto"/>
          <w:sz w:val="28"/>
          <w:highlight w:val="none"/>
        </w:rPr>
      </w:pPr>
    </w:p>
    <w:p w14:paraId="7DC6E90F">
      <w:pPr>
        <w:spacing w:line="360" w:lineRule="auto"/>
        <w:rPr>
          <w:rFonts w:hint="eastAsia" w:ascii="宋体" w:hAnsi="宋体"/>
          <w:b/>
          <w:color w:val="auto"/>
          <w:sz w:val="28"/>
          <w:highlight w:val="none"/>
        </w:rPr>
      </w:pPr>
    </w:p>
    <w:p w14:paraId="132366BB">
      <w:pPr>
        <w:spacing w:line="360" w:lineRule="auto"/>
        <w:rPr>
          <w:rFonts w:hint="eastAsia" w:ascii="宋体" w:hAnsi="宋体"/>
          <w:b/>
          <w:color w:val="auto"/>
          <w:sz w:val="28"/>
          <w:highlight w:val="none"/>
        </w:rPr>
      </w:pPr>
    </w:p>
    <w:p w14:paraId="3F80A335">
      <w:pPr>
        <w:spacing w:line="360" w:lineRule="auto"/>
        <w:rPr>
          <w:rFonts w:hint="eastAsia" w:ascii="宋体" w:hAnsi="宋体"/>
          <w:b/>
          <w:color w:val="auto"/>
          <w:sz w:val="28"/>
          <w:highlight w:val="none"/>
        </w:rPr>
      </w:pPr>
    </w:p>
    <w:p w14:paraId="0B4D68FD">
      <w:pPr>
        <w:spacing w:line="360" w:lineRule="auto"/>
        <w:rPr>
          <w:rFonts w:hint="eastAsia" w:ascii="宋体" w:hAnsi="宋体"/>
          <w:b/>
          <w:color w:val="auto"/>
          <w:sz w:val="28"/>
          <w:highlight w:val="none"/>
        </w:rPr>
      </w:pPr>
    </w:p>
    <w:p w14:paraId="0BDA1355">
      <w:pPr>
        <w:spacing w:line="360" w:lineRule="auto"/>
        <w:rPr>
          <w:rFonts w:hint="eastAsia" w:ascii="宋体" w:hAnsi="宋体"/>
          <w:b/>
          <w:color w:val="auto"/>
          <w:sz w:val="28"/>
          <w:highlight w:val="none"/>
        </w:rPr>
      </w:pPr>
    </w:p>
    <w:p w14:paraId="69DD6F1A">
      <w:pPr>
        <w:spacing w:line="360" w:lineRule="auto"/>
        <w:rPr>
          <w:rFonts w:hint="eastAsia" w:ascii="宋体" w:hAnsi="宋体"/>
          <w:b/>
          <w:color w:val="auto"/>
          <w:sz w:val="28"/>
          <w:highlight w:val="none"/>
        </w:rPr>
      </w:pPr>
    </w:p>
    <w:p w14:paraId="2F55B09F">
      <w:pPr>
        <w:spacing w:line="360" w:lineRule="auto"/>
        <w:rPr>
          <w:rFonts w:hint="eastAsia" w:ascii="宋体" w:hAnsi="宋体"/>
          <w:b/>
          <w:color w:val="auto"/>
          <w:sz w:val="28"/>
          <w:highlight w:val="none"/>
        </w:rPr>
      </w:pPr>
    </w:p>
    <w:p w14:paraId="273A8918">
      <w:pPr>
        <w:spacing w:line="360" w:lineRule="auto"/>
        <w:rPr>
          <w:rFonts w:hint="eastAsia" w:ascii="宋体" w:hAnsi="宋体"/>
          <w:b/>
          <w:color w:val="auto"/>
          <w:sz w:val="28"/>
          <w:highlight w:val="none"/>
        </w:rPr>
      </w:pPr>
    </w:p>
    <w:p w14:paraId="6B59C001">
      <w:pPr>
        <w:spacing w:line="360" w:lineRule="auto"/>
        <w:rPr>
          <w:rFonts w:hint="eastAsia" w:ascii="宋体" w:hAnsi="宋体"/>
          <w:b/>
          <w:color w:val="auto"/>
          <w:sz w:val="28"/>
          <w:highlight w:val="none"/>
        </w:rPr>
      </w:pPr>
    </w:p>
    <w:p w14:paraId="3A66AFBC">
      <w:pPr>
        <w:spacing w:line="360" w:lineRule="auto"/>
        <w:rPr>
          <w:rFonts w:ascii="宋体" w:hAnsi="宋体"/>
          <w:b/>
          <w:color w:val="auto"/>
          <w:sz w:val="28"/>
          <w:highlight w:val="none"/>
        </w:rPr>
      </w:pPr>
      <w:r>
        <w:rPr>
          <w:rFonts w:hint="eastAsia" w:ascii="宋体" w:hAnsi="宋体"/>
          <w:b/>
          <w:color w:val="auto"/>
          <w:sz w:val="28"/>
          <w:highlight w:val="none"/>
        </w:rPr>
        <w:t>附件1</w:t>
      </w:r>
    </w:p>
    <w:p w14:paraId="5EBBE7A9">
      <w:pPr>
        <w:adjustRightInd w:val="0"/>
        <w:snapToGrid w:val="0"/>
        <w:spacing w:line="360" w:lineRule="auto"/>
        <w:ind w:right="480"/>
        <w:jc w:val="center"/>
        <w:rPr>
          <w:rFonts w:ascii="宋体" w:hAnsi="宋体"/>
          <w:b/>
          <w:color w:val="auto"/>
          <w:kern w:val="0"/>
          <w:sz w:val="32"/>
          <w:szCs w:val="32"/>
          <w:highlight w:val="none"/>
          <w:lang w:val="zh-CN"/>
        </w:rPr>
      </w:pPr>
      <w:bookmarkStart w:id="44" w:name="_Toc30723_WPSOffice_Level1"/>
      <w:bookmarkStart w:id="45" w:name="_Toc31708_WPSOffice_Level1"/>
      <w:r>
        <w:rPr>
          <w:rFonts w:hint="eastAsia" w:ascii="宋体" w:hAnsi="宋体"/>
          <w:b/>
          <w:color w:val="auto"/>
          <w:kern w:val="0"/>
          <w:sz w:val="32"/>
          <w:szCs w:val="32"/>
          <w:highlight w:val="none"/>
          <w:lang w:val="zh-CN"/>
        </w:rPr>
        <w:t>投标声明书</w:t>
      </w:r>
      <w:bookmarkEnd w:id="44"/>
      <w:bookmarkEnd w:id="45"/>
    </w:p>
    <w:p w14:paraId="7728240B">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7CDFB20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系中华人民共和国合法企业，经营地址。</w:t>
      </w:r>
    </w:p>
    <w:p w14:paraId="0B49AF4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188B08E7">
      <w:pPr>
        <w:numPr>
          <w:ilvl w:val="0"/>
          <w:numId w:val="3"/>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在截止投标时间近三年以来，如有上述所列情形，但限制期届满的，可按实陈述，并提供相应证明文件】。</w:t>
      </w:r>
    </w:p>
    <w:p w14:paraId="365C544F">
      <w:pPr>
        <w:numPr>
          <w:ilvl w:val="0"/>
          <w:numId w:val="3"/>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的内容，我方对招标文件的所有内容没有任何异议，不申请澄清和质疑。</w:t>
      </w:r>
    </w:p>
    <w:p w14:paraId="72E14A4B">
      <w:pPr>
        <w:numPr>
          <w:ilvl w:val="0"/>
          <w:numId w:val="3"/>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2E3E9D54">
      <w:pPr>
        <w:numPr>
          <w:ilvl w:val="0"/>
          <w:numId w:val="3"/>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19B84C0C">
      <w:pPr>
        <w:numPr>
          <w:ilvl w:val="0"/>
          <w:numId w:val="3"/>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1974A9CD">
      <w:pPr>
        <w:numPr>
          <w:ilvl w:val="0"/>
          <w:numId w:val="3"/>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5C55206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7AA71F27">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2965628">
      <w:pPr>
        <w:adjustRightInd w:val="0"/>
        <w:snapToGrid w:val="0"/>
        <w:spacing w:line="360" w:lineRule="auto"/>
        <w:ind w:firstLine="4838" w:firstLineChars="2016"/>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82DB0E1">
      <w:pPr>
        <w:pStyle w:val="8"/>
        <w:rPr>
          <w:color w:val="auto"/>
          <w:highlight w:val="none"/>
          <w:lang w:val="zh-CN"/>
        </w:rPr>
      </w:pPr>
    </w:p>
    <w:p w14:paraId="79601DE7">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345AABF0">
      <w:pPr>
        <w:spacing w:line="360" w:lineRule="auto"/>
        <w:ind w:firstLine="321" w:firstLineChars="100"/>
        <w:jc w:val="center"/>
        <w:rPr>
          <w:rFonts w:hAnsi="宋体"/>
          <w:b/>
          <w:color w:val="auto"/>
          <w:sz w:val="32"/>
          <w:szCs w:val="32"/>
          <w:highlight w:val="none"/>
          <w:u w:val="single"/>
        </w:rPr>
      </w:pPr>
      <w:bookmarkStart w:id="46" w:name="_Toc24373_WPSOffice_Level1"/>
      <w:bookmarkStart w:id="47"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6"/>
      <w:bookmarkEnd w:id="47"/>
    </w:p>
    <w:p w14:paraId="067D26A1">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74ED9488">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05ADA83F">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72D4CF0C">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6EDE6DFE">
      <w:pPr>
        <w:spacing w:line="360" w:lineRule="auto"/>
        <w:rPr>
          <w:color w:val="auto"/>
          <w:sz w:val="24"/>
          <w:highlight w:val="none"/>
        </w:rPr>
      </w:pPr>
    </w:p>
    <w:p w14:paraId="509A4014">
      <w:pPr>
        <w:spacing w:line="360" w:lineRule="auto"/>
        <w:rPr>
          <w:color w:val="auto"/>
          <w:sz w:val="24"/>
          <w:highlight w:val="none"/>
        </w:rPr>
      </w:pPr>
      <w:r>
        <w:rPr>
          <w:rFonts w:hint="eastAsia" w:ascii="宋体"/>
          <w:color w:val="auto"/>
          <w:sz w:val="24"/>
          <w:highlight w:val="none"/>
        </w:rPr>
        <w:t>法定代表人签字或盖章：</w:t>
      </w:r>
    </w:p>
    <w:p w14:paraId="5FD05039">
      <w:pPr>
        <w:spacing w:line="360" w:lineRule="auto"/>
        <w:rPr>
          <w:color w:val="auto"/>
          <w:sz w:val="24"/>
          <w:highlight w:val="none"/>
        </w:rPr>
      </w:pPr>
      <w:r>
        <w:rPr>
          <w:rFonts w:hint="eastAsia" w:ascii="宋体"/>
          <w:color w:val="auto"/>
          <w:sz w:val="24"/>
          <w:highlight w:val="none"/>
          <w:lang w:eastAsia="zh-CN"/>
        </w:rPr>
        <w:t>供应商</w:t>
      </w:r>
      <w:r>
        <w:rPr>
          <w:rFonts w:hint="eastAsia" w:ascii="宋体"/>
          <w:color w:val="auto"/>
          <w:sz w:val="24"/>
          <w:highlight w:val="none"/>
        </w:rPr>
        <w:t>全称（公章）：                              日期：</w:t>
      </w:r>
    </w:p>
    <w:p w14:paraId="2A318976">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3CD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B4C27EC">
            <w:pPr>
              <w:spacing w:line="360" w:lineRule="auto"/>
              <w:rPr>
                <w:rFonts w:ascii="宋体"/>
                <w:b/>
                <w:color w:val="auto"/>
                <w:sz w:val="24"/>
                <w:highlight w:val="none"/>
              </w:rPr>
            </w:pPr>
          </w:p>
          <w:p w14:paraId="15B8C34C">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41C69C29">
      <w:pPr>
        <w:spacing w:line="360" w:lineRule="auto"/>
        <w:rPr>
          <w:color w:val="auto"/>
          <w:sz w:val="24"/>
          <w:highlight w:val="none"/>
        </w:rPr>
      </w:pPr>
      <w:r>
        <w:rPr>
          <w:rFonts w:hint="eastAsia" w:ascii="宋体"/>
          <w:color w:val="auto"/>
          <w:sz w:val="24"/>
          <w:highlight w:val="none"/>
        </w:rPr>
        <w:t xml:space="preserve">法定代表人姓名：                                 </w:t>
      </w:r>
    </w:p>
    <w:p w14:paraId="323A09F1">
      <w:pPr>
        <w:spacing w:line="360" w:lineRule="auto"/>
        <w:rPr>
          <w:color w:val="auto"/>
          <w:sz w:val="24"/>
          <w:highlight w:val="none"/>
        </w:rPr>
      </w:pPr>
      <w:r>
        <w:rPr>
          <w:rFonts w:hint="eastAsia" w:ascii="宋体"/>
          <w:color w:val="auto"/>
          <w:sz w:val="24"/>
          <w:highlight w:val="none"/>
        </w:rPr>
        <w:t>传真：</w:t>
      </w:r>
    </w:p>
    <w:p w14:paraId="6ED31932">
      <w:pPr>
        <w:spacing w:line="360" w:lineRule="auto"/>
        <w:rPr>
          <w:rFonts w:ascii="宋体"/>
          <w:color w:val="auto"/>
          <w:sz w:val="24"/>
          <w:highlight w:val="none"/>
        </w:rPr>
      </w:pPr>
      <w:r>
        <w:rPr>
          <w:rFonts w:hint="eastAsia" w:ascii="宋体"/>
          <w:color w:val="auto"/>
          <w:sz w:val="24"/>
          <w:highlight w:val="none"/>
        </w:rPr>
        <w:t>电话：</w:t>
      </w:r>
    </w:p>
    <w:p w14:paraId="7DB7999C">
      <w:pPr>
        <w:spacing w:line="360" w:lineRule="auto"/>
        <w:rPr>
          <w:color w:val="auto"/>
          <w:sz w:val="24"/>
          <w:highlight w:val="none"/>
        </w:rPr>
      </w:pPr>
      <w:r>
        <w:rPr>
          <w:rFonts w:hint="eastAsia" w:ascii="宋体"/>
          <w:color w:val="auto"/>
          <w:sz w:val="24"/>
          <w:highlight w:val="none"/>
        </w:rPr>
        <w:t>详细通讯地址：</w:t>
      </w:r>
    </w:p>
    <w:p w14:paraId="530A1307">
      <w:pPr>
        <w:spacing w:line="360" w:lineRule="auto"/>
        <w:rPr>
          <w:rFonts w:ascii="宋体"/>
          <w:color w:val="auto"/>
          <w:sz w:val="24"/>
          <w:highlight w:val="none"/>
        </w:rPr>
      </w:pPr>
      <w:r>
        <w:rPr>
          <w:rFonts w:hint="eastAsia" w:ascii="宋体"/>
          <w:color w:val="auto"/>
          <w:sz w:val="24"/>
          <w:highlight w:val="none"/>
        </w:rPr>
        <w:t>邮政编码：</w:t>
      </w:r>
    </w:p>
    <w:p w14:paraId="239B94ED">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D33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E669EDE">
            <w:pPr>
              <w:spacing w:line="360" w:lineRule="auto"/>
              <w:rPr>
                <w:rFonts w:ascii="宋体"/>
                <w:b/>
                <w:color w:val="auto"/>
                <w:sz w:val="24"/>
                <w:highlight w:val="none"/>
              </w:rPr>
            </w:pPr>
          </w:p>
          <w:p w14:paraId="5E2C5713">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6D6C9B29">
      <w:pPr>
        <w:spacing w:line="360" w:lineRule="auto"/>
        <w:rPr>
          <w:rFonts w:ascii="宋体"/>
          <w:color w:val="auto"/>
          <w:sz w:val="24"/>
          <w:highlight w:val="none"/>
        </w:rPr>
      </w:pPr>
      <w:r>
        <w:rPr>
          <w:rFonts w:hint="eastAsia" w:ascii="宋体"/>
          <w:color w:val="auto"/>
          <w:sz w:val="24"/>
          <w:highlight w:val="none"/>
        </w:rPr>
        <w:t xml:space="preserve">全权代表姓名：       </w:t>
      </w:r>
    </w:p>
    <w:p w14:paraId="5BF7556F">
      <w:pPr>
        <w:spacing w:line="360" w:lineRule="auto"/>
        <w:rPr>
          <w:color w:val="auto"/>
          <w:sz w:val="24"/>
          <w:highlight w:val="none"/>
        </w:rPr>
      </w:pPr>
      <w:r>
        <w:rPr>
          <w:rFonts w:hint="eastAsia" w:ascii="宋体"/>
          <w:color w:val="auto"/>
          <w:sz w:val="24"/>
          <w:highlight w:val="none"/>
        </w:rPr>
        <w:t xml:space="preserve">职务：                           </w:t>
      </w:r>
    </w:p>
    <w:p w14:paraId="0D7FFE6F">
      <w:pPr>
        <w:spacing w:line="360" w:lineRule="auto"/>
        <w:rPr>
          <w:color w:val="auto"/>
          <w:sz w:val="24"/>
          <w:highlight w:val="none"/>
        </w:rPr>
      </w:pPr>
      <w:r>
        <w:rPr>
          <w:rFonts w:hint="eastAsia" w:ascii="宋体"/>
          <w:color w:val="auto"/>
          <w:sz w:val="24"/>
          <w:highlight w:val="none"/>
        </w:rPr>
        <w:t>传真：</w:t>
      </w:r>
    </w:p>
    <w:p w14:paraId="76F417F8">
      <w:pPr>
        <w:spacing w:line="360" w:lineRule="auto"/>
        <w:rPr>
          <w:rFonts w:ascii="宋体"/>
          <w:color w:val="auto"/>
          <w:sz w:val="24"/>
          <w:highlight w:val="none"/>
        </w:rPr>
      </w:pPr>
      <w:r>
        <w:rPr>
          <w:rFonts w:hint="eastAsia" w:ascii="宋体"/>
          <w:color w:val="auto"/>
          <w:sz w:val="24"/>
          <w:highlight w:val="none"/>
        </w:rPr>
        <w:t>电话：</w:t>
      </w:r>
    </w:p>
    <w:p w14:paraId="6D5CF70C">
      <w:pPr>
        <w:spacing w:line="360" w:lineRule="auto"/>
        <w:rPr>
          <w:color w:val="auto"/>
          <w:sz w:val="24"/>
          <w:highlight w:val="none"/>
        </w:rPr>
      </w:pPr>
      <w:r>
        <w:rPr>
          <w:rFonts w:hint="eastAsia" w:ascii="宋体"/>
          <w:color w:val="auto"/>
          <w:sz w:val="24"/>
          <w:highlight w:val="none"/>
        </w:rPr>
        <w:t>详细通讯地址：</w:t>
      </w:r>
    </w:p>
    <w:p w14:paraId="75970F4C">
      <w:pPr>
        <w:spacing w:line="360" w:lineRule="auto"/>
        <w:rPr>
          <w:rFonts w:ascii="宋体"/>
          <w:color w:val="auto"/>
          <w:sz w:val="24"/>
          <w:highlight w:val="none"/>
        </w:rPr>
      </w:pPr>
      <w:r>
        <w:rPr>
          <w:rFonts w:hint="eastAsia" w:ascii="宋体"/>
          <w:color w:val="auto"/>
          <w:sz w:val="24"/>
          <w:highlight w:val="none"/>
        </w:rPr>
        <w:t>邮政编码：</w:t>
      </w:r>
    </w:p>
    <w:p w14:paraId="4625FFC7">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附件3</w:t>
      </w:r>
    </w:p>
    <w:p w14:paraId="3AD802D7">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3C7D4716">
      <w:pPr>
        <w:widowControl/>
        <w:adjustRightInd w:val="0"/>
        <w:snapToGrid w:val="0"/>
        <w:spacing w:line="360" w:lineRule="auto"/>
        <w:jc w:val="center"/>
        <w:rPr>
          <w:rFonts w:ascii="宋体" w:hAnsi="宋体"/>
          <w:b/>
          <w:color w:val="auto"/>
          <w:kern w:val="0"/>
          <w:sz w:val="32"/>
          <w:szCs w:val="32"/>
          <w:highlight w:val="none"/>
        </w:rPr>
      </w:pPr>
    </w:p>
    <w:p w14:paraId="72084BCB">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6F11020F">
      <w:pPr>
        <w:adjustRightInd w:val="0"/>
        <w:snapToGrid w:val="0"/>
        <w:spacing w:line="360" w:lineRule="auto"/>
        <w:jc w:val="left"/>
        <w:rPr>
          <w:rFonts w:ascii="宋体" w:hAnsi="宋体"/>
          <w:b/>
          <w:color w:val="auto"/>
          <w:kern w:val="0"/>
          <w:sz w:val="32"/>
          <w:szCs w:val="32"/>
          <w:highlight w:val="none"/>
        </w:rPr>
      </w:pPr>
    </w:p>
    <w:p w14:paraId="3FB2626B">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5158472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409E30CA">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1DBD0B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27EDEC1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65C23C1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206BBCF">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0E24E077">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0FAC7E05">
      <w:pPr>
        <w:spacing w:line="360" w:lineRule="auto"/>
        <w:jc w:val="center"/>
        <w:rPr>
          <w:rFonts w:ascii="宋体" w:hAnsi="宋体"/>
          <w:b/>
          <w:color w:val="auto"/>
          <w:kern w:val="0"/>
          <w:sz w:val="32"/>
          <w:szCs w:val="32"/>
          <w:highlight w:val="none"/>
        </w:rPr>
      </w:pPr>
    </w:p>
    <w:p w14:paraId="191C90D1">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703A3A7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449B284E">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591AFD3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2F4448B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37AB22F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27F1919">
      <w:pPr>
        <w:spacing w:line="360" w:lineRule="auto"/>
        <w:jc w:val="center"/>
        <w:rPr>
          <w:rFonts w:ascii="宋体" w:hAnsi="宋体"/>
          <w:b/>
          <w:color w:val="auto"/>
          <w:kern w:val="0"/>
          <w:sz w:val="32"/>
          <w:szCs w:val="32"/>
          <w:highlight w:val="none"/>
        </w:rPr>
      </w:pPr>
    </w:p>
    <w:p w14:paraId="7F823E0A">
      <w:pPr>
        <w:spacing w:line="360" w:lineRule="auto"/>
        <w:jc w:val="center"/>
        <w:rPr>
          <w:rFonts w:ascii="宋体" w:hAnsi="宋体"/>
          <w:b/>
          <w:color w:val="auto"/>
          <w:kern w:val="0"/>
          <w:sz w:val="32"/>
          <w:szCs w:val="32"/>
          <w:highlight w:val="none"/>
        </w:rPr>
      </w:pPr>
    </w:p>
    <w:p w14:paraId="29AB8D72">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附件5</w:t>
      </w:r>
    </w:p>
    <w:p w14:paraId="6ABC9E90">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210F83B0">
      <w:pPr>
        <w:spacing w:line="360" w:lineRule="auto"/>
        <w:jc w:val="center"/>
        <w:rPr>
          <w:rFonts w:ascii="宋体" w:hAnsi="宋体"/>
          <w:b/>
          <w:color w:val="auto"/>
          <w:sz w:val="28"/>
          <w:highlight w:val="none"/>
        </w:rPr>
      </w:pPr>
    </w:p>
    <w:p w14:paraId="67B7CE58">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3953027D">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eastAsia="zh-CN"/>
        </w:rPr>
        <w:t>台州市2025年水利工程安全运行技术支撑</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7833029E">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125A3F2D">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5453275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2D9DF46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29D1ECA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485CC56">
      <w:pPr>
        <w:spacing w:line="360" w:lineRule="auto"/>
        <w:jc w:val="center"/>
        <w:rPr>
          <w:rFonts w:hint="eastAsia"/>
          <w:color w:val="auto"/>
          <w:sz w:val="52"/>
          <w:szCs w:val="52"/>
          <w:highlight w:val="none"/>
        </w:rPr>
      </w:pPr>
    </w:p>
    <w:p w14:paraId="6CD77A21">
      <w:pPr>
        <w:spacing w:line="360" w:lineRule="auto"/>
        <w:jc w:val="center"/>
        <w:rPr>
          <w:rFonts w:hint="eastAsia"/>
          <w:color w:val="auto"/>
          <w:sz w:val="52"/>
          <w:szCs w:val="52"/>
          <w:highlight w:val="none"/>
        </w:rPr>
      </w:pPr>
    </w:p>
    <w:p w14:paraId="17408B55">
      <w:pPr>
        <w:spacing w:line="360" w:lineRule="auto"/>
        <w:jc w:val="center"/>
        <w:rPr>
          <w:rFonts w:hint="eastAsia"/>
          <w:color w:val="auto"/>
          <w:sz w:val="52"/>
          <w:szCs w:val="52"/>
          <w:highlight w:val="none"/>
        </w:rPr>
        <w:sectPr>
          <w:pgSz w:w="11906" w:h="16838"/>
          <w:pgMar w:top="1701" w:right="1448" w:bottom="1531" w:left="1418" w:header="851" w:footer="851" w:gutter="0"/>
          <w:cols w:space="720" w:num="1"/>
          <w:titlePg/>
          <w:docGrid w:linePitch="312" w:charSpace="0"/>
        </w:sectPr>
      </w:pPr>
    </w:p>
    <w:p w14:paraId="67F7DFCC">
      <w:pPr>
        <w:pStyle w:val="8"/>
        <w:rPr>
          <w:rFonts w:hint="eastAsia"/>
          <w:color w:val="auto"/>
          <w:highlight w:val="none"/>
        </w:rPr>
      </w:pPr>
    </w:p>
    <w:p w14:paraId="40729A54">
      <w:pPr>
        <w:spacing w:line="360" w:lineRule="auto"/>
        <w:jc w:val="center"/>
        <w:rPr>
          <w:color w:val="auto"/>
          <w:sz w:val="52"/>
          <w:szCs w:val="52"/>
          <w:highlight w:val="none"/>
        </w:rPr>
      </w:pPr>
      <w:r>
        <w:rPr>
          <w:rFonts w:hint="eastAsia"/>
          <w:color w:val="auto"/>
          <w:sz w:val="52"/>
          <w:szCs w:val="52"/>
          <w:highlight w:val="none"/>
        </w:rPr>
        <w:t>项目名称</w:t>
      </w:r>
      <w:bookmarkEnd w:id="41"/>
      <w:bookmarkEnd w:id="42"/>
      <w:bookmarkEnd w:id="43"/>
    </w:p>
    <w:p w14:paraId="59BDCF3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2B070F5C">
      <w:pPr>
        <w:pStyle w:val="24"/>
        <w:spacing w:line="360" w:lineRule="auto"/>
        <w:rPr>
          <w:color w:val="auto"/>
          <w:highlight w:val="none"/>
        </w:rPr>
      </w:pPr>
    </w:p>
    <w:p w14:paraId="7AA53173">
      <w:pPr>
        <w:spacing w:line="360" w:lineRule="auto"/>
        <w:jc w:val="center"/>
        <w:rPr>
          <w:color w:val="auto"/>
          <w:sz w:val="84"/>
          <w:szCs w:val="84"/>
          <w:highlight w:val="none"/>
          <w:lang w:val="zh-CN"/>
        </w:rPr>
      </w:pPr>
      <w:r>
        <w:rPr>
          <w:rFonts w:hint="eastAsia"/>
          <w:color w:val="auto"/>
          <w:sz w:val="84"/>
          <w:szCs w:val="84"/>
          <w:highlight w:val="none"/>
          <w:lang w:val="zh-CN"/>
        </w:rPr>
        <w:t>投</w:t>
      </w:r>
    </w:p>
    <w:p w14:paraId="4DD82556">
      <w:pPr>
        <w:spacing w:line="360" w:lineRule="auto"/>
        <w:jc w:val="center"/>
        <w:rPr>
          <w:color w:val="auto"/>
          <w:sz w:val="84"/>
          <w:szCs w:val="84"/>
          <w:highlight w:val="none"/>
          <w:lang w:val="zh-CN"/>
        </w:rPr>
      </w:pPr>
      <w:r>
        <w:rPr>
          <w:rFonts w:hint="eastAsia"/>
          <w:color w:val="auto"/>
          <w:sz w:val="84"/>
          <w:szCs w:val="84"/>
          <w:highlight w:val="none"/>
          <w:lang w:val="zh-CN"/>
        </w:rPr>
        <w:t>标</w:t>
      </w:r>
    </w:p>
    <w:p w14:paraId="7CE2279F">
      <w:pPr>
        <w:spacing w:line="360" w:lineRule="auto"/>
        <w:jc w:val="center"/>
        <w:rPr>
          <w:color w:val="auto"/>
          <w:sz w:val="84"/>
          <w:szCs w:val="84"/>
          <w:highlight w:val="none"/>
        </w:rPr>
      </w:pPr>
      <w:r>
        <w:rPr>
          <w:rFonts w:hint="eastAsia"/>
          <w:color w:val="auto"/>
          <w:sz w:val="84"/>
          <w:szCs w:val="84"/>
          <w:highlight w:val="none"/>
          <w:lang w:val="zh-CN"/>
        </w:rPr>
        <w:t>文</w:t>
      </w:r>
    </w:p>
    <w:p w14:paraId="6E92FDEA">
      <w:pPr>
        <w:spacing w:line="360" w:lineRule="auto"/>
        <w:jc w:val="center"/>
        <w:rPr>
          <w:color w:val="auto"/>
          <w:sz w:val="84"/>
          <w:szCs w:val="84"/>
          <w:highlight w:val="none"/>
          <w:lang w:val="zh-CN"/>
        </w:rPr>
      </w:pPr>
      <w:r>
        <w:rPr>
          <w:rFonts w:hint="eastAsia"/>
          <w:color w:val="auto"/>
          <w:sz w:val="84"/>
          <w:szCs w:val="84"/>
          <w:highlight w:val="none"/>
          <w:lang w:val="zh-CN"/>
        </w:rPr>
        <w:t>件</w:t>
      </w:r>
    </w:p>
    <w:p w14:paraId="4C0E1A07">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14:paraId="69C73CD9">
      <w:pPr>
        <w:pStyle w:val="24"/>
        <w:spacing w:line="360" w:lineRule="auto"/>
        <w:rPr>
          <w:color w:val="auto"/>
          <w:highlight w:val="none"/>
        </w:rPr>
      </w:pPr>
    </w:p>
    <w:p w14:paraId="0A3962C9">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全称（公章）：</w:t>
      </w:r>
    </w:p>
    <w:p w14:paraId="326B3AB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BD63E05">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5DB35E9E">
      <w:pPr>
        <w:pStyle w:val="9"/>
        <w:rPr>
          <w:rFonts w:hint="eastAsia" w:ascii="宋体" w:hAnsi="宋体"/>
          <w:color w:val="auto"/>
          <w:sz w:val="32"/>
          <w:szCs w:val="32"/>
          <w:highlight w:val="none"/>
        </w:rPr>
      </w:pPr>
    </w:p>
    <w:p w14:paraId="4138CE19">
      <w:pPr>
        <w:pStyle w:val="17"/>
        <w:rPr>
          <w:color w:val="auto"/>
          <w:highlight w:val="none"/>
        </w:rPr>
      </w:pPr>
    </w:p>
    <w:p w14:paraId="64ECF94F">
      <w:pPr>
        <w:spacing w:line="360" w:lineRule="auto"/>
        <w:jc w:val="center"/>
        <w:rPr>
          <w:rFonts w:hint="eastAsia"/>
          <w:b/>
          <w:bCs/>
          <w:color w:val="auto"/>
          <w:sz w:val="36"/>
          <w:szCs w:val="36"/>
          <w:highlight w:val="none"/>
          <w:lang w:val="en-US" w:eastAsia="zh-CN"/>
        </w:rPr>
      </w:pPr>
    </w:p>
    <w:p w14:paraId="6FFD0593">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14:paraId="15632CC3">
      <w:pPr>
        <w:spacing w:line="360" w:lineRule="auto"/>
        <w:ind w:firstLine="560" w:firstLineChars="200"/>
        <w:rPr>
          <w:color w:val="auto"/>
          <w:sz w:val="28"/>
          <w:szCs w:val="36"/>
          <w:highlight w:val="none"/>
        </w:rPr>
      </w:pPr>
    </w:p>
    <w:p w14:paraId="5E63CF1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1</w:t>
      </w:r>
      <w:r>
        <w:rPr>
          <w:rFonts w:ascii="宋体" w:hAnsi="宋体"/>
          <w:bCs/>
          <w:color w:val="auto"/>
          <w:sz w:val="24"/>
          <w:highlight w:val="none"/>
        </w:rPr>
        <w:t>）</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62DE4B2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）服务方案（供应商根据招标需求和评标办法自行拟定）；</w:t>
      </w:r>
    </w:p>
    <w:p w14:paraId="7FA8CBD4">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0D10FAD5">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08434C66">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14:paraId="5FA79812">
      <w:pPr>
        <w:pStyle w:val="5"/>
        <w:widowControl/>
        <w:numPr>
          <w:ilvl w:val="0"/>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）证书一览表（与本项目相关的认证证书或文件；附件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4A7F99F0">
      <w:pPr>
        <w:pStyle w:val="5"/>
        <w:widowControl/>
        <w:numPr>
          <w:ilvl w:val="0"/>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）同类业绩证明（如有，附件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1133EC9F">
      <w:pPr>
        <w:pStyle w:val="5"/>
        <w:widowControl/>
        <w:numPr>
          <w:ilvl w:val="0"/>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）符合招标文件规定的其他证明文件及评分标准中涉及的其他材料</w:t>
      </w:r>
      <w:r>
        <w:rPr>
          <w:rFonts w:hint="eastAsia" w:ascii="宋体" w:hAnsi="宋体"/>
          <w:color w:val="auto"/>
          <w:kern w:val="0"/>
          <w:sz w:val="24"/>
          <w:highlight w:val="none"/>
        </w:rPr>
        <w:t>（如有）</w:t>
      </w:r>
      <w:r>
        <w:rPr>
          <w:rFonts w:hint="eastAsia" w:ascii="宋体" w:hAnsi="宋体"/>
          <w:bCs/>
          <w:color w:val="auto"/>
          <w:sz w:val="24"/>
          <w:highlight w:val="none"/>
        </w:rPr>
        <w:t>。</w:t>
      </w:r>
    </w:p>
    <w:p w14:paraId="1B9D26BD">
      <w:pPr>
        <w:snapToGrid w:val="0"/>
        <w:spacing w:line="360" w:lineRule="auto"/>
        <w:rPr>
          <w:rFonts w:ascii="宋体" w:hAnsi="宋体" w:cs="宋体"/>
          <w:color w:val="auto"/>
          <w:sz w:val="24"/>
          <w:highlight w:val="none"/>
        </w:rPr>
      </w:pPr>
    </w:p>
    <w:p w14:paraId="1E0EB6D7">
      <w:pPr>
        <w:spacing w:line="360" w:lineRule="auto"/>
        <w:rPr>
          <w:rFonts w:ascii="宋体" w:hAnsi="宋体"/>
          <w:b/>
          <w:color w:val="auto"/>
          <w:sz w:val="28"/>
          <w:highlight w:val="none"/>
        </w:rPr>
      </w:pPr>
    </w:p>
    <w:p w14:paraId="7895ED36">
      <w:pPr>
        <w:spacing w:line="360" w:lineRule="auto"/>
        <w:rPr>
          <w:rFonts w:ascii="宋体" w:hAnsi="宋体"/>
          <w:b/>
          <w:color w:val="auto"/>
          <w:sz w:val="28"/>
          <w:highlight w:val="none"/>
        </w:rPr>
      </w:pPr>
    </w:p>
    <w:p w14:paraId="50C33844">
      <w:pPr>
        <w:pStyle w:val="46"/>
        <w:spacing w:line="360" w:lineRule="auto"/>
        <w:rPr>
          <w:rFonts w:ascii="宋体" w:hAnsi="宋体"/>
          <w:b/>
          <w:color w:val="auto"/>
          <w:sz w:val="28"/>
          <w:highlight w:val="none"/>
        </w:rPr>
      </w:pPr>
    </w:p>
    <w:p w14:paraId="4C94531D">
      <w:pPr>
        <w:pStyle w:val="46"/>
        <w:spacing w:line="360" w:lineRule="auto"/>
        <w:rPr>
          <w:rFonts w:ascii="宋体" w:hAnsi="宋体"/>
          <w:b/>
          <w:color w:val="auto"/>
          <w:sz w:val="28"/>
          <w:highlight w:val="none"/>
        </w:rPr>
      </w:pPr>
    </w:p>
    <w:p w14:paraId="43C352FD">
      <w:pPr>
        <w:pStyle w:val="46"/>
        <w:spacing w:line="360" w:lineRule="auto"/>
        <w:rPr>
          <w:rFonts w:ascii="宋体" w:hAnsi="宋体"/>
          <w:b/>
          <w:color w:val="auto"/>
          <w:sz w:val="28"/>
          <w:highlight w:val="none"/>
        </w:rPr>
      </w:pPr>
    </w:p>
    <w:p w14:paraId="523BACB1">
      <w:pPr>
        <w:spacing w:line="360" w:lineRule="auto"/>
        <w:rPr>
          <w:rFonts w:ascii="宋体" w:hAnsi="宋体"/>
          <w:b/>
          <w:color w:val="auto"/>
          <w:sz w:val="28"/>
          <w:highlight w:val="none"/>
        </w:rPr>
      </w:pPr>
    </w:p>
    <w:p w14:paraId="729D4103">
      <w:pPr>
        <w:spacing w:line="360" w:lineRule="auto"/>
        <w:rPr>
          <w:rFonts w:hint="eastAsia" w:ascii="宋体" w:hAnsi="宋体"/>
          <w:b/>
          <w:color w:val="auto"/>
          <w:sz w:val="28"/>
          <w:highlight w:val="none"/>
        </w:rPr>
      </w:pPr>
    </w:p>
    <w:p w14:paraId="0ECC6C1F">
      <w:pPr>
        <w:spacing w:line="360" w:lineRule="auto"/>
        <w:rPr>
          <w:rFonts w:hint="eastAsia" w:ascii="宋体" w:hAnsi="宋体"/>
          <w:b/>
          <w:color w:val="auto"/>
          <w:sz w:val="28"/>
          <w:highlight w:val="none"/>
        </w:rPr>
      </w:pPr>
    </w:p>
    <w:p w14:paraId="05098ABF">
      <w:pPr>
        <w:spacing w:line="360" w:lineRule="auto"/>
        <w:rPr>
          <w:rFonts w:hint="eastAsia" w:ascii="宋体" w:hAnsi="宋体"/>
          <w:b/>
          <w:color w:val="auto"/>
          <w:sz w:val="28"/>
          <w:highlight w:val="none"/>
        </w:rPr>
      </w:pPr>
    </w:p>
    <w:p w14:paraId="542ECECB">
      <w:pPr>
        <w:spacing w:line="360" w:lineRule="auto"/>
        <w:rPr>
          <w:rFonts w:hint="eastAsia" w:ascii="宋体" w:hAnsi="宋体"/>
          <w:b/>
          <w:color w:val="auto"/>
          <w:sz w:val="28"/>
          <w:highlight w:val="none"/>
        </w:rPr>
      </w:pPr>
    </w:p>
    <w:p w14:paraId="0001B432">
      <w:pPr>
        <w:spacing w:line="360" w:lineRule="auto"/>
        <w:rPr>
          <w:rFonts w:hint="eastAsia" w:ascii="宋体" w:hAnsi="宋体"/>
          <w:b/>
          <w:color w:val="auto"/>
          <w:sz w:val="28"/>
          <w:highlight w:val="none"/>
        </w:rPr>
      </w:pPr>
    </w:p>
    <w:p w14:paraId="68B0F2A0">
      <w:pPr>
        <w:spacing w:line="360" w:lineRule="auto"/>
        <w:rPr>
          <w:rFonts w:hint="eastAsia" w:ascii="宋体" w:hAnsi="宋体"/>
          <w:b/>
          <w:color w:val="auto"/>
          <w:sz w:val="28"/>
          <w:highlight w:val="none"/>
        </w:rPr>
      </w:pPr>
    </w:p>
    <w:p w14:paraId="298EC43B">
      <w:pPr>
        <w:pStyle w:val="5"/>
        <w:spacing w:line="360" w:lineRule="auto"/>
        <w:ind w:firstLine="0"/>
        <w:rPr>
          <w:rFonts w:ascii="宋体" w:hAnsi="宋体"/>
          <w:bCs/>
          <w:color w:val="auto"/>
          <w:sz w:val="24"/>
          <w:highlight w:val="none"/>
        </w:rPr>
      </w:pPr>
    </w:p>
    <w:p w14:paraId="4D28EF7C">
      <w:pPr>
        <w:pStyle w:val="43"/>
        <w:shd w:val="clear" w:color="auto" w:fill="FFFFFF"/>
        <w:spacing w:before="0" w:beforeAutospacing="0" w:after="0" w:afterAutospacing="0" w:line="360" w:lineRule="auto"/>
        <w:rPr>
          <w:rFonts w:hint="eastAsia"/>
          <w:b/>
          <w:color w:val="auto"/>
          <w:sz w:val="28"/>
          <w:highlight w:val="none"/>
        </w:rPr>
      </w:pPr>
    </w:p>
    <w:p w14:paraId="2516D5A6">
      <w:pPr>
        <w:pStyle w:val="43"/>
        <w:shd w:val="clear" w:color="auto" w:fill="FFFFFF"/>
        <w:spacing w:before="0" w:beforeAutospacing="0" w:after="0" w:afterAutospacing="0" w:line="360" w:lineRule="auto"/>
        <w:rPr>
          <w:rFonts w:hint="eastAsia"/>
          <w:b/>
          <w:color w:val="auto"/>
          <w:sz w:val="28"/>
          <w:highlight w:val="none"/>
        </w:rPr>
        <w:sectPr>
          <w:pgSz w:w="11906" w:h="16838"/>
          <w:pgMar w:top="1701" w:right="1448" w:bottom="1531" w:left="1418" w:header="851" w:footer="851" w:gutter="0"/>
          <w:cols w:space="720" w:num="1"/>
          <w:titlePg/>
          <w:docGrid w:linePitch="312" w:charSpace="0"/>
        </w:sectPr>
      </w:pPr>
    </w:p>
    <w:p w14:paraId="4CDC8591">
      <w:pPr>
        <w:pStyle w:val="43"/>
        <w:shd w:val="clear" w:color="auto" w:fill="FFFFFF"/>
        <w:spacing w:before="0" w:beforeAutospacing="0" w:after="0" w:afterAutospacing="0" w:line="360" w:lineRule="auto"/>
        <w:rPr>
          <w:rFonts w:hint="eastAsia"/>
          <w:b/>
          <w:color w:val="auto"/>
          <w:sz w:val="32"/>
          <w:szCs w:val="32"/>
          <w:highlight w:val="none"/>
        </w:rPr>
      </w:pPr>
      <w:r>
        <w:rPr>
          <w:rFonts w:hint="eastAsia"/>
          <w:b/>
          <w:color w:val="auto"/>
          <w:sz w:val="28"/>
          <w:highlight w:val="none"/>
        </w:rPr>
        <w:t>附件</w:t>
      </w:r>
      <w:r>
        <w:rPr>
          <w:rFonts w:hint="eastAsia"/>
          <w:b/>
          <w:color w:val="auto"/>
          <w:sz w:val="28"/>
          <w:highlight w:val="none"/>
          <w:lang w:val="en-US" w:eastAsia="zh-CN"/>
        </w:rPr>
        <w:t>6</w:t>
      </w:r>
      <w:r>
        <w:rPr>
          <w:rFonts w:hint="eastAsia"/>
          <w:b/>
          <w:color w:val="auto"/>
          <w:sz w:val="32"/>
          <w:szCs w:val="32"/>
          <w:highlight w:val="none"/>
        </w:rPr>
        <w:t xml:space="preserve">  </w:t>
      </w:r>
      <w:bookmarkStart w:id="48" w:name="_Toc13307_WPSOffice_Level1"/>
      <w:bookmarkStart w:id="49" w:name="_Toc14261_WPSOffice_Level1"/>
    </w:p>
    <w:p w14:paraId="5973EA59">
      <w:pPr>
        <w:pStyle w:val="43"/>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8"/>
      <w:bookmarkEnd w:id="49"/>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56A1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14:paraId="7A0923D0">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企业名称</w:t>
            </w:r>
          </w:p>
        </w:tc>
        <w:tc>
          <w:tcPr>
            <w:tcW w:w="3979" w:type="dxa"/>
            <w:gridSpan w:val="6"/>
            <w:noWrap w:val="0"/>
            <w:tcMar>
              <w:top w:w="57" w:type="dxa"/>
              <w:left w:w="85" w:type="dxa"/>
              <w:bottom w:w="0" w:type="dxa"/>
              <w:right w:w="85" w:type="dxa"/>
            </w:tcMar>
            <w:vAlign w:val="center"/>
          </w:tcPr>
          <w:p w14:paraId="32A34B82">
            <w:pPr>
              <w:pStyle w:val="43"/>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09846665">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法人代表</w:t>
            </w:r>
          </w:p>
        </w:tc>
        <w:tc>
          <w:tcPr>
            <w:tcW w:w="2151" w:type="dxa"/>
            <w:gridSpan w:val="2"/>
            <w:noWrap w:val="0"/>
            <w:tcMar>
              <w:top w:w="57" w:type="dxa"/>
              <w:left w:w="85" w:type="dxa"/>
              <w:bottom w:w="0" w:type="dxa"/>
              <w:right w:w="85" w:type="dxa"/>
            </w:tcMar>
            <w:vAlign w:val="center"/>
          </w:tcPr>
          <w:p w14:paraId="47FD2996">
            <w:pPr>
              <w:pStyle w:val="43"/>
              <w:shd w:val="clear" w:color="auto" w:fill="FFFFFF"/>
              <w:spacing w:before="0" w:beforeAutospacing="0" w:after="0" w:afterAutospacing="0" w:line="240" w:lineRule="auto"/>
              <w:jc w:val="center"/>
              <w:rPr>
                <w:bCs/>
                <w:color w:val="auto"/>
                <w:highlight w:val="none"/>
              </w:rPr>
            </w:pPr>
          </w:p>
        </w:tc>
      </w:tr>
      <w:tr w14:paraId="0FDB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14:paraId="75B428D0">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14:paraId="0646470F">
            <w:pPr>
              <w:pStyle w:val="43"/>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0FE3D920">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企业性质</w:t>
            </w:r>
          </w:p>
        </w:tc>
        <w:tc>
          <w:tcPr>
            <w:tcW w:w="2151" w:type="dxa"/>
            <w:gridSpan w:val="2"/>
            <w:noWrap w:val="0"/>
            <w:tcMar>
              <w:top w:w="57" w:type="dxa"/>
              <w:left w:w="85" w:type="dxa"/>
              <w:bottom w:w="0" w:type="dxa"/>
              <w:right w:w="85" w:type="dxa"/>
            </w:tcMar>
            <w:vAlign w:val="center"/>
          </w:tcPr>
          <w:p w14:paraId="7EF50B4A">
            <w:pPr>
              <w:pStyle w:val="43"/>
              <w:shd w:val="clear" w:color="auto" w:fill="FFFFFF"/>
              <w:spacing w:before="0" w:beforeAutospacing="0" w:after="0" w:afterAutospacing="0" w:line="240" w:lineRule="auto"/>
              <w:jc w:val="center"/>
              <w:rPr>
                <w:bCs/>
                <w:color w:val="auto"/>
                <w:highlight w:val="none"/>
              </w:rPr>
            </w:pPr>
          </w:p>
        </w:tc>
      </w:tr>
      <w:tr w14:paraId="3A56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14:paraId="7A30DC1B">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14:paraId="3E13E495">
            <w:pPr>
              <w:pStyle w:val="43"/>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2C975059">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14:paraId="6D91B27D">
            <w:pPr>
              <w:widowControl/>
              <w:spacing w:line="240" w:lineRule="auto"/>
              <w:jc w:val="center"/>
              <w:rPr>
                <w:rFonts w:ascii="宋体" w:hAnsi="宋体" w:cs="宋体"/>
                <w:bCs/>
                <w:color w:val="auto"/>
                <w:kern w:val="0"/>
                <w:sz w:val="24"/>
                <w:highlight w:val="none"/>
              </w:rPr>
            </w:pPr>
          </w:p>
          <w:p w14:paraId="4E39B56C">
            <w:pPr>
              <w:pStyle w:val="43"/>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4B8F74F9">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股东关系</w:t>
            </w:r>
          </w:p>
        </w:tc>
        <w:tc>
          <w:tcPr>
            <w:tcW w:w="2151" w:type="dxa"/>
            <w:gridSpan w:val="2"/>
            <w:noWrap w:val="0"/>
            <w:tcMar>
              <w:top w:w="57" w:type="dxa"/>
              <w:left w:w="85" w:type="dxa"/>
              <w:bottom w:w="0" w:type="dxa"/>
              <w:right w:w="85" w:type="dxa"/>
            </w:tcMar>
            <w:vAlign w:val="center"/>
          </w:tcPr>
          <w:p w14:paraId="4DEEF945">
            <w:pPr>
              <w:pStyle w:val="43"/>
              <w:shd w:val="clear" w:color="auto" w:fill="FFFFFF"/>
              <w:spacing w:before="0" w:beforeAutospacing="0" w:after="0" w:afterAutospacing="0" w:line="240" w:lineRule="auto"/>
              <w:jc w:val="center"/>
              <w:rPr>
                <w:bCs/>
                <w:color w:val="auto"/>
                <w:highlight w:val="none"/>
              </w:rPr>
            </w:pPr>
          </w:p>
        </w:tc>
      </w:tr>
      <w:tr w14:paraId="17E3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14:paraId="1FFB635A">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联系人姓名</w:t>
            </w:r>
          </w:p>
        </w:tc>
        <w:tc>
          <w:tcPr>
            <w:tcW w:w="701" w:type="dxa"/>
            <w:vMerge w:val="restart"/>
            <w:tcBorders>
              <w:top w:val="nil"/>
            </w:tcBorders>
            <w:noWrap w:val="0"/>
            <w:tcMar>
              <w:top w:w="57" w:type="dxa"/>
              <w:left w:w="85" w:type="dxa"/>
              <w:bottom w:w="0" w:type="dxa"/>
              <w:right w:w="85" w:type="dxa"/>
            </w:tcMar>
            <w:vAlign w:val="center"/>
          </w:tcPr>
          <w:p w14:paraId="6899D0DD">
            <w:pPr>
              <w:pStyle w:val="43"/>
              <w:shd w:val="clear" w:color="auto" w:fill="FFFFFF"/>
              <w:spacing w:before="0" w:beforeAutospacing="0" w:after="0" w:afterAutospacing="0" w:line="240" w:lineRule="auto"/>
              <w:jc w:val="center"/>
              <w:rPr>
                <w:bCs/>
                <w:color w:val="auto"/>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14:paraId="2804273B">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14:paraId="0B190E1C">
            <w:pPr>
              <w:widowControl/>
              <w:spacing w:line="240" w:lineRule="auto"/>
              <w:jc w:val="center"/>
              <w:rPr>
                <w:rFonts w:ascii="宋体" w:hAnsi="宋体" w:cs="宋体"/>
                <w:bCs/>
                <w:color w:val="auto"/>
                <w:kern w:val="0"/>
                <w:sz w:val="24"/>
                <w:highlight w:val="none"/>
              </w:rPr>
            </w:pPr>
          </w:p>
          <w:p w14:paraId="41C44FF8">
            <w:pPr>
              <w:pStyle w:val="43"/>
              <w:shd w:val="clear" w:color="auto" w:fill="FFFFFF"/>
              <w:spacing w:before="0" w:beforeAutospacing="0" w:after="0" w:afterAutospacing="0" w:line="240" w:lineRule="auto"/>
              <w:jc w:val="center"/>
              <w:rPr>
                <w:bCs/>
                <w:color w:val="auto"/>
                <w:highlight w:val="none"/>
              </w:rPr>
            </w:pPr>
          </w:p>
        </w:tc>
        <w:tc>
          <w:tcPr>
            <w:tcW w:w="2001" w:type="dxa"/>
            <w:gridSpan w:val="3"/>
            <w:vMerge w:val="restart"/>
            <w:noWrap w:val="0"/>
            <w:tcMar>
              <w:top w:w="57" w:type="dxa"/>
              <w:left w:w="85" w:type="dxa"/>
              <w:bottom w:w="0" w:type="dxa"/>
              <w:right w:w="85" w:type="dxa"/>
            </w:tcMar>
            <w:vAlign w:val="center"/>
          </w:tcPr>
          <w:p w14:paraId="13F6F252">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传真</w:t>
            </w:r>
          </w:p>
        </w:tc>
        <w:tc>
          <w:tcPr>
            <w:tcW w:w="2151" w:type="dxa"/>
            <w:gridSpan w:val="2"/>
            <w:vMerge w:val="restart"/>
            <w:noWrap w:val="0"/>
            <w:tcMar>
              <w:top w:w="57" w:type="dxa"/>
              <w:left w:w="85" w:type="dxa"/>
              <w:bottom w:w="0" w:type="dxa"/>
              <w:right w:w="85" w:type="dxa"/>
            </w:tcMar>
            <w:vAlign w:val="center"/>
          </w:tcPr>
          <w:p w14:paraId="5F2B519B">
            <w:pPr>
              <w:pStyle w:val="43"/>
              <w:shd w:val="clear" w:color="auto" w:fill="FFFFFF"/>
              <w:spacing w:before="0" w:beforeAutospacing="0" w:after="0" w:afterAutospacing="0" w:line="240" w:lineRule="auto"/>
              <w:jc w:val="center"/>
              <w:rPr>
                <w:bCs/>
                <w:color w:val="auto"/>
                <w:highlight w:val="none"/>
              </w:rPr>
            </w:pPr>
          </w:p>
        </w:tc>
      </w:tr>
      <w:tr w14:paraId="490D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14:paraId="184190F6">
            <w:pPr>
              <w:pStyle w:val="43"/>
              <w:shd w:val="clear" w:color="auto" w:fill="FFFFFF"/>
              <w:spacing w:before="0" w:beforeAutospacing="0" w:after="0" w:afterAutospacing="0" w:line="240" w:lineRule="auto"/>
              <w:jc w:val="center"/>
              <w:rPr>
                <w:bCs/>
                <w:color w:val="auto"/>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14:paraId="6134E3E6">
            <w:pPr>
              <w:pStyle w:val="43"/>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5CDA557C">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14:paraId="281E7E5A">
            <w:pPr>
              <w:pStyle w:val="43"/>
              <w:shd w:val="clear" w:color="auto" w:fill="FFFFFF"/>
              <w:spacing w:before="0" w:beforeAutospacing="0" w:after="0" w:afterAutospacing="0" w:line="240" w:lineRule="auto"/>
              <w:jc w:val="center"/>
              <w:rPr>
                <w:bCs/>
                <w:color w:val="auto"/>
                <w:highlight w:val="none"/>
              </w:rPr>
            </w:pPr>
          </w:p>
        </w:tc>
        <w:tc>
          <w:tcPr>
            <w:tcW w:w="2001" w:type="dxa"/>
            <w:gridSpan w:val="3"/>
            <w:vMerge w:val="continue"/>
            <w:noWrap w:val="0"/>
            <w:tcMar>
              <w:top w:w="57" w:type="dxa"/>
              <w:left w:w="85" w:type="dxa"/>
              <w:bottom w:w="0" w:type="dxa"/>
              <w:right w:w="85" w:type="dxa"/>
            </w:tcMar>
            <w:vAlign w:val="center"/>
          </w:tcPr>
          <w:p w14:paraId="22FD12DF">
            <w:pPr>
              <w:pStyle w:val="43"/>
              <w:shd w:val="clear" w:color="auto" w:fill="FFFFFF"/>
              <w:spacing w:before="0" w:beforeAutospacing="0" w:after="0" w:afterAutospacing="0" w:line="240" w:lineRule="auto"/>
              <w:jc w:val="center"/>
              <w:rPr>
                <w:bCs/>
                <w:color w:val="auto"/>
                <w:highlight w:val="none"/>
              </w:rPr>
            </w:pPr>
          </w:p>
        </w:tc>
        <w:tc>
          <w:tcPr>
            <w:tcW w:w="2151" w:type="dxa"/>
            <w:gridSpan w:val="2"/>
            <w:vMerge w:val="continue"/>
            <w:noWrap w:val="0"/>
            <w:tcMar>
              <w:top w:w="57" w:type="dxa"/>
              <w:left w:w="85" w:type="dxa"/>
              <w:bottom w:w="0" w:type="dxa"/>
              <w:right w:w="85" w:type="dxa"/>
            </w:tcMar>
            <w:vAlign w:val="center"/>
          </w:tcPr>
          <w:p w14:paraId="20B8F168">
            <w:pPr>
              <w:pStyle w:val="43"/>
              <w:shd w:val="clear" w:color="auto" w:fill="FFFFFF"/>
              <w:spacing w:before="0" w:beforeAutospacing="0" w:after="0" w:afterAutospacing="0" w:line="240" w:lineRule="auto"/>
              <w:jc w:val="center"/>
              <w:rPr>
                <w:bCs/>
                <w:color w:val="auto"/>
                <w:highlight w:val="none"/>
              </w:rPr>
            </w:pPr>
          </w:p>
        </w:tc>
      </w:tr>
      <w:tr w14:paraId="1013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14:paraId="49340DDE">
            <w:pPr>
              <w:pStyle w:val="43"/>
              <w:shd w:val="clear" w:color="auto" w:fill="FFFFFF"/>
              <w:spacing w:before="0" w:beforeAutospacing="0" w:after="0" w:afterAutospacing="0" w:line="240" w:lineRule="auto"/>
              <w:jc w:val="center"/>
              <w:rPr>
                <w:bCs/>
                <w:color w:val="auto"/>
                <w:highlight w:val="none"/>
              </w:rPr>
            </w:pPr>
            <w:r>
              <w:rPr>
                <w:bCs/>
                <w:color w:val="auto"/>
                <w:highlight w:val="none"/>
              </w:rPr>
              <w:t>1</w:t>
            </w:r>
            <w:r>
              <w:rPr>
                <w:rFonts w:hint="eastAsia"/>
                <w:bCs/>
                <w:color w:val="auto"/>
                <w:highlight w:val="none"/>
              </w:rPr>
              <w:t>.</w:t>
            </w:r>
          </w:p>
          <w:p w14:paraId="31EEAC59">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企</w:t>
            </w:r>
          </w:p>
          <w:p w14:paraId="0FD74A2D">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业</w:t>
            </w:r>
          </w:p>
          <w:p w14:paraId="568E7169">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概</w:t>
            </w:r>
          </w:p>
          <w:p w14:paraId="35B8E38A">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况</w:t>
            </w:r>
          </w:p>
        </w:tc>
        <w:tc>
          <w:tcPr>
            <w:tcW w:w="701" w:type="dxa"/>
            <w:tcBorders>
              <w:top w:val="nil"/>
            </w:tcBorders>
            <w:noWrap w:val="0"/>
            <w:tcMar>
              <w:top w:w="57" w:type="dxa"/>
              <w:left w:w="85" w:type="dxa"/>
              <w:bottom w:w="0" w:type="dxa"/>
              <w:right w:w="85" w:type="dxa"/>
            </w:tcMar>
            <w:vAlign w:val="center"/>
          </w:tcPr>
          <w:p w14:paraId="74B5F017">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职工人数</w:t>
            </w:r>
          </w:p>
        </w:tc>
        <w:tc>
          <w:tcPr>
            <w:tcW w:w="910" w:type="dxa"/>
            <w:gridSpan w:val="2"/>
            <w:tcBorders>
              <w:top w:val="nil"/>
            </w:tcBorders>
            <w:noWrap w:val="0"/>
            <w:tcMar>
              <w:top w:w="57" w:type="dxa"/>
              <w:left w:w="85" w:type="dxa"/>
              <w:bottom w:w="0" w:type="dxa"/>
              <w:right w:w="85" w:type="dxa"/>
            </w:tcMar>
            <w:vAlign w:val="center"/>
          </w:tcPr>
          <w:p w14:paraId="6741D39D">
            <w:pPr>
              <w:pStyle w:val="43"/>
              <w:shd w:val="clear" w:color="auto" w:fill="FFFFFF"/>
              <w:spacing w:before="0" w:beforeAutospacing="0" w:after="0" w:afterAutospacing="0" w:line="240" w:lineRule="auto"/>
              <w:jc w:val="center"/>
              <w:rPr>
                <w:bCs/>
                <w:color w:val="auto"/>
                <w:highlight w:val="none"/>
              </w:rPr>
            </w:pPr>
          </w:p>
        </w:tc>
        <w:tc>
          <w:tcPr>
            <w:tcW w:w="1163" w:type="dxa"/>
            <w:tcBorders>
              <w:top w:val="nil"/>
            </w:tcBorders>
            <w:noWrap w:val="0"/>
            <w:tcMar>
              <w:top w:w="57" w:type="dxa"/>
              <w:left w:w="85" w:type="dxa"/>
              <w:bottom w:w="0" w:type="dxa"/>
              <w:right w:w="85" w:type="dxa"/>
            </w:tcMar>
            <w:vAlign w:val="center"/>
          </w:tcPr>
          <w:p w14:paraId="4E0AA1E7">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14:paraId="5B4DB805">
            <w:pPr>
              <w:widowControl/>
              <w:spacing w:line="240" w:lineRule="auto"/>
              <w:jc w:val="center"/>
              <w:rPr>
                <w:rFonts w:ascii="宋体" w:hAnsi="宋体" w:cs="宋体"/>
                <w:bCs/>
                <w:color w:val="auto"/>
                <w:kern w:val="0"/>
                <w:sz w:val="24"/>
                <w:highlight w:val="none"/>
              </w:rPr>
            </w:pPr>
          </w:p>
          <w:p w14:paraId="22EC64DB">
            <w:pPr>
              <w:widowControl/>
              <w:spacing w:line="240" w:lineRule="auto"/>
              <w:jc w:val="center"/>
              <w:rPr>
                <w:rFonts w:ascii="宋体" w:hAnsi="宋体" w:cs="宋体"/>
                <w:bCs/>
                <w:color w:val="auto"/>
                <w:kern w:val="0"/>
                <w:sz w:val="24"/>
                <w:highlight w:val="none"/>
              </w:rPr>
            </w:pPr>
          </w:p>
          <w:p w14:paraId="67B99399">
            <w:pPr>
              <w:pStyle w:val="43"/>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7B69C7D8">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国家授予技术职称人数</w:t>
            </w:r>
          </w:p>
        </w:tc>
        <w:tc>
          <w:tcPr>
            <w:tcW w:w="2151" w:type="dxa"/>
            <w:gridSpan w:val="2"/>
            <w:noWrap w:val="0"/>
            <w:tcMar>
              <w:top w:w="57" w:type="dxa"/>
              <w:left w:w="85" w:type="dxa"/>
              <w:bottom w:w="0" w:type="dxa"/>
              <w:right w:w="85" w:type="dxa"/>
            </w:tcMar>
            <w:vAlign w:val="center"/>
          </w:tcPr>
          <w:p w14:paraId="0A2CA88A">
            <w:pPr>
              <w:widowControl/>
              <w:spacing w:line="240" w:lineRule="auto"/>
              <w:jc w:val="center"/>
              <w:rPr>
                <w:rFonts w:ascii="宋体" w:hAnsi="宋体" w:cs="宋体"/>
                <w:bCs/>
                <w:color w:val="auto"/>
                <w:kern w:val="0"/>
                <w:sz w:val="24"/>
                <w:highlight w:val="none"/>
              </w:rPr>
            </w:pPr>
          </w:p>
          <w:p w14:paraId="6D435039">
            <w:pPr>
              <w:pStyle w:val="43"/>
              <w:shd w:val="clear" w:color="auto" w:fill="FFFFFF"/>
              <w:spacing w:before="0" w:beforeAutospacing="0" w:after="0" w:afterAutospacing="0" w:line="240" w:lineRule="auto"/>
              <w:jc w:val="center"/>
              <w:rPr>
                <w:bCs/>
                <w:color w:val="auto"/>
                <w:highlight w:val="none"/>
              </w:rPr>
            </w:pPr>
          </w:p>
        </w:tc>
      </w:tr>
      <w:tr w14:paraId="19E5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14:paraId="2DCCEDFD">
            <w:pPr>
              <w:pStyle w:val="43"/>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32960998">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占地面积</w:t>
            </w:r>
          </w:p>
        </w:tc>
        <w:tc>
          <w:tcPr>
            <w:tcW w:w="910" w:type="dxa"/>
            <w:gridSpan w:val="2"/>
            <w:noWrap w:val="0"/>
            <w:tcMar>
              <w:top w:w="57" w:type="dxa"/>
              <w:left w:w="85" w:type="dxa"/>
              <w:bottom w:w="0" w:type="dxa"/>
              <w:right w:w="85" w:type="dxa"/>
            </w:tcMar>
            <w:vAlign w:val="center"/>
          </w:tcPr>
          <w:p w14:paraId="4B620F12">
            <w:pPr>
              <w:pStyle w:val="43"/>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5BB1EF25">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建筑面积</w:t>
            </w:r>
          </w:p>
        </w:tc>
        <w:tc>
          <w:tcPr>
            <w:tcW w:w="1205" w:type="dxa"/>
            <w:gridSpan w:val="2"/>
            <w:noWrap w:val="0"/>
            <w:tcMar>
              <w:top w:w="57" w:type="dxa"/>
              <w:left w:w="85" w:type="dxa"/>
              <w:bottom w:w="0" w:type="dxa"/>
              <w:right w:w="85" w:type="dxa"/>
            </w:tcMar>
            <w:vAlign w:val="center"/>
          </w:tcPr>
          <w:p w14:paraId="3788ADF6">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平方米</w:t>
            </w:r>
          </w:p>
          <w:p w14:paraId="255985C0">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□自有</w:t>
            </w:r>
          </w:p>
          <w:p w14:paraId="6F2F2056">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□租赁</w:t>
            </w:r>
          </w:p>
        </w:tc>
        <w:tc>
          <w:tcPr>
            <w:tcW w:w="2001" w:type="dxa"/>
            <w:gridSpan w:val="3"/>
            <w:noWrap w:val="0"/>
            <w:tcMar>
              <w:top w:w="57" w:type="dxa"/>
              <w:left w:w="85" w:type="dxa"/>
              <w:bottom w:w="0" w:type="dxa"/>
              <w:right w:w="85" w:type="dxa"/>
            </w:tcMar>
            <w:vAlign w:val="center"/>
          </w:tcPr>
          <w:p w14:paraId="327E8583">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生产经营场所及场所的设施与设备</w:t>
            </w:r>
          </w:p>
        </w:tc>
        <w:tc>
          <w:tcPr>
            <w:tcW w:w="2151" w:type="dxa"/>
            <w:gridSpan w:val="2"/>
            <w:noWrap w:val="0"/>
            <w:tcMar>
              <w:top w:w="57" w:type="dxa"/>
              <w:left w:w="85" w:type="dxa"/>
              <w:bottom w:w="0" w:type="dxa"/>
              <w:right w:w="85" w:type="dxa"/>
            </w:tcMar>
            <w:vAlign w:val="center"/>
          </w:tcPr>
          <w:p w14:paraId="2E9BEC3D">
            <w:pPr>
              <w:pStyle w:val="43"/>
              <w:shd w:val="clear" w:color="auto" w:fill="FFFFFF"/>
              <w:spacing w:before="0" w:beforeAutospacing="0" w:after="0" w:afterAutospacing="0" w:line="240" w:lineRule="auto"/>
              <w:jc w:val="center"/>
              <w:rPr>
                <w:bCs/>
                <w:color w:val="auto"/>
                <w:highlight w:val="none"/>
              </w:rPr>
            </w:pPr>
          </w:p>
        </w:tc>
      </w:tr>
      <w:tr w14:paraId="70C8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14:paraId="5A9D364C">
            <w:pPr>
              <w:pStyle w:val="43"/>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33071CF6">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注册资金</w:t>
            </w:r>
          </w:p>
        </w:tc>
        <w:tc>
          <w:tcPr>
            <w:tcW w:w="910" w:type="dxa"/>
            <w:gridSpan w:val="2"/>
            <w:noWrap w:val="0"/>
            <w:tcMar>
              <w:top w:w="57" w:type="dxa"/>
              <w:left w:w="85" w:type="dxa"/>
              <w:bottom w:w="0" w:type="dxa"/>
              <w:right w:w="85" w:type="dxa"/>
            </w:tcMar>
            <w:vAlign w:val="center"/>
          </w:tcPr>
          <w:p w14:paraId="3D4D1E71">
            <w:pPr>
              <w:pStyle w:val="43"/>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709C65E1">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注册发证机关</w:t>
            </w:r>
          </w:p>
        </w:tc>
        <w:tc>
          <w:tcPr>
            <w:tcW w:w="3206" w:type="dxa"/>
            <w:gridSpan w:val="5"/>
            <w:noWrap w:val="0"/>
            <w:tcMar>
              <w:top w:w="57" w:type="dxa"/>
              <w:left w:w="85" w:type="dxa"/>
              <w:bottom w:w="0" w:type="dxa"/>
              <w:right w:w="85" w:type="dxa"/>
            </w:tcMar>
            <w:vAlign w:val="center"/>
          </w:tcPr>
          <w:p w14:paraId="5FB54539">
            <w:pPr>
              <w:widowControl/>
              <w:spacing w:line="240" w:lineRule="auto"/>
              <w:jc w:val="center"/>
              <w:rPr>
                <w:rFonts w:ascii="宋体" w:hAnsi="宋体" w:cs="宋体"/>
                <w:bCs/>
                <w:color w:val="auto"/>
                <w:kern w:val="0"/>
                <w:sz w:val="24"/>
                <w:highlight w:val="none"/>
              </w:rPr>
            </w:pPr>
          </w:p>
          <w:p w14:paraId="50748E40">
            <w:pPr>
              <w:pStyle w:val="43"/>
              <w:shd w:val="clear" w:color="auto" w:fill="FFFFFF"/>
              <w:spacing w:before="0" w:beforeAutospacing="0" w:after="0" w:afterAutospacing="0" w:line="240" w:lineRule="auto"/>
              <w:jc w:val="center"/>
              <w:rPr>
                <w:bCs/>
                <w:color w:val="auto"/>
                <w:highlight w:val="none"/>
              </w:rPr>
            </w:pPr>
          </w:p>
        </w:tc>
        <w:tc>
          <w:tcPr>
            <w:tcW w:w="1218" w:type="dxa"/>
            <w:noWrap w:val="0"/>
            <w:tcMar>
              <w:top w:w="57" w:type="dxa"/>
              <w:left w:w="85" w:type="dxa"/>
              <w:bottom w:w="0" w:type="dxa"/>
              <w:right w:w="85" w:type="dxa"/>
            </w:tcMar>
            <w:vAlign w:val="center"/>
          </w:tcPr>
          <w:p w14:paraId="09DEF3BE">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公司成立时间</w:t>
            </w:r>
          </w:p>
        </w:tc>
        <w:tc>
          <w:tcPr>
            <w:tcW w:w="933" w:type="dxa"/>
            <w:noWrap w:val="0"/>
            <w:tcMar>
              <w:top w:w="57" w:type="dxa"/>
              <w:left w:w="85" w:type="dxa"/>
              <w:bottom w:w="0" w:type="dxa"/>
              <w:right w:w="85" w:type="dxa"/>
            </w:tcMar>
            <w:vAlign w:val="center"/>
          </w:tcPr>
          <w:p w14:paraId="6387802A">
            <w:pPr>
              <w:pStyle w:val="43"/>
              <w:shd w:val="clear" w:color="auto" w:fill="FFFFFF"/>
              <w:spacing w:before="0" w:beforeAutospacing="0" w:after="0" w:afterAutospacing="0" w:line="240" w:lineRule="auto"/>
              <w:jc w:val="center"/>
              <w:rPr>
                <w:bCs/>
                <w:color w:val="auto"/>
                <w:highlight w:val="none"/>
              </w:rPr>
            </w:pPr>
          </w:p>
        </w:tc>
      </w:tr>
      <w:tr w14:paraId="3EE9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14:paraId="5D268247">
            <w:pPr>
              <w:pStyle w:val="43"/>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78A57F1A">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核准经营范围</w:t>
            </w:r>
          </w:p>
        </w:tc>
        <w:tc>
          <w:tcPr>
            <w:tcW w:w="7430" w:type="dxa"/>
            <w:gridSpan w:val="10"/>
            <w:noWrap w:val="0"/>
            <w:tcMar>
              <w:top w:w="57" w:type="dxa"/>
              <w:left w:w="85" w:type="dxa"/>
              <w:bottom w:w="0" w:type="dxa"/>
              <w:right w:w="85" w:type="dxa"/>
            </w:tcMar>
            <w:vAlign w:val="center"/>
          </w:tcPr>
          <w:p w14:paraId="0E04A5DE">
            <w:pPr>
              <w:pStyle w:val="43"/>
              <w:shd w:val="clear" w:color="auto" w:fill="FFFFFF"/>
              <w:spacing w:before="0" w:beforeAutospacing="0" w:after="0" w:afterAutospacing="0" w:line="240" w:lineRule="auto"/>
              <w:jc w:val="center"/>
              <w:rPr>
                <w:bCs/>
                <w:color w:val="auto"/>
                <w:highlight w:val="none"/>
              </w:rPr>
            </w:pPr>
          </w:p>
        </w:tc>
      </w:tr>
      <w:tr w14:paraId="4AFB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14:paraId="76673624">
            <w:pPr>
              <w:pStyle w:val="43"/>
              <w:shd w:val="clear" w:color="auto" w:fill="FFFFFF"/>
              <w:spacing w:before="0" w:beforeAutospacing="0" w:after="0" w:afterAutospacing="0" w:line="240" w:lineRule="auto"/>
              <w:jc w:val="center"/>
              <w:rPr>
                <w:bCs/>
                <w:color w:val="auto"/>
                <w:highlight w:val="none"/>
              </w:rPr>
            </w:pPr>
          </w:p>
        </w:tc>
        <w:tc>
          <w:tcPr>
            <w:tcW w:w="8131" w:type="dxa"/>
            <w:gridSpan w:val="11"/>
            <w:noWrap w:val="0"/>
            <w:tcMar>
              <w:top w:w="57" w:type="dxa"/>
              <w:left w:w="85" w:type="dxa"/>
              <w:bottom w:w="0" w:type="dxa"/>
              <w:right w:w="85" w:type="dxa"/>
            </w:tcMar>
            <w:vAlign w:val="center"/>
          </w:tcPr>
          <w:p w14:paraId="55F3A346">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发展历程及主要荣誉：</w:t>
            </w:r>
          </w:p>
        </w:tc>
      </w:tr>
      <w:tr w14:paraId="3DFC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14:paraId="0879DD97">
            <w:pPr>
              <w:pStyle w:val="43"/>
              <w:shd w:val="clear" w:color="auto" w:fill="FFFFFF"/>
              <w:spacing w:before="0" w:beforeAutospacing="0" w:after="0" w:afterAutospacing="0" w:line="240" w:lineRule="auto"/>
              <w:jc w:val="center"/>
              <w:rPr>
                <w:bCs/>
                <w:color w:val="auto"/>
                <w:highlight w:val="none"/>
              </w:rPr>
            </w:pPr>
            <w:r>
              <w:rPr>
                <w:bCs/>
                <w:color w:val="auto"/>
                <w:highlight w:val="none"/>
              </w:rPr>
              <w:t>2</w:t>
            </w:r>
            <w:r>
              <w:rPr>
                <w:rFonts w:hint="eastAsia"/>
                <w:bCs/>
                <w:color w:val="auto"/>
                <w:highlight w:val="none"/>
              </w:rPr>
              <w:t>．</w:t>
            </w:r>
          </w:p>
          <w:p w14:paraId="4EECFB72">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企业有关资质获证情况</w:t>
            </w:r>
          </w:p>
        </w:tc>
        <w:tc>
          <w:tcPr>
            <w:tcW w:w="1553" w:type="dxa"/>
            <w:gridSpan w:val="2"/>
            <w:vMerge w:val="restart"/>
            <w:noWrap w:val="0"/>
            <w:tcMar>
              <w:top w:w="57" w:type="dxa"/>
              <w:left w:w="85" w:type="dxa"/>
              <w:bottom w:w="0" w:type="dxa"/>
              <w:right w:w="85" w:type="dxa"/>
            </w:tcMar>
            <w:vAlign w:val="center"/>
          </w:tcPr>
          <w:p w14:paraId="296F22B9">
            <w:pPr>
              <w:pStyle w:val="43"/>
              <w:spacing w:before="0" w:beforeAutospacing="0" w:after="0" w:afterAutospacing="0" w:line="24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noWrap w:val="0"/>
            <w:tcMar>
              <w:top w:w="57" w:type="dxa"/>
              <w:left w:w="85" w:type="dxa"/>
              <w:bottom w:w="0" w:type="dxa"/>
              <w:right w:w="85" w:type="dxa"/>
            </w:tcMar>
            <w:vAlign w:val="center"/>
          </w:tcPr>
          <w:p w14:paraId="6EF9C958">
            <w:pPr>
              <w:pStyle w:val="43"/>
              <w:spacing w:before="0" w:beforeAutospacing="0" w:after="0" w:afterAutospacing="0" w:line="240" w:lineRule="auto"/>
              <w:jc w:val="center"/>
              <w:rPr>
                <w:bCs/>
                <w:color w:val="auto"/>
                <w:highlight w:val="none"/>
              </w:rPr>
            </w:pPr>
            <w:r>
              <w:rPr>
                <w:rFonts w:hint="eastAsia"/>
                <w:bCs/>
                <w:color w:val="auto"/>
                <w:spacing w:val="16"/>
                <w:highlight w:val="none"/>
              </w:rPr>
              <w:t>资质名称</w:t>
            </w:r>
          </w:p>
        </w:tc>
        <w:tc>
          <w:tcPr>
            <w:tcW w:w="1418" w:type="dxa"/>
            <w:gridSpan w:val="2"/>
            <w:noWrap w:val="0"/>
            <w:tcMar>
              <w:top w:w="57" w:type="dxa"/>
              <w:left w:w="85" w:type="dxa"/>
              <w:bottom w:w="0" w:type="dxa"/>
              <w:right w:w="85" w:type="dxa"/>
            </w:tcMar>
            <w:vAlign w:val="center"/>
          </w:tcPr>
          <w:p w14:paraId="5A25C54F">
            <w:pPr>
              <w:pStyle w:val="43"/>
              <w:spacing w:before="0" w:beforeAutospacing="0" w:after="0" w:afterAutospacing="0" w:line="240" w:lineRule="auto"/>
              <w:jc w:val="center"/>
              <w:rPr>
                <w:bCs/>
                <w:color w:val="auto"/>
                <w:highlight w:val="none"/>
              </w:rPr>
            </w:pPr>
            <w:r>
              <w:rPr>
                <w:rFonts w:hint="eastAsia"/>
                <w:bCs/>
                <w:color w:val="auto"/>
                <w:spacing w:val="16"/>
                <w:highlight w:val="none"/>
              </w:rPr>
              <w:t>发证机关</w:t>
            </w:r>
          </w:p>
        </w:tc>
        <w:tc>
          <w:tcPr>
            <w:tcW w:w="1276" w:type="dxa"/>
            <w:noWrap w:val="0"/>
            <w:tcMar>
              <w:top w:w="57" w:type="dxa"/>
              <w:left w:w="85" w:type="dxa"/>
              <w:bottom w:w="0" w:type="dxa"/>
              <w:right w:w="85" w:type="dxa"/>
            </w:tcMar>
            <w:vAlign w:val="center"/>
          </w:tcPr>
          <w:p w14:paraId="44F0E568">
            <w:pPr>
              <w:pStyle w:val="43"/>
              <w:spacing w:before="0" w:beforeAutospacing="0" w:after="0" w:afterAutospacing="0" w:line="240" w:lineRule="auto"/>
              <w:jc w:val="center"/>
              <w:rPr>
                <w:bCs/>
                <w:color w:val="auto"/>
                <w:highlight w:val="none"/>
              </w:rPr>
            </w:pPr>
            <w:r>
              <w:rPr>
                <w:rFonts w:hint="eastAsia"/>
                <w:bCs/>
                <w:color w:val="auto"/>
                <w:spacing w:val="27"/>
                <w:highlight w:val="none"/>
              </w:rPr>
              <w:t>编号</w:t>
            </w:r>
          </w:p>
        </w:tc>
        <w:tc>
          <w:tcPr>
            <w:tcW w:w="1618" w:type="dxa"/>
            <w:gridSpan w:val="2"/>
            <w:noWrap w:val="0"/>
            <w:tcMar>
              <w:top w:w="57" w:type="dxa"/>
              <w:left w:w="85" w:type="dxa"/>
              <w:bottom w:w="0" w:type="dxa"/>
              <w:right w:w="85" w:type="dxa"/>
            </w:tcMar>
            <w:vAlign w:val="center"/>
          </w:tcPr>
          <w:p w14:paraId="3BEF1AFE">
            <w:pPr>
              <w:pStyle w:val="43"/>
              <w:spacing w:before="0" w:beforeAutospacing="0" w:after="0" w:afterAutospacing="0" w:line="240" w:lineRule="auto"/>
              <w:jc w:val="center"/>
              <w:rPr>
                <w:bCs/>
                <w:color w:val="auto"/>
                <w:highlight w:val="none"/>
              </w:rPr>
            </w:pPr>
            <w:r>
              <w:rPr>
                <w:rFonts w:hint="eastAsia"/>
                <w:bCs/>
                <w:color w:val="auto"/>
                <w:spacing w:val="16"/>
                <w:highlight w:val="none"/>
              </w:rPr>
              <w:t>发证时间</w:t>
            </w:r>
          </w:p>
        </w:tc>
        <w:tc>
          <w:tcPr>
            <w:tcW w:w="933" w:type="dxa"/>
            <w:noWrap w:val="0"/>
            <w:tcMar>
              <w:top w:w="57" w:type="dxa"/>
              <w:left w:w="85" w:type="dxa"/>
              <w:bottom w:w="0" w:type="dxa"/>
              <w:right w:w="85" w:type="dxa"/>
            </w:tcMar>
            <w:vAlign w:val="center"/>
          </w:tcPr>
          <w:p w14:paraId="1C673195">
            <w:pPr>
              <w:pStyle w:val="43"/>
              <w:spacing w:before="0" w:beforeAutospacing="0" w:after="0" w:afterAutospacing="0" w:line="240" w:lineRule="auto"/>
              <w:jc w:val="center"/>
              <w:rPr>
                <w:bCs/>
                <w:color w:val="auto"/>
                <w:highlight w:val="none"/>
              </w:rPr>
            </w:pPr>
            <w:r>
              <w:rPr>
                <w:rFonts w:hint="eastAsia"/>
                <w:bCs/>
                <w:color w:val="auto"/>
                <w:spacing w:val="27"/>
                <w:highlight w:val="none"/>
              </w:rPr>
              <w:t>期限</w:t>
            </w:r>
          </w:p>
        </w:tc>
      </w:tr>
      <w:tr w14:paraId="0D78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14:paraId="2B878197">
            <w:pPr>
              <w:pStyle w:val="43"/>
              <w:shd w:val="clear" w:color="auto" w:fill="FFFFFF"/>
              <w:spacing w:before="0" w:beforeAutospacing="0" w:after="0" w:afterAutospacing="0" w:line="240" w:lineRule="auto"/>
              <w:jc w:val="center"/>
              <w:rPr>
                <w:bCs/>
                <w:color w:val="auto"/>
                <w:highlight w:val="none"/>
              </w:rPr>
            </w:pPr>
          </w:p>
        </w:tc>
        <w:tc>
          <w:tcPr>
            <w:tcW w:w="1553" w:type="dxa"/>
            <w:gridSpan w:val="2"/>
            <w:vMerge w:val="continue"/>
            <w:noWrap w:val="0"/>
            <w:tcMar>
              <w:top w:w="57" w:type="dxa"/>
              <w:left w:w="85" w:type="dxa"/>
              <w:bottom w:w="0" w:type="dxa"/>
              <w:right w:w="85" w:type="dxa"/>
            </w:tcMar>
            <w:vAlign w:val="center"/>
          </w:tcPr>
          <w:p w14:paraId="3A13D2FD">
            <w:pPr>
              <w:pStyle w:val="43"/>
              <w:spacing w:before="0" w:beforeAutospacing="0" w:after="0" w:afterAutospacing="0" w:line="240" w:lineRule="auto"/>
              <w:jc w:val="center"/>
              <w:rPr>
                <w:bCs/>
                <w:color w:val="auto"/>
                <w:highlight w:val="none"/>
              </w:rPr>
            </w:pPr>
          </w:p>
        </w:tc>
        <w:tc>
          <w:tcPr>
            <w:tcW w:w="1333" w:type="dxa"/>
            <w:gridSpan w:val="3"/>
            <w:noWrap w:val="0"/>
            <w:tcMar>
              <w:top w:w="57" w:type="dxa"/>
              <w:left w:w="85" w:type="dxa"/>
              <w:bottom w:w="0" w:type="dxa"/>
              <w:right w:w="85" w:type="dxa"/>
            </w:tcMar>
            <w:vAlign w:val="center"/>
          </w:tcPr>
          <w:p w14:paraId="7BD16BA8">
            <w:pPr>
              <w:pStyle w:val="43"/>
              <w:spacing w:before="0" w:beforeAutospacing="0" w:after="0" w:afterAutospacing="0" w:line="240" w:lineRule="auto"/>
              <w:jc w:val="center"/>
              <w:rPr>
                <w:bCs/>
                <w:color w:val="auto"/>
                <w:highlight w:val="none"/>
              </w:rPr>
            </w:pPr>
          </w:p>
        </w:tc>
        <w:tc>
          <w:tcPr>
            <w:tcW w:w="1418" w:type="dxa"/>
            <w:gridSpan w:val="2"/>
            <w:noWrap w:val="0"/>
            <w:tcMar>
              <w:top w:w="57" w:type="dxa"/>
              <w:left w:w="85" w:type="dxa"/>
              <w:bottom w:w="0" w:type="dxa"/>
              <w:right w:w="85" w:type="dxa"/>
            </w:tcMar>
            <w:vAlign w:val="center"/>
          </w:tcPr>
          <w:p w14:paraId="408705DC">
            <w:pPr>
              <w:pStyle w:val="43"/>
              <w:spacing w:before="0" w:beforeAutospacing="0" w:after="0" w:afterAutospacing="0" w:line="240" w:lineRule="auto"/>
              <w:jc w:val="center"/>
              <w:rPr>
                <w:bCs/>
                <w:color w:val="auto"/>
                <w:highlight w:val="none"/>
              </w:rPr>
            </w:pPr>
          </w:p>
        </w:tc>
        <w:tc>
          <w:tcPr>
            <w:tcW w:w="1276" w:type="dxa"/>
            <w:noWrap w:val="0"/>
            <w:tcMar>
              <w:top w:w="57" w:type="dxa"/>
              <w:left w:w="85" w:type="dxa"/>
              <w:bottom w:w="0" w:type="dxa"/>
              <w:right w:w="85" w:type="dxa"/>
            </w:tcMar>
            <w:vAlign w:val="center"/>
          </w:tcPr>
          <w:p w14:paraId="3F185655">
            <w:pPr>
              <w:pStyle w:val="43"/>
              <w:spacing w:before="0" w:beforeAutospacing="0" w:after="0" w:afterAutospacing="0" w:line="240" w:lineRule="auto"/>
              <w:jc w:val="center"/>
              <w:rPr>
                <w:bCs/>
                <w:color w:val="auto"/>
                <w:highlight w:val="none"/>
              </w:rPr>
            </w:pPr>
          </w:p>
        </w:tc>
        <w:tc>
          <w:tcPr>
            <w:tcW w:w="1618" w:type="dxa"/>
            <w:gridSpan w:val="2"/>
            <w:noWrap w:val="0"/>
            <w:tcMar>
              <w:top w:w="57" w:type="dxa"/>
              <w:left w:w="85" w:type="dxa"/>
              <w:bottom w:w="0" w:type="dxa"/>
              <w:right w:w="85" w:type="dxa"/>
            </w:tcMar>
            <w:vAlign w:val="center"/>
          </w:tcPr>
          <w:p w14:paraId="3BD7126A">
            <w:pPr>
              <w:pStyle w:val="43"/>
              <w:spacing w:before="0" w:beforeAutospacing="0" w:after="0" w:afterAutospacing="0" w:line="240" w:lineRule="auto"/>
              <w:jc w:val="center"/>
              <w:rPr>
                <w:bCs/>
                <w:color w:val="auto"/>
                <w:highlight w:val="none"/>
              </w:rPr>
            </w:pPr>
          </w:p>
        </w:tc>
        <w:tc>
          <w:tcPr>
            <w:tcW w:w="933" w:type="dxa"/>
            <w:noWrap w:val="0"/>
            <w:tcMar>
              <w:top w:w="57" w:type="dxa"/>
              <w:left w:w="85" w:type="dxa"/>
              <w:bottom w:w="0" w:type="dxa"/>
              <w:right w:w="85" w:type="dxa"/>
            </w:tcMar>
            <w:vAlign w:val="center"/>
          </w:tcPr>
          <w:p w14:paraId="5D69F978">
            <w:pPr>
              <w:pStyle w:val="43"/>
              <w:spacing w:before="0" w:beforeAutospacing="0" w:after="0" w:afterAutospacing="0" w:line="240" w:lineRule="auto"/>
              <w:jc w:val="center"/>
              <w:rPr>
                <w:color w:val="auto"/>
                <w:highlight w:val="none"/>
              </w:rPr>
            </w:pPr>
          </w:p>
        </w:tc>
      </w:tr>
      <w:tr w14:paraId="18BA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14:paraId="43F53F85">
            <w:pPr>
              <w:pStyle w:val="43"/>
              <w:shd w:val="clear" w:color="auto" w:fill="FFFFFF"/>
              <w:spacing w:before="0" w:beforeAutospacing="0" w:after="0" w:afterAutospacing="0" w:line="240" w:lineRule="auto"/>
              <w:jc w:val="center"/>
              <w:rPr>
                <w:bCs/>
                <w:color w:val="auto"/>
                <w:highlight w:val="none"/>
              </w:rPr>
            </w:pPr>
          </w:p>
        </w:tc>
        <w:tc>
          <w:tcPr>
            <w:tcW w:w="1553" w:type="dxa"/>
            <w:gridSpan w:val="2"/>
            <w:noWrap w:val="0"/>
            <w:tcMar>
              <w:top w:w="57" w:type="dxa"/>
              <w:left w:w="85" w:type="dxa"/>
              <w:bottom w:w="0" w:type="dxa"/>
              <w:right w:w="85" w:type="dxa"/>
            </w:tcMar>
            <w:vAlign w:val="center"/>
          </w:tcPr>
          <w:p w14:paraId="4C376BB6">
            <w:pPr>
              <w:pStyle w:val="43"/>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企业获得专利情况</w:t>
            </w:r>
          </w:p>
        </w:tc>
        <w:tc>
          <w:tcPr>
            <w:tcW w:w="6578" w:type="dxa"/>
            <w:gridSpan w:val="9"/>
            <w:noWrap w:val="0"/>
            <w:tcMar>
              <w:top w:w="57" w:type="dxa"/>
              <w:left w:w="85" w:type="dxa"/>
              <w:bottom w:w="0" w:type="dxa"/>
              <w:right w:w="85" w:type="dxa"/>
            </w:tcMar>
            <w:vAlign w:val="center"/>
          </w:tcPr>
          <w:p w14:paraId="4C3FF1CF">
            <w:pPr>
              <w:pStyle w:val="43"/>
              <w:shd w:val="clear" w:color="auto" w:fill="FFFFFF"/>
              <w:spacing w:before="0" w:beforeAutospacing="0" w:after="0" w:afterAutospacing="0" w:line="240" w:lineRule="auto"/>
              <w:jc w:val="center"/>
              <w:rPr>
                <w:bCs/>
                <w:color w:val="auto"/>
                <w:highlight w:val="none"/>
              </w:rPr>
            </w:pPr>
          </w:p>
        </w:tc>
      </w:tr>
    </w:tbl>
    <w:p w14:paraId="594B3E76">
      <w:pPr>
        <w:pStyle w:val="43"/>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38DE8A97">
      <w:pPr>
        <w:pStyle w:val="43"/>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4F802173">
      <w:pPr>
        <w:spacing w:line="360" w:lineRule="auto"/>
        <w:ind w:firstLine="424" w:firstLineChars="177"/>
        <w:rPr>
          <w:rFonts w:hint="eastAsia" w:ascii="宋体" w:hAnsi="宋体"/>
          <w:color w:val="auto"/>
          <w:sz w:val="24"/>
          <w:highlight w:val="none"/>
        </w:rPr>
      </w:pPr>
    </w:p>
    <w:p w14:paraId="1069952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0AC61298">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1F048F4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5C3CF055">
      <w:pPr>
        <w:pStyle w:val="4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4F99A5C3">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7C043A81">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6513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6324EFF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E3DAE6C">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661711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4BDE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29EB684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4E0207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7B50838">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3189B5E5">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1126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39FAB81">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D4682E0">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11E24A65">
            <w:pPr>
              <w:autoSpaceDE w:val="0"/>
              <w:autoSpaceDN w:val="0"/>
              <w:adjustRightInd w:val="0"/>
              <w:snapToGrid w:val="0"/>
              <w:spacing w:line="360" w:lineRule="auto"/>
              <w:jc w:val="center"/>
              <w:rPr>
                <w:rFonts w:ascii="宋体" w:hAnsi="宋体"/>
                <w:color w:val="auto"/>
                <w:highlight w:val="none"/>
                <w:lang w:val="zh-CN"/>
              </w:rPr>
            </w:pPr>
          </w:p>
        </w:tc>
      </w:tr>
      <w:tr w14:paraId="36F9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FB94E1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6F858FC">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5AA3533">
            <w:pPr>
              <w:autoSpaceDE w:val="0"/>
              <w:autoSpaceDN w:val="0"/>
              <w:adjustRightInd w:val="0"/>
              <w:snapToGrid w:val="0"/>
              <w:spacing w:line="360" w:lineRule="auto"/>
              <w:jc w:val="center"/>
              <w:rPr>
                <w:rFonts w:ascii="宋体" w:hAnsi="宋体"/>
                <w:color w:val="auto"/>
                <w:highlight w:val="none"/>
                <w:lang w:val="zh-CN"/>
              </w:rPr>
            </w:pPr>
          </w:p>
        </w:tc>
      </w:tr>
      <w:tr w14:paraId="500C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5A45A18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DB358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CB535DA">
            <w:pPr>
              <w:autoSpaceDE w:val="0"/>
              <w:autoSpaceDN w:val="0"/>
              <w:adjustRightInd w:val="0"/>
              <w:snapToGrid w:val="0"/>
              <w:spacing w:line="360" w:lineRule="auto"/>
              <w:jc w:val="center"/>
              <w:rPr>
                <w:rFonts w:ascii="宋体" w:hAnsi="宋体"/>
                <w:color w:val="auto"/>
                <w:highlight w:val="none"/>
                <w:lang w:val="zh-CN"/>
              </w:rPr>
            </w:pPr>
          </w:p>
        </w:tc>
      </w:tr>
      <w:tr w14:paraId="05C4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8C42A0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FBBBAE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0509473">
            <w:pPr>
              <w:autoSpaceDE w:val="0"/>
              <w:autoSpaceDN w:val="0"/>
              <w:adjustRightInd w:val="0"/>
              <w:snapToGrid w:val="0"/>
              <w:spacing w:line="360" w:lineRule="auto"/>
              <w:jc w:val="center"/>
              <w:rPr>
                <w:rFonts w:ascii="宋体" w:hAnsi="宋体"/>
                <w:color w:val="auto"/>
                <w:highlight w:val="none"/>
                <w:lang w:val="zh-CN"/>
              </w:rPr>
            </w:pPr>
          </w:p>
        </w:tc>
      </w:tr>
      <w:tr w14:paraId="0843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D8FF92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90DB0D7">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4F2A5CB3">
            <w:pPr>
              <w:autoSpaceDE w:val="0"/>
              <w:autoSpaceDN w:val="0"/>
              <w:adjustRightInd w:val="0"/>
              <w:snapToGrid w:val="0"/>
              <w:spacing w:line="360" w:lineRule="auto"/>
              <w:jc w:val="center"/>
              <w:rPr>
                <w:rFonts w:ascii="宋体" w:hAnsi="宋体"/>
                <w:color w:val="auto"/>
                <w:highlight w:val="none"/>
                <w:lang w:val="zh-CN"/>
              </w:rPr>
            </w:pPr>
          </w:p>
        </w:tc>
      </w:tr>
      <w:tr w14:paraId="2360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213DE7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EE6DE1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171AE325">
            <w:pPr>
              <w:autoSpaceDE w:val="0"/>
              <w:autoSpaceDN w:val="0"/>
              <w:adjustRightInd w:val="0"/>
              <w:snapToGrid w:val="0"/>
              <w:spacing w:line="360" w:lineRule="auto"/>
              <w:jc w:val="center"/>
              <w:rPr>
                <w:rFonts w:ascii="宋体" w:hAnsi="宋体"/>
                <w:color w:val="auto"/>
                <w:highlight w:val="none"/>
                <w:lang w:val="zh-CN"/>
              </w:rPr>
            </w:pPr>
          </w:p>
        </w:tc>
      </w:tr>
      <w:tr w14:paraId="3CD4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14:paraId="76C974A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14:paraId="61F1A7B4">
            <w:pPr>
              <w:autoSpaceDE w:val="0"/>
              <w:autoSpaceDN w:val="0"/>
              <w:adjustRightInd w:val="0"/>
              <w:snapToGrid w:val="0"/>
              <w:spacing w:line="360" w:lineRule="auto"/>
              <w:jc w:val="center"/>
              <w:rPr>
                <w:rFonts w:ascii="宋体" w:hAnsi="宋体"/>
                <w:color w:val="auto"/>
                <w:highlight w:val="none"/>
                <w:lang w:val="zh-CN"/>
              </w:rPr>
            </w:pPr>
          </w:p>
        </w:tc>
      </w:tr>
    </w:tbl>
    <w:p w14:paraId="4B2F8B4D">
      <w:pPr>
        <w:spacing w:line="360" w:lineRule="auto"/>
        <w:ind w:left="420"/>
        <w:rPr>
          <w:rFonts w:ascii="宋体" w:hAnsi="宋体"/>
          <w:color w:val="auto"/>
          <w:sz w:val="24"/>
          <w:highlight w:val="none"/>
        </w:rPr>
      </w:pPr>
    </w:p>
    <w:p w14:paraId="3DACD2CE">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4C82AF87">
      <w:pPr>
        <w:spacing w:line="360" w:lineRule="auto"/>
        <w:ind w:left="420"/>
        <w:rPr>
          <w:rFonts w:ascii="宋体" w:hAnsi="宋体"/>
          <w:color w:val="auto"/>
          <w:sz w:val="24"/>
          <w:highlight w:val="none"/>
        </w:rPr>
      </w:pPr>
    </w:p>
    <w:p w14:paraId="55034ABC">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78EB593F">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134E75A">
      <w:pPr>
        <w:spacing w:line="360" w:lineRule="auto"/>
        <w:ind w:firstLine="435"/>
        <w:rPr>
          <w:rFonts w:ascii="宋体" w:hAnsi="宋体"/>
          <w:color w:val="auto"/>
          <w:sz w:val="24"/>
          <w:highlight w:val="none"/>
        </w:rPr>
      </w:pPr>
    </w:p>
    <w:p w14:paraId="67987AAA">
      <w:pPr>
        <w:spacing w:line="360" w:lineRule="auto"/>
        <w:ind w:firstLine="435"/>
        <w:jc w:val="left"/>
        <w:rPr>
          <w:rFonts w:hint="eastAsia" w:ascii="宋体" w:hAnsi="宋体"/>
          <w:b/>
          <w:bCs/>
          <w:color w:val="auto"/>
          <w:kern w:val="0"/>
          <w:sz w:val="32"/>
          <w:szCs w:val="32"/>
          <w:highlight w:val="none"/>
        </w:rPr>
      </w:pPr>
      <w:r>
        <w:rPr>
          <w:rFonts w:hint="eastAsia" w:ascii="宋体" w:hAnsi="宋体"/>
          <w:color w:val="auto"/>
          <w:sz w:val="24"/>
          <w:highlight w:val="none"/>
        </w:rPr>
        <w:t>日        期：</w:t>
      </w:r>
      <w:bookmarkStart w:id="50" w:name="_Toc12856_WPSOffice_Level1"/>
      <w:bookmarkStart w:id="51" w:name="_Toc26601_WPSOffice_Level1"/>
    </w:p>
    <w:p w14:paraId="4BC5D3B8">
      <w:pPr>
        <w:spacing w:line="360" w:lineRule="auto"/>
        <w:jc w:val="left"/>
        <w:rPr>
          <w:rFonts w:hint="eastAsia" w:ascii="宋体" w:hAnsi="宋体"/>
          <w:b/>
          <w:bCs/>
          <w:color w:val="auto"/>
          <w:kern w:val="0"/>
          <w:sz w:val="32"/>
          <w:szCs w:val="32"/>
          <w:highlight w:val="none"/>
        </w:rPr>
      </w:pPr>
    </w:p>
    <w:p w14:paraId="6038B1E6">
      <w:pPr>
        <w:spacing w:line="360" w:lineRule="auto"/>
        <w:jc w:val="left"/>
        <w:rPr>
          <w:rFonts w:hint="eastAsia"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8</w:t>
      </w:r>
    </w:p>
    <w:p w14:paraId="52C569DE">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CFAB907">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1075B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45B3C40">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779093B">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D566737">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8E39DE">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BEDFB39">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DEB5545">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AEC2E9">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AD02076">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lang w:val="en-US" w:eastAsia="zh-CN"/>
              </w:rPr>
              <w:t>社保证明</w:t>
            </w:r>
          </w:p>
        </w:tc>
      </w:tr>
      <w:tr w14:paraId="1C382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18D9701">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8360646">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EBBF12C">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243425C">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2F9CD2C">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F5D9445">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9677A07">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709D361">
            <w:pPr>
              <w:snapToGrid w:val="0"/>
              <w:spacing w:before="120" w:beforeLines="50" w:after="50" w:line="360" w:lineRule="auto"/>
              <w:rPr>
                <w:rFonts w:ascii="宋体" w:hAnsi="宋体"/>
                <w:b/>
                <w:color w:val="auto"/>
                <w:kern w:val="44"/>
                <w:szCs w:val="21"/>
                <w:highlight w:val="none"/>
              </w:rPr>
            </w:pPr>
          </w:p>
        </w:tc>
      </w:tr>
      <w:tr w14:paraId="33EF2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1A6B7F9">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C02A2B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67DCFE5">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684F47A">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39A1C93">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755A4BE">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27E535B">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91445CB">
            <w:pPr>
              <w:snapToGrid w:val="0"/>
              <w:spacing w:before="120" w:beforeLines="50" w:after="50" w:line="360" w:lineRule="auto"/>
              <w:rPr>
                <w:rFonts w:ascii="宋体" w:hAnsi="宋体"/>
                <w:b/>
                <w:color w:val="auto"/>
                <w:kern w:val="44"/>
                <w:szCs w:val="21"/>
                <w:highlight w:val="none"/>
              </w:rPr>
            </w:pPr>
          </w:p>
        </w:tc>
      </w:tr>
      <w:tr w14:paraId="72EC7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3C32A78">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7EF0D8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DB5464E">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9CF463B">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FF4CD4E">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58512FA">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DE2575F">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167AE63">
            <w:pPr>
              <w:snapToGrid w:val="0"/>
              <w:spacing w:before="120" w:beforeLines="50" w:after="50" w:line="360" w:lineRule="auto"/>
              <w:rPr>
                <w:rFonts w:ascii="宋体" w:hAnsi="宋体"/>
                <w:b/>
                <w:color w:val="auto"/>
                <w:kern w:val="44"/>
                <w:szCs w:val="21"/>
                <w:highlight w:val="none"/>
              </w:rPr>
            </w:pPr>
          </w:p>
        </w:tc>
      </w:tr>
      <w:tr w14:paraId="60264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7AF30E0">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D3EAF05">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8F4AAD9">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309A96A">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6F36F10">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03EBE95">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A51853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9147A27">
            <w:pPr>
              <w:snapToGrid w:val="0"/>
              <w:spacing w:before="120" w:beforeLines="50" w:after="50" w:line="360" w:lineRule="auto"/>
              <w:rPr>
                <w:rFonts w:ascii="宋体" w:hAnsi="宋体"/>
                <w:b/>
                <w:color w:val="auto"/>
                <w:kern w:val="44"/>
                <w:szCs w:val="21"/>
                <w:highlight w:val="none"/>
              </w:rPr>
            </w:pPr>
          </w:p>
        </w:tc>
      </w:tr>
      <w:tr w14:paraId="1E3D1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EEDF890">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3EC846D">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96C6BB4">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972147D">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37683C6">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DE1AC2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CC33695">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D7BAB2F">
            <w:pPr>
              <w:snapToGrid w:val="0"/>
              <w:spacing w:before="120" w:beforeLines="50" w:after="50" w:line="360" w:lineRule="auto"/>
              <w:rPr>
                <w:rFonts w:ascii="宋体" w:hAnsi="宋体"/>
                <w:b/>
                <w:color w:val="auto"/>
                <w:kern w:val="44"/>
                <w:szCs w:val="21"/>
                <w:highlight w:val="none"/>
              </w:rPr>
            </w:pPr>
          </w:p>
        </w:tc>
      </w:tr>
    </w:tbl>
    <w:p w14:paraId="4586C483">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1001EDA8">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14:paraId="77FDA5D9">
      <w:pPr>
        <w:pStyle w:val="39"/>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14:paraId="16F063D1">
      <w:pPr>
        <w:pStyle w:val="39"/>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eastAsia="宋体" w:cs="Times New Roman"/>
          <w:bCs/>
          <w:color w:val="auto"/>
          <w:sz w:val="21"/>
          <w:szCs w:val="21"/>
          <w:highlight w:val="none"/>
          <w:lang w:val="en-US" w:eastAsia="zh-CN"/>
        </w:rPr>
        <w:t>近三个月中其中一个月社保证明</w:t>
      </w:r>
      <w:r>
        <w:rPr>
          <w:rFonts w:hint="eastAsia" w:ascii="宋体" w:hAnsi="宋体"/>
          <w:color w:val="auto"/>
          <w:szCs w:val="21"/>
          <w:highlight w:val="none"/>
        </w:rPr>
        <w:t>。</w:t>
      </w:r>
    </w:p>
    <w:p w14:paraId="6A08E655">
      <w:pPr>
        <w:snapToGrid w:val="0"/>
        <w:spacing w:before="50" w:after="120" w:afterLines="50" w:line="360" w:lineRule="auto"/>
        <w:jc w:val="left"/>
        <w:rPr>
          <w:rFonts w:ascii="宋体" w:hAnsi="宋体"/>
          <w:color w:val="auto"/>
          <w:sz w:val="24"/>
          <w:szCs w:val="20"/>
          <w:highlight w:val="none"/>
        </w:rPr>
      </w:pPr>
    </w:p>
    <w:p w14:paraId="0708F844">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1BB0E15F">
      <w:pPr>
        <w:spacing w:line="360" w:lineRule="auto"/>
        <w:ind w:left="420"/>
        <w:rPr>
          <w:rFonts w:ascii="宋体" w:hAnsi="宋体"/>
          <w:color w:val="auto"/>
          <w:sz w:val="24"/>
          <w:highlight w:val="none"/>
        </w:rPr>
      </w:pPr>
    </w:p>
    <w:p w14:paraId="32E434DB">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6328E517">
      <w:pPr>
        <w:spacing w:line="360" w:lineRule="auto"/>
        <w:ind w:firstLine="435"/>
        <w:rPr>
          <w:rFonts w:ascii="宋体" w:hAnsi="宋体"/>
          <w:color w:val="auto"/>
          <w:sz w:val="24"/>
          <w:highlight w:val="none"/>
        </w:rPr>
      </w:pPr>
    </w:p>
    <w:p w14:paraId="698D1E61">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E07D90E">
      <w:pPr>
        <w:spacing w:line="360" w:lineRule="auto"/>
        <w:ind w:firstLine="435"/>
        <w:rPr>
          <w:rFonts w:ascii="宋体" w:hAnsi="宋体"/>
          <w:color w:val="auto"/>
          <w:sz w:val="24"/>
          <w:highlight w:val="none"/>
        </w:rPr>
      </w:pPr>
    </w:p>
    <w:p w14:paraId="7FC4F20B">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E2EB18A">
      <w:pPr>
        <w:spacing w:line="360" w:lineRule="auto"/>
        <w:jc w:val="left"/>
        <w:rPr>
          <w:rFonts w:hint="eastAsia" w:ascii="宋体" w:hAnsi="宋体"/>
          <w:b/>
          <w:bCs/>
          <w:color w:val="auto"/>
          <w:kern w:val="0"/>
          <w:sz w:val="32"/>
          <w:szCs w:val="32"/>
          <w:highlight w:val="none"/>
        </w:rPr>
      </w:pPr>
    </w:p>
    <w:p w14:paraId="2F464816">
      <w:pPr>
        <w:pStyle w:val="8"/>
        <w:rPr>
          <w:rFonts w:hint="eastAsia" w:ascii="宋体" w:hAnsi="宋体"/>
          <w:b/>
          <w:bCs/>
          <w:color w:val="auto"/>
          <w:kern w:val="0"/>
          <w:sz w:val="32"/>
          <w:szCs w:val="32"/>
          <w:highlight w:val="none"/>
        </w:rPr>
      </w:pPr>
    </w:p>
    <w:p w14:paraId="4A061ED7">
      <w:pPr>
        <w:pStyle w:val="9"/>
        <w:rPr>
          <w:rFonts w:hint="eastAsia"/>
          <w:color w:val="auto"/>
          <w:highlight w:val="none"/>
        </w:rPr>
      </w:pPr>
    </w:p>
    <w:p w14:paraId="405F43F2">
      <w:pPr>
        <w:spacing w:line="360" w:lineRule="auto"/>
        <w:jc w:val="left"/>
        <w:rPr>
          <w:rFonts w:hint="eastAsia" w:ascii="宋体" w:hAnsi="宋体"/>
          <w:b/>
          <w:bCs/>
          <w:color w:val="auto"/>
          <w:kern w:val="0"/>
          <w:sz w:val="32"/>
          <w:szCs w:val="32"/>
          <w:highlight w:val="none"/>
        </w:rPr>
        <w:sectPr>
          <w:pgSz w:w="11906" w:h="16838"/>
          <w:pgMar w:top="1701" w:right="1448" w:bottom="1531" w:left="1418" w:header="851" w:footer="851" w:gutter="0"/>
          <w:cols w:space="720" w:num="1"/>
          <w:titlePg/>
          <w:docGrid w:linePitch="312" w:charSpace="0"/>
        </w:sectPr>
      </w:pPr>
    </w:p>
    <w:p w14:paraId="1598AFBB">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9</w:t>
      </w:r>
    </w:p>
    <w:p w14:paraId="52816375">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0C59AF34">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09E0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FA5AE0A">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870" w:type="dxa"/>
            <w:noWrap w:val="0"/>
            <w:vAlign w:val="center"/>
          </w:tcPr>
          <w:p w14:paraId="51645AA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noWrap w:val="0"/>
            <w:vAlign w:val="center"/>
          </w:tcPr>
          <w:p w14:paraId="12FB9FC1">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49" w:type="dxa"/>
            <w:noWrap w:val="0"/>
            <w:vAlign w:val="center"/>
          </w:tcPr>
          <w:p w14:paraId="371D0F8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71" w:type="dxa"/>
            <w:noWrap w:val="0"/>
            <w:vAlign w:val="center"/>
          </w:tcPr>
          <w:p w14:paraId="53CB9B8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5A36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CD7DAA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870" w:type="dxa"/>
            <w:noWrap w:val="0"/>
            <w:vAlign w:val="center"/>
          </w:tcPr>
          <w:p w14:paraId="32BAB89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707" w:type="dxa"/>
            <w:noWrap w:val="0"/>
            <w:vAlign w:val="center"/>
          </w:tcPr>
          <w:p w14:paraId="6B4592BE">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1DA3E1AB">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2355068A">
            <w:pPr>
              <w:adjustRightInd w:val="0"/>
              <w:snapToGrid w:val="0"/>
              <w:spacing w:before="100" w:beforeAutospacing="1" w:after="100" w:afterAutospacing="1" w:line="360" w:lineRule="auto"/>
              <w:rPr>
                <w:rFonts w:ascii="宋体" w:hAnsi="宋体"/>
                <w:color w:val="auto"/>
                <w:sz w:val="24"/>
                <w:highlight w:val="none"/>
              </w:rPr>
            </w:pPr>
          </w:p>
        </w:tc>
      </w:tr>
      <w:tr w14:paraId="6D22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5064A11">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870" w:type="dxa"/>
            <w:noWrap w:val="0"/>
            <w:vAlign w:val="center"/>
          </w:tcPr>
          <w:p w14:paraId="68ABB98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707" w:type="dxa"/>
            <w:noWrap w:val="0"/>
            <w:vAlign w:val="center"/>
          </w:tcPr>
          <w:p w14:paraId="6A8123DD">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B265138">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769EC746">
            <w:pPr>
              <w:adjustRightInd w:val="0"/>
              <w:snapToGrid w:val="0"/>
              <w:spacing w:before="100" w:beforeAutospacing="1" w:after="100" w:afterAutospacing="1" w:line="360" w:lineRule="auto"/>
              <w:rPr>
                <w:rFonts w:ascii="宋体" w:hAnsi="宋体"/>
                <w:color w:val="auto"/>
                <w:sz w:val="24"/>
                <w:highlight w:val="none"/>
              </w:rPr>
            </w:pPr>
          </w:p>
        </w:tc>
      </w:tr>
      <w:tr w14:paraId="55CD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159873C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870" w:type="dxa"/>
            <w:noWrap w:val="0"/>
            <w:vAlign w:val="center"/>
          </w:tcPr>
          <w:p w14:paraId="1DFC2AD6">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4038B23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F0AC635">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182766CD">
            <w:pPr>
              <w:adjustRightInd w:val="0"/>
              <w:snapToGrid w:val="0"/>
              <w:spacing w:before="100" w:beforeAutospacing="1" w:after="100" w:afterAutospacing="1" w:line="360" w:lineRule="auto"/>
              <w:rPr>
                <w:rFonts w:ascii="宋体" w:hAnsi="宋体"/>
                <w:color w:val="auto"/>
                <w:sz w:val="24"/>
                <w:highlight w:val="none"/>
              </w:rPr>
            </w:pPr>
          </w:p>
        </w:tc>
      </w:tr>
      <w:tr w14:paraId="24BF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922030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870" w:type="dxa"/>
            <w:noWrap w:val="0"/>
            <w:vAlign w:val="center"/>
          </w:tcPr>
          <w:p w14:paraId="5E2020CB">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2186255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2E67E98">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087BE609">
            <w:pPr>
              <w:adjustRightInd w:val="0"/>
              <w:snapToGrid w:val="0"/>
              <w:spacing w:before="100" w:beforeAutospacing="1" w:after="100" w:afterAutospacing="1" w:line="360" w:lineRule="auto"/>
              <w:rPr>
                <w:rFonts w:ascii="宋体" w:hAnsi="宋体"/>
                <w:color w:val="auto"/>
                <w:sz w:val="24"/>
                <w:highlight w:val="none"/>
              </w:rPr>
            </w:pPr>
          </w:p>
        </w:tc>
      </w:tr>
      <w:tr w14:paraId="0CA8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56DB33D">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870" w:type="dxa"/>
            <w:noWrap w:val="0"/>
            <w:vAlign w:val="center"/>
          </w:tcPr>
          <w:p w14:paraId="05768803">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5D6BB14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6D866E86">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428ED567">
            <w:pPr>
              <w:adjustRightInd w:val="0"/>
              <w:snapToGrid w:val="0"/>
              <w:spacing w:before="100" w:beforeAutospacing="1" w:after="100" w:afterAutospacing="1" w:line="360" w:lineRule="auto"/>
              <w:rPr>
                <w:rFonts w:ascii="宋体" w:hAnsi="宋体"/>
                <w:color w:val="auto"/>
                <w:sz w:val="24"/>
                <w:highlight w:val="none"/>
              </w:rPr>
            </w:pPr>
          </w:p>
        </w:tc>
      </w:tr>
      <w:tr w14:paraId="397A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87AC020">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870" w:type="dxa"/>
            <w:noWrap w:val="0"/>
            <w:vAlign w:val="center"/>
          </w:tcPr>
          <w:p w14:paraId="51565BC1">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2354E7C6">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A52363B">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13334F6A">
            <w:pPr>
              <w:adjustRightInd w:val="0"/>
              <w:snapToGrid w:val="0"/>
              <w:spacing w:before="100" w:beforeAutospacing="1" w:after="100" w:afterAutospacing="1" w:line="360" w:lineRule="auto"/>
              <w:rPr>
                <w:rFonts w:ascii="宋体" w:hAnsi="宋体"/>
                <w:color w:val="auto"/>
                <w:sz w:val="24"/>
                <w:highlight w:val="none"/>
              </w:rPr>
            </w:pPr>
          </w:p>
        </w:tc>
      </w:tr>
      <w:tr w14:paraId="1DCA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48CB68F">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870" w:type="dxa"/>
            <w:noWrap w:val="0"/>
            <w:vAlign w:val="center"/>
          </w:tcPr>
          <w:p w14:paraId="671CF28F">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3201F79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3DEA8AB">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01911FE">
            <w:pPr>
              <w:adjustRightInd w:val="0"/>
              <w:snapToGrid w:val="0"/>
              <w:spacing w:before="100" w:beforeAutospacing="1" w:after="100" w:afterAutospacing="1" w:line="360" w:lineRule="auto"/>
              <w:rPr>
                <w:rFonts w:ascii="宋体" w:hAnsi="宋体"/>
                <w:color w:val="auto"/>
                <w:sz w:val="24"/>
                <w:highlight w:val="none"/>
              </w:rPr>
            </w:pPr>
          </w:p>
        </w:tc>
      </w:tr>
      <w:tr w14:paraId="28FD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8DBBCE8">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65A4813B">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707" w:type="dxa"/>
            <w:noWrap w:val="0"/>
            <w:vAlign w:val="center"/>
          </w:tcPr>
          <w:p w14:paraId="60D8FC4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1546E283">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75CA7771">
            <w:pPr>
              <w:adjustRightInd w:val="0"/>
              <w:snapToGrid w:val="0"/>
              <w:spacing w:before="100" w:beforeAutospacing="1" w:after="100" w:afterAutospacing="1" w:line="360" w:lineRule="auto"/>
              <w:rPr>
                <w:rFonts w:ascii="宋体" w:hAnsi="宋体"/>
                <w:color w:val="auto"/>
                <w:sz w:val="24"/>
                <w:highlight w:val="none"/>
              </w:rPr>
            </w:pPr>
          </w:p>
        </w:tc>
      </w:tr>
      <w:tr w14:paraId="00D2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B272958">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53D5C67B">
            <w:pPr>
              <w:adjustRightInd w:val="0"/>
              <w:snapToGrid w:val="0"/>
              <w:spacing w:before="100" w:beforeAutospacing="1" w:after="100" w:afterAutospacing="1" w:line="360" w:lineRule="auto"/>
              <w:rPr>
                <w:rFonts w:ascii="宋体" w:hAnsi="宋体"/>
                <w:color w:val="auto"/>
                <w:sz w:val="24"/>
                <w:highlight w:val="none"/>
              </w:rPr>
            </w:pPr>
          </w:p>
        </w:tc>
        <w:tc>
          <w:tcPr>
            <w:tcW w:w="2707" w:type="dxa"/>
            <w:noWrap w:val="0"/>
            <w:vAlign w:val="center"/>
          </w:tcPr>
          <w:p w14:paraId="20F782A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120929F8">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3AFFF53">
            <w:pPr>
              <w:adjustRightInd w:val="0"/>
              <w:snapToGrid w:val="0"/>
              <w:spacing w:before="100" w:beforeAutospacing="1" w:after="100" w:afterAutospacing="1" w:line="360" w:lineRule="auto"/>
              <w:rPr>
                <w:rFonts w:ascii="宋体" w:hAnsi="宋体"/>
                <w:color w:val="auto"/>
                <w:sz w:val="24"/>
                <w:highlight w:val="none"/>
              </w:rPr>
            </w:pPr>
          </w:p>
        </w:tc>
      </w:tr>
    </w:tbl>
    <w:p w14:paraId="154FFB0B">
      <w:pPr>
        <w:pStyle w:val="12"/>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50DCAC86">
      <w:pPr>
        <w:pStyle w:val="12"/>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285FBCC8">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50"/>
    <w:bookmarkEnd w:id="51"/>
    <w:p w14:paraId="7AFF26C1">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5B7B3A6D">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7738A3FC">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52B1F0A">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A9CA170">
      <w:pPr>
        <w:pStyle w:val="41"/>
        <w:spacing w:line="360" w:lineRule="auto"/>
        <w:jc w:val="left"/>
        <w:rPr>
          <w:rFonts w:hint="eastAsia" w:ascii="宋体" w:hAnsi="宋体"/>
          <w:b/>
          <w:color w:val="auto"/>
          <w:sz w:val="28"/>
          <w:highlight w:val="none"/>
        </w:rPr>
      </w:pPr>
    </w:p>
    <w:p w14:paraId="62208826">
      <w:pPr>
        <w:pStyle w:val="41"/>
        <w:spacing w:line="360" w:lineRule="auto"/>
        <w:jc w:val="left"/>
        <w:rPr>
          <w:rFonts w:hint="eastAsia" w:ascii="宋体" w:hAnsi="宋体"/>
          <w:b/>
          <w:color w:val="auto"/>
          <w:sz w:val="28"/>
          <w:highlight w:val="none"/>
        </w:rPr>
      </w:pPr>
    </w:p>
    <w:p w14:paraId="1985CA50">
      <w:pPr>
        <w:pStyle w:val="41"/>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79B4E651">
      <w:pPr>
        <w:pStyle w:val="45"/>
        <w:spacing w:line="360" w:lineRule="auto"/>
        <w:jc w:val="center"/>
        <w:rPr>
          <w:rFonts w:ascii="宋体" w:hAnsi="宋体" w:cs="Arial"/>
          <w:color w:val="auto"/>
          <w:sz w:val="28"/>
          <w:szCs w:val="28"/>
          <w:highlight w:val="none"/>
        </w:rPr>
      </w:pPr>
      <w:bookmarkStart w:id="52" w:name="_Toc11030_WPSOffice_Level1"/>
      <w:bookmarkStart w:id="53" w:name="_Toc17604_WPSOffice_Level1"/>
      <w:r>
        <w:rPr>
          <w:rFonts w:hint="eastAsia" w:ascii="宋体" w:hAnsi="宋体"/>
          <w:b/>
          <w:color w:val="auto"/>
          <w:sz w:val="32"/>
          <w:szCs w:val="32"/>
          <w:highlight w:val="none"/>
        </w:rPr>
        <w:t>证书一览表</w:t>
      </w:r>
      <w:bookmarkEnd w:id="52"/>
      <w:bookmarkEnd w:id="53"/>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47F79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14:paraId="74A7BDAC">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14:paraId="2F37B909">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14:paraId="4DE0E4CE">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14:paraId="01ECFE63">
            <w:pPr>
              <w:pStyle w:val="45"/>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23A5D3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14:paraId="0F70753C">
            <w:pPr>
              <w:pStyle w:val="45"/>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14:paraId="0C4548A7">
            <w:pPr>
              <w:pStyle w:val="45"/>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14:paraId="79E3B467">
            <w:pPr>
              <w:pStyle w:val="45"/>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14:paraId="6B29FA6C">
            <w:pPr>
              <w:pStyle w:val="45"/>
              <w:spacing w:line="360" w:lineRule="auto"/>
              <w:jc w:val="center"/>
              <w:rPr>
                <w:rFonts w:ascii="宋体" w:hAnsi="宋体" w:cs="Arial"/>
                <w:color w:val="auto"/>
                <w:szCs w:val="21"/>
                <w:highlight w:val="none"/>
              </w:rPr>
            </w:pPr>
          </w:p>
        </w:tc>
      </w:tr>
      <w:tr w14:paraId="6C99EC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8400C84">
            <w:pPr>
              <w:pStyle w:val="45"/>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4CD3797C">
            <w:pPr>
              <w:pStyle w:val="45"/>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1F4E6577">
            <w:pPr>
              <w:pStyle w:val="45"/>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7427D605">
            <w:pPr>
              <w:pStyle w:val="45"/>
              <w:spacing w:line="360" w:lineRule="auto"/>
              <w:jc w:val="center"/>
              <w:rPr>
                <w:rFonts w:ascii="宋体" w:hAnsi="宋体" w:cs="Arial"/>
                <w:color w:val="auto"/>
                <w:szCs w:val="21"/>
                <w:highlight w:val="none"/>
              </w:rPr>
            </w:pPr>
          </w:p>
        </w:tc>
      </w:tr>
      <w:tr w14:paraId="1BB361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44F9C28D">
            <w:pPr>
              <w:pStyle w:val="45"/>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14924EBA">
            <w:pPr>
              <w:pStyle w:val="45"/>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4A1A123F">
            <w:pPr>
              <w:pStyle w:val="45"/>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73FFA1D">
            <w:pPr>
              <w:pStyle w:val="45"/>
              <w:spacing w:line="360" w:lineRule="auto"/>
              <w:jc w:val="center"/>
              <w:rPr>
                <w:rFonts w:ascii="宋体" w:hAnsi="宋体" w:cs="Arial"/>
                <w:color w:val="auto"/>
                <w:szCs w:val="21"/>
                <w:highlight w:val="none"/>
              </w:rPr>
            </w:pPr>
          </w:p>
        </w:tc>
      </w:tr>
      <w:tr w14:paraId="14DBBE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7507EB5F">
            <w:pPr>
              <w:pStyle w:val="45"/>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07C5F79A">
            <w:pPr>
              <w:pStyle w:val="45"/>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1B837B33">
            <w:pPr>
              <w:pStyle w:val="45"/>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1A1AD629">
            <w:pPr>
              <w:pStyle w:val="45"/>
              <w:spacing w:line="360" w:lineRule="auto"/>
              <w:jc w:val="center"/>
              <w:rPr>
                <w:rFonts w:ascii="宋体" w:hAnsi="宋体" w:cs="Arial"/>
                <w:color w:val="auto"/>
                <w:szCs w:val="21"/>
                <w:highlight w:val="none"/>
              </w:rPr>
            </w:pPr>
          </w:p>
        </w:tc>
      </w:tr>
      <w:tr w14:paraId="5A6C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242C1374">
            <w:pPr>
              <w:pStyle w:val="45"/>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061E081A">
            <w:pPr>
              <w:pStyle w:val="45"/>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913299F">
            <w:pPr>
              <w:pStyle w:val="45"/>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3DEC264B">
            <w:pPr>
              <w:pStyle w:val="45"/>
              <w:spacing w:line="360" w:lineRule="auto"/>
              <w:jc w:val="center"/>
              <w:rPr>
                <w:rFonts w:ascii="宋体" w:hAnsi="宋体" w:cs="Arial"/>
                <w:color w:val="auto"/>
                <w:szCs w:val="21"/>
                <w:highlight w:val="none"/>
              </w:rPr>
            </w:pPr>
          </w:p>
        </w:tc>
      </w:tr>
      <w:tr w14:paraId="158DFC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1279E7FB">
            <w:pPr>
              <w:pStyle w:val="45"/>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26828119">
            <w:pPr>
              <w:pStyle w:val="45"/>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7075119">
            <w:pPr>
              <w:pStyle w:val="45"/>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68147695">
            <w:pPr>
              <w:pStyle w:val="45"/>
              <w:spacing w:line="360" w:lineRule="auto"/>
              <w:jc w:val="center"/>
              <w:rPr>
                <w:rFonts w:ascii="宋体" w:hAnsi="宋体" w:cs="Arial"/>
                <w:color w:val="auto"/>
                <w:szCs w:val="21"/>
                <w:highlight w:val="none"/>
              </w:rPr>
            </w:pPr>
          </w:p>
        </w:tc>
      </w:tr>
      <w:tr w14:paraId="42D09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14:paraId="055A157A">
            <w:pPr>
              <w:pStyle w:val="45"/>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14:paraId="67EC9611">
            <w:pPr>
              <w:pStyle w:val="45"/>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14:paraId="46E03403">
            <w:pPr>
              <w:pStyle w:val="45"/>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14:paraId="55B882C4">
            <w:pPr>
              <w:pStyle w:val="45"/>
              <w:spacing w:line="360" w:lineRule="auto"/>
              <w:jc w:val="center"/>
              <w:rPr>
                <w:rFonts w:ascii="宋体" w:hAnsi="宋体" w:cs="Arial"/>
                <w:color w:val="auto"/>
                <w:szCs w:val="21"/>
                <w:highlight w:val="none"/>
              </w:rPr>
            </w:pPr>
          </w:p>
        </w:tc>
      </w:tr>
    </w:tbl>
    <w:p w14:paraId="60627616">
      <w:pPr>
        <w:pStyle w:val="4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5DD201C0">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3E53117B">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5EDDA405">
      <w:pPr>
        <w:pStyle w:val="45"/>
        <w:tabs>
          <w:tab w:val="left" w:pos="1050"/>
        </w:tabs>
        <w:spacing w:line="360" w:lineRule="auto"/>
        <w:rPr>
          <w:rFonts w:ascii="仿宋_GB2312" w:hAnsi="宋体" w:eastAsia="仿宋_GB2312"/>
          <w:color w:val="auto"/>
          <w:sz w:val="24"/>
          <w:highlight w:val="none"/>
        </w:rPr>
      </w:pPr>
    </w:p>
    <w:p w14:paraId="02E5B0E1">
      <w:pPr>
        <w:pStyle w:val="45"/>
        <w:tabs>
          <w:tab w:val="left" w:pos="1050"/>
        </w:tabs>
        <w:spacing w:line="360" w:lineRule="auto"/>
        <w:ind w:firstLine="720" w:firstLineChars="300"/>
        <w:rPr>
          <w:rFonts w:ascii="仿宋_GB2312" w:hAnsi="宋体" w:eastAsia="仿宋_GB2312"/>
          <w:color w:val="auto"/>
          <w:sz w:val="24"/>
          <w:highlight w:val="none"/>
        </w:rPr>
      </w:pPr>
    </w:p>
    <w:p w14:paraId="5D58652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64A3676E">
      <w:pPr>
        <w:spacing w:line="360" w:lineRule="auto"/>
        <w:ind w:left="420"/>
        <w:rPr>
          <w:rFonts w:ascii="宋体" w:hAnsi="宋体"/>
          <w:color w:val="auto"/>
          <w:sz w:val="24"/>
          <w:highlight w:val="none"/>
        </w:rPr>
      </w:pPr>
    </w:p>
    <w:p w14:paraId="63F739C1">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1D344564">
      <w:pPr>
        <w:spacing w:line="360" w:lineRule="auto"/>
        <w:ind w:firstLine="435"/>
        <w:rPr>
          <w:rFonts w:ascii="宋体" w:hAnsi="宋体"/>
          <w:color w:val="auto"/>
          <w:sz w:val="24"/>
          <w:highlight w:val="none"/>
        </w:rPr>
      </w:pPr>
    </w:p>
    <w:p w14:paraId="5C011D7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CF667CF">
      <w:pPr>
        <w:spacing w:line="360" w:lineRule="auto"/>
        <w:rPr>
          <w:rFonts w:ascii="宋体" w:hAnsi="宋体"/>
          <w:color w:val="auto"/>
          <w:sz w:val="24"/>
          <w:highlight w:val="none"/>
        </w:rPr>
      </w:pPr>
    </w:p>
    <w:p w14:paraId="79BDBB8E">
      <w:pPr>
        <w:pStyle w:val="43"/>
        <w:shd w:val="clear" w:color="auto" w:fill="FFFFFF"/>
        <w:ind w:firstLine="424" w:firstLineChars="177"/>
        <w:rPr>
          <w:rFonts w:hint="eastAsia" w:ascii="宋体" w:hAnsi="宋体"/>
          <w:b/>
          <w:color w:val="auto"/>
          <w:sz w:val="28"/>
          <w:highlight w:val="none"/>
        </w:rPr>
      </w:pPr>
      <w:r>
        <w:rPr>
          <w:rFonts w:hint="eastAsia"/>
          <w:color w:val="auto"/>
          <w:highlight w:val="none"/>
        </w:rPr>
        <w:t>日        期：：</w:t>
      </w:r>
    </w:p>
    <w:p w14:paraId="6917C015">
      <w:pPr>
        <w:spacing w:line="360" w:lineRule="auto"/>
        <w:rPr>
          <w:rFonts w:hint="eastAsia" w:ascii="宋体" w:hAnsi="宋体"/>
          <w:b/>
          <w:color w:val="auto"/>
          <w:sz w:val="28"/>
          <w:highlight w:val="none"/>
        </w:rPr>
      </w:pPr>
    </w:p>
    <w:p w14:paraId="063A22A6">
      <w:pPr>
        <w:spacing w:line="360" w:lineRule="auto"/>
        <w:rPr>
          <w:rFonts w:hint="eastAsia" w:ascii="宋体" w:hAnsi="宋体"/>
          <w:b/>
          <w:color w:val="auto"/>
          <w:sz w:val="28"/>
          <w:highlight w:val="none"/>
        </w:rPr>
      </w:pPr>
    </w:p>
    <w:p w14:paraId="0A828376">
      <w:pPr>
        <w:spacing w:line="360" w:lineRule="auto"/>
        <w:rPr>
          <w:rFonts w:hint="eastAsia" w:ascii="宋体" w:hAnsi="宋体"/>
          <w:b/>
          <w:color w:val="auto"/>
          <w:sz w:val="28"/>
          <w:highlight w:val="none"/>
        </w:rPr>
        <w:sectPr>
          <w:pgSz w:w="11906" w:h="16838"/>
          <w:pgMar w:top="1701" w:right="1448" w:bottom="1531" w:left="1418" w:header="851" w:footer="851" w:gutter="0"/>
          <w:cols w:space="720" w:num="1"/>
          <w:titlePg/>
          <w:docGrid w:linePitch="312" w:charSpace="0"/>
        </w:sectPr>
      </w:pPr>
    </w:p>
    <w:p w14:paraId="3FD46D25">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69B26DAA">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D409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077DF7FD">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344738A9">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3F6FF6D3">
            <w:pPr>
              <w:pStyle w:val="41"/>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项目类型</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6A06295F">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42F15AE">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签订</w:t>
            </w:r>
            <w:r>
              <w:rPr>
                <w:rFonts w:hint="eastAsia" w:ascii="宋体" w:hAnsi="宋体" w:cs="宋体"/>
                <w:b/>
                <w:bCs/>
                <w:color w:val="auto"/>
                <w:szCs w:val="21"/>
                <w:highlight w:val="none"/>
              </w:rPr>
              <w:t>时间</w:t>
            </w: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739D822F">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3D507F35">
            <w:pPr>
              <w:pStyle w:val="41"/>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06293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8F9E983">
            <w:pPr>
              <w:pStyle w:val="41"/>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EE850B4">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D6ED468">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080E915">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172EF3">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1E5CF56">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E0C3E66">
            <w:pPr>
              <w:pStyle w:val="41"/>
              <w:spacing w:line="360" w:lineRule="auto"/>
              <w:rPr>
                <w:rFonts w:ascii="宋体" w:hAnsi="宋体" w:cs="宋体"/>
                <w:color w:val="auto"/>
                <w:szCs w:val="21"/>
                <w:highlight w:val="none"/>
              </w:rPr>
            </w:pPr>
          </w:p>
        </w:tc>
      </w:tr>
      <w:tr w14:paraId="7F43D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587E7D9">
            <w:pPr>
              <w:pStyle w:val="41"/>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9D4115D">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9CFB2B7">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A5EA738">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507239E">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915F5D6">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E3AE16">
            <w:pPr>
              <w:pStyle w:val="41"/>
              <w:spacing w:line="360" w:lineRule="auto"/>
              <w:rPr>
                <w:rFonts w:ascii="宋体" w:hAnsi="宋体" w:cs="宋体"/>
                <w:color w:val="auto"/>
                <w:szCs w:val="21"/>
                <w:highlight w:val="none"/>
              </w:rPr>
            </w:pPr>
          </w:p>
        </w:tc>
      </w:tr>
      <w:tr w14:paraId="20B61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45C21D2">
            <w:pPr>
              <w:pStyle w:val="41"/>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82966B0">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E3A3FBE">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B492CAB">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5102A8">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625777F">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25ABEA6">
            <w:pPr>
              <w:pStyle w:val="41"/>
              <w:spacing w:line="360" w:lineRule="auto"/>
              <w:rPr>
                <w:rFonts w:ascii="宋体" w:hAnsi="宋体" w:cs="宋体"/>
                <w:color w:val="auto"/>
                <w:szCs w:val="21"/>
                <w:highlight w:val="none"/>
              </w:rPr>
            </w:pPr>
          </w:p>
        </w:tc>
      </w:tr>
      <w:tr w14:paraId="010F8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38D8EA0">
            <w:pPr>
              <w:pStyle w:val="41"/>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E54D695">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E738F1B">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0FCCB22">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3E6E2C">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BB508EF">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A9A4AC2">
            <w:pPr>
              <w:pStyle w:val="41"/>
              <w:spacing w:line="360" w:lineRule="auto"/>
              <w:rPr>
                <w:rFonts w:ascii="宋体" w:hAnsi="宋体" w:cs="宋体"/>
                <w:color w:val="auto"/>
                <w:szCs w:val="21"/>
                <w:highlight w:val="none"/>
              </w:rPr>
            </w:pPr>
          </w:p>
        </w:tc>
      </w:tr>
      <w:tr w14:paraId="1CA38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E44667C">
            <w:pPr>
              <w:pStyle w:val="41"/>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FE4B674">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F78F79A">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7F5375A">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9A6BBB">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851AF64">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BF572A6">
            <w:pPr>
              <w:pStyle w:val="41"/>
              <w:spacing w:line="360" w:lineRule="auto"/>
              <w:rPr>
                <w:rFonts w:ascii="宋体" w:hAnsi="宋体" w:cs="宋体"/>
                <w:color w:val="auto"/>
                <w:szCs w:val="21"/>
                <w:highlight w:val="none"/>
              </w:rPr>
            </w:pPr>
          </w:p>
        </w:tc>
      </w:tr>
      <w:tr w14:paraId="1E2F0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A7EB26">
            <w:pPr>
              <w:pStyle w:val="41"/>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1362004">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FDEDBD2">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CA8FEC0">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A68D8F2">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2F6B351">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5D7732E">
            <w:pPr>
              <w:pStyle w:val="41"/>
              <w:spacing w:line="360" w:lineRule="auto"/>
              <w:rPr>
                <w:rFonts w:ascii="宋体" w:hAnsi="宋体" w:cs="宋体"/>
                <w:color w:val="auto"/>
                <w:szCs w:val="21"/>
                <w:highlight w:val="none"/>
              </w:rPr>
            </w:pPr>
          </w:p>
        </w:tc>
      </w:tr>
      <w:tr w14:paraId="780F7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26FED2B">
            <w:pPr>
              <w:pStyle w:val="41"/>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BF2DC5F">
            <w:pPr>
              <w:pStyle w:val="41"/>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E074305">
            <w:pPr>
              <w:pStyle w:val="41"/>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E9F7755">
            <w:pPr>
              <w:pStyle w:val="41"/>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28558EA">
            <w:pPr>
              <w:pStyle w:val="41"/>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8E9F308">
            <w:pPr>
              <w:pStyle w:val="41"/>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D6FDC32">
            <w:pPr>
              <w:pStyle w:val="41"/>
              <w:spacing w:line="360" w:lineRule="auto"/>
              <w:rPr>
                <w:rFonts w:ascii="宋体" w:hAnsi="宋体" w:cs="宋体"/>
                <w:color w:val="auto"/>
                <w:szCs w:val="21"/>
                <w:highlight w:val="none"/>
              </w:rPr>
            </w:pPr>
          </w:p>
        </w:tc>
      </w:tr>
    </w:tbl>
    <w:p w14:paraId="05892D57">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45CC0E2B">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0200857F">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075BB886">
      <w:pPr>
        <w:spacing w:line="360" w:lineRule="auto"/>
        <w:rPr>
          <w:rFonts w:ascii="宋体" w:hAnsi="宋体"/>
          <w:color w:val="auto"/>
          <w:sz w:val="22"/>
          <w:szCs w:val="22"/>
          <w:highlight w:val="none"/>
        </w:rPr>
      </w:pPr>
    </w:p>
    <w:p w14:paraId="710EC6F3">
      <w:pPr>
        <w:pStyle w:val="24"/>
        <w:spacing w:line="360" w:lineRule="auto"/>
        <w:rPr>
          <w:color w:val="auto"/>
          <w:highlight w:val="none"/>
        </w:rPr>
      </w:pPr>
    </w:p>
    <w:p w14:paraId="261A7C1E">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04889ADE">
      <w:pPr>
        <w:spacing w:line="360" w:lineRule="auto"/>
        <w:ind w:left="420"/>
        <w:rPr>
          <w:rFonts w:ascii="宋体" w:hAnsi="宋体"/>
          <w:color w:val="auto"/>
          <w:sz w:val="24"/>
          <w:highlight w:val="none"/>
        </w:rPr>
      </w:pPr>
    </w:p>
    <w:p w14:paraId="61FDE054">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514BE685">
      <w:pPr>
        <w:spacing w:line="360" w:lineRule="auto"/>
        <w:ind w:firstLine="435"/>
        <w:rPr>
          <w:rFonts w:ascii="宋体" w:hAnsi="宋体"/>
          <w:color w:val="auto"/>
          <w:sz w:val="24"/>
          <w:highlight w:val="none"/>
        </w:rPr>
      </w:pPr>
    </w:p>
    <w:p w14:paraId="21FAD514">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2B910763">
      <w:pPr>
        <w:spacing w:line="360" w:lineRule="auto"/>
        <w:rPr>
          <w:rFonts w:ascii="宋体" w:hAnsi="宋体"/>
          <w:color w:val="auto"/>
          <w:sz w:val="24"/>
          <w:highlight w:val="none"/>
        </w:rPr>
      </w:pPr>
    </w:p>
    <w:p w14:paraId="622ECE9F">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25E5AC66">
      <w:pPr>
        <w:pStyle w:val="9"/>
        <w:rPr>
          <w:color w:val="auto"/>
          <w:highlight w:val="none"/>
        </w:rPr>
      </w:pPr>
    </w:p>
    <w:p w14:paraId="69C30E89">
      <w:pPr>
        <w:spacing w:line="360" w:lineRule="auto"/>
        <w:jc w:val="center"/>
        <w:rPr>
          <w:rFonts w:hint="eastAsia"/>
          <w:color w:val="auto"/>
          <w:sz w:val="52"/>
          <w:szCs w:val="52"/>
          <w:highlight w:val="none"/>
        </w:rPr>
      </w:pPr>
      <w:bookmarkStart w:id="54" w:name="_Toc21322_WPSOffice_Level1"/>
      <w:bookmarkStart w:id="55" w:name="_Toc30468_WPSOffice_Level1"/>
      <w:bookmarkStart w:id="56" w:name="_Toc4615_WPSOffice_Level1"/>
    </w:p>
    <w:p w14:paraId="5702C61B">
      <w:pPr>
        <w:spacing w:line="360" w:lineRule="auto"/>
        <w:jc w:val="center"/>
        <w:rPr>
          <w:color w:val="auto"/>
          <w:sz w:val="52"/>
          <w:szCs w:val="52"/>
          <w:highlight w:val="none"/>
        </w:rPr>
      </w:pPr>
      <w:r>
        <w:rPr>
          <w:rFonts w:hint="eastAsia"/>
          <w:color w:val="auto"/>
          <w:sz w:val="52"/>
          <w:szCs w:val="52"/>
          <w:highlight w:val="none"/>
        </w:rPr>
        <w:t>项目名称</w:t>
      </w:r>
      <w:bookmarkEnd w:id="54"/>
      <w:bookmarkEnd w:id="55"/>
      <w:bookmarkEnd w:id="56"/>
    </w:p>
    <w:p w14:paraId="41341716">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14:paraId="41074C1D">
      <w:pPr>
        <w:spacing w:line="360" w:lineRule="auto"/>
        <w:jc w:val="center"/>
        <w:rPr>
          <w:rFonts w:hint="eastAsia"/>
          <w:color w:val="auto"/>
          <w:sz w:val="84"/>
          <w:szCs w:val="84"/>
          <w:highlight w:val="none"/>
          <w:lang w:val="en-US" w:eastAsia="zh-CN"/>
        </w:rPr>
      </w:pPr>
      <w:bookmarkStart w:id="57" w:name="_Toc10910_WPSOffice_Level1"/>
      <w:bookmarkStart w:id="58" w:name="_Toc7485_WPSOffice_Level1"/>
      <w:r>
        <w:rPr>
          <w:rFonts w:hint="eastAsia"/>
          <w:color w:val="auto"/>
          <w:sz w:val="84"/>
          <w:szCs w:val="84"/>
          <w:highlight w:val="none"/>
          <w:lang w:val="en-US" w:eastAsia="zh-CN"/>
        </w:rPr>
        <w:t>投</w:t>
      </w:r>
    </w:p>
    <w:p w14:paraId="10A5BEAB">
      <w:pPr>
        <w:spacing w:line="360" w:lineRule="auto"/>
        <w:jc w:val="center"/>
        <w:rPr>
          <w:color w:val="auto"/>
          <w:sz w:val="84"/>
          <w:szCs w:val="84"/>
          <w:highlight w:val="none"/>
        </w:rPr>
      </w:pPr>
      <w:r>
        <w:rPr>
          <w:rFonts w:hint="eastAsia"/>
          <w:color w:val="auto"/>
          <w:sz w:val="84"/>
          <w:szCs w:val="84"/>
          <w:highlight w:val="none"/>
          <w:lang w:val="en-US" w:eastAsia="zh-CN"/>
        </w:rPr>
        <w:t>标</w:t>
      </w:r>
      <w:bookmarkEnd w:id="57"/>
      <w:bookmarkEnd w:id="58"/>
    </w:p>
    <w:p w14:paraId="48EC5C29">
      <w:pPr>
        <w:spacing w:line="360" w:lineRule="auto"/>
        <w:jc w:val="center"/>
        <w:rPr>
          <w:color w:val="auto"/>
          <w:sz w:val="84"/>
          <w:szCs w:val="84"/>
          <w:highlight w:val="none"/>
        </w:rPr>
      </w:pPr>
      <w:bookmarkStart w:id="59" w:name="_Toc3932_WPSOffice_Level1"/>
      <w:bookmarkStart w:id="60" w:name="_Toc14572_WPSOffice_Level1"/>
      <w:r>
        <w:rPr>
          <w:rFonts w:hint="eastAsia"/>
          <w:color w:val="auto"/>
          <w:sz w:val="84"/>
          <w:szCs w:val="84"/>
          <w:highlight w:val="none"/>
        </w:rPr>
        <w:t>文</w:t>
      </w:r>
      <w:bookmarkEnd w:id="59"/>
      <w:bookmarkEnd w:id="60"/>
    </w:p>
    <w:p w14:paraId="78D156DC">
      <w:pPr>
        <w:spacing w:line="360" w:lineRule="auto"/>
        <w:jc w:val="center"/>
        <w:rPr>
          <w:rFonts w:hint="eastAsia"/>
          <w:color w:val="auto"/>
          <w:sz w:val="84"/>
          <w:szCs w:val="84"/>
          <w:highlight w:val="none"/>
        </w:rPr>
      </w:pPr>
      <w:bookmarkStart w:id="61" w:name="_Toc7562_WPSOffice_Level1"/>
      <w:bookmarkStart w:id="62" w:name="_Toc16973_WPSOffice_Level1"/>
      <w:r>
        <w:rPr>
          <w:rFonts w:hint="eastAsia"/>
          <w:color w:val="auto"/>
          <w:sz w:val="84"/>
          <w:szCs w:val="84"/>
          <w:highlight w:val="none"/>
        </w:rPr>
        <w:t>件</w:t>
      </w:r>
      <w:bookmarkEnd w:id="61"/>
      <w:bookmarkEnd w:id="62"/>
    </w:p>
    <w:p w14:paraId="6FC818CE">
      <w:pPr>
        <w:spacing w:after="100" w:afterAutospacing="1" w:line="360" w:lineRule="auto"/>
        <w:ind w:right="-108"/>
        <w:jc w:val="center"/>
        <w:rPr>
          <w:color w:val="auto"/>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en-US" w:eastAsia="zh-CN"/>
        </w:rPr>
        <w:t>报</w:t>
      </w:r>
      <w:r>
        <w:rPr>
          <w:rFonts w:hint="eastAsia" w:ascii="宋体" w:hAnsi="宋体" w:eastAsia="宋体" w:cs="Times New Roman"/>
          <w:bCs/>
          <w:color w:val="auto"/>
          <w:sz w:val="24"/>
          <w:highlight w:val="none"/>
          <w:lang w:val="en-US" w:eastAsia="zh-CN"/>
        </w:rPr>
        <w:t>价</w:t>
      </w:r>
      <w:r>
        <w:rPr>
          <w:rFonts w:hint="eastAsia" w:ascii="宋体" w:hAnsi="宋体" w:eastAsia="宋体" w:cs="Times New Roman"/>
          <w:bCs/>
          <w:color w:val="auto"/>
          <w:sz w:val="24"/>
          <w:highlight w:val="none"/>
          <w:lang w:val="zh-CN" w:eastAsia="zh-CN"/>
        </w:rPr>
        <w:t>文件</w:t>
      </w:r>
      <w:r>
        <w:rPr>
          <w:rFonts w:hint="eastAsia" w:ascii="宋体" w:hAnsi="宋体" w:eastAsia="宋体" w:cs="Times New Roman"/>
          <w:bCs/>
          <w:color w:val="auto"/>
          <w:sz w:val="24"/>
          <w:highlight w:val="none"/>
          <w:lang w:val="en-US" w:eastAsia="zh-CN"/>
        </w:rPr>
        <w:t>）</w:t>
      </w:r>
    </w:p>
    <w:p w14:paraId="300711BC">
      <w:pPr>
        <w:spacing w:line="360" w:lineRule="auto"/>
        <w:ind w:right="532"/>
        <w:rPr>
          <w:rFonts w:ascii="宋体" w:hAnsi="宋体"/>
          <w:color w:val="auto"/>
          <w:sz w:val="36"/>
          <w:szCs w:val="36"/>
          <w:highlight w:val="none"/>
        </w:rPr>
      </w:pPr>
    </w:p>
    <w:p w14:paraId="00BE8CF7">
      <w:pPr>
        <w:spacing w:line="360" w:lineRule="auto"/>
        <w:ind w:right="532"/>
        <w:jc w:val="center"/>
        <w:rPr>
          <w:rFonts w:ascii="宋体" w:hAnsi="宋体"/>
          <w:color w:val="auto"/>
          <w:sz w:val="36"/>
          <w:szCs w:val="36"/>
          <w:highlight w:val="none"/>
        </w:rPr>
      </w:pPr>
    </w:p>
    <w:p w14:paraId="6AF61A0B">
      <w:pPr>
        <w:spacing w:line="360" w:lineRule="auto"/>
        <w:ind w:right="532" w:firstLine="720" w:firstLineChars="200"/>
        <w:rPr>
          <w:rFonts w:ascii="宋体" w:hAnsi="宋体"/>
          <w:color w:val="auto"/>
          <w:sz w:val="36"/>
          <w:szCs w:val="36"/>
          <w:highlight w:val="none"/>
        </w:rPr>
      </w:pPr>
      <w:bookmarkStart w:id="63" w:name="_Toc4603_WPSOffice_Level1"/>
      <w:bookmarkStart w:id="64" w:name="_Toc26700_WPSOffice_Level1"/>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bookmarkEnd w:id="63"/>
      <w:bookmarkEnd w:id="64"/>
    </w:p>
    <w:p w14:paraId="1955D93A">
      <w:pPr>
        <w:spacing w:line="360" w:lineRule="auto"/>
        <w:ind w:right="-108" w:firstLine="720" w:firstLineChars="200"/>
        <w:rPr>
          <w:rFonts w:ascii="宋体" w:hAnsi="宋体"/>
          <w:color w:val="auto"/>
          <w:sz w:val="36"/>
          <w:szCs w:val="36"/>
          <w:highlight w:val="none"/>
        </w:rPr>
      </w:pPr>
      <w:bookmarkStart w:id="65" w:name="_Toc32593_WPSOffice_Level1"/>
      <w:bookmarkStart w:id="66" w:name="_Toc1391_WPSOffice_Level1"/>
      <w:r>
        <w:rPr>
          <w:rFonts w:hint="eastAsia" w:ascii="宋体" w:hAnsi="宋体"/>
          <w:color w:val="auto"/>
          <w:sz w:val="36"/>
          <w:szCs w:val="36"/>
          <w:highlight w:val="none"/>
        </w:rPr>
        <w:t>地    址：</w:t>
      </w:r>
      <w:bookmarkEnd w:id="65"/>
      <w:bookmarkEnd w:id="66"/>
    </w:p>
    <w:p w14:paraId="3A0DED7B">
      <w:pPr>
        <w:spacing w:line="360" w:lineRule="auto"/>
        <w:ind w:right="-108" w:firstLine="720" w:firstLineChars="200"/>
        <w:rPr>
          <w:rFonts w:ascii="宋体" w:hAnsi="宋体"/>
          <w:color w:val="auto"/>
          <w:sz w:val="36"/>
          <w:szCs w:val="36"/>
          <w:highlight w:val="none"/>
        </w:rPr>
      </w:pPr>
      <w:bookmarkStart w:id="67" w:name="_Toc20938_WPSOffice_Level1"/>
      <w:bookmarkStart w:id="68" w:name="_Toc3791_WPSOffice_Level1"/>
      <w:r>
        <w:rPr>
          <w:rFonts w:hint="eastAsia" w:ascii="宋体" w:hAnsi="宋体"/>
          <w:color w:val="auto"/>
          <w:sz w:val="36"/>
          <w:szCs w:val="36"/>
          <w:highlight w:val="none"/>
        </w:rPr>
        <w:t>时    间：</w:t>
      </w:r>
      <w:bookmarkEnd w:id="67"/>
      <w:bookmarkEnd w:id="68"/>
    </w:p>
    <w:p w14:paraId="7C3A2F65">
      <w:pPr>
        <w:spacing w:line="360" w:lineRule="auto"/>
        <w:ind w:right="-108"/>
        <w:jc w:val="center"/>
        <w:rPr>
          <w:rFonts w:ascii="仿宋_GB2312" w:hAnsi="宋体" w:eastAsia="仿宋_GB2312"/>
          <w:b/>
          <w:color w:val="auto"/>
          <w:sz w:val="36"/>
          <w:szCs w:val="36"/>
          <w:highlight w:val="none"/>
        </w:rPr>
      </w:pPr>
    </w:p>
    <w:p w14:paraId="2943A4BE">
      <w:pPr>
        <w:spacing w:line="360" w:lineRule="auto"/>
        <w:jc w:val="both"/>
        <w:rPr>
          <w:rFonts w:hint="eastAsia" w:ascii="宋体" w:hAnsi="宋体"/>
          <w:b/>
          <w:bCs/>
          <w:color w:val="auto"/>
          <w:sz w:val="36"/>
          <w:szCs w:val="36"/>
          <w:highlight w:val="none"/>
        </w:rPr>
      </w:pPr>
      <w:bookmarkStart w:id="69" w:name="_Toc19972_WPSOffice_Level1"/>
      <w:bookmarkStart w:id="70" w:name="_Toc29537_WPSOffice_Level1"/>
    </w:p>
    <w:p w14:paraId="6BF894A6">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69"/>
      <w:bookmarkEnd w:id="70"/>
    </w:p>
    <w:p w14:paraId="5A129F5C">
      <w:pPr>
        <w:spacing w:line="360" w:lineRule="auto"/>
        <w:rPr>
          <w:rFonts w:ascii="宋体" w:hAnsi="宋体" w:cs="宋体"/>
          <w:color w:val="auto"/>
          <w:sz w:val="28"/>
          <w:szCs w:val="28"/>
          <w:highlight w:val="none"/>
        </w:rPr>
      </w:pPr>
    </w:p>
    <w:p w14:paraId="0DDC3542">
      <w:pPr>
        <w:autoSpaceDE w:val="0"/>
        <w:autoSpaceDN w:val="0"/>
        <w:adjustRightInd w:val="0"/>
        <w:spacing w:line="360" w:lineRule="auto"/>
        <w:ind w:firstLine="480" w:firstLineChars="200"/>
        <w:rPr>
          <w:rFonts w:ascii="宋体" w:hAnsi="宋体"/>
          <w:color w:val="auto"/>
          <w:kern w:val="0"/>
          <w:sz w:val="24"/>
          <w:highlight w:val="none"/>
        </w:rPr>
      </w:pPr>
      <w:bookmarkStart w:id="71" w:name="_Toc6778_WPSOffice_Level1"/>
      <w:bookmarkStart w:id="72" w:name="_Toc29988_WPSOffice_Level1"/>
      <w:r>
        <w:rPr>
          <w:rFonts w:hint="eastAsia" w:ascii="宋体" w:hAnsi="宋体"/>
          <w:color w:val="auto"/>
          <w:kern w:val="0"/>
          <w:sz w:val="24"/>
          <w:highlight w:val="none"/>
        </w:rPr>
        <w:t>（1）开标一览表（附件1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w:t>
      </w:r>
    </w:p>
    <w:p w14:paraId="16EB515B">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等声明函（附件</w:t>
      </w:r>
      <w:r>
        <w:rPr>
          <w:rFonts w:hint="eastAsia" w:ascii="宋体" w:hAnsi="宋体"/>
          <w:color w:val="auto"/>
          <w:kern w:val="0"/>
          <w:sz w:val="24"/>
          <w:highlight w:val="none"/>
          <w:lang w:val="en-US" w:eastAsia="zh-CN"/>
        </w:rPr>
        <w:t>13</w:t>
      </w:r>
      <w:r>
        <w:rPr>
          <w:rFonts w:hint="eastAsia" w:ascii="宋体" w:hAnsi="宋体"/>
          <w:color w:val="auto"/>
          <w:kern w:val="0"/>
          <w:sz w:val="24"/>
          <w:highlight w:val="none"/>
        </w:rPr>
        <w:t>）；</w:t>
      </w:r>
    </w:p>
    <w:p w14:paraId="2408137A">
      <w:pPr>
        <w:pStyle w:val="19"/>
        <w:spacing w:after="156" w:line="360" w:lineRule="auto"/>
        <w:ind w:firstLine="480"/>
        <w:rPr>
          <w:b/>
          <w:bCs/>
          <w:color w:val="auto"/>
          <w:highlight w:val="none"/>
        </w:rPr>
      </w:pPr>
      <w:r>
        <w:rPr>
          <w:rFonts w:hint="eastAsia" w:ascii="宋体" w:hAnsi="宋体"/>
          <w:color w:val="auto"/>
          <w:kern w:val="0"/>
          <w:sz w:val="24"/>
          <w:highlight w:val="none"/>
        </w:rPr>
        <w:t>（</w:t>
      </w:r>
      <w:r>
        <w:rPr>
          <w:rFonts w:hint="eastAsia"/>
          <w:color w:val="auto"/>
          <w:kern w:val="0"/>
          <w:sz w:val="24"/>
          <w:highlight w:val="none"/>
          <w:lang w:val="en-US" w:eastAsia="zh-CN"/>
        </w:rPr>
        <w:t>3</w:t>
      </w:r>
      <w:r>
        <w:rPr>
          <w:rFonts w:hint="eastAsia" w:ascii="宋体" w:hAnsi="宋体"/>
          <w:color w:val="auto"/>
          <w:kern w:val="0"/>
          <w:sz w:val="24"/>
          <w:highlight w:val="none"/>
        </w:rPr>
        <w:t>）针对报价</w:t>
      </w:r>
      <w:r>
        <w:rPr>
          <w:rFonts w:hint="eastAsia"/>
          <w:color w:val="auto"/>
          <w:kern w:val="0"/>
          <w:sz w:val="24"/>
          <w:highlight w:val="none"/>
          <w:lang w:eastAsia="zh-CN"/>
        </w:rPr>
        <w:t>供应商</w:t>
      </w:r>
      <w:r>
        <w:rPr>
          <w:rFonts w:hint="eastAsia" w:ascii="宋体" w:hAnsi="宋体"/>
          <w:color w:val="auto"/>
          <w:kern w:val="0"/>
          <w:sz w:val="24"/>
          <w:highlight w:val="none"/>
        </w:rPr>
        <w:t>认为其他需要说明的</w:t>
      </w:r>
      <w:r>
        <w:rPr>
          <w:b/>
          <w:bCs/>
          <w:color w:val="auto"/>
          <w:highlight w:val="none"/>
        </w:rPr>
        <w:t>。</w:t>
      </w:r>
    </w:p>
    <w:bookmarkEnd w:id="71"/>
    <w:bookmarkEnd w:id="72"/>
    <w:p w14:paraId="06BB8E2F">
      <w:pPr>
        <w:spacing w:line="360" w:lineRule="auto"/>
        <w:ind w:firstLine="480" w:firstLineChars="200"/>
        <w:rPr>
          <w:color w:val="auto"/>
          <w:sz w:val="24"/>
          <w:highlight w:val="none"/>
        </w:rPr>
      </w:pPr>
    </w:p>
    <w:p w14:paraId="38E0B855">
      <w:pPr>
        <w:spacing w:line="360" w:lineRule="auto"/>
        <w:ind w:firstLine="482" w:firstLineChars="200"/>
        <w:rPr>
          <w:rFonts w:ascii="宋体" w:hAnsi="宋体"/>
          <w:b/>
          <w:color w:val="auto"/>
          <w:sz w:val="24"/>
          <w:highlight w:val="none"/>
        </w:rPr>
      </w:pPr>
    </w:p>
    <w:p w14:paraId="345108DE">
      <w:pPr>
        <w:spacing w:line="360" w:lineRule="auto"/>
        <w:ind w:left="480"/>
        <w:rPr>
          <w:rFonts w:ascii="宋体" w:hAnsi="宋体"/>
          <w:b/>
          <w:color w:val="auto"/>
          <w:sz w:val="28"/>
          <w:highlight w:val="none"/>
        </w:rPr>
      </w:pPr>
    </w:p>
    <w:p w14:paraId="3F5ACF1B">
      <w:pPr>
        <w:spacing w:line="360" w:lineRule="auto"/>
        <w:ind w:left="480"/>
        <w:rPr>
          <w:rFonts w:ascii="宋体" w:hAnsi="宋体"/>
          <w:b/>
          <w:color w:val="auto"/>
          <w:sz w:val="28"/>
          <w:highlight w:val="none"/>
        </w:rPr>
      </w:pPr>
    </w:p>
    <w:p w14:paraId="1AB33E2B">
      <w:pPr>
        <w:spacing w:line="360" w:lineRule="auto"/>
        <w:ind w:left="480"/>
        <w:rPr>
          <w:rFonts w:ascii="宋体" w:hAnsi="宋体"/>
          <w:b/>
          <w:color w:val="auto"/>
          <w:sz w:val="28"/>
          <w:highlight w:val="none"/>
        </w:rPr>
      </w:pPr>
    </w:p>
    <w:p w14:paraId="135D7E40">
      <w:pPr>
        <w:spacing w:line="360" w:lineRule="auto"/>
        <w:ind w:left="480"/>
        <w:rPr>
          <w:rFonts w:ascii="宋体" w:hAnsi="宋体"/>
          <w:b/>
          <w:color w:val="auto"/>
          <w:sz w:val="28"/>
          <w:highlight w:val="none"/>
        </w:rPr>
      </w:pPr>
    </w:p>
    <w:p w14:paraId="10E0139C">
      <w:pPr>
        <w:spacing w:line="360" w:lineRule="auto"/>
        <w:ind w:left="480"/>
        <w:rPr>
          <w:rFonts w:ascii="宋体" w:hAnsi="宋体"/>
          <w:b/>
          <w:color w:val="auto"/>
          <w:sz w:val="28"/>
          <w:highlight w:val="none"/>
        </w:rPr>
      </w:pPr>
    </w:p>
    <w:p w14:paraId="366E4885">
      <w:pPr>
        <w:spacing w:line="360" w:lineRule="auto"/>
        <w:ind w:left="480"/>
        <w:rPr>
          <w:rFonts w:ascii="宋体" w:hAnsi="宋体"/>
          <w:b/>
          <w:color w:val="auto"/>
          <w:sz w:val="28"/>
          <w:highlight w:val="none"/>
        </w:rPr>
      </w:pPr>
    </w:p>
    <w:p w14:paraId="6532DC6B">
      <w:pPr>
        <w:spacing w:line="360" w:lineRule="auto"/>
        <w:ind w:left="480"/>
        <w:rPr>
          <w:rFonts w:ascii="宋体" w:hAnsi="宋体"/>
          <w:b/>
          <w:color w:val="auto"/>
          <w:sz w:val="28"/>
          <w:highlight w:val="none"/>
        </w:rPr>
      </w:pPr>
    </w:p>
    <w:p w14:paraId="0694702A">
      <w:pPr>
        <w:spacing w:line="360" w:lineRule="auto"/>
        <w:ind w:left="480"/>
        <w:rPr>
          <w:rFonts w:ascii="宋体" w:hAnsi="宋体"/>
          <w:b/>
          <w:color w:val="auto"/>
          <w:sz w:val="28"/>
          <w:highlight w:val="none"/>
        </w:rPr>
      </w:pPr>
    </w:p>
    <w:p w14:paraId="0DF8D9E7">
      <w:pPr>
        <w:spacing w:line="360" w:lineRule="auto"/>
        <w:ind w:left="480"/>
        <w:rPr>
          <w:rFonts w:ascii="宋体" w:hAnsi="宋体"/>
          <w:b/>
          <w:color w:val="auto"/>
          <w:sz w:val="28"/>
          <w:highlight w:val="none"/>
        </w:rPr>
      </w:pPr>
    </w:p>
    <w:p w14:paraId="7086263E">
      <w:pPr>
        <w:spacing w:line="360" w:lineRule="auto"/>
        <w:ind w:left="480"/>
        <w:rPr>
          <w:rFonts w:ascii="宋体" w:hAnsi="宋体"/>
          <w:b/>
          <w:color w:val="auto"/>
          <w:sz w:val="28"/>
          <w:highlight w:val="none"/>
        </w:rPr>
      </w:pPr>
    </w:p>
    <w:p w14:paraId="1F3999D7">
      <w:pPr>
        <w:spacing w:line="360" w:lineRule="auto"/>
        <w:ind w:left="480"/>
        <w:rPr>
          <w:rFonts w:ascii="宋体" w:hAnsi="宋体"/>
          <w:b/>
          <w:color w:val="auto"/>
          <w:sz w:val="28"/>
          <w:highlight w:val="none"/>
        </w:rPr>
      </w:pPr>
    </w:p>
    <w:p w14:paraId="7EE89612">
      <w:pPr>
        <w:spacing w:line="360" w:lineRule="auto"/>
        <w:ind w:left="480"/>
        <w:rPr>
          <w:rFonts w:ascii="宋体" w:hAnsi="宋体"/>
          <w:b/>
          <w:color w:val="auto"/>
          <w:sz w:val="28"/>
          <w:highlight w:val="none"/>
        </w:rPr>
      </w:pPr>
    </w:p>
    <w:p w14:paraId="35953566">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21D4756F">
      <w:pPr>
        <w:spacing w:line="360" w:lineRule="auto"/>
        <w:ind w:left="-2" w:hanging="2"/>
        <w:jc w:val="center"/>
        <w:rPr>
          <w:rFonts w:ascii="宋体" w:hAnsi="宋体"/>
          <w:b/>
          <w:color w:val="auto"/>
          <w:sz w:val="32"/>
          <w:szCs w:val="32"/>
          <w:highlight w:val="none"/>
        </w:rPr>
      </w:pPr>
      <w:bookmarkStart w:id="73" w:name="_Toc16144_WPSOffice_Level1"/>
      <w:bookmarkStart w:id="74" w:name="_Toc30363_WPSOffice_Level1"/>
      <w:r>
        <w:rPr>
          <w:rFonts w:hint="eastAsia" w:ascii="宋体" w:hAnsi="宋体"/>
          <w:b/>
          <w:color w:val="auto"/>
          <w:sz w:val="32"/>
          <w:szCs w:val="32"/>
          <w:highlight w:val="none"/>
        </w:rPr>
        <w:t xml:space="preserve">开标一览表 </w:t>
      </w:r>
      <w:bookmarkEnd w:id="73"/>
      <w:bookmarkEnd w:id="74"/>
    </w:p>
    <w:p w14:paraId="296DBB66">
      <w:pPr>
        <w:spacing w:line="360" w:lineRule="auto"/>
        <w:ind w:left="-2" w:hanging="2"/>
        <w:jc w:val="center"/>
        <w:rPr>
          <w:rFonts w:ascii="宋体" w:hAnsi="宋体"/>
          <w:b/>
          <w:color w:val="auto"/>
          <w:sz w:val="32"/>
          <w:szCs w:val="32"/>
          <w:highlight w:val="none"/>
        </w:rPr>
      </w:pPr>
    </w:p>
    <w:p w14:paraId="6E58F210">
      <w:pPr>
        <w:pStyle w:val="12"/>
        <w:spacing w:line="360" w:lineRule="auto"/>
        <w:ind w:firstLine="482" w:firstLineChars="200"/>
        <w:rPr>
          <w:rFonts w:hint="eastAsia" w:hAnsi="宋体" w:eastAsia="宋体"/>
          <w:b/>
          <w:color w:val="auto"/>
          <w:sz w:val="24"/>
          <w:highlight w:val="none"/>
          <w:lang w:eastAsia="zh-CN"/>
        </w:rPr>
      </w:pPr>
      <w:r>
        <w:rPr>
          <w:rFonts w:hAnsi="宋体"/>
          <w:b/>
          <w:color w:val="auto"/>
          <w:sz w:val="24"/>
          <w:highlight w:val="none"/>
        </w:rPr>
        <w:t>项目编号：</w:t>
      </w:r>
      <w:r>
        <w:rPr>
          <w:rFonts w:hint="eastAsia" w:hAnsi="宋体"/>
          <w:b/>
          <w:color w:val="auto"/>
          <w:sz w:val="24"/>
          <w:highlight w:val="none"/>
          <w:lang w:eastAsia="zh-CN"/>
        </w:rPr>
        <w:t>TZCCC-【2025】-048号</w:t>
      </w:r>
    </w:p>
    <w:p w14:paraId="13474FAA">
      <w:pPr>
        <w:pStyle w:val="36"/>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台州市2025年水利工程安全运行技术支撑</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185656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F09D8AB">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7998A87D">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63512E44">
            <w:pPr>
              <w:autoSpaceDE w:val="0"/>
              <w:autoSpaceDN w:val="0"/>
              <w:spacing w:line="360" w:lineRule="auto"/>
              <w:jc w:val="center"/>
              <w:textAlignment w:val="bottom"/>
              <w:rPr>
                <w:rFonts w:ascii="宋体" w:hAnsi="宋体"/>
                <w:color w:val="auto"/>
                <w:szCs w:val="21"/>
                <w:highlight w:val="none"/>
              </w:rPr>
            </w:pPr>
          </w:p>
        </w:tc>
      </w:tr>
      <w:tr w14:paraId="751C8A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7AFAFE87">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02FA5120">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478B10CB">
            <w:pPr>
              <w:autoSpaceDE w:val="0"/>
              <w:autoSpaceDN w:val="0"/>
              <w:spacing w:line="360" w:lineRule="auto"/>
              <w:jc w:val="center"/>
              <w:textAlignment w:val="bottom"/>
              <w:rPr>
                <w:rFonts w:ascii="宋体" w:hAnsi="宋体"/>
                <w:color w:val="auto"/>
                <w:szCs w:val="21"/>
                <w:highlight w:val="none"/>
              </w:rPr>
            </w:pPr>
          </w:p>
        </w:tc>
      </w:tr>
    </w:tbl>
    <w:p w14:paraId="0CC16AC4">
      <w:pPr>
        <w:spacing w:line="360" w:lineRule="auto"/>
        <w:ind w:firstLine="482" w:firstLineChars="200"/>
        <w:rPr>
          <w:rFonts w:ascii="宋体" w:hAnsi="宋体"/>
          <w:b w:val="0"/>
          <w:bCs/>
          <w:color w:val="auto"/>
          <w:sz w:val="24"/>
          <w:highlight w:val="none"/>
        </w:rPr>
      </w:pPr>
      <w:r>
        <w:rPr>
          <w:rFonts w:hint="eastAsia" w:ascii="宋体" w:hAnsi="宋体"/>
          <w:b/>
          <w:color w:val="auto"/>
          <w:sz w:val="24"/>
          <w:szCs w:val="20"/>
          <w:highlight w:val="none"/>
        </w:rPr>
        <w:t>填报要求：</w:t>
      </w:r>
      <w:r>
        <w:rPr>
          <w:rFonts w:hint="eastAsia" w:ascii="宋体" w:hAnsi="宋体"/>
          <w:b w:val="0"/>
          <w:bCs/>
          <w:color w:val="auto"/>
          <w:sz w:val="24"/>
          <w:szCs w:val="20"/>
          <w:highlight w:val="none"/>
        </w:rPr>
        <w:t>投标报价是履行合同的最终价格，</w:t>
      </w:r>
      <w:r>
        <w:rPr>
          <w:rFonts w:hint="eastAsia" w:ascii="宋体" w:hAnsi="宋体"/>
          <w:bCs/>
          <w:color w:val="auto"/>
          <w:kern w:val="0"/>
          <w:sz w:val="24"/>
          <w:highlight w:val="none"/>
        </w:rPr>
        <w:t>应包括但不限于管理费、基本工资、岗位津贴、奖金、劳保福利、社保、工伤费、材料费、机械使用费（含交通费）、利润、规费、税金、招标代理服务费及处理一切伤亡事故等完成合同所需的一切本身和不可或缺的所有工作开支、政策性文件规定及合同包含的所有风险、责任等各项全部费用。</w:t>
      </w:r>
    </w:p>
    <w:p w14:paraId="4EB6C75A">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4F0AF5F8">
      <w:pPr>
        <w:spacing w:line="360" w:lineRule="auto"/>
        <w:ind w:left="420"/>
        <w:rPr>
          <w:rFonts w:ascii="宋体" w:hAnsi="宋体"/>
          <w:color w:val="auto"/>
          <w:sz w:val="24"/>
          <w:highlight w:val="none"/>
        </w:rPr>
      </w:pPr>
    </w:p>
    <w:p w14:paraId="744A54AB">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p>
    <w:p w14:paraId="3559F0C9">
      <w:pPr>
        <w:spacing w:line="360" w:lineRule="auto"/>
        <w:ind w:firstLine="435"/>
        <w:rPr>
          <w:rFonts w:ascii="宋体" w:hAnsi="宋体"/>
          <w:color w:val="auto"/>
          <w:sz w:val="24"/>
          <w:highlight w:val="none"/>
        </w:rPr>
      </w:pPr>
    </w:p>
    <w:p w14:paraId="6B6978E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6941C88">
      <w:pPr>
        <w:spacing w:line="360" w:lineRule="auto"/>
        <w:rPr>
          <w:rFonts w:ascii="宋体" w:hAnsi="宋体"/>
          <w:color w:val="auto"/>
          <w:sz w:val="24"/>
          <w:highlight w:val="none"/>
        </w:rPr>
      </w:pPr>
    </w:p>
    <w:p w14:paraId="227222E4">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5CBA220">
      <w:pPr>
        <w:snapToGrid w:val="0"/>
        <w:spacing w:beforeLines="50" w:after="50" w:line="360" w:lineRule="auto"/>
        <w:rPr>
          <w:rFonts w:hint="eastAsia" w:ascii="宋体" w:hAnsi="宋体"/>
          <w:b/>
          <w:color w:val="auto"/>
          <w:sz w:val="28"/>
          <w:highlight w:val="none"/>
        </w:rPr>
      </w:pPr>
    </w:p>
    <w:p w14:paraId="2442E0B5">
      <w:pPr>
        <w:snapToGrid w:val="0"/>
        <w:spacing w:beforeLines="50" w:after="50" w:line="360" w:lineRule="auto"/>
        <w:rPr>
          <w:rFonts w:hint="eastAsia" w:ascii="宋体" w:hAnsi="宋体"/>
          <w:b/>
          <w:color w:val="auto"/>
          <w:sz w:val="28"/>
          <w:highlight w:val="none"/>
        </w:rPr>
        <w:sectPr>
          <w:pgSz w:w="11906" w:h="16838"/>
          <w:pgMar w:top="1701" w:right="1448" w:bottom="1531" w:left="1418" w:header="851" w:footer="851" w:gutter="0"/>
          <w:cols w:space="720" w:num="1"/>
          <w:titlePg/>
          <w:docGrid w:linePitch="312" w:charSpace="0"/>
        </w:sectPr>
      </w:pPr>
    </w:p>
    <w:p w14:paraId="31A10BB1">
      <w:pPr>
        <w:snapToGrid w:val="0"/>
        <w:spacing w:beforeLines="50" w:after="50" w:line="360" w:lineRule="auto"/>
        <w:rPr>
          <w:rFonts w:hint="default" w:ascii="宋体" w:hAnsi="宋体" w:eastAsia="宋体"/>
          <w:b/>
          <w:color w:val="auto"/>
          <w:sz w:val="28"/>
          <w:szCs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14:paraId="116FA32E">
      <w:pPr>
        <w:pStyle w:val="58"/>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3333C8BF">
      <w:pPr>
        <w:pStyle w:val="58"/>
        <w:spacing w:line="360" w:lineRule="auto"/>
        <w:jc w:val="center"/>
        <w:rPr>
          <w:rFonts w:ascii="宋体" w:hAnsi="宋体"/>
          <w:b/>
          <w:color w:val="auto"/>
          <w:sz w:val="24"/>
          <w:highlight w:val="none"/>
          <w:lang w:val="en-GB"/>
        </w:rPr>
      </w:pPr>
    </w:p>
    <w:p w14:paraId="7763DC77">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lang w:eastAsia="zh-CN"/>
        </w:rPr>
        <w:t>台州市防汛防旱事务中心</w:t>
      </w:r>
      <w:r>
        <w:rPr>
          <w:rFonts w:hint="eastAsia" w:ascii="宋体" w:hAnsi="宋体"/>
          <w:color w:val="auto"/>
          <w:sz w:val="24"/>
          <w:highlight w:val="none"/>
        </w:rPr>
        <w:t>的</w:t>
      </w:r>
      <w:r>
        <w:rPr>
          <w:rFonts w:hint="eastAsia" w:ascii="宋体" w:hAnsi="宋体"/>
          <w:color w:val="auto"/>
          <w:sz w:val="24"/>
          <w:highlight w:val="none"/>
          <w:u w:val="single"/>
          <w:lang w:eastAsia="zh-CN"/>
        </w:rPr>
        <w:t>台州市2025年水利工程安全运行技术支撑</w:t>
      </w:r>
      <w:r>
        <w:rPr>
          <w:rFonts w:hint="eastAsia" w:hAnsi="宋体"/>
          <w:color w:val="auto"/>
          <w:sz w:val="24"/>
          <w:highlight w:val="none"/>
        </w:rPr>
        <w:t>（</w:t>
      </w:r>
      <w:r>
        <w:rPr>
          <w:rFonts w:hint="eastAsia" w:ascii="宋体" w:hAnsi="宋体" w:cs="宋体"/>
          <w:color w:val="auto"/>
          <w:kern w:val="0"/>
          <w:sz w:val="24"/>
          <w:highlight w:val="none"/>
          <w:u w:val="single"/>
        </w:rPr>
        <w:t>编号为</w:t>
      </w:r>
      <w:r>
        <w:rPr>
          <w:rFonts w:hint="eastAsia" w:ascii="宋体" w:hAnsi="宋体" w:cs="宋体"/>
          <w:color w:val="auto"/>
          <w:kern w:val="0"/>
          <w:sz w:val="24"/>
          <w:highlight w:val="none"/>
          <w:u w:val="single"/>
          <w:lang w:val="en-US" w:eastAsia="zh-CN"/>
        </w:rPr>
        <w:t>TZCCC-【2025】-048号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0D87F92B">
      <w:pPr>
        <w:pStyle w:val="58"/>
        <w:numPr>
          <w:ilvl w:val="0"/>
          <w:numId w:val="4"/>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w:t>
      </w:r>
      <w:r>
        <w:rPr>
          <w:rFonts w:hint="eastAsia" w:ascii="宋体" w:hAnsi="宋体"/>
          <w:color w:val="auto"/>
          <w:sz w:val="24"/>
          <w:highlight w:val="none"/>
          <w:u w:val="single"/>
          <w:lang w:eastAsia="zh-CN"/>
        </w:rPr>
        <w:t>台州市2025年水利工程安全运行技术支撑</w:t>
      </w:r>
      <w:r>
        <w:rPr>
          <w:rFonts w:hint="eastAsia" w:ascii="宋体" w:hAnsi="宋体"/>
          <w:color w:val="auto"/>
          <w:sz w:val="24"/>
          <w:highlight w:val="none"/>
          <w:u w:val="single"/>
        </w:rPr>
        <w:t>）</w:t>
      </w:r>
      <w:r>
        <w:rPr>
          <w:rFonts w:hint="eastAsia" w:ascii="宋体" w:hAnsi="宋体"/>
          <w:color w:val="auto"/>
          <w:sz w:val="24"/>
          <w:highlight w:val="none"/>
        </w:rPr>
        <w:t>，属于</w:t>
      </w:r>
      <w:r>
        <w:rPr>
          <w:rFonts w:hint="eastAsia" w:ascii="宋体" w:hAnsi="宋体"/>
          <w:color w:val="auto"/>
          <w:sz w:val="24"/>
          <w:highlight w:val="none"/>
          <w:u w:val="single"/>
        </w:rPr>
        <w:t>（十六）其他未列明行业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28D276F1">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0E526E02">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86D736A">
      <w:pPr>
        <w:spacing w:line="360" w:lineRule="auto"/>
        <w:rPr>
          <w:rFonts w:ascii="宋体" w:hAnsi="宋体"/>
          <w:color w:val="auto"/>
          <w:spacing w:val="6"/>
          <w:sz w:val="24"/>
          <w:highlight w:val="none"/>
        </w:rPr>
      </w:pPr>
    </w:p>
    <w:p w14:paraId="6EECAEF4">
      <w:pPr>
        <w:pStyle w:val="24"/>
        <w:rPr>
          <w:color w:val="auto"/>
          <w:highlight w:val="none"/>
        </w:rPr>
      </w:pPr>
    </w:p>
    <w:p w14:paraId="2F64993E">
      <w:pPr>
        <w:pStyle w:val="58"/>
        <w:spacing w:line="360" w:lineRule="auto"/>
        <w:ind w:firstLine="480" w:firstLineChars="200"/>
        <w:rPr>
          <w:rFonts w:ascii="宋体" w:hAnsi="宋体" w:cs="Arial"/>
          <w:bCs/>
          <w:color w:val="auto"/>
          <w:sz w:val="24"/>
          <w:highlight w:val="none"/>
        </w:rPr>
      </w:pPr>
    </w:p>
    <w:p w14:paraId="6B781F85">
      <w:pPr>
        <w:pStyle w:val="58"/>
        <w:spacing w:line="360" w:lineRule="auto"/>
        <w:rPr>
          <w:rFonts w:ascii="宋体" w:hAnsi="宋体"/>
          <w:color w:val="auto"/>
          <w:sz w:val="24"/>
          <w:highlight w:val="none"/>
        </w:rPr>
      </w:pPr>
    </w:p>
    <w:p w14:paraId="4DAB0BF3">
      <w:pPr>
        <w:pStyle w:val="58"/>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企业名称（公章）：              </w:t>
      </w:r>
    </w:p>
    <w:p w14:paraId="544D9AE6">
      <w:pPr>
        <w:pStyle w:val="58"/>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6EF92A2A">
      <w:pPr>
        <w:pStyle w:val="5"/>
        <w:rPr>
          <w:rFonts w:ascii="宋体" w:hAnsi="宋体" w:cs="宋体"/>
          <w:color w:val="auto"/>
          <w:sz w:val="24"/>
          <w:szCs w:val="24"/>
          <w:highlight w:val="none"/>
        </w:rPr>
      </w:pPr>
    </w:p>
    <w:p w14:paraId="2C733530">
      <w:pPr>
        <w:pStyle w:val="5"/>
        <w:rPr>
          <w:rFonts w:ascii="宋体" w:hAnsi="宋体" w:cs="宋体"/>
          <w:color w:val="auto"/>
          <w:sz w:val="24"/>
          <w:szCs w:val="24"/>
          <w:highlight w:val="none"/>
        </w:rPr>
      </w:pPr>
    </w:p>
    <w:p w14:paraId="75928848">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RSqldMAAAAGAQAADwAAAAAAAAABACAAAAAiAAAAZHJzL2Rvd25yZXYueG1sUEsBAhQA&#10;FAAAAAgAh07iQLdiknL3AQAA8QMAAA4AAAAAAAAAAQAgAAAAIgEAAGRycy9lMm9Eb2MueG1sUEsF&#10;BgAAAAAGAAYAWQEAAIsFAAAAAA==&#10;">
                <v:fill on="f" focussize="0,0"/>
                <v:stroke weight="1.25pt" color="#000000" joinstyle="miter"/>
                <v:imagedata o:title=""/>
                <o:lock v:ext="edit" aspectratio="f"/>
              </v:line>
            </w:pict>
          </mc:Fallback>
        </mc:AlternateContent>
      </w:r>
    </w:p>
    <w:p w14:paraId="440C58AA">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2F0E0FB9">
      <w:pPr>
        <w:rPr>
          <w:rFonts w:ascii="宋体" w:hAnsi="宋体" w:cs="宋体"/>
          <w:color w:val="auto"/>
          <w:sz w:val="24"/>
          <w:highlight w:val="none"/>
        </w:rPr>
        <w:sectPr>
          <w:pgSz w:w="11906" w:h="16838"/>
          <w:pgMar w:top="1701" w:right="1448" w:bottom="1531" w:left="1418" w:header="851" w:footer="851" w:gutter="0"/>
          <w:cols w:space="720" w:num="1"/>
          <w:titlePg/>
          <w:docGrid w:linePitch="312" w:charSpace="0"/>
        </w:sectPr>
      </w:pPr>
      <w:r>
        <w:rPr>
          <w:rFonts w:hint="eastAsia" w:ascii="宋体" w:hAnsi="宋体" w:cs="宋体"/>
          <w:color w:val="auto"/>
          <w:sz w:val="24"/>
          <w:highlight w:val="none"/>
        </w:rPr>
        <w:t>②本声明函将随中标结果公开，接受社会监督。</w:t>
      </w:r>
    </w:p>
    <w:p w14:paraId="4C84564B">
      <w:pPr>
        <w:pStyle w:val="12"/>
        <w:spacing w:line="360" w:lineRule="auto"/>
        <w:jc w:val="center"/>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5D904C70">
      <w:pPr>
        <w:spacing w:line="360" w:lineRule="auto"/>
        <w:ind w:firstLine="480" w:firstLineChars="200"/>
        <w:rPr>
          <w:rFonts w:ascii="宋体" w:hAnsi="宋体" w:cs="宋体"/>
          <w:color w:val="auto"/>
          <w:sz w:val="24"/>
          <w:highlight w:val="none"/>
        </w:rPr>
      </w:pPr>
    </w:p>
    <w:p w14:paraId="0D0684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台州市防汛防旱事务中心</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台州市2025年水利工程安全运行技术支撑</w:t>
      </w:r>
      <w:r>
        <w:rPr>
          <w:rFonts w:hint="eastAsia" w:hAnsi="宋体"/>
          <w:color w:val="auto"/>
          <w:sz w:val="24"/>
          <w:highlight w:val="none"/>
        </w:rPr>
        <w:t>（</w:t>
      </w:r>
      <w:r>
        <w:rPr>
          <w:rFonts w:hint="eastAsia" w:ascii="宋体" w:hAnsi="宋体" w:cs="宋体"/>
          <w:color w:val="auto"/>
          <w:kern w:val="0"/>
          <w:sz w:val="24"/>
          <w:highlight w:val="none"/>
          <w:u w:val="single"/>
        </w:rPr>
        <w:t>编号为</w:t>
      </w:r>
      <w:r>
        <w:rPr>
          <w:rFonts w:hint="eastAsia" w:ascii="宋体" w:hAnsi="宋体" w:cs="宋体"/>
          <w:color w:val="auto"/>
          <w:kern w:val="0"/>
          <w:sz w:val="24"/>
          <w:highlight w:val="none"/>
          <w:u w:val="single"/>
          <w:lang w:val="en-US" w:eastAsia="zh-CN"/>
        </w:rPr>
        <w:t>TZCCC-【2025】-048号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0B5EA1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01DA5EF">
      <w:pPr>
        <w:pStyle w:val="24"/>
        <w:rPr>
          <w:color w:val="auto"/>
          <w:highlight w:val="none"/>
        </w:rPr>
      </w:pPr>
    </w:p>
    <w:p w14:paraId="332DBD45">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4679E847">
      <w:pPr>
        <w:pStyle w:val="58"/>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158F2D1B">
      <w:pPr>
        <w:pStyle w:val="58"/>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单位名称（公章）：</w:t>
      </w:r>
    </w:p>
    <w:p w14:paraId="50C786E1">
      <w:pPr>
        <w:pStyle w:val="58"/>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5F0C46A5">
      <w:pPr>
        <w:snapToGrid w:val="0"/>
        <w:spacing w:before="50" w:after="50" w:line="360" w:lineRule="auto"/>
        <w:ind w:firstLine="600" w:firstLineChars="200"/>
        <w:rPr>
          <w:color w:val="auto"/>
          <w:sz w:val="30"/>
          <w:szCs w:val="30"/>
          <w:highlight w:val="none"/>
        </w:rPr>
      </w:pPr>
    </w:p>
    <w:p w14:paraId="4E4CBC85">
      <w:pPr>
        <w:pStyle w:val="50"/>
        <w:ind w:firstLine="480"/>
        <w:rPr>
          <w:color w:val="auto"/>
          <w:highlight w:val="none"/>
        </w:rPr>
      </w:pPr>
    </w:p>
    <w:p w14:paraId="66C796BF">
      <w:pPr>
        <w:pStyle w:val="50"/>
        <w:ind w:firstLine="480"/>
        <w:rPr>
          <w:color w:val="auto"/>
          <w:highlight w:val="none"/>
        </w:rPr>
      </w:pPr>
    </w:p>
    <w:p w14:paraId="236C7038">
      <w:pPr>
        <w:pStyle w:val="50"/>
        <w:ind w:firstLine="480"/>
        <w:rPr>
          <w:color w:val="auto"/>
          <w:highlight w:val="none"/>
        </w:rPr>
      </w:pPr>
    </w:p>
    <w:p w14:paraId="35015AF8">
      <w:pPr>
        <w:pStyle w:val="50"/>
        <w:ind w:firstLine="480"/>
        <w:rPr>
          <w:color w:val="auto"/>
          <w:highlight w:val="none"/>
        </w:rPr>
      </w:pPr>
    </w:p>
    <w:p w14:paraId="42103EF4">
      <w:pPr>
        <w:pStyle w:val="50"/>
        <w:ind w:firstLine="480"/>
        <w:rPr>
          <w:color w:val="auto"/>
          <w:highlight w:val="none"/>
        </w:rPr>
      </w:pPr>
    </w:p>
    <w:p w14:paraId="6C3EF188">
      <w:pPr>
        <w:pStyle w:val="50"/>
        <w:ind w:firstLine="480"/>
        <w:rPr>
          <w:color w:val="auto"/>
          <w:highlight w:val="none"/>
        </w:rPr>
      </w:pPr>
    </w:p>
    <w:p w14:paraId="60805628">
      <w:pPr>
        <w:pStyle w:val="50"/>
        <w:ind w:firstLine="480"/>
        <w:rPr>
          <w:color w:val="auto"/>
          <w:highlight w:val="none"/>
        </w:rPr>
      </w:pPr>
    </w:p>
    <w:p w14:paraId="15FB0439">
      <w:pPr>
        <w:pStyle w:val="50"/>
        <w:ind w:firstLine="480"/>
        <w:rPr>
          <w:color w:val="auto"/>
          <w:highlight w:val="none"/>
        </w:rPr>
      </w:pPr>
    </w:p>
    <w:p w14:paraId="1CA9E58E">
      <w:pPr>
        <w:pStyle w:val="50"/>
        <w:ind w:firstLine="480"/>
        <w:rPr>
          <w:color w:val="auto"/>
          <w:highlight w:val="none"/>
        </w:rPr>
      </w:pPr>
    </w:p>
    <w:p w14:paraId="0854143F">
      <w:pPr>
        <w:pStyle w:val="50"/>
        <w:ind w:firstLine="480"/>
        <w:rPr>
          <w:color w:val="auto"/>
          <w:highlight w:val="none"/>
        </w:rPr>
      </w:pPr>
    </w:p>
    <w:p w14:paraId="6AC824A2">
      <w:pPr>
        <w:pStyle w:val="50"/>
        <w:ind w:firstLine="480"/>
        <w:rPr>
          <w:color w:val="auto"/>
          <w:highlight w:val="none"/>
        </w:rPr>
      </w:pPr>
    </w:p>
    <w:p w14:paraId="444B3170">
      <w:pPr>
        <w:pStyle w:val="50"/>
        <w:ind w:firstLine="480"/>
        <w:rPr>
          <w:color w:val="auto"/>
          <w:highlight w:val="none"/>
        </w:rPr>
      </w:pPr>
    </w:p>
    <w:p w14:paraId="24C72A16">
      <w:pPr>
        <w:rPr>
          <w:color w:val="auto"/>
          <w:highlight w:val="none"/>
        </w:rPr>
      </w:pPr>
    </w:p>
    <w:p w14:paraId="6BC84CC7">
      <w:pPr>
        <w:spacing w:line="360" w:lineRule="auto"/>
        <w:jc w:val="center"/>
        <w:rPr>
          <w:rFonts w:hint="eastAsia"/>
          <w:color w:val="auto"/>
          <w:sz w:val="52"/>
          <w:szCs w:val="52"/>
          <w:highlight w:val="none"/>
        </w:rPr>
      </w:pPr>
    </w:p>
    <w:p w14:paraId="3755329F">
      <w:pPr>
        <w:spacing w:line="360" w:lineRule="auto"/>
        <w:jc w:val="both"/>
        <w:rPr>
          <w:rFonts w:hint="eastAsia"/>
          <w:color w:val="auto"/>
          <w:sz w:val="52"/>
          <w:szCs w:val="52"/>
          <w:highlight w:val="none"/>
        </w:rPr>
        <w:sectPr>
          <w:pgSz w:w="11906" w:h="16838"/>
          <w:pgMar w:top="1701" w:right="1448" w:bottom="1531" w:left="1418" w:header="851" w:footer="851" w:gutter="0"/>
          <w:cols w:space="720" w:num="1"/>
          <w:titlePg/>
          <w:docGrid w:linePitch="312" w:charSpace="0"/>
        </w:sectPr>
      </w:pPr>
    </w:p>
    <w:p w14:paraId="702007D8">
      <w:pPr>
        <w:widowControl w:val="0"/>
        <w:autoSpaceDE w:val="0"/>
        <w:autoSpaceDN w:val="0"/>
        <w:adjustRightInd w:val="0"/>
        <w:jc w:val="center"/>
        <w:rPr>
          <w:rFonts w:hint="eastAsia" w:ascii="黑体" w:hAnsi="黑体" w:eastAsia="黑体" w:cs="黑体"/>
          <w:b/>
          <w:bCs/>
          <w:color w:val="auto"/>
          <w:sz w:val="28"/>
          <w:szCs w:val="28"/>
          <w:highlight w:val="none"/>
          <w:lang w:val="en-US" w:eastAsia="zh-CN" w:bidi="ar-SA"/>
        </w:rPr>
      </w:pPr>
      <w:r>
        <w:rPr>
          <w:rFonts w:hint="eastAsia" w:ascii="黑体" w:hAnsi="黑体" w:eastAsia="黑体" w:cs="黑体"/>
          <w:b/>
          <w:bCs/>
          <w:color w:val="auto"/>
          <w:sz w:val="28"/>
          <w:szCs w:val="28"/>
          <w:highlight w:val="none"/>
          <w:lang w:val="en-US" w:eastAsia="zh-CN" w:bidi="ar-SA"/>
        </w:rPr>
        <w:t>监狱企业的证明文件</w:t>
      </w:r>
    </w:p>
    <w:p w14:paraId="580C2540">
      <w:pPr>
        <w:snapToGrid w:val="0"/>
        <w:spacing w:before="50" w:after="50" w:line="360" w:lineRule="auto"/>
        <w:jc w:val="center"/>
        <w:rPr>
          <w:color w:val="auto"/>
          <w:sz w:val="30"/>
          <w:szCs w:val="30"/>
          <w:highlight w:val="none"/>
        </w:rPr>
      </w:pPr>
      <w:r>
        <w:rPr>
          <w:rFonts w:hint="eastAsia" w:ascii="黑体" w:hAnsi="黑体" w:eastAsia="黑体" w:cs="黑体"/>
          <w:b/>
          <w:bCs/>
          <w:color w:val="auto"/>
          <w:sz w:val="28"/>
          <w:szCs w:val="28"/>
          <w:highlight w:val="none"/>
          <w:lang w:val="en-US" w:eastAsia="zh-CN" w:bidi="ar-SA"/>
        </w:rPr>
        <w:t>（注：格式自拟）</w:t>
      </w:r>
    </w:p>
    <w:p w14:paraId="32C6589E">
      <w:pPr>
        <w:pStyle w:val="50"/>
        <w:ind w:firstLine="480"/>
        <w:rPr>
          <w:color w:val="auto"/>
          <w:highlight w:val="none"/>
        </w:rPr>
      </w:pPr>
    </w:p>
    <w:p w14:paraId="69E8BBFC">
      <w:pPr>
        <w:pStyle w:val="50"/>
        <w:ind w:firstLine="480"/>
        <w:rPr>
          <w:color w:val="auto"/>
          <w:highlight w:val="none"/>
        </w:rPr>
      </w:pPr>
    </w:p>
    <w:p w14:paraId="32EAAB72">
      <w:pPr>
        <w:pStyle w:val="50"/>
        <w:ind w:firstLine="480"/>
        <w:rPr>
          <w:color w:val="auto"/>
          <w:highlight w:val="none"/>
        </w:rPr>
      </w:pPr>
    </w:p>
    <w:p w14:paraId="1D52E2F0">
      <w:pPr>
        <w:pStyle w:val="50"/>
        <w:ind w:firstLine="480"/>
        <w:rPr>
          <w:color w:val="auto"/>
          <w:highlight w:val="none"/>
        </w:rPr>
      </w:pPr>
    </w:p>
    <w:p w14:paraId="4B49695C">
      <w:pPr>
        <w:pStyle w:val="50"/>
        <w:ind w:firstLine="480"/>
        <w:rPr>
          <w:color w:val="auto"/>
          <w:highlight w:val="none"/>
        </w:rPr>
      </w:pPr>
    </w:p>
    <w:p w14:paraId="7E1FDB16">
      <w:pPr>
        <w:pStyle w:val="50"/>
        <w:ind w:firstLine="480"/>
        <w:rPr>
          <w:color w:val="auto"/>
          <w:highlight w:val="none"/>
        </w:rPr>
      </w:pPr>
    </w:p>
    <w:p w14:paraId="45C221C4">
      <w:pPr>
        <w:pStyle w:val="50"/>
        <w:ind w:firstLine="480"/>
        <w:rPr>
          <w:color w:val="auto"/>
          <w:highlight w:val="none"/>
        </w:rPr>
      </w:pPr>
    </w:p>
    <w:p w14:paraId="351E0D32">
      <w:pPr>
        <w:pStyle w:val="50"/>
        <w:ind w:firstLine="480"/>
        <w:rPr>
          <w:color w:val="auto"/>
          <w:highlight w:val="none"/>
        </w:rPr>
      </w:pPr>
    </w:p>
    <w:p w14:paraId="25372BD3">
      <w:pPr>
        <w:pStyle w:val="50"/>
        <w:ind w:firstLine="480"/>
        <w:rPr>
          <w:color w:val="auto"/>
          <w:highlight w:val="none"/>
        </w:rPr>
      </w:pPr>
    </w:p>
    <w:p w14:paraId="34754334">
      <w:pPr>
        <w:pStyle w:val="50"/>
        <w:ind w:firstLine="480"/>
        <w:rPr>
          <w:color w:val="auto"/>
          <w:highlight w:val="none"/>
        </w:rPr>
      </w:pPr>
    </w:p>
    <w:p w14:paraId="20731676">
      <w:pPr>
        <w:pStyle w:val="50"/>
        <w:ind w:firstLine="480"/>
        <w:rPr>
          <w:color w:val="auto"/>
          <w:highlight w:val="none"/>
        </w:rPr>
      </w:pPr>
    </w:p>
    <w:p w14:paraId="048CCD25">
      <w:pPr>
        <w:pStyle w:val="50"/>
        <w:ind w:firstLine="480"/>
        <w:rPr>
          <w:color w:val="auto"/>
          <w:highlight w:val="none"/>
        </w:rPr>
      </w:pPr>
    </w:p>
    <w:p w14:paraId="3EFA583D">
      <w:pPr>
        <w:rPr>
          <w:color w:val="auto"/>
          <w:highlight w:val="none"/>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羈摷.缁.">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625C">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5243471">
                          <w:pPr>
                            <w:pStyle w:val="14"/>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xgyZDTAQAAqwMAAA4AAAAAAAAAAQAgAAAAHwEA&#10;AGRycy9lMm9Eb2MueG1sUEsFBgAAAAAGAAYAWQEAAGQFAAAAAA==&#10;">
              <v:fill on="f" focussize="0,0"/>
              <v:stroke on="f"/>
              <v:imagedata o:title=""/>
              <o:lock v:ext="edit" aspectratio="f"/>
              <v:textbox inset="0mm,0mm,0mm,0mm" style="mso-fit-shape-to-text:t;">
                <w:txbxContent>
                  <w:p w14:paraId="35243471">
                    <w:pPr>
                      <w:pStyle w:val="1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2DFD">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F7BF6F">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56F7BF6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0A5D">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964C9E">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3964C9E">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62E0">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4"/>
    <w:multiLevelType w:val="singleLevel"/>
    <w:tmpl w:val="00000004"/>
    <w:lvl w:ilvl="0" w:tentative="0">
      <w:start w:val="1"/>
      <w:numFmt w:val="decimal"/>
      <w:lvlText w:val="%1."/>
      <w:lvlJc w:val="left"/>
      <w:pPr>
        <w:ind w:left="425" w:hanging="425"/>
      </w:pPr>
      <w:rPr>
        <w:rFonts w:hint="default"/>
      </w:rPr>
    </w:lvl>
  </w:abstractNum>
  <w:abstractNum w:abstractNumId="3">
    <w:nsid w:val="678CFB24"/>
    <w:multiLevelType w:val="singleLevel"/>
    <w:tmpl w:val="678CFB2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7B4E152F"/>
    <w:rsid w:val="000018A7"/>
    <w:rsid w:val="00001ADB"/>
    <w:rsid w:val="001C32A1"/>
    <w:rsid w:val="00273DE4"/>
    <w:rsid w:val="004478D1"/>
    <w:rsid w:val="00474D69"/>
    <w:rsid w:val="004B2381"/>
    <w:rsid w:val="00780C98"/>
    <w:rsid w:val="008A50F6"/>
    <w:rsid w:val="009921EB"/>
    <w:rsid w:val="00B52EC2"/>
    <w:rsid w:val="00C278B5"/>
    <w:rsid w:val="00C41E0D"/>
    <w:rsid w:val="00CF4D9F"/>
    <w:rsid w:val="00E27246"/>
    <w:rsid w:val="00E54AEF"/>
    <w:rsid w:val="00F1307E"/>
    <w:rsid w:val="01AE3368"/>
    <w:rsid w:val="01B14921"/>
    <w:rsid w:val="02FE3E7B"/>
    <w:rsid w:val="031B2C7F"/>
    <w:rsid w:val="03FD5F08"/>
    <w:rsid w:val="0419686E"/>
    <w:rsid w:val="042C1F0E"/>
    <w:rsid w:val="06E95551"/>
    <w:rsid w:val="07634808"/>
    <w:rsid w:val="07784D0C"/>
    <w:rsid w:val="07EB28D0"/>
    <w:rsid w:val="08096454"/>
    <w:rsid w:val="082E2E1A"/>
    <w:rsid w:val="087F3869"/>
    <w:rsid w:val="09097E1A"/>
    <w:rsid w:val="09A137B2"/>
    <w:rsid w:val="09A629D9"/>
    <w:rsid w:val="0A087BCD"/>
    <w:rsid w:val="0A5D1DCF"/>
    <w:rsid w:val="0C277C70"/>
    <w:rsid w:val="0C57070F"/>
    <w:rsid w:val="0C5A48A3"/>
    <w:rsid w:val="0CF63E15"/>
    <w:rsid w:val="0D2C3C59"/>
    <w:rsid w:val="0DCB34F3"/>
    <w:rsid w:val="0E2A1FC8"/>
    <w:rsid w:val="0EA90587"/>
    <w:rsid w:val="0F10791A"/>
    <w:rsid w:val="104007CE"/>
    <w:rsid w:val="106C0104"/>
    <w:rsid w:val="109A1E99"/>
    <w:rsid w:val="12274A70"/>
    <w:rsid w:val="12A748FB"/>
    <w:rsid w:val="139B401E"/>
    <w:rsid w:val="13E13B96"/>
    <w:rsid w:val="145706B0"/>
    <w:rsid w:val="14646682"/>
    <w:rsid w:val="14847DBE"/>
    <w:rsid w:val="15155054"/>
    <w:rsid w:val="153F58E3"/>
    <w:rsid w:val="15AE7982"/>
    <w:rsid w:val="15BF299A"/>
    <w:rsid w:val="172B0778"/>
    <w:rsid w:val="184D5999"/>
    <w:rsid w:val="18765B79"/>
    <w:rsid w:val="1966107F"/>
    <w:rsid w:val="19E80895"/>
    <w:rsid w:val="1A4E48D3"/>
    <w:rsid w:val="1BED2E80"/>
    <w:rsid w:val="1CBD04AB"/>
    <w:rsid w:val="1CD534DD"/>
    <w:rsid w:val="1DAF4A65"/>
    <w:rsid w:val="1DD96127"/>
    <w:rsid w:val="1EC30E1D"/>
    <w:rsid w:val="1EF62752"/>
    <w:rsid w:val="1F817EB6"/>
    <w:rsid w:val="1FEF2346"/>
    <w:rsid w:val="20286583"/>
    <w:rsid w:val="205D622D"/>
    <w:rsid w:val="208909C0"/>
    <w:rsid w:val="214516C3"/>
    <w:rsid w:val="21E6723E"/>
    <w:rsid w:val="233F2D07"/>
    <w:rsid w:val="23BB5329"/>
    <w:rsid w:val="23C23B99"/>
    <w:rsid w:val="25956469"/>
    <w:rsid w:val="25AC3B99"/>
    <w:rsid w:val="26242C75"/>
    <w:rsid w:val="265935C3"/>
    <w:rsid w:val="275D153D"/>
    <w:rsid w:val="281B7DE6"/>
    <w:rsid w:val="29834E2F"/>
    <w:rsid w:val="29B6075C"/>
    <w:rsid w:val="29FF171F"/>
    <w:rsid w:val="2A900AEE"/>
    <w:rsid w:val="2A9C0892"/>
    <w:rsid w:val="2B1C69FE"/>
    <w:rsid w:val="2B253C9D"/>
    <w:rsid w:val="2BC90C1A"/>
    <w:rsid w:val="2DA00E3D"/>
    <w:rsid w:val="2F906E94"/>
    <w:rsid w:val="2FAA0D63"/>
    <w:rsid w:val="2FFC6B6C"/>
    <w:rsid w:val="31C66FF9"/>
    <w:rsid w:val="325A1881"/>
    <w:rsid w:val="352F1DB0"/>
    <w:rsid w:val="3560104B"/>
    <w:rsid w:val="35840612"/>
    <w:rsid w:val="35DC2B97"/>
    <w:rsid w:val="35FE3B6E"/>
    <w:rsid w:val="36372C24"/>
    <w:rsid w:val="369F7552"/>
    <w:rsid w:val="3703565F"/>
    <w:rsid w:val="371F7F52"/>
    <w:rsid w:val="372663C5"/>
    <w:rsid w:val="379C4801"/>
    <w:rsid w:val="37C37214"/>
    <w:rsid w:val="388A7446"/>
    <w:rsid w:val="39240CBE"/>
    <w:rsid w:val="396C52DB"/>
    <w:rsid w:val="397321C6"/>
    <w:rsid w:val="397A0ADB"/>
    <w:rsid w:val="39EC8856"/>
    <w:rsid w:val="39FE5ABF"/>
    <w:rsid w:val="3B4F732F"/>
    <w:rsid w:val="3B9B63BB"/>
    <w:rsid w:val="3C2B3756"/>
    <w:rsid w:val="3CFC6643"/>
    <w:rsid w:val="3D811039"/>
    <w:rsid w:val="3EA5470D"/>
    <w:rsid w:val="3ED6314E"/>
    <w:rsid w:val="3F2226C4"/>
    <w:rsid w:val="3F2E0EAF"/>
    <w:rsid w:val="3F357BD6"/>
    <w:rsid w:val="3F4D075F"/>
    <w:rsid w:val="3F83C594"/>
    <w:rsid w:val="3FD761D8"/>
    <w:rsid w:val="3FEB7A14"/>
    <w:rsid w:val="3FFD53D6"/>
    <w:rsid w:val="403C5A07"/>
    <w:rsid w:val="41044AB5"/>
    <w:rsid w:val="424E78E9"/>
    <w:rsid w:val="43CF6B92"/>
    <w:rsid w:val="44E346A3"/>
    <w:rsid w:val="461D6AD1"/>
    <w:rsid w:val="485D10A0"/>
    <w:rsid w:val="48665048"/>
    <w:rsid w:val="49FC4EBF"/>
    <w:rsid w:val="4AC57DEC"/>
    <w:rsid w:val="4AFD3876"/>
    <w:rsid w:val="4B3E7A68"/>
    <w:rsid w:val="4CB55AF7"/>
    <w:rsid w:val="4D0F3EC2"/>
    <w:rsid w:val="4D542768"/>
    <w:rsid w:val="4DBB1EF8"/>
    <w:rsid w:val="4DF27FC9"/>
    <w:rsid w:val="4E1D22BC"/>
    <w:rsid w:val="4E21448E"/>
    <w:rsid w:val="4EFF1501"/>
    <w:rsid w:val="4F6D69E1"/>
    <w:rsid w:val="4FAC5BC3"/>
    <w:rsid w:val="4FB858C0"/>
    <w:rsid w:val="4FE6199B"/>
    <w:rsid w:val="500275B3"/>
    <w:rsid w:val="50044842"/>
    <w:rsid w:val="50401D85"/>
    <w:rsid w:val="506B7047"/>
    <w:rsid w:val="50F1639A"/>
    <w:rsid w:val="51AA2D60"/>
    <w:rsid w:val="52581279"/>
    <w:rsid w:val="533A4BA9"/>
    <w:rsid w:val="53987FDD"/>
    <w:rsid w:val="54414145"/>
    <w:rsid w:val="55144BC2"/>
    <w:rsid w:val="5596306C"/>
    <w:rsid w:val="56822156"/>
    <w:rsid w:val="570F5412"/>
    <w:rsid w:val="58317B6F"/>
    <w:rsid w:val="58F033DB"/>
    <w:rsid w:val="58FB6F1C"/>
    <w:rsid w:val="599E47DA"/>
    <w:rsid w:val="59B56C8E"/>
    <w:rsid w:val="59F34F31"/>
    <w:rsid w:val="5A4324F6"/>
    <w:rsid w:val="5AA221B0"/>
    <w:rsid w:val="5B1713A0"/>
    <w:rsid w:val="5C621807"/>
    <w:rsid w:val="5D2E20DF"/>
    <w:rsid w:val="5D376C7B"/>
    <w:rsid w:val="5DCE737D"/>
    <w:rsid w:val="5E103FA0"/>
    <w:rsid w:val="5E1579A5"/>
    <w:rsid w:val="5E2750E1"/>
    <w:rsid w:val="5E5166CA"/>
    <w:rsid w:val="5EBF8894"/>
    <w:rsid w:val="5ED11A3D"/>
    <w:rsid w:val="5F0F7E42"/>
    <w:rsid w:val="5FFF0693"/>
    <w:rsid w:val="604B2B25"/>
    <w:rsid w:val="60DB6B0D"/>
    <w:rsid w:val="61945ED2"/>
    <w:rsid w:val="620C52E5"/>
    <w:rsid w:val="621716E8"/>
    <w:rsid w:val="622E06D0"/>
    <w:rsid w:val="64A63A7E"/>
    <w:rsid w:val="64DD4813"/>
    <w:rsid w:val="64E262CE"/>
    <w:rsid w:val="65451395"/>
    <w:rsid w:val="65AD40FD"/>
    <w:rsid w:val="65CB9BCE"/>
    <w:rsid w:val="65CE3888"/>
    <w:rsid w:val="664714B5"/>
    <w:rsid w:val="66B46ACB"/>
    <w:rsid w:val="66BD2645"/>
    <w:rsid w:val="672748DE"/>
    <w:rsid w:val="67A35B02"/>
    <w:rsid w:val="68674B12"/>
    <w:rsid w:val="68CD2DF1"/>
    <w:rsid w:val="6902105F"/>
    <w:rsid w:val="695D1946"/>
    <w:rsid w:val="696F0106"/>
    <w:rsid w:val="696F5E82"/>
    <w:rsid w:val="69894657"/>
    <w:rsid w:val="6A382B1A"/>
    <w:rsid w:val="6A710C22"/>
    <w:rsid w:val="6A8B5970"/>
    <w:rsid w:val="6B94031C"/>
    <w:rsid w:val="6BB755BB"/>
    <w:rsid w:val="6BC332C2"/>
    <w:rsid w:val="6C163E0C"/>
    <w:rsid w:val="6C2E004A"/>
    <w:rsid w:val="6C450EF0"/>
    <w:rsid w:val="6DE21543"/>
    <w:rsid w:val="6E3D1F85"/>
    <w:rsid w:val="6E9D09BB"/>
    <w:rsid w:val="70C07D71"/>
    <w:rsid w:val="70E004F9"/>
    <w:rsid w:val="726CA875"/>
    <w:rsid w:val="72A63923"/>
    <w:rsid w:val="72AF4F46"/>
    <w:rsid w:val="72ED6F8A"/>
    <w:rsid w:val="73EF8EE5"/>
    <w:rsid w:val="74584877"/>
    <w:rsid w:val="74A958B8"/>
    <w:rsid w:val="74E120FE"/>
    <w:rsid w:val="74FD4A5E"/>
    <w:rsid w:val="75141A5A"/>
    <w:rsid w:val="77017A57"/>
    <w:rsid w:val="770C1080"/>
    <w:rsid w:val="776112D4"/>
    <w:rsid w:val="77A84E01"/>
    <w:rsid w:val="78656BA2"/>
    <w:rsid w:val="798A38B5"/>
    <w:rsid w:val="7A9B0614"/>
    <w:rsid w:val="7B4E152F"/>
    <w:rsid w:val="7B711D02"/>
    <w:rsid w:val="7C4644EE"/>
    <w:rsid w:val="7CA0464C"/>
    <w:rsid w:val="7CFF281F"/>
    <w:rsid w:val="7D4AACDC"/>
    <w:rsid w:val="7DDA1DE0"/>
    <w:rsid w:val="7DE22750"/>
    <w:rsid w:val="7E2051FA"/>
    <w:rsid w:val="7E773DC0"/>
    <w:rsid w:val="7EFA1A64"/>
    <w:rsid w:val="7EFB50F9"/>
    <w:rsid w:val="7F1C4E50"/>
    <w:rsid w:val="7F226DC8"/>
    <w:rsid w:val="7F4339B5"/>
    <w:rsid w:val="7F6292C2"/>
    <w:rsid w:val="7F7D508F"/>
    <w:rsid w:val="7F9EA65F"/>
    <w:rsid w:val="7FCED136"/>
    <w:rsid w:val="7FD7F182"/>
    <w:rsid w:val="7FE61958"/>
    <w:rsid w:val="936ACAD3"/>
    <w:rsid w:val="9BED8C3C"/>
    <w:rsid w:val="9D7B719C"/>
    <w:rsid w:val="9F15BA4E"/>
    <w:rsid w:val="9FEFA8B9"/>
    <w:rsid w:val="AEFE556B"/>
    <w:rsid w:val="B77F4DBD"/>
    <w:rsid w:val="BB377EEB"/>
    <w:rsid w:val="D53552C2"/>
    <w:rsid w:val="D7FB7138"/>
    <w:rsid w:val="DDBFFB5C"/>
    <w:rsid w:val="DE3AAEE8"/>
    <w:rsid w:val="DFE5EE06"/>
    <w:rsid w:val="EAEE6789"/>
    <w:rsid w:val="EB78FFB4"/>
    <w:rsid w:val="EFF44FE6"/>
    <w:rsid w:val="F1676510"/>
    <w:rsid w:val="F57FE55C"/>
    <w:rsid w:val="F97DDDD1"/>
    <w:rsid w:val="FBDC5CB6"/>
    <w:rsid w:val="FBFE7FC8"/>
    <w:rsid w:val="FD5F65F3"/>
    <w:rsid w:val="FD9F2DF5"/>
    <w:rsid w:val="FDD72DA6"/>
    <w:rsid w:val="FDF72FE9"/>
    <w:rsid w:val="FDF7B495"/>
    <w:rsid w:val="FE9D77EA"/>
    <w:rsid w:val="FF4FC5C1"/>
    <w:rsid w:val="FFFB0B9F"/>
    <w:rsid w:val="FFFF6E3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60" w:after="60"/>
      <w:ind w:left="425"/>
      <w:jc w:val="center"/>
      <w:outlineLvl w:val="0"/>
    </w:pPr>
    <w:rPr>
      <w:b/>
      <w:bCs/>
      <w:kern w:val="44"/>
      <w:sz w:val="44"/>
      <w:szCs w:val="44"/>
    </w:rPr>
  </w:style>
  <w:style w:type="paragraph" w:styleId="3">
    <w:name w:val="heading 2"/>
    <w:basedOn w:val="1"/>
    <w:next w:val="1"/>
    <w:link w:val="32"/>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link w:val="31"/>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
    <w:qFormat/>
    <w:uiPriority w:val="0"/>
    <w:pPr>
      <w:ind w:firstLine="200" w:firstLineChars="200"/>
    </w:pPr>
  </w:style>
  <w:style w:type="paragraph" w:styleId="10">
    <w:name w:val="Body Text Indent"/>
    <w:basedOn w:val="1"/>
    <w:next w:val="1"/>
    <w:qFormat/>
    <w:uiPriority w:val="0"/>
    <w:pPr>
      <w:spacing w:after="120"/>
      <w:ind w:left="420" w:leftChars="200"/>
    </w:pPr>
  </w:style>
  <w:style w:type="paragraph" w:styleId="11">
    <w:name w:val="toc 5"/>
    <w:basedOn w:val="1"/>
    <w:next w:val="1"/>
    <w:qFormat/>
    <w:uiPriority w:val="0"/>
    <w:pPr>
      <w:ind w:left="1680" w:leftChars="800"/>
    </w:pPr>
  </w:style>
  <w:style w:type="paragraph" w:styleId="12">
    <w:name w:val="Plain Text"/>
    <w:basedOn w:val="1"/>
    <w:next w:val="13"/>
    <w:qFormat/>
    <w:uiPriority w:val="0"/>
    <w:rPr>
      <w:rFonts w:ascii="宋体" w:hAnsi="Courier New"/>
    </w:rPr>
  </w:style>
  <w:style w:type="paragraph" w:styleId="13">
    <w:name w:val="Date"/>
    <w:basedOn w:val="1"/>
    <w:next w:val="1"/>
    <w:qFormat/>
    <w:uiPriority w:val="0"/>
    <w:pPr>
      <w:ind w:left="2500" w:leftChars="2500"/>
    </w:pPr>
    <w:rPr>
      <w:rFonts w:ascii="Calibri" w:hAnsi="Calibri" w:eastAsia="楷体_GB2312"/>
      <w:sz w:val="32"/>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宋体" w:hAnsi="宋体"/>
      <w:sz w:val="24"/>
    </w:rPr>
  </w:style>
  <w:style w:type="paragraph" w:styleId="17">
    <w:name w:val="toc 6"/>
    <w:basedOn w:val="1"/>
    <w:next w:val="1"/>
    <w:qFormat/>
    <w:uiPriority w:val="39"/>
    <w:pPr>
      <w:widowControl/>
      <w:ind w:left="1000"/>
      <w:jc w:val="left"/>
    </w:pPr>
    <w:rPr>
      <w:kern w:val="0"/>
      <w:sz w:val="18"/>
      <w:szCs w:val="20"/>
    </w:rPr>
  </w:style>
  <w:style w:type="paragraph" w:styleId="18">
    <w:name w:val="toc 2"/>
    <w:basedOn w:val="1"/>
    <w:next w:val="1"/>
    <w:qFormat/>
    <w:uiPriority w:val="39"/>
    <w:pPr>
      <w:ind w:left="420" w:left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2"/>
    <w:basedOn w:val="10"/>
    <w:next w:val="1"/>
    <w:qFormat/>
    <w:uiPriority w:val="0"/>
    <w:pPr>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character" w:customStyle="1" w:styleId="31">
    <w:name w:val="文档结构图 字符"/>
    <w:link w:val="6"/>
    <w:qFormat/>
    <w:uiPriority w:val="0"/>
    <w:rPr>
      <w:rFonts w:ascii="宋体"/>
      <w:kern w:val="2"/>
      <w:sz w:val="18"/>
      <w:szCs w:val="18"/>
    </w:rPr>
  </w:style>
  <w:style w:type="character" w:customStyle="1" w:styleId="32">
    <w:name w:val="标题 2 字符"/>
    <w:link w:val="3"/>
    <w:qFormat/>
    <w:uiPriority w:val="0"/>
    <w:rPr>
      <w:rFonts w:ascii="宋体" w:hAnsi="宋体"/>
      <w:b/>
      <w:sz w:val="32"/>
      <w:szCs w:val="28"/>
    </w:rPr>
  </w:style>
  <w:style w:type="character" w:customStyle="1" w:styleId="33">
    <w:name w:val="NormalCharacter"/>
    <w:qFormat/>
    <w:uiPriority w:val="0"/>
  </w:style>
  <w:style w:type="paragraph" w:customStyle="1" w:styleId="34">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5">
    <w:name w:val="列表段落1"/>
    <w:basedOn w:val="1"/>
    <w:qFormat/>
    <w:uiPriority w:val="34"/>
    <w:pPr>
      <w:adjustRightInd/>
      <w:ind w:right="238" w:firstLine="420"/>
    </w:pPr>
    <w:rPr>
      <w:rFonts w:ascii="Calibri" w:hAnsi="Calibri"/>
      <w:sz w:val="24"/>
    </w:rPr>
  </w:style>
  <w:style w:type="paragraph" w:customStyle="1" w:styleId="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rPr>
      <w:rFonts w:ascii="Calibri" w:hAnsi="Calibri"/>
      <w:szCs w:val="22"/>
    </w:rPr>
  </w:style>
  <w:style w:type="paragraph" w:customStyle="1" w:styleId="38">
    <w:name w:val="Table Paragraph"/>
    <w:basedOn w:val="1"/>
    <w:qFormat/>
    <w:uiPriority w:val="1"/>
    <w:rPr>
      <w:rFonts w:ascii="宋体" w:hAnsi="宋体" w:cs="宋体"/>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1"/>
    <w:basedOn w:val="1"/>
    <w:qFormat/>
    <w:uiPriority w:val="0"/>
    <w:rPr>
      <w:sz w:val="28"/>
      <w:szCs w:val="28"/>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招标-标题1"/>
    <w:basedOn w:val="1"/>
    <w:qFormat/>
    <w:uiPriority w:val="0"/>
    <w:pPr>
      <w:spacing w:line="300" w:lineRule="auto"/>
      <w:ind w:left="560"/>
    </w:pPr>
    <w:rPr>
      <w:rFonts w:ascii="宋体" w:hAnsi="宋体"/>
      <w:b/>
      <w:kern w:val="0"/>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7">
    <w:name w:val="HtmlNormal"/>
    <w:basedOn w:val="1"/>
    <w:qFormat/>
    <w:uiPriority w:val="0"/>
    <w:pPr>
      <w:widowControl/>
      <w:spacing w:before="100" w:beforeAutospacing="1" w:after="100" w:afterAutospacing="1"/>
      <w:jc w:val="left"/>
      <w:textAlignment w:val="baseline"/>
    </w:pPr>
    <w:rPr>
      <w:rFonts w:ascii="宋体" w:hAnsi="宋体"/>
      <w:color w:val="000000"/>
      <w:kern w:val="0"/>
      <w:sz w:val="24"/>
    </w:rPr>
  </w:style>
  <w:style w:type="paragraph" w:customStyle="1" w:styleId="48">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49">
    <w:name w:val="章正文"/>
    <w:basedOn w:val="1"/>
    <w:qFormat/>
    <w:uiPriority w:val="0"/>
    <w:pPr>
      <w:spacing w:beforeLines="50" w:after="120" w:line="300" w:lineRule="auto"/>
      <w:ind w:firstLine="480"/>
    </w:pPr>
    <w:rPr>
      <w:rFonts w:ascii="Helvetica" w:hAnsi="Helvetica"/>
      <w:kern w:val="0"/>
      <w:sz w:val="24"/>
    </w:rPr>
  </w:style>
  <w:style w:type="paragraph" w:customStyle="1" w:styleId="50">
    <w:name w:val="4、正文"/>
    <w:basedOn w:val="1"/>
    <w:qFormat/>
    <w:uiPriority w:val="0"/>
    <w:pPr>
      <w:ind w:firstLine="200" w:firstLineChars="200"/>
    </w:pPr>
    <w:rPr>
      <w:rFonts w:ascii="宋体"/>
      <w:sz w:val="24"/>
      <w:szCs w:val="28"/>
    </w:rPr>
  </w:style>
  <w:style w:type="paragraph" w:customStyle="1" w:styleId="51">
    <w:name w:val="PlainText"/>
    <w:basedOn w:val="1"/>
    <w:qFormat/>
    <w:uiPriority w:val="0"/>
    <w:pPr>
      <w:widowControl/>
      <w:spacing w:before="156" w:after="156" w:line="400" w:lineRule="atLeast"/>
      <w:textAlignment w:val="baseline"/>
    </w:pPr>
    <w:rPr>
      <w:rFonts w:ascii="宋体" w:hAnsi="Courier New"/>
      <w:sz w:val="24"/>
    </w:rPr>
  </w:style>
  <w:style w:type="paragraph" w:customStyle="1" w:styleId="52">
    <w:name w:val="DAS正文"/>
    <w:basedOn w:val="1"/>
    <w:qFormat/>
    <w:uiPriority w:val="0"/>
    <w:pPr>
      <w:ind w:right="181" w:firstLine="480"/>
    </w:pPr>
    <w:rPr>
      <w:rFonts w:ascii="Verdana" w:hAnsi="Verdana"/>
      <w:sz w:val="24"/>
    </w:rPr>
  </w:style>
  <w:style w:type="paragraph" w:customStyle="1" w:styleId="5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5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5">
    <w:name w:val="正文缩进1"/>
    <w:basedOn w:val="1"/>
    <w:qFormat/>
    <w:uiPriority w:val="0"/>
    <w:pPr>
      <w:autoSpaceDE w:val="0"/>
      <w:autoSpaceDN w:val="0"/>
      <w:adjustRightInd w:val="0"/>
      <w:ind w:firstLine="420"/>
      <w:jc w:val="left"/>
      <w:textAlignment w:val="baseline"/>
    </w:pPr>
    <w:rPr>
      <w:rFonts w:ascii="宋体"/>
      <w:kern w:val="0"/>
      <w:sz w:val="34"/>
      <w:szCs w:val="34"/>
    </w:rPr>
  </w:style>
  <w:style w:type="paragraph" w:customStyle="1" w:styleId="56">
    <w:name w:val="_Style 54"/>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BodyText"/>
    <w:basedOn w:val="1"/>
    <w:qFormat/>
    <w:uiPriority w:val="0"/>
    <w:pPr>
      <w:spacing w:after="120"/>
    </w:pPr>
    <w:rPr>
      <w:sz w:val="24"/>
    </w:rPr>
  </w:style>
  <w:style w:type="paragraph" w:customStyle="1" w:styleId="58">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14429</Words>
  <Characters>14827</Characters>
  <Lines>200</Lines>
  <Paragraphs>56</Paragraphs>
  <TotalTime>56</TotalTime>
  <ScaleCrop>false</ScaleCrop>
  <LinksUpToDate>false</LinksUpToDate>
  <CharactersWithSpaces>15037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2024-05-31T19:58:00Z</dcterms:created>
  <dc:creator>建设咨询</dc:creator>
  <cp:lastModifiedBy>建设咨询</cp:lastModifiedBy>
  <cp:lastPrinted>2025-06-30T07:03:00Z</cp:lastPrinted>
  <dcterms:modified xsi:type="dcterms:W3CDTF">2025-07-04T08:03:15Z</dcterms:modified>
  <dc:title>台州市政府采购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47A4431920744CE096E752DA917FA815_13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eyJoZGlkIjoiOTUyOTRlNDQwN2RiMGI2ODUyYWJjZmU0NTlmYTYzZWEiLCJ1c2VySWQiOiIxNjU5NTM3NzAwIn0=</vt:lpwstr>
  </property>
</Properties>
</file>